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C466A" w14:textId="4905C4F5" w:rsidR="00754C9A" w:rsidRDefault="00551098" w:rsidP="00441B6F">
      <w:pPr>
        <w:pStyle w:val="Title"/>
        <w:spacing w:after="0"/>
        <w:jc w:val="both"/>
        <w:rPr>
          <w:rFonts w:ascii="Arial" w:hAnsi="Arial" w:cs="Arial"/>
          <w:sz w:val="28"/>
          <w:szCs w:val="16"/>
          <w:u w:val="single"/>
        </w:rPr>
      </w:pPr>
      <w:r w:rsidRPr="00551098">
        <w:rPr>
          <w:rFonts w:ascii="Arial" w:hAnsi="Arial" w:cs="Arial"/>
          <w:sz w:val="28"/>
          <w:szCs w:val="16"/>
          <w:u w:val="single"/>
        </w:rPr>
        <w:t>Original Research Article</w:t>
      </w:r>
    </w:p>
    <w:p w14:paraId="74022B6C" w14:textId="77777777" w:rsidR="00551098" w:rsidRPr="00551098" w:rsidRDefault="00551098" w:rsidP="00441B6F">
      <w:pPr>
        <w:pStyle w:val="Title"/>
        <w:spacing w:after="0"/>
        <w:jc w:val="both"/>
        <w:rPr>
          <w:rFonts w:ascii="Arial" w:hAnsi="Arial" w:cs="Arial"/>
          <w:sz w:val="28"/>
          <w:szCs w:val="16"/>
          <w:u w:val="single"/>
        </w:rPr>
      </w:pPr>
    </w:p>
    <w:p w14:paraId="051A2282" w14:textId="4F59E471" w:rsidR="00A258C3" w:rsidRDefault="006737DA" w:rsidP="006737DA">
      <w:pPr>
        <w:pStyle w:val="Author"/>
        <w:spacing w:line="240" w:lineRule="auto"/>
        <w:rPr>
          <w:rFonts w:ascii="Arial" w:hAnsi="Arial" w:cs="Arial"/>
          <w:bCs/>
          <w:iCs/>
          <w:kern w:val="28"/>
          <w:sz w:val="36"/>
        </w:rPr>
      </w:pPr>
      <w:r>
        <w:rPr>
          <w:rFonts w:ascii="Arial" w:hAnsi="Arial" w:cs="Arial"/>
          <w:bCs/>
          <w:iCs/>
          <w:kern w:val="28"/>
          <w:sz w:val="36"/>
        </w:rPr>
        <w:t>Stabilization of Expansive Soil Using Gu</w:t>
      </w:r>
      <w:r w:rsidR="00CB289A">
        <w:rPr>
          <w:rFonts w:ascii="Arial" w:hAnsi="Arial" w:cs="Arial"/>
          <w:bCs/>
          <w:iCs/>
          <w:kern w:val="28"/>
          <w:sz w:val="36"/>
        </w:rPr>
        <w:t>m Arabic and Quarry Dust</w:t>
      </w:r>
      <w:r>
        <w:rPr>
          <w:rFonts w:ascii="Arial" w:hAnsi="Arial" w:cs="Arial"/>
          <w:bCs/>
          <w:iCs/>
          <w:kern w:val="28"/>
          <w:sz w:val="36"/>
        </w:rPr>
        <w:t xml:space="preserve"> for </w:t>
      </w:r>
      <w:r w:rsidR="00CB289A">
        <w:rPr>
          <w:rFonts w:ascii="Arial" w:hAnsi="Arial" w:cs="Arial"/>
          <w:bCs/>
          <w:iCs/>
          <w:kern w:val="28"/>
          <w:sz w:val="36"/>
        </w:rPr>
        <w:t xml:space="preserve">Sustainable </w:t>
      </w:r>
      <w:r>
        <w:rPr>
          <w:rFonts w:ascii="Arial" w:hAnsi="Arial" w:cs="Arial"/>
          <w:bCs/>
          <w:iCs/>
          <w:kern w:val="28"/>
          <w:sz w:val="36"/>
        </w:rPr>
        <w:t>Highway</w:t>
      </w:r>
      <w:r w:rsidR="00CB289A">
        <w:rPr>
          <w:rFonts w:ascii="Arial" w:hAnsi="Arial" w:cs="Arial"/>
          <w:bCs/>
          <w:iCs/>
          <w:kern w:val="28"/>
          <w:sz w:val="36"/>
        </w:rPr>
        <w:t xml:space="preserve"> Subgrade</w:t>
      </w:r>
      <w:r>
        <w:rPr>
          <w:rFonts w:ascii="Arial" w:hAnsi="Arial" w:cs="Arial"/>
          <w:bCs/>
          <w:iCs/>
          <w:kern w:val="28"/>
          <w:sz w:val="36"/>
        </w:rPr>
        <w:t xml:space="preserve"> Application</w:t>
      </w:r>
    </w:p>
    <w:p w14:paraId="54194FB3" w14:textId="77777777" w:rsidR="00183619" w:rsidRPr="00790ADA" w:rsidRDefault="00183619" w:rsidP="006737DA">
      <w:pPr>
        <w:pStyle w:val="Author"/>
        <w:spacing w:line="240" w:lineRule="auto"/>
        <w:rPr>
          <w:rFonts w:ascii="Arial" w:hAnsi="Arial" w:cs="Arial"/>
          <w:sz w:val="36"/>
        </w:rPr>
      </w:pPr>
    </w:p>
    <w:p w14:paraId="10B3C72B" w14:textId="6E6623AC" w:rsidR="00551098" w:rsidRDefault="00551098" w:rsidP="006737DA">
      <w:pPr>
        <w:pStyle w:val="Affiliation"/>
        <w:spacing w:after="0"/>
        <w:rPr>
          <w:rFonts w:ascii="Arial" w:hAnsi="Arial" w:cs="Arial"/>
        </w:rPr>
      </w:pPr>
    </w:p>
    <w:p w14:paraId="68CF7493" w14:textId="77777777" w:rsidR="00551098" w:rsidRDefault="00551098" w:rsidP="006737DA">
      <w:pPr>
        <w:pStyle w:val="Affiliation"/>
        <w:spacing w:after="0"/>
        <w:rPr>
          <w:rFonts w:ascii="Arial" w:hAnsi="Arial" w:cs="Arial"/>
        </w:rPr>
      </w:pPr>
    </w:p>
    <w:p w14:paraId="09038EAD" w14:textId="77777777" w:rsidR="002C57D2" w:rsidRPr="00FB3A86" w:rsidRDefault="002C57D2" w:rsidP="00441B6F">
      <w:pPr>
        <w:pStyle w:val="Affiliation"/>
        <w:spacing w:after="0" w:line="240" w:lineRule="auto"/>
        <w:jc w:val="both"/>
        <w:rPr>
          <w:rFonts w:ascii="Arial" w:hAnsi="Arial" w:cs="Arial"/>
        </w:rPr>
      </w:pPr>
    </w:p>
    <w:p w14:paraId="68852DB4" w14:textId="77777777" w:rsidR="00B01FCD" w:rsidRPr="00FB3A86" w:rsidRDefault="00AA5CED" w:rsidP="00441B6F">
      <w:pPr>
        <w:pStyle w:val="Copyright"/>
        <w:spacing w:after="0" w:line="240" w:lineRule="auto"/>
        <w:jc w:val="both"/>
        <w:rPr>
          <w:rFonts w:ascii="Arial" w:hAnsi="Arial" w:cs="Arial"/>
        </w:rPr>
        <w:sectPr w:rsidR="00B01FCD" w:rsidRPr="00FB3A86" w:rsidSect="00D335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BD24E3">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CD2E99D" w14:textId="27127813"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BB2EC4" w14:textId="77777777" w:rsidTr="001E44FE">
        <w:tc>
          <w:tcPr>
            <w:tcW w:w="9576" w:type="dxa"/>
            <w:shd w:val="clear" w:color="auto" w:fill="F2F2F2"/>
          </w:tcPr>
          <w:p w14:paraId="2B676382" w14:textId="77777777" w:rsidR="006737DA" w:rsidRDefault="006737DA" w:rsidP="006737DA">
            <w:pPr>
              <w:pStyle w:val="Body"/>
              <w:rPr>
                <w:rFonts w:ascii="Arial" w:eastAsia="Calibri" w:hAnsi="Arial" w:cs="Arial"/>
                <w:i/>
                <w:szCs w:val="22"/>
              </w:rPr>
            </w:pPr>
            <w:r w:rsidRPr="006737DA">
              <w:rPr>
                <w:rFonts w:ascii="Arial" w:eastAsia="Calibri" w:hAnsi="Arial" w:cs="Arial"/>
                <w:b/>
                <w:bCs/>
                <w:iCs/>
                <w:szCs w:val="22"/>
              </w:rPr>
              <w:t>Aim:</w:t>
            </w:r>
            <w:r>
              <w:rPr>
                <w:rFonts w:ascii="Arial" w:eastAsia="Calibri" w:hAnsi="Arial" w:cs="Arial"/>
                <w:i/>
                <w:szCs w:val="22"/>
              </w:rPr>
              <w:t xml:space="preserve"> </w:t>
            </w:r>
            <w:r w:rsidRPr="006737DA">
              <w:rPr>
                <w:rFonts w:ascii="Arial" w:eastAsia="Calibri" w:hAnsi="Arial" w:cs="Arial"/>
                <w:i/>
                <w:szCs w:val="22"/>
              </w:rPr>
              <w:t>Expansive soils, characterized by their significant volume changes with moisture fluctuations, pose substantial challenges in highway construction due to their tendency to cause pavement distress and structural instability. This study investigates the potential of using a combination of Gum Arabic, a natural and biodegradable resin, and quarry dust, an industrial by-product, as sustainable alternatives for stabilizing expansive soils in highway subgrade applications.</w:t>
            </w:r>
          </w:p>
          <w:p w14:paraId="6B7D4F86" w14:textId="77777777" w:rsidR="006737DA" w:rsidRDefault="006737DA" w:rsidP="006737DA">
            <w:pPr>
              <w:pStyle w:val="Body"/>
              <w:rPr>
                <w:rFonts w:ascii="Arial" w:eastAsia="Calibri" w:hAnsi="Arial" w:cs="Arial"/>
                <w:i/>
                <w:szCs w:val="22"/>
              </w:rPr>
            </w:pPr>
            <w:r w:rsidRPr="006737DA">
              <w:rPr>
                <w:rFonts w:ascii="Arial" w:eastAsia="Calibri" w:hAnsi="Arial" w:cs="Arial"/>
                <w:b/>
                <w:bCs/>
                <w:iCs/>
                <w:szCs w:val="22"/>
              </w:rPr>
              <w:t>Method</w:t>
            </w:r>
            <w:r>
              <w:rPr>
                <w:rFonts w:ascii="Arial" w:eastAsia="Calibri" w:hAnsi="Arial" w:cs="Arial"/>
                <w:b/>
                <w:bCs/>
                <w:iCs/>
                <w:szCs w:val="22"/>
              </w:rPr>
              <w:t>o</w:t>
            </w:r>
            <w:r w:rsidRPr="006737DA">
              <w:rPr>
                <w:rFonts w:ascii="Arial" w:eastAsia="Calibri" w:hAnsi="Arial" w:cs="Arial"/>
                <w:b/>
                <w:bCs/>
                <w:iCs/>
                <w:szCs w:val="22"/>
              </w:rPr>
              <w:t>logy:</w:t>
            </w:r>
            <w:r>
              <w:rPr>
                <w:rFonts w:ascii="Arial" w:eastAsia="Calibri" w:hAnsi="Arial" w:cs="Arial"/>
                <w:i/>
                <w:szCs w:val="22"/>
              </w:rPr>
              <w:t xml:space="preserve"> </w:t>
            </w:r>
            <w:r w:rsidRPr="006737DA">
              <w:rPr>
                <w:rFonts w:ascii="Arial" w:eastAsia="Calibri" w:hAnsi="Arial" w:cs="Arial"/>
                <w:i/>
                <w:szCs w:val="22"/>
              </w:rPr>
              <w:t xml:space="preserve">Laboratory experiments were conducted on expansive soil samples treated with varying proportions of Gum Arabic and quarry dust. The geotechnical properties assessed included Atterberg limits, compaction characteristics, California Bearing Ratio (CBR), and Shear strength. </w:t>
            </w:r>
          </w:p>
          <w:p w14:paraId="7A1313A5" w14:textId="576B7BAB" w:rsidR="006737DA" w:rsidRPr="006737DA" w:rsidRDefault="006737DA" w:rsidP="006737DA">
            <w:pPr>
              <w:pStyle w:val="Body"/>
              <w:rPr>
                <w:rFonts w:ascii="Arial" w:eastAsia="Calibri" w:hAnsi="Arial" w:cs="Arial"/>
                <w:i/>
                <w:szCs w:val="22"/>
              </w:rPr>
            </w:pPr>
            <w:r w:rsidRPr="006737DA">
              <w:rPr>
                <w:rFonts w:ascii="Arial" w:eastAsia="Calibri" w:hAnsi="Arial" w:cs="Arial"/>
                <w:b/>
                <w:bCs/>
                <w:iCs/>
                <w:szCs w:val="22"/>
              </w:rPr>
              <w:t>Results:</w:t>
            </w:r>
            <w:r>
              <w:rPr>
                <w:rFonts w:ascii="Arial" w:eastAsia="Calibri" w:hAnsi="Arial" w:cs="Arial"/>
                <w:i/>
                <w:szCs w:val="22"/>
              </w:rPr>
              <w:t xml:space="preserve"> </w:t>
            </w:r>
            <w:r w:rsidRPr="006737DA">
              <w:rPr>
                <w:rFonts w:ascii="Arial" w:eastAsia="Calibri" w:hAnsi="Arial" w:cs="Arial"/>
                <w:i/>
                <w:szCs w:val="22"/>
              </w:rPr>
              <w:t xml:space="preserve">The soil was initially characterized as an inorganic clay of medium plasticity (CL) with a plasticity index of 29.46%, linear shrinkage of 10.71%, and specific gravity of 2.01, indicating high swell potential and poor suitability for engineering applications in its natural state. Stabilization was carried out using varying proportions of gum </w:t>
            </w:r>
            <w:proofErr w:type="spellStart"/>
            <w:r w:rsidRPr="006737DA">
              <w:rPr>
                <w:rFonts w:ascii="Arial" w:eastAsia="Calibri" w:hAnsi="Arial" w:cs="Arial"/>
                <w:i/>
                <w:szCs w:val="22"/>
              </w:rPr>
              <w:t>arabic</w:t>
            </w:r>
            <w:proofErr w:type="spellEnd"/>
            <w:r w:rsidRPr="006737DA">
              <w:rPr>
                <w:rFonts w:ascii="Arial" w:eastAsia="Calibri" w:hAnsi="Arial" w:cs="Arial"/>
                <w:i/>
                <w:szCs w:val="22"/>
              </w:rPr>
              <w:t xml:space="preserve"> (2%–8%) and stone dust (5%–20%)</w:t>
            </w:r>
            <w:r w:rsidR="00E06A8E">
              <w:rPr>
                <w:rFonts w:ascii="Arial" w:eastAsia="Calibri" w:hAnsi="Arial" w:cs="Arial"/>
                <w:i/>
                <w:szCs w:val="22"/>
              </w:rPr>
              <w:t xml:space="preserve"> all expressed as percentages by dry weight of soil</w:t>
            </w:r>
            <w:r w:rsidRPr="006737DA">
              <w:rPr>
                <w:rFonts w:ascii="Arial" w:eastAsia="Calibri" w:hAnsi="Arial" w:cs="Arial"/>
                <w:i/>
                <w:szCs w:val="22"/>
              </w:rPr>
              <w:t xml:space="preserve">. CBR results showed that the optimum improvement occurred at 4% gum </w:t>
            </w:r>
            <w:proofErr w:type="spellStart"/>
            <w:r w:rsidRPr="006737DA">
              <w:rPr>
                <w:rFonts w:ascii="Arial" w:eastAsia="Calibri" w:hAnsi="Arial" w:cs="Arial"/>
                <w:i/>
                <w:szCs w:val="22"/>
              </w:rPr>
              <w:t>arabic</w:t>
            </w:r>
            <w:proofErr w:type="spellEnd"/>
            <w:r w:rsidRPr="006737DA">
              <w:rPr>
                <w:rFonts w:ascii="Arial" w:eastAsia="Calibri" w:hAnsi="Arial" w:cs="Arial"/>
                <w:i/>
                <w:szCs w:val="22"/>
              </w:rPr>
              <w:t xml:space="preserve"> and 10% stone dust, achieving a </w:t>
            </w:r>
            <w:r w:rsidR="00316BA5">
              <w:rPr>
                <w:rFonts w:ascii="Arial" w:eastAsia="Calibri" w:hAnsi="Arial" w:cs="Arial"/>
                <w:i/>
                <w:szCs w:val="22"/>
              </w:rPr>
              <w:t>14-day CBR of 9%, compared to 4</w:t>
            </w:r>
            <w:r w:rsidRPr="006737DA">
              <w:rPr>
                <w:rFonts w:ascii="Arial" w:eastAsia="Calibri" w:hAnsi="Arial" w:cs="Arial"/>
                <w:i/>
                <w:szCs w:val="22"/>
              </w:rPr>
              <w:t>.</w:t>
            </w:r>
            <w:r w:rsidR="00316BA5">
              <w:rPr>
                <w:rFonts w:ascii="Arial" w:eastAsia="Calibri" w:hAnsi="Arial" w:cs="Arial"/>
                <w:i/>
                <w:szCs w:val="22"/>
              </w:rPr>
              <w:t>1</w:t>
            </w:r>
            <w:r w:rsidRPr="006737DA">
              <w:rPr>
                <w:rFonts w:ascii="Arial" w:eastAsia="Calibri" w:hAnsi="Arial" w:cs="Arial"/>
                <w:i/>
                <w:szCs w:val="22"/>
              </w:rPr>
              <w:t xml:space="preserve">5% in the untreated compacted soil. Shear strength was also enhanced, with the maximum shear strength of 33.12 kN/m² recorded at 2% gum </w:t>
            </w:r>
            <w:proofErr w:type="spellStart"/>
            <w:r w:rsidRPr="006737DA">
              <w:rPr>
                <w:rFonts w:ascii="Arial" w:eastAsia="Calibri" w:hAnsi="Arial" w:cs="Arial"/>
                <w:i/>
                <w:szCs w:val="22"/>
              </w:rPr>
              <w:t>arabic</w:t>
            </w:r>
            <w:proofErr w:type="spellEnd"/>
            <w:r w:rsidRPr="006737DA">
              <w:rPr>
                <w:rFonts w:ascii="Arial" w:eastAsia="Calibri" w:hAnsi="Arial" w:cs="Arial"/>
                <w:i/>
                <w:szCs w:val="22"/>
              </w:rPr>
              <w:t xml:space="preserve"> and 5% stone dust, driven by increased apparent cohesion. </w:t>
            </w:r>
          </w:p>
          <w:p w14:paraId="22591BE8" w14:textId="3172D072" w:rsidR="006737DA" w:rsidRPr="00BA1B01" w:rsidRDefault="006737DA" w:rsidP="006737DA">
            <w:pPr>
              <w:pStyle w:val="Body"/>
              <w:spacing w:after="0"/>
              <w:rPr>
                <w:rFonts w:ascii="Arial" w:eastAsia="Calibri" w:hAnsi="Arial" w:cs="Arial"/>
                <w:szCs w:val="22"/>
              </w:rPr>
            </w:pPr>
            <w:r w:rsidRPr="006737DA">
              <w:rPr>
                <w:rFonts w:ascii="Arial" w:eastAsia="Calibri" w:hAnsi="Arial" w:cs="Arial"/>
                <w:b/>
                <w:bCs/>
                <w:iCs/>
                <w:szCs w:val="22"/>
              </w:rPr>
              <w:t>Conclusion:</w:t>
            </w:r>
            <w:r>
              <w:rPr>
                <w:rFonts w:ascii="Arial" w:eastAsia="Calibri" w:hAnsi="Arial" w:cs="Arial"/>
                <w:i/>
                <w:szCs w:val="22"/>
              </w:rPr>
              <w:t xml:space="preserve"> </w:t>
            </w:r>
            <w:r w:rsidRPr="006737DA">
              <w:rPr>
                <w:rFonts w:ascii="Arial" w:eastAsia="Calibri" w:hAnsi="Arial" w:cs="Arial"/>
                <w:i/>
                <w:szCs w:val="22"/>
              </w:rPr>
              <w:t xml:space="preserve">The study concludes that moderate dosages of gum </w:t>
            </w:r>
            <w:proofErr w:type="spellStart"/>
            <w:r w:rsidRPr="006737DA">
              <w:rPr>
                <w:rFonts w:ascii="Arial" w:eastAsia="Calibri" w:hAnsi="Arial" w:cs="Arial"/>
                <w:i/>
                <w:szCs w:val="22"/>
              </w:rPr>
              <w:t>arabic</w:t>
            </w:r>
            <w:proofErr w:type="spellEnd"/>
            <w:r w:rsidRPr="006737DA">
              <w:rPr>
                <w:rFonts w:ascii="Arial" w:eastAsia="Calibri" w:hAnsi="Arial" w:cs="Arial"/>
                <w:i/>
                <w:szCs w:val="22"/>
              </w:rPr>
              <w:t xml:space="preserve"> and stone dust can significantly improve the strength characteristics of expansive soils, making them more suitable for subgrade applications. However, performance depends on proper dosage selection and adequate curing </w:t>
            </w:r>
          </w:p>
          <w:p w14:paraId="13BE89DA" w14:textId="5CF174CE" w:rsidR="00505F06" w:rsidRPr="00BA1B01" w:rsidRDefault="00505F06" w:rsidP="00441B6F">
            <w:pPr>
              <w:pStyle w:val="Body"/>
              <w:spacing w:after="0"/>
              <w:rPr>
                <w:rFonts w:ascii="Arial" w:eastAsia="Calibri" w:hAnsi="Arial" w:cs="Arial"/>
                <w:szCs w:val="22"/>
              </w:rPr>
            </w:pPr>
          </w:p>
        </w:tc>
      </w:tr>
    </w:tbl>
    <w:p w14:paraId="1AFDBC05" w14:textId="77777777" w:rsidR="00636EB2" w:rsidRDefault="00636EB2" w:rsidP="00441B6F">
      <w:pPr>
        <w:pStyle w:val="Body"/>
        <w:spacing w:after="0"/>
        <w:rPr>
          <w:rFonts w:ascii="Arial" w:hAnsi="Arial" w:cs="Arial"/>
          <w:i/>
        </w:rPr>
      </w:pPr>
    </w:p>
    <w:p w14:paraId="1322C2BE" w14:textId="0FD07165" w:rsidR="00A24E7E" w:rsidRDefault="00A24E7E" w:rsidP="00441B6F">
      <w:pPr>
        <w:pStyle w:val="Body"/>
        <w:spacing w:after="0"/>
        <w:rPr>
          <w:rFonts w:ascii="Arial" w:hAnsi="Arial" w:cs="Arial"/>
          <w:i/>
        </w:rPr>
      </w:pPr>
      <w:r>
        <w:rPr>
          <w:rFonts w:ascii="Arial" w:hAnsi="Arial" w:cs="Arial"/>
          <w:i/>
        </w:rPr>
        <w:t xml:space="preserve">Keywords: </w:t>
      </w:r>
      <w:r w:rsidR="006737DA" w:rsidRPr="006737DA">
        <w:rPr>
          <w:rFonts w:ascii="Arial" w:hAnsi="Arial" w:cs="Arial"/>
          <w:i/>
        </w:rPr>
        <w:t>Soil stabilization, Gum Arabic, Quarry dust, Expansive soil.</w:t>
      </w:r>
    </w:p>
    <w:p w14:paraId="5B73E27A" w14:textId="77777777" w:rsidR="00316BA5" w:rsidRDefault="00316BA5" w:rsidP="00441B6F">
      <w:pPr>
        <w:pStyle w:val="Body"/>
        <w:spacing w:after="0"/>
        <w:rPr>
          <w:rFonts w:ascii="Arial" w:hAnsi="Arial" w:cs="Arial"/>
          <w:i/>
        </w:rPr>
      </w:pPr>
    </w:p>
    <w:p w14:paraId="4A232D06" w14:textId="73EA735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2831D97" w14:textId="77777777" w:rsidR="00790ADA" w:rsidRPr="00FB3A86" w:rsidRDefault="00790ADA" w:rsidP="00441B6F">
      <w:pPr>
        <w:pStyle w:val="AbstHead"/>
        <w:spacing w:after="0"/>
        <w:jc w:val="both"/>
        <w:rPr>
          <w:rFonts w:ascii="Arial" w:hAnsi="Arial" w:cs="Arial"/>
        </w:rPr>
      </w:pPr>
    </w:p>
    <w:p w14:paraId="5979A9CF" w14:textId="77777777" w:rsidR="00EC143E" w:rsidRPr="00CF27F9" w:rsidRDefault="007E7400" w:rsidP="007E7400">
      <w:pPr>
        <w:jc w:val="both"/>
        <w:rPr>
          <w:rFonts w:ascii="Arial" w:hAnsi="Arial" w:cs="Arial"/>
        </w:rPr>
      </w:pPr>
      <w:r w:rsidRPr="00CF27F9">
        <w:rPr>
          <w:rFonts w:ascii="Arial" w:hAnsi="Arial" w:cs="Arial"/>
        </w:rPr>
        <w:t>The performance and longevity of civil engineering infrastructure, especially highway pavements and subgrades, are seriously threatened by expansive soils' substantial volume fluctuations in response to variations in moisture content (</w:t>
      </w:r>
      <w:proofErr w:type="spellStart"/>
      <w:r w:rsidRPr="00CF27F9">
        <w:rPr>
          <w:rFonts w:ascii="Arial" w:hAnsi="Arial" w:cs="Arial"/>
        </w:rPr>
        <w:t>Almuaythir</w:t>
      </w:r>
      <w:proofErr w:type="spellEnd"/>
      <w:r w:rsidRPr="00CF27F9">
        <w:rPr>
          <w:rFonts w:ascii="Arial" w:hAnsi="Arial" w:cs="Arial"/>
        </w:rPr>
        <w:t xml:space="preserve"> et al., 2024). Pavement heaving, cracking, differential settlement, and ultimately structural failure result from these soils, which are usually rich in active clay minerals like montmorillonite, swelling during wet conditions and shrinking during dry ones (Awang et al., 2021; Ishak et al., 2021; Wahab et </w:t>
      </w:r>
      <w:r w:rsidRPr="00CF27F9">
        <w:rPr>
          <w:rFonts w:ascii="Arial" w:hAnsi="Arial" w:cs="Arial"/>
        </w:rPr>
        <w:lastRenderedPageBreak/>
        <w:t xml:space="preserve">al., 2022; </w:t>
      </w:r>
      <w:proofErr w:type="spellStart"/>
      <w:r w:rsidRPr="00CF27F9">
        <w:rPr>
          <w:rFonts w:ascii="Arial" w:hAnsi="Arial" w:cs="Arial"/>
        </w:rPr>
        <w:t>Zaini</w:t>
      </w:r>
      <w:proofErr w:type="spellEnd"/>
      <w:r w:rsidRPr="00CF27F9">
        <w:rPr>
          <w:rFonts w:ascii="Arial" w:hAnsi="Arial" w:cs="Arial"/>
        </w:rPr>
        <w:t xml:space="preserve"> &amp; Hassan, 2023a, 2023b). These detrimental impacts are made worse in areas that experience cyclical wetting and drying, such as tropical and semi-arid conditions. This leads to higher maintenance costs and worse road safety (Venkateshwara &amp; Satyanarayana, 2024; Zhen et al., 2022).</w:t>
      </w:r>
      <w:r w:rsidR="00EC143E" w:rsidRPr="00CF27F9">
        <w:rPr>
          <w:rFonts w:ascii="Arial" w:hAnsi="Arial" w:cs="Arial"/>
        </w:rPr>
        <w:t xml:space="preserve"> </w:t>
      </w:r>
      <w:r w:rsidRPr="00CF27F9">
        <w:rPr>
          <w:rFonts w:ascii="Arial" w:hAnsi="Arial" w:cs="Arial"/>
        </w:rPr>
        <w:t>Because of their high compressibility, limited bearing capacity, and loss of shear strength under moisture changes, expansive soils are typically not appropriate for direct engineering applications in their natural form (</w:t>
      </w:r>
      <w:proofErr w:type="spellStart"/>
      <w:r w:rsidRPr="00CF27F9">
        <w:rPr>
          <w:rFonts w:ascii="Arial" w:hAnsi="Arial" w:cs="Arial"/>
        </w:rPr>
        <w:t>Ikeagwuani</w:t>
      </w:r>
      <w:proofErr w:type="spellEnd"/>
      <w:r w:rsidRPr="00CF27F9">
        <w:rPr>
          <w:rFonts w:ascii="Arial" w:hAnsi="Arial" w:cs="Arial"/>
        </w:rPr>
        <w:t xml:space="preserve"> &amp; </w:t>
      </w:r>
      <w:proofErr w:type="spellStart"/>
      <w:r w:rsidRPr="00CF27F9">
        <w:rPr>
          <w:rFonts w:ascii="Arial" w:hAnsi="Arial" w:cs="Arial"/>
        </w:rPr>
        <w:t>Nwonu</w:t>
      </w:r>
      <w:proofErr w:type="spellEnd"/>
      <w:r w:rsidRPr="00CF27F9">
        <w:rPr>
          <w:rFonts w:ascii="Arial" w:hAnsi="Arial" w:cs="Arial"/>
        </w:rPr>
        <w:t xml:space="preserve">, 2019; </w:t>
      </w:r>
      <w:proofErr w:type="spellStart"/>
      <w:r w:rsidRPr="00CF27F9">
        <w:rPr>
          <w:rFonts w:ascii="Arial" w:hAnsi="Arial" w:cs="Arial"/>
        </w:rPr>
        <w:t>Puppala</w:t>
      </w:r>
      <w:proofErr w:type="spellEnd"/>
      <w:r w:rsidRPr="00CF27F9">
        <w:rPr>
          <w:rFonts w:ascii="Arial" w:hAnsi="Arial" w:cs="Arial"/>
        </w:rPr>
        <w:t xml:space="preserve">, 2021). Slope instability and subgrade deterioration are accelerated by repeated wetting-drying cycles that increase erosion and crack propagation (Zhen et al., 2022). </w:t>
      </w:r>
    </w:p>
    <w:p w14:paraId="16846761" w14:textId="2B7460AA" w:rsidR="007E7400" w:rsidRPr="00CF27F9" w:rsidRDefault="007E7400" w:rsidP="007E7400">
      <w:pPr>
        <w:jc w:val="both"/>
        <w:rPr>
          <w:rFonts w:ascii="Arial" w:hAnsi="Arial" w:cs="Arial"/>
        </w:rPr>
      </w:pPr>
      <w:r w:rsidRPr="00CF27F9">
        <w:rPr>
          <w:rFonts w:ascii="Arial" w:hAnsi="Arial" w:cs="Arial"/>
        </w:rPr>
        <w:t>Therefore, in order to improve the load-bearing capacity, volumetric stability, and long-term performance of expansive soils in highway construction, effective stabilizing measures are crucial. Through cation exchange and pozzolanic reactions, which decrease flexibility and enhance strength properties, conventional stabilizing techniques—most notably lime and cement treatment—have been extensively used to lessen the unfavorable behavior of expansive soils (Venkateshwara &amp; Satyanarayana, 2024). These stabilizers are being questioned more and more for their high carbon footprint, energy-intensive production methods, and growing material costs despite their technical efficacy (</w:t>
      </w:r>
      <w:proofErr w:type="spellStart"/>
      <w:r w:rsidRPr="00CF27F9">
        <w:rPr>
          <w:rFonts w:ascii="Arial" w:hAnsi="Arial" w:cs="Arial"/>
        </w:rPr>
        <w:t>Bian</w:t>
      </w:r>
      <w:proofErr w:type="spellEnd"/>
      <w:r w:rsidRPr="00CF27F9">
        <w:rPr>
          <w:rFonts w:ascii="Arial" w:hAnsi="Arial" w:cs="Arial"/>
        </w:rPr>
        <w:t xml:space="preserve"> et al., 2024; Zhao et al., 2021; </w:t>
      </w:r>
      <w:proofErr w:type="spellStart"/>
      <w:r w:rsidRPr="00CF27F9">
        <w:rPr>
          <w:rFonts w:ascii="Arial" w:hAnsi="Arial" w:cs="Arial"/>
        </w:rPr>
        <w:t>Zaini</w:t>
      </w:r>
      <w:proofErr w:type="spellEnd"/>
      <w:r w:rsidRPr="00CF27F9">
        <w:rPr>
          <w:rFonts w:ascii="Arial" w:hAnsi="Arial" w:cs="Arial"/>
        </w:rPr>
        <w:t xml:space="preserve"> &amp; Hassan, 2023c; </w:t>
      </w:r>
      <w:proofErr w:type="spellStart"/>
      <w:r w:rsidRPr="00CF27F9">
        <w:rPr>
          <w:rFonts w:ascii="Arial" w:hAnsi="Arial" w:cs="Arial"/>
        </w:rPr>
        <w:t>Zolkepli</w:t>
      </w:r>
      <w:proofErr w:type="spellEnd"/>
      <w:r w:rsidRPr="00CF27F9">
        <w:rPr>
          <w:rFonts w:ascii="Arial" w:hAnsi="Arial" w:cs="Arial"/>
        </w:rPr>
        <w:t xml:space="preserve"> et al., 2019). </w:t>
      </w:r>
    </w:p>
    <w:p w14:paraId="5AAC6EA3" w14:textId="0764C598" w:rsidR="007E7400" w:rsidRPr="00CF27F9" w:rsidRDefault="007E7400" w:rsidP="007E7400">
      <w:pPr>
        <w:jc w:val="both"/>
        <w:rPr>
          <w:rFonts w:ascii="Arial" w:hAnsi="Arial" w:cs="Arial"/>
        </w:rPr>
      </w:pPr>
      <w:r w:rsidRPr="00CF27F9">
        <w:rPr>
          <w:rFonts w:ascii="Arial" w:hAnsi="Arial" w:cs="Arial"/>
        </w:rPr>
        <w:t>Additionally, long-term field studies have shown that, especially under repeated environmental loads, lime-stabilized sections may not be as resistant to cracking as other reinforcement techniques as geosynthetics (</w:t>
      </w:r>
      <w:proofErr w:type="spellStart"/>
      <w:r w:rsidRPr="00CF27F9">
        <w:rPr>
          <w:rFonts w:ascii="Arial" w:hAnsi="Arial" w:cs="Arial"/>
        </w:rPr>
        <w:t>Roodi</w:t>
      </w:r>
      <w:proofErr w:type="spellEnd"/>
      <w:r w:rsidRPr="00CF27F9">
        <w:rPr>
          <w:rFonts w:ascii="Arial" w:hAnsi="Arial" w:cs="Arial"/>
        </w:rPr>
        <w:t xml:space="preserve"> &amp; </w:t>
      </w:r>
      <w:proofErr w:type="spellStart"/>
      <w:r w:rsidRPr="00CF27F9">
        <w:rPr>
          <w:rFonts w:ascii="Arial" w:hAnsi="Arial" w:cs="Arial"/>
        </w:rPr>
        <w:t>Zornberg</w:t>
      </w:r>
      <w:proofErr w:type="spellEnd"/>
      <w:r w:rsidRPr="00CF27F9">
        <w:rPr>
          <w:rFonts w:ascii="Arial" w:hAnsi="Arial" w:cs="Arial"/>
        </w:rPr>
        <w:t xml:space="preserve">, 2020). Recent research has moved toward environmentally benign and sustainable soil stabilizing options in response to these constraints. When added to expansive soils, quarry dust—a waste byproduct of stone crushing operations—has drawn interest due to its potential to increase soil gradation, decrease plasticity, and improve strength metrics (Zada et al., 2023). In addition to enhancing geotechnical performance, its application promotes environmental sustainability and waste management. The binding and cementitious qualities of Gum Arabic, a naturally occurring biodegradable polymer generated from Acacia trees, have also been studied for use in soil stabilization applications (Prasad et al., 2022; </w:t>
      </w:r>
      <w:proofErr w:type="spellStart"/>
      <w:r w:rsidRPr="00CF27F9">
        <w:rPr>
          <w:rFonts w:ascii="Arial" w:hAnsi="Arial" w:cs="Arial"/>
        </w:rPr>
        <w:t>Mudgil</w:t>
      </w:r>
      <w:proofErr w:type="spellEnd"/>
      <w:r w:rsidRPr="00CF27F9">
        <w:rPr>
          <w:rFonts w:ascii="Arial" w:hAnsi="Arial" w:cs="Arial"/>
        </w:rPr>
        <w:t xml:space="preserve"> &amp; </w:t>
      </w:r>
      <w:proofErr w:type="spellStart"/>
      <w:r w:rsidRPr="00CF27F9">
        <w:rPr>
          <w:rFonts w:ascii="Arial" w:hAnsi="Arial" w:cs="Arial"/>
        </w:rPr>
        <w:t>Mudgil</w:t>
      </w:r>
      <w:proofErr w:type="spellEnd"/>
      <w:r w:rsidRPr="00CF27F9">
        <w:rPr>
          <w:rFonts w:ascii="Arial" w:hAnsi="Arial" w:cs="Arial"/>
        </w:rPr>
        <w:t xml:space="preserve">, 2024).Even at comparatively modest dosages, studies have shown that Gum Arabic can improve strength behavior, decrease permeability, and increase soil cohesiveness in both drenched and </w:t>
      </w:r>
      <w:proofErr w:type="spellStart"/>
      <w:r w:rsidRPr="00CF27F9">
        <w:rPr>
          <w:rFonts w:ascii="Arial" w:hAnsi="Arial" w:cs="Arial"/>
        </w:rPr>
        <w:t>unsoaked</w:t>
      </w:r>
      <w:proofErr w:type="spellEnd"/>
      <w:r w:rsidRPr="00CF27F9">
        <w:rPr>
          <w:rFonts w:ascii="Arial" w:hAnsi="Arial" w:cs="Arial"/>
        </w:rPr>
        <w:t xml:space="preserve"> circumstances (</w:t>
      </w:r>
      <w:proofErr w:type="spellStart"/>
      <w:r w:rsidRPr="00CF27F9">
        <w:rPr>
          <w:rFonts w:ascii="Arial" w:hAnsi="Arial" w:cs="Arial"/>
        </w:rPr>
        <w:t>Ajagbe</w:t>
      </w:r>
      <w:proofErr w:type="spellEnd"/>
      <w:r w:rsidRPr="00CF27F9">
        <w:rPr>
          <w:rFonts w:ascii="Arial" w:hAnsi="Arial" w:cs="Arial"/>
        </w:rPr>
        <w:t xml:space="preserve"> et al., 2024).Gum Arabic offers a viable sustainable alternative to traditional chemical stabilizers because it is non-toxic and renewable, especially in areas with a high concentration of</w:t>
      </w:r>
      <w:r w:rsidR="00DB0D48" w:rsidRPr="00CF27F9">
        <w:rPr>
          <w:rFonts w:ascii="Arial" w:hAnsi="Arial" w:cs="Arial"/>
        </w:rPr>
        <w:t xml:space="preserve"> Acacia species (</w:t>
      </w:r>
      <w:proofErr w:type="spellStart"/>
      <w:r w:rsidR="00DB0D48" w:rsidRPr="00CF27F9">
        <w:rPr>
          <w:rFonts w:ascii="Arial" w:hAnsi="Arial" w:cs="Arial"/>
        </w:rPr>
        <w:t>Aloqbi</w:t>
      </w:r>
      <w:proofErr w:type="spellEnd"/>
      <w:r w:rsidR="00DB0D48" w:rsidRPr="00CF27F9">
        <w:rPr>
          <w:rFonts w:ascii="Arial" w:hAnsi="Arial" w:cs="Arial"/>
        </w:rPr>
        <w:t xml:space="preserve">, 2020). </w:t>
      </w:r>
      <w:r w:rsidRPr="00CF27F9">
        <w:rPr>
          <w:rFonts w:ascii="Arial" w:hAnsi="Arial" w:cs="Arial"/>
        </w:rPr>
        <w:t>Despite these developments, research to date has mostly concentrated on the specific application of biopolymers like Gum Arabic or quarry dust.</w:t>
      </w:r>
    </w:p>
    <w:p w14:paraId="32EAD8D6" w14:textId="77777777" w:rsidR="00CF27F9" w:rsidRDefault="007E7400" w:rsidP="007E7400">
      <w:pPr>
        <w:jc w:val="both"/>
        <w:rPr>
          <w:rFonts w:ascii="Arial" w:hAnsi="Arial" w:cs="Arial"/>
        </w:rPr>
      </w:pPr>
      <w:r w:rsidRPr="00CF27F9">
        <w:rPr>
          <w:rFonts w:ascii="Arial" w:hAnsi="Arial" w:cs="Arial"/>
        </w:rPr>
        <w:t>The combined or synergistic effects of quarry dust and gum Arabic on the geotechnical behavior of expansive soils, particularly for highway subgrade applications, are yet largely unexplored. Furthermore, assessing their effectiveness in the context of sustainable pavement construction—taking into account both environmental impact and engineering efficiency—</w:t>
      </w:r>
      <w:r w:rsidR="00CF27F9">
        <w:rPr>
          <w:rFonts w:ascii="Arial" w:hAnsi="Arial" w:cs="Arial"/>
        </w:rPr>
        <w:t>has received little attention.</w:t>
      </w:r>
    </w:p>
    <w:p w14:paraId="7A013031" w14:textId="768D47C8" w:rsidR="007E7400" w:rsidRPr="00CF27F9" w:rsidRDefault="007E7400" w:rsidP="007E7400">
      <w:pPr>
        <w:jc w:val="both"/>
        <w:rPr>
          <w:rFonts w:ascii="Arial" w:hAnsi="Arial" w:cs="Arial"/>
        </w:rPr>
      </w:pPr>
      <w:r w:rsidRPr="00CF27F9">
        <w:rPr>
          <w:rFonts w:ascii="Arial" w:hAnsi="Arial" w:cs="Arial"/>
        </w:rPr>
        <w:t>This study examines the stabilization of expansive soil utilizing quarry dust and gum Arabic as sustainable additives for highway subgrade improvement in light of these gaps. In order to support the creation of economical and ecologically sound soil stabilization techniques for sustainable highway infrastructure, the study attempts to assess their combined effects on important geotechnical characteristics, such as plasticity, strength, and moisture sensitivity.</w:t>
      </w:r>
    </w:p>
    <w:p w14:paraId="17E652BF" w14:textId="77777777" w:rsidR="007E7400" w:rsidRPr="007E7400" w:rsidRDefault="007E7400" w:rsidP="007E7400">
      <w:pPr>
        <w:jc w:val="both"/>
        <w:rPr>
          <w:rFonts w:ascii="Times New Roman" w:hAnsi="Times New Roman"/>
          <w:sz w:val="24"/>
          <w:szCs w:val="24"/>
        </w:rPr>
      </w:pPr>
    </w:p>
    <w:p w14:paraId="7E7F5327" w14:textId="2B53651B"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D1663B" w14:textId="37551AD3" w:rsidR="009D2D68" w:rsidRPr="009D2D68" w:rsidRDefault="009D2D68" w:rsidP="009D2D68">
      <w:pPr>
        <w:pStyle w:val="Body"/>
        <w:spacing w:after="0"/>
        <w:rPr>
          <w:rFonts w:ascii="Arial" w:hAnsi="Arial" w:cs="Arial"/>
          <w:b/>
          <w:bCs/>
        </w:rPr>
      </w:pPr>
      <w:r w:rsidRPr="00C30A0F">
        <w:rPr>
          <w:rFonts w:ascii="Arial" w:hAnsi="Arial" w:cs="Arial"/>
          <w:b/>
          <w:caps/>
          <w:sz w:val="22"/>
        </w:rPr>
        <w:t xml:space="preserve">2.1 </w:t>
      </w:r>
      <w:r>
        <w:rPr>
          <w:rFonts w:ascii="Arial" w:hAnsi="Arial" w:cs="Arial"/>
          <w:b/>
          <w:sz w:val="22"/>
        </w:rPr>
        <w:t xml:space="preserve">Material Selection </w:t>
      </w:r>
    </w:p>
    <w:p w14:paraId="48CF5D16" w14:textId="1EA935BF" w:rsidR="009D2D68" w:rsidRPr="00CF27F9" w:rsidRDefault="009D2D68" w:rsidP="009D2D68">
      <w:pPr>
        <w:pStyle w:val="Body"/>
        <w:ind w:left="1440" w:hanging="720"/>
        <w:rPr>
          <w:rFonts w:ascii="Arial" w:hAnsi="Arial" w:cs="Arial"/>
        </w:rPr>
      </w:pPr>
      <w:proofErr w:type="spellStart"/>
      <w:r w:rsidRPr="009D2D68">
        <w:rPr>
          <w:rFonts w:ascii="Arial" w:hAnsi="Arial" w:cs="Arial"/>
          <w:b/>
          <w:bCs/>
        </w:rPr>
        <w:t>i</w:t>
      </w:r>
      <w:proofErr w:type="spellEnd"/>
      <w:r w:rsidRPr="009D2D68">
        <w:rPr>
          <w:rFonts w:ascii="Arial" w:hAnsi="Arial" w:cs="Arial"/>
          <w:b/>
          <w:bCs/>
        </w:rPr>
        <w:t>.</w:t>
      </w:r>
      <w:r w:rsidRPr="009D2D68">
        <w:rPr>
          <w:rFonts w:ascii="Arial" w:hAnsi="Arial" w:cs="Arial"/>
          <w:b/>
          <w:bCs/>
        </w:rPr>
        <w:tab/>
      </w:r>
      <w:r w:rsidRPr="00CF27F9">
        <w:rPr>
          <w:rFonts w:ascii="Arial" w:hAnsi="Arial" w:cs="Arial"/>
          <w:b/>
          <w:bCs/>
        </w:rPr>
        <w:t xml:space="preserve">Soil Sample: </w:t>
      </w:r>
      <w:r w:rsidR="00247A36" w:rsidRPr="00CF27F9">
        <w:rPr>
          <w:rFonts w:ascii="Arial" w:hAnsi="Arial" w:cs="Arial"/>
        </w:rPr>
        <w:t xml:space="preserve">The soil sample was collected in a site </w:t>
      </w:r>
      <w:r w:rsidR="00D7404D" w:rsidRPr="00CF27F9">
        <w:rPr>
          <w:rFonts w:ascii="Arial" w:hAnsi="Arial" w:cs="Arial"/>
        </w:rPr>
        <w:t xml:space="preserve">situated at </w:t>
      </w:r>
      <w:r w:rsidR="00D7404D" w:rsidRPr="00CF27F9">
        <w:rPr>
          <w:rStyle w:val="Strong"/>
          <w:rFonts w:ascii="Arial" w:hAnsi="Arial" w:cs="Arial"/>
        </w:rPr>
        <w:t>7°45′33″ N, 5°23′36″ E</w:t>
      </w:r>
      <w:r w:rsidR="00D7404D" w:rsidRPr="00CF27F9">
        <w:rPr>
          <w:rFonts w:ascii="Arial" w:hAnsi="Arial" w:cs="Arial"/>
        </w:rPr>
        <w:t xml:space="preserve">, which corresponds to a location within </w:t>
      </w:r>
      <w:r w:rsidR="00D7404D" w:rsidRPr="00CF27F9">
        <w:rPr>
          <w:rStyle w:val="Strong"/>
          <w:rFonts w:ascii="Arial" w:hAnsi="Arial" w:cs="Arial"/>
          <w:b w:val="0"/>
        </w:rPr>
        <w:t>Ire-Ekiti in Ikole Local Government Area, Ekiti State, Nigeria</w:t>
      </w:r>
      <w:r w:rsidR="00D7404D" w:rsidRPr="00CF27F9">
        <w:rPr>
          <w:rFonts w:ascii="Arial" w:hAnsi="Arial" w:cs="Arial"/>
        </w:rPr>
        <w:t xml:space="preserve">, in the </w:t>
      </w:r>
      <w:r w:rsidR="00247A36" w:rsidRPr="00CF27F9">
        <w:rPr>
          <w:rFonts w:ascii="Arial" w:hAnsi="Arial" w:cs="Arial"/>
        </w:rPr>
        <w:t>southwest region of Nigeria</w:t>
      </w:r>
      <w:r w:rsidR="00D7404D" w:rsidRPr="00CF27F9">
        <w:rPr>
          <w:rFonts w:ascii="Arial" w:hAnsi="Arial" w:cs="Arial"/>
        </w:rPr>
        <w:t>.</w:t>
      </w:r>
      <w:r w:rsidRPr="00CF27F9">
        <w:rPr>
          <w:rFonts w:ascii="Arial" w:hAnsi="Arial" w:cs="Arial"/>
        </w:rPr>
        <w:t xml:space="preserve"> The top soils were removed to a depth of 0.5 m before the soil samples </w:t>
      </w:r>
      <w:r w:rsidRPr="00CF27F9">
        <w:rPr>
          <w:rFonts w:ascii="Arial" w:hAnsi="Arial" w:cs="Arial"/>
        </w:rPr>
        <w:lastRenderedPageBreak/>
        <w:t>were taken, sealed in plastic bags and put in sack to avoid loss of moisture during transportation. The soil samples were allowed to dry before pulverizing to obtain particles passing sieve BS No. 4.75 mm.</w:t>
      </w:r>
    </w:p>
    <w:p w14:paraId="10DA1286" w14:textId="77777777" w:rsidR="009D2D68" w:rsidRPr="00CF27F9" w:rsidRDefault="009D2D68" w:rsidP="009D2D68">
      <w:pPr>
        <w:pStyle w:val="Body"/>
        <w:ind w:left="1440" w:hanging="720"/>
        <w:rPr>
          <w:rFonts w:ascii="Arial" w:hAnsi="Arial" w:cs="Arial"/>
        </w:rPr>
      </w:pPr>
      <w:r w:rsidRPr="00CF27F9">
        <w:rPr>
          <w:rFonts w:ascii="Arial" w:hAnsi="Arial" w:cs="Arial"/>
          <w:b/>
          <w:bCs/>
        </w:rPr>
        <w:t>ii.</w:t>
      </w:r>
      <w:r w:rsidRPr="00CF27F9">
        <w:rPr>
          <w:rFonts w:ascii="Arial" w:hAnsi="Arial" w:cs="Arial"/>
          <w:b/>
          <w:bCs/>
        </w:rPr>
        <w:tab/>
        <w:t xml:space="preserve">Quarry Dust: </w:t>
      </w:r>
      <w:r w:rsidRPr="00CF27F9">
        <w:rPr>
          <w:rFonts w:ascii="Arial" w:hAnsi="Arial" w:cs="Arial"/>
        </w:rPr>
        <w:t xml:space="preserve">Quarry dust, which was sourced locally, was used as one of the stabilizing agents. The dust was finely ground to pass through a 2mm sieve. </w:t>
      </w:r>
    </w:p>
    <w:p w14:paraId="703E4B8C" w14:textId="50184BB4" w:rsidR="009D2D68" w:rsidRPr="00CF27F9" w:rsidRDefault="009D2D68" w:rsidP="009D2D68">
      <w:pPr>
        <w:pStyle w:val="Body"/>
        <w:ind w:left="1440" w:hanging="720"/>
        <w:rPr>
          <w:rFonts w:ascii="Arial" w:hAnsi="Arial" w:cs="Arial"/>
        </w:rPr>
      </w:pPr>
      <w:r w:rsidRPr="00CF27F9">
        <w:rPr>
          <w:rFonts w:ascii="Arial" w:hAnsi="Arial" w:cs="Arial"/>
          <w:b/>
          <w:bCs/>
        </w:rPr>
        <w:t>iii.</w:t>
      </w:r>
      <w:r w:rsidRPr="00CF27F9">
        <w:rPr>
          <w:rFonts w:ascii="Arial" w:hAnsi="Arial" w:cs="Arial"/>
        </w:rPr>
        <w:tab/>
      </w:r>
      <w:r w:rsidRPr="00CF27F9">
        <w:rPr>
          <w:rFonts w:ascii="Arial" w:hAnsi="Arial" w:cs="Arial"/>
          <w:b/>
          <w:bCs/>
        </w:rPr>
        <w:t xml:space="preserve">Gum Arabic: </w:t>
      </w:r>
      <w:r w:rsidRPr="00CF27F9">
        <w:rPr>
          <w:rFonts w:ascii="Arial" w:hAnsi="Arial" w:cs="Arial"/>
        </w:rPr>
        <w:t xml:space="preserve">The Gum Arabic used in this study was sourced from the Acacia Senegal tree. It was purchased in a powdered form, which was dissolved in water to prepare the required concentrations for soil treatment. </w:t>
      </w:r>
    </w:p>
    <w:p w14:paraId="11E34674" w14:textId="3114AD14" w:rsidR="009D2736" w:rsidRPr="009D2D68" w:rsidRDefault="009D2736" w:rsidP="005C5319">
      <w:pPr>
        <w:pStyle w:val="Body"/>
        <w:ind w:left="1440" w:hanging="720"/>
        <w:jc w:val="center"/>
        <w:rPr>
          <w:rFonts w:ascii="Arial" w:hAnsi="Arial" w:cs="Arial"/>
        </w:rPr>
      </w:pPr>
      <w:r w:rsidRPr="009D2736">
        <w:rPr>
          <w:rFonts w:ascii="Arial" w:hAnsi="Arial" w:cs="Arial"/>
          <w:noProof/>
        </w:rPr>
        <w:drawing>
          <wp:inline distT="0" distB="0" distL="0" distR="0" wp14:anchorId="1779BAC7" wp14:editId="4C064C2D">
            <wp:extent cx="4810254" cy="2520315"/>
            <wp:effectExtent l="0" t="0" r="0" b="0"/>
            <wp:docPr id="1" name="Picture 1" descr="C:\Users\ADEFISOYE\Desktop\sampling 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FISOYE\Desktop\sampling poi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592" cy="2532019"/>
                    </a:xfrm>
                    <a:prstGeom prst="rect">
                      <a:avLst/>
                    </a:prstGeom>
                    <a:noFill/>
                    <a:ln>
                      <a:noFill/>
                    </a:ln>
                  </pic:spPr>
                </pic:pic>
              </a:graphicData>
            </a:graphic>
          </wp:inline>
        </w:drawing>
      </w:r>
    </w:p>
    <w:p w14:paraId="1441F187" w14:textId="46DFD48E" w:rsidR="009D2D68" w:rsidRPr="00DB0D48" w:rsidRDefault="009D2D68" w:rsidP="009D2D68">
      <w:pPr>
        <w:pStyle w:val="Body"/>
        <w:rPr>
          <w:rFonts w:ascii="Arial" w:hAnsi="Arial" w:cs="Arial"/>
          <w:b/>
          <w:bCs/>
        </w:rPr>
      </w:pPr>
      <w:r w:rsidRPr="00C30A0F">
        <w:rPr>
          <w:rFonts w:ascii="Arial" w:hAnsi="Arial" w:cs="Arial"/>
          <w:b/>
          <w:caps/>
          <w:sz w:val="22"/>
        </w:rPr>
        <w:t>2.</w:t>
      </w:r>
      <w:r>
        <w:rPr>
          <w:rFonts w:ascii="Arial" w:hAnsi="Arial" w:cs="Arial"/>
          <w:b/>
          <w:caps/>
          <w:sz w:val="22"/>
        </w:rPr>
        <w:t xml:space="preserve">2 </w:t>
      </w:r>
      <w:r w:rsidRPr="00E06A8E">
        <w:rPr>
          <w:rFonts w:ascii="Arial" w:hAnsi="Arial" w:cs="Arial"/>
          <w:b/>
          <w:sz w:val="22"/>
          <w:szCs w:val="22"/>
        </w:rPr>
        <w:t xml:space="preserve">Mix Proportions </w:t>
      </w:r>
      <w:r w:rsidR="00DB0D48" w:rsidRPr="00E06A8E">
        <w:rPr>
          <w:b/>
          <w:sz w:val="22"/>
          <w:szCs w:val="22"/>
        </w:rPr>
        <w:t>and Sample Preparation</w:t>
      </w:r>
    </w:p>
    <w:p w14:paraId="44C33FA1" w14:textId="77777777" w:rsidR="007B199D" w:rsidRPr="007B199D" w:rsidRDefault="0081103D" w:rsidP="007B199D">
      <w:pPr>
        <w:jc w:val="both"/>
        <w:rPr>
          <w:rFonts w:ascii="Times New Roman" w:hAnsi="Times New Roman"/>
          <w:sz w:val="24"/>
          <w:szCs w:val="24"/>
        </w:rPr>
      </w:pPr>
      <w:r>
        <w:rPr>
          <w:rFonts w:ascii="Arial" w:hAnsi="Arial" w:cs="Arial"/>
        </w:rPr>
        <w:t>S</w:t>
      </w:r>
      <w:r w:rsidR="00A56F40" w:rsidRPr="00A56F40">
        <w:rPr>
          <w:rFonts w:ascii="Arial" w:hAnsi="Arial" w:cs="Arial"/>
        </w:rPr>
        <w:t>oil samples were stabilized using different ratios of Gum Arabic and Quarry Dust</w:t>
      </w:r>
      <w:r w:rsidR="00F72D6C">
        <w:rPr>
          <w:rFonts w:ascii="Arial" w:hAnsi="Arial" w:cs="Arial"/>
        </w:rPr>
        <w:t xml:space="preserve"> in order to </w:t>
      </w:r>
      <w:r w:rsidR="00F72D6C" w:rsidRPr="00A56F40">
        <w:rPr>
          <w:rFonts w:ascii="Arial" w:hAnsi="Arial" w:cs="Arial"/>
        </w:rPr>
        <w:t xml:space="preserve">assess the impact of these additives on the geotechnical </w:t>
      </w:r>
      <w:r w:rsidR="00F72D6C">
        <w:rPr>
          <w:rFonts w:ascii="Arial" w:hAnsi="Arial" w:cs="Arial"/>
        </w:rPr>
        <w:t>characteristics of the expansive</w:t>
      </w:r>
      <w:r w:rsidR="00F72D6C" w:rsidRPr="00A56F40">
        <w:rPr>
          <w:rFonts w:ascii="Arial" w:hAnsi="Arial" w:cs="Arial"/>
        </w:rPr>
        <w:t xml:space="preserve"> soil</w:t>
      </w:r>
      <w:r w:rsidRPr="00A56F40">
        <w:rPr>
          <w:rFonts w:ascii="Arial" w:hAnsi="Arial" w:cs="Arial"/>
        </w:rPr>
        <w:t>.</w:t>
      </w:r>
      <w:r w:rsidR="00A56F40" w:rsidRPr="00A56F40">
        <w:rPr>
          <w:rFonts w:ascii="Arial" w:hAnsi="Arial" w:cs="Arial"/>
        </w:rPr>
        <w:t xml:space="preserve"> Gum Arabic was applied to t</w:t>
      </w:r>
      <w:r w:rsidR="00F72D6C">
        <w:rPr>
          <w:rFonts w:ascii="Arial" w:hAnsi="Arial" w:cs="Arial"/>
        </w:rPr>
        <w:t xml:space="preserve">he soil at doses of 2%, 4%, 6% </w:t>
      </w:r>
      <w:r w:rsidR="00A56F40" w:rsidRPr="00A56F40">
        <w:rPr>
          <w:rFonts w:ascii="Arial" w:hAnsi="Arial" w:cs="Arial"/>
        </w:rPr>
        <w:t>and 8% by dry weight, and quarry dust was added at repl</w:t>
      </w:r>
      <w:r w:rsidR="00F72D6C">
        <w:rPr>
          <w:rFonts w:ascii="Arial" w:hAnsi="Arial" w:cs="Arial"/>
        </w:rPr>
        <w:t xml:space="preserve">acement levels of 5%, 10%, 15% </w:t>
      </w:r>
      <w:r w:rsidR="00A56F40" w:rsidRPr="00A56F40">
        <w:rPr>
          <w:rFonts w:ascii="Arial" w:hAnsi="Arial" w:cs="Arial"/>
        </w:rPr>
        <w:t>and 20% by dry weight of soil</w:t>
      </w:r>
      <w:r w:rsidR="00A56F40" w:rsidRPr="00F72D6C">
        <w:rPr>
          <w:rFonts w:ascii="Arial" w:hAnsi="Arial" w:cs="Arial"/>
        </w:rPr>
        <w:t xml:space="preserve">. </w:t>
      </w:r>
      <w:r w:rsidR="007B199D" w:rsidRPr="007B199D">
        <w:rPr>
          <w:rFonts w:ascii="Arial" w:hAnsi="Arial" w:cs="Arial"/>
        </w:rPr>
        <w:t>Previous research on biopolymer and quarry dust stabilization guided the dosage selection process, which also extended into untested combinations to evaluate possible synergistic effects.</w:t>
      </w:r>
    </w:p>
    <w:p w14:paraId="14DF2975" w14:textId="6116DA58" w:rsidR="00F72D6C" w:rsidRPr="00F72D6C" w:rsidRDefault="00F72D6C" w:rsidP="0081103D">
      <w:pPr>
        <w:jc w:val="both"/>
        <w:rPr>
          <w:rFonts w:ascii="Arial" w:hAnsi="Arial" w:cs="Arial"/>
        </w:rPr>
      </w:pPr>
    </w:p>
    <w:p w14:paraId="465AC94C" w14:textId="072637A2" w:rsidR="006416FE" w:rsidRDefault="006416FE" w:rsidP="009D2D68">
      <w:pPr>
        <w:pStyle w:val="Body"/>
        <w:rPr>
          <w:rFonts w:ascii="Arial" w:hAnsi="Arial" w:cs="Arial"/>
        </w:rPr>
      </w:pPr>
      <w:r w:rsidRPr="006416FE">
        <w:rPr>
          <w:rFonts w:ascii="Arial" w:hAnsi="Arial" w:cs="Arial"/>
        </w:rPr>
        <w:t>To guarantee a consistent particle size distribution, the soil samples were air-dried, ground, and put through the proper filter before being mixed. Using a computerized balance, the necessar</w:t>
      </w:r>
      <w:r w:rsidR="00DD2A60">
        <w:rPr>
          <w:rFonts w:ascii="Arial" w:hAnsi="Arial" w:cs="Arial"/>
        </w:rPr>
        <w:t xml:space="preserve">y amounts of dirt, quarry dust </w:t>
      </w:r>
      <w:r w:rsidRPr="006416FE">
        <w:rPr>
          <w:rFonts w:ascii="Arial" w:hAnsi="Arial" w:cs="Arial"/>
        </w:rPr>
        <w:t>and gum Arabic were precisely weighed. Before adding Gum Arabic, a homogenous mixture of soil and quarry dust was first achieved by dry mixing. To improve its dispersion within the soil matrix, gum Arabic was applied in a regulate</w:t>
      </w:r>
      <w:r w:rsidR="004D00ED">
        <w:rPr>
          <w:rFonts w:ascii="Arial" w:hAnsi="Arial" w:cs="Arial"/>
        </w:rPr>
        <w:t>d manner in solution form. D</w:t>
      </w:r>
      <w:r w:rsidRPr="006416FE">
        <w:rPr>
          <w:rFonts w:ascii="Arial" w:hAnsi="Arial" w:cs="Arial"/>
        </w:rPr>
        <w:t>istilled water was gradually added to reach the required moisture content, guaranteeing compliance with the specifications of the corresponding geotechnical tests.</w:t>
      </w:r>
      <w:r>
        <w:rPr>
          <w:rFonts w:ascii="Arial" w:hAnsi="Arial" w:cs="Arial"/>
        </w:rPr>
        <w:t xml:space="preserve"> </w:t>
      </w:r>
      <w:r w:rsidRPr="006416FE">
        <w:rPr>
          <w:rFonts w:ascii="Arial" w:hAnsi="Arial" w:cs="Arial"/>
        </w:rPr>
        <w:t>The cohesive nature of Gum Arabic and the fine texture of Quarry Dust presented significant obstacles during sample preparation, especially in ensuring uniform mixing. Furthermore, it was challenging to maintain a constant moisture content since Gum Arabic had a propensity to absorb water quickly, which resulted in localized agglomeration. Long-term mixing, gradual water addition, and frequent turning of the soil mixture were used to overcome these difficulties until workable consistency and visual uniformity were attained.</w:t>
      </w:r>
      <w:r>
        <w:rPr>
          <w:rFonts w:ascii="Arial" w:hAnsi="Arial" w:cs="Arial"/>
        </w:rPr>
        <w:t xml:space="preserve"> </w:t>
      </w:r>
      <w:r w:rsidRPr="006416FE">
        <w:rPr>
          <w:rFonts w:ascii="Arial" w:hAnsi="Arial" w:cs="Arial"/>
        </w:rPr>
        <w:lastRenderedPageBreak/>
        <w:t>To evaluate the short-term effects of stabilization, the produced specimens w</w:t>
      </w:r>
      <w:r w:rsidR="00DC576B">
        <w:rPr>
          <w:rFonts w:ascii="Arial" w:hAnsi="Arial" w:cs="Arial"/>
        </w:rPr>
        <w:t>ere cured for 7 and 14</w:t>
      </w:r>
      <w:r w:rsidRPr="006416FE">
        <w:rPr>
          <w:rFonts w:ascii="Arial" w:hAnsi="Arial" w:cs="Arial"/>
        </w:rPr>
        <w:t xml:space="preserve"> days after being compacted in compliance with pertinent standard protocols. Specimens were sealed to avoid evaporation and guarantee consistent hydration, and curing was carried out under carefully monitored laboratory settings to </w:t>
      </w:r>
      <w:r w:rsidR="00DC576B">
        <w:rPr>
          <w:rFonts w:ascii="Arial" w:hAnsi="Arial" w:cs="Arial"/>
        </w:rPr>
        <w:t>reduce moisture loss. These curing</w:t>
      </w:r>
      <w:r w:rsidRPr="006416FE">
        <w:rPr>
          <w:rFonts w:ascii="Arial" w:hAnsi="Arial" w:cs="Arial"/>
        </w:rPr>
        <w:t xml:space="preserve"> times were chosen in order to assess how strength and stabilizing effects changed over time.</w:t>
      </w:r>
      <w:r>
        <w:rPr>
          <w:rFonts w:ascii="Arial" w:hAnsi="Arial" w:cs="Arial"/>
        </w:rPr>
        <w:t xml:space="preserve"> </w:t>
      </w:r>
    </w:p>
    <w:p w14:paraId="1FF4EF35" w14:textId="77777777" w:rsidR="007B199D" w:rsidRDefault="009D2D68" w:rsidP="009D2D68">
      <w:pPr>
        <w:pStyle w:val="Body"/>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7B199D" w:rsidRPr="00E06A8E">
        <w:rPr>
          <w:rFonts w:ascii="Arial" w:hAnsi="Arial" w:cs="Arial"/>
          <w:b/>
          <w:sz w:val="22"/>
          <w:szCs w:val="22"/>
        </w:rPr>
        <w:t>Laboratory Testing Program</w:t>
      </w:r>
      <w:r w:rsidR="007B199D" w:rsidRPr="009D2D68">
        <w:rPr>
          <w:rFonts w:ascii="Arial" w:hAnsi="Arial" w:cs="Arial"/>
        </w:rPr>
        <w:t xml:space="preserve"> </w:t>
      </w:r>
    </w:p>
    <w:p w14:paraId="7145E512" w14:textId="77777777" w:rsidR="007B199D" w:rsidRPr="007B199D" w:rsidRDefault="007B199D" w:rsidP="007B199D">
      <w:pPr>
        <w:jc w:val="both"/>
        <w:rPr>
          <w:rFonts w:ascii="Arial" w:hAnsi="Arial" w:cs="Arial"/>
        </w:rPr>
      </w:pPr>
      <w:r w:rsidRPr="007B199D">
        <w:rPr>
          <w:rFonts w:ascii="Arial" w:hAnsi="Arial" w:cs="Arial"/>
        </w:rPr>
        <w:t>In compliance with pertinent standards, laboratory tests for natural moisture content, specific gravity, particle size distribution, Atterberg limits, compaction, CBR, and direct shear were carried out.</w:t>
      </w:r>
    </w:p>
    <w:p w14:paraId="732C633A" w14:textId="77777777" w:rsidR="007B199D" w:rsidRPr="007B199D" w:rsidRDefault="007B199D" w:rsidP="007B199D">
      <w:pPr>
        <w:pStyle w:val="NormalWeb"/>
        <w:numPr>
          <w:ilvl w:val="0"/>
          <w:numId w:val="32"/>
        </w:numPr>
        <w:spacing w:before="0" w:beforeAutospacing="0" w:after="0" w:afterAutospacing="0"/>
        <w:jc w:val="both"/>
        <w:rPr>
          <w:rFonts w:ascii="Arial" w:hAnsi="Arial" w:cs="Arial"/>
          <w:sz w:val="20"/>
          <w:szCs w:val="20"/>
        </w:rPr>
      </w:pPr>
      <w:r w:rsidRPr="007B199D">
        <w:rPr>
          <w:rStyle w:val="Strong"/>
          <w:rFonts w:ascii="Arial" w:hAnsi="Arial" w:cs="Arial"/>
          <w:sz w:val="20"/>
          <w:szCs w:val="20"/>
        </w:rPr>
        <w:t>BS 1377 (1990)</w:t>
      </w:r>
      <w:r w:rsidRPr="007B199D">
        <w:rPr>
          <w:rFonts w:ascii="Arial" w:hAnsi="Arial" w:cs="Arial"/>
          <w:sz w:val="20"/>
          <w:szCs w:val="20"/>
        </w:rPr>
        <w:t xml:space="preserve"> – Soil testing methods</w:t>
      </w:r>
    </w:p>
    <w:p w14:paraId="08E7A667" w14:textId="557E7ED0" w:rsidR="007B199D" w:rsidRPr="00027AAA" w:rsidRDefault="00027AAA" w:rsidP="00DE5759">
      <w:pPr>
        <w:pStyle w:val="Body"/>
        <w:numPr>
          <w:ilvl w:val="0"/>
          <w:numId w:val="32"/>
        </w:numPr>
        <w:spacing w:after="0"/>
        <w:rPr>
          <w:rFonts w:ascii="Arial" w:hAnsi="Arial" w:cs="Arial"/>
        </w:rPr>
      </w:pPr>
      <w:r w:rsidRPr="00027AAA">
        <w:rPr>
          <w:rFonts w:ascii="Arial" w:hAnsi="Arial" w:cs="Arial"/>
          <w:b/>
        </w:rPr>
        <w:t>BS 1924 (1990)</w:t>
      </w:r>
      <w:r w:rsidRPr="007B199D">
        <w:rPr>
          <w:rFonts w:ascii="Arial" w:hAnsi="Arial" w:cs="Arial"/>
        </w:rPr>
        <w:t xml:space="preserve"> –</w:t>
      </w:r>
      <w:r>
        <w:rPr>
          <w:rFonts w:ascii="Arial" w:hAnsi="Arial" w:cs="Arial"/>
        </w:rPr>
        <w:t xml:space="preserve"> S</w:t>
      </w:r>
      <w:r w:rsidRPr="009D2D68">
        <w:rPr>
          <w:rFonts w:ascii="Arial" w:hAnsi="Arial" w:cs="Arial"/>
        </w:rPr>
        <w:t xml:space="preserve">tabilized soils and Test1 (A) BS </w:t>
      </w:r>
      <w:r w:rsidRPr="00027AAA">
        <w:rPr>
          <w:rFonts w:ascii="Arial" w:hAnsi="Arial" w:cs="Arial"/>
          <w:b/>
        </w:rPr>
        <w:t>1377 (1990)</w:t>
      </w:r>
      <w:r>
        <w:rPr>
          <w:rFonts w:ascii="Arial" w:hAnsi="Arial" w:cs="Arial"/>
          <w:b/>
        </w:rPr>
        <w:t xml:space="preserve"> </w:t>
      </w:r>
      <w:r w:rsidRPr="007B199D">
        <w:rPr>
          <w:rFonts w:ascii="Arial" w:hAnsi="Arial" w:cs="Arial"/>
        </w:rPr>
        <w:t>–</w:t>
      </w:r>
      <w:r>
        <w:rPr>
          <w:rFonts w:ascii="Arial" w:hAnsi="Arial" w:cs="Arial"/>
        </w:rPr>
        <w:t xml:space="preserve"> N</w:t>
      </w:r>
      <w:r w:rsidRPr="009D2D68">
        <w:rPr>
          <w:rFonts w:ascii="Arial" w:hAnsi="Arial" w:cs="Arial"/>
        </w:rPr>
        <w:t xml:space="preserve">atural soil </w:t>
      </w:r>
      <w:r w:rsidRPr="00027AAA">
        <w:rPr>
          <w:rStyle w:val="Strong"/>
          <w:rFonts w:ascii="Arial" w:hAnsi="Arial" w:cs="Arial"/>
        </w:rPr>
        <w:t xml:space="preserve"> </w:t>
      </w:r>
      <w:r w:rsidR="00DE5759">
        <w:rPr>
          <w:rFonts w:ascii="Arial" w:hAnsi="Arial" w:cs="Arial"/>
        </w:rPr>
        <w:t xml:space="preserve">   </w:t>
      </w:r>
      <w:r w:rsidR="00DE5759">
        <w:rPr>
          <w:rFonts w:ascii="Arial" w:hAnsi="Arial" w:cs="Arial"/>
        </w:rPr>
        <w:tab/>
      </w:r>
      <w:r w:rsidR="00DE5759">
        <w:rPr>
          <w:rFonts w:ascii="Arial" w:hAnsi="Arial" w:cs="Arial"/>
        </w:rPr>
        <w:tab/>
        <w:t xml:space="preserve">                 </w:t>
      </w:r>
      <w:r w:rsidR="007B199D" w:rsidRPr="00027AAA">
        <w:rPr>
          <w:rFonts w:ascii="Arial" w:hAnsi="Arial" w:cs="Arial"/>
        </w:rPr>
        <w:t>Atterberg limits</w:t>
      </w:r>
      <w:r w:rsidR="00DE5759">
        <w:rPr>
          <w:rFonts w:ascii="Arial" w:hAnsi="Arial" w:cs="Arial"/>
        </w:rPr>
        <w:t xml:space="preserve"> </w:t>
      </w:r>
      <w:r w:rsidR="00DE5759" w:rsidRPr="009D2D68">
        <w:rPr>
          <w:rFonts w:ascii="Arial" w:hAnsi="Arial" w:cs="Arial"/>
        </w:rPr>
        <w:t>(</w:t>
      </w:r>
      <w:proofErr w:type="spellStart"/>
      <w:r w:rsidR="00DE5759" w:rsidRPr="009D2D68">
        <w:rPr>
          <w:rFonts w:ascii="Arial" w:hAnsi="Arial" w:cs="Arial"/>
        </w:rPr>
        <w:t>Tanyıldızı</w:t>
      </w:r>
      <w:proofErr w:type="spellEnd"/>
      <w:r w:rsidR="00DE5759" w:rsidRPr="009D2D68">
        <w:rPr>
          <w:rFonts w:ascii="Arial" w:hAnsi="Arial" w:cs="Arial"/>
        </w:rPr>
        <w:t xml:space="preserve"> </w:t>
      </w:r>
      <w:r w:rsidR="00DE5759" w:rsidRPr="009D2D68">
        <w:rPr>
          <w:rFonts w:ascii="Arial" w:hAnsi="Arial" w:cs="Arial"/>
          <w:i/>
          <w:iCs/>
        </w:rPr>
        <w:t>et al.,</w:t>
      </w:r>
      <w:r w:rsidR="00DE5759" w:rsidRPr="009D2D68">
        <w:rPr>
          <w:rFonts w:ascii="Arial" w:hAnsi="Arial" w:cs="Arial"/>
        </w:rPr>
        <w:t xml:space="preserve"> 2023).</w:t>
      </w:r>
      <w:r w:rsidR="00DE5759" w:rsidRPr="00027AAA">
        <w:rPr>
          <w:rStyle w:val="Strong"/>
          <w:rFonts w:ascii="Arial" w:hAnsi="Arial" w:cs="Arial"/>
        </w:rPr>
        <w:t>)</w:t>
      </w:r>
    </w:p>
    <w:p w14:paraId="39E77A7C" w14:textId="534D3F34" w:rsidR="007B199D" w:rsidRPr="007B199D" w:rsidRDefault="00DE5759" w:rsidP="00027AAA">
      <w:pPr>
        <w:pStyle w:val="NormalWeb"/>
        <w:numPr>
          <w:ilvl w:val="0"/>
          <w:numId w:val="32"/>
        </w:numPr>
        <w:spacing w:before="0" w:beforeAutospacing="0" w:after="0" w:afterAutospacing="0"/>
        <w:jc w:val="both"/>
        <w:rPr>
          <w:rFonts w:ascii="Arial" w:hAnsi="Arial" w:cs="Arial"/>
          <w:sz w:val="20"/>
          <w:szCs w:val="20"/>
        </w:rPr>
      </w:pPr>
      <w:r w:rsidRPr="00DE5759">
        <w:rPr>
          <w:rFonts w:ascii="Arial" w:hAnsi="Arial" w:cs="Arial"/>
          <w:b/>
          <w:sz w:val="20"/>
          <w:szCs w:val="20"/>
        </w:rPr>
        <w:t>BS1377 (1990</w:t>
      </w:r>
      <w:r w:rsidRPr="00DE5759">
        <w:rPr>
          <w:rFonts w:ascii="Arial" w:hAnsi="Arial" w:cs="Arial"/>
          <w:sz w:val="20"/>
          <w:szCs w:val="20"/>
        </w:rPr>
        <w:t>)</w:t>
      </w:r>
      <w:r>
        <w:rPr>
          <w:rFonts w:ascii="Arial" w:hAnsi="Arial" w:cs="Arial"/>
          <w:sz w:val="20"/>
          <w:szCs w:val="20"/>
        </w:rPr>
        <w:t xml:space="preserve">  – </w:t>
      </w:r>
      <w:r w:rsidR="007B199D" w:rsidRPr="007B199D">
        <w:rPr>
          <w:rFonts w:ascii="Arial" w:hAnsi="Arial" w:cs="Arial"/>
          <w:sz w:val="20"/>
          <w:szCs w:val="20"/>
        </w:rPr>
        <w:t>CBR test</w:t>
      </w:r>
      <w:r>
        <w:rPr>
          <w:rFonts w:ascii="Arial" w:hAnsi="Arial" w:cs="Arial"/>
          <w:sz w:val="20"/>
          <w:szCs w:val="20"/>
        </w:rPr>
        <w:t xml:space="preserve"> </w:t>
      </w:r>
      <w:r w:rsidRPr="00DE5759">
        <w:rPr>
          <w:rFonts w:ascii="Arial" w:hAnsi="Arial" w:cs="Arial"/>
          <w:sz w:val="20"/>
          <w:szCs w:val="20"/>
        </w:rPr>
        <w:t>(</w:t>
      </w:r>
      <w:proofErr w:type="spellStart"/>
      <w:r w:rsidRPr="00DE5759">
        <w:rPr>
          <w:rFonts w:ascii="Arial" w:hAnsi="Arial" w:cs="Arial"/>
          <w:sz w:val="20"/>
          <w:szCs w:val="20"/>
        </w:rPr>
        <w:t>Irokwe</w:t>
      </w:r>
      <w:proofErr w:type="spellEnd"/>
      <w:r w:rsidRPr="00DE5759">
        <w:rPr>
          <w:rFonts w:ascii="Arial" w:hAnsi="Arial" w:cs="Arial"/>
          <w:sz w:val="20"/>
          <w:szCs w:val="20"/>
        </w:rPr>
        <w:t xml:space="preserve"> </w:t>
      </w:r>
      <w:r w:rsidRPr="00DE5759">
        <w:rPr>
          <w:rFonts w:ascii="Arial" w:hAnsi="Arial" w:cs="Arial"/>
          <w:i/>
          <w:iCs/>
          <w:sz w:val="20"/>
          <w:szCs w:val="20"/>
        </w:rPr>
        <w:t>et al.,</w:t>
      </w:r>
      <w:r w:rsidRPr="00DE5759">
        <w:rPr>
          <w:rFonts w:ascii="Arial" w:hAnsi="Arial" w:cs="Arial"/>
          <w:sz w:val="20"/>
          <w:szCs w:val="20"/>
        </w:rPr>
        <w:t xml:space="preserve"> 2022).</w:t>
      </w:r>
    </w:p>
    <w:p w14:paraId="0052C250" w14:textId="2E635C19" w:rsidR="007B199D" w:rsidRPr="007B199D" w:rsidRDefault="007B199D" w:rsidP="00027AAA">
      <w:pPr>
        <w:pStyle w:val="NormalWeb"/>
        <w:numPr>
          <w:ilvl w:val="0"/>
          <w:numId w:val="32"/>
        </w:numPr>
        <w:spacing w:before="0" w:beforeAutospacing="0" w:after="0" w:afterAutospacing="0"/>
        <w:jc w:val="both"/>
        <w:rPr>
          <w:rFonts w:ascii="Arial" w:hAnsi="Arial" w:cs="Arial"/>
          <w:sz w:val="20"/>
          <w:szCs w:val="20"/>
        </w:rPr>
      </w:pPr>
      <w:r w:rsidRPr="007B199D">
        <w:rPr>
          <w:rStyle w:val="Strong"/>
          <w:rFonts w:ascii="Arial" w:hAnsi="Arial" w:cs="Arial"/>
          <w:sz w:val="20"/>
          <w:szCs w:val="20"/>
        </w:rPr>
        <w:t>ASTM D3080</w:t>
      </w:r>
      <w:r w:rsidRPr="007B199D">
        <w:rPr>
          <w:rFonts w:ascii="Arial" w:hAnsi="Arial" w:cs="Arial"/>
          <w:sz w:val="20"/>
          <w:szCs w:val="20"/>
        </w:rPr>
        <w:t xml:space="preserve"> </w:t>
      </w:r>
      <w:r w:rsidR="00DE5759">
        <w:rPr>
          <w:rFonts w:ascii="Arial" w:hAnsi="Arial" w:cs="Arial"/>
          <w:sz w:val="20"/>
          <w:szCs w:val="20"/>
        </w:rPr>
        <w:t xml:space="preserve">    </w:t>
      </w:r>
      <w:r w:rsidRPr="007B199D">
        <w:rPr>
          <w:rFonts w:ascii="Arial" w:hAnsi="Arial" w:cs="Arial"/>
          <w:sz w:val="20"/>
          <w:szCs w:val="20"/>
        </w:rPr>
        <w:t>– Direct shear test</w:t>
      </w:r>
    </w:p>
    <w:p w14:paraId="2291DBF0" w14:textId="77777777" w:rsidR="00027AAA" w:rsidRPr="00DE5759" w:rsidRDefault="00027AAA" w:rsidP="00027AAA">
      <w:pPr>
        <w:jc w:val="both"/>
        <w:rPr>
          <w:rFonts w:ascii="Arial" w:hAnsi="Arial" w:cs="Arial"/>
        </w:rPr>
      </w:pPr>
      <w:r w:rsidRPr="00DE5759">
        <w:rPr>
          <w:rFonts w:ascii="Arial" w:hAnsi="Arial" w:cs="Arial"/>
        </w:rPr>
        <w:t xml:space="preserve">Since all tests adhered precisely to conventional </w:t>
      </w:r>
      <w:proofErr w:type="spellStart"/>
      <w:r w:rsidRPr="00DE5759">
        <w:rPr>
          <w:rFonts w:ascii="Arial" w:hAnsi="Arial" w:cs="Arial"/>
        </w:rPr>
        <w:t>codal</w:t>
      </w:r>
      <w:proofErr w:type="spellEnd"/>
      <w:r w:rsidRPr="00DE5759">
        <w:rPr>
          <w:rFonts w:ascii="Arial" w:hAnsi="Arial" w:cs="Arial"/>
        </w:rPr>
        <w:t xml:space="preserve"> provisions, detailed procedural details are removed for the sake of conciseness.</w:t>
      </w:r>
    </w:p>
    <w:p w14:paraId="079404E1" w14:textId="77777777" w:rsidR="007B199D" w:rsidRPr="007B199D" w:rsidRDefault="007B199D" w:rsidP="007B199D">
      <w:pPr>
        <w:jc w:val="both"/>
        <w:rPr>
          <w:rFonts w:ascii="Arial" w:hAnsi="Arial" w:cs="Arial"/>
        </w:rPr>
      </w:pPr>
    </w:p>
    <w:p w14:paraId="3E899531" w14:textId="77777777" w:rsidR="007B199D" w:rsidRDefault="007B199D" w:rsidP="009D2D68">
      <w:pPr>
        <w:pStyle w:val="Body"/>
        <w:rPr>
          <w:rFonts w:ascii="Arial" w:hAnsi="Arial" w:cs="Arial"/>
        </w:rPr>
      </w:pPr>
    </w:p>
    <w:p w14:paraId="20FE7266" w14:textId="55832FF6" w:rsidR="00DE5759" w:rsidRDefault="00AA5CED" w:rsidP="00DE5759">
      <w:pPr>
        <w:pStyle w:val="Body"/>
        <w:jc w:val="left"/>
        <w:rPr>
          <w:rFonts w:ascii="Arial" w:hAnsi="Arial" w:cs="Arial"/>
          <w:b/>
          <w:bCs/>
        </w:rPr>
      </w:pPr>
      <w:bookmarkStart w:id="0" w:name="_Hlk216799451"/>
      <w:r>
        <w:rPr>
          <w:rFonts w:ascii="Arial" w:hAnsi="Arial" w:cs="Arial"/>
          <w:noProof/>
        </w:rPr>
        <w:pict w14:anchorId="7629C742">
          <v:rect id="_x0000_s1028" style="position:absolute;margin-left:77.9pt;margin-top:74.35pt;width:25.35pt;height:7.15pt;z-index:251659264"/>
        </w:pict>
      </w:r>
      <w:r>
        <w:rPr>
          <w:rFonts w:ascii="Arial" w:hAnsi="Arial" w:cs="Arial"/>
          <w:b/>
          <w:bCs/>
          <w:noProof/>
        </w:rPr>
        <w:pict w14:anchorId="4A1029D5">
          <v:rect id="_x0000_s1027" style="position:absolute;margin-left:315.75pt;margin-top:59.4pt;width:15.45pt;height:7.15pt;z-index:251658240"/>
        </w:pict>
      </w:r>
      <w:r w:rsidR="009D2D68" w:rsidRPr="009D2D68">
        <w:rPr>
          <w:rFonts w:ascii="Arial" w:hAnsi="Arial" w:cs="Arial"/>
          <w:b/>
          <w:bCs/>
          <w:noProof/>
        </w:rPr>
        <w:drawing>
          <wp:inline distT="0" distB="0" distL="0" distR="0" wp14:anchorId="5FAB8EFA" wp14:editId="780E0BC0">
            <wp:extent cx="2002055" cy="2670444"/>
            <wp:effectExtent l="0" t="0" r="0" b="0"/>
            <wp:docPr id="1794463567" name="Picture 1"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63567" name="Picture 1" descr="A person in a white coa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055" cy="2670444"/>
                    </a:xfrm>
                    <a:prstGeom prst="rect">
                      <a:avLst/>
                    </a:prstGeom>
                    <a:noFill/>
                    <a:ln>
                      <a:noFill/>
                    </a:ln>
                  </pic:spPr>
                </pic:pic>
              </a:graphicData>
            </a:graphic>
          </wp:inline>
        </w:drawing>
      </w:r>
      <w:bookmarkStart w:id="1" w:name="_Hlk201074531"/>
      <w:r w:rsidR="005A340B">
        <w:rPr>
          <w:rFonts w:ascii="Arial" w:hAnsi="Arial" w:cs="Arial"/>
          <w:b/>
          <w:bCs/>
        </w:rPr>
        <w:t xml:space="preserve">                            </w:t>
      </w:r>
      <w:r w:rsidR="005A340B" w:rsidRPr="009D2D68">
        <w:rPr>
          <w:rFonts w:ascii="Arial" w:hAnsi="Arial" w:cs="Arial"/>
          <w:noProof/>
        </w:rPr>
        <w:drawing>
          <wp:inline distT="0" distB="0" distL="0" distR="0" wp14:anchorId="627BC229" wp14:editId="2A283ECF">
            <wp:extent cx="2122533" cy="2666141"/>
            <wp:effectExtent l="0" t="0" r="0" b="0"/>
            <wp:docPr id="2019081124" name="Picture 5" descr="A person writing on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81124" name="Picture 5" descr="A person writing on a pap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5446" cy="2757729"/>
                    </a:xfrm>
                    <a:prstGeom prst="rect">
                      <a:avLst/>
                    </a:prstGeom>
                    <a:noFill/>
                    <a:ln>
                      <a:noFill/>
                    </a:ln>
                  </pic:spPr>
                </pic:pic>
              </a:graphicData>
            </a:graphic>
          </wp:inline>
        </w:drawing>
      </w:r>
    </w:p>
    <w:p w14:paraId="7319B063" w14:textId="40714C26" w:rsidR="009D2D68" w:rsidRPr="005A340B" w:rsidRDefault="009D2D68" w:rsidP="005A340B">
      <w:pPr>
        <w:pStyle w:val="Body"/>
        <w:jc w:val="left"/>
        <w:rPr>
          <w:rFonts w:ascii="Arial" w:hAnsi="Arial" w:cs="Arial"/>
          <w:b/>
          <w:bCs/>
        </w:rPr>
      </w:pPr>
      <w:r w:rsidRPr="009D2D68">
        <w:rPr>
          <w:rFonts w:ascii="Arial" w:hAnsi="Arial" w:cs="Arial"/>
          <w:b/>
          <w:bCs/>
        </w:rPr>
        <w:t>Fig</w:t>
      </w:r>
      <w:r w:rsidR="002204B8">
        <w:rPr>
          <w:rFonts w:ascii="Arial" w:hAnsi="Arial" w:cs="Arial"/>
          <w:b/>
          <w:bCs/>
        </w:rPr>
        <w:t>.</w:t>
      </w:r>
      <w:r w:rsidRPr="009D2D68">
        <w:rPr>
          <w:rFonts w:ascii="Arial" w:hAnsi="Arial" w:cs="Arial"/>
          <w:b/>
          <w:bCs/>
        </w:rPr>
        <w:t xml:space="preserve"> 1</w:t>
      </w:r>
      <w:r w:rsidR="002204B8">
        <w:rPr>
          <w:rFonts w:ascii="Arial" w:hAnsi="Arial" w:cs="Arial"/>
          <w:b/>
          <w:bCs/>
        </w:rPr>
        <w:t>.</w:t>
      </w:r>
      <w:r w:rsidRPr="009D2D68">
        <w:rPr>
          <w:rFonts w:ascii="Arial" w:hAnsi="Arial" w:cs="Arial"/>
          <w:b/>
          <w:bCs/>
        </w:rPr>
        <w:t xml:space="preserve"> Sieve Analysis of Soil Sample</w:t>
      </w:r>
      <w:bookmarkEnd w:id="0"/>
      <w:bookmarkEnd w:id="1"/>
      <w:r w:rsidR="005A340B">
        <w:rPr>
          <w:rFonts w:ascii="Arial" w:hAnsi="Arial" w:cs="Arial"/>
          <w:b/>
          <w:bCs/>
        </w:rPr>
        <w:t xml:space="preserve">             </w:t>
      </w:r>
      <w:r w:rsidRPr="009D2D68">
        <w:rPr>
          <w:rFonts w:ascii="Arial" w:hAnsi="Arial" w:cs="Arial"/>
          <w:b/>
          <w:bCs/>
        </w:rPr>
        <w:t>Fig</w:t>
      </w:r>
      <w:r w:rsidR="002204B8">
        <w:rPr>
          <w:rFonts w:ascii="Arial" w:hAnsi="Arial" w:cs="Arial"/>
          <w:b/>
          <w:bCs/>
        </w:rPr>
        <w:t>.</w:t>
      </w:r>
      <w:r w:rsidRPr="009D2D68">
        <w:rPr>
          <w:rFonts w:ascii="Arial" w:hAnsi="Arial" w:cs="Arial"/>
          <w:b/>
          <w:bCs/>
        </w:rPr>
        <w:t xml:space="preserve"> 2</w:t>
      </w:r>
      <w:r w:rsidR="002204B8">
        <w:rPr>
          <w:rFonts w:ascii="Arial" w:hAnsi="Arial" w:cs="Arial"/>
          <w:b/>
          <w:bCs/>
        </w:rPr>
        <w:t>.</w:t>
      </w:r>
      <w:r w:rsidRPr="009D2D68">
        <w:rPr>
          <w:rFonts w:ascii="Arial" w:hAnsi="Arial" w:cs="Arial"/>
        </w:rPr>
        <w:t xml:space="preserve"> </w:t>
      </w:r>
      <w:r w:rsidR="005A340B">
        <w:rPr>
          <w:rFonts w:ascii="Arial" w:hAnsi="Arial" w:cs="Arial"/>
          <w:b/>
          <w:bCs/>
        </w:rPr>
        <w:t>California Bearing Ratio</w:t>
      </w:r>
      <w:r w:rsidRPr="002204B8">
        <w:rPr>
          <w:rFonts w:ascii="Arial" w:hAnsi="Arial" w:cs="Arial"/>
          <w:b/>
          <w:bCs/>
        </w:rPr>
        <w:t xml:space="preserve"> apparatus</w:t>
      </w:r>
    </w:p>
    <w:p w14:paraId="5AA19972" w14:textId="3F39256B" w:rsidR="009D2D68" w:rsidRPr="00561902" w:rsidRDefault="009D2D68" w:rsidP="00561902">
      <w:pPr>
        <w:pStyle w:val="Body"/>
        <w:spacing w:after="0"/>
        <w:jc w:val="center"/>
        <w:rPr>
          <w:rFonts w:ascii="Arial" w:hAnsi="Arial" w:cs="Arial"/>
        </w:rPr>
      </w:pPr>
    </w:p>
    <w:p w14:paraId="79599854" w14:textId="33BEB011" w:rsidR="00561902" w:rsidRPr="009D2D68" w:rsidRDefault="00561902" w:rsidP="00561902">
      <w:pPr>
        <w:pStyle w:val="Body"/>
        <w:rPr>
          <w:rFonts w:ascii="Arial" w:hAnsi="Arial" w:cs="Arial"/>
          <w:b/>
          <w:bCs/>
        </w:rPr>
      </w:pPr>
      <w:r w:rsidRPr="00C30A0F">
        <w:rPr>
          <w:rFonts w:ascii="Arial" w:hAnsi="Arial" w:cs="Arial"/>
          <w:b/>
          <w:caps/>
          <w:sz w:val="22"/>
        </w:rPr>
        <w:t>2.</w:t>
      </w:r>
      <w:r w:rsidR="00D849ED">
        <w:rPr>
          <w:rFonts w:ascii="Arial" w:hAnsi="Arial" w:cs="Arial"/>
          <w:b/>
          <w:caps/>
          <w:sz w:val="22"/>
        </w:rPr>
        <w:t>4</w:t>
      </w:r>
      <w:r w:rsidRPr="00C30A0F">
        <w:rPr>
          <w:rFonts w:ascii="Arial" w:hAnsi="Arial" w:cs="Arial"/>
          <w:b/>
          <w:caps/>
          <w:sz w:val="22"/>
        </w:rPr>
        <w:t xml:space="preserve"> </w:t>
      </w:r>
      <w:r>
        <w:rPr>
          <w:rFonts w:ascii="Arial" w:hAnsi="Arial" w:cs="Arial"/>
          <w:b/>
          <w:sz w:val="22"/>
        </w:rPr>
        <w:t>X-Ray Diffraction Test</w:t>
      </w:r>
    </w:p>
    <w:p w14:paraId="0E25EA9B" w14:textId="77777777" w:rsidR="00561902" w:rsidRPr="00561902" w:rsidRDefault="00561902" w:rsidP="00561902">
      <w:pPr>
        <w:pStyle w:val="Body"/>
        <w:rPr>
          <w:rFonts w:ascii="Arial" w:hAnsi="Arial" w:cs="Arial"/>
        </w:rPr>
      </w:pPr>
      <w:r w:rsidRPr="00561902">
        <w:rPr>
          <w:rFonts w:ascii="Arial" w:hAnsi="Arial" w:cs="Arial"/>
        </w:rPr>
        <w:t xml:space="preserve">The X-Ray Diffraction (XRD) test was conducted to determine the mineralogical composition of the soil samples (Hamed </w:t>
      </w:r>
      <w:r w:rsidRPr="00561902">
        <w:rPr>
          <w:rFonts w:ascii="Arial" w:hAnsi="Arial" w:cs="Arial"/>
          <w:i/>
          <w:iCs/>
        </w:rPr>
        <w:t>et al.,</w:t>
      </w:r>
      <w:r w:rsidRPr="00561902">
        <w:rPr>
          <w:rFonts w:ascii="Arial" w:hAnsi="Arial" w:cs="Arial"/>
        </w:rPr>
        <w:t xml:space="preserve"> 2021). Prior to testing, the soil samples were air-dried thoroughly to eliminate moisture that could interfere with the results. The dried samples were then ground to a fine powder using a mortar and pestle to ensure uniform particle size, which is critical for accurate diffraction patterns.</w:t>
      </w:r>
    </w:p>
    <w:p w14:paraId="5FA5EBF6" w14:textId="77777777" w:rsidR="00561902" w:rsidRPr="00561902" w:rsidRDefault="00561902" w:rsidP="00561902">
      <w:pPr>
        <w:pStyle w:val="Body"/>
        <w:rPr>
          <w:rFonts w:ascii="Arial" w:hAnsi="Arial" w:cs="Arial"/>
        </w:rPr>
      </w:pPr>
      <w:r w:rsidRPr="00561902">
        <w:rPr>
          <w:rFonts w:ascii="Arial" w:hAnsi="Arial" w:cs="Arial"/>
        </w:rPr>
        <w:lastRenderedPageBreak/>
        <w:t>After grinding, the powdered samples were mounted on sample holders using a standard back-loading technique to reduce preferred orientation of the particles. The samples were then placed in the XRD machine, and the test was carried out using Cu-Kα radiation as the X-ray source, operated at 40 kV and 30 mA. The scanning range was typically set between 5° and 70° 2θ at a scanning rate of 2° per minute.</w:t>
      </w:r>
    </w:p>
    <w:p w14:paraId="1A2A8D11" w14:textId="7B5A2A49" w:rsidR="00561902" w:rsidRPr="00561902" w:rsidRDefault="00561902" w:rsidP="00561902">
      <w:pPr>
        <w:pStyle w:val="Body"/>
        <w:spacing w:after="0"/>
        <w:rPr>
          <w:rFonts w:ascii="Arial" w:hAnsi="Arial" w:cs="Arial"/>
        </w:rPr>
      </w:pPr>
      <w:r w:rsidRPr="00561902">
        <w:rPr>
          <w:rFonts w:ascii="Arial" w:hAnsi="Arial" w:cs="Arial"/>
        </w:rPr>
        <w:t>As the X-rays interacted with the crystalline structure of the soil minerals, diffraction patterns were generated and recorded. The resulting diffractograms were analyzed using specialized software that compared the peak positions and intensities with reference patterns in a mineral database. This allowed for the identification of the various mineral phases present in the soil sample, such as quartz, kaolinite, illite, or montmorillonite</w:t>
      </w:r>
    </w:p>
    <w:p w14:paraId="5648B1B0" w14:textId="77777777" w:rsidR="00790ADA" w:rsidRPr="00FB3A86" w:rsidRDefault="00790ADA" w:rsidP="00441B6F">
      <w:pPr>
        <w:pStyle w:val="Body"/>
        <w:spacing w:after="0"/>
        <w:rPr>
          <w:rFonts w:ascii="Arial" w:hAnsi="Arial" w:cs="Arial"/>
        </w:rPr>
      </w:pPr>
    </w:p>
    <w:p w14:paraId="3DD587A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F990DD" w14:textId="2A27F9B3" w:rsidR="00561902" w:rsidRDefault="00561902" w:rsidP="0056190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Characterization of Soil Sample</w:t>
      </w:r>
    </w:p>
    <w:p w14:paraId="35AB74B1" w14:textId="578B8EA9" w:rsidR="00E5371B" w:rsidRPr="00E5371B" w:rsidRDefault="00E5371B" w:rsidP="00E5371B">
      <w:pPr>
        <w:jc w:val="both"/>
        <w:rPr>
          <w:rFonts w:ascii="Arial" w:hAnsi="Arial" w:cs="Arial"/>
        </w:rPr>
      </w:pPr>
      <w:r w:rsidRPr="00E5371B">
        <w:rPr>
          <w:rFonts w:ascii="Arial" w:hAnsi="Arial" w:cs="Arial"/>
        </w:rPr>
        <w:t xml:space="preserve">Table 1 shows the </w:t>
      </w:r>
      <w:r>
        <w:rPr>
          <w:rFonts w:ascii="Arial" w:hAnsi="Arial" w:cs="Arial"/>
        </w:rPr>
        <w:t xml:space="preserve">engineering </w:t>
      </w:r>
      <w:r w:rsidRPr="00E5371B">
        <w:rPr>
          <w:rFonts w:ascii="Arial" w:hAnsi="Arial" w:cs="Arial"/>
        </w:rPr>
        <w:t>characteristics</w:t>
      </w:r>
      <w:r>
        <w:rPr>
          <w:rFonts w:ascii="Arial" w:hAnsi="Arial" w:cs="Arial"/>
        </w:rPr>
        <w:t xml:space="preserve"> of the soil sample before stabilization </w:t>
      </w:r>
      <w:r w:rsidRPr="00E5371B">
        <w:rPr>
          <w:rFonts w:ascii="Arial" w:hAnsi="Arial" w:cs="Arial"/>
        </w:rPr>
        <w:t>(Zhu, et al., 2025). In comparison to the usual range of 2.60 to 2.</w:t>
      </w:r>
      <w:r>
        <w:rPr>
          <w:rFonts w:ascii="Arial" w:hAnsi="Arial" w:cs="Arial"/>
        </w:rPr>
        <w:t xml:space="preserve">75 for natural soils, the </w:t>
      </w:r>
      <w:r w:rsidRPr="00E5371B">
        <w:rPr>
          <w:rFonts w:ascii="Arial" w:hAnsi="Arial" w:cs="Arial"/>
        </w:rPr>
        <w:t>specific gravity</w:t>
      </w:r>
      <w:r>
        <w:rPr>
          <w:rFonts w:ascii="Arial" w:hAnsi="Arial" w:cs="Arial"/>
        </w:rPr>
        <w:t xml:space="preserve"> of the soil</w:t>
      </w:r>
      <w:r w:rsidRPr="00E5371B">
        <w:rPr>
          <w:rFonts w:ascii="Arial" w:hAnsi="Arial" w:cs="Arial"/>
        </w:rPr>
        <w:t xml:space="preserve"> was found to be 2.10. This may indicate the presence of organic debris or a high clay concentratio</w:t>
      </w:r>
      <w:r>
        <w:rPr>
          <w:rFonts w:ascii="Arial" w:hAnsi="Arial" w:cs="Arial"/>
        </w:rPr>
        <w:t xml:space="preserve">n. The plasticity, consistency </w:t>
      </w:r>
      <w:r w:rsidRPr="00E5371B">
        <w:rPr>
          <w:rFonts w:ascii="Arial" w:hAnsi="Arial" w:cs="Arial"/>
        </w:rPr>
        <w:t>and shrink-swell behavior of fine-grained soils were evaluated using the A</w:t>
      </w:r>
      <w:r>
        <w:rPr>
          <w:rFonts w:ascii="Arial" w:hAnsi="Arial" w:cs="Arial"/>
        </w:rPr>
        <w:t xml:space="preserve">tterberg limits. Although it was </w:t>
      </w:r>
      <w:r w:rsidRPr="00E5371B">
        <w:rPr>
          <w:rFonts w:ascii="Arial" w:hAnsi="Arial" w:cs="Arial"/>
        </w:rPr>
        <w:t>lower th</w:t>
      </w:r>
      <w:r>
        <w:rPr>
          <w:rFonts w:ascii="Arial" w:hAnsi="Arial" w:cs="Arial"/>
        </w:rPr>
        <w:t xml:space="preserve">an the liquid limit, the </w:t>
      </w:r>
      <w:r w:rsidRPr="00E5371B">
        <w:rPr>
          <w:rFonts w:ascii="Arial" w:hAnsi="Arial" w:cs="Arial"/>
        </w:rPr>
        <w:t>plastic limit</w:t>
      </w:r>
      <w:r>
        <w:rPr>
          <w:rFonts w:ascii="Arial" w:hAnsi="Arial" w:cs="Arial"/>
        </w:rPr>
        <w:t xml:space="preserve"> of the soil</w:t>
      </w:r>
      <w:r w:rsidRPr="00E5371B">
        <w:rPr>
          <w:rFonts w:ascii="Arial" w:hAnsi="Arial" w:cs="Arial"/>
        </w:rPr>
        <w:t xml:space="preserve"> (18.34%) is typical o</w:t>
      </w:r>
      <w:r>
        <w:rPr>
          <w:rFonts w:ascii="Arial" w:hAnsi="Arial" w:cs="Arial"/>
        </w:rPr>
        <w:t xml:space="preserve">f active clay soils. The </w:t>
      </w:r>
      <w:r w:rsidRPr="00E5371B">
        <w:rPr>
          <w:rFonts w:ascii="Arial" w:hAnsi="Arial" w:cs="Arial"/>
        </w:rPr>
        <w:t>liquid limit</w:t>
      </w:r>
      <w:r>
        <w:rPr>
          <w:rFonts w:ascii="Arial" w:hAnsi="Arial" w:cs="Arial"/>
        </w:rPr>
        <w:t xml:space="preserve"> of the soil</w:t>
      </w:r>
      <w:r w:rsidRPr="00E5371B">
        <w:rPr>
          <w:rFonts w:ascii="Arial" w:hAnsi="Arial" w:cs="Arial"/>
        </w:rPr>
        <w:t xml:space="preserve"> was found to be 47.8%, showing a modest ability to retain water.</w:t>
      </w:r>
    </w:p>
    <w:p w14:paraId="4BEAC691" w14:textId="103AD278" w:rsidR="00E5371B" w:rsidRPr="00E5371B" w:rsidRDefault="00E5371B" w:rsidP="00E5371B">
      <w:pPr>
        <w:jc w:val="both"/>
        <w:rPr>
          <w:rFonts w:ascii="Arial" w:hAnsi="Arial" w:cs="Arial"/>
        </w:rPr>
      </w:pPr>
      <w:r>
        <w:rPr>
          <w:rFonts w:ascii="Arial" w:hAnsi="Arial" w:cs="Arial"/>
        </w:rPr>
        <w:t xml:space="preserve">The </w:t>
      </w:r>
      <w:r w:rsidRPr="00E5371B">
        <w:rPr>
          <w:rFonts w:ascii="Arial" w:hAnsi="Arial" w:cs="Arial"/>
        </w:rPr>
        <w:t>high degree of plasticity</w:t>
      </w:r>
      <w:r>
        <w:rPr>
          <w:rFonts w:ascii="Arial" w:hAnsi="Arial" w:cs="Arial"/>
        </w:rPr>
        <w:t xml:space="preserve"> of the soil</w:t>
      </w:r>
      <w:r w:rsidR="00526BE2">
        <w:rPr>
          <w:rFonts w:ascii="Arial" w:hAnsi="Arial" w:cs="Arial"/>
        </w:rPr>
        <w:t xml:space="preserve"> was</w:t>
      </w:r>
      <w:r w:rsidRPr="00E5371B">
        <w:rPr>
          <w:rFonts w:ascii="Arial" w:hAnsi="Arial" w:cs="Arial"/>
        </w:rPr>
        <w:t xml:space="preserve"> confirmed by the Plasticity Index (29.46%), and its clas</w:t>
      </w:r>
      <w:r w:rsidR="00526BE2">
        <w:rPr>
          <w:rFonts w:ascii="Arial" w:hAnsi="Arial" w:cs="Arial"/>
        </w:rPr>
        <w:t xml:space="preserve">sification as an expansive clay </w:t>
      </w:r>
      <w:r w:rsidRPr="00E5371B">
        <w:rPr>
          <w:rFonts w:ascii="Arial" w:hAnsi="Arial" w:cs="Arial"/>
        </w:rPr>
        <w:t xml:space="preserve">which presents serious </w:t>
      </w:r>
      <w:r w:rsidR="00526BE2">
        <w:rPr>
          <w:rFonts w:ascii="Arial" w:hAnsi="Arial" w:cs="Arial"/>
        </w:rPr>
        <w:t>problems for pavement stability wa</w:t>
      </w:r>
      <w:r w:rsidRPr="00E5371B">
        <w:rPr>
          <w:rFonts w:ascii="Arial" w:hAnsi="Arial" w:cs="Arial"/>
        </w:rPr>
        <w:t>s further supported by the Linear Shrinkage (10.71%). Poor bearin</w:t>
      </w:r>
      <w:r w:rsidR="00526BE2">
        <w:rPr>
          <w:rFonts w:ascii="Arial" w:hAnsi="Arial" w:cs="Arial"/>
        </w:rPr>
        <w:t>g ability was</w:t>
      </w:r>
      <w:r w:rsidRPr="00E5371B">
        <w:rPr>
          <w:rFonts w:ascii="Arial" w:hAnsi="Arial" w:cs="Arial"/>
        </w:rPr>
        <w:t xml:space="preserve"> indicated by the Liquidity Index (1.47), which indicates that the soil is in a soft to plastic state in the field. The soil is categorized as CL (In organic clay of medium plasticity) by the Unified Soil Classification System (USCS) based on the Atterberg limit data. These features demonstrate that the soil must first go through chemical stabilization or heat activation in order to be effectively used in roadway applications (Zhu et al., 2025).</w:t>
      </w:r>
    </w:p>
    <w:p w14:paraId="5C09A40E" w14:textId="77777777" w:rsidR="00790ADA" w:rsidRDefault="00790ADA" w:rsidP="00441B6F">
      <w:pPr>
        <w:pStyle w:val="Body"/>
        <w:spacing w:after="0"/>
        <w:rPr>
          <w:rFonts w:ascii="Arial" w:hAnsi="Arial" w:cs="Arial"/>
        </w:rPr>
      </w:pPr>
    </w:p>
    <w:p w14:paraId="78E781D4" w14:textId="19E11122"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561902" w:rsidRPr="00561902">
        <w:rPr>
          <w:rFonts w:ascii="Arial" w:hAnsi="Arial"/>
          <w:b/>
        </w:rPr>
        <w:t>Initial Characterization Test (Before Stabilization)</w:t>
      </w:r>
    </w:p>
    <w:tbl>
      <w:tblPr>
        <w:tblStyle w:val="PlainTable2"/>
        <w:tblW w:w="7990" w:type="dxa"/>
        <w:jc w:val="center"/>
        <w:tblLook w:val="0620" w:firstRow="1" w:lastRow="0" w:firstColumn="0" w:lastColumn="0" w:noHBand="1" w:noVBand="1"/>
      </w:tblPr>
      <w:tblGrid>
        <w:gridCol w:w="895"/>
        <w:gridCol w:w="3803"/>
        <w:gridCol w:w="3292"/>
      </w:tblGrid>
      <w:tr w:rsidR="00561902" w:rsidRPr="00561902" w14:paraId="7897FAD0" w14:textId="77777777" w:rsidTr="00561902">
        <w:trPr>
          <w:cnfStyle w:val="100000000000" w:firstRow="1" w:lastRow="0" w:firstColumn="0" w:lastColumn="0" w:oddVBand="0" w:evenVBand="0" w:oddHBand="0" w:evenHBand="0" w:firstRowFirstColumn="0" w:firstRowLastColumn="0" w:lastRowFirstColumn="0" w:lastRowLastColumn="0"/>
          <w:trHeight w:val="114"/>
          <w:jc w:val="center"/>
        </w:trPr>
        <w:tc>
          <w:tcPr>
            <w:tcW w:w="895" w:type="dxa"/>
          </w:tcPr>
          <w:p w14:paraId="085641C3"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S/N</w:t>
            </w:r>
          </w:p>
        </w:tc>
        <w:tc>
          <w:tcPr>
            <w:tcW w:w="3803" w:type="dxa"/>
          </w:tcPr>
          <w:p w14:paraId="70258FFB"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Parameters</w:t>
            </w:r>
          </w:p>
        </w:tc>
        <w:tc>
          <w:tcPr>
            <w:tcW w:w="3292" w:type="dxa"/>
          </w:tcPr>
          <w:p w14:paraId="6C118E96"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Values</w:t>
            </w:r>
          </w:p>
        </w:tc>
      </w:tr>
      <w:tr w:rsidR="00561902" w:rsidRPr="00561902" w14:paraId="4491804F" w14:textId="77777777" w:rsidTr="00561902">
        <w:trPr>
          <w:trHeight w:val="114"/>
          <w:jc w:val="center"/>
        </w:trPr>
        <w:tc>
          <w:tcPr>
            <w:tcW w:w="895" w:type="dxa"/>
          </w:tcPr>
          <w:p w14:paraId="797DF42C"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w:t>
            </w:r>
          </w:p>
        </w:tc>
        <w:tc>
          <w:tcPr>
            <w:tcW w:w="3803" w:type="dxa"/>
          </w:tcPr>
          <w:p w14:paraId="700D2A80"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Average Moisture Content (%)</w:t>
            </w:r>
          </w:p>
        </w:tc>
        <w:tc>
          <w:tcPr>
            <w:tcW w:w="3292" w:type="dxa"/>
          </w:tcPr>
          <w:p w14:paraId="44246DB5"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4.1%</w:t>
            </w:r>
          </w:p>
        </w:tc>
      </w:tr>
      <w:tr w:rsidR="00561902" w:rsidRPr="00561902" w14:paraId="3ADADEC2" w14:textId="77777777" w:rsidTr="00561902">
        <w:trPr>
          <w:trHeight w:val="114"/>
          <w:jc w:val="center"/>
        </w:trPr>
        <w:tc>
          <w:tcPr>
            <w:tcW w:w="895" w:type="dxa"/>
          </w:tcPr>
          <w:p w14:paraId="1CF44273"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2.</w:t>
            </w:r>
          </w:p>
        </w:tc>
        <w:tc>
          <w:tcPr>
            <w:tcW w:w="3803" w:type="dxa"/>
          </w:tcPr>
          <w:p w14:paraId="61A5F0E5"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 xml:space="preserve">Average Specific gravity of Soil Sample </w:t>
            </w:r>
          </w:p>
        </w:tc>
        <w:tc>
          <w:tcPr>
            <w:tcW w:w="3292" w:type="dxa"/>
          </w:tcPr>
          <w:p w14:paraId="36176718"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2.01</w:t>
            </w:r>
          </w:p>
        </w:tc>
      </w:tr>
      <w:tr w:rsidR="00561902" w:rsidRPr="00561902" w14:paraId="07980F39" w14:textId="77777777" w:rsidTr="00561902">
        <w:trPr>
          <w:trHeight w:val="111"/>
          <w:jc w:val="center"/>
        </w:trPr>
        <w:tc>
          <w:tcPr>
            <w:tcW w:w="895" w:type="dxa"/>
          </w:tcPr>
          <w:p w14:paraId="79A0868C"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3.</w:t>
            </w:r>
          </w:p>
        </w:tc>
        <w:tc>
          <w:tcPr>
            <w:tcW w:w="3803" w:type="dxa"/>
          </w:tcPr>
          <w:p w14:paraId="1E56B367"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Plastic Limit (%)</w:t>
            </w:r>
          </w:p>
        </w:tc>
        <w:tc>
          <w:tcPr>
            <w:tcW w:w="3292" w:type="dxa"/>
          </w:tcPr>
          <w:p w14:paraId="7F2D4AB5"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18.34 %</w:t>
            </w:r>
          </w:p>
        </w:tc>
      </w:tr>
      <w:tr w:rsidR="00561902" w:rsidRPr="00561902" w14:paraId="429222C6" w14:textId="77777777" w:rsidTr="00561902">
        <w:trPr>
          <w:trHeight w:val="114"/>
          <w:jc w:val="center"/>
        </w:trPr>
        <w:tc>
          <w:tcPr>
            <w:tcW w:w="895" w:type="dxa"/>
          </w:tcPr>
          <w:p w14:paraId="6F8CAEC8"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5.</w:t>
            </w:r>
          </w:p>
        </w:tc>
        <w:tc>
          <w:tcPr>
            <w:tcW w:w="3803" w:type="dxa"/>
          </w:tcPr>
          <w:p w14:paraId="031A2DE3"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Liquid limit (%)</w:t>
            </w:r>
          </w:p>
        </w:tc>
        <w:tc>
          <w:tcPr>
            <w:tcW w:w="3292" w:type="dxa"/>
          </w:tcPr>
          <w:p w14:paraId="1E5F216D"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47.8 %</w:t>
            </w:r>
          </w:p>
        </w:tc>
      </w:tr>
      <w:tr w:rsidR="00561902" w:rsidRPr="00561902" w14:paraId="2D062DA8" w14:textId="77777777" w:rsidTr="00561902">
        <w:trPr>
          <w:trHeight w:val="114"/>
          <w:jc w:val="center"/>
        </w:trPr>
        <w:tc>
          <w:tcPr>
            <w:tcW w:w="895" w:type="dxa"/>
          </w:tcPr>
          <w:p w14:paraId="7B4CDE0B"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6.</w:t>
            </w:r>
          </w:p>
        </w:tc>
        <w:tc>
          <w:tcPr>
            <w:tcW w:w="3803" w:type="dxa"/>
          </w:tcPr>
          <w:p w14:paraId="4EEF3D36"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Plastic Index</w:t>
            </w:r>
          </w:p>
        </w:tc>
        <w:tc>
          <w:tcPr>
            <w:tcW w:w="3292" w:type="dxa"/>
          </w:tcPr>
          <w:p w14:paraId="4B0C2C24"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29.46 %</w:t>
            </w:r>
          </w:p>
        </w:tc>
      </w:tr>
      <w:tr w:rsidR="00561902" w:rsidRPr="00561902" w14:paraId="29CA0D3E" w14:textId="77777777" w:rsidTr="00561902">
        <w:trPr>
          <w:trHeight w:val="111"/>
          <w:jc w:val="center"/>
        </w:trPr>
        <w:tc>
          <w:tcPr>
            <w:tcW w:w="895" w:type="dxa"/>
          </w:tcPr>
          <w:p w14:paraId="611251EF"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7.</w:t>
            </w:r>
          </w:p>
        </w:tc>
        <w:tc>
          <w:tcPr>
            <w:tcW w:w="3803" w:type="dxa"/>
          </w:tcPr>
          <w:p w14:paraId="16DE17BE"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Liquidity index (%)</w:t>
            </w:r>
          </w:p>
        </w:tc>
        <w:tc>
          <w:tcPr>
            <w:tcW w:w="3292" w:type="dxa"/>
          </w:tcPr>
          <w:p w14:paraId="6141864C"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1.47</w:t>
            </w:r>
          </w:p>
        </w:tc>
      </w:tr>
      <w:tr w:rsidR="00561902" w:rsidRPr="00561902" w14:paraId="19243801" w14:textId="77777777" w:rsidTr="00561902">
        <w:trPr>
          <w:trHeight w:val="114"/>
          <w:jc w:val="center"/>
        </w:trPr>
        <w:tc>
          <w:tcPr>
            <w:tcW w:w="895" w:type="dxa"/>
          </w:tcPr>
          <w:p w14:paraId="476AD220"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8.</w:t>
            </w:r>
          </w:p>
        </w:tc>
        <w:tc>
          <w:tcPr>
            <w:tcW w:w="3803" w:type="dxa"/>
          </w:tcPr>
          <w:p w14:paraId="680BDDDB"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Consistency Index</w:t>
            </w:r>
          </w:p>
        </w:tc>
        <w:tc>
          <w:tcPr>
            <w:tcW w:w="3292" w:type="dxa"/>
          </w:tcPr>
          <w:p w14:paraId="2A4AF84C"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2.67</w:t>
            </w:r>
          </w:p>
        </w:tc>
      </w:tr>
      <w:tr w:rsidR="00561902" w:rsidRPr="00561902" w14:paraId="4854B692" w14:textId="77777777" w:rsidTr="00561902">
        <w:trPr>
          <w:trHeight w:val="114"/>
          <w:jc w:val="center"/>
        </w:trPr>
        <w:tc>
          <w:tcPr>
            <w:tcW w:w="895" w:type="dxa"/>
          </w:tcPr>
          <w:p w14:paraId="1D854147"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9.</w:t>
            </w:r>
          </w:p>
        </w:tc>
        <w:tc>
          <w:tcPr>
            <w:tcW w:w="3803" w:type="dxa"/>
          </w:tcPr>
          <w:p w14:paraId="1C25FC24"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Linear Shrinkage (%)</w:t>
            </w:r>
          </w:p>
        </w:tc>
        <w:tc>
          <w:tcPr>
            <w:tcW w:w="3292" w:type="dxa"/>
          </w:tcPr>
          <w:p w14:paraId="78469F28"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10.71</w:t>
            </w:r>
          </w:p>
        </w:tc>
      </w:tr>
      <w:tr w:rsidR="00561902" w:rsidRPr="00561902" w14:paraId="27FA235A" w14:textId="77777777" w:rsidTr="00561902">
        <w:trPr>
          <w:trHeight w:val="111"/>
          <w:jc w:val="center"/>
        </w:trPr>
        <w:tc>
          <w:tcPr>
            <w:tcW w:w="895" w:type="dxa"/>
          </w:tcPr>
          <w:p w14:paraId="74ECCE63"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10.</w:t>
            </w:r>
          </w:p>
        </w:tc>
        <w:tc>
          <w:tcPr>
            <w:tcW w:w="3803" w:type="dxa"/>
          </w:tcPr>
          <w:p w14:paraId="3BB69384"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Classification</w:t>
            </w:r>
          </w:p>
        </w:tc>
        <w:tc>
          <w:tcPr>
            <w:tcW w:w="3292" w:type="dxa"/>
          </w:tcPr>
          <w:p w14:paraId="664609FD"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Inorganic clay of medium plasticity</w:t>
            </w:r>
          </w:p>
        </w:tc>
      </w:tr>
      <w:tr w:rsidR="00561902" w:rsidRPr="00561902" w14:paraId="06055B72" w14:textId="77777777" w:rsidTr="00561902">
        <w:trPr>
          <w:trHeight w:val="111"/>
          <w:jc w:val="center"/>
        </w:trPr>
        <w:tc>
          <w:tcPr>
            <w:tcW w:w="895" w:type="dxa"/>
          </w:tcPr>
          <w:p w14:paraId="422AF183"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11.</w:t>
            </w:r>
          </w:p>
        </w:tc>
        <w:tc>
          <w:tcPr>
            <w:tcW w:w="3803" w:type="dxa"/>
          </w:tcPr>
          <w:p w14:paraId="048002D0"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CBR</w:t>
            </w:r>
          </w:p>
        </w:tc>
        <w:tc>
          <w:tcPr>
            <w:tcW w:w="3292" w:type="dxa"/>
          </w:tcPr>
          <w:p w14:paraId="3DF89F55"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41.5 %</w:t>
            </w:r>
          </w:p>
        </w:tc>
      </w:tr>
      <w:tr w:rsidR="00561902" w:rsidRPr="00561902" w14:paraId="1D3EEF7B" w14:textId="77777777" w:rsidTr="00561902">
        <w:trPr>
          <w:trHeight w:val="111"/>
          <w:jc w:val="center"/>
        </w:trPr>
        <w:tc>
          <w:tcPr>
            <w:tcW w:w="895" w:type="dxa"/>
          </w:tcPr>
          <w:p w14:paraId="1691D68B"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12.</w:t>
            </w:r>
          </w:p>
        </w:tc>
        <w:tc>
          <w:tcPr>
            <w:tcW w:w="3803" w:type="dxa"/>
          </w:tcPr>
          <w:p w14:paraId="73E059D3"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Direct Shear Strength</w:t>
            </w:r>
          </w:p>
        </w:tc>
        <w:tc>
          <w:tcPr>
            <w:tcW w:w="3292" w:type="dxa"/>
          </w:tcPr>
          <w:p w14:paraId="00E2F0DD" w14:textId="77777777" w:rsidR="00561902" w:rsidRPr="00561902" w:rsidRDefault="00561902" w:rsidP="00561902">
            <w:pPr>
              <w:pStyle w:val="BodyText3"/>
              <w:widowControl/>
              <w:tabs>
                <w:tab w:val="left" w:pos="1080"/>
              </w:tabs>
              <w:autoSpaceDE/>
              <w:autoSpaceDN/>
              <w:ind w:left="1080" w:hanging="1080"/>
              <w:jc w:val="both"/>
              <w:rPr>
                <w:rFonts w:ascii="Arial" w:hAnsi="Arial"/>
                <w:sz w:val="20"/>
              </w:rPr>
            </w:pPr>
            <w:r w:rsidRPr="00561902">
              <w:rPr>
                <w:rFonts w:ascii="Arial" w:hAnsi="Arial"/>
                <w:sz w:val="20"/>
              </w:rPr>
              <w:t>24.93994 kN/m</w:t>
            </w:r>
            <w:r w:rsidRPr="00561902">
              <w:rPr>
                <w:rFonts w:ascii="Arial" w:hAnsi="Arial"/>
                <w:sz w:val="20"/>
                <w:vertAlign w:val="superscript"/>
              </w:rPr>
              <w:t>2</w:t>
            </w:r>
          </w:p>
        </w:tc>
      </w:tr>
    </w:tbl>
    <w:p w14:paraId="6C7A3748"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67FBCAE5" w14:textId="3B40604E" w:rsidR="00526BE2" w:rsidRDefault="00526BE2" w:rsidP="00526BE2">
      <w:pPr>
        <w:jc w:val="both"/>
        <w:rPr>
          <w:rFonts w:ascii="Arial" w:hAnsi="Arial" w:cs="Arial"/>
        </w:rPr>
      </w:pPr>
      <w:r w:rsidRPr="00526BE2">
        <w:rPr>
          <w:rFonts w:ascii="Arial" w:hAnsi="Arial" w:cs="Arial"/>
        </w:rPr>
        <w:t xml:space="preserve">The Plasticity Index of the soil shows expansive, active clay, which is particularly troublesome in pavement subgrades. The XRD data' mineralogical identification of montmorillonite (33%) is consistent with the high PI. Additionally, because the soil's liquidity </w:t>
      </w:r>
      <w:r w:rsidRPr="00526BE2">
        <w:rPr>
          <w:rFonts w:ascii="Arial" w:hAnsi="Arial" w:cs="Arial"/>
        </w:rPr>
        <w:lastRenderedPageBreak/>
        <w:t>index (LI) is greater than 1, it is naturally above the plastic limit, indicating that it is in a soft to ve</w:t>
      </w:r>
      <w:r w:rsidR="00747134">
        <w:rPr>
          <w:rFonts w:ascii="Arial" w:hAnsi="Arial" w:cs="Arial"/>
        </w:rPr>
        <w:t xml:space="preserve">ry soft state in-situ and </w:t>
      </w:r>
      <w:r w:rsidRPr="00526BE2">
        <w:rPr>
          <w:rFonts w:ascii="Arial" w:hAnsi="Arial" w:cs="Arial"/>
        </w:rPr>
        <w:t>if left untreated, it could become unstable under loading.</w:t>
      </w:r>
      <w:r w:rsidR="00747134">
        <w:rPr>
          <w:rFonts w:ascii="Arial" w:hAnsi="Arial" w:cs="Arial"/>
        </w:rPr>
        <w:t xml:space="preserve"> </w:t>
      </w:r>
      <w:r w:rsidRPr="00526BE2">
        <w:rPr>
          <w:rFonts w:ascii="Arial" w:hAnsi="Arial" w:cs="Arial"/>
        </w:rPr>
        <w:t>According to the consistency index, earth behaves like an extremely hard or stiff substance when it is drier</w:t>
      </w:r>
      <w:r>
        <w:rPr>
          <w:rFonts w:ascii="Arial" w:hAnsi="Arial" w:cs="Arial"/>
        </w:rPr>
        <w:t xml:space="preserve"> than the plastic limit.  </w:t>
      </w:r>
      <w:r w:rsidRPr="00526BE2">
        <w:rPr>
          <w:rFonts w:ascii="Arial" w:hAnsi="Arial" w:cs="Arial"/>
        </w:rPr>
        <w:t>Because of its extreme flexibility and shrinkage, v</w:t>
      </w:r>
      <w:r w:rsidR="00747134">
        <w:rPr>
          <w:rFonts w:ascii="Arial" w:hAnsi="Arial" w:cs="Arial"/>
        </w:rPr>
        <w:t xml:space="preserve">ulnerability to volume changes </w:t>
      </w:r>
      <w:r w:rsidRPr="00526BE2">
        <w:rPr>
          <w:rFonts w:ascii="Arial" w:hAnsi="Arial" w:cs="Arial"/>
        </w:rPr>
        <w:t>and poor workability and stability in wet conditions, the soil in its natural state is not appropriate for use as a subgrade or untreated base material in pavement construction for highway applications.</w:t>
      </w:r>
    </w:p>
    <w:p w14:paraId="2FBB5BCA" w14:textId="77777777" w:rsidR="00747134" w:rsidRPr="00526BE2" w:rsidRDefault="00747134" w:rsidP="00526BE2">
      <w:pPr>
        <w:jc w:val="both"/>
        <w:rPr>
          <w:rFonts w:ascii="Arial" w:hAnsi="Arial" w:cs="Arial"/>
        </w:rPr>
      </w:pPr>
    </w:p>
    <w:p w14:paraId="14F76A2E" w14:textId="092FF7DB" w:rsidR="00561902" w:rsidRPr="00561902" w:rsidRDefault="00561902" w:rsidP="00561902">
      <w:pPr>
        <w:pStyle w:val="Body"/>
        <w:rPr>
          <w:rFonts w:ascii="Arial" w:hAnsi="Arial" w:cs="Arial"/>
          <w:b/>
          <w:bCs/>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hAnsi="Arial" w:cs="Arial"/>
          <w:b/>
          <w:sz w:val="22"/>
        </w:rPr>
        <w:t>Sieve Analysis of Soil Sample</w:t>
      </w:r>
    </w:p>
    <w:p w14:paraId="19D214F0" w14:textId="4E60338D" w:rsidR="00747134" w:rsidRPr="00747134" w:rsidRDefault="00747134" w:rsidP="00747134">
      <w:pPr>
        <w:jc w:val="both"/>
        <w:rPr>
          <w:rFonts w:ascii="Arial" w:hAnsi="Arial" w:cs="Arial"/>
        </w:rPr>
      </w:pPr>
      <w:r w:rsidRPr="00747134">
        <w:rPr>
          <w:rFonts w:ascii="Arial" w:hAnsi="Arial" w:cs="Arial"/>
        </w:rPr>
        <w:t>To ascertain the particle size distribution</w:t>
      </w:r>
      <w:r>
        <w:rPr>
          <w:rFonts w:ascii="Arial" w:hAnsi="Arial" w:cs="Arial"/>
        </w:rPr>
        <w:t xml:space="preserve"> of the soil sample</w:t>
      </w:r>
      <w:r w:rsidRPr="00747134">
        <w:rPr>
          <w:rFonts w:ascii="Arial" w:hAnsi="Arial" w:cs="Arial"/>
        </w:rPr>
        <w:t xml:space="preserve"> and categorize it using the Unified Soil Classification System (USCS), sieve analysis and hydrometer analysis (Table 2) were carried out (</w:t>
      </w:r>
      <w:proofErr w:type="spellStart"/>
      <w:r w:rsidRPr="00747134">
        <w:rPr>
          <w:rFonts w:ascii="Arial" w:hAnsi="Arial" w:cs="Arial"/>
        </w:rPr>
        <w:t>Seděčkováet</w:t>
      </w:r>
      <w:proofErr w:type="spellEnd"/>
      <w:r w:rsidRPr="00747134">
        <w:rPr>
          <w:rFonts w:ascii="Arial" w:hAnsi="Arial" w:cs="Arial"/>
        </w:rPr>
        <w:t xml:space="preserve"> al., 2024). According to the USCS classification, the soil was categorized as having a moderate sand content, falling into the clayey or silty soil categories. This dat</w:t>
      </w:r>
      <w:r>
        <w:rPr>
          <w:rFonts w:ascii="Arial" w:hAnsi="Arial" w:cs="Arial"/>
        </w:rPr>
        <w:t xml:space="preserve">a aided in assessing the </w:t>
      </w:r>
      <w:r w:rsidRPr="00747134">
        <w:rPr>
          <w:rFonts w:ascii="Arial" w:hAnsi="Arial" w:cs="Arial"/>
        </w:rPr>
        <w:t>engineering characteristics</w:t>
      </w:r>
      <w:r>
        <w:rPr>
          <w:rFonts w:ascii="Arial" w:hAnsi="Arial" w:cs="Arial"/>
        </w:rPr>
        <w:t xml:space="preserve"> of the soil</w:t>
      </w:r>
      <w:r w:rsidRPr="00747134">
        <w:rPr>
          <w:rFonts w:ascii="Arial" w:hAnsi="Arial" w:cs="Arial"/>
        </w:rPr>
        <w:t>, including its possib</w:t>
      </w:r>
      <w:r>
        <w:rPr>
          <w:rFonts w:ascii="Arial" w:hAnsi="Arial" w:cs="Arial"/>
        </w:rPr>
        <w:t xml:space="preserve">le expansiveness, permeability </w:t>
      </w:r>
      <w:r w:rsidRPr="00747134">
        <w:rPr>
          <w:rFonts w:ascii="Arial" w:hAnsi="Arial" w:cs="Arial"/>
        </w:rPr>
        <w:t xml:space="preserve">and flexibility. </w:t>
      </w:r>
      <w:r>
        <w:rPr>
          <w:rFonts w:ascii="Arial" w:hAnsi="Arial" w:cs="Arial"/>
        </w:rPr>
        <w:t>The fines (&lt; 0.075 mm) portion wa</w:t>
      </w:r>
      <w:r w:rsidRPr="00747134">
        <w:rPr>
          <w:rFonts w:ascii="Arial" w:hAnsi="Arial" w:cs="Arial"/>
        </w:rPr>
        <w:t>s separated into silt and clay by the hydrometer test. Because the soil included more than 50% particles, the USCS classed it as fine-grained soil.</w:t>
      </w:r>
    </w:p>
    <w:p w14:paraId="4D419F78" w14:textId="77777777" w:rsidR="00561902" w:rsidRDefault="00561902" w:rsidP="00561902">
      <w:pPr>
        <w:tabs>
          <w:tab w:val="left" w:pos="1080"/>
        </w:tabs>
        <w:jc w:val="center"/>
        <w:rPr>
          <w:rFonts w:ascii="Arial" w:hAnsi="Arial"/>
          <w:b/>
        </w:rPr>
      </w:pPr>
    </w:p>
    <w:p w14:paraId="1AF36E62" w14:textId="3E1AA5D9" w:rsidR="00561902" w:rsidRDefault="00561902" w:rsidP="00AF1591">
      <w:pPr>
        <w:tabs>
          <w:tab w:val="left" w:pos="1080"/>
        </w:tabs>
        <w:rPr>
          <w:rFonts w:ascii="Arial" w:hAnsi="Arial"/>
          <w:b/>
        </w:rPr>
      </w:pPr>
      <w:r>
        <w:rPr>
          <w:rFonts w:ascii="Arial" w:hAnsi="Arial"/>
          <w:b/>
        </w:rPr>
        <w:t>Table 2.</w:t>
      </w:r>
      <w:r w:rsidRPr="00DC3180">
        <w:rPr>
          <w:rFonts w:ascii="Arial" w:hAnsi="Arial"/>
          <w:b/>
        </w:rPr>
        <w:tab/>
      </w:r>
      <w:r w:rsidRPr="00561902">
        <w:rPr>
          <w:rFonts w:ascii="Arial" w:hAnsi="Arial"/>
          <w:b/>
        </w:rPr>
        <w:t>Hydrometer analysis of soil sample</w:t>
      </w:r>
    </w:p>
    <w:tbl>
      <w:tblPr>
        <w:tblStyle w:val="PlainTable2"/>
        <w:tblW w:w="8606" w:type="dxa"/>
        <w:tblLayout w:type="fixed"/>
        <w:tblLook w:val="0620" w:firstRow="1" w:lastRow="0" w:firstColumn="0" w:lastColumn="0" w:noHBand="1" w:noVBand="1"/>
      </w:tblPr>
      <w:tblGrid>
        <w:gridCol w:w="650"/>
        <w:gridCol w:w="628"/>
        <w:gridCol w:w="810"/>
        <w:gridCol w:w="720"/>
        <w:gridCol w:w="900"/>
        <w:gridCol w:w="630"/>
        <w:gridCol w:w="990"/>
        <w:gridCol w:w="1080"/>
        <w:gridCol w:w="1170"/>
        <w:gridCol w:w="1028"/>
      </w:tblGrid>
      <w:tr w:rsidR="00561902" w:rsidRPr="00561902" w14:paraId="488F7130" w14:textId="77777777" w:rsidTr="00561902">
        <w:trPr>
          <w:cnfStyle w:val="100000000000" w:firstRow="1" w:lastRow="0" w:firstColumn="0" w:lastColumn="0" w:oddVBand="0" w:evenVBand="0" w:oddHBand="0" w:evenHBand="0" w:firstRowFirstColumn="0" w:firstRowLastColumn="0" w:lastRowFirstColumn="0" w:lastRowLastColumn="0"/>
          <w:trHeight w:val="80"/>
        </w:trPr>
        <w:tc>
          <w:tcPr>
            <w:tcW w:w="2808" w:type="dxa"/>
            <w:gridSpan w:val="4"/>
          </w:tcPr>
          <w:p w14:paraId="67AA159E" w14:textId="77777777" w:rsidR="00561902" w:rsidRPr="00561902" w:rsidRDefault="00561902" w:rsidP="00561902">
            <w:pPr>
              <w:pStyle w:val="Body"/>
              <w:widowControl/>
              <w:autoSpaceDE/>
              <w:autoSpaceDN/>
              <w:spacing w:after="0"/>
              <w:rPr>
                <w:rFonts w:ascii="Arial" w:hAnsi="Arial" w:cs="Arial"/>
                <w:b w:val="0"/>
                <w:sz w:val="18"/>
                <w:szCs w:val="20"/>
              </w:rPr>
            </w:pPr>
            <w:r w:rsidRPr="00561902">
              <w:rPr>
                <w:rFonts w:ascii="Arial" w:hAnsi="Arial" w:cs="Arial"/>
                <w:sz w:val="18"/>
                <w:szCs w:val="20"/>
              </w:rPr>
              <w:t>Hydrometer Analysis</w:t>
            </w:r>
          </w:p>
        </w:tc>
        <w:tc>
          <w:tcPr>
            <w:tcW w:w="2520" w:type="dxa"/>
            <w:gridSpan w:val="3"/>
          </w:tcPr>
          <w:p w14:paraId="030C3E92" w14:textId="77777777" w:rsidR="00561902" w:rsidRPr="00561902" w:rsidRDefault="00561902" w:rsidP="00561902">
            <w:pPr>
              <w:pStyle w:val="Body"/>
              <w:widowControl/>
              <w:autoSpaceDE/>
              <w:autoSpaceDN/>
              <w:spacing w:after="0"/>
              <w:rPr>
                <w:rFonts w:ascii="Arial" w:hAnsi="Arial" w:cs="Arial"/>
                <w:b w:val="0"/>
                <w:sz w:val="18"/>
                <w:szCs w:val="20"/>
              </w:rPr>
            </w:pPr>
            <w:r w:rsidRPr="00561902">
              <w:rPr>
                <w:rFonts w:ascii="Arial" w:hAnsi="Arial" w:cs="Arial"/>
                <w:sz w:val="18"/>
                <w:szCs w:val="20"/>
              </w:rPr>
              <w:t xml:space="preserve">Temp </w:t>
            </w:r>
            <w:proofErr w:type="spellStart"/>
            <w:r w:rsidRPr="00561902">
              <w:rPr>
                <w:rFonts w:ascii="Arial" w:hAnsi="Arial" w:cs="Arial"/>
                <w:sz w:val="18"/>
                <w:szCs w:val="20"/>
                <w:vertAlign w:val="superscript"/>
              </w:rPr>
              <w:t>o</w:t>
            </w:r>
            <w:r w:rsidRPr="00561902">
              <w:rPr>
                <w:rFonts w:ascii="Arial" w:hAnsi="Arial" w:cs="Arial"/>
                <w:sz w:val="18"/>
                <w:szCs w:val="20"/>
              </w:rPr>
              <w:t>C</w:t>
            </w:r>
            <w:proofErr w:type="spellEnd"/>
            <w:r w:rsidRPr="00561902">
              <w:rPr>
                <w:rFonts w:ascii="Arial" w:hAnsi="Arial" w:cs="Arial"/>
                <w:sz w:val="18"/>
                <w:szCs w:val="20"/>
              </w:rPr>
              <w:t xml:space="preserve"> = 26</w:t>
            </w:r>
          </w:p>
        </w:tc>
        <w:tc>
          <w:tcPr>
            <w:tcW w:w="3278" w:type="dxa"/>
            <w:gridSpan w:val="3"/>
          </w:tcPr>
          <w:p w14:paraId="07C9174C" w14:textId="77777777" w:rsidR="00561902" w:rsidRPr="00561902" w:rsidRDefault="00561902" w:rsidP="00561902">
            <w:pPr>
              <w:pStyle w:val="Body"/>
              <w:widowControl/>
              <w:autoSpaceDE/>
              <w:autoSpaceDN/>
              <w:spacing w:after="0"/>
              <w:rPr>
                <w:rFonts w:ascii="Arial" w:hAnsi="Arial" w:cs="Arial"/>
                <w:b w:val="0"/>
                <w:sz w:val="18"/>
                <w:szCs w:val="20"/>
              </w:rPr>
            </w:pPr>
            <w:r w:rsidRPr="00561902">
              <w:rPr>
                <w:rFonts w:ascii="Arial" w:hAnsi="Arial" w:cs="Arial"/>
                <w:sz w:val="18"/>
                <w:szCs w:val="20"/>
              </w:rPr>
              <w:t>Temp. Corr. Fact (C</w:t>
            </w:r>
            <w:r w:rsidRPr="00561902">
              <w:rPr>
                <w:rFonts w:ascii="Arial" w:hAnsi="Arial" w:cs="Arial"/>
                <w:sz w:val="18"/>
                <w:szCs w:val="20"/>
                <w:vertAlign w:val="subscript"/>
              </w:rPr>
              <w:t>T</w:t>
            </w:r>
            <w:r w:rsidRPr="00561902">
              <w:rPr>
                <w:rFonts w:ascii="Arial" w:hAnsi="Arial" w:cs="Arial"/>
                <w:sz w:val="18"/>
                <w:szCs w:val="20"/>
              </w:rPr>
              <w:t>) = 1.65</w:t>
            </w:r>
          </w:p>
        </w:tc>
      </w:tr>
      <w:tr w:rsidR="00561902" w:rsidRPr="00561902" w14:paraId="5DDA281D" w14:textId="77777777" w:rsidTr="00561902">
        <w:trPr>
          <w:trHeight w:val="163"/>
        </w:trPr>
        <w:tc>
          <w:tcPr>
            <w:tcW w:w="650" w:type="dxa"/>
          </w:tcPr>
          <w:p w14:paraId="41F6203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w:t>
            </w:r>
          </w:p>
        </w:tc>
        <w:tc>
          <w:tcPr>
            <w:tcW w:w="628" w:type="dxa"/>
          </w:tcPr>
          <w:p w14:paraId="1A3E83B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w:t>
            </w:r>
          </w:p>
        </w:tc>
        <w:tc>
          <w:tcPr>
            <w:tcW w:w="810" w:type="dxa"/>
          </w:tcPr>
          <w:p w14:paraId="6B50FED7"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6</w:t>
            </w:r>
          </w:p>
        </w:tc>
        <w:tc>
          <w:tcPr>
            <w:tcW w:w="720" w:type="dxa"/>
          </w:tcPr>
          <w:p w14:paraId="1D4D70C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7</w:t>
            </w:r>
          </w:p>
        </w:tc>
        <w:tc>
          <w:tcPr>
            <w:tcW w:w="900" w:type="dxa"/>
          </w:tcPr>
          <w:p w14:paraId="3EEB25E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8</w:t>
            </w:r>
          </w:p>
        </w:tc>
        <w:tc>
          <w:tcPr>
            <w:tcW w:w="630" w:type="dxa"/>
          </w:tcPr>
          <w:p w14:paraId="5E1AED6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9</w:t>
            </w:r>
          </w:p>
        </w:tc>
        <w:tc>
          <w:tcPr>
            <w:tcW w:w="990" w:type="dxa"/>
          </w:tcPr>
          <w:p w14:paraId="4A138A3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10</w:t>
            </w:r>
          </w:p>
        </w:tc>
        <w:tc>
          <w:tcPr>
            <w:tcW w:w="1080" w:type="dxa"/>
          </w:tcPr>
          <w:p w14:paraId="6AAA90C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11</w:t>
            </w:r>
          </w:p>
        </w:tc>
        <w:tc>
          <w:tcPr>
            <w:tcW w:w="1170" w:type="dxa"/>
          </w:tcPr>
          <w:p w14:paraId="2C8248D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12</w:t>
            </w:r>
          </w:p>
        </w:tc>
        <w:tc>
          <w:tcPr>
            <w:tcW w:w="1028" w:type="dxa"/>
          </w:tcPr>
          <w:p w14:paraId="1D3037D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13</w:t>
            </w:r>
          </w:p>
        </w:tc>
      </w:tr>
      <w:tr w:rsidR="00561902" w:rsidRPr="00561902" w14:paraId="2D6A917E" w14:textId="77777777" w:rsidTr="00561902">
        <w:trPr>
          <w:trHeight w:val="558"/>
        </w:trPr>
        <w:tc>
          <w:tcPr>
            <w:tcW w:w="650" w:type="dxa"/>
          </w:tcPr>
          <w:p w14:paraId="1541BC8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Time of Reading (min)</w:t>
            </w:r>
          </w:p>
        </w:tc>
        <w:tc>
          <w:tcPr>
            <w:tcW w:w="628" w:type="dxa"/>
          </w:tcPr>
          <w:p w14:paraId="15EB22C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L</w:t>
            </w:r>
          </w:p>
        </w:tc>
        <w:tc>
          <w:tcPr>
            <w:tcW w:w="810" w:type="dxa"/>
          </w:tcPr>
          <w:p w14:paraId="78A2C11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K</w:t>
            </w:r>
          </w:p>
        </w:tc>
        <w:tc>
          <w:tcPr>
            <w:tcW w:w="720" w:type="dxa"/>
          </w:tcPr>
          <w:p w14:paraId="16D5F55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Actual Hydro. Reading R</w:t>
            </w:r>
            <w:r w:rsidRPr="00561902">
              <w:rPr>
                <w:rFonts w:ascii="Arial" w:hAnsi="Arial" w:cs="Arial"/>
                <w:sz w:val="18"/>
                <w:szCs w:val="20"/>
                <w:vertAlign w:val="subscript"/>
              </w:rPr>
              <w:t>a</w:t>
            </w:r>
          </w:p>
        </w:tc>
        <w:tc>
          <w:tcPr>
            <w:tcW w:w="900" w:type="dxa"/>
          </w:tcPr>
          <w:p w14:paraId="29327CD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 xml:space="preserve">Corr. Hydro. Reading </w:t>
            </w:r>
            <w:proofErr w:type="spellStart"/>
            <w:r w:rsidRPr="00561902">
              <w:rPr>
                <w:rFonts w:ascii="Arial" w:hAnsi="Arial" w:cs="Arial"/>
                <w:sz w:val="18"/>
                <w:szCs w:val="20"/>
              </w:rPr>
              <w:t>R</w:t>
            </w:r>
            <w:r w:rsidRPr="00561902">
              <w:rPr>
                <w:rFonts w:ascii="Arial" w:hAnsi="Arial" w:cs="Arial"/>
                <w:sz w:val="18"/>
                <w:szCs w:val="20"/>
                <w:vertAlign w:val="subscript"/>
              </w:rPr>
              <w:t>c</w:t>
            </w:r>
            <w:proofErr w:type="spellEnd"/>
          </w:p>
        </w:tc>
        <w:tc>
          <w:tcPr>
            <w:tcW w:w="630" w:type="dxa"/>
          </w:tcPr>
          <w:p w14:paraId="10EC740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 Finer</w:t>
            </w:r>
          </w:p>
        </w:tc>
        <w:tc>
          <w:tcPr>
            <w:tcW w:w="990" w:type="dxa"/>
          </w:tcPr>
          <w:p w14:paraId="5A2C69F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Hydro. Corr. Only for Meniscus R</w:t>
            </w:r>
          </w:p>
        </w:tc>
        <w:tc>
          <w:tcPr>
            <w:tcW w:w="1080" w:type="dxa"/>
          </w:tcPr>
          <w:p w14:paraId="74EAFE4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L/t</w:t>
            </w:r>
          </w:p>
        </w:tc>
        <w:tc>
          <w:tcPr>
            <w:tcW w:w="1170" w:type="dxa"/>
          </w:tcPr>
          <w:p w14:paraId="7628DA4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D (mm)</w:t>
            </w:r>
          </w:p>
        </w:tc>
        <w:tc>
          <w:tcPr>
            <w:tcW w:w="1028" w:type="dxa"/>
          </w:tcPr>
          <w:p w14:paraId="184BC25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 Finer P</w:t>
            </w:r>
            <w:r w:rsidRPr="00561902">
              <w:rPr>
                <w:rFonts w:ascii="Arial" w:hAnsi="Arial" w:cs="Arial"/>
                <w:sz w:val="18"/>
                <w:szCs w:val="20"/>
                <w:vertAlign w:val="subscript"/>
              </w:rPr>
              <w:t>A</w:t>
            </w:r>
          </w:p>
        </w:tc>
      </w:tr>
      <w:tr w:rsidR="00561902" w:rsidRPr="00561902" w14:paraId="63D56F05" w14:textId="77777777" w:rsidTr="00561902">
        <w:trPr>
          <w:trHeight w:val="77"/>
        </w:trPr>
        <w:tc>
          <w:tcPr>
            <w:tcW w:w="650" w:type="dxa"/>
          </w:tcPr>
          <w:p w14:paraId="6C5C501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0.5</w:t>
            </w:r>
          </w:p>
        </w:tc>
        <w:tc>
          <w:tcPr>
            <w:tcW w:w="628" w:type="dxa"/>
          </w:tcPr>
          <w:p w14:paraId="2C7A2B0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7.4</w:t>
            </w:r>
          </w:p>
        </w:tc>
        <w:tc>
          <w:tcPr>
            <w:tcW w:w="810" w:type="dxa"/>
          </w:tcPr>
          <w:p w14:paraId="65D056F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04A55C3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53</w:t>
            </w:r>
          </w:p>
        </w:tc>
        <w:tc>
          <w:tcPr>
            <w:tcW w:w="900" w:type="dxa"/>
          </w:tcPr>
          <w:p w14:paraId="56D0321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49</w:t>
            </w:r>
          </w:p>
        </w:tc>
        <w:tc>
          <w:tcPr>
            <w:tcW w:w="630" w:type="dxa"/>
          </w:tcPr>
          <w:p w14:paraId="0C1EF427"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98</w:t>
            </w:r>
          </w:p>
        </w:tc>
        <w:tc>
          <w:tcPr>
            <w:tcW w:w="990" w:type="dxa"/>
          </w:tcPr>
          <w:p w14:paraId="1A89347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54.0</w:t>
            </w:r>
          </w:p>
        </w:tc>
        <w:tc>
          <w:tcPr>
            <w:tcW w:w="1080" w:type="dxa"/>
          </w:tcPr>
          <w:p w14:paraId="1CAD9657"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14.8</w:t>
            </w:r>
          </w:p>
        </w:tc>
        <w:tc>
          <w:tcPr>
            <w:tcW w:w="1170" w:type="dxa"/>
          </w:tcPr>
          <w:p w14:paraId="4A6D3F6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0.048858</w:t>
            </w:r>
          </w:p>
        </w:tc>
        <w:tc>
          <w:tcPr>
            <w:tcW w:w="1028" w:type="dxa"/>
          </w:tcPr>
          <w:p w14:paraId="5C271EC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53.312</w:t>
            </w:r>
          </w:p>
        </w:tc>
      </w:tr>
      <w:tr w:rsidR="00561902" w:rsidRPr="00561902" w14:paraId="12B564EF" w14:textId="77777777" w:rsidTr="00561902">
        <w:trPr>
          <w:trHeight w:val="126"/>
        </w:trPr>
        <w:tc>
          <w:tcPr>
            <w:tcW w:w="650" w:type="dxa"/>
          </w:tcPr>
          <w:p w14:paraId="0E10F6C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w:t>
            </w:r>
          </w:p>
        </w:tc>
        <w:tc>
          <w:tcPr>
            <w:tcW w:w="628" w:type="dxa"/>
          </w:tcPr>
          <w:p w14:paraId="3BD7C93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7.8</w:t>
            </w:r>
          </w:p>
        </w:tc>
        <w:tc>
          <w:tcPr>
            <w:tcW w:w="810" w:type="dxa"/>
          </w:tcPr>
          <w:p w14:paraId="60503C05"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011B664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51</w:t>
            </w:r>
          </w:p>
        </w:tc>
        <w:tc>
          <w:tcPr>
            <w:tcW w:w="900" w:type="dxa"/>
          </w:tcPr>
          <w:p w14:paraId="132EAEA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47</w:t>
            </w:r>
          </w:p>
        </w:tc>
        <w:tc>
          <w:tcPr>
            <w:tcW w:w="630" w:type="dxa"/>
          </w:tcPr>
          <w:p w14:paraId="00EFB4E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94</w:t>
            </w:r>
          </w:p>
        </w:tc>
        <w:tc>
          <w:tcPr>
            <w:tcW w:w="990" w:type="dxa"/>
          </w:tcPr>
          <w:p w14:paraId="06FC050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52.0</w:t>
            </w:r>
          </w:p>
        </w:tc>
        <w:tc>
          <w:tcPr>
            <w:tcW w:w="1080" w:type="dxa"/>
          </w:tcPr>
          <w:p w14:paraId="0D58DBF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7.8</w:t>
            </w:r>
          </w:p>
        </w:tc>
        <w:tc>
          <w:tcPr>
            <w:tcW w:w="1170" w:type="dxa"/>
          </w:tcPr>
          <w:p w14:paraId="24FB128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0.035469</w:t>
            </w:r>
          </w:p>
        </w:tc>
        <w:tc>
          <w:tcPr>
            <w:tcW w:w="1028" w:type="dxa"/>
          </w:tcPr>
          <w:p w14:paraId="4F01CA2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51.136</w:t>
            </w:r>
          </w:p>
        </w:tc>
      </w:tr>
      <w:tr w:rsidR="00561902" w:rsidRPr="00561902" w14:paraId="4F098C1B" w14:textId="77777777" w:rsidTr="00561902">
        <w:trPr>
          <w:trHeight w:val="77"/>
        </w:trPr>
        <w:tc>
          <w:tcPr>
            <w:tcW w:w="650" w:type="dxa"/>
          </w:tcPr>
          <w:p w14:paraId="53EDD6B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w:t>
            </w:r>
          </w:p>
        </w:tc>
        <w:tc>
          <w:tcPr>
            <w:tcW w:w="628" w:type="dxa"/>
          </w:tcPr>
          <w:p w14:paraId="6653765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8.1</w:t>
            </w:r>
          </w:p>
        </w:tc>
        <w:tc>
          <w:tcPr>
            <w:tcW w:w="810" w:type="dxa"/>
          </w:tcPr>
          <w:p w14:paraId="2AF08AA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690308D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49</w:t>
            </w:r>
          </w:p>
        </w:tc>
        <w:tc>
          <w:tcPr>
            <w:tcW w:w="900" w:type="dxa"/>
          </w:tcPr>
          <w:p w14:paraId="347735D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45</w:t>
            </w:r>
          </w:p>
        </w:tc>
        <w:tc>
          <w:tcPr>
            <w:tcW w:w="630" w:type="dxa"/>
          </w:tcPr>
          <w:p w14:paraId="5C58434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90</w:t>
            </w:r>
          </w:p>
        </w:tc>
        <w:tc>
          <w:tcPr>
            <w:tcW w:w="990" w:type="dxa"/>
          </w:tcPr>
          <w:p w14:paraId="4118F48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50.0</w:t>
            </w:r>
          </w:p>
        </w:tc>
        <w:tc>
          <w:tcPr>
            <w:tcW w:w="1080" w:type="dxa"/>
          </w:tcPr>
          <w:p w14:paraId="75697F5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4.05</w:t>
            </w:r>
          </w:p>
        </w:tc>
        <w:tc>
          <w:tcPr>
            <w:tcW w:w="1170" w:type="dxa"/>
          </w:tcPr>
          <w:p w14:paraId="6B46EB1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0.025558</w:t>
            </w:r>
          </w:p>
        </w:tc>
        <w:tc>
          <w:tcPr>
            <w:tcW w:w="1028" w:type="dxa"/>
          </w:tcPr>
          <w:p w14:paraId="1AB5E47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48.96</w:t>
            </w:r>
          </w:p>
        </w:tc>
      </w:tr>
      <w:tr w:rsidR="00561902" w:rsidRPr="00561902" w14:paraId="43FB49A5" w14:textId="77777777" w:rsidTr="00561902">
        <w:trPr>
          <w:trHeight w:val="77"/>
        </w:trPr>
        <w:tc>
          <w:tcPr>
            <w:tcW w:w="650" w:type="dxa"/>
          </w:tcPr>
          <w:p w14:paraId="3C50C57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w:t>
            </w:r>
          </w:p>
        </w:tc>
        <w:tc>
          <w:tcPr>
            <w:tcW w:w="628" w:type="dxa"/>
          </w:tcPr>
          <w:p w14:paraId="01B4686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8.8</w:t>
            </w:r>
          </w:p>
        </w:tc>
        <w:tc>
          <w:tcPr>
            <w:tcW w:w="810" w:type="dxa"/>
          </w:tcPr>
          <w:p w14:paraId="01153EA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2710AE3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45</w:t>
            </w:r>
          </w:p>
        </w:tc>
        <w:tc>
          <w:tcPr>
            <w:tcW w:w="900" w:type="dxa"/>
          </w:tcPr>
          <w:p w14:paraId="45F7300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41</w:t>
            </w:r>
          </w:p>
        </w:tc>
        <w:tc>
          <w:tcPr>
            <w:tcW w:w="630" w:type="dxa"/>
          </w:tcPr>
          <w:p w14:paraId="36FAB6B4"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82</w:t>
            </w:r>
          </w:p>
        </w:tc>
        <w:tc>
          <w:tcPr>
            <w:tcW w:w="990" w:type="dxa"/>
          </w:tcPr>
          <w:p w14:paraId="4B3FE91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46.0</w:t>
            </w:r>
          </w:p>
        </w:tc>
        <w:tc>
          <w:tcPr>
            <w:tcW w:w="1080" w:type="dxa"/>
          </w:tcPr>
          <w:p w14:paraId="6DDCE43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2.2</w:t>
            </w:r>
          </w:p>
        </w:tc>
        <w:tc>
          <w:tcPr>
            <w:tcW w:w="1170" w:type="dxa"/>
          </w:tcPr>
          <w:p w14:paraId="4E2B6D1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0.018837</w:t>
            </w:r>
          </w:p>
        </w:tc>
        <w:tc>
          <w:tcPr>
            <w:tcW w:w="1028" w:type="dxa"/>
          </w:tcPr>
          <w:p w14:paraId="7305E3A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44.608</w:t>
            </w:r>
          </w:p>
        </w:tc>
      </w:tr>
      <w:tr w:rsidR="00561902" w:rsidRPr="00561902" w14:paraId="1B81AD76" w14:textId="77777777" w:rsidTr="00561902">
        <w:trPr>
          <w:trHeight w:val="77"/>
        </w:trPr>
        <w:tc>
          <w:tcPr>
            <w:tcW w:w="650" w:type="dxa"/>
          </w:tcPr>
          <w:p w14:paraId="1A451FF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8</w:t>
            </w:r>
          </w:p>
        </w:tc>
        <w:tc>
          <w:tcPr>
            <w:tcW w:w="628" w:type="dxa"/>
          </w:tcPr>
          <w:p w14:paraId="68E875E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9.4</w:t>
            </w:r>
          </w:p>
        </w:tc>
        <w:tc>
          <w:tcPr>
            <w:tcW w:w="810" w:type="dxa"/>
          </w:tcPr>
          <w:p w14:paraId="39005F6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5E590AF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41</w:t>
            </w:r>
          </w:p>
        </w:tc>
        <w:tc>
          <w:tcPr>
            <w:tcW w:w="900" w:type="dxa"/>
          </w:tcPr>
          <w:p w14:paraId="1906C56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37</w:t>
            </w:r>
          </w:p>
        </w:tc>
        <w:tc>
          <w:tcPr>
            <w:tcW w:w="630" w:type="dxa"/>
          </w:tcPr>
          <w:p w14:paraId="33CFDD2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74</w:t>
            </w:r>
          </w:p>
        </w:tc>
        <w:tc>
          <w:tcPr>
            <w:tcW w:w="990" w:type="dxa"/>
          </w:tcPr>
          <w:p w14:paraId="4865029B"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42.0</w:t>
            </w:r>
          </w:p>
        </w:tc>
        <w:tc>
          <w:tcPr>
            <w:tcW w:w="1080" w:type="dxa"/>
          </w:tcPr>
          <w:p w14:paraId="6621C66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1.175</w:t>
            </w:r>
          </w:p>
        </w:tc>
        <w:tc>
          <w:tcPr>
            <w:tcW w:w="1170" w:type="dxa"/>
          </w:tcPr>
          <w:p w14:paraId="38C646C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0.013766</w:t>
            </w:r>
          </w:p>
        </w:tc>
        <w:tc>
          <w:tcPr>
            <w:tcW w:w="1028" w:type="dxa"/>
          </w:tcPr>
          <w:p w14:paraId="2996DBF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40.256</w:t>
            </w:r>
          </w:p>
        </w:tc>
      </w:tr>
      <w:tr w:rsidR="00561902" w:rsidRPr="00561902" w14:paraId="47938F5C" w14:textId="77777777" w:rsidTr="00561902">
        <w:trPr>
          <w:trHeight w:val="77"/>
        </w:trPr>
        <w:tc>
          <w:tcPr>
            <w:tcW w:w="650" w:type="dxa"/>
          </w:tcPr>
          <w:p w14:paraId="58E83EB7"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15</w:t>
            </w:r>
          </w:p>
        </w:tc>
        <w:tc>
          <w:tcPr>
            <w:tcW w:w="628" w:type="dxa"/>
          </w:tcPr>
          <w:p w14:paraId="60BACAD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9.9</w:t>
            </w:r>
          </w:p>
        </w:tc>
        <w:tc>
          <w:tcPr>
            <w:tcW w:w="810" w:type="dxa"/>
          </w:tcPr>
          <w:p w14:paraId="7903BA0B"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1F053D7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38</w:t>
            </w:r>
          </w:p>
        </w:tc>
        <w:tc>
          <w:tcPr>
            <w:tcW w:w="900" w:type="dxa"/>
          </w:tcPr>
          <w:p w14:paraId="2713053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34</w:t>
            </w:r>
          </w:p>
        </w:tc>
        <w:tc>
          <w:tcPr>
            <w:tcW w:w="630" w:type="dxa"/>
          </w:tcPr>
          <w:p w14:paraId="1FBC282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68</w:t>
            </w:r>
          </w:p>
        </w:tc>
        <w:tc>
          <w:tcPr>
            <w:tcW w:w="990" w:type="dxa"/>
          </w:tcPr>
          <w:p w14:paraId="105C84A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39.0</w:t>
            </w:r>
          </w:p>
        </w:tc>
        <w:tc>
          <w:tcPr>
            <w:tcW w:w="1080" w:type="dxa"/>
          </w:tcPr>
          <w:p w14:paraId="485AE95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0.66</w:t>
            </w:r>
          </w:p>
        </w:tc>
        <w:tc>
          <w:tcPr>
            <w:tcW w:w="1170" w:type="dxa"/>
          </w:tcPr>
          <w:p w14:paraId="62B7930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0.010318</w:t>
            </w:r>
          </w:p>
        </w:tc>
        <w:tc>
          <w:tcPr>
            <w:tcW w:w="1028" w:type="dxa"/>
          </w:tcPr>
          <w:p w14:paraId="3790C2F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36.992</w:t>
            </w:r>
          </w:p>
        </w:tc>
      </w:tr>
      <w:tr w:rsidR="00561902" w:rsidRPr="00561902" w14:paraId="624CBB33" w14:textId="77777777" w:rsidTr="00561902">
        <w:trPr>
          <w:trHeight w:val="77"/>
        </w:trPr>
        <w:tc>
          <w:tcPr>
            <w:tcW w:w="650" w:type="dxa"/>
          </w:tcPr>
          <w:p w14:paraId="02EFA74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30</w:t>
            </w:r>
          </w:p>
        </w:tc>
        <w:tc>
          <w:tcPr>
            <w:tcW w:w="628" w:type="dxa"/>
          </w:tcPr>
          <w:p w14:paraId="3EF0DCA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10.5</w:t>
            </w:r>
          </w:p>
        </w:tc>
        <w:tc>
          <w:tcPr>
            <w:tcW w:w="810" w:type="dxa"/>
          </w:tcPr>
          <w:p w14:paraId="394DE3A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7C23B7F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34</w:t>
            </w:r>
          </w:p>
        </w:tc>
        <w:tc>
          <w:tcPr>
            <w:tcW w:w="900" w:type="dxa"/>
          </w:tcPr>
          <w:p w14:paraId="0154617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30</w:t>
            </w:r>
          </w:p>
        </w:tc>
        <w:tc>
          <w:tcPr>
            <w:tcW w:w="630" w:type="dxa"/>
          </w:tcPr>
          <w:p w14:paraId="1D2B954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60</w:t>
            </w:r>
          </w:p>
        </w:tc>
        <w:tc>
          <w:tcPr>
            <w:tcW w:w="990" w:type="dxa"/>
          </w:tcPr>
          <w:p w14:paraId="2C0B95F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35.0</w:t>
            </w:r>
          </w:p>
        </w:tc>
        <w:tc>
          <w:tcPr>
            <w:tcW w:w="1080" w:type="dxa"/>
          </w:tcPr>
          <w:p w14:paraId="53853F1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0.35</w:t>
            </w:r>
          </w:p>
        </w:tc>
        <w:tc>
          <w:tcPr>
            <w:tcW w:w="1170" w:type="dxa"/>
          </w:tcPr>
          <w:p w14:paraId="39D3594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0.007513</w:t>
            </w:r>
          </w:p>
        </w:tc>
        <w:tc>
          <w:tcPr>
            <w:tcW w:w="1028" w:type="dxa"/>
          </w:tcPr>
          <w:p w14:paraId="7C15904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32.64</w:t>
            </w:r>
          </w:p>
        </w:tc>
      </w:tr>
      <w:tr w:rsidR="00561902" w:rsidRPr="00561902" w14:paraId="0BEB26BA" w14:textId="77777777" w:rsidTr="00561902">
        <w:trPr>
          <w:trHeight w:val="126"/>
        </w:trPr>
        <w:tc>
          <w:tcPr>
            <w:tcW w:w="650" w:type="dxa"/>
          </w:tcPr>
          <w:p w14:paraId="34B6716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60</w:t>
            </w:r>
          </w:p>
        </w:tc>
        <w:tc>
          <w:tcPr>
            <w:tcW w:w="628" w:type="dxa"/>
          </w:tcPr>
          <w:p w14:paraId="5629B9D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10.7</w:t>
            </w:r>
          </w:p>
        </w:tc>
        <w:tc>
          <w:tcPr>
            <w:tcW w:w="810" w:type="dxa"/>
          </w:tcPr>
          <w:p w14:paraId="19CB27C7"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21C1B96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33</w:t>
            </w:r>
          </w:p>
        </w:tc>
        <w:tc>
          <w:tcPr>
            <w:tcW w:w="900" w:type="dxa"/>
          </w:tcPr>
          <w:p w14:paraId="1FF1D85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29</w:t>
            </w:r>
          </w:p>
        </w:tc>
        <w:tc>
          <w:tcPr>
            <w:tcW w:w="630" w:type="dxa"/>
          </w:tcPr>
          <w:p w14:paraId="1C0659F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58</w:t>
            </w:r>
          </w:p>
        </w:tc>
        <w:tc>
          <w:tcPr>
            <w:tcW w:w="990" w:type="dxa"/>
          </w:tcPr>
          <w:p w14:paraId="3AB69EC4"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34.0</w:t>
            </w:r>
          </w:p>
        </w:tc>
        <w:tc>
          <w:tcPr>
            <w:tcW w:w="1080" w:type="dxa"/>
          </w:tcPr>
          <w:p w14:paraId="0AF5A1F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0.178333</w:t>
            </w:r>
          </w:p>
        </w:tc>
        <w:tc>
          <w:tcPr>
            <w:tcW w:w="1170" w:type="dxa"/>
          </w:tcPr>
          <w:p w14:paraId="0C5355A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0.005363</w:t>
            </w:r>
          </w:p>
        </w:tc>
        <w:tc>
          <w:tcPr>
            <w:tcW w:w="1028" w:type="dxa"/>
          </w:tcPr>
          <w:p w14:paraId="7408AD3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31.552</w:t>
            </w:r>
          </w:p>
        </w:tc>
      </w:tr>
      <w:tr w:rsidR="00561902" w:rsidRPr="00561902" w14:paraId="2449E7AC" w14:textId="77777777" w:rsidTr="00561902">
        <w:trPr>
          <w:trHeight w:val="77"/>
        </w:trPr>
        <w:tc>
          <w:tcPr>
            <w:tcW w:w="650" w:type="dxa"/>
          </w:tcPr>
          <w:p w14:paraId="57396325"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120</w:t>
            </w:r>
          </w:p>
        </w:tc>
        <w:tc>
          <w:tcPr>
            <w:tcW w:w="628" w:type="dxa"/>
          </w:tcPr>
          <w:p w14:paraId="4F9D576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11.1</w:t>
            </w:r>
          </w:p>
        </w:tc>
        <w:tc>
          <w:tcPr>
            <w:tcW w:w="810" w:type="dxa"/>
          </w:tcPr>
          <w:p w14:paraId="622F303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475A468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31</w:t>
            </w:r>
          </w:p>
        </w:tc>
        <w:tc>
          <w:tcPr>
            <w:tcW w:w="900" w:type="dxa"/>
          </w:tcPr>
          <w:p w14:paraId="6D4FEBD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27</w:t>
            </w:r>
          </w:p>
        </w:tc>
        <w:tc>
          <w:tcPr>
            <w:tcW w:w="630" w:type="dxa"/>
          </w:tcPr>
          <w:p w14:paraId="2E16EE7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54</w:t>
            </w:r>
          </w:p>
        </w:tc>
        <w:tc>
          <w:tcPr>
            <w:tcW w:w="990" w:type="dxa"/>
          </w:tcPr>
          <w:p w14:paraId="40C846E4"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32.0</w:t>
            </w:r>
          </w:p>
        </w:tc>
        <w:tc>
          <w:tcPr>
            <w:tcW w:w="1080" w:type="dxa"/>
          </w:tcPr>
          <w:p w14:paraId="5E5480F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0.0925</w:t>
            </w:r>
          </w:p>
        </w:tc>
        <w:tc>
          <w:tcPr>
            <w:tcW w:w="1170" w:type="dxa"/>
          </w:tcPr>
          <w:p w14:paraId="6AE4E317"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0.003863</w:t>
            </w:r>
          </w:p>
        </w:tc>
        <w:tc>
          <w:tcPr>
            <w:tcW w:w="1028" w:type="dxa"/>
          </w:tcPr>
          <w:p w14:paraId="69E8D540"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29.376</w:t>
            </w:r>
          </w:p>
        </w:tc>
      </w:tr>
      <w:tr w:rsidR="00561902" w:rsidRPr="00561902" w14:paraId="52DDF10C" w14:textId="77777777" w:rsidTr="00561902">
        <w:trPr>
          <w:trHeight w:val="62"/>
        </w:trPr>
        <w:tc>
          <w:tcPr>
            <w:tcW w:w="650" w:type="dxa"/>
          </w:tcPr>
          <w:p w14:paraId="424968C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240</w:t>
            </w:r>
          </w:p>
        </w:tc>
        <w:tc>
          <w:tcPr>
            <w:tcW w:w="628" w:type="dxa"/>
          </w:tcPr>
          <w:p w14:paraId="15459C72"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11.4</w:t>
            </w:r>
          </w:p>
        </w:tc>
        <w:tc>
          <w:tcPr>
            <w:tcW w:w="810" w:type="dxa"/>
          </w:tcPr>
          <w:p w14:paraId="2A8F887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5F725EB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29</w:t>
            </w:r>
          </w:p>
        </w:tc>
        <w:tc>
          <w:tcPr>
            <w:tcW w:w="900" w:type="dxa"/>
          </w:tcPr>
          <w:p w14:paraId="41A99D5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25</w:t>
            </w:r>
          </w:p>
        </w:tc>
        <w:tc>
          <w:tcPr>
            <w:tcW w:w="630" w:type="dxa"/>
          </w:tcPr>
          <w:p w14:paraId="230668F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40</w:t>
            </w:r>
          </w:p>
        </w:tc>
        <w:tc>
          <w:tcPr>
            <w:tcW w:w="990" w:type="dxa"/>
          </w:tcPr>
          <w:p w14:paraId="47F60C25"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30.0</w:t>
            </w:r>
          </w:p>
        </w:tc>
        <w:tc>
          <w:tcPr>
            <w:tcW w:w="1080" w:type="dxa"/>
          </w:tcPr>
          <w:p w14:paraId="453CD2A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0.0475</w:t>
            </w:r>
          </w:p>
        </w:tc>
        <w:tc>
          <w:tcPr>
            <w:tcW w:w="1170" w:type="dxa"/>
          </w:tcPr>
          <w:p w14:paraId="496A9AD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0.002768</w:t>
            </w:r>
          </w:p>
        </w:tc>
        <w:tc>
          <w:tcPr>
            <w:tcW w:w="1028" w:type="dxa"/>
          </w:tcPr>
          <w:p w14:paraId="19C26D0B"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27.2</w:t>
            </w:r>
          </w:p>
        </w:tc>
      </w:tr>
      <w:tr w:rsidR="00561902" w:rsidRPr="00561902" w14:paraId="457CC3CB" w14:textId="77777777" w:rsidTr="00561902">
        <w:trPr>
          <w:trHeight w:val="62"/>
        </w:trPr>
        <w:tc>
          <w:tcPr>
            <w:tcW w:w="650" w:type="dxa"/>
          </w:tcPr>
          <w:p w14:paraId="2775401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360</w:t>
            </w:r>
          </w:p>
        </w:tc>
        <w:tc>
          <w:tcPr>
            <w:tcW w:w="628" w:type="dxa"/>
          </w:tcPr>
          <w:p w14:paraId="582866F4"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11.7</w:t>
            </w:r>
          </w:p>
        </w:tc>
        <w:tc>
          <w:tcPr>
            <w:tcW w:w="810" w:type="dxa"/>
          </w:tcPr>
          <w:p w14:paraId="21028C1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79C5F67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27</w:t>
            </w:r>
          </w:p>
        </w:tc>
        <w:tc>
          <w:tcPr>
            <w:tcW w:w="900" w:type="dxa"/>
          </w:tcPr>
          <w:p w14:paraId="3A8D53C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23</w:t>
            </w:r>
          </w:p>
        </w:tc>
        <w:tc>
          <w:tcPr>
            <w:tcW w:w="630" w:type="dxa"/>
          </w:tcPr>
          <w:p w14:paraId="5AD4C33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46</w:t>
            </w:r>
          </w:p>
        </w:tc>
        <w:tc>
          <w:tcPr>
            <w:tcW w:w="990" w:type="dxa"/>
          </w:tcPr>
          <w:p w14:paraId="2F5172A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28.0</w:t>
            </w:r>
          </w:p>
        </w:tc>
        <w:tc>
          <w:tcPr>
            <w:tcW w:w="1080" w:type="dxa"/>
          </w:tcPr>
          <w:p w14:paraId="62A8B64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0.0325</w:t>
            </w:r>
          </w:p>
        </w:tc>
        <w:tc>
          <w:tcPr>
            <w:tcW w:w="1170" w:type="dxa"/>
          </w:tcPr>
          <w:p w14:paraId="7D64B4E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0.002290</w:t>
            </w:r>
          </w:p>
        </w:tc>
        <w:tc>
          <w:tcPr>
            <w:tcW w:w="1028" w:type="dxa"/>
          </w:tcPr>
          <w:p w14:paraId="1B7DD5B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25.024</w:t>
            </w:r>
          </w:p>
        </w:tc>
      </w:tr>
      <w:tr w:rsidR="00561902" w:rsidRPr="00561902" w14:paraId="5C5CACC3" w14:textId="77777777" w:rsidTr="00561902">
        <w:trPr>
          <w:trHeight w:val="62"/>
        </w:trPr>
        <w:tc>
          <w:tcPr>
            <w:tcW w:w="650" w:type="dxa"/>
          </w:tcPr>
          <w:p w14:paraId="5E70155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480</w:t>
            </w:r>
          </w:p>
        </w:tc>
        <w:tc>
          <w:tcPr>
            <w:tcW w:w="628" w:type="dxa"/>
          </w:tcPr>
          <w:p w14:paraId="0CEEA4B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11.9</w:t>
            </w:r>
          </w:p>
        </w:tc>
        <w:tc>
          <w:tcPr>
            <w:tcW w:w="810" w:type="dxa"/>
          </w:tcPr>
          <w:p w14:paraId="3A319D4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1C6A96D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26</w:t>
            </w:r>
          </w:p>
        </w:tc>
        <w:tc>
          <w:tcPr>
            <w:tcW w:w="900" w:type="dxa"/>
          </w:tcPr>
          <w:p w14:paraId="402A645E"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22</w:t>
            </w:r>
          </w:p>
        </w:tc>
        <w:tc>
          <w:tcPr>
            <w:tcW w:w="630" w:type="dxa"/>
          </w:tcPr>
          <w:p w14:paraId="355939F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44</w:t>
            </w:r>
          </w:p>
        </w:tc>
        <w:tc>
          <w:tcPr>
            <w:tcW w:w="990" w:type="dxa"/>
          </w:tcPr>
          <w:p w14:paraId="3B10E3E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27.0</w:t>
            </w:r>
          </w:p>
        </w:tc>
        <w:tc>
          <w:tcPr>
            <w:tcW w:w="1080" w:type="dxa"/>
          </w:tcPr>
          <w:p w14:paraId="12044A2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0.024792</w:t>
            </w:r>
          </w:p>
        </w:tc>
        <w:tc>
          <w:tcPr>
            <w:tcW w:w="1170" w:type="dxa"/>
          </w:tcPr>
          <w:p w14:paraId="499E3C5F"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0.002</w:t>
            </w:r>
          </w:p>
        </w:tc>
        <w:tc>
          <w:tcPr>
            <w:tcW w:w="1028" w:type="dxa"/>
          </w:tcPr>
          <w:p w14:paraId="567EDFCD"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23.936</w:t>
            </w:r>
          </w:p>
        </w:tc>
      </w:tr>
      <w:tr w:rsidR="00561902" w:rsidRPr="00561902" w14:paraId="7632B123" w14:textId="77777777" w:rsidTr="00561902">
        <w:trPr>
          <w:trHeight w:val="77"/>
        </w:trPr>
        <w:tc>
          <w:tcPr>
            <w:tcW w:w="650" w:type="dxa"/>
          </w:tcPr>
          <w:p w14:paraId="6A5CA74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1440</w:t>
            </w:r>
          </w:p>
        </w:tc>
        <w:tc>
          <w:tcPr>
            <w:tcW w:w="628" w:type="dxa"/>
          </w:tcPr>
          <w:p w14:paraId="7F895076"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12.5</w:t>
            </w:r>
          </w:p>
        </w:tc>
        <w:tc>
          <w:tcPr>
            <w:tcW w:w="810" w:type="dxa"/>
          </w:tcPr>
          <w:p w14:paraId="51E0B5A1"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0.0127</w:t>
            </w:r>
          </w:p>
        </w:tc>
        <w:tc>
          <w:tcPr>
            <w:tcW w:w="720" w:type="dxa"/>
          </w:tcPr>
          <w:p w14:paraId="34A4B795"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22</w:t>
            </w:r>
          </w:p>
        </w:tc>
        <w:tc>
          <w:tcPr>
            <w:tcW w:w="900" w:type="dxa"/>
          </w:tcPr>
          <w:p w14:paraId="2E239DA8"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18</w:t>
            </w:r>
          </w:p>
        </w:tc>
        <w:tc>
          <w:tcPr>
            <w:tcW w:w="630" w:type="dxa"/>
          </w:tcPr>
          <w:p w14:paraId="2763F74C"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36</w:t>
            </w:r>
          </w:p>
        </w:tc>
        <w:tc>
          <w:tcPr>
            <w:tcW w:w="990" w:type="dxa"/>
          </w:tcPr>
          <w:p w14:paraId="4112DA1A"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23.0</w:t>
            </w:r>
          </w:p>
        </w:tc>
        <w:tc>
          <w:tcPr>
            <w:tcW w:w="1080" w:type="dxa"/>
          </w:tcPr>
          <w:p w14:paraId="0B45F9D4"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0.008681</w:t>
            </w:r>
          </w:p>
        </w:tc>
        <w:tc>
          <w:tcPr>
            <w:tcW w:w="1170" w:type="dxa"/>
          </w:tcPr>
          <w:p w14:paraId="168E0073"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0.001183</w:t>
            </w:r>
          </w:p>
        </w:tc>
        <w:tc>
          <w:tcPr>
            <w:tcW w:w="1028" w:type="dxa"/>
          </w:tcPr>
          <w:p w14:paraId="60B40BB9" w14:textId="77777777" w:rsidR="00561902" w:rsidRPr="00561902" w:rsidRDefault="00561902" w:rsidP="00561902">
            <w:pPr>
              <w:pStyle w:val="Body"/>
              <w:widowControl/>
              <w:autoSpaceDE/>
              <w:autoSpaceDN/>
              <w:spacing w:after="0"/>
              <w:rPr>
                <w:rFonts w:ascii="Arial" w:hAnsi="Arial" w:cs="Arial"/>
                <w:sz w:val="18"/>
                <w:szCs w:val="20"/>
              </w:rPr>
            </w:pPr>
            <w:r w:rsidRPr="00561902">
              <w:rPr>
                <w:rFonts w:ascii="Arial" w:hAnsi="Arial" w:cs="Arial"/>
                <w:sz w:val="18"/>
                <w:szCs w:val="20"/>
              </w:rPr>
              <w:t>19.584</w:t>
            </w:r>
          </w:p>
        </w:tc>
      </w:tr>
    </w:tbl>
    <w:p w14:paraId="4F2DD800" w14:textId="77777777" w:rsidR="00376BBE" w:rsidRDefault="00376BBE" w:rsidP="00441B6F">
      <w:pPr>
        <w:pStyle w:val="Body"/>
        <w:spacing w:after="0"/>
        <w:rPr>
          <w:rFonts w:ascii="Arial" w:hAnsi="Arial" w:cs="Arial"/>
        </w:rPr>
      </w:pPr>
    </w:p>
    <w:p w14:paraId="12E22B4E" w14:textId="571902ED" w:rsidR="002204B8" w:rsidRPr="002204B8" w:rsidRDefault="00FF527F" w:rsidP="002204B8">
      <w:pPr>
        <w:pStyle w:val="Body"/>
        <w:rPr>
          <w:rFonts w:ascii="Arial" w:hAnsi="Arial" w:cs="Arial"/>
        </w:rPr>
      </w:pPr>
      <w:bookmarkStart w:id="2" w:name="_Hlk216800519"/>
      <w:r>
        <w:rPr>
          <w:rFonts w:ascii="Arial" w:hAnsi="Arial" w:cs="Arial"/>
        </w:rPr>
        <w:t>The grain size analysis showed</w:t>
      </w:r>
      <w:r w:rsidR="002204B8" w:rsidRPr="002204B8">
        <w:rPr>
          <w:rFonts w:ascii="Arial" w:hAnsi="Arial" w:cs="Arial"/>
        </w:rPr>
        <w:t xml:space="preserve"> the soil was dominated by fines, particularly silt, with a notable clay fraction. With &gt;35% silt and moderate clay, the soil is classified as either ML (Silt of low plasticity) or CL-ML (silty clay of low plasticity). </w:t>
      </w:r>
    </w:p>
    <w:p w14:paraId="09A40FEE" w14:textId="77777777" w:rsidR="002204B8" w:rsidRPr="002204B8" w:rsidRDefault="002204B8" w:rsidP="002204B8">
      <w:pPr>
        <w:pStyle w:val="Body"/>
        <w:jc w:val="center"/>
        <w:rPr>
          <w:rFonts w:ascii="Arial" w:hAnsi="Arial" w:cs="Arial"/>
        </w:rPr>
      </w:pPr>
      <w:r w:rsidRPr="002204B8">
        <w:rPr>
          <w:rFonts w:ascii="Arial" w:hAnsi="Arial" w:cs="Arial"/>
          <w:noProof/>
        </w:rPr>
        <w:lastRenderedPageBreak/>
        <w:drawing>
          <wp:inline distT="0" distB="0" distL="0" distR="0" wp14:anchorId="1136A816" wp14:editId="695A52BB">
            <wp:extent cx="4759594" cy="1623527"/>
            <wp:effectExtent l="0" t="0" r="3175" b="0"/>
            <wp:docPr id="171438530"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8530" name="Picture 1" descr="A graph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8966" cy="1633546"/>
                    </a:xfrm>
                    <a:prstGeom prst="rect">
                      <a:avLst/>
                    </a:prstGeom>
                    <a:noFill/>
                    <a:ln>
                      <a:noFill/>
                    </a:ln>
                  </pic:spPr>
                </pic:pic>
              </a:graphicData>
            </a:graphic>
          </wp:inline>
        </w:drawing>
      </w:r>
    </w:p>
    <w:p w14:paraId="7603C099" w14:textId="3D8217B9" w:rsidR="002204B8" w:rsidRPr="002204B8" w:rsidRDefault="002204B8" w:rsidP="00DF1670">
      <w:pPr>
        <w:pStyle w:val="Body"/>
        <w:jc w:val="center"/>
        <w:rPr>
          <w:rFonts w:ascii="Arial" w:hAnsi="Arial" w:cs="Arial"/>
        </w:rPr>
      </w:pPr>
      <w:r w:rsidRPr="002204B8">
        <w:rPr>
          <w:rFonts w:ascii="Arial" w:hAnsi="Arial" w:cs="Arial"/>
          <w:b/>
          <w:bCs/>
        </w:rPr>
        <w:t>Fig</w:t>
      </w:r>
      <w:r>
        <w:rPr>
          <w:rFonts w:ascii="Arial" w:hAnsi="Arial" w:cs="Arial"/>
          <w:b/>
          <w:bCs/>
        </w:rPr>
        <w:t>.</w:t>
      </w:r>
      <w:r w:rsidRPr="002204B8">
        <w:rPr>
          <w:rFonts w:ascii="Arial" w:hAnsi="Arial" w:cs="Arial"/>
          <w:b/>
          <w:bCs/>
        </w:rPr>
        <w:t xml:space="preserve"> 3</w:t>
      </w:r>
      <w:r>
        <w:rPr>
          <w:rFonts w:ascii="Arial" w:hAnsi="Arial" w:cs="Arial"/>
          <w:b/>
          <w:bCs/>
        </w:rPr>
        <w:t>.</w:t>
      </w:r>
      <w:r w:rsidRPr="002204B8">
        <w:rPr>
          <w:rFonts w:ascii="Arial" w:hAnsi="Arial" w:cs="Arial"/>
        </w:rPr>
        <w:t xml:space="preserve"> </w:t>
      </w:r>
      <w:r w:rsidR="00DF1670">
        <w:rPr>
          <w:rFonts w:ascii="Arial" w:hAnsi="Arial" w:cs="Arial"/>
          <w:b/>
          <w:bCs/>
        </w:rPr>
        <w:t>Particle size distribution curve</w:t>
      </w:r>
    </w:p>
    <w:p w14:paraId="4E9F9F9A" w14:textId="04877372" w:rsidR="00615503" w:rsidRPr="00561902" w:rsidRDefault="00615503" w:rsidP="00615503">
      <w:pPr>
        <w:pStyle w:val="Body"/>
        <w:rPr>
          <w:rFonts w:ascii="Arial" w:hAnsi="Arial" w:cs="Arial"/>
          <w:b/>
          <w:bCs/>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Compaction Test</w:t>
      </w:r>
    </w:p>
    <w:p w14:paraId="7B2E9D25" w14:textId="6343E43A" w:rsidR="002204B8" w:rsidRPr="002204B8" w:rsidRDefault="002204B8" w:rsidP="002204B8">
      <w:pPr>
        <w:pStyle w:val="Body"/>
        <w:rPr>
          <w:rFonts w:ascii="Arial" w:hAnsi="Arial" w:cs="Arial"/>
        </w:rPr>
      </w:pPr>
      <w:r w:rsidRPr="002204B8">
        <w:rPr>
          <w:rFonts w:ascii="Arial" w:hAnsi="Arial" w:cs="Arial"/>
        </w:rPr>
        <w:t>The compaction characteristics (In Figure 4) reveal</w:t>
      </w:r>
      <w:r w:rsidR="00FF527F">
        <w:rPr>
          <w:rFonts w:ascii="Arial" w:hAnsi="Arial" w:cs="Arial"/>
        </w:rPr>
        <w:t>ed</w:t>
      </w:r>
      <w:r w:rsidRPr="002204B8">
        <w:rPr>
          <w:rFonts w:ascii="Arial" w:hAnsi="Arial" w:cs="Arial"/>
        </w:rPr>
        <w:t xml:space="preserve"> that the soil has a high Optimum Moisture Content (26%) and a relatively low Maximum Dry Density (1.57 kg/m³). This behavior is typical of fine-grained, clay-rich soils with high plasticity (Ajagbe </w:t>
      </w:r>
      <w:r w:rsidRPr="002204B8">
        <w:rPr>
          <w:rFonts w:ascii="Arial" w:hAnsi="Arial" w:cs="Arial"/>
          <w:i/>
          <w:iCs/>
        </w:rPr>
        <w:t>et al.,</w:t>
      </w:r>
      <w:r w:rsidRPr="002204B8">
        <w:rPr>
          <w:rFonts w:ascii="Arial" w:hAnsi="Arial" w:cs="Arial"/>
        </w:rPr>
        <w:t xml:space="preserve"> 2024). The low dry density is consistent with the soil's high void ratio and low specific gravity, while the high OMC reflects its significant water absorption capacity and expansive nature. These characteristics support the previous classification and validate that </w:t>
      </w:r>
      <w:r w:rsidR="00FF527F">
        <w:rPr>
          <w:rFonts w:ascii="Arial" w:hAnsi="Arial" w:cs="Arial"/>
        </w:rPr>
        <w:t>stabiliz</w:t>
      </w:r>
      <w:r w:rsidRPr="002204B8">
        <w:rPr>
          <w:rFonts w:ascii="Arial" w:hAnsi="Arial" w:cs="Arial"/>
        </w:rPr>
        <w:t>ation or modification is required prior to use in construction applications, particularly in pavement subgrades or as a raw material for geopolymer binders.</w:t>
      </w:r>
    </w:p>
    <w:p w14:paraId="464F8416" w14:textId="77777777" w:rsidR="002204B8" w:rsidRPr="002204B8" w:rsidRDefault="002204B8" w:rsidP="002204B8">
      <w:pPr>
        <w:pStyle w:val="Body"/>
        <w:rPr>
          <w:rFonts w:ascii="Arial" w:hAnsi="Arial" w:cs="Arial"/>
        </w:rPr>
      </w:pPr>
      <w:r w:rsidRPr="002204B8">
        <w:rPr>
          <w:rFonts w:ascii="Arial" w:hAnsi="Arial" w:cs="Arial"/>
          <w:noProof/>
        </w:rPr>
        <w:drawing>
          <wp:inline distT="0" distB="0" distL="0" distR="0" wp14:anchorId="044D48B2" wp14:editId="23EA7A0E">
            <wp:extent cx="5277853" cy="1780673"/>
            <wp:effectExtent l="0" t="0" r="18415" b="10160"/>
            <wp:docPr id="1249651783" name="Chart 2">
              <a:extLst xmlns:a="http://schemas.openxmlformats.org/drawingml/2006/main">
                <a:ext uri="{FF2B5EF4-FFF2-40B4-BE49-F238E27FC236}">
                  <a16:creationId xmlns:a16="http://schemas.microsoft.com/office/drawing/2014/main" id="{A8A9268F-4137-1CAB-1101-F06D08930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8197" w:type="dxa"/>
        <w:jc w:val="center"/>
        <w:tblLook w:val="04A0" w:firstRow="1" w:lastRow="0" w:firstColumn="1" w:lastColumn="0" w:noHBand="0" w:noVBand="1"/>
      </w:tblPr>
      <w:tblGrid>
        <w:gridCol w:w="3919"/>
        <w:gridCol w:w="4278"/>
      </w:tblGrid>
      <w:tr w:rsidR="002204B8" w:rsidRPr="002204B8" w14:paraId="2586A1F2" w14:textId="77777777" w:rsidTr="00382937">
        <w:trPr>
          <w:jc w:val="center"/>
        </w:trPr>
        <w:tc>
          <w:tcPr>
            <w:tcW w:w="3919" w:type="dxa"/>
          </w:tcPr>
          <w:p w14:paraId="738B0C57" w14:textId="77777777" w:rsidR="002204B8" w:rsidRPr="002204B8" w:rsidRDefault="002204B8" w:rsidP="002204B8">
            <w:pPr>
              <w:pStyle w:val="Body"/>
              <w:rPr>
                <w:rFonts w:ascii="Arial" w:hAnsi="Arial" w:cs="Arial"/>
              </w:rPr>
            </w:pPr>
            <w:r w:rsidRPr="002204B8">
              <w:rPr>
                <w:rFonts w:ascii="Arial" w:hAnsi="Arial" w:cs="Arial"/>
              </w:rPr>
              <w:t>Maximum Dry Density</w:t>
            </w:r>
          </w:p>
        </w:tc>
        <w:tc>
          <w:tcPr>
            <w:tcW w:w="4278" w:type="dxa"/>
          </w:tcPr>
          <w:p w14:paraId="38656955" w14:textId="77777777" w:rsidR="002204B8" w:rsidRPr="002204B8" w:rsidRDefault="002204B8" w:rsidP="002204B8">
            <w:pPr>
              <w:pStyle w:val="Body"/>
              <w:rPr>
                <w:rFonts w:ascii="Arial" w:hAnsi="Arial" w:cs="Arial"/>
              </w:rPr>
            </w:pPr>
            <w:r w:rsidRPr="002204B8">
              <w:rPr>
                <w:rFonts w:ascii="Arial" w:hAnsi="Arial" w:cs="Arial"/>
              </w:rPr>
              <w:t>1.57kg/m</w:t>
            </w:r>
            <w:r w:rsidRPr="002204B8">
              <w:rPr>
                <w:rFonts w:ascii="Arial" w:hAnsi="Arial" w:cs="Arial"/>
                <w:vertAlign w:val="superscript"/>
              </w:rPr>
              <w:t>3</w:t>
            </w:r>
          </w:p>
        </w:tc>
      </w:tr>
      <w:tr w:rsidR="002204B8" w:rsidRPr="002204B8" w14:paraId="3E92E071" w14:textId="77777777" w:rsidTr="00382937">
        <w:trPr>
          <w:jc w:val="center"/>
        </w:trPr>
        <w:tc>
          <w:tcPr>
            <w:tcW w:w="3919" w:type="dxa"/>
          </w:tcPr>
          <w:p w14:paraId="38FF8001" w14:textId="77777777" w:rsidR="002204B8" w:rsidRPr="002204B8" w:rsidRDefault="002204B8" w:rsidP="002204B8">
            <w:pPr>
              <w:pStyle w:val="Body"/>
              <w:rPr>
                <w:rFonts w:ascii="Arial" w:hAnsi="Arial" w:cs="Arial"/>
              </w:rPr>
            </w:pPr>
            <w:r w:rsidRPr="002204B8">
              <w:rPr>
                <w:rFonts w:ascii="Arial" w:hAnsi="Arial" w:cs="Arial"/>
              </w:rPr>
              <w:t>Optimum Moisture Content</w:t>
            </w:r>
          </w:p>
        </w:tc>
        <w:tc>
          <w:tcPr>
            <w:tcW w:w="4278" w:type="dxa"/>
          </w:tcPr>
          <w:p w14:paraId="3CDE7DF4" w14:textId="77777777" w:rsidR="002204B8" w:rsidRPr="002204B8" w:rsidRDefault="002204B8" w:rsidP="002204B8">
            <w:pPr>
              <w:pStyle w:val="Body"/>
              <w:rPr>
                <w:rFonts w:ascii="Arial" w:hAnsi="Arial" w:cs="Arial"/>
              </w:rPr>
            </w:pPr>
            <w:r w:rsidRPr="002204B8">
              <w:rPr>
                <w:rFonts w:ascii="Arial" w:hAnsi="Arial" w:cs="Arial"/>
              </w:rPr>
              <w:t>26%</w:t>
            </w:r>
          </w:p>
        </w:tc>
      </w:tr>
    </w:tbl>
    <w:p w14:paraId="23B930FC" w14:textId="2914254B" w:rsidR="002204B8" w:rsidRPr="002204B8" w:rsidRDefault="002204B8" w:rsidP="002204B8">
      <w:pPr>
        <w:pStyle w:val="Body"/>
        <w:jc w:val="center"/>
        <w:rPr>
          <w:rFonts w:ascii="Arial" w:hAnsi="Arial" w:cs="Arial"/>
        </w:rPr>
      </w:pPr>
      <w:r w:rsidRPr="002204B8">
        <w:rPr>
          <w:rFonts w:ascii="Arial" w:hAnsi="Arial" w:cs="Arial"/>
          <w:b/>
          <w:bCs/>
        </w:rPr>
        <w:t>Fig</w:t>
      </w:r>
      <w:r>
        <w:rPr>
          <w:rFonts w:ascii="Arial" w:hAnsi="Arial" w:cs="Arial"/>
          <w:b/>
          <w:bCs/>
        </w:rPr>
        <w:t>.</w:t>
      </w:r>
      <w:r w:rsidRPr="002204B8">
        <w:rPr>
          <w:rFonts w:ascii="Arial" w:hAnsi="Arial" w:cs="Arial"/>
          <w:b/>
          <w:bCs/>
        </w:rPr>
        <w:t xml:space="preserve"> 4</w:t>
      </w:r>
      <w:r>
        <w:rPr>
          <w:rFonts w:ascii="Arial" w:hAnsi="Arial" w:cs="Arial"/>
          <w:b/>
          <w:bCs/>
        </w:rPr>
        <w:t>.</w:t>
      </w:r>
      <w:r w:rsidRPr="002204B8">
        <w:rPr>
          <w:rFonts w:ascii="Arial" w:hAnsi="Arial" w:cs="Arial"/>
          <w:b/>
          <w:bCs/>
        </w:rPr>
        <w:t xml:space="preserve"> A graph of dry density against moisture content</w:t>
      </w:r>
    </w:p>
    <w:bookmarkEnd w:id="2"/>
    <w:p w14:paraId="74FFCA5F" w14:textId="2AA31AE3" w:rsidR="00615503" w:rsidRPr="00561902" w:rsidRDefault="00615503" w:rsidP="00615503">
      <w:pPr>
        <w:pStyle w:val="Body"/>
        <w:rPr>
          <w:rFonts w:ascii="Arial" w:hAnsi="Arial" w:cs="Arial"/>
          <w:b/>
          <w:bCs/>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Mineral Composition of the Expansive Soil Sample</w:t>
      </w:r>
    </w:p>
    <w:p w14:paraId="3B37253D" w14:textId="1914353E" w:rsidR="00615503" w:rsidRPr="00615503" w:rsidRDefault="00615503" w:rsidP="00615503">
      <w:pPr>
        <w:pStyle w:val="Body"/>
        <w:rPr>
          <w:rFonts w:ascii="Arial" w:hAnsi="Arial" w:cs="Arial"/>
        </w:rPr>
      </w:pPr>
      <w:r w:rsidRPr="00615503">
        <w:rPr>
          <w:rFonts w:ascii="Arial" w:hAnsi="Arial" w:cs="Arial"/>
        </w:rPr>
        <w:t xml:space="preserve">To understand the mineralogical behavior of the expansive soil and its impact on the performance of soil, X-ray diffraction (XRD) and quantitative analysis were conducted (Hamed </w:t>
      </w:r>
      <w:r w:rsidRPr="00615503">
        <w:rPr>
          <w:rFonts w:ascii="Arial" w:hAnsi="Arial" w:cs="Arial"/>
          <w:i/>
          <w:iCs/>
        </w:rPr>
        <w:t>et al.,</w:t>
      </w:r>
      <w:r w:rsidRPr="00615503">
        <w:rPr>
          <w:rFonts w:ascii="Arial" w:hAnsi="Arial" w:cs="Arial"/>
        </w:rPr>
        <w:t xml:space="preserve"> 2021). The XRD data revealed that the soil sample contained major crystalline phases </w:t>
      </w:r>
      <w:proofErr w:type="spellStart"/>
      <w:r w:rsidRPr="00615503">
        <w:rPr>
          <w:rFonts w:ascii="Arial" w:hAnsi="Arial" w:cs="Arial"/>
        </w:rPr>
        <w:t>whice</w:t>
      </w:r>
      <w:proofErr w:type="spellEnd"/>
      <w:r w:rsidRPr="00615503">
        <w:rPr>
          <w:rFonts w:ascii="Arial" w:hAnsi="Arial" w:cs="Arial"/>
        </w:rPr>
        <w:t xml:space="preserve"> includes Montmorillonite (33%), Muscovite (18%), </w:t>
      </w:r>
      <w:proofErr w:type="spellStart"/>
      <w:r w:rsidRPr="00615503">
        <w:rPr>
          <w:rFonts w:ascii="Arial" w:hAnsi="Arial" w:cs="Arial"/>
        </w:rPr>
        <w:t>Clinochlore</w:t>
      </w:r>
      <w:proofErr w:type="spellEnd"/>
      <w:r w:rsidRPr="00615503">
        <w:rPr>
          <w:rFonts w:ascii="Arial" w:hAnsi="Arial" w:cs="Arial"/>
        </w:rPr>
        <w:t xml:space="preserve"> (44%) </w:t>
      </w:r>
      <w:r w:rsidR="00FF527F">
        <w:rPr>
          <w:rFonts w:ascii="Arial" w:hAnsi="Arial" w:cs="Arial"/>
        </w:rPr>
        <w:t>and Quartz (5.1%), Table 3 shows</w:t>
      </w:r>
      <w:r w:rsidRPr="00615503">
        <w:rPr>
          <w:rFonts w:ascii="Arial" w:hAnsi="Arial" w:cs="Arial"/>
        </w:rPr>
        <w:t xml:space="preserve"> the crystalline mineral phases and their relevance in the soil sample. </w:t>
      </w:r>
    </w:p>
    <w:p w14:paraId="4D9C66D5" w14:textId="77777777" w:rsidR="00615503" w:rsidRDefault="00615503" w:rsidP="00615503">
      <w:pPr>
        <w:pStyle w:val="Body"/>
        <w:rPr>
          <w:rFonts w:ascii="Arial" w:hAnsi="Arial" w:cs="Arial"/>
        </w:rPr>
      </w:pPr>
      <w:r w:rsidRPr="00615503">
        <w:rPr>
          <w:rFonts w:ascii="Arial" w:hAnsi="Arial" w:cs="Arial"/>
        </w:rPr>
        <w:lastRenderedPageBreak/>
        <w:t xml:space="preserve">Montmorillonite (33%) is a high-swelling smectite clay. Its presence indicates high plasticity and water sensitivity, which negatively affect dimensional stability in pavements (Utkarsh and Jain, 2024). However, under alkaline conditions in geopolymer systems, some montmorillonite structures may disintegrate or be immobilized within the aluminosilicate network. Still, pre-treatment or replacement is recommended for reliable concrete performance. Muscovite (18%), although less reactive, can act as a non-plastic filler and may slightly reduce the reactivity of the binder system. Its platy morphology can influence the flow properties of fresh mixes. </w:t>
      </w:r>
      <w:proofErr w:type="spellStart"/>
      <w:r w:rsidRPr="00615503">
        <w:rPr>
          <w:rFonts w:ascii="Arial" w:hAnsi="Arial" w:cs="Arial"/>
        </w:rPr>
        <w:t>Clinochlore</w:t>
      </w:r>
      <w:proofErr w:type="spellEnd"/>
      <w:r w:rsidRPr="00615503">
        <w:rPr>
          <w:rFonts w:ascii="Arial" w:hAnsi="Arial" w:cs="Arial"/>
        </w:rPr>
        <w:t xml:space="preserve"> (44%) is generally inert and contributes to the overall mineral matrix but plays a minor role in the </w:t>
      </w:r>
      <w:proofErr w:type="spellStart"/>
      <w:r w:rsidRPr="00615503">
        <w:rPr>
          <w:rFonts w:ascii="Arial" w:hAnsi="Arial" w:cs="Arial"/>
        </w:rPr>
        <w:t>geopolymerization</w:t>
      </w:r>
      <w:proofErr w:type="spellEnd"/>
      <w:r w:rsidRPr="00615503">
        <w:rPr>
          <w:rFonts w:ascii="Arial" w:hAnsi="Arial" w:cs="Arial"/>
        </w:rPr>
        <w:t xml:space="preserve"> process. Little Quartz suggests the soil is relatively fine-grained and reactive, but it also means it lacks stable, non-reactive aggregates, which might otherwise help in long-term dimensional stability.</w:t>
      </w:r>
    </w:p>
    <w:p w14:paraId="3E9769ED" w14:textId="77777777" w:rsidR="00FF527F" w:rsidRPr="00615503" w:rsidRDefault="00FF527F" w:rsidP="00615503">
      <w:pPr>
        <w:pStyle w:val="Body"/>
        <w:rPr>
          <w:rFonts w:ascii="Arial" w:hAnsi="Arial" w:cs="Arial"/>
        </w:rPr>
      </w:pPr>
    </w:p>
    <w:p w14:paraId="209F9DCB" w14:textId="717E3F48" w:rsidR="00615503" w:rsidRPr="00615503" w:rsidRDefault="00615503" w:rsidP="00615503">
      <w:pPr>
        <w:pStyle w:val="Body"/>
        <w:jc w:val="center"/>
        <w:rPr>
          <w:rFonts w:ascii="Arial" w:hAnsi="Arial" w:cs="Arial"/>
          <w:b/>
          <w:bCs/>
        </w:rPr>
      </w:pPr>
      <w:r w:rsidRPr="00615503">
        <w:rPr>
          <w:rFonts w:ascii="Arial" w:hAnsi="Arial" w:cs="Arial"/>
          <w:b/>
          <w:bCs/>
        </w:rPr>
        <w:t>Table 3</w:t>
      </w:r>
      <w:r>
        <w:rPr>
          <w:rFonts w:ascii="Arial" w:hAnsi="Arial" w:cs="Arial"/>
          <w:b/>
          <w:bCs/>
        </w:rPr>
        <w:t>.</w:t>
      </w:r>
      <w:r w:rsidRPr="00615503">
        <w:rPr>
          <w:rFonts w:ascii="Arial" w:hAnsi="Arial" w:cs="Arial"/>
          <w:b/>
          <w:bCs/>
        </w:rPr>
        <w:t xml:space="preserve"> Identified Phases in the Soil Sample and their Relevance</w:t>
      </w:r>
    </w:p>
    <w:tbl>
      <w:tblPr>
        <w:tblStyle w:val="PlainTable2"/>
        <w:tblW w:w="8335" w:type="dxa"/>
        <w:tblLayout w:type="fixed"/>
        <w:tblLook w:val="0620" w:firstRow="1" w:lastRow="0" w:firstColumn="0" w:lastColumn="0" w:noHBand="1" w:noVBand="1"/>
      </w:tblPr>
      <w:tblGrid>
        <w:gridCol w:w="1240"/>
        <w:gridCol w:w="1022"/>
        <w:gridCol w:w="681"/>
        <w:gridCol w:w="5392"/>
      </w:tblGrid>
      <w:tr w:rsidR="00615503" w:rsidRPr="00615503" w14:paraId="085C87A9" w14:textId="77777777" w:rsidTr="00615503">
        <w:trPr>
          <w:cnfStyle w:val="100000000000" w:firstRow="1" w:lastRow="0" w:firstColumn="0" w:lastColumn="0" w:oddVBand="0" w:evenVBand="0" w:oddHBand="0" w:evenHBand="0" w:firstRowFirstColumn="0" w:firstRowLastColumn="0" w:lastRowFirstColumn="0" w:lastRowLastColumn="0"/>
          <w:trHeight w:val="243"/>
        </w:trPr>
        <w:tc>
          <w:tcPr>
            <w:tcW w:w="1240" w:type="dxa"/>
          </w:tcPr>
          <w:p w14:paraId="26754080" w14:textId="77777777" w:rsidR="00615503" w:rsidRPr="00615503" w:rsidRDefault="00615503" w:rsidP="00615503">
            <w:pPr>
              <w:pStyle w:val="Body"/>
              <w:widowControl/>
              <w:autoSpaceDE/>
              <w:autoSpaceDN/>
              <w:spacing w:after="0"/>
              <w:rPr>
                <w:rFonts w:ascii="Arial" w:hAnsi="Arial" w:cs="Arial"/>
                <w:b w:val="0"/>
                <w:sz w:val="20"/>
              </w:rPr>
            </w:pPr>
            <w:r w:rsidRPr="00615503">
              <w:rPr>
                <w:rFonts w:ascii="Arial" w:hAnsi="Arial" w:cs="Arial"/>
                <w:sz w:val="20"/>
              </w:rPr>
              <w:t>Mineral</w:t>
            </w:r>
          </w:p>
        </w:tc>
        <w:tc>
          <w:tcPr>
            <w:tcW w:w="1022" w:type="dxa"/>
          </w:tcPr>
          <w:p w14:paraId="7B383A79" w14:textId="77777777" w:rsidR="00615503" w:rsidRPr="00615503" w:rsidRDefault="00615503" w:rsidP="00615503">
            <w:pPr>
              <w:pStyle w:val="Body"/>
              <w:widowControl/>
              <w:autoSpaceDE/>
              <w:autoSpaceDN/>
              <w:spacing w:after="0"/>
              <w:rPr>
                <w:rFonts w:ascii="Arial" w:hAnsi="Arial" w:cs="Arial"/>
                <w:b w:val="0"/>
                <w:sz w:val="20"/>
              </w:rPr>
            </w:pPr>
            <w:r w:rsidRPr="00615503">
              <w:rPr>
                <w:rFonts w:ascii="Arial" w:hAnsi="Arial" w:cs="Arial"/>
                <w:sz w:val="20"/>
              </w:rPr>
              <w:t>Chemical Formula</w:t>
            </w:r>
          </w:p>
        </w:tc>
        <w:tc>
          <w:tcPr>
            <w:tcW w:w="681" w:type="dxa"/>
          </w:tcPr>
          <w:p w14:paraId="37283B34" w14:textId="77777777" w:rsidR="00615503" w:rsidRPr="00615503" w:rsidRDefault="00615503" w:rsidP="00615503">
            <w:pPr>
              <w:pStyle w:val="Body"/>
              <w:widowControl/>
              <w:autoSpaceDE/>
              <w:autoSpaceDN/>
              <w:spacing w:after="0"/>
              <w:rPr>
                <w:rFonts w:ascii="Arial" w:hAnsi="Arial" w:cs="Arial"/>
                <w:b w:val="0"/>
                <w:sz w:val="20"/>
              </w:rPr>
            </w:pPr>
            <w:r w:rsidRPr="00615503">
              <w:rPr>
                <w:rFonts w:ascii="Arial" w:hAnsi="Arial" w:cs="Arial"/>
                <w:sz w:val="20"/>
              </w:rPr>
              <w:t>Weight %</w:t>
            </w:r>
          </w:p>
        </w:tc>
        <w:tc>
          <w:tcPr>
            <w:tcW w:w="5392" w:type="dxa"/>
          </w:tcPr>
          <w:p w14:paraId="1D740E7D"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Relevance</w:t>
            </w:r>
          </w:p>
        </w:tc>
      </w:tr>
      <w:tr w:rsidR="00615503" w:rsidRPr="00615503" w14:paraId="78AB5AB1" w14:textId="77777777" w:rsidTr="00615503">
        <w:trPr>
          <w:trHeight w:val="548"/>
        </w:trPr>
        <w:tc>
          <w:tcPr>
            <w:tcW w:w="1240" w:type="dxa"/>
          </w:tcPr>
          <w:p w14:paraId="60CD255A"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Montmorillonite</w:t>
            </w:r>
          </w:p>
        </w:tc>
        <w:tc>
          <w:tcPr>
            <w:tcW w:w="1022" w:type="dxa"/>
          </w:tcPr>
          <w:p w14:paraId="391EC80F" w14:textId="77777777" w:rsidR="00615503" w:rsidRPr="00615503" w:rsidRDefault="00615503" w:rsidP="00615503">
            <w:pPr>
              <w:pStyle w:val="Body"/>
              <w:widowControl/>
              <w:autoSpaceDE/>
              <w:autoSpaceDN/>
              <w:spacing w:after="0"/>
              <w:rPr>
                <w:rFonts w:ascii="Arial" w:hAnsi="Arial" w:cs="Arial"/>
                <w:sz w:val="20"/>
              </w:rPr>
            </w:pPr>
            <w:proofErr w:type="spellStart"/>
            <w:r w:rsidRPr="00615503">
              <w:rPr>
                <w:rFonts w:ascii="Arial" w:hAnsi="Arial" w:cs="Arial"/>
                <w:sz w:val="20"/>
              </w:rPr>
              <w:t>Al</w:t>
            </w:r>
            <w:r w:rsidRPr="00615503">
              <w:rPr>
                <w:rFonts w:ascii="Cambria Math" w:hAnsi="Cambria Math" w:cs="Cambria Math"/>
                <w:sz w:val="20"/>
              </w:rPr>
              <w:t>₂</w:t>
            </w:r>
            <w:r w:rsidRPr="00615503">
              <w:rPr>
                <w:rFonts w:ascii="Arial" w:hAnsi="Arial" w:cs="Arial"/>
                <w:sz w:val="20"/>
              </w:rPr>
              <w:t>Si</w:t>
            </w:r>
            <w:r w:rsidRPr="00615503">
              <w:rPr>
                <w:rFonts w:ascii="Cambria Math" w:hAnsi="Cambria Math" w:cs="Cambria Math"/>
                <w:sz w:val="20"/>
              </w:rPr>
              <w:t>₄</w:t>
            </w:r>
            <w:r w:rsidRPr="00615503">
              <w:rPr>
                <w:rFonts w:ascii="Arial" w:hAnsi="Arial" w:cs="Arial"/>
                <w:sz w:val="20"/>
              </w:rPr>
              <w:t>O</w:t>
            </w:r>
            <w:proofErr w:type="spellEnd"/>
            <w:r w:rsidRPr="00615503">
              <w:rPr>
                <w:rFonts w:ascii="Cambria Math" w:hAnsi="Cambria Math" w:cs="Cambria Math"/>
                <w:sz w:val="20"/>
              </w:rPr>
              <w:t>₁₀</w:t>
            </w:r>
            <w:r w:rsidRPr="00615503">
              <w:rPr>
                <w:rFonts w:ascii="Arial" w:hAnsi="Arial" w:cs="Arial"/>
                <w:sz w:val="20"/>
              </w:rPr>
              <w:t>(OH)</w:t>
            </w:r>
            <w:r w:rsidRPr="00615503">
              <w:rPr>
                <w:rFonts w:ascii="Cambria Math" w:hAnsi="Cambria Math" w:cs="Cambria Math"/>
                <w:sz w:val="20"/>
              </w:rPr>
              <w:t>₂</w:t>
            </w:r>
            <w:r w:rsidRPr="00615503">
              <w:rPr>
                <w:rFonts w:ascii="Arial" w:hAnsi="Arial" w:cs="Arial"/>
                <w:sz w:val="20"/>
              </w:rPr>
              <w:t>·</w:t>
            </w:r>
            <w:proofErr w:type="spellStart"/>
            <w:r w:rsidRPr="00615503">
              <w:rPr>
                <w:rFonts w:ascii="Arial" w:hAnsi="Arial" w:cs="Arial"/>
                <w:sz w:val="20"/>
              </w:rPr>
              <w:t>nH</w:t>
            </w:r>
            <w:r w:rsidRPr="00615503">
              <w:rPr>
                <w:rFonts w:ascii="Cambria Math" w:hAnsi="Cambria Math" w:cs="Cambria Math"/>
                <w:sz w:val="20"/>
              </w:rPr>
              <w:t>₂</w:t>
            </w:r>
            <w:r w:rsidRPr="00615503">
              <w:rPr>
                <w:rFonts w:ascii="Arial" w:hAnsi="Arial" w:cs="Arial"/>
                <w:sz w:val="20"/>
              </w:rPr>
              <w:t>O</w:t>
            </w:r>
            <w:proofErr w:type="spellEnd"/>
          </w:p>
        </w:tc>
        <w:tc>
          <w:tcPr>
            <w:tcW w:w="681" w:type="dxa"/>
          </w:tcPr>
          <w:p w14:paraId="6CEDC389"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33%</w:t>
            </w:r>
          </w:p>
        </w:tc>
        <w:tc>
          <w:tcPr>
            <w:tcW w:w="5392" w:type="dxa"/>
          </w:tcPr>
          <w:p w14:paraId="787341A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Expansive smectite clay, reactive and thermally activatable; important for geopolymer potential.</w:t>
            </w:r>
          </w:p>
        </w:tc>
      </w:tr>
      <w:tr w:rsidR="00615503" w:rsidRPr="00615503" w14:paraId="7CDA49BD" w14:textId="77777777" w:rsidTr="00615503">
        <w:trPr>
          <w:trHeight w:val="594"/>
        </w:trPr>
        <w:tc>
          <w:tcPr>
            <w:tcW w:w="1240" w:type="dxa"/>
          </w:tcPr>
          <w:p w14:paraId="60C33834"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Muscovite</w:t>
            </w:r>
          </w:p>
        </w:tc>
        <w:tc>
          <w:tcPr>
            <w:tcW w:w="1022" w:type="dxa"/>
          </w:tcPr>
          <w:p w14:paraId="3C4FFF21" w14:textId="77777777" w:rsidR="00615503" w:rsidRPr="00615503" w:rsidRDefault="00615503" w:rsidP="00615503">
            <w:pPr>
              <w:pStyle w:val="Body"/>
              <w:widowControl/>
              <w:autoSpaceDE/>
              <w:autoSpaceDN/>
              <w:spacing w:after="0"/>
              <w:rPr>
                <w:rFonts w:ascii="Arial" w:hAnsi="Arial" w:cs="Arial"/>
                <w:sz w:val="20"/>
              </w:rPr>
            </w:pPr>
            <w:proofErr w:type="spellStart"/>
            <w:r w:rsidRPr="00615503">
              <w:rPr>
                <w:rFonts w:ascii="Arial" w:hAnsi="Arial" w:cs="Arial"/>
                <w:sz w:val="20"/>
              </w:rPr>
              <w:t>KAl</w:t>
            </w:r>
            <w:proofErr w:type="spellEnd"/>
            <w:r w:rsidRPr="00615503">
              <w:rPr>
                <w:rFonts w:ascii="Cambria Math" w:hAnsi="Cambria Math" w:cs="Cambria Math"/>
                <w:sz w:val="20"/>
              </w:rPr>
              <w:t>₂</w:t>
            </w:r>
            <w:r w:rsidRPr="00615503">
              <w:rPr>
                <w:rFonts w:ascii="Arial" w:hAnsi="Arial" w:cs="Arial"/>
                <w:sz w:val="20"/>
              </w:rPr>
              <w:t>(</w:t>
            </w:r>
            <w:proofErr w:type="spellStart"/>
            <w:r w:rsidRPr="00615503">
              <w:rPr>
                <w:rFonts w:ascii="Arial" w:hAnsi="Arial" w:cs="Arial"/>
                <w:sz w:val="20"/>
              </w:rPr>
              <w:t>AlSi</w:t>
            </w:r>
            <w:r w:rsidRPr="00615503">
              <w:rPr>
                <w:rFonts w:ascii="Cambria Math" w:hAnsi="Cambria Math" w:cs="Cambria Math"/>
                <w:sz w:val="20"/>
              </w:rPr>
              <w:t>₃</w:t>
            </w:r>
            <w:r w:rsidRPr="00615503">
              <w:rPr>
                <w:rFonts w:ascii="Arial" w:hAnsi="Arial" w:cs="Arial"/>
                <w:sz w:val="20"/>
              </w:rPr>
              <w:t>O</w:t>
            </w:r>
            <w:proofErr w:type="spellEnd"/>
            <w:r w:rsidRPr="00615503">
              <w:rPr>
                <w:rFonts w:ascii="Cambria Math" w:hAnsi="Cambria Math" w:cs="Cambria Math"/>
                <w:sz w:val="20"/>
              </w:rPr>
              <w:t>₁₀</w:t>
            </w:r>
            <w:r w:rsidRPr="00615503">
              <w:rPr>
                <w:rFonts w:ascii="Arial" w:hAnsi="Arial" w:cs="Arial"/>
                <w:sz w:val="20"/>
              </w:rPr>
              <w:t>)(OH)</w:t>
            </w:r>
            <w:r w:rsidRPr="00615503">
              <w:rPr>
                <w:rFonts w:ascii="Cambria Math" w:hAnsi="Cambria Math" w:cs="Cambria Math"/>
                <w:sz w:val="20"/>
              </w:rPr>
              <w:t>₂</w:t>
            </w:r>
          </w:p>
        </w:tc>
        <w:tc>
          <w:tcPr>
            <w:tcW w:w="681" w:type="dxa"/>
          </w:tcPr>
          <w:p w14:paraId="63FB5F77"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18%</w:t>
            </w:r>
          </w:p>
        </w:tc>
        <w:tc>
          <w:tcPr>
            <w:tcW w:w="5392" w:type="dxa"/>
          </w:tcPr>
          <w:p w14:paraId="3D8A4733"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Mica-type mineral with moderate swelling potential, Mica group mineral, non-plastic filler, limited pozzolanic activity</w:t>
            </w:r>
          </w:p>
        </w:tc>
      </w:tr>
      <w:tr w:rsidR="00615503" w:rsidRPr="00615503" w14:paraId="6A8287C3" w14:textId="77777777" w:rsidTr="00615503">
        <w:trPr>
          <w:trHeight w:val="367"/>
        </w:trPr>
        <w:tc>
          <w:tcPr>
            <w:tcW w:w="1240" w:type="dxa"/>
          </w:tcPr>
          <w:p w14:paraId="5D4BCC2C" w14:textId="77777777" w:rsidR="00615503" w:rsidRPr="00615503" w:rsidRDefault="00615503" w:rsidP="00615503">
            <w:pPr>
              <w:pStyle w:val="Body"/>
              <w:widowControl/>
              <w:autoSpaceDE/>
              <w:autoSpaceDN/>
              <w:spacing w:after="0"/>
              <w:rPr>
                <w:rFonts w:ascii="Arial" w:hAnsi="Arial" w:cs="Arial"/>
                <w:sz w:val="20"/>
              </w:rPr>
            </w:pPr>
            <w:proofErr w:type="spellStart"/>
            <w:r w:rsidRPr="00615503">
              <w:rPr>
                <w:rFonts w:ascii="Arial" w:hAnsi="Arial" w:cs="Arial"/>
                <w:sz w:val="20"/>
              </w:rPr>
              <w:t>Clinochlore</w:t>
            </w:r>
            <w:proofErr w:type="spellEnd"/>
          </w:p>
        </w:tc>
        <w:tc>
          <w:tcPr>
            <w:tcW w:w="1022" w:type="dxa"/>
          </w:tcPr>
          <w:p w14:paraId="3FE49F35"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w:t>
            </w:r>
            <w:proofErr w:type="spellStart"/>
            <w:r w:rsidRPr="00615503">
              <w:rPr>
                <w:rFonts w:ascii="Arial" w:hAnsi="Arial" w:cs="Arial"/>
                <w:sz w:val="20"/>
              </w:rPr>
              <w:t>Mg,Fe</w:t>
            </w:r>
            <w:proofErr w:type="spellEnd"/>
            <w:r w:rsidRPr="00615503">
              <w:rPr>
                <w:rFonts w:ascii="Arial" w:hAnsi="Arial" w:cs="Arial"/>
                <w:sz w:val="20"/>
              </w:rPr>
              <w:t>)</w:t>
            </w:r>
            <w:r w:rsidRPr="00615503">
              <w:rPr>
                <w:rFonts w:ascii="Cambria Math" w:hAnsi="Cambria Math" w:cs="Cambria Math"/>
                <w:sz w:val="20"/>
              </w:rPr>
              <w:t>₅</w:t>
            </w:r>
            <w:r w:rsidRPr="00615503">
              <w:rPr>
                <w:rFonts w:ascii="Arial" w:hAnsi="Arial" w:cs="Arial"/>
                <w:sz w:val="20"/>
              </w:rPr>
              <w:t>Al(</w:t>
            </w:r>
            <w:proofErr w:type="spellStart"/>
            <w:r w:rsidRPr="00615503">
              <w:rPr>
                <w:rFonts w:ascii="Arial" w:hAnsi="Arial" w:cs="Arial"/>
                <w:sz w:val="20"/>
              </w:rPr>
              <w:t>Si</w:t>
            </w:r>
            <w:r w:rsidRPr="00615503">
              <w:rPr>
                <w:rFonts w:ascii="Cambria Math" w:hAnsi="Cambria Math" w:cs="Cambria Math"/>
                <w:sz w:val="20"/>
              </w:rPr>
              <w:t>₃</w:t>
            </w:r>
            <w:r w:rsidRPr="00615503">
              <w:rPr>
                <w:rFonts w:ascii="Arial" w:hAnsi="Arial" w:cs="Arial"/>
                <w:sz w:val="20"/>
              </w:rPr>
              <w:t>Al</w:t>
            </w:r>
            <w:proofErr w:type="spellEnd"/>
            <w:r w:rsidRPr="00615503">
              <w:rPr>
                <w:rFonts w:ascii="Arial" w:hAnsi="Arial" w:cs="Arial"/>
                <w:sz w:val="20"/>
              </w:rPr>
              <w:t>)O</w:t>
            </w:r>
            <w:r w:rsidRPr="00615503">
              <w:rPr>
                <w:rFonts w:ascii="Cambria Math" w:hAnsi="Cambria Math" w:cs="Cambria Math"/>
                <w:sz w:val="20"/>
              </w:rPr>
              <w:t>₁₀</w:t>
            </w:r>
            <w:r w:rsidRPr="00615503">
              <w:rPr>
                <w:rFonts w:ascii="Arial" w:hAnsi="Arial" w:cs="Arial"/>
                <w:sz w:val="20"/>
              </w:rPr>
              <w:t>(OH)</w:t>
            </w:r>
            <w:r w:rsidRPr="00615503">
              <w:rPr>
                <w:rFonts w:ascii="Cambria Math" w:hAnsi="Cambria Math" w:cs="Cambria Math"/>
                <w:sz w:val="20"/>
              </w:rPr>
              <w:t>₈</w:t>
            </w:r>
          </w:p>
        </w:tc>
        <w:tc>
          <w:tcPr>
            <w:tcW w:w="681" w:type="dxa"/>
          </w:tcPr>
          <w:p w14:paraId="40BC8B52"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44%</w:t>
            </w:r>
          </w:p>
        </w:tc>
        <w:tc>
          <w:tcPr>
            <w:tcW w:w="5392" w:type="dxa"/>
          </w:tcPr>
          <w:p w14:paraId="1C39A52E"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Primary phase; chlorite mineral, relatively inert in cement chemistry, but affects plasticity and particle shape.</w:t>
            </w:r>
          </w:p>
        </w:tc>
      </w:tr>
      <w:tr w:rsidR="00615503" w:rsidRPr="00615503" w14:paraId="64001F2A" w14:textId="77777777" w:rsidTr="00615503">
        <w:trPr>
          <w:trHeight w:val="243"/>
        </w:trPr>
        <w:tc>
          <w:tcPr>
            <w:tcW w:w="1240" w:type="dxa"/>
          </w:tcPr>
          <w:p w14:paraId="2C9F2A91"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Quartz</w:t>
            </w:r>
          </w:p>
        </w:tc>
        <w:tc>
          <w:tcPr>
            <w:tcW w:w="1022" w:type="dxa"/>
          </w:tcPr>
          <w:p w14:paraId="7130D7A3" w14:textId="77777777" w:rsidR="00615503" w:rsidRPr="00615503" w:rsidRDefault="00615503" w:rsidP="00615503">
            <w:pPr>
              <w:pStyle w:val="Body"/>
              <w:widowControl/>
              <w:autoSpaceDE/>
              <w:autoSpaceDN/>
              <w:spacing w:after="0"/>
              <w:rPr>
                <w:rFonts w:ascii="Arial" w:hAnsi="Arial" w:cs="Arial"/>
                <w:sz w:val="20"/>
              </w:rPr>
            </w:pPr>
            <w:proofErr w:type="spellStart"/>
            <w:r w:rsidRPr="00615503">
              <w:rPr>
                <w:rFonts w:ascii="Arial" w:hAnsi="Arial" w:cs="Arial"/>
                <w:sz w:val="20"/>
              </w:rPr>
              <w:t>SiO</w:t>
            </w:r>
            <w:proofErr w:type="spellEnd"/>
            <w:r w:rsidRPr="00615503">
              <w:rPr>
                <w:rFonts w:ascii="Cambria Math" w:hAnsi="Cambria Math" w:cs="Cambria Math"/>
                <w:sz w:val="20"/>
              </w:rPr>
              <w:t>₂</w:t>
            </w:r>
          </w:p>
        </w:tc>
        <w:tc>
          <w:tcPr>
            <w:tcW w:w="681" w:type="dxa"/>
          </w:tcPr>
          <w:p w14:paraId="79CD75A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5.1</w:t>
            </w:r>
          </w:p>
        </w:tc>
        <w:tc>
          <w:tcPr>
            <w:tcW w:w="5392" w:type="dxa"/>
          </w:tcPr>
          <w:p w14:paraId="5A28A2F3"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Inert crystalline filler; contributes stability and mechanical packing.</w:t>
            </w:r>
          </w:p>
        </w:tc>
      </w:tr>
    </w:tbl>
    <w:p w14:paraId="066422E7" w14:textId="77777777" w:rsidR="00615503" w:rsidRPr="00615503" w:rsidRDefault="00615503" w:rsidP="00615503">
      <w:pPr>
        <w:pStyle w:val="Body"/>
        <w:rPr>
          <w:rFonts w:ascii="Arial" w:hAnsi="Arial" w:cs="Arial"/>
        </w:rPr>
      </w:pPr>
      <w:r w:rsidRPr="00615503">
        <w:rPr>
          <w:rFonts w:ascii="Arial" w:hAnsi="Arial" w:cs="Arial"/>
          <w:noProof/>
        </w:rPr>
        <w:drawing>
          <wp:inline distT="0" distB="0" distL="0" distR="0" wp14:anchorId="7B969D5B" wp14:editId="26FE7A0B">
            <wp:extent cx="2227152" cy="1155700"/>
            <wp:effectExtent l="0" t="0" r="0" b="0"/>
            <wp:docPr id="483986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644" cy="1195912"/>
                    </a:xfrm>
                    <a:prstGeom prst="rect">
                      <a:avLst/>
                    </a:prstGeom>
                    <a:noFill/>
                    <a:ln>
                      <a:noFill/>
                    </a:ln>
                  </pic:spPr>
                </pic:pic>
              </a:graphicData>
            </a:graphic>
          </wp:inline>
        </w:drawing>
      </w:r>
      <w:r w:rsidRPr="00615503">
        <w:rPr>
          <w:rFonts w:ascii="Arial" w:hAnsi="Arial" w:cs="Arial"/>
        </w:rPr>
        <w:tab/>
      </w:r>
      <w:r w:rsidRPr="00615503">
        <w:rPr>
          <w:rFonts w:ascii="Arial" w:hAnsi="Arial" w:cs="Arial"/>
          <w:noProof/>
        </w:rPr>
        <w:drawing>
          <wp:inline distT="0" distB="0" distL="0" distR="0" wp14:anchorId="45544CBC" wp14:editId="4E109253">
            <wp:extent cx="2565919" cy="1162685"/>
            <wp:effectExtent l="0" t="0" r="6350" b="0"/>
            <wp:docPr id="258317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909" cy="1187149"/>
                    </a:xfrm>
                    <a:prstGeom prst="rect">
                      <a:avLst/>
                    </a:prstGeom>
                    <a:noFill/>
                    <a:ln>
                      <a:noFill/>
                    </a:ln>
                  </pic:spPr>
                </pic:pic>
              </a:graphicData>
            </a:graphic>
          </wp:inline>
        </w:drawing>
      </w:r>
    </w:p>
    <w:p w14:paraId="4A9BA519" w14:textId="73B0DBFC" w:rsidR="00615503" w:rsidRPr="00615503" w:rsidRDefault="00615503" w:rsidP="00615503">
      <w:pPr>
        <w:pStyle w:val="Body"/>
        <w:rPr>
          <w:rFonts w:ascii="Arial" w:hAnsi="Arial" w:cs="Arial"/>
          <w:b/>
          <w:bCs/>
        </w:rPr>
      </w:pPr>
      <w:r w:rsidRPr="00615503">
        <w:rPr>
          <w:rFonts w:ascii="Arial" w:hAnsi="Arial" w:cs="Arial"/>
          <w:b/>
          <w:bCs/>
        </w:rPr>
        <w:t>Fig</w:t>
      </w:r>
      <w:r>
        <w:rPr>
          <w:rFonts w:ascii="Arial" w:hAnsi="Arial" w:cs="Arial"/>
          <w:b/>
          <w:bCs/>
        </w:rPr>
        <w:t>.</w:t>
      </w:r>
      <w:r w:rsidRPr="00615503">
        <w:rPr>
          <w:rFonts w:ascii="Arial" w:hAnsi="Arial" w:cs="Arial"/>
          <w:b/>
          <w:bCs/>
        </w:rPr>
        <w:t xml:space="preserve"> 5</w:t>
      </w:r>
      <w:r>
        <w:rPr>
          <w:rFonts w:ascii="Arial" w:hAnsi="Arial" w:cs="Arial"/>
          <w:b/>
          <w:bCs/>
        </w:rPr>
        <w:t>.</w:t>
      </w:r>
      <w:r w:rsidRPr="00615503">
        <w:rPr>
          <w:rFonts w:ascii="Arial" w:hAnsi="Arial" w:cs="Arial"/>
        </w:rPr>
        <w:t xml:space="preserve"> </w:t>
      </w:r>
      <w:r w:rsidRPr="00615503">
        <w:rPr>
          <w:rFonts w:ascii="Arial" w:hAnsi="Arial" w:cs="Arial"/>
          <w:b/>
          <w:bCs/>
        </w:rPr>
        <w:t>Phase data view of soil sample</w:t>
      </w:r>
      <w:r w:rsidRPr="00615503">
        <w:rPr>
          <w:rFonts w:ascii="Arial" w:hAnsi="Arial" w:cs="Arial"/>
          <w:b/>
          <w:bCs/>
        </w:rPr>
        <w:tab/>
      </w:r>
      <w:r w:rsidRPr="00615503">
        <w:rPr>
          <w:rFonts w:ascii="Arial" w:hAnsi="Arial" w:cs="Arial"/>
          <w:b/>
          <w:bCs/>
        </w:rPr>
        <w:tab/>
        <w:t>Fig</w:t>
      </w:r>
      <w:r>
        <w:rPr>
          <w:rFonts w:ascii="Arial" w:hAnsi="Arial" w:cs="Arial"/>
          <w:b/>
          <w:bCs/>
        </w:rPr>
        <w:t>.</w:t>
      </w:r>
      <w:r w:rsidRPr="00615503">
        <w:rPr>
          <w:rFonts w:ascii="Arial" w:hAnsi="Arial" w:cs="Arial"/>
          <w:b/>
          <w:bCs/>
        </w:rPr>
        <w:t xml:space="preserve"> 6</w:t>
      </w:r>
      <w:r>
        <w:rPr>
          <w:rFonts w:ascii="Arial" w:hAnsi="Arial" w:cs="Arial"/>
          <w:b/>
          <w:bCs/>
        </w:rPr>
        <w:t>.</w:t>
      </w:r>
      <w:r w:rsidRPr="00615503">
        <w:rPr>
          <w:rFonts w:ascii="Arial" w:hAnsi="Arial" w:cs="Arial"/>
          <w:b/>
          <w:bCs/>
        </w:rPr>
        <w:t xml:space="preserve"> Multiply profile of soil sample</w:t>
      </w:r>
    </w:p>
    <w:p w14:paraId="01D7F15D" w14:textId="77777777" w:rsidR="00615503" w:rsidRPr="00615503" w:rsidRDefault="00615503" w:rsidP="00615503">
      <w:pPr>
        <w:pStyle w:val="Body"/>
        <w:jc w:val="center"/>
        <w:rPr>
          <w:rFonts w:ascii="Arial" w:hAnsi="Arial" w:cs="Arial"/>
        </w:rPr>
      </w:pPr>
      <w:r w:rsidRPr="00615503">
        <w:rPr>
          <w:rFonts w:ascii="Arial" w:hAnsi="Arial" w:cs="Arial"/>
          <w:noProof/>
        </w:rPr>
        <w:drawing>
          <wp:inline distT="0" distB="0" distL="0" distR="0" wp14:anchorId="6CCA65AC" wp14:editId="3AA201AF">
            <wp:extent cx="3247053" cy="1122983"/>
            <wp:effectExtent l="0" t="0" r="0" b="1270"/>
            <wp:docPr id="2011570283" name="Picture 4"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0283" name="Picture 4" descr="A pie chart with different colored circl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2933" cy="1138850"/>
                    </a:xfrm>
                    <a:prstGeom prst="rect">
                      <a:avLst/>
                    </a:prstGeom>
                    <a:noFill/>
                    <a:ln>
                      <a:noFill/>
                    </a:ln>
                  </pic:spPr>
                </pic:pic>
              </a:graphicData>
            </a:graphic>
          </wp:inline>
        </w:drawing>
      </w:r>
    </w:p>
    <w:p w14:paraId="54532B8A" w14:textId="1F115FFB" w:rsidR="00615503" w:rsidRPr="00615503" w:rsidRDefault="00615503" w:rsidP="00615503">
      <w:pPr>
        <w:pStyle w:val="Body"/>
        <w:jc w:val="center"/>
        <w:rPr>
          <w:rFonts w:ascii="Arial" w:hAnsi="Arial" w:cs="Arial"/>
          <w:b/>
          <w:bCs/>
        </w:rPr>
      </w:pPr>
      <w:r w:rsidRPr="00615503">
        <w:rPr>
          <w:rFonts w:ascii="Arial" w:hAnsi="Arial" w:cs="Arial"/>
          <w:b/>
          <w:bCs/>
        </w:rPr>
        <w:t>Fig. 7</w:t>
      </w:r>
      <w:r>
        <w:rPr>
          <w:rFonts w:ascii="Arial" w:hAnsi="Arial" w:cs="Arial"/>
          <w:b/>
          <w:bCs/>
        </w:rPr>
        <w:t>.</w:t>
      </w:r>
      <w:r w:rsidRPr="00615503">
        <w:rPr>
          <w:rFonts w:ascii="Arial" w:hAnsi="Arial" w:cs="Arial"/>
          <w:b/>
          <w:bCs/>
        </w:rPr>
        <w:t xml:space="preserve"> Plot of results of soil sample</w:t>
      </w:r>
    </w:p>
    <w:p w14:paraId="5A9C048A" w14:textId="64D95C1C" w:rsidR="00615503" w:rsidRPr="00561902" w:rsidRDefault="00615503" w:rsidP="00615503">
      <w:pPr>
        <w:pStyle w:val="Body"/>
        <w:rPr>
          <w:rFonts w:ascii="Arial" w:hAnsi="Arial" w:cs="Arial"/>
          <w:b/>
          <w:bCs/>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California Bearing Ratio</w:t>
      </w:r>
    </w:p>
    <w:p w14:paraId="236FF05F" w14:textId="77777777" w:rsidR="00615503" w:rsidRPr="00615503" w:rsidRDefault="00615503" w:rsidP="00615503">
      <w:pPr>
        <w:pStyle w:val="Body"/>
        <w:rPr>
          <w:rFonts w:ascii="Arial" w:hAnsi="Arial" w:cs="Arial"/>
        </w:rPr>
      </w:pPr>
      <w:bookmarkStart w:id="3" w:name="_Hlk200967914"/>
      <w:r w:rsidRPr="00615503">
        <w:rPr>
          <w:rFonts w:ascii="Arial" w:hAnsi="Arial" w:cs="Arial"/>
        </w:rPr>
        <w:t>The California Bearing Ratio (CBR) test was used to evaluate the load-bearing capacity of expansive soil treated with varying dosages of gum Arabic and stone dust.  The CBR values of soil stabilized with gum Arabic and stone dust in varying dosages is shown on Table 4 and Figure 8. The results show how stabilization using gum Arabic and stone dust affects the California Bearing Ratio (CBR) of expansive clay soil.</w:t>
      </w:r>
    </w:p>
    <w:p w14:paraId="1865406F" w14:textId="4BA0BA03" w:rsidR="00615503" w:rsidRPr="00615503" w:rsidRDefault="00615503" w:rsidP="00615503">
      <w:pPr>
        <w:pStyle w:val="Body"/>
        <w:rPr>
          <w:rFonts w:ascii="Arial" w:hAnsi="Arial" w:cs="Arial"/>
          <w:b/>
          <w:bCs/>
        </w:rPr>
      </w:pPr>
      <w:r w:rsidRPr="00615503">
        <w:rPr>
          <w:rFonts w:ascii="Arial" w:hAnsi="Arial" w:cs="Arial"/>
        </w:rPr>
        <w:t>The control sample (untreated soil) had the highest 7-day CBR of 4</w:t>
      </w:r>
      <w:r w:rsidR="00D00695">
        <w:rPr>
          <w:rFonts w:ascii="Arial" w:hAnsi="Arial" w:cs="Arial"/>
        </w:rPr>
        <w:t>.1</w:t>
      </w:r>
      <w:r w:rsidRPr="00615503">
        <w:rPr>
          <w:rFonts w:ascii="Arial" w:hAnsi="Arial" w:cs="Arial"/>
        </w:rPr>
        <w:t>5%, which likely reflects a temporary increase in strength due to compaction rather than genuine long-term stability. Given the high plasticity and shrinkage of the soil, such a high value is not expected to sustain over time or moisture fluctuations. At 2% gum Arabic and 5% stone dust, the 7-day CBR significantly decreased to 3.25%, but improved to 5% after 14 days. This indicates delayed strength gain as the binding effect of gum Arabic and mechanical interlocking from stone dust begins to take effect. The 4% gum Arabic and 10% stone dust mix achieved the highest 14-day CBR of 9%, suggesting this dosage provides the most effective balance between organic binder content and mechanical reinforcement. Gum Arabic likely aids in bonding soil particles, while stone dust fills void and improves density. Increasing the dosage further (6–8% gum Arabic and 15–20% stone dust) did not lead to further improvement in CBR values. In fact, the 14-day CBR dropped slightly to 4.75%, likely due to, overuse of gum Arabic, which may begin to introduce too much organic content or reduce compatibility as well as excessive stone dust, which could disturb the optimal grading or bonding ratio.</w:t>
      </w:r>
    </w:p>
    <w:p w14:paraId="7F65A695" w14:textId="5F0A3471" w:rsidR="00615503" w:rsidRPr="00615503" w:rsidRDefault="00615503" w:rsidP="00615503">
      <w:pPr>
        <w:pStyle w:val="Body"/>
        <w:rPr>
          <w:rFonts w:ascii="Arial" w:hAnsi="Arial" w:cs="Arial"/>
        </w:rPr>
      </w:pPr>
      <w:r w:rsidRPr="00615503">
        <w:rPr>
          <w:rFonts w:ascii="Arial" w:hAnsi="Arial" w:cs="Arial"/>
        </w:rPr>
        <w:t>The results shows that moderate doses of gum Arabic and stone dust (4%: 10%) offer the best improvement in bearing capacity over time. Excess dosages can lead to diminishing returns due to poor particle bonding or excess fines (Sugumaran and Neme, 2024).</w:t>
      </w:r>
    </w:p>
    <w:p w14:paraId="79B48E2C" w14:textId="77777777" w:rsidR="00615503" w:rsidRPr="00615503" w:rsidRDefault="00615503" w:rsidP="00615503">
      <w:pPr>
        <w:pStyle w:val="Body"/>
        <w:jc w:val="center"/>
        <w:rPr>
          <w:rFonts w:ascii="Arial" w:hAnsi="Arial" w:cs="Arial"/>
          <w:b/>
          <w:bCs/>
        </w:rPr>
      </w:pPr>
      <w:r w:rsidRPr="00615503">
        <w:rPr>
          <w:rFonts w:ascii="Arial" w:hAnsi="Arial" w:cs="Arial"/>
          <w:b/>
          <w:bCs/>
        </w:rPr>
        <w:t>Table 4: CBR values of soil samples at different dosage treatment</w:t>
      </w:r>
    </w:p>
    <w:tbl>
      <w:tblPr>
        <w:tblStyle w:val="PlainTable2"/>
        <w:tblW w:w="8781" w:type="dxa"/>
        <w:jc w:val="center"/>
        <w:tblLook w:val="0620" w:firstRow="1" w:lastRow="0" w:firstColumn="0" w:lastColumn="0" w:noHBand="1" w:noVBand="1"/>
      </w:tblPr>
      <w:tblGrid>
        <w:gridCol w:w="610"/>
        <w:gridCol w:w="3547"/>
        <w:gridCol w:w="2576"/>
        <w:gridCol w:w="2048"/>
      </w:tblGrid>
      <w:tr w:rsidR="00615503" w:rsidRPr="00615503" w14:paraId="1519C522" w14:textId="77777777" w:rsidTr="00615503">
        <w:trPr>
          <w:cnfStyle w:val="100000000000" w:firstRow="1" w:lastRow="0" w:firstColumn="0" w:lastColumn="0" w:oddVBand="0" w:evenVBand="0" w:oddHBand="0" w:evenHBand="0" w:firstRowFirstColumn="0" w:firstRowLastColumn="0" w:lastRowFirstColumn="0" w:lastRowLastColumn="0"/>
          <w:trHeight w:val="206"/>
          <w:jc w:val="center"/>
        </w:trPr>
        <w:tc>
          <w:tcPr>
            <w:tcW w:w="610" w:type="dxa"/>
          </w:tcPr>
          <w:p w14:paraId="1EBF2B7E"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S/N</w:t>
            </w:r>
          </w:p>
        </w:tc>
        <w:tc>
          <w:tcPr>
            <w:tcW w:w="3547" w:type="dxa"/>
          </w:tcPr>
          <w:p w14:paraId="26F43DD8"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Treatment Dosage</w:t>
            </w:r>
          </w:p>
        </w:tc>
        <w:tc>
          <w:tcPr>
            <w:tcW w:w="4624" w:type="dxa"/>
            <w:gridSpan w:val="2"/>
          </w:tcPr>
          <w:p w14:paraId="02F53C5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CBR (%)</w:t>
            </w:r>
          </w:p>
        </w:tc>
      </w:tr>
      <w:tr w:rsidR="00615503" w:rsidRPr="00615503" w14:paraId="4472DB10" w14:textId="77777777" w:rsidTr="00615503">
        <w:trPr>
          <w:trHeight w:val="206"/>
          <w:jc w:val="center"/>
        </w:trPr>
        <w:tc>
          <w:tcPr>
            <w:tcW w:w="610" w:type="dxa"/>
          </w:tcPr>
          <w:p w14:paraId="18AC5ACF" w14:textId="77777777" w:rsidR="00615503" w:rsidRPr="00615503" w:rsidRDefault="00615503" w:rsidP="00615503">
            <w:pPr>
              <w:pStyle w:val="Body"/>
              <w:widowControl/>
              <w:autoSpaceDE/>
              <w:autoSpaceDN/>
              <w:spacing w:after="0"/>
              <w:rPr>
                <w:rFonts w:ascii="Arial" w:hAnsi="Arial" w:cs="Arial"/>
                <w:sz w:val="20"/>
              </w:rPr>
            </w:pPr>
          </w:p>
        </w:tc>
        <w:tc>
          <w:tcPr>
            <w:tcW w:w="3547" w:type="dxa"/>
          </w:tcPr>
          <w:p w14:paraId="27247D2F" w14:textId="77777777" w:rsidR="00615503" w:rsidRPr="00615503" w:rsidRDefault="00615503" w:rsidP="00615503">
            <w:pPr>
              <w:pStyle w:val="Body"/>
              <w:widowControl/>
              <w:autoSpaceDE/>
              <w:autoSpaceDN/>
              <w:spacing w:after="0"/>
              <w:rPr>
                <w:rFonts w:ascii="Arial" w:hAnsi="Arial" w:cs="Arial"/>
                <w:sz w:val="20"/>
              </w:rPr>
            </w:pPr>
          </w:p>
        </w:tc>
        <w:tc>
          <w:tcPr>
            <w:tcW w:w="2576" w:type="dxa"/>
          </w:tcPr>
          <w:p w14:paraId="3DE34094"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7 days</w:t>
            </w:r>
          </w:p>
        </w:tc>
        <w:tc>
          <w:tcPr>
            <w:tcW w:w="2048" w:type="dxa"/>
          </w:tcPr>
          <w:p w14:paraId="523132B3"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14 days</w:t>
            </w:r>
          </w:p>
        </w:tc>
      </w:tr>
      <w:tr w:rsidR="00615503" w:rsidRPr="00615503" w14:paraId="4478289B" w14:textId="77777777" w:rsidTr="00615503">
        <w:trPr>
          <w:trHeight w:val="220"/>
          <w:jc w:val="center"/>
        </w:trPr>
        <w:tc>
          <w:tcPr>
            <w:tcW w:w="610" w:type="dxa"/>
          </w:tcPr>
          <w:p w14:paraId="054ACD15"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w:t>
            </w:r>
          </w:p>
        </w:tc>
        <w:tc>
          <w:tcPr>
            <w:tcW w:w="3547" w:type="dxa"/>
          </w:tcPr>
          <w:p w14:paraId="21AA510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Control (Untreated)</w:t>
            </w:r>
          </w:p>
        </w:tc>
        <w:tc>
          <w:tcPr>
            <w:tcW w:w="4624" w:type="dxa"/>
            <w:gridSpan w:val="2"/>
          </w:tcPr>
          <w:p w14:paraId="1DF4694B" w14:textId="700CEF43"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w:t>
            </w:r>
            <w:r w:rsidR="006C09F7">
              <w:rPr>
                <w:rFonts w:ascii="Arial" w:hAnsi="Arial" w:cs="Arial"/>
                <w:sz w:val="20"/>
              </w:rPr>
              <w:t>.1</w:t>
            </w:r>
            <w:r w:rsidR="00D00695">
              <w:rPr>
                <w:rFonts w:ascii="Arial" w:hAnsi="Arial" w:cs="Arial"/>
                <w:sz w:val="20"/>
              </w:rPr>
              <w:t>5</w:t>
            </w:r>
          </w:p>
        </w:tc>
      </w:tr>
      <w:tr w:rsidR="00615503" w:rsidRPr="00615503" w14:paraId="71E3C9B2" w14:textId="77777777" w:rsidTr="00615503">
        <w:trPr>
          <w:trHeight w:val="206"/>
          <w:jc w:val="center"/>
        </w:trPr>
        <w:tc>
          <w:tcPr>
            <w:tcW w:w="610" w:type="dxa"/>
          </w:tcPr>
          <w:p w14:paraId="50BA8B4A"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w:t>
            </w:r>
          </w:p>
        </w:tc>
        <w:tc>
          <w:tcPr>
            <w:tcW w:w="3547" w:type="dxa"/>
          </w:tcPr>
          <w:p w14:paraId="1F7E6C94" w14:textId="74B3FCA3"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 xml:space="preserve">2% Gum Arabic : 5% </w:t>
            </w:r>
            <w:r w:rsidR="00D14524">
              <w:rPr>
                <w:rFonts w:ascii="Arial" w:hAnsi="Arial" w:cs="Arial"/>
                <w:sz w:val="20"/>
              </w:rPr>
              <w:t xml:space="preserve">  </w:t>
            </w:r>
            <w:r w:rsidRPr="00615503">
              <w:rPr>
                <w:rFonts w:ascii="Arial" w:hAnsi="Arial" w:cs="Arial"/>
                <w:sz w:val="20"/>
              </w:rPr>
              <w:t>Stone Dust</w:t>
            </w:r>
          </w:p>
        </w:tc>
        <w:tc>
          <w:tcPr>
            <w:tcW w:w="2576" w:type="dxa"/>
          </w:tcPr>
          <w:p w14:paraId="5018234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3.25</w:t>
            </w:r>
          </w:p>
        </w:tc>
        <w:tc>
          <w:tcPr>
            <w:tcW w:w="2048" w:type="dxa"/>
          </w:tcPr>
          <w:p w14:paraId="490F7AB8"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w:t>
            </w:r>
          </w:p>
        </w:tc>
      </w:tr>
      <w:tr w:rsidR="00615503" w:rsidRPr="00615503" w14:paraId="2D32BC78" w14:textId="77777777" w:rsidTr="00615503">
        <w:trPr>
          <w:trHeight w:val="220"/>
          <w:jc w:val="center"/>
        </w:trPr>
        <w:tc>
          <w:tcPr>
            <w:tcW w:w="610" w:type="dxa"/>
          </w:tcPr>
          <w:p w14:paraId="4ABD9E3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w:t>
            </w:r>
          </w:p>
        </w:tc>
        <w:tc>
          <w:tcPr>
            <w:tcW w:w="3547" w:type="dxa"/>
          </w:tcPr>
          <w:p w14:paraId="676C4547"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 Gum Arabic : 10% Stone Dust</w:t>
            </w:r>
          </w:p>
        </w:tc>
        <w:tc>
          <w:tcPr>
            <w:tcW w:w="2576" w:type="dxa"/>
          </w:tcPr>
          <w:p w14:paraId="3FAA9AB2"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2.25</w:t>
            </w:r>
          </w:p>
        </w:tc>
        <w:tc>
          <w:tcPr>
            <w:tcW w:w="2048" w:type="dxa"/>
          </w:tcPr>
          <w:p w14:paraId="0EFD79B5"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9</w:t>
            </w:r>
          </w:p>
        </w:tc>
      </w:tr>
      <w:tr w:rsidR="00615503" w:rsidRPr="00615503" w14:paraId="2CCD9F51" w14:textId="77777777" w:rsidTr="00615503">
        <w:trPr>
          <w:trHeight w:val="206"/>
          <w:jc w:val="center"/>
        </w:trPr>
        <w:tc>
          <w:tcPr>
            <w:tcW w:w="610" w:type="dxa"/>
          </w:tcPr>
          <w:p w14:paraId="0E75056A"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w:t>
            </w:r>
          </w:p>
        </w:tc>
        <w:tc>
          <w:tcPr>
            <w:tcW w:w="3547" w:type="dxa"/>
          </w:tcPr>
          <w:p w14:paraId="3A5D615D"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6% Gum Arabic : 15% Stone Dust</w:t>
            </w:r>
          </w:p>
        </w:tc>
        <w:tc>
          <w:tcPr>
            <w:tcW w:w="2576" w:type="dxa"/>
          </w:tcPr>
          <w:p w14:paraId="2B6D0CEB"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w:t>
            </w:r>
          </w:p>
        </w:tc>
        <w:tc>
          <w:tcPr>
            <w:tcW w:w="2048" w:type="dxa"/>
          </w:tcPr>
          <w:p w14:paraId="11956EF0"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4.75</w:t>
            </w:r>
          </w:p>
        </w:tc>
      </w:tr>
      <w:tr w:rsidR="00615503" w:rsidRPr="00615503" w14:paraId="2011D613" w14:textId="77777777" w:rsidTr="00615503">
        <w:trPr>
          <w:trHeight w:val="220"/>
          <w:jc w:val="center"/>
        </w:trPr>
        <w:tc>
          <w:tcPr>
            <w:tcW w:w="610" w:type="dxa"/>
          </w:tcPr>
          <w:p w14:paraId="6765ADC1"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w:t>
            </w:r>
          </w:p>
        </w:tc>
        <w:tc>
          <w:tcPr>
            <w:tcW w:w="3547" w:type="dxa"/>
          </w:tcPr>
          <w:p w14:paraId="42C7C252"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8% Gum Arabic : 20% Stone Dust</w:t>
            </w:r>
          </w:p>
        </w:tc>
        <w:tc>
          <w:tcPr>
            <w:tcW w:w="2576" w:type="dxa"/>
          </w:tcPr>
          <w:p w14:paraId="04768B46"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w:t>
            </w:r>
          </w:p>
        </w:tc>
        <w:tc>
          <w:tcPr>
            <w:tcW w:w="2048" w:type="dxa"/>
          </w:tcPr>
          <w:p w14:paraId="52C9BAD8"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4.75</w:t>
            </w:r>
          </w:p>
        </w:tc>
      </w:tr>
    </w:tbl>
    <w:bookmarkEnd w:id="3"/>
    <w:p w14:paraId="674E5611" w14:textId="77777777" w:rsidR="00615503" w:rsidRPr="00615503" w:rsidRDefault="00615503" w:rsidP="00615503">
      <w:pPr>
        <w:pStyle w:val="Body"/>
        <w:jc w:val="center"/>
        <w:rPr>
          <w:rFonts w:ascii="Arial" w:hAnsi="Arial" w:cs="Arial"/>
          <w:b/>
          <w:bCs/>
        </w:rPr>
      </w:pPr>
      <w:r w:rsidRPr="00615503">
        <w:rPr>
          <w:rFonts w:ascii="Arial" w:hAnsi="Arial" w:cs="Arial"/>
          <w:b/>
          <w:bCs/>
          <w:noProof/>
        </w:rPr>
        <w:drawing>
          <wp:inline distT="0" distB="0" distL="0" distR="0" wp14:anchorId="6A1EA3A6" wp14:editId="3478FF28">
            <wp:extent cx="3147461" cy="2151246"/>
            <wp:effectExtent l="0" t="0" r="15240" b="1905"/>
            <wp:docPr id="86818920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48A8BC" w14:textId="524C191A" w:rsidR="00615503" w:rsidRPr="00615503" w:rsidRDefault="00615503" w:rsidP="00615503">
      <w:pPr>
        <w:pStyle w:val="Body"/>
        <w:jc w:val="center"/>
        <w:rPr>
          <w:rFonts w:ascii="Arial" w:hAnsi="Arial" w:cs="Arial"/>
        </w:rPr>
      </w:pPr>
      <w:r w:rsidRPr="00615503">
        <w:rPr>
          <w:rFonts w:ascii="Arial" w:hAnsi="Arial" w:cs="Arial"/>
        </w:rPr>
        <w:t>Fig. 8: California Bearing Ratio of Soil Samples</w:t>
      </w:r>
    </w:p>
    <w:p w14:paraId="385F1C71" w14:textId="565BA181" w:rsidR="00615503" w:rsidRPr="00561902" w:rsidRDefault="00615503" w:rsidP="00615503">
      <w:pPr>
        <w:pStyle w:val="Body"/>
        <w:rPr>
          <w:rFonts w:ascii="Arial" w:hAnsi="Arial" w:cs="Arial"/>
          <w:b/>
          <w:bCs/>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Direct Shear Strength Test</w:t>
      </w:r>
    </w:p>
    <w:p w14:paraId="15CF4C75" w14:textId="77777777" w:rsidR="00615503" w:rsidRPr="00615503" w:rsidRDefault="00615503" w:rsidP="00615503">
      <w:pPr>
        <w:pStyle w:val="Body"/>
        <w:rPr>
          <w:rFonts w:ascii="Arial" w:hAnsi="Arial" w:cs="Arial"/>
        </w:rPr>
      </w:pPr>
      <w:r w:rsidRPr="00615503">
        <w:rPr>
          <w:rFonts w:ascii="Arial" w:hAnsi="Arial" w:cs="Arial"/>
        </w:rPr>
        <w:t>The shear strength behavior of the soil samples treated with varying combinations of gum Arabic and stone dust was evaluated at 7 and 14 days to assess their stability under shear loading and the result is presented on Table 5 and Figure 9. The control sample consistently had the lowest shear strength (24.94 kN/m</w:t>
      </w:r>
      <w:r w:rsidRPr="00615503">
        <w:rPr>
          <w:rFonts w:ascii="Arial" w:hAnsi="Arial" w:cs="Arial"/>
          <w:vertAlign w:val="superscript"/>
        </w:rPr>
        <w:t>2</w:t>
      </w:r>
      <w:r w:rsidRPr="00615503">
        <w:rPr>
          <w:rFonts w:ascii="Arial" w:hAnsi="Arial" w:cs="Arial"/>
        </w:rPr>
        <w:t>) and cohesion (7.4 kN/m</w:t>
      </w:r>
      <w:r w:rsidRPr="00615503">
        <w:rPr>
          <w:rFonts w:ascii="Arial" w:hAnsi="Arial" w:cs="Arial"/>
          <w:vertAlign w:val="superscript"/>
        </w:rPr>
        <w:t>2</w:t>
      </w:r>
      <w:r w:rsidRPr="00615503">
        <w:rPr>
          <w:rFonts w:ascii="Arial" w:hAnsi="Arial" w:cs="Arial"/>
        </w:rPr>
        <w:t>), confirming its weaker natural structure, which is probably caused by poor inter-particle bonding and high plasticity.</w:t>
      </w:r>
    </w:p>
    <w:p w14:paraId="4CB4D236" w14:textId="77777777" w:rsidR="00615503" w:rsidRPr="00615503" w:rsidRDefault="00615503" w:rsidP="00615503">
      <w:pPr>
        <w:pStyle w:val="Body"/>
        <w:rPr>
          <w:rFonts w:ascii="Arial" w:hAnsi="Arial" w:cs="Arial"/>
          <w:b/>
          <w:bCs/>
        </w:rPr>
      </w:pPr>
      <w:r w:rsidRPr="00615503">
        <w:rPr>
          <w:rFonts w:ascii="Arial" w:hAnsi="Arial" w:cs="Arial"/>
        </w:rPr>
        <w:t>The highest shear strength values were obtained at 7 days (31.72 kN/m</w:t>
      </w:r>
      <w:r w:rsidRPr="00615503">
        <w:rPr>
          <w:rFonts w:ascii="Arial" w:hAnsi="Arial" w:cs="Arial"/>
          <w:vertAlign w:val="superscript"/>
        </w:rPr>
        <w:t>2</w:t>
      </w:r>
      <w:r w:rsidRPr="00615503">
        <w:rPr>
          <w:rFonts w:ascii="Arial" w:hAnsi="Arial" w:cs="Arial"/>
        </w:rPr>
        <w:t>) and 14 days (33.12 kN/m</w:t>
      </w:r>
      <w:r w:rsidRPr="00615503">
        <w:rPr>
          <w:rFonts w:ascii="Arial" w:hAnsi="Arial" w:cs="Arial"/>
          <w:vertAlign w:val="superscript"/>
        </w:rPr>
        <w:t>2</w:t>
      </w:r>
      <w:r w:rsidRPr="00615503">
        <w:rPr>
          <w:rFonts w:ascii="Arial" w:hAnsi="Arial" w:cs="Arial"/>
        </w:rPr>
        <w:t>) with the treatment combination of 2% gum Arabic and 5% stone dust. This was mainly due to a significant increase in cohesion rather than friction angle. Interestingly, this 2%:5% treatment showed very low angles of shearing resistance (1.41° and 1.70°), suggesting that gum Arabic cohesive binding was very effective in increasing shear strength even though inter-particle friction was low.</w:t>
      </w:r>
      <w:r w:rsidRPr="00615503">
        <w:rPr>
          <w:rFonts w:ascii="Arial" w:hAnsi="Arial" w:cs="Arial"/>
          <w:b/>
          <w:bCs/>
        </w:rPr>
        <w:t xml:space="preserve"> </w:t>
      </w:r>
      <w:r w:rsidRPr="00615503">
        <w:rPr>
          <w:rFonts w:ascii="Arial" w:hAnsi="Arial" w:cs="Arial"/>
        </w:rPr>
        <w:t>For higher dosages (4%:10%, 6%:15%, 8%:20%), cohesion moderately improved, and the angle of internal friction stabilized around 3.2° to 4.6°, resulting in steady shear strength values in the 24–28 kN/m² range</w:t>
      </w:r>
    </w:p>
    <w:p w14:paraId="4FF133D0" w14:textId="77777777" w:rsidR="00615503" w:rsidRPr="00615503" w:rsidRDefault="00615503" w:rsidP="00615503">
      <w:pPr>
        <w:pStyle w:val="Body"/>
        <w:rPr>
          <w:rFonts w:ascii="Arial" w:hAnsi="Arial" w:cs="Arial"/>
          <w:b/>
          <w:bCs/>
        </w:rPr>
      </w:pPr>
      <w:r w:rsidRPr="00615503">
        <w:rPr>
          <w:rFonts w:ascii="Arial" w:hAnsi="Arial" w:cs="Arial"/>
        </w:rPr>
        <w:t xml:space="preserve">Gum Arabic functions as a binding agent, enhancing interparticle adhesion and boosting shear resistance, as evidenced by the increase in cohesiveness observed in all treated samples (Rimbarngaye </w:t>
      </w:r>
      <w:r w:rsidRPr="00615503">
        <w:rPr>
          <w:rFonts w:ascii="Arial" w:hAnsi="Arial" w:cs="Arial"/>
          <w:i/>
          <w:iCs/>
        </w:rPr>
        <w:t>et al.,</w:t>
      </w:r>
      <w:r w:rsidRPr="00615503">
        <w:rPr>
          <w:rFonts w:ascii="Arial" w:hAnsi="Arial" w:cs="Arial"/>
        </w:rPr>
        <w:t xml:space="preserve"> 2022). Stone dust likely contributed to matrix densification and reduction of voids, improving the mechanical interlocking to some extent—though less dominant than the cohesive contribution. The relatively low and fluctuating friction angles across treatments suggest that cohesion dominates shear behavior in treated expansive clay, typical of clay-rich soils.</w:t>
      </w:r>
    </w:p>
    <w:p w14:paraId="735D965D" w14:textId="77777777" w:rsidR="00615503" w:rsidRPr="00615503" w:rsidRDefault="00615503" w:rsidP="00615503">
      <w:pPr>
        <w:pStyle w:val="Body"/>
        <w:rPr>
          <w:rFonts w:ascii="Arial" w:hAnsi="Arial" w:cs="Arial"/>
        </w:rPr>
      </w:pPr>
      <w:r w:rsidRPr="00615503">
        <w:rPr>
          <w:rFonts w:ascii="Arial" w:hAnsi="Arial" w:cs="Arial"/>
        </w:rPr>
        <w:t>The optimal treatment for shear strength enhancement appears to be 2% gum Arabic and 5% stone dust, offering a significant increase in cohesion and overall shear capacity. Increasing the dosage beyond this point does not produce proportional strength gains, and in some cases, may lower friction angles due to excess fines or binder saturation. These findings reinforce the importance of dosage optimization when using organic and mineral stabilizers for improving the strength behavior of expansive soils.</w:t>
      </w:r>
    </w:p>
    <w:p w14:paraId="685E6BE3" w14:textId="77777777" w:rsidR="00615503" w:rsidRPr="00615503" w:rsidRDefault="00615503" w:rsidP="00615503">
      <w:pPr>
        <w:pStyle w:val="Body"/>
        <w:jc w:val="center"/>
        <w:rPr>
          <w:rFonts w:ascii="Arial" w:hAnsi="Arial" w:cs="Arial"/>
          <w:b/>
          <w:bCs/>
        </w:rPr>
      </w:pPr>
      <w:r w:rsidRPr="00615503">
        <w:rPr>
          <w:rFonts w:ascii="Arial" w:hAnsi="Arial" w:cs="Arial"/>
          <w:b/>
          <w:bCs/>
        </w:rPr>
        <w:t>Table 5: Shear Strength Values of Soil Sample</w:t>
      </w:r>
    </w:p>
    <w:tbl>
      <w:tblPr>
        <w:tblStyle w:val="PlainTable2"/>
        <w:tblW w:w="8980" w:type="dxa"/>
        <w:jc w:val="center"/>
        <w:tblLook w:val="0620" w:firstRow="1" w:lastRow="0" w:firstColumn="0" w:lastColumn="0" w:noHBand="1" w:noVBand="1"/>
      </w:tblPr>
      <w:tblGrid>
        <w:gridCol w:w="2922"/>
        <w:gridCol w:w="1168"/>
        <w:gridCol w:w="1168"/>
        <w:gridCol w:w="1080"/>
        <w:gridCol w:w="1051"/>
        <w:gridCol w:w="1591"/>
      </w:tblGrid>
      <w:tr w:rsidR="00615503" w:rsidRPr="00615503" w14:paraId="3B67ADC1" w14:textId="77777777" w:rsidTr="00615503">
        <w:trPr>
          <w:cnfStyle w:val="100000000000" w:firstRow="1" w:lastRow="0" w:firstColumn="0" w:lastColumn="0" w:oddVBand="0" w:evenVBand="0" w:oddHBand="0" w:evenHBand="0" w:firstRowFirstColumn="0" w:firstRowLastColumn="0" w:lastRowFirstColumn="0" w:lastRowLastColumn="0"/>
          <w:trHeight w:val="249"/>
          <w:jc w:val="center"/>
        </w:trPr>
        <w:tc>
          <w:tcPr>
            <w:tcW w:w="2922" w:type="dxa"/>
          </w:tcPr>
          <w:p w14:paraId="095DD848"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Parameters</w:t>
            </w:r>
          </w:p>
        </w:tc>
        <w:tc>
          <w:tcPr>
            <w:tcW w:w="6058" w:type="dxa"/>
            <w:gridSpan w:val="5"/>
          </w:tcPr>
          <w:p w14:paraId="703EFC73"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Shear Strength of Soil Samples</w:t>
            </w:r>
          </w:p>
        </w:tc>
      </w:tr>
      <w:tr w:rsidR="00615503" w:rsidRPr="00615503" w14:paraId="1741FE6D" w14:textId="77777777" w:rsidTr="00615503">
        <w:trPr>
          <w:trHeight w:val="160"/>
          <w:jc w:val="center"/>
        </w:trPr>
        <w:tc>
          <w:tcPr>
            <w:tcW w:w="2922" w:type="dxa"/>
          </w:tcPr>
          <w:p w14:paraId="1381A733" w14:textId="77777777" w:rsidR="00615503" w:rsidRPr="00615503" w:rsidRDefault="00615503" w:rsidP="00615503">
            <w:pPr>
              <w:pStyle w:val="Body"/>
              <w:widowControl/>
              <w:autoSpaceDE/>
              <w:autoSpaceDN/>
              <w:spacing w:after="0"/>
              <w:rPr>
                <w:rFonts w:ascii="Arial" w:hAnsi="Arial" w:cs="Arial"/>
                <w:sz w:val="20"/>
              </w:rPr>
            </w:pPr>
          </w:p>
        </w:tc>
        <w:tc>
          <w:tcPr>
            <w:tcW w:w="6058" w:type="dxa"/>
            <w:gridSpan w:val="5"/>
          </w:tcPr>
          <w:p w14:paraId="6FF7FA16" w14:textId="77777777" w:rsidR="00615503" w:rsidRPr="00615503" w:rsidRDefault="00615503" w:rsidP="00615503">
            <w:pPr>
              <w:pStyle w:val="Body"/>
              <w:widowControl/>
              <w:autoSpaceDE/>
              <w:autoSpaceDN/>
              <w:spacing w:after="0"/>
              <w:jc w:val="center"/>
              <w:rPr>
                <w:rFonts w:ascii="Arial" w:hAnsi="Arial" w:cs="Arial"/>
                <w:sz w:val="20"/>
              </w:rPr>
            </w:pPr>
            <w:r w:rsidRPr="00615503">
              <w:rPr>
                <w:rFonts w:ascii="Arial" w:hAnsi="Arial" w:cs="Arial"/>
                <w:sz w:val="20"/>
              </w:rPr>
              <w:t>7 days</w:t>
            </w:r>
          </w:p>
        </w:tc>
      </w:tr>
      <w:tr w:rsidR="00615503" w:rsidRPr="00615503" w14:paraId="6DCC6E43" w14:textId="77777777" w:rsidTr="00615503">
        <w:trPr>
          <w:trHeight w:val="249"/>
          <w:jc w:val="center"/>
        </w:trPr>
        <w:tc>
          <w:tcPr>
            <w:tcW w:w="2922" w:type="dxa"/>
          </w:tcPr>
          <w:p w14:paraId="59CA6CBE" w14:textId="77777777" w:rsidR="00615503" w:rsidRPr="00615503" w:rsidRDefault="00615503" w:rsidP="00615503">
            <w:pPr>
              <w:pStyle w:val="Body"/>
              <w:widowControl/>
              <w:autoSpaceDE/>
              <w:autoSpaceDN/>
              <w:spacing w:after="0"/>
              <w:rPr>
                <w:rFonts w:ascii="Arial" w:hAnsi="Arial" w:cs="Arial"/>
                <w:sz w:val="20"/>
              </w:rPr>
            </w:pPr>
          </w:p>
        </w:tc>
        <w:tc>
          <w:tcPr>
            <w:tcW w:w="1168" w:type="dxa"/>
          </w:tcPr>
          <w:p w14:paraId="45BAAA5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Control</w:t>
            </w:r>
          </w:p>
        </w:tc>
        <w:tc>
          <w:tcPr>
            <w:tcW w:w="1168" w:type="dxa"/>
          </w:tcPr>
          <w:p w14:paraId="2526767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 5%</w:t>
            </w:r>
          </w:p>
        </w:tc>
        <w:tc>
          <w:tcPr>
            <w:tcW w:w="1080" w:type="dxa"/>
          </w:tcPr>
          <w:p w14:paraId="4F9CAF44"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 10%</w:t>
            </w:r>
          </w:p>
        </w:tc>
        <w:tc>
          <w:tcPr>
            <w:tcW w:w="1051" w:type="dxa"/>
          </w:tcPr>
          <w:p w14:paraId="48FCA855"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6% 15%</w:t>
            </w:r>
          </w:p>
        </w:tc>
        <w:tc>
          <w:tcPr>
            <w:tcW w:w="1591" w:type="dxa"/>
          </w:tcPr>
          <w:p w14:paraId="1FD29C8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8% 20%</w:t>
            </w:r>
          </w:p>
        </w:tc>
      </w:tr>
      <w:tr w:rsidR="00615503" w:rsidRPr="00615503" w14:paraId="5ADDCE01" w14:textId="77777777" w:rsidTr="00615503">
        <w:trPr>
          <w:trHeight w:val="79"/>
          <w:jc w:val="center"/>
        </w:trPr>
        <w:tc>
          <w:tcPr>
            <w:tcW w:w="2922" w:type="dxa"/>
          </w:tcPr>
          <w:p w14:paraId="56AF0483"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Apparent Cohesion C’ (kN/m</w:t>
            </w:r>
            <w:r w:rsidRPr="00615503">
              <w:rPr>
                <w:rFonts w:ascii="Arial" w:hAnsi="Arial" w:cs="Arial"/>
                <w:sz w:val="20"/>
                <w:vertAlign w:val="superscript"/>
              </w:rPr>
              <w:t>2</w:t>
            </w:r>
            <w:r w:rsidRPr="00615503">
              <w:rPr>
                <w:rFonts w:ascii="Arial" w:hAnsi="Arial" w:cs="Arial"/>
                <w:sz w:val="20"/>
              </w:rPr>
              <w:t>)</w:t>
            </w:r>
          </w:p>
        </w:tc>
        <w:tc>
          <w:tcPr>
            <w:tcW w:w="1168" w:type="dxa"/>
          </w:tcPr>
          <w:p w14:paraId="134CFF51"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7.4</w:t>
            </w:r>
          </w:p>
        </w:tc>
        <w:tc>
          <w:tcPr>
            <w:tcW w:w="1168" w:type="dxa"/>
          </w:tcPr>
          <w:p w14:paraId="0BEB8538"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26.8</w:t>
            </w:r>
          </w:p>
        </w:tc>
        <w:tc>
          <w:tcPr>
            <w:tcW w:w="1080" w:type="dxa"/>
          </w:tcPr>
          <w:p w14:paraId="6562710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11.62</w:t>
            </w:r>
          </w:p>
        </w:tc>
        <w:tc>
          <w:tcPr>
            <w:tcW w:w="1051" w:type="dxa"/>
          </w:tcPr>
          <w:p w14:paraId="0C9843BD"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11.62</w:t>
            </w:r>
          </w:p>
        </w:tc>
        <w:tc>
          <w:tcPr>
            <w:tcW w:w="1591" w:type="dxa"/>
          </w:tcPr>
          <w:p w14:paraId="486B63BB"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13.01</w:t>
            </w:r>
          </w:p>
        </w:tc>
      </w:tr>
      <w:tr w:rsidR="00615503" w:rsidRPr="00615503" w14:paraId="0E3FDDA6" w14:textId="77777777" w:rsidTr="00615503">
        <w:trPr>
          <w:trHeight w:val="120"/>
          <w:jc w:val="center"/>
        </w:trPr>
        <w:tc>
          <w:tcPr>
            <w:tcW w:w="2922" w:type="dxa"/>
          </w:tcPr>
          <w:p w14:paraId="0A34EAB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 xml:space="preserve">Angle of shearing resistance </w:t>
            </w:r>
          </w:p>
        </w:tc>
        <w:tc>
          <w:tcPr>
            <w:tcW w:w="1168" w:type="dxa"/>
          </w:tcPr>
          <w:p w14:paraId="2B1DF721"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5.012</w:t>
            </w:r>
          </w:p>
        </w:tc>
        <w:tc>
          <w:tcPr>
            <w:tcW w:w="1168" w:type="dxa"/>
          </w:tcPr>
          <w:p w14:paraId="379E75B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1.41</w:t>
            </w:r>
          </w:p>
        </w:tc>
        <w:tc>
          <w:tcPr>
            <w:tcW w:w="1080" w:type="dxa"/>
          </w:tcPr>
          <w:p w14:paraId="5517E22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4.61</w:t>
            </w:r>
          </w:p>
        </w:tc>
        <w:tc>
          <w:tcPr>
            <w:tcW w:w="1051" w:type="dxa"/>
          </w:tcPr>
          <w:p w14:paraId="104C9E42"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3.57</w:t>
            </w:r>
          </w:p>
        </w:tc>
        <w:tc>
          <w:tcPr>
            <w:tcW w:w="1591" w:type="dxa"/>
          </w:tcPr>
          <w:p w14:paraId="66600F82"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3.25</w:t>
            </w:r>
          </w:p>
        </w:tc>
      </w:tr>
      <w:tr w:rsidR="00615503" w:rsidRPr="00615503" w14:paraId="670B5FA7" w14:textId="77777777" w:rsidTr="00615503">
        <w:trPr>
          <w:trHeight w:val="160"/>
          <w:jc w:val="center"/>
        </w:trPr>
        <w:tc>
          <w:tcPr>
            <w:tcW w:w="2922" w:type="dxa"/>
          </w:tcPr>
          <w:p w14:paraId="4326E09A"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Shear Strength (kN/m</w:t>
            </w:r>
            <w:r w:rsidRPr="00615503">
              <w:rPr>
                <w:rFonts w:ascii="Arial" w:hAnsi="Arial" w:cs="Arial"/>
                <w:sz w:val="20"/>
                <w:vertAlign w:val="superscript"/>
              </w:rPr>
              <w:t>2</w:t>
            </w:r>
            <w:r w:rsidRPr="00615503">
              <w:rPr>
                <w:rFonts w:ascii="Arial" w:hAnsi="Arial" w:cs="Arial"/>
                <w:sz w:val="20"/>
              </w:rPr>
              <w:t>)</w:t>
            </w:r>
          </w:p>
        </w:tc>
        <w:tc>
          <w:tcPr>
            <w:tcW w:w="1168" w:type="dxa"/>
          </w:tcPr>
          <w:p w14:paraId="45834FB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24.93994</w:t>
            </w:r>
          </w:p>
        </w:tc>
        <w:tc>
          <w:tcPr>
            <w:tcW w:w="1168" w:type="dxa"/>
          </w:tcPr>
          <w:p w14:paraId="5996A654"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31.72282</w:t>
            </w:r>
          </w:p>
        </w:tc>
        <w:tc>
          <w:tcPr>
            <w:tcW w:w="1080" w:type="dxa"/>
          </w:tcPr>
          <w:p w14:paraId="0377C5DA"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27.74675</w:t>
            </w:r>
          </w:p>
        </w:tc>
        <w:tc>
          <w:tcPr>
            <w:tcW w:w="1051" w:type="dxa"/>
          </w:tcPr>
          <w:p w14:paraId="24EDEDCD"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24.0978</w:t>
            </w:r>
          </w:p>
        </w:tc>
        <w:tc>
          <w:tcPr>
            <w:tcW w:w="1591" w:type="dxa"/>
          </w:tcPr>
          <w:p w14:paraId="56C88E63"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24.36682</w:t>
            </w:r>
          </w:p>
        </w:tc>
      </w:tr>
      <w:tr w:rsidR="00615503" w:rsidRPr="00615503" w14:paraId="4A909E94" w14:textId="77777777" w:rsidTr="00615503">
        <w:trPr>
          <w:trHeight w:val="39"/>
          <w:jc w:val="center"/>
        </w:trPr>
        <w:tc>
          <w:tcPr>
            <w:tcW w:w="2922" w:type="dxa"/>
          </w:tcPr>
          <w:p w14:paraId="3A6174E4" w14:textId="77777777" w:rsidR="00615503" w:rsidRPr="00615503" w:rsidRDefault="00615503" w:rsidP="00615503">
            <w:pPr>
              <w:pStyle w:val="Body"/>
              <w:widowControl/>
              <w:autoSpaceDE/>
              <w:autoSpaceDN/>
              <w:spacing w:after="0"/>
              <w:rPr>
                <w:rFonts w:ascii="Arial" w:hAnsi="Arial" w:cs="Arial"/>
                <w:sz w:val="20"/>
              </w:rPr>
            </w:pPr>
          </w:p>
        </w:tc>
        <w:tc>
          <w:tcPr>
            <w:tcW w:w="6058" w:type="dxa"/>
            <w:gridSpan w:val="5"/>
          </w:tcPr>
          <w:p w14:paraId="47CE25E5" w14:textId="77777777" w:rsidR="00615503" w:rsidRPr="00615503" w:rsidRDefault="00615503" w:rsidP="00615503">
            <w:pPr>
              <w:pStyle w:val="Body"/>
              <w:widowControl/>
              <w:autoSpaceDE/>
              <w:autoSpaceDN/>
              <w:spacing w:after="0"/>
              <w:jc w:val="center"/>
              <w:rPr>
                <w:rFonts w:ascii="Arial" w:hAnsi="Arial" w:cs="Arial"/>
                <w:sz w:val="20"/>
              </w:rPr>
            </w:pPr>
            <w:r w:rsidRPr="00615503">
              <w:rPr>
                <w:rFonts w:ascii="Arial" w:hAnsi="Arial" w:cs="Arial"/>
                <w:sz w:val="20"/>
              </w:rPr>
              <w:t>14days</w:t>
            </w:r>
          </w:p>
        </w:tc>
      </w:tr>
      <w:tr w:rsidR="00615503" w:rsidRPr="00615503" w14:paraId="5C086972" w14:textId="77777777" w:rsidTr="00615503">
        <w:trPr>
          <w:trHeight w:val="249"/>
          <w:jc w:val="center"/>
        </w:trPr>
        <w:tc>
          <w:tcPr>
            <w:tcW w:w="2922" w:type="dxa"/>
          </w:tcPr>
          <w:p w14:paraId="29206C2F" w14:textId="77777777" w:rsidR="00615503" w:rsidRPr="00615503" w:rsidRDefault="00615503" w:rsidP="00615503">
            <w:pPr>
              <w:pStyle w:val="Body"/>
              <w:widowControl/>
              <w:autoSpaceDE/>
              <w:autoSpaceDN/>
              <w:spacing w:after="0"/>
              <w:rPr>
                <w:rFonts w:ascii="Arial" w:hAnsi="Arial" w:cs="Arial"/>
                <w:sz w:val="20"/>
              </w:rPr>
            </w:pPr>
          </w:p>
        </w:tc>
        <w:tc>
          <w:tcPr>
            <w:tcW w:w="1168" w:type="dxa"/>
          </w:tcPr>
          <w:p w14:paraId="5BE30770"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Control</w:t>
            </w:r>
          </w:p>
        </w:tc>
        <w:tc>
          <w:tcPr>
            <w:tcW w:w="1168" w:type="dxa"/>
          </w:tcPr>
          <w:p w14:paraId="2FA12EA7"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 5%</w:t>
            </w:r>
          </w:p>
        </w:tc>
        <w:tc>
          <w:tcPr>
            <w:tcW w:w="1080" w:type="dxa"/>
          </w:tcPr>
          <w:p w14:paraId="558783C6"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 10%</w:t>
            </w:r>
          </w:p>
        </w:tc>
        <w:tc>
          <w:tcPr>
            <w:tcW w:w="1051" w:type="dxa"/>
          </w:tcPr>
          <w:p w14:paraId="4AD72B3B"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6% 15%</w:t>
            </w:r>
          </w:p>
        </w:tc>
        <w:tc>
          <w:tcPr>
            <w:tcW w:w="1591" w:type="dxa"/>
          </w:tcPr>
          <w:p w14:paraId="3BA24A47"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8% 20%</w:t>
            </w:r>
          </w:p>
        </w:tc>
      </w:tr>
      <w:tr w:rsidR="00615503" w:rsidRPr="00615503" w14:paraId="282B607E" w14:textId="77777777" w:rsidTr="00615503">
        <w:trPr>
          <w:trHeight w:val="79"/>
          <w:jc w:val="center"/>
        </w:trPr>
        <w:tc>
          <w:tcPr>
            <w:tcW w:w="2922" w:type="dxa"/>
          </w:tcPr>
          <w:p w14:paraId="49C22A95"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Apparent Cohesion C’ (kN/m</w:t>
            </w:r>
            <w:r w:rsidRPr="00615503">
              <w:rPr>
                <w:rFonts w:ascii="Arial" w:hAnsi="Arial" w:cs="Arial"/>
                <w:sz w:val="20"/>
                <w:vertAlign w:val="superscript"/>
              </w:rPr>
              <w:t>2</w:t>
            </w:r>
            <w:r w:rsidRPr="00615503">
              <w:rPr>
                <w:rFonts w:ascii="Arial" w:hAnsi="Arial" w:cs="Arial"/>
                <w:sz w:val="20"/>
              </w:rPr>
              <w:t>)</w:t>
            </w:r>
          </w:p>
        </w:tc>
        <w:tc>
          <w:tcPr>
            <w:tcW w:w="1168" w:type="dxa"/>
          </w:tcPr>
          <w:p w14:paraId="38E86CB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7.4</w:t>
            </w:r>
          </w:p>
        </w:tc>
        <w:tc>
          <w:tcPr>
            <w:tcW w:w="1168" w:type="dxa"/>
          </w:tcPr>
          <w:p w14:paraId="47A0B454"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27.18</w:t>
            </w:r>
          </w:p>
        </w:tc>
        <w:tc>
          <w:tcPr>
            <w:tcW w:w="1080" w:type="dxa"/>
          </w:tcPr>
          <w:p w14:paraId="7B32C54A"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12.39</w:t>
            </w:r>
          </w:p>
        </w:tc>
        <w:tc>
          <w:tcPr>
            <w:tcW w:w="1051" w:type="dxa"/>
          </w:tcPr>
          <w:p w14:paraId="65C7B2B9"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11.94</w:t>
            </w:r>
          </w:p>
        </w:tc>
        <w:tc>
          <w:tcPr>
            <w:tcW w:w="1591" w:type="dxa"/>
          </w:tcPr>
          <w:p w14:paraId="39205360"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12.83</w:t>
            </w:r>
          </w:p>
        </w:tc>
      </w:tr>
      <w:tr w:rsidR="00615503" w:rsidRPr="00615503" w14:paraId="1822C8E0" w14:textId="77777777" w:rsidTr="00615503">
        <w:trPr>
          <w:trHeight w:val="120"/>
          <w:jc w:val="center"/>
        </w:trPr>
        <w:tc>
          <w:tcPr>
            <w:tcW w:w="2922" w:type="dxa"/>
          </w:tcPr>
          <w:p w14:paraId="23219AB7"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 xml:space="preserve">Angle of shearing resistance </w:t>
            </w:r>
          </w:p>
        </w:tc>
        <w:tc>
          <w:tcPr>
            <w:tcW w:w="1168" w:type="dxa"/>
          </w:tcPr>
          <w:p w14:paraId="5B392942"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5.012</w:t>
            </w:r>
          </w:p>
        </w:tc>
        <w:tc>
          <w:tcPr>
            <w:tcW w:w="1168" w:type="dxa"/>
          </w:tcPr>
          <w:p w14:paraId="3AF0AD75"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1.7</w:t>
            </w:r>
          </w:p>
        </w:tc>
        <w:tc>
          <w:tcPr>
            <w:tcW w:w="1080" w:type="dxa"/>
          </w:tcPr>
          <w:p w14:paraId="3E3B2B3C"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4.59</w:t>
            </w:r>
          </w:p>
        </w:tc>
        <w:tc>
          <w:tcPr>
            <w:tcW w:w="1051" w:type="dxa"/>
          </w:tcPr>
          <w:p w14:paraId="7EF66C71"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3.54</w:t>
            </w:r>
          </w:p>
        </w:tc>
        <w:tc>
          <w:tcPr>
            <w:tcW w:w="1591" w:type="dxa"/>
          </w:tcPr>
          <w:p w14:paraId="4EAB2E79"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4.46</w:t>
            </w:r>
          </w:p>
        </w:tc>
      </w:tr>
      <w:tr w:rsidR="00615503" w:rsidRPr="00615503" w14:paraId="58C9446C" w14:textId="77777777" w:rsidTr="00615503">
        <w:trPr>
          <w:trHeight w:val="89"/>
          <w:jc w:val="center"/>
        </w:trPr>
        <w:tc>
          <w:tcPr>
            <w:tcW w:w="2922" w:type="dxa"/>
          </w:tcPr>
          <w:p w14:paraId="098108F4"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Shear Strength</w:t>
            </w:r>
          </w:p>
        </w:tc>
        <w:tc>
          <w:tcPr>
            <w:tcW w:w="1168" w:type="dxa"/>
          </w:tcPr>
          <w:p w14:paraId="3641285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24.93994</w:t>
            </w:r>
          </w:p>
        </w:tc>
        <w:tc>
          <w:tcPr>
            <w:tcW w:w="1168" w:type="dxa"/>
          </w:tcPr>
          <w:p w14:paraId="7CB69308"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33.11586</w:t>
            </w:r>
          </w:p>
        </w:tc>
        <w:tc>
          <w:tcPr>
            <w:tcW w:w="1080" w:type="dxa"/>
          </w:tcPr>
          <w:p w14:paraId="0333A7E6"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28.44649</w:t>
            </w:r>
          </w:p>
        </w:tc>
        <w:tc>
          <w:tcPr>
            <w:tcW w:w="1051" w:type="dxa"/>
          </w:tcPr>
          <w:p w14:paraId="6FBCDE1F"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24.31268</w:t>
            </w:r>
          </w:p>
        </w:tc>
        <w:tc>
          <w:tcPr>
            <w:tcW w:w="1591" w:type="dxa"/>
          </w:tcPr>
          <w:p w14:paraId="3BA2349D" w14:textId="77777777" w:rsidR="00615503" w:rsidRPr="00615503" w:rsidRDefault="00615503" w:rsidP="00615503">
            <w:pPr>
              <w:pStyle w:val="Body"/>
              <w:widowControl/>
              <w:autoSpaceDE/>
              <w:autoSpaceDN/>
              <w:spacing w:after="0"/>
              <w:rPr>
                <w:rFonts w:ascii="Arial" w:hAnsi="Arial" w:cs="Arial"/>
                <w:sz w:val="20"/>
              </w:rPr>
            </w:pPr>
            <w:r w:rsidRPr="00615503">
              <w:rPr>
                <w:rFonts w:ascii="Arial" w:hAnsi="Arial" w:cs="Arial"/>
                <w:sz w:val="20"/>
              </w:rPr>
              <w:t>28.42986</w:t>
            </w:r>
          </w:p>
        </w:tc>
      </w:tr>
    </w:tbl>
    <w:p w14:paraId="3C52D7D3" w14:textId="77777777" w:rsidR="00615503" w:rsidRPr="00615503" w:rsidRDefault="00615503" w:rsidP="00615503">
      <w:pPr>
        <w:pStyle w:val="Body"/>
        <w:rPr>
          <w:rFonts w:ascii="Arial" w:hAnsi="Arial" w:cs="Arial"/>
          <w:b/>
          <w:bCs/>
        </w:rPr>
      </w:pPr>
    </w:p>
    <w:p w14:paraId="512E8567" w14:textId="77777777" w:rsidR="00615503" w:rsidRPr="00615503" w:rsidRDefault="00615503" w:rsidP="00615503">
      <w:pPr>
        <w:pStyle w:val="Body"/>
        <w:jc w:val="center"/>
        <w:rPr>
          <w:rFonts w:ascii="Arial" w:hAnsi="Arial" w:cs="Arial"/>
          <w:b/>
          <w:bCs/>
        </w:rPr>
      </w:pPr>
      <w:r w:rsidRPr="00615503">
        <w:rPr>
          <w:rFonts w:ascii="Arial" w:hAnsi="Arial" w:cs="Arial"/>
          <w:b/>
          <w:bCs/>
          <w:noProof/>
        </w:rPr>
        <w:lastRenderedPageBreak/>
        <w:drawing>
          <wp:inline distT="0" distB="0" distL="0" distR="0" wp14:anchorId="20E171EE" wp14:editId="03DC8D7C">
            <wp:extent cx="3041583" cy="1848051"/>
            <wp:effectExtent l="0" t="0" r="6985" b="0"/>
            <wp:docPr id="1950999779"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C0B2C3" w14:textId="4C31AA1C" w:rsidR="00615503" w:rsidRPr="00615503" w:rsidRDefault="00615503" w:rsidP="00615503">
      <w:pPr>
        <w:pStyle w:val="Body"/>
        <w:jc w:val="center"/>
        <w:rPr>
          <w:rFonts w:ascii="Arial" w:hAnsi="Arial" w:cs="Arial"/>
          <w:b/>
          <w:bCs/>
        </w:rPr>
      </w:pPr>
      <w:r w:rsidRPr="00615503">
        <w:rPr>
          <w:rFonts w:ascii="Arial" w:hAnsi="Arial" w:cs="Arial"/>
          <w:b/>
          <w:bCs/>
        </w:rPr>
        <w:t>Fig</w:t>
      </w:r>
      <w:r>
        <w:rPr>
          <w:rFonts w:ascii="Arial" w:hAnsi="Arial" w:cs="Arial"/>
          <w:b/>
          <w:bCs/>
        </w:rPr>
        <w:t>.</w:t>
      </w:r>
      <w:r w:rsidRPr="00615503">
        <w:rPr>
          <w:rFonts w:ascii="Arial" w:hAnsi="Arial" w:cs="Arial"/>
          <w:b/>
          <w:bCs/>
        </w:rPr>
        <w:t xml:space="preserve"> 9: Shear Strength of Soil Samples</w:t>
      </w:r>
    </w:p>
    <w:p w14:paraId="4825A53B" w14:textId="77777777" w:rsidR="00863BD3" w:rsidRDefault="00863BD3" w:rsidP="00441B6F">
      <w:pPr>
        <w:pStyle w:val="Body"/>
        <w:spacing w:after="0"/>
        <w:rPr>
          <w:rFonts w:ascii="Arial" w:hAnsi="Arial" w:cs="Arial"/>
        </w:rPr>
      </w:pPr>
    </w:p>
    <w:p w14:paraId="0992559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DEAC172" w14:textId="77777777" w:rsidR="00790ADA" w:rsidRPr="00FB3A86" w:rsidRDefault="00790ADA" w:rsidP="00441B6F">
      <w:pPr>
        <w:pStyle w:val="ConcHead"/>
        <w:spacing w:after="0"/>
        <w:jc w:val="both"/>
        <w:rPr>
          <w:rFonts w:ascii="Arial" w:hAnsi="Arial" w:cs="Arial"/>
        </w:rPr>
      </w:pPr>
    </w:p>
    <w:p w14:paraId="0CEA5D7D" w14:textId="77777777" w:rsidR="00615503" w:rsidRPr="00615503" w:rsidRDefault="00615503" w:rsidP="00615503">
      <w:pPr>
        <w:pStyle w:val="Body"/>
        <w:rPr>
          <w:rFonts w:ascii="Arial" w:hAnsi="Arial" w:cs="Arial"/>
        </w:rPr>
      </w:pPr>
      <w:r w:rsidRPr="00615503">
        <w:rPr>
          <w:rFonts w:ascii="Arial" w:hAnsi="Arial" w:cs="Arial"/>
        </w:rPr>
        <w:t>This study investigated the effectiveness of using gum Arabic and stone dust as stabilizing agents to improve the geotechnical properties of expansive soil. The untreated soil was characterized by high plasticity, low specific gravity, high linear shrinkage, and poor shear strength, making it unsuitable for pavement subgrades without modification.</w:t>
      </w:r>
    </w:p>
    <w:p w14:paraId="1611344B" w14:textId="77777777" w:rsidR="00615503" w:rsidRPr="00615503" w:rsidRDefault="00615503" w:rsidP="00615503">
      <w:pPr>
        <w:pStyle w:val="Body"/>
        <w:rPr>
          <w:rFonts w:ascii="Arial" w:hAnsi="Arial" w:cs="Arial"/>
        </w:rPr>
      </w:pPr>
      <w:r w:rsidRPr="00615503">
        <w:rPr>
          <w:rFonts w:ascii="Arial" w:hAnsi="Arial" w:cs="Arial"/>
        </w:rPr>
        <w:t>Based on the findings from this study, the following conclusions are given</w:t>
      </w:r>
    </w:p>
    <w:p w14:paraId="200401BB" w14:textId="77777777" w:rsidR="00615503" w:rsidRDefault="00615503" w:rsidP="00615503">
      <w:pPr>
        <w:pStyle w:val="Body"/>
        <w:ind w:left="1440" w:hanging="720"/>
        <w:rPr>
          <w:rFonts w:ascii="Arial" w:hAnsi="Arial" w:cs="Arial"/>
        </w:rPr>
      </w:pPr>
      <w:proofErr w:type="spellStart"/>
      <w:r w:rsidRPr="00615503">
        <w:rPr>
          <w:rFonts w:ascii="Arial" w:hAnsi="Arial" w:cs="Arial"/>
        </w:rPr>
        <w:t>i</w:t>
      </w:r>
      <w:proofErr w:type="spellEnd"/>
      <w:r w:rsidRPr="00615503">
        <w:rPr>
          <w:rFonts w:ascii="Arial" w:hAnsi="Arial" w:cs="Arial"/>
        </w:rPr>
        <w:t>.</w:t>
      </w:r>
      <w:r w:rsidRPr="00615503">
        <w:rPr>
          <w:rFonts w:ascii="Arial" w:hAnsi="Arial" w:cs="Arial"/>
        </w:rPr>
        <w:tab/>
        <w:t>The soil was classified as inorganic clay of medium plasticity (CL) with a plasticity index of 29.46% and a linear shrinkage of 10.71%, confirming its expansive nature.</w:t>
      </w:r>
    </w:p>
    <w:p w14:paraId="619A3783" w14:textId="77777777" w:rsidR="00615503" w:rsidRDefault="00615503" w:rsidP="00615503">
      <w:pPr>
        <w:pStyle w:val="Body"/>
        <w:ind w:left="1440" w:hanging="720"/>
        <w:rPr>
          <w:rFonts w:ascii="Arial" w:hAnsi="Arial" w:cs="Arial"/>
        </w:rPr>
      </w:pPr>
      <w:r w:rsidRPr="00615503">
        <w:rPr>
          <w:rFonts w:ascii="Arial" w:hAnsi="Arial" w:cs="Arial"/>
        </w:rPr>
        <w:t>ii.</w:t>
      </w:r>
      <w:r w:rsidRPr="00615503">
        <w:rPr>
          <w:rFonts w:ascii="Arial" w:hAnsi="Arial" w:cs="Arial"/>
        </w:rPr>
        <w:tab/>
        <w:t>The soil had a low specific gravity of 2.01 and a maximum dry density of 1.57 kg/m³, with an optimu</w:t>
      </w:r>
      <w:bookmarkStart w:id="4" w:name="_GoBack"/>
      <w:bookmarkEnd w:id="4"/>
      <w:r w:rsidRPr="00615503">
        <w:rPr>
          <w:rFonts w:ascii="Arial" w:hAnsi="Arial" w:cs="Arial"/>
        </w:rPr>
        <w:t>m moisture content of 26%.</w:t>
      </w:r>
    </w:p>
    <w:p w14:paraId="7023152C" w14:textId="77777777" w:rsidR="00615503" w:rsidRDefault="00615503" w:rsidP="00615503">
      <w:pPr>
        <w:pStyle w:val="Body"/>
        <w:ind w:left="1440" w:hanging="720"/>
        <w:rPr>
          <w:rFonts w:ascii="Arial" w:hAnsi="Arial" w:cs="Arial"/>
        </w:rPr>
      </w:pPr>
      <w:r w:rsidRPr="00615503">
        <w:rPr>
          <w:rFonts w:ascii="Arial" w:hAnsi="Arial" w:cs="Arial"/>
        </w:rPr>
        <w:t>iii.</w:t>
      </w:r>
      <w:r w:rsidRPr="00615503">
        <w:rPr>
          <w:rFonts w:ascii="Arial" w:hAnsi="Arial" w:cs="Arial"/>
        </w:rPr>
        <w:tab/>
        <w:t xml:space="preserve">XRD analysis revealed high proportions of </w:t>
      </w:r>
      <w:proofErr w:type="spellStart"/>
      <w:r w:rsidRPr="00615503">
        <w:rPr>
          <w:rFonts w:ascii="Arial" w:hAnsi="Arial" w:cs="Arial"/>
        </w:rPr>
        <w:t>clinochlore</w:t>
      </w:r>
      <w:proofErr w:type="spellEnd"/>
      <w:r w:rsidRPr="00615503">
        <w:rPr>
          <w:rFonts w:ascii="Arial" w:hAnsi="Arial" w:cs="Arial"/>
        </w:rPr>
        <w:t xml:space="preserve"> (44%), montmorillonite (33%), and muscovite (18%), minerals known to influence swelling behavior.</w:t>
      </w:r>
    </w:p>
    <w:p w14:paraId="704E86AE" w14:textId="77777777" w:rsidR="00615503" w:rsidRDefault="00615503" w:rsidP="00615503">
      <w:pPr>
        <w:pStyle w:val="Body"/>
        <w:ind w:left="1440" w:hanging="720"/>
        <w:rPr>
          <w:rFonts w:ascii="Arial" w:hAnsi="Arial" w:cs="Arial"/>
        </w:rPr>
      </w:pPr>
      <w:r w:rsidRPr="00615503">
        <w:rPr>
          <w:rFonts w:ascii="Arial" w:hAnsi="Arial" w:cs="Arial"/>
        </w:rPr>
        <w:t>iv.</w:t>
      </w:r>
      <w:r w:rsidRPr="00615503">
        <w:rPr>
          <w:rFonts w:ascii="Arial" w:hAnsi="Arial" w:cs="Arial"/>
        </w:rPr>
        <w:tab/>
        <w:t>The best improvement in unsoaked CBR at 14 days was observed at 4% gum Arabic and 10% stone dust, achieving 9%, indicating improved bearing capacity with curing.</w:t>
      </w:r>
    </w:p>
    <w:p w14:paraId="7C74DAA5" w14:textId="6A5F97C6" w:rsidR="00615503" w:rsidRPr="00615503" w:rsidRDefault="00615503" w:rsidP="00615503">
      <w:pPr>
        <w:pStyle w:val="Body"/>
        <w:ind w:left="1440" w:hanging="720"/>
        <w:rPr>
          <w:rFonts w:ascii="Arial" w:hAnsi="Arial" w:cs="Arial"/>
        </w:rPr>
      </w:pPr>
      <w:r w:rsidRPr="00615503">
        <w:rPr>
          <w:rFonts w:ascii="Arial" w:hAnsi="Arial" w:cs="Arial"/>
        </w:rPr>
        <w:t>v.</w:t>
      </w:r>
      <w:r w:rsidRPr="00615503">
        <w:rPr>
          <w:rFonts w:ascii="Arial" w:hAnsi="Arial" w:cs="Arial"/>
        </w:rPr>
        <w:tab/>
        <w:t>The maximum shear strength (33.12 kN/m²) was obtained with 2% gum Arabic and 5% stone dust after 14 days, attributed to a major increase in apparent cohesion</w:t>
      </w:r>
    </w:p>
    <w:p w14:paraId="29F4E600" w14:textId="32FD40C0" w:rsidR="00615503" w:rsidRPr="00615503" w:rsidRDefault="00615503" w:rsidP="00615503">
      <w:pPr>
        <w:pStyle w:val="Body"/>
        <w:rPr>
          <w:rFonts w:ascii="Arial" w:hAnsi="Arial" w:cs="Arial"/>
          <w:b/>
          <w:bCs/>
        </w:rPr>
      </w:pPr>
      <w:r>
        <w:rPr>
          <w:rFonts w:ascii="Arial" w:hAnsi="Arial" w:cs="Arial"/>
          <w:b/>
          <w:bCs/>
        </w:rPr>
        <w:t xml:space="preserve">4.1 </w:t>
      </w:r>
      <w:r w:rsidRPr="00615503">
        <w:rPr>
          <w:rFonts w:ascii="Arial" w:hAnsi="Arial" w:cs="Arial"/>
          <w:b/>
          <w:bCs/>
        </w:rPr>
        <w:t>Recommendations</w:t>
      </w:r>
    </w:p>
    <w:p w14:paraId="332863CB" w14:textId="77777777" w:rsidR="00615503" w:rsidRPr="00615503" w:rsidRDefault="00615503" w:rsidP="00615503">
      <w:pPr>
        <w:pStyle w:val="Body"/>
        <w:rPr>
          <w:rFonts w:ascii="Arial" w:hAnsi="Arial" w:cs="Arial"/>
        </w:rPr>
      </w:pPr>
      <w:r w:rsidRPr="00615503">
        <w:rPr>
          <w:rFonts w:ascii="Arial" w:hAnsi="Arial" w:cs="Arial"/>
        </w:rPr>
        <w:t>Based on the findings on this study, the following recommendations are given</w:t>
      </w:r>
    </w:p>
    <w:p w14:paraId="6F616818" w14:textId="77777777" w:rsidR="00615503" w:rsidRDefault="00615503" w:rsidP="00615503">
      <w:pPr>
        <w:pStyle w:val="Body"/>
        <w:ind w:left="1440" w:hanging="720"/>
        <w:rPr>
          <w:rFonts w:ascii="Arial" w:hAnsi="Arial" w:cs="Arial"/>
        </w:rPr>
      </w:pPr>
      <w:proofErr w:type="spellStart"/>
      <w:r w:rsidRPr="00615503">
        <w:rPr>
          <w:rFonts w:ascii="Arial" w:hAnsi="Arial" w:cs="Arial"/>
        </w:rPr>
        <w:t>i</w:t>
      </w:r>
      <w:proofErr w:type="spellEnd"/>
      <w:r w:rsidRPr="00615503">
        <w:rPr>
          <w:rFonts w:ascii="Arial" w:hAnsi="Arial" w:cs="Arial"/>
        </w:rPr>
        <w:t>.</w:t>
      </w:r>
      <w:r w:rsidRPr="00615503">
        <w:rPr>
          <w:rFonts w:ascii="Arial" w:hAnsi="Arial" w:cs="Arial"/>
        </w:rPr>
        <w:tab/>
        <w:t>Since strength gains increased between 7 and 14 days, longer curing durations (e.g., 28 days) may yield further improvements and should be considered in future studies.</w:t>
      </w:r>
    </w:p>
    <w:p w14:paraId="68B360EE" w14:textId="77777777" w:rsidR="00615503" w:rsidRDefault="00615503" w:rsidP="00615503">
      <w:pPr>
        <w:pStyle w:val="Body"/>
        <w:ind w:left="1440" w:hanging="720"/>
        <w:rPr>
          <w:rFonts w:ascii="Arial" w:hAnsi="Arial" w:cs="Arial"/>
        </w:rPr>
      </w:pPr>
      <w:r w:rsidRPr="00615503">
        <w:rPr>
          <w:rFonts w:ascii="Arial" w:hAnsi="Arial" w:cs="Arial"/>
        </w:rPr>
        <w:lastRenderedPageBreak/>
        <w:t>ii.</w:t>
      </w:r>
      <w:r w:rsidRPr="00615503">
        <w:rPr>
          <w:rFonts w:ascii="Arial" w:hAnsi="Arial" w:cs="Arial"/>
        </w:rPr>
        <w:tab/>
        <w:t>The clay content and mineralogy suggest that the soil may serve as a potential geopolymer precursor if thermally activated. Further study is recommended to assess this potential.</w:t>
      </w:r>
    </w:p>
    <w:p w14:paraId="420C1DB6" w14:textId="5D6AE3D6" w:rsidR="00B01FCD" w:rsidRDefault="00615503" w:rsidP="00615503">
      <w:pPr>
        <w:pStyle w:val="Body"/>
        <w:ind w:left="1440" w:hanging="720"/>
        <w:rPr>
          <w:rFonts w:ascii="Arial" w:hAnsi="Arial" w:cs="Arial"/>
        </w:rPr>
      </w:pPr>
      <w:r w:rsidRPr="00615503">
        <w:rPr>
          <w:rFonts w:ascii="Arial" w:hAnsi="Arial" w:cs="Arial"/>
        </w:rPr>
        <w:t>iii.</w:t>
      </w:r>
      <w:r w:rsidRPr="00615503">
        <w:rPr>
          <w:rFonts w:ascii="Arial" w:hAnsi="Arial" w:cs="Arial"/>
        </w:rPr>
        <w:tab/>
        <w:t xml:space="preserve">Investigate the long-term durability and environmental performance of gum Arabic-stabilized soils. </w:t>
      </w:r>
    </w:p>
    <w:p w14:paraId="5779A0D2" w14:textId="77777777" w:rsidR="00315186" w:rsidRPr="00315186" w:rsidRDefault="00315186" w:rsidP="00441B6F"/>
    <w:p w14:paraId="701B7832" w14:textId="77777777" w:rsidR="00315186" w:rsidRPr="00315186" w:rsidRDefault="00315186" w:rsidP="00441B6F"/>
    <w:p w14:paraId="2E4D5F26" w14:textId="77777777" w:rsidR="008208D3" w:rsidRDefault="008208D3" w:rsidP="00441B6F">
      <w:pPr>
        <w:pStyle w:val="ReferHead"/>
        <w:spacing w:after="0"/>
        <w:jc w:val="both"/>
        <w:rPr>
          <w:rFonts w:ascii="Arial" w:hAnsi="Arial" w:cs="Arial"/>
          <w:b w:val="0"/>
          <w:caps w:val="0"/>
          <w:sz w:val="20"/>
          <w:u w:val="single"/>
        </w:rPr>
      </w:pPr>
    </w:p>
    <w:p w14:paraId="75862D92" w14:textId="77777777" w:rsidR="008208D3" w:rsidRPr="008208D3" w:rsidRDefault="008208D3" w:rsidP="008208D3">
      <w:pPr>
        <w:spacing w:after="200" w:line="276" w:lineRule="auto"/>
        <w:jc w:val="both"/>
        <w:outlineLvl w:val="0"/>
        <w:rPr>
          <w:rFonts w:ascii="Arial" w:eastAsiaTheme="minorEastAsia" w:hAnsi="Arial" w:cs="Arial"/>
          <w:sz w:val="22"/>
          <w:szCs w:val="22"/>
          <w:lang w:val="en-GB" w:eastAsia="en-GB"/>
        </w:rPr>
      </w:pPr>
      <w:r w:rsidRPr="008208D3">
        <w:rPr>
          <w:rFonts w:ascii="Arial" w:eastAsiaTheme="minorEastAsia" w:hAnsi="Arial" w:cs="Arial"/>
          <w:b/>
          <w:bCs/>
          <w:sz w:val="22"/>
          <w:szCs w:val="22"/>
          <w:lang w:val="en-GB" w:eastAsia="en-GB"/>
        </w:rPr>
        <w:t>COMPETING INTERESTS DISCLAIMER:</w:t>
      </w:r>
    </w:p>
    <w:p w14:paraId="378F3D77" w14:textId="77777777" w:rsidR="008208D3" w:rsidRPr="008208D3" w:rsidRDefault="008208D3" w:rsidP="008208D3">
      <w:pPr>
        <w:spacing w:after="200" w:line="276" w:lineRule="auto"/>
        <w:rPr>
          <w:rFonts w:asciiTheme="minorHAnsi" w:eastAsiaTheme="minorEastAsia" w:hAnsiTheme="minorHAnsi" w:cstheme="minorBidi"/>
          <w:sz w:val="22"/>
          <w:szCs w:val="22"/>
          <w:lang w:val="en-GB" w:eastAsia="en-GB"/>
        </w:rPr>
      </w:pPr>
      <w:r w:rsidRPr="008208D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B93148A" w14:textId="77777777" w:rsidR="009E46B7" w:rsidRPr="00740879" w:rsidRDefault="009E46B7" w:rsidP="009E46B7">
      <w:pPr>
        <w:rPr>
          <w:highlight w:val="yellow"/>
        </w:rPr>
      </w:pPr>
      <w:r w:rsidRPr="00740879">
        <w:rPr>
          <w:highlight w:val="yellow"/>
        </w:rPr>
        <w:t>Disclaimer (Artificial intelligence)</w:t>
      </w:r>
    </w:p>
    <w:p w14:paraId="4487CAEC" w14:textId="77777777" w:rsidR="009E46B7" w:rsidRPr="00740879" w:rsidRDefault="009E46B7" w:rsidP="009E46B7">
      <w:pPr>
        <w:rPr>
          <w:highlight w:val="yellow"/>
        </w:rPr>
      </w:pPr>
      <w:r w:rsidRPr="00740879">
        <w:rPr>
          <w:highlight w:val="yellow"/>
        </w:rPr>
        <w:t xml:space="preserve">Option 1: </w:t>
      </w:r>
    </w:p>
    <w:p w14:paraId="2880A2F1" w14:textId="77777777" w:rsidR="009E46B7" w:rsidRPr="00740879" w:rsidRDefault="009E46B7" w:rsidP="009E46B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9F7BDE8" w14:textId="77777777" w:rsidR="009E46B7" w:rsidRPr="00740879" w:rsidRDefault="009E46B7" w:rsidP="009E46B7">
      <w:pPr>
        <w:rPr>
          <w:highlight w:val="yellow"/>
        </w:rPr>
      </w:pPr>
      <w:r w:rsidRPr="00740879">
        <w:rPr>
          <w:highlight w:val="yellow"/>
        </w:rPr>
        <w:t xml:space="preserve">Option 2: </w:t>
      </w:r>
    </w:p>
    <w:p w14:paraId="603D5CA0" w14:textId="77777777" w:rsidR="009E46B7" w:rsidRPr="00740879" w:rsidRDefault="009E46B7" w:rsidP="009E46B7">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173CD2" w14:textId="77777777" w:rsidR="009E46B7" w:rsidRPr="00740879" w:rsidRDefault="009E46B7" w:rsidP="009E46B7">
      <w:pPr>
        <w:rPr>
          <w:highlight w:val="yellow"/>
        </w:rPr>
      </w:pPr>
      <w:r w:rsidRPr="00740879">
        <w:rPr>
          <w:highlight w:val="yellow"/>
        </w:rPr>
        <w:t>Details of the AI usage are given below:</w:t>
      </w:r>
    </w:p>
    <w:p w14:paraId="6F84FDD5" w14:textId="77777777" w:rsidR="009E46B7" w:rsidRPr="00740879" w:rsidRDefault="009E46B7" w:rsidP="009E46B7">
      <w:pPr>
        <w:rPr>
          <w:highlight w:val="yellow"/>
        </w:rPr>
      </w:pPr>
      <w:r w:rsidRPr="00740879">
        <w:rPr>
          <w:highlight w:val="yellow"/>
        </w:rPr>
        <w:t>1.</w:t>
      </w:r>
    </w:p>
    <w:p w14:paraId="5C0AC166" w14:textId="77777777" w:rsidR="009E46B7" w:rsidRPr="00740879" w:rsidRDefault="009E46B7" w:rsidP="009E46B7">
      <w:pPr>
        <w:rPr>
          <w:highlight w:val="yellow"/>
        </w:rPr>
      </w:pPr>
      <w:r w:rsidRPr="00740879">
        <w:rPr>
          <w:highlight w:val="yellow"/>
        </w:rPr>
        <w:t>2.</w:t>
      </w:r>
    </w:p>
    <w:p w14:paraId="23AA4AFC" w14:textId="77777777" w:rsidR="009E46B7" w:rsidRPr="00D047BB" w:rsidRDefault="009E46B7" w:rsidP="009E46B7">
      <w:r w:rsidRPr="00740879">
        <w:rPr>
          <w:highlight w:val="yellow"/>
        </w:rPr>
        <w:t>3.</w:t>
      </w:r>
    </w:p>
    <w:p w14:paraId="64DC6979" w14:textId="77777777" w:rsidR="008208D3" w:rsidRPr="00F469F0" w:rsidRDefault="008208D3" w:rsidP="00441B6F">
      <w:pPr>
        <w:pStyle w:val="ReferHead"/>
        <w:spacing w:after="0"/>
        <w:jc w:val="both"/>
        <w:rPr>
          <w:rFonts w:ascii="Arial" w:hAnsi="Arial" w:cs="Arial"/>
          <w:b w:val="0"/>
          <w:caps w:val="0"/>
          <w:sz w:val="20"/>
          <w:u w:val="single"/>
        </w:rPr>
      </w:pPr>
    </w:p>
    <w:p w14:paraId="748BD91B" w14:textId="77777777" w:rsidR="002B685A" w:rsidRDefault="002B685A" w:rsidP="00441B6F">
      <w:pPr>
        <w:pStyle w:val="ReferHead"/>
        <w:spacing w:after="0"/>
        <w:jc w:val="both"/>
        <w:rPr>
          <w:rFonts w:ascii="Arial" w:hAnsi="Arial" w:cs="Arial"/>
          <w:b w:val="0"/>
          <w:caps w:val="0"/>
          <w:sz w:val="20"/>
        </w:rPr>
      </w:pPr>
    </w:p>
    <w:p w14:paraId="6E4CF19B" w14:textId="77777777" w:rsidR="00B01FCD" w:rsidRPr="00382937" w:rsidRDefault="00B01FCD" w:rsidP="00441B6F">
      <w:pPr>
        <w:pStyle w:val="ReferHead"/>
        <w:spacing w:after="0"/>
        <w:jc w:val="both"/>
        <w:rPr>
          <w:rFonts w:ascii="Arial" w:hAnsi="Arial" w:cs="Arial"/>
          <w:lang w:val="pt-BR"/>
        </w:rPr>
      </w:pPr>
      <w:r w:rsidRPr="00382937">
        <w:rPr>
          <w:rFonts w:ascii="Arial" w:hAnsi="Arial" w:cs="Arial"/>
          <w:lang w:val="pt-BR"/>
        </w:rPr>
        <w:t>References</w:t>
      </w:r>
    </w:p>
    <w:p w14:paraId="18DDC1F8" w14:textId="77777777" w:rsidR="00790ADA" w:rsidRPr="00382937" w:rsidRDefault="00790ADA" w:rsidP="00441B6F">
      <w:pPr>
        <w:pStyle w:val="ReferHead"/>
        <w:spacing w:after="0"/>
        <w:jc w:val="both"/>
        <w:rPr>
          <w:rFonts w:ascii="Arial" w:hAnsi="Arial" w:cs="Arial"/>
          <w:lang w:val="pt-BR"/>
        </w:rPr>
      </w:pPr>
    </w:p>
    <w:p w14:paraId="081D81D9" w14:textId="6529B034" w:rsidR="00382937" w:rsidRPr="00382937" w:rsidRDefault="00382937" w:rsidP="004E2FE6">
      <w:pPr>
        <w:pStyle w:val="Body"/>
        <w:numPr>
          <w:ilvl w:val="0"/>
          <w:numId w:val="33"/>
        </w:numPr>
        <w:rPr>
          <w:lang w:val="en-IN"/>
        </w:rPr>
      </w:pPr>
      <w:r w:rsidRPr="00382937">
        <w:rPr>
          <w:lang w:val="pt-BR"/>
        </w:rPr>
        <w:t xml:space="preserve">Ajagbe, W. O., Akolade, A. S., Ogunlade, O. D., Olaomotito, P. A., Odunewu, I. D., &amp; Alabi, O. O. (2024). </w:t>
      </w:r>
      <w:r w:rsidRPr="00382937">
        <w:rPr>
          <w:lang w:val="en-IN"/>
        </w:rPr>
        <w:t xml:space="preserve">Application of gum Arabic on the geotechnical properties of subgrade materials. </w:t>
      </w:r>
      <w:r w:rsidRPr="00382937">
        <w:rPr>
          <w:lang w:val="pt-BR"/>
        </w:rPr>
        <w:t xml:space="preserve">Acta Technica Jaurinensis. </w:t>
      </w:r>
      <w:r w:rsidR="00AA5CED">
        <w:fldChar w:fldCharType="begin"/>
      </w:r>
      <w:r w:rsidR="00AA5CED">
        <w:instrText xml:space="preserve"> HYPERLINK "https://doi.org/10.14513/actatechjaur.00748" </w:instrText>
      </w:r>
      <w:r w:rsidR="00AA5CED">
        <w:fldChar w:fldCharType="separate"/>
      </w:r>
      <w:r w:rsidRPr="00382937">
        <w:rPr>
          <w:rStyle w:val="Hyperlink"/>
          <w:lang w:val="en-IN"/>
        </w:rPr>
        <w:t>https://doi.org/10.14513/actatechjaur.00748</w:t>
      </w:r>
      <w:r w:rsidR="00AA5CED">
        <w:rPr>
          <w:rStyle w:val="Hyperlink"/>
          <w:lang w:val="en-IN"/>
        </w:rPr>
        <w:fldChar w:fldCharType="end"/>
      </w:r>
    </w:p>
    <w:p w14:paraId="6542ECF2" w14:textId="710A56A1" w:rsidR="00382937" w:rsidRDefault="00382937" w:rsidP="004E2FE6">
      <w:pPr>
        <w:pStyle w:val="Body"/>
        <w:numPr>
          <w:ilvl w:val="0"/>
          <w:numId w:val="33"/>
        </w:numPr>
      </w:pPr>
      <w:proofErr w:type="spellStart"/>
      <w:r w:rsidRPr="00382937">
        <w:t>Almuaythir</w:t>
      </w:r>
      <w:proofErr w:type="spellEnd"/>
      <w:r w:rsidRPr="00382937">
        <w:t xml:space="preserve">, S., &amp; Abbas, M. F. (2023). Expansive soil remediation using cement kiln dust as stabilizer. Case Studies in Construction Materials, 18, e01983. </w:t>
      </w:r>
      <w:hyperlink r:id="rId24" w:history="1">
        <w:r w:rsidRPr="00F22A9D">
          <w:rPr>
            <w:rStyle w:val="Hyperlink"/>
          </w:rPr>
          <w:t>https://doi.org/10.1016/j.cscm.2023.e01983</w:t>
        </w:r>
      </w:hyperlink>
    </w:p>
    <w:p w14:paraId="780DD9DD" w14:textId="61893EF1" w:rsidR="00382937" w:rsidRPr="00382937" w:rsidRDefault="00382937" w:rsidP="004E2FE6">
      <w:pPr>
        <w:pStyle w:val="Body"/>
        <w:numPr>
          <w:ilvl w:val="0"/>
          <w:numId w:val="33"/>
        </w:numPr>
        <w:rPr>
          <w:lang w:val="en-IN"/>
        </w:rPr>
      </w:pPr>
      <w:proofErr w:type="spellStart"/>
      <w:r w:rsidRPr="00382937">
        <w:t>Almuaythir</w:t>
      </w:r>
      <w:proofErr w:type="spellEnd"/>
      <w:r w:rsidRPr="00382937">
        <w:t xml:space="preserve">, S., </w:t>
      </w:r>
      <w:proofErr w:type="spellStart"/>
      <w:r w:rsidRPr="00382937">
        <w:t>Zaini</w:t>
      </w:r>
      <w:proofErr w:type="spellEnd"/>
      <w:r w:rsidRPr="00382937">
        <w:t xml:space="preserve">, M. S. I., Hasan, M., &amp; Hoque, M. I. (2024). Sustainable soil stabilization using industrial waste ash: Enhancing expansive clay properties. </w:t>
      </w:r>
      <w:r w:rsidRPr="00382937">
        <w:rPr>
          <w:lang w:val="pt-BR"/>
        </w:rPr>
        <w:t xml:space="preserve">Heliyon, 10(20), e39124. </w:t>
      </w:r>
      <w:r>
        <w:rPr>
          <w:lang w:val="pt-BR"/>
        </w:rPr>
        <w:fldChar w:fldCharType="begin"/>
      </w:r>
      <w:r>
        <w:rPr>
          <w:lang w:val="pt-BR"/>
        </w:rPr>
        <w:instrText xml:space="preserve"> HYPERLINK "</w:instrText>
      </w:r>
      <w:r w:rsidRPr="00382937">
        <w:rPr>
          <w:lang w:val="pt-BR"/>
        </w:rPr>
        <w:instrText>https://doi.org/10.1016/j.heliyon.2024.e39124</w:instrText>
      </w:r>
      <w:r>
        <w:rPr>
          <w:lang w:val="pt-BR"/>
        </w:rPr>
        <w:instrText xml:space="preserve">" </w:instrText>
      </w:r>
      <w:r>
        <w:rPr>
          <w:lang w:val="pt-BR"/>
        </w:rPr>
        <w:fldChar w:fldCharType="separate"/>
      </w:r>
      <w:r w:rsidRPr="00382937">
        <w:rPr>
          <w:rStyle w:val="Hyperlink"/>
          <w:lang w:val="en-IN"/>
        </w:rPr>
        <w:t>https://doi.org/10.1016/j.heliyon.2024.e39124</w:t>
      </w:r>
      <w:r>
        <w:rPr>
          <w:lang w:val="pt-BR"/>
        </w:rPr>
        <w:fldChar w:fldCharType="end"/>
      </w:r>
    </w:p>
    <w:p w14:paraId="15EA8045" w14:textId="77350255" w:rsidR="00382937" w:rsidRPr="00382937" w:rsidRDefault="00382937" w:rsidP="004E2FE6">
      <w:pPr>
        <w:pStyle w:val="Body"/>
        <w:numPr>
          <w:ilvl w:val="0"/>
          <w:numId w:val="33"/>
        </w:numPr>
        <w:rPr>
          <w:lang w:val="pt-BR"/>
        </w:rPr>
      </w:pPr>
      <w:proofErr w:type="spellStart"/>
      <w:r w:rsidRPr="00382937">
        <w:rPr>
          <w:lang w:val="en-IN"/>
        </w:rPr>
        <w:t>Aloqbi</w:t>
      </w:r>
      <w:proofErr w:type="spellEnd"/>
      <w:r w:rsidRPr="00382937">
        <w:rPr>
          <w:lang w:val="en-IN"/>
        </w:rPr>
        <w:t xml:space="preserve">, A. A. (2020). Gum Arabic as a natural product with antimicrobial and anticancer activities. Archives of Pharmacy Practice, 11(2), 107-112. </w:t>
      </w:r>
      <w:hyperlink r:id="rId25" w:history="1">
        <w:r w:rsidRPr="00382937">
          <w:rPr>
            <w:rStyle w:val="Hyperlink"/>
            <w:lang w:val="pt-BR"/>
          </w:rPr>
          <w:t>https://archivepp.com/archive/volume.11/issue.2/</w:t>
        </w:r>
      </w:hyperlink>
    </w:p>
    <w:p w14:paraId="7151EC23" w14:textId="3AECA218" w:rsidR="00382937" w:rsidRPr="00382937" w:rsidRDefault="00382937" w:rsidP="004E2FE6">
      <w:pPr>
        <w:pStyle w:val="Body"/>
        <w:numPr>
          <w:ilvl w:val="0"/>
          <w:numId w:val="33"/>
        </w:numPr>
        <w:rPr>
          <w:lang w:val="pt-BR"/>
        </w:rPr>
      </w:pPr>
      <w:r w:rsidRPr="00382937">
        <w:rPr>
          <w:lang w:val="pt-BR"/>
        </w:rPr>
        <w:lastRenderedPageBreak/>
        <w:t xml:space="preserve">Awang, H., Salmanfarsi, A. F., Zaini, M. S. I., Mohamad Yazid, M. A. F., &amp; Ali, M. I. (2021). </w:t>
      </w:r>
      <w:r w:rsidRPr="00382937">
        <w:rPr>
          <w:lang w:val="en-IN"/>
        </w:rPr>
        <w:t xml:space="preserve">Investigation of groundwater table under rock slope by using electrical resistivity imaging at Sri Jaya, Pahang, Malaysia. IOP Conference Series: Earth and Environmental Science, 682(1), 012017. </w:t>
      </w:r>
      <w:hyperlink r:id="rId26" w:history="1">
        <w:r w:rsidRPr="00382937">
          <w:rPr>
            <w:rStyle w:val="Hyperlink"/>
            <w:lang w:val="pt-BR"/>
          </w:rPr>
          <w:t>https://doi.org/10.1088/1755-1315/682/1/012017</w:t>
        </w:r>
      </w:hyperlink>
    </w:p>
    <w:p w14:paraId="0C56D2BE" w14:textId="109C5E2E" w:rsidR="00382937" w:rsidRDefault="00382937" w:rsidP="004E2FE6">
      <w:pPr>
        <w:pStyle w:val="Body"/>
        <w:numPr>
          <w:ilvl w:val="0"/>
          <w:numId w:val="33"/>
        </w:numPr>
        <w:rPr>
          <w:lang w:val="en-IN"/>
        </w:rPr>
      </w:pPr>
      <w:proofErr w:type="spellStart"/>
      <w:r w:rsidRPr="00382937">
        <w:rPr>
          <w:lang w:val="en-IN"/>
        </w:rPr>
        <w:t>Bian</w:t>
      </w:r>
      <w:proofErr w:type="spellEnd"/>
      <w:r w:rsidRPr="00382937">
        <w:rPr>
          <w:lang w:val="en-IN"/>
        </w:rPr>
        <w:t xml:space="preserve">, X., Ren, Z., Zeng, L., Zhao, F., Yao, Y., &amp; Li, X. (2024). Effects of biochar on the compressibility of soil with high water content. Journal of Cleaner Production, 434, 140032. </w:t>
      </w:r>
      <w:hyperlink r:id="rId27" w:history="1">
        <w:r w:rsidRPr="00F22A9D">
          <w:rPr>
            <w:rStyle w:val="Hyperlink"/>
            <w:lang w:val="en-IN"/>
          </w:rPr>
          <w:t>https://doi.org/10.1016/j.jclepro.2023.140032</w:t>
        </w:r>
      </w:hyperlink>
    </w:p>
    <w:p w14:paraId="4EFFE8CC" w14:textId="606B382C" w:rsidR="009D33BA" w:rsidRPr="009D33BA" w:rsidRDefault="009D33BA" w:rsidP="004E2FE6">
      <w:pPr>
        <w:pStyle w:val="Body"/>
        <w:numPr>
          <w:ilvl w:val="0"/>
          <w:numId w:val="33"/>
        </w:numPr>
      </w:pPr>
      <w:r w:rsidRPr="009D33BA">
        <w:t>Bishnoi, D. K. M. (2019). A result paper on experimental study on stabilization of soil subgrade by adding stone dust.</w:t>
      </w:r>
    </w:p>
    <w:p w14:paraId="41E91307" w14:textId="3F159317" w:rsidR="00382937" w:rsidRDefault="00382937" w:rsidP="004E2FE6">
      <w:pPr>
        <w:pStyle w:val="Body"/>
        <w:numPr>
          <w:ilvl w:val="0"/>
          <w:numId w:val="33"/>
        </w:numPr>
      </w:pPr>
      <w:r w:rsidRPr="00382937">
        <w:t xml:space="preserve">EL </w:t>
      </w:r>
      <w:proofErr w:type="spellStart"/>
      <w:r w:rsidRPr="00382937">
        <w:t>Afandi</w:t>
      </w:r>
      <w:proofErr w:type="spellEnd"/>
      <w:r w:rsidRPr="00382937">
        <w:t xml:space="preserve">, M., Yehia, S., </w:t>
      </w:r>
      <w:proofErr w:type="spellStart"/>
      <w:r w:rsidRPr="00382937">
        <w:t>Landolsi</w:t>
      </w:r>
      <w:proofErr w:type="spellEnd"/>
      <w:r w:rsidRPr="00382937">
        <w:t xml:space="preserve">, T., </w:t>
      </w:r>
      <w:proofErr w:type="spellStart"/>
      <w:r w:rsidRPr="00382937">
        <w:t>Qaddoumi</w:t>
      </w:r>
      <w:proofErr w:type="spellEnd"/>
      <w:r w:rsidRPr="00382937">
        <w:t xml:space="preserve">, N., &amp; </w:t>
      </w:r>
      <w:proofErr w:type="spellStart"/>
      <w:r w:rsidRPr="00382937">
        <w:t>Elchalakani</w:t>
      </w:r>
      <w:proofErr w:type="spellEnd"/>
      <w:r w:rsidRPr="00382937">
        <w:t xml:space="preserve">, M. (2023). Concrete-to-concrete bond Strength: A review. Construction and Building Materials, 363, 129820. </w:t>
      </w:r>
      <w:hyperlink r:id="rId28" w:history="1">
        <w:r w:rsidRPr="00F22A9D">
          <w:rPr>
            <w:rStyle w:val="Hyperlink"/>
          </w:rPr>
          <w:t>https://doi.org/10.1016/j.conbuildmat.2022.129820</w:t>
        </w:r>
      </w:hyperlink>
    </w:p>
    <w:p w14:paraId="7A0B3791" w14:textId="13370C8C" w:rsidR="009D33BA" w:rsidRPr="009D33BA" w:rsidRDefault="009D33BA" w:rsidP="004E2FE6">
      <w:pPr>
        <w:pStyle w:val="Body"/>
        <w:numPr>
          <w:ilvl w:val="0"/>
          <w:numId w:val="33"/>
        </w:numPr>
      </w:pPr>
      <w:r w:rsidRPr="009D33BA">
        <w:t xml:space="preserve">Hamed, </w:t>
      </w:r>
      <w:proofErr w:type="spellStart"/>
      <w:r w:rsidRPr="009D33BA">
        <w:t>Heiam</w:t>
      </w:r>
      <w:proofErr w:type="spellEnd"/>
      <w:r w:rsidRPr="009D33BA">
        <w:t xml:space="preserve"> &amp; Hale, William &amp; Stern, Ben. (2021). X-RAY DIFFRACTION TO DETERMINE THE MINERALOGY IN SOIL SAMPLES IN THE UK. International Journal of Engineering Applied Sciences and Technology. 5. 10.33564/</w:t>
      </w:r>
      <w:proofErr w:type="gramStart"/>
      <w:r w:rsidRPr="009D33BA">
        <w:t>IJEAST.2021.v</w:t>
      </w:r>
      <w:proofErr w:type="gramEnd"/>
      <w:r w:rsidRPr="009D33BA">
        <w:t>05i10.014.</w:t>
      </w:r>
    </w:p>
    <w:p w14:paraId="5AF18FA3" w14:textId="42EE5028" w:rsidR="00382937" w:rsidRDefault="00382937" w:rsidP="004E2FE6">
      <w:pPr>
        <w:pStyle w:val="Body"/>
        <w:numPr>
          <w:ilvl w:val="0"/>
          <w:numId w:val="33"/>
        </w:numPr>
      </w:pPr>
      <w:r w:rsidRPr="00382937">
        <w:t xml:space="preserve">Hasan, M., </w:t>
      </w:r>
      <w:proofErr w:type="spellStart"/>
      <w:r w:rsidRPr="00382937">
        <w:t>Zaini</w:t>
      </w:r>
      <w:proofErr w:type="spellEnd"/>
      <w:r w:rsidRPr="00382937">
        <w:t xml:space="preserve">, M. S. I., </w:t>
      </w:r>
      <w:proofErr w:type="spellStart"/>
      <w:r w:rsidRPr="00382937">
        <w:t>Yie</w:t>
      </w:r>
      <w:proofErr w:type="spellEnd"/>
      <w:r w:rsidRPr="00382937">
        <w:t xml:space="preserve">, L. S., </w:t>
      </w:r>
      <w:proofErr w:type="spellStart"/>
      <w:r w:rsidRPr="00382937">
        <w:t>Masri</w:t>
      </w:r>
      <w:proofErr w:type="spellEnd"/>
      <w:r w:rsidRPr="00382937">
        <w:t xml:space="preserve">, K. A., Jaya, R. P., </w:t>
      </w:r>
      <w:proofErr w:type="spellStart"/>
      <w:r w:rsidRPr="00382937">
        <w:t>Hyodo</w:t>
      </w:r>
      <w:proofErr w:type="spellEnd"/>
      <w:r w:rsidRPr="00382937">
        <w:t xml:space="preserve">, M., &amp; Winter, M. J. (2021). Effect of optimum utilization of silica fume and eggshell ash to the engineering properties of expansive soil. Journal of Materials Research and Technology. </w:t>
      </w:r>
      <w:hyperlink r:id="rId29" w:history="1">
        <w:r w:rsidRPr="00F22A9D">
          <w:rPr>
            <w:rStyle w:val="Hyperlink"/>
          </w:rPr>
          <w:t>https://doi.org/10.1016/j.jmrt.2021.07.023</w:t>
        </w:r>
      </w:hyperlink>
    </w:p>
    <w:p w14:paraId="1299B7FA" w14:textId="72C6B258" w:rsidR="00382937" w:rsidRDefault="00382937" w:rsidP="004E2FE6">
      <w:pPr>
        <w:pStyle w:val="Body"/>
        <w:numPr>
          <w:ilvl w:val="0"/>
          <w:numId w:val="33"/>
        </w:numPr>
      </w:pPr>
      <w:proofErr w:type="spellStart"/>
      <w:r w:rsidRPr="00382937">
        <w:t>Hasyimi</w:t>
      </w:r>
      <w:proofErr w:type="spellEnd"/>
      <w:r w:rsidRPr="00382937">
        <w:t xml:space="preserve">, T., &amp; </w:t>
      </w:r>
      <w:proofErr w:type="spellStart"/>
      <w:r w:rsidRPr="00382937">
        <w:t>Syahril</w:t>
      </w:r>
      <w:proofErr w:type="spellEnd"/>
      <w:r w:rsidRPr="00382937">
        <w:t xml:space="preserve">, S. (2021). Improvement of Soft Soil for Subgrade Stabilized with Emulsified Asphalt and Tailing. In Advances in Engineering Research: Proceedings of the 2nd International Seminar of Science and Applied Technology (ISSAT 2021). Atlantis Press. </w:t>
      </w:r>
      <w:hyperlink r:id="rId30" w:history="1">
        <w:r w:rsidRPr="00F22A9D">
          <w:rPr>
            <w:rStyle w:val="Hyperlink"/>
          </w:rPr>
          <w:t>https://doi.org/10.2991/aer.k.211106.074</w:t>
        </w:r>
      </w:hyperlink>
    </w:p>
    <w:p w14:paraId="0164E5FC" w14:textId="0EF1B7C4" w:rsidR="00382937" w:rsidRDefault="00382937" w:rsidP="004E2FE6">
      <w:pPr>
        <w:pStyle w:val="Body"/>
        <w:numPr>
          <w:ilvl w:val="0"/>
          <w:numId w:val="33"/>
        </w:numPr>
      </w:pPr>
      <w:proofErr w:type="spellStart"/>
      <w:r w:rsidRPr="00382937">
        <w:t>Ikeagwuani</w:t>
      </w:r>
      <w:proofErr w:type="spellEnd"/>
      <w:r w:rsidRPr="00382937">
        <w:t xml:space="preserve">, C. C., &amp; </w:t>
      </w:r>
      <w:proofErr w:type="spellStart"/>
      <w:r w:rsidRPr="00382937">
        <w:t>Nwonu</w:t>
      </w:r>
      <w:proofErr w:type="spellEnd"/>
      <w:r w:rsidRPr="00382937">
        <w:t xml:space="preserve">, D. C. (2019). Emerging trends in expansive soil </w:t>
      </w:r>
      <w:proofErr w:type="spellStart"/>
      <w:r w:rsidRPr="00382937">
        <w:t>stabilisation</w:t>
      </w:r>
      <w:proofErr w:type="spellEnd"/>
      <w:r w:rsidRPr="00382937">
        <w:t xml:space="preserve">: A review. Journal of Rock Mechanics and Geotechnical Engineering, 11(2), 423–440. </w:t>
      </w:r>
      <w:hyperlink r:id="rId31" w:history="1">
        <w:r w:rsidRPr="00F22A9D">
          <w:rPr>
            <w:rStyle w:val="Hyperlink"/>
          </w:rPr>
          <w:t>https://doi.org/10.1016/j.jrmge.2018.08.013</w:t>
        </w:r>
      </w:hyperlink>
    </w:p>
    <w:p w14:paraId="62C28E10" w14:textId="24691007" w:rsidR="00382937" w:rsidRPr="00382937" w:rsidRDefault="00382937" w:rsidP="004E2FE6">
      <w:pPr>
        <w:pStyle w:val="Body"/>
        <w:numPr>
          <w:ilvl w:val="0"/>
          <w:numId w:val="33"/>
        </w:numPr>
        <w:rPr>
          <w:lang w:val="pt-BR"/>
        </w:rPr>
      </w:pPr>
      <w:proofErr w:type="spellStart"/>
      <w:r w:rsidRPr="00382937">
        <w:rPr>
          <w:lang w:val="fr-FR"/>
        </w:rPr>
        <w:t>Irokwe</w:t>
      </w:r>
      <w:proofErr w:type="spellEnd"/>
      <w:r w:rsidRPr="00382937">
        <w:rPr>
          <w:lang w:val="fr-FR"/>
        </w:rPr>
        <w:t xml:space="preserve">, J. O., </w:t>
      </w:r>
      <w:proofErr w:type="spellStart"/>
      <w:r w:rsidRPr="00382937">
        <w:rPr>
          <w:lang w:val="fr-FR"/>
        </w:rPr>
        <w:t>Nwaogazie</w:t>
      </w:r>
      <w:proofErr w:type="spellEnd"/>
      <w:r w:rsidRPr="00382937">
        <w:rPr>
          <w:lang w:val="fr-FR"/>
        </w:rPr>
        <w:t xml:space="preserve">, I. L., &amp; </w:t>
      </w:r>
      <w:proofErr w:type="spellStart"/>
      <w:r w:rsidRPr="00382937">
        <w:rPr>
          <w:lang w:val="fr-FR"/>
        </w:rPr>
        <w:t>Sule</w:t>
      </w:r>
      <w:proofErr w:type="spellEnd"/>
      <w:r w:rsidRPr="00382937">
        <w:rPr>
          <w:lang w:val="fr-FR"/>
        </w:rPr>
        <w:t xml:space="preserve">, S. (2022). </w:t>
      </w:r>
      <w:r w:rsidRPr="00382937">
        <w:t xml:space="preserve">Development of Empirical Models for the Estimation of CBR Value of Soil from Their Index Properties: A Case Study of the </w:t>
      </w:r>
      <w:proofErr w:type="spellStart"/>
      <w:r w:rsidRPr="00382937">
        <w:t>Ogbia-Nembe</w:t>
      </w:r>
      <w:proofErr w:type="spellEnd"/>
      <w:r w:rsidRPr="00382937">
        <w:t xml:space="preserve"> Road in Niger Delta Region of Nigeria. Open Journal of Civil Engineering, 12(4), 648–664. </w:t>
      </w:r>
      <w:hyperlink r:id="rId32" w:history="1">
        <w:r w:rsidRPr="00382937">
          <w:rPr>
            <w:rStyle w:val="Hyperlink"/>
            <w:lang w:val="pt-BR"/>
          </w:rPr>
          <w:t>https://doi.org/10.4236/ojce.2022.124036</w:t>
        </w:r>
      </w:hyperlink>
    </w:p>
    <w:p w14:paraId="1A0968C6" w14:textId="78E0CA6C" w:rsidR="009D33BA" w:rsidRPr="009D33BA" w:rsidRDefault="009D33BA" w:rsidP="004E2FE6">
      <w:pPr>
        <w:pStyle w:val="Body"/>
        <w:numPr>
          <w:ilvl w:val="0"/>
          <w:numId w:val="33"/>
        </w:numPr>
      </w:pPr>
      <w:r w:rsidRPr="00382937">
        <w:rPr>
          <w:lang w:val="pt-BR"/>
        </w:rPr>
        <w:t xml:space="preserve">Karami, H., Pooni, J., Robert, D., Costa, S., Li, J., &amp; Setunge, S. (2021). </w:t>
      </w:r>
      <w:r w:rsidRPr="009D33BA">
        <w:t xml:space="preserve">Use of secondary additives in fly </w:t>
      </w:r>
      <w:proofErr w:type="gramStart"/>
      <w:r w:rsidRPr="009D33BA">
        <w:t>ash based</w:t>
      </w:r>
      <w:proofErr w:type="gramEnd"/>
      <w:r w:rsidRPr="009D33BA">
        <w:t xml:space="preserve"> soil stabilization for soft subgrades. </w:t>
      </w:r>
      <w:r w:rsidRPr="009D33BA">
        <w:rPr>
          <w:i/>
          <w:iCs/>
        </w:rPr>
        <w:t>Transportation Geotechnics, 29</w:t>
      </w:r>
      <w:r w:rsidRPr="009D33BA">
        <w:t xml:space="preserve">, 100585. </w:t>
      </w:r>
      <w:hyperlink r:id="rId33" w:tgtFrame="_new" w:history="1">
        <w:r w:rsidRPr="009D33BA">
          <w:rPr>
            <w:rStyle w:val="Hyperlink"/>
          </w:rPr>
          <w:t>https://doi.org/10.1016/j.trgeo.2021.100585</w:t>
        </w:r>
      </w:hyperlink>
    </w:p>
    <w:p w14:paraId="3BAC5DEA" w14:textId="4B540A27" w:rsidR="00382937" w:rsidRPr="000D7B0C" w:rsidRDefault="00382937" w:rsidP="004E2FE6">
      <w:pPr>
        <w:pStyle w:val="Body"/>
        <w:numPr>
          <w:ilvl w:val="0"/>
          <w:numId w:val="33"/>
        </w:numPr>
        <w:rPr>
          <w:rStyle w:val="Hyperlink"/>
          <w:rFonts w:ascii="Helv" w:hAnsi="Helv"/>
        </w:rPr>
      </w:pPr>
      <w:proofErr w:type="spellStart"/>
      <w:r w:rsidRPr="000D7B0C">
        <w:rPr>
          <w:rFonts w:ascii="Helv" w:hAnsi="Helv"/>
        </w:rPr>
        <w:t>Khudhair</w:t>
      </w:r>
      <w:proofErr w:type="spellEnd"/>
      <w:r w:rsidRPr="000D7B0C">
        <w:rPr>
          <w:rFonts w:ascii="Helv" w:hAnsi="Helv"/>
        </w:rPr>
        <w:t xml:space="preserve">, A. A., </w:t>
      </w:r>
      <w:proofErr w:type="spellStart"/>
      <w:r w:rsidRPr="000D7B0C">
        <w:rPr>
          <w:rFonts w:ascii="Helv" w:hAnsi="Helv"/>
        </w:rPr>
        <w:t>Shaia</w:t>
      </w:r>
      <w:proofErr w:type="spellEnd"/>
      <w:r w:rsidRPr="000D7B0C">
        <w:rPr>
          <w:rFonts w:ascii="Helv" w:hAnsi="Helv"/>
        </w:rPr>
        <w:t xml:space="preserve">, H., &amp; </w:t>
      </w:r>
      <w:proofErr w:type="spellStart"/>
      <w:r w:rsidRPr="000D7B0C">
        <w:rPr>
          <w:rFonts w:ascii="Helv" w:hAnsi="Helv"/>
        </w:rPr>
        <w:t>Aodah</w:t>
      </w:r>
      <w:proofErr w:type="spellEnd"/>
      <w:r w:rsidRPr="000D7B0C">
        <w:rPr>
          <w:rFonts w:ascii="Helv" w:hAnsi="Helv"/>
        </w:rPr>
        <w:t xml:space="preserve">, H. H. (2023). Improving of the subgrade soil using chemical additives. </w:t>
      </w:r>
      <w:proofErr w:type="spellStart"/>
      <w:r w:rsidRPr="000D7B0C">
        <w:rPr>
          <w:rFonts w:ascii="Helv" w:hAnsi="Helv"/>
        </w:rPr>
        <w:t>Maǧallaẗ</w:t>
      </w:r>
      <w:proofErr w:type="spellEnd"/>
      <w:r w:rsidRPr="000D7B0C">
        <w:rPr>
          <w:rFonts w:ascii="Helv" w:hAnsi="Helv"/>
        </w:rPr>
        <w:t xml:space="preserve"> Al </w:t>
      </w:r>
      <w:proofErr w:type="spellStart"/>
      <w:r w:rsidRPr="000D7B0C">
        <w:rPr>
          <w:rFonts w:ascii="Helv" w:hAnsi="Helv"/>
        </w:rPr>
        <w:t>Baṣraẗ</w:t>
      </w:r>
      <w:proofErr w:type="spellEnd"/>
      <w:r w:rsidRPr="000D7B0C">
        <w:rPr>
          <w:rFonts w:ascii="Helv" w:hAnsi="Helv"/>
        </w:rPr>
        <w:t xml:space="preserve"> Li l </w:t>
      </w:r>
      <w:proofErr w:type="spellStart"/>
      <w:r w:rsidRPr="000D7B0C">
        <w:rPr>
          <w:rFonts w:ascii="Helv" w:hAnsi="Helv"/>
        </w:rPr>
        <w:t>ʻulūm</w:t>
      </w:r>
      <w:proofErr w:type="spellEnd"/>
      <w:r w:rsidRPr="000D7B0C">
        <w:rPr>
          <w:rFonts w:ascii="Helv" w:hAnsi="Helv"/>
        </w:rPr>
        <w:t xml:space="preserve"> al </w:t>
      </w:r>
      <w:proofErr w:type="spellStart"/>
      <w:r w:rsidRPr="000D7B0C">
        <w:rPr>
          <w:rFonts w:ascii="Helv" w:hAnsi="Helv"/>
        </w:rPr>
        <w:t>Handasiyyaẗ</w:t>
      </w:r>
      <w:proofErr w:type="spellEnd"/>
      <w:r w:rsidRPr="000D7B0C">
        <w:rPr>
          <w:rFonts w:ascii="Helv" w:hAnsi="Helv"/>
        </w:rPr>
        <w:t xml:space="preserve">, 23(1), 7–13. </w:t>
      </w:r>
      <w:hyperlink r:id="rId34" w:history="1">
        <w:r w:rsidRPr="000D7B0C">
          <w:rPr>
            <w:rStyle w:val="Hyperlink"/>
            <w:rFonts w:ascii="Helv" w:hAnsi="Helv"/>
          </w:rPr>
          <w:t>https://doi.org/10.33971/bjes.23.1.2</w:t>
        </w:r>
      </w:hyperlink>
    </w:p>
    <w:p w14:paraId="24B6880F" w14:textId="7832E330" w:rsidR="000D7B0C" w:rsidRPr="004E2FE6" w:rsidRDefault="000D7B0C" w:rsidP="004E2FE6">
      <w:pPr>
        <w:pStyle w:val="ListParagraph"/>
        <w:numPr>
          <w:ilvl w:val="0"/>
          <w:numId w:val="33"/>
        </w:numPr>
        <w:shd w:val="clear" w:color="auto" w:fill="FFFFFF"/>
        <w:jc w:val="both"/>
        <w:rPr>
          <w:rFonts w:ascii="Arial" w:hAnsi="Arial" w:cs="Arial"/>
          <w:color w:val="FF0000"/>
          <w:lang w:eastAsia="en-IN"/>
        </w:rPr>
      </w:pPr>
      <w:r w:rsidRPr="004E2FE6">
        <w:rPr>
          <w:rFonts w:ascii="Arial" w:hAnsi="Arial" w:cs="Arial"/>
          <w:color w:val="333333"/>
          <w:lang w:eastAsia="en-IN"/>
        </w:rPr>
        <w:t xml:space="preserve">Marx Ferdinand </w:t>
      </w:r>
      <w:proofErr w:type="spellStart"/>
      <w:r w:rsidRPr="004E2FE6">
        <w:rPr>
          <w:rFonts w:ascii="Arial" w:hAnsi="Arial" w:cs="Arial"/>
          <w:color w:val="333333"/>
          <w:lang w:eastAsia="en-IN"/>
        </w:rPr>
        <w:t>Ahlinhan</w:t>
      </w:r>
      <w:proofErr w:type="spellEnd"/>
      <w:r w:rsidRPr="004E2FE6">
        <w:rPr>
          <w:rFonts w:ascii="Arial" w:hAnsi="Arial" w:cs="Arial"/>
          <w:color w:val="333333"/>
          <w:lang w:eastAsia="en-IN"/>
        </w:rPr>
        <w:t xml:space="preserve">, </w:t>
      </w:r>
      <w:proofErr w:type="spellStart"/>
      <w:r w:rsidRPr="004E2FE6">
        <w:rPr>
          <w:rFonts w:ascii="Arial" w:hAnsi="Arial" w:cs="Arial"/>
          <w:color w:val="333333"/>
          <w:lang w:eastAsia="en-IN"/>
        </w:rPr>
        <w:t>Orphée</w:t>
      </w:r>
      <w:proofErr w:type="spellEnd"/>
      <w:r w:rsidRPr="004E2FE6">
        <w:rPr>
          <w:rFonts w:ascii="Arial" w:hAnsi="Arial" w:cs="Arial"/>
          <w:color w:val="333333"/>
          <w:lang w:eastAsia="en-IN"/>
        </w:rPr>
        <w:t xml:space="preserve"> Joel </w:t>
      </w:r>
      <w:proofErr w:type="spellStart"/>
      <w:r w:rsidRPr="004E2FE6">
        <w:rPr>
          <w:rFonts w:ascii="Arial" w:hAnsi="Arial" w:cs="Arial"/>
          <w:color w:val="333333"/>
          <w:lang w:eastAsia="en-IN"/>
        </w:rPr>
        <w:t>Dansou</w:t>
      </w:r>
      <w:proofErr w:type="spellEnd"/>
      <w:r w:rsidRPr="004E2FE6">
        <w:rPr>
          <w:rFonts w:ascii="Arial" w:hAnsi="Arial" w:cs="Arial"/>
          <w:color w:val="333333"/>
          <w:lang w:eastAsia="en-IN"/>
        </w:rPr>
        <w:t xml:space="preserve">, </w:t>
      </w:r>
      <w:proofErr w:type="spellStart"/>
      <w:r w:rsidRPr="004E2FE6">
        <w:rPr>
          <w:rFonts w:ascii="Arial" w:hAnsi="Arial" w:cs="Arial"/>
          <w:color w:val="333333"/>
          <w:lang w:eastAsia="en-IN"/>
        </w:rPr>
        <w:t>Bidossessi</w:t>
      </w:r>
      <w:proofErr w:type="spellEnd"/>
      <w:r w:rsidRPr="004E2FE6">
        <w:rPr>
          <w:rFonts w:ascii="Arial" w:hAnsi="Arial" w:cs="Arial"/>
          <w:color w:val="333333"/>
          <w:lang w:eastAsia="en-IN"/>
        </w:rPr>
        <w:t xml:space="preserve"> </w:t>
      </w:r>
      <w:proofErr w:type="spellStart"/>
      <w:r w:rsidRPr="004E2FE6">
        <w:rPr>
          <w:rFonts w:ascii="Arial" w:hAnsi="Arial" w:cs="Arial"/>
          <w:color w:val="333333"/>
          <w:lang w:eastAsia="en-IN"/>
        </w:rPr>
        <w:t>Dorothée</w:t>
      </w:r>
      <w:proofErr w:type="spellEnd"/>
      <w:r w:rsidRPr="004E2FE6">
        <w:rPr>
          <w:rFonts w:ascii="Arial" w:hAnsi="Arial" w:cs="Arial"/>
          <w:color w:val="333333"/>
          <w:lang w:eastAsia="en-IN"/>
        </w:rPr>
        <w:t xml:space="preserve"> </w:t>
      </w:r>
      <w:proofErr w:type="spellStart"/>
      <w:r w:rsidRPr="004E2FE6">
        <w:rPr>
          <w:rFonts w:ascii="Arial" w:hAnsi="Arial" w:cs="Arial"/>
          <w:color w:val="333333"/>
          <w:lang w:eastAsia="en-IN"/>
        </w:rPr>
        <w:t>Djenou</w:t>
      </w:r>
      <w:proofErr w:type="spellEnd"/>
      <w:r w:rsidRPr="004E2FE6">
        <w:rPr>
          <w:rFonts w:ascii="Arial" w:hAnsi="Arial" w:cs="Arial"/>
          <w:color w:val="333333"/>
          <w:lang w:eastAsia="en-IN"/>
        </w:rPr>
        <w:t xml:space="preserve">, Léonard </w:t>
      </w:r>
      <w:proofErr w:type="spellStart"/>
      <w:r w:rsidRPr="004E2FE6">
        <w:rPr>
          <w:rFonts w:ascii="Arial" w:hAnsi="Arial" w:cs="Arial"/>
          <w:color w:val="333333"/>
          <w:lang w:eastAsia="en-IN"/>
        </w:rPr>
        <w:t>Sounouvou</w:t>
      </w:r>
      <w:proofErr w:type="spellEnd"/>
      <w:r w:rsidRPr="004E2FE6">
        <w:rPr>
          <w:rFonts w:ascii="Arial" w:hAnsi="Arial" w:cs="Arial"/>
          <w:color w:val="333333"/>
          <w:lang w:eastAsia="en-IN"/>
        </w:rPr>
        <w:t xml:space="preserve">, and Edmond </w:t>
      </w:r>
      <w:proofErr w:type="spellStart"/>
      <w:r w:rsidRPr="004E2FE6">
        <w:rPr>
          <w:rFonts w:ascii="Arial" w:hAnsi="Arial" w:cs="Arial"/>
          <w:color w:val="333333"/>
          <w:lang w:eastAsia="en-IN"/>
        </w:rPr>
        <w:t>Codjo</w:t>
      </w:r>
      <w:proofErr w:type="spellEnd"/>
      <w:r w:rsidRPr="004E2FE6">
        <w:rPr>
          <w:rFonts w:ascii="Arial" w:hAnsi="Arial" w:cs="Arial"/>
          <w:color w:val="333333"/>
          <w:lang w:eastAsia="en-IN"/>
        </w:rPr>
        <w:t xml:space="preserve"> </w:t>
      </w:r>
      <w:proofErr w:type="spellStart"/>
      <w:r w:rsidRPr="004E2FE6">
        <w:rPr>
          <w:rFonts w:ascii="Arial" w:hAnsi="Arial" w:cs="Arial"/>
          <w:color w:val="333333"/>
          <w:lang w:eastAsia="en-IN"/>
        </w:rPr>
        <w:t>Adjovi</w:t>
      </w:r>
      <w:proofErr w:type="spellEnd"/>
      <w:r w:rsidRPr="004E2FE6">
        <w:rPr>
          <w:rFonts w:ascii="Arial" w:hAnsi="Arial" w:cs="Arial"/>
          <w:color w:val="333333"/>
          <w:lang w:eastAsia="en-IN"/>
        </w:rPr>
        <w:t>. 2025. “Swelling and Shrinkage Performance of Expansive Soils under Repeated Moisture Variations”. </w:t>
      </w:r>
      <w:r w:rsidRPr="004E2FE6">
        <w:rPr>
          <w:rFonts w:ascii="Arial" w:hAnsi="Arial" w:cs="Arial"/>
          <w:i/>
          <w:iCs/>
          <w:color w:val="333333"/>
          <w:lang w:eastAsia="en-IN"/>
        </w:rPr>
        <w:t xml:space="preserve">Current </w:t>
      </w:r>
      <w:r w:rsidRPr="004E2FE6">
        <w:rPr>
          <w:rFonts w:ascii="Arial" w:hAnsi="Arial" w:cs="Arial"/>
          <w:i/>
          <w:iCs/>
          <w:color w:val="333333"/>
          <w:lang w:eastAsia="en-IN"/>
        </w:rPr>
        <w:lastRenderedPageBreak/>
        <w:t>Journal of Applied Science and Technology</w:t>
      </w:r>
      <w:r w:rsidRPr="004E2FE6">
        <w:rPr>
          <w:rFonts w:ascii="Arial" w:hAnsi="Arial" w:cs="Arial"/>
          <w:color w:val="333333"/>
          <w:lang w:eastAsia="en-IN"/>
        </w:rPr>
        <w:t xml:space="preserve"> 44 (4):91–110. </w:t>
      </w:r>
      <w:hyperlink r:id="rId35" w:history="1">
        <w:r w:rsidRPr="004E2FE6">
          <w:rPr>
            <w:rStyle w:val="Hyperlink"/>
            <w:rFonts w:ascii="Arial" w:hAnsi="Arial" w:cs="Arial"/>
            <w:lang w:eastAsia="en-IN"/>
          </w:rPr>
          <w:t>https://doi.org/10.9734/cjast/2025/v44i44517</w:t>
        </w:r>
      </w:hyperlink>
      <w:r w:rsidRPr="004E2FE6">
        <w:rPr>
          <w:rFonts w:ascii="Arial" w:hAnsi="Arial" w:cs="Arial"/>
          <w:color w:val="FF0000"/>
          <w:lang w:eastAsia="en-IN"/>
        </w:rPr>
        <w:t>.</w:t>
      </w:r>
    </w:p>
    <w:p w14:paraId="2F493501" w14:textId="00D5E229" w:rsidR="000D7B0C" w:rsidRPr="000D7B0C" w:rsidRDefault="000D7B0C" w:rsidP="004E2FE6">
      <w:pPr>
        <w:shd w:val="clear" w:color="auto" w:fill="FFFFFF"/>
        <w:ind w:firstLine="720"/>
        <w:jc w:val="both"/>
        <w:rPr>
          <w:rFonts w:ascii="Arial" w:hAnsi="Arial" w:cs="Arial"/>
          <w:color w:val="FF0000"/>
          <w:lang w:eastAsia="en-IN"/>
        </w:rPr>
      </w:pPr>
    </w:p>
    <w:p w14:paraId="171D18FF" w14:textId="7E06577E" w:rsidR="00382937" w:rsidRDefault="00382937" w:rsidP="004E2FE6">
      <w:pPr>
        <w:pStyle w:val="Body"/>
        <w:numPr>
          <w:ilvl w:val="0"/>
          <w:numId w:val="33"/>
        </w:numPr>
      </w:pPr>
      <w:proofErr w:type="spellStart"/>
      <w:r w:rsidRPr="00382937">
        <w:t>Mudgil</w:t>
      </w:r>
      <w:proofErr w:type="spellEnd"/>
      <w:r w:rsidRPr="00382937">
        <w:t xml:space="preserve">, D., &amp; </w:t>
      </w:r>
      <w:proofErr w:type="spellStart"/>
      <w:r w:rsidRPr="00382937">
        <w:t>Mudgil</w:t>
      </w:r>
      <w:proofErr w:type="spellEnd"/>
      <w:r w:rsidRPr="00382937">
        <w:t xml:space="preserve">, S. (2024). Acacia gum: Chemistry, properties &amp; food applications. Food and Humanity, 2, 100264. </w:t>
      </w:r>
      <w:hyperlink r:id="rId36" w:history="1">
        <w:r w:rsidRPr="00F22A9D">
          <w:rPr>
            <w:rStyle w:val="Hyperlink"/>
          </w:rPr>
          <w:t>https://doi.org/10.1016/j.foohum.2024.100264</w:t>
        </w:r>
      </w:hyperlink>
    </w:p>
    <w:p w14:paraId="5B5190AF" w14:textId="1EC9C73C" w:rsidR="00382937" w:rsidRDefault="00382937" w:rsidP="004E2FE6">
      <w:pPr>
        <w:pStyle w:val="Body"/>
        <w:numPr>
          <w:ilvl w:val="0"/>
          <w:numId w:val="33"/>
        </w:numPr>
      </w:pPr>
      <w:r w:rsidRPr="00382937">
        <w:t xml:space="preserve">Prasad, N., </w:t>
      </w:r>
      <w:proofErr w:type="spellStart"/>
      <w:r w:rsidRPr="00382937">
        <w:t>Thombare</w:t>
      </w:r>
      <w:proofErr w:type="spellEnd"/>
      <w:r w:rsidRPr="00382937">
        <w:t xml:space="preserve">, N., Sharma, S.C., &amp; Kumar, S. (2022). Gum Arabic – A versatile natural gum: A review on production, processing, properties and applications. Industrial Crops and Products </w:t>
      </w:r>
      <w:hyperlink r:id="rId37" w:history="1">
        <w:r w:rsidRPr="00F22A9D">
          <w:rPr>
            <w:rStyle w:val="Hyperlink"/>
          </w:rPr>
          <w:t>https://doi.org/10.1016/j.indcrop.2022.115304</w:t>
        </w:r>
      </w:hyperlink>
    </w:p>
    <w:p w14:paraId="0CBE569F" w14:textId="50F90646" w:rsidR="00382937" w:rsidRDefault="00382937" w:rsidP="004E2FE6">
      <w:pPr>
        <w:pStyle w:val="Body"/>
        <w:numPr>
          <w:ilvl w:val="0"/>
          <w:numId w:val="33"/>
        </w:numPr>
      </w:pPr>
      <w:proofErr w:type="spellStart"/>
      <w:r w:rsidRPr="00382937">
        <w:t>Puppala</w:t>
      </w:r>
      <w:proofErr w:type="spellEnd"/>
      <w:r w:rsidRPr="00382937">
        <w:t xml:space="preserve">, A. J. (2021). Performance evaluation of infrastructure on problematic expansive soils: Characterization challenges, innovative stabilization designs, and monitoring methods. Journal of Geotechnical and </w:t>
      </w:r>
      <w:proofErr w:type="spellStart"/>
      <w:r w:rsidRPr="00382937">
        <w:t>Geoenvironmental</w:t>
      </w:r>
      <w:proofErr w:type="spellEnd"/>
      <w:r w:rsidRPr="00382937">
        <w:t xml:space="preserve"> Engineering </w:t>
      </w:r>
      <w:hyperlink r:id="rId38" w:history="1">
        <w:r w:rsidRPr="00F22A9D">
          <w:rPr>
            <w:rStyle w:val="Hyperlink"/>
          </w:rPr>
          <w:t>https://doi.org/10.1061/(ASCE)GT.1943-5606.0002518</w:t>
        </w:r>
      </w:hyperlink>
    </w:p>
    <w:p w14:paraId="70F32712" w14:textId="1C3CA627" w:rsidR="00382937" w:rsidRPr="00382937" w:rsidRDefault="00382937" w:rsidP="004E2FE6">
      <w:pPr>
        <w:pStyle w:val="Body"/>
        <w:numPr>
          <w:ilvl w:val="0"/>
          <w:numId w:val="33"/>
        </w:numPr>
        <w:rPr>
          <w:lang w:val="fr-FR"/>
        </w:rPr>
      </w:pPr>
      <w:r w:rsidRPr="00382937">
        <w:rPr>
          <w:lang w:val="pt-BR"/>
        </w:rPr>
        <w:t xml:space="preserve">Rimbarngaye, A., Mwero, J. N., &amp; Ronoh, E. K. (2022). </w:t>
      </w:r>
      <w:r w:rsidRPr="00382937">
        <w:rPr>
          <w:lang w:val="en-IN"/>
        </w:rPr>
        <w:t xml:space="preserve">Effect of gum Arabic content on maximum dry density and optimum moisture content of laterite soil. </w:t>
      </w:r>
      <w:r w:rsidRPr="00382937">
        <w:rPr>
          <w:lang w:val="pt-BR"/>
        </w:rPr>
        <w:t xml:space="preserve">Heliyon, 8(11). </w:t>
      </w:r>
      <w:r>
        <w:rPr>
          <w:lang w:val="pt-BR"/>
        </w:rPr>
        <w:fldChar w:fldCharType="begin"/>
      </w:r>
      <w:r>
        <w:rPr>
          <w:lang w:val="pt-BR"/>
        </w:rPr>
        <w:instrText xml:space="preserve"> HYPERLINK "</w:instrText>
      </w:r>
      <w:r w:rsidRPr="00382937">
        <w:rPr>
          <w:lang w:val="pt-BR"/>
        </w:rPr>
        <w:instrText>https://doi.org/10.1016/j.heliyon.2022.e11553</w:instrText>
      </w:r>
      <w:r>
        <w:rPr>
          <w:lang w:val="pt-BR"/>
        </w:rPr>
        <w:instrText xml:space="preserve">" </w:instrText>
      </w:r>
      <w:r>
        <w:rPr>
          <w:lang w:val="pt-BR"/>
        </w:rPr>
        <w:fldChar w:fldCharType="separate"/>
      </w:r>
      <w:r w:rsidRPr="00382937">
        <w:rPr>
          <w:rStyle w:val="Hyperlink"/>
          <w:lang w:val="fr-FR"/>
        </w:rPr>
        <w:t>https://doi.org/10.1016/j.heliyon.2022.e11553</w:t>
      </w:r>
      <w:r>
        <w:rPr>
          <w:lang w:val="pt-BR"/>
        </w:rPr>
        <w:fldChar w:fldCharType="end"/>
      </w:r>
    </w:p>
    <w:p w14:paraId="12CA3FAA" w14:textId="54F08ECC" w:rsidR="00382937" w:rsidRPr="00382937" w:rsidRDefault="00382937" w:rsidP="004E2FE6">
      <w:pPr>
        <w:pStyle w:val="Body"/>
        <w:numPr>
          <w:ilvl w:val="0"/>
          <w:numId w:val="33"/>
        </w:numPr>
        <w:rPr>
          <w:lang w:val="pt-BR"/>
        </w:rPr>
      </w:pPr>
      <w:proofErr w:type="spellStart"/>
      <w:r w:rsidRPr="00382937">
        <w:rPr>
          <w:lang w:val="en-IN"/>
        </w:rPr>
        <w:t>Roodi</w:t>
      </w:r>
      <w:proofErr w:type="spellEnd"/>
      <w:r w:rsidRPr="00382937">
        <w:rPr>
          <w:lang w:val="en-IN"/>
        </w:rPr>
        <w:t xml:space="preserve">, G. H., &amp; </w:t>
      </w:r>
      <w:proofErr w:type="spellStart"/>
      <w:r w:rsidRPr="00382937">
        <w:rPr>
          <w:lang w:val="en-IN"/>
        </w:rPr>
        <w:t>Zornberg</w:t>
      </w:r>
      <w:proofErr w:type="spellEnd"/>
      <w:r w:rsidRPr="00382937">
        <w:rPr>
          <w:lang w:val="en-IN"/>
        </w:rPr>
        <w:t xml:space="preserve">, J. G. (2020). Long-term field evaluation of a geosynthetic-stabilized roadway founded on expansive clays. Journal of Geotechnical and </w:t>
      </w:r>
      <w:proofErr w:type="spellStart"/>
      <w:r w:rsidRPr="00382937">
        <w:rPr>
          <w:lang w:val="en-IN"/>
        </w:rPr>
        <w:t>Geoenvironmental</w:t>
      </w:r>
      <w:proofErr w:type="spellEnd"/>
      <w:r w:rsidRPr="00382937">
        <w:rPr>
          <w:lang w:val="en-IN"/>
        </w:rPr>
        <w:t xml:space="preserve"> Engineering, 146(4), 05020001. </w:t>
      </w:r>
      <w:hyperlink r:id="rId39" w:history="1">
        <w:r w:rsidRPr="00382937">
          <w:rPr>
            <w:rStyle w:val="Hyperlink"/>
            <w:lang w:val="pt-BR"/>
          </w:rPr>
          <w:t>https://doi.org/10.1061/(ASCE)GT.1943-5606.0002206</w:t>
        </w:r>
      </w:hyperlink>
    </w:p>
    <w:p w14:paraId="45C166A2" w14:textId="144EF26E" w:rsidR="00382937" w:rsidRPr="00382937" w:rsidRDefault="00382937" w:rsidP="004E2FE6">
      <w:pPr>
        <w:pStyle w:val="Body"/>
        <w:numPr>
          <w:ilvl w:val="0"/>
          <w:numId w:val="33"/>
        </w:numPr>
        <w:rPr>
          <w:lang w:val="en-IN"/>
        </w:rPr>
      </w:pPr>
      <w:r w:rsidRPr="00382937">
        <w:rPr>
          <w:lang w:val="pt-BR"/>
        </w:rPr>
        <w:t xml:space="preserve">Sedláčková, K., Ševelová, L., Igaz, D., &amp; Aydın, E. (2024). </w:t>
      </w:r>
      <w:r w:rsidRPr="00382937">
        <w:rPr>
          <w:lang w:val="en-IN"/>
        </w:rPr>
        <w:t xml:space="preserve">Determination of Particle Size Distribution: Comparison of Standard Hydrometer Method and Laser Diffraction Analysis for Use in Forestry. Forests, 15(2), 327. </w:t>
      </w:r>
      <w:hyperlink r:id="rId40" w:history="1">
        <w:r w:rsidRPr="00382937">
          <w:rPr>
            <w:rStyle w:val="Hyperlink"/>
            <w:lang w:val="en-IN"/>
          </w:rPr>
          <w:t>https://doi.org/10.3390/f15020327</w:t>
        </w:r>
      </w:hyperlink>
    </w:p>
    <w:p w14:paraId="75DB95BB" w14:textId="6F1DF3C1" w:rsidR="00382937" w:rsidRDefault="00382937" w:rsidP="004E2FE6">
      <w:pPr>
        <w:pStyle w:val="Body"/>
        <w:numPr>
          <w:ilvl w:val="0"/>
          <w:numId w:val="33"/>
        </w:numPr>
      </w:pPr>
      <w:proofErr w:type="spellStart"/>
      <w:r w:rsidRPr="00382937">
        <w:t>Sugumaran</w:t>
      </w:r>
      <w:proofErr w:type="spellEnd"/>
      <w:r w:rsidRPr="00382937">
        <w:t xml:space="preserve">, B., &amp; </w:t>
      </w:r>
      <w:proofErr w:type="spellStart"/>
      <w:r w:rsidRPr="00382937">
        <w:t>Neme</w:t>
      </w:r>
      <w:proofErr w:type="spellEnd"/>
      <w:r w:rsidRPr="00382937">
        <w:t xml:space="preserve">, I. (2024). Effect of adsorption interactions of Arabic gum with cement. Materials Research Express, 11(6), 065503. </w:t>
      </w:r>
      <w:hyperlink r:id="rId41" w:history="1">
        <w:r w:rsidRPr="00F22A9D">
          <w:rPr>
            <w:rStyle w:val="Hyperlink"/>
          </w:rPr>
          <w:t>https://doi.org/10.1088/2053-1591/ad51d8</w:t>
        </w:r>
      </w:hyperlink>
    </w:p>
    <w:p w14:paraId="2637FDB6" w14:textId="6C7AC42D" w:rsidR="00382937" w:rsidRDefault="00382937" w:rsidP="004E2FE6">
      <w:pPr>
        <w:pStyle w:val="Body"/>
        <w:numPr>
          <w:ilvl w:val="0"/>
          <w:numId w:val="33"/>
        </w:numPr>
      </w:pPr>
      <w:proofErr w:type="spellStart"/>
      <w:r w:rsidRPr="00382937">
        <w:t>Tanyıldızı</w:t>
      </w:r>
      <w:proofErr w:type="spellEnd"/>
      <w:r w:rsidRPr="00382937">
        <w:t xml:space="preserve">, M., </w:t>
      </w:r>
      <w:proofErr w:type="spellStart"/>
      <w:r w:rsidRPr="00382937">
        <w:t>Uz</w:t>
      </w:r>
      <w:proofErr w:type="spellEnd"/>
      <w:r w:rsidRPr="00382937">
        <w:t xml:space="preserve">, V. E., &amp; </w:t>
      </w:r>
      <w:proofErr w:type="spellStart"/>
      <w:r w:rsidRPr="00382937">
        <w:t>Gökalp</w:t>
      </w:r>
      <w:proofErr w:type="spellEnd"/>
      <w:r w:rsidRPr="00382937">
        <w:t xml:space="preserve">, İ. (2023). Utilization of waste materials in the stabilization of expansive pavement subgrade: An extensive review. Construction and Building Materials </w:t>
      </w:r>
      <w:hyperlink r:id="rId42" w:history="1">
        <w:r w:rsidRPr="00F22A9D">
          <w:rPr>
            <w:rStyle w:val="Hyperlink"/>
          </w:rPr>
          <w:t>https://doi.org/10.1016/j.conbuildmat.2023.132435</w:t>
        </w:r>
      </w:hyperlink>
    </w:p>
    <w:p w14:paraId="5D0486DF" w14:textId="3D6EBDA3" w:rsidR="00382937" w:rsidRDefault="00382937" w:rsidP="004E2FE6">
      <w:pPr>
        <w:pStyle w:val="Body"/>
        <w:numPr>
          <w:ilvl w:val="0"/>
          <w:numId w:val="33"/>
        </w:numPr>
        <w:rPr>
          <w:lang w:val="pt-BR"/>
        </w:rPr>
      </w:pPr>
      <w:r w:rsidRPr="00382937">
        <w:t xml:space="preserve">Utkarsh, &amp; Jain, P. K. (2024). Enhancing the properties of swelling soils with lime, fly ash, and expanded polystyrene -A review. </w:t>
      </w:r>
      <w:r w:rsidRPr="00382937">
        <w:rPr>
          <w:lang w:val="pt-BR"/>
        </w:rPr>
        <w:t xml:space="preserve">Heliyon, 10(12), e32908. </w:t>
      </w:r>
      <w:r>
        <w:rPr>
          <w:lang w:val="pt-BR"/>
        </w:rPr>
        <w:fldChar w:fldCharType="begin"/>
      </w:r>
      <w:r>
        <w:rPr>
          <w:lang w:val="pt-BR"/>
        </w:rPr>
        <w:instrText xml:space="preserve"> HYPERLINK "</w:instrText>
      </w:r>
      <w:r w:rsidRPr="00382937">
        <w:rPr>
          <w:lang w:val="pt-BR"/>
        </w:rPr>
        <w:instrText>https://doi.org/10.1016/j.heliyon.2024.e32908</w:instrText>
      </w:r>
      <w:r>
        <w:rPr>
          <w:lang w:val="pt-BR"/>
        </w:rPr>
        <w:instrText xml:space="preserve">" </w:instrText>
      </w:r>
      <w:r>
        <w:rPr>
          <w:lang w:val="pt-BR"/>
        </w:rPr>
        <w:fldChar w:fldCharType="separate"/>
      </w:r>
      <w:r w:rsidRPr="00F22A9D">
        <w:rPr>
          <w:rStyle w:val="Hyperlink"/>
          <w:lang w:val="pt-BR"/>
        </w:rPr>
        <w:t>https://doi.org/10.1016/j.heliyon.2024.e32908</w:t>
      </w:r>
      <w:r>
        <w:rPr>
          <w:lang w:val="pt-BR"/>
        </w:rPr>
        <w:fldChar w:fldCharType="end"/>
      </w:r>
    </w:p>
    <w:p w14:paraId="5682AB3C" w14:textId="19C904C3" w:rsidR="00382937" w:rsidRPr="00382937" w:rsidRDefault="00382937" w:rsidP="004E2FE6">
      <w:pPr>
        <w:pStyle w:val="Body"/>
        <w:numPr>
          <w:ilvl w:val="0"/>
          <w:numId w:val="33"/>
        </w:numPr>
        <w:rPr>
          <w:lang w:val="pt-BR"/>
        </w:rPr>
      </w:pPr>
      <w:r w:rsidRPr="00382937">
        <w:rPr>
          <w:lang w:val="en-IN"/>
        </w:rPr>
        <w:t xml:space="preserve">Reddy, K. L. V., &amp; </w:t>
      </w:r>
      <w:proofErr w:type="spellStart"/>
      <w:r w:rsidRPr="00382937">
        <w:rPr>
          <w:lang w:val="en-IN"/>
        </w:rPr>
        <w:t>Murty</w:t>
      </w:r>
      <w:proofErr w:type="spellEnd"/>
      <w:r w:rsidRPr="00382937">
        <w:rPr>
          <w:lang w:val="en-IN"/>
        </w:rPr>
        <w:t xml:space="preserve"> </w:t>
      </w:r>
      <w:proofErr w:type="spellStart"/>
      <w:r w:rsidRPr="00382937">
        <w:rPr>
          <w:lang w:val="en-IN"/>
        </w:rPr>
        <w:t>Dasaka</w:t>
      </w:r>
      <w:proofErr w:type="spellEnd"/>
      <w:r w:rsidRPr="00382937">
        <w:rPr>
          <w:lang w:val="en-IN"/>
        </w:rPr>
        <w:t xml:space="preserve">, S. (2024). Stabilization of expansive soil for highway embankment: A critical review. Japanese Geotechnical Society Special Publication, 10, 1554–1559. </w:t>
      </w:r>
      <w:hyperlink r:id="rId43" w:history="1">
        <w:r w:rsidRPr="00382937">
          <w:rPr>
            <w:rStyle w:val="Hyperlink"/>
            <w:lang w:val="pt-BR"/>
          </w:rPr>
          <w:t>https://doi.org/10.3208/jgssp.v10.OS-30-06</w:t>
        </w:r>
      </w:hyperlink>
    </w:p>
    <w:p w14:paraId="72B568C5" w14:textId="2B1BB62F" w:rsidR="00382937" w:rsidRPr="00382937" w:rsidRDefault="00382937" w:rsidP="004E2FE6">
      <w:pPr>
        <w:pStyle w:val="Body"/>
        <w:numPr>
          <w:ilvl w:val="0"/>
          <w:numId w:val="33"/>
        </w:numPr>
        <w:rPr>
          <w:lang w:val="en-IN"/>
        </w:rPr>
      </w:pPr>
      <w:proofErr w:type="spellStart"/>
      <w:r w:rsidRPr="00382937">
        <w:rPr>
          <w:lang w:val="en-IN"/>
        </w:rPr>
        <w:t>Waheed</w:t>
      </w:r>
      <w:proofErr w:type="spellEnd"/>
      <w:r w:rsidRPr="00382937">
        <w:rPr>
          <w:lang w:val="en-IN"/>
        </w:rPr>
        <w:t xml:space="preserve">, M., &amp; </w:t>
      </w:r>
      <w:proofErr w:type="spellStart"/>
      <w:r w:rsidRPr="00382937">
        <w:rPr>
          <w:lang w:val="en-IN"/>
        </w:rPr>
        <w:t>Asmael</w:t>
      </w:r>
      <w:proofErr w:type="spellEnd"/>
      <w:r w:rsidRPr="00382937">
        <w:rPr>
          <w:lang w:val="en-IN"/>
        </w:rPr>
        <w:t xml:space="preserve">, N. (2018). Improvement of engineering soil properties using non-traditional additives. MATEC Web of Conferences, 162, 01027 </w:t>
      </w:r>
      <w:hyperlink r:id="rId44" w:history="1">
        <w:r w:rsidRPr="00382937">
          <w:rPr>
            <w:rStyle w:val="Hyperlink"/>
            <w:lang w:val="en-IN"/>
          </w:rPr>
          <w:t>https://doi.org/10.1051/matecconf/201816201027</w:t>
        </w:r>
      </w:hyperlink>
    </w:p>
    <w:p w14:paraId="1A4DC015" w14:textId="7BA87D14" w:rsidR="00382937" w:rsidRDefault="00382937" w:rsidP="004E2FE6">
      <w:pPr>
        <w:pStyle w:val="Body"/>
        <w:numPr>
          <w:ilvl w:val="0"/>
          <w:numId w:val="33"/>
        </w:numPr>
      </w:pPr>
      <w:r w:rsidRPr="00382937">
        <w:t xml:space="preserve">Wahab, A., Hasan, M., </w:t>
      </w:r>
      <w:proofErr w:type="spellStart"/>
      <w:r w:rsidRPr="00382937">
        <w:t>Mohd</w:t>
      </w:r>
      <w:proofErr w:type="spellEnd"/>
      <w:r w:rsidRPr="00382937">
        <w:t xml:space="preserve"> </w:t>
      </w:r>
      <w:proofErr w:type="spellStart"/>
      <w:r w:rsidRPr="00382937">
        <w:t>Kusin</w:t>
      </w:r>
      <w:proofErr w:type="spellEnd"/>
      <w:r w:rsidRPr="00382937">
        <w:t xml:space="preserve">, F., </w:t>
      </w:r>
      <w:proofErr w:type="spellStart"/>
      <w:r w:rsidRPr="00382937">
        <w:t>Embong</w:t>
      </w:r>
      <w:proofErr w:type="spellEnd"/>
      <w:r w:rsidRPr="00382937">
        <w:t xml:space="preserve">, Z., Zaman, Q. U., Babar, Z. U., &amp; Imran, M. S. (2022). Physical Properties of Undisturbed Tropical Peat Soil at </w:t>
      </w:r>
      <w:proofErr w:type="spellStart"/>
      <w:r w:rsidRPr="00382937">
        <w:t>Pekan</w:t>
      </w:r>
      <w:proofErr w:type="spellEnd"/>
      <w:r w:rsidRPr="00382937">
        <w:t xml:space="preserve"> </w:t>
      </w:r>
      <w:r w:rsidRPr="00382937">
        <w:lastRenderedPageBreak/>
        <w:t xml:space="preserve">District, Pahang, West Malaysia. International Journal of Integrated Engineering, 14(4), 403–414. </w:t>
      </w:r>
      <w:hyperlink r:id="rId45" w:history="1">
        <w:r w:rsidRPr="00F22A9D">
          <w:rPr>
            <w:rStyle w:val="Hyperlink"/>
          </w:rPr>
          <w:t>https://publisher.uthm.edu.my/ojs/index.php/ijie/article/view/8667</w:t>
        </w:r>
      </w:hyperlink>
    </w:p>
    <w:p w14:paraId="5C519741" w14:textId="77CF67B3" w:rsidR="00382937" w:rsidRDefault="00382937" w:rsidP="004E2FE6">
      <w:pPr>
        <w:pStyle w:val="Body"/>
        <w:numPr>
          <w:ilvl w:val="0"/>
          <w:numId w:val="33"/>
        </w:numPr>
      </w:pPr>
      <w:r w:rsidRPr="00382937">
        <w:t xml:space="preserve">Zada, U., Jamal, A., Iqbal, M., </w:t>
      </w:r>
      <w:proofErr w:type="spellStart"/>
      <w:r w:rsidRPr="00382937">
        <w:t>Eldin</w:t>
      </w:r>
      <w:proofErr w:type="spellEnd"/>
      <w:r w:rsidRPr="00382937">
        <w:t xml:space="preserve">, S. M., </w:t>
      </w:r>
      <w:proofErr w:type="spellStart"/>
      <w:r w:rsidRPr="00382937">
        <w:t>Almoshaogeh</w:t>
      </w:r>
      <w:proofErr w:type="spellEnd"/>
      <w:r w:rsidRPr="00382937">
        <w:t xml:space="preserve">, M., </w:t>
      </w:r>
      <w:proofErr w:type="spellStart"/>
      <w:r w:rsidRPr="00382937">
        <w:t>Bekkouche</w:t>
      </w:r>
      <w:proofErr w:type="spellEnd"/>
      <w:r w:rsidRPr="00382937">
        <w:t xml:space="preserve">, S. R., &amp; </w:t>
      </w:r>
      <w:proofErr w:type="spellStart"/>
      <w:r w:rsidRPr="00382937">
        <w:t>Almuaythir</w:t>
      </w:r>
      <w:proofErr w:type="spellEnd"/>
      <w:r w:rsidRPr="00382937">
        <w:t xml:space="preserve">, S. (2023). Recent advances in expansive soil stabilization using admixtures: Current challenges and opportunities. Case Studies in Construction Materials </w:t>
      </w:r>
      <w:hyperlink r:id="rId46" w:history="1">
        <w:r w:rsidRPr="00F22A9D">
          <w:rPr>
            <w:rStyle w:val="Hyperlink"/>
          </w:rPr>
          <w:t>https://doi.org/10.1016/j.cscm.2023.e01985</w:t>
        </w:r>
      </w:hyperlink>
    </w:p>
    <w:p w14:paraId="0289FD99" w14:textId="12E32140" w:rsidR="00382937" w:rsidRDefault="00382937" w:rsidP="004E2FE6">
      <w:pPr>
        <w:pStyle w:val="Body"/>
        <w:numPr>
          <w:ilvl w:val="0"/>
          <w:numId w:val="33"/>
        </w:numPr>
      </w:pPr>
      <w:proofErr w:type="spellStart"/>
      <w:r w:rsidRPr="00382937">
        <w:t>Zaini</w:t>
      </w:r>
      <w:proofErr w:type="spellEnd"/>
      <w:r w:rsidRPr="00382937">
        <w:t xml:space="preserve">, M. S. I., &amp; Hasan, M. (2023). Effects of industrial and agricultural recycled waste enhanced with lime </w:t>
      </w:r>
      <w:proofErr w:type="spellStart"/>
      <w:r w:rsidRPr="00382937">
        <w:t>utilisation</w:t>
      </w:r>
      <w:proofErr w:type="spellEnd"/>
      <w:r w:rsidRPr="00382937">
        <w:t xml:space="preserve"> in </w:t>
      </w:r>
      <w:proofErr w:type="spellStart"/>
      <w:r w:rsidRPr="00382937">
        <w:t>stabilising</w:t>
      </w:r>
      <w:proofErr w:type="spellEnd"/>
      <w:r w:rsidRPr="00382937">
        <w:t xml:space="preserve"> kaolinitic soil. International Journal of Sustainable Construction Engineering and Technology, 14(4), 332–353. </w:t>
      </w:r>
      <w:hyperlink r:id="rId47" w:history="1">
        <w:r w:rsidRPr="00F22A9D">
          <w:rPr>
            <w:rStyle w:val="Hyperlink"/>
          </w:rPr>
          <w:t>https://doi.org/10.30880/ijscet.2023.14.04.025</w:t>
        </w:r>
      </w:hyperlink>
    </w:p>
    <w:p w14:paraId="6444147F" w14:textId="50D1D566" w:rsidR="00382937" w:rsidRDefault="00382937" w:rsidP="004E2FE6">
      <w:pPr>
        <w:pStyle w:val="Body"/>
        <w:numPr>
          <w:ilvl w:val="0"/>
          <w:numId w:val="33"/>
        </w:numPr>
      </w:pPr>
      <w:proofErr w:type="spellStart"/>
      <w:r w:rsidRPr="00382937">
        <w:t>Zaini</w:t>
      </w:r>
      <w:proofErr w:type="spellEnd"/>
      <w:r w:rsidRPr="00382937">
        <w:t xml:space="preserve">, M. S. I., &amp; Hasan, M. (2023). Effectiveness of silica fume eggshell ash and lime use on the properties of kaolinitic clay. International Journal of Engineering and Technology Innovation, 13(4). </w:t>
      </w:r>
      <w:hyperlink r:id="rId48" w:history="1">
        <w:r w:rsidRPr="00F22A9D">
          <w:rPr>
            <w:rStyle w:val="Hyperlink"/>
          </w:rPr>
          <w:t>https://doi.org/10.46604/ijeti.2023.11936</w:t>
        </w:r>
      </w:hyperlink>
    </w:p>
    <w:p w14:paraId="27D92AAC" w14:textId="18AB1F96" w:rsidR="00382937" w:rsidRDefault="00382937" w:rsidP="004E2FE6">
      <w:pPr>
        <w:pStyle w:val="Body"/>
        <w:numPr>
          <w:ilvl w:val="0"/>
          <w:numId w:val="33"/>
        </w:numPr>
      </w:pPr>
      <w:proofErr w:type="spellStart"/>
      <w:r w:rsidRPr="00382937">
        <w:t>Zaini</w:t>
      </w:r>
      <w:proofErr w:type="spellEnd"/>
      <w:r w:rsidRPr="00382937">
        <w:t xml:space="preserve">, M. S. I., Hasan, M., &amp; </w:t>
      </w:r>
      <w:proofErr w:type="spellStart"/>
      <w:r w:rsidRPr="00382937">
        <w:t>Jusoh</w:t>
      </w:r>
      <w:proofErr w:type="spellEnd"/>
      <w:r w:rsidRPr="00382937">
        <w:t xml:space="preserve">, W. N. B. W. (2025). Utilization of bottom ash waste as a granular column to enhance the lateral load capacity of soft kaolin clay soil. Environmental Science and Pollution Research, 32(22), 12951–12977. </w:t>
      </w:r>
      <w:hyperlink r:id="rId49" w:history="1">
        <w:r w:rsidRPr="00F22A9D">
          <w:rPr>
            <w:rStyle w:val="Hyperlink"/>
          </w:rPr>
          <w:t>https://doi.org/10.1007/s11356-023-25966-x</w:t>
        </w:r>
      </w:hyperlink>
    </w:p>
    <w:p w14:paraId="45534F43" w14:textId="185DF4C7" w:rsidR="00382937" w:rsidRPr="00382937" w:rsidRDefault="00382937" w:rsidP="004E2FE6">
      <w:pPr>
        <w:pStyle w:val="Body"/>
        <w:numPr>
          <w:ilvl w:val="0"/>
          <w:numId w:val="33"/>
        </w:numPr>
        <w:rPr>
          <w:lang w:val="fr-FR"/>
        </w:rPr>
      </w:pPr>
      <w:r w:rsidRPr="00382937">
        <w:t xml:space="preserve">Zhao, D., Zhang, B., Shen, W., Wu, M., Guan, Y., Wu, J., Zhang, Z., &amp; Zhu, J. (2021). High industrial solid waste road base course binder: Performance regulation, hydration characteristics and practical application. Journal of Cleaner Production, 313, 127879. </w:t>
      </w:r>
      <w:hyperlink r:id="rId50" w:history="1">
        <w:r w:rsidRPr="00382937">
          <w:rPr>
            <w:rStyle w:val="Hyperlink"/>
            <w:lang w:val="fr-FR"/>
          </w:rPr>
          <w:t>https://doi.org/10.1016/j.jclepro.2021.127879</w:t>
        </w:r>
      </w:hyperlink>
    </w:p>
    <w:p w14:paraId="3A650916" w14:textId="31A8DE57" w:rsidR="00382937" w:rsidRDefault="00382937" w:rsidP="004E2FE6">
      <w:pPr>
        <w:pStyle w:val="Body"/>
        <w:numPr>
          <w:ilvl w:val="0"/>
          <w:numId w:val="33"/>
        </w:numPr>
        <w:rPr>
          <w:lang w:val="en-IN"/>
        </w:rPr>
      </w:pPr>
      <w:proofErr w:type="spellStart"/>
      <w:r w:rsidRPr="00382937">
        <w:rPr>
          <w:lang w:val="fr-FR"/>
        </w:rPr>
        <w:t>Zhen</w:t>
      </w:r>
      <w:proofErr w:type="spellEnd"/>
      <w:r w:rsidRPr="00382937">
        <w:rPr>
          <w:lang w:val="fr-FR"/>
        </w:rPr>
        <w:t xml:space="preserve">, H., Shi, H., Zhang, W., Ma, S., Gao, F., &amp; Ma, M. (2022). </w:t>
      </w:r>
      <w:r w:rsidRPr="00382937">
        <w:rPr>
          <w:lang w:val="en-IN"/>
        </w:rPr>
        <w:t xml:space="preserve">Expansive soil embankment filling and cutting treatment technology: A systematic review. Advances in Materials Science and Engineering </w:t>
      </w:r>
      <w:hyperlink r:id="rId51" w:history="1">
        <w:r w:rsidRPr="00F22A9D">
          <w:rPr>
            <w:rStyle w:val="Hyperlink"/>
            <w:lang w:val="en-IN"/>
          </w:rPr>
          <w:t>https://doi.org/10.1155/2022/4045620</w:t>
        </w:r>
      </w:hyperlink>
    </w:p>
    <w:p w14:paraId="4EB3F916" w14:textId="78CBB82A" w:rsidR="009D33BA" w:rsidRPr="009D33BA" w:rsidRDefault="009D33BA" w:rsidP="004E2FE6">
      <w:pPr>
        <w:pStyle w:val="Body"/>
        <w:numPr>
          <w:ilvl w:val="0"/>
          <w:numId w:val="33"/>
        </w:numPr>
      </w:pPr>
      <w:r w:rsidRPr="009D33BA">
        <w:t xml:space="preserve">Zhu, M., Leo, C., Zeng, Q., Fanna, D. J., Hsi, J., Karimi, R., Fabbri, A., </w:t>
      </w:r>
      <w:proofErr w:type="spellStart"/>
      <w:r w:rsidRPr="009D33BA">
        <w:t>Liyanapathirana</w:t>
      </w:r>
      <w:proofErr w:type="spellEnd"/>
      <w:r w:rsidRPr="009D33BA">
        <w:t xml:space="preserve">, S., Hu, P., &amp; </w:t>
      </w:r>
      <w:proofErr w:type="spellStart"/>
      <w:r w:rsidRPr="009D33BA">
        <w:t>Alzghool</w:t>
      </w:r>
      <w:proofErr w:type="spellEnd"/>
      <w:r w:rsidRPr="009D33BA">
        <w:t xml:space="preserve">, H. (2025). Efficacy of expansive soil </w:t>
      </w:r>
      <w:proofErr w:type="spellStart"/>
      <w:r w:rsidRPr="009D33BA">
        <w:t>stabilisation</w:t>
      </w:r>
      <w:proofErr w:type="spellEnd"/>
      <w:r w:rsidRPr="009D33BA">
        <w:t xml:space="preserve"> using un-calcinated Kaolinite-Based Alkali-Activated binders. </w:t>
      </w:r>
      <w:r w:rsidRPr="009D33BA">
        <w:rPr>
          <w:i/>
          <w:iCs/>
        </w:rPr>
        <w:t>Cleaner Materials</w:t>
      </w:r>
      <w:r w:rsidRPr="009D33BA">
        <w:t xml:space="preserve">, </w:t>
      </w:r>
      <w:r w:rsidRPr="009D33BA">
        <w:rPr>
          <w:i/>
          <w:iCs/>
        </w:rPr>
        <w:t>16</w:t>
      </w:r>
      <w:r w:rsidRPr="009D33BA">
        <w:t>, 100315. https://doi.org/10.1016/j.clema.2025.100315</w:t>
      </w:r>
    </w:p>
    <w:p w14:paraId="51F14FC3" w14:textId="77777777" w:rsidR="004D4277" w:rsidRDefault="001D1C2B" w:rsidP="004E2FE6">
      <w:pPr>
        <w:pStyle w:val="Appendix"/>
        <w:numPr>
          <w:ilvl w:val="0"/>
          <w:numId w:val="33"/>
        </w:numPr>
        <w:spacing w:after="0"/>
        <w:jc w:val="both"/>
        <w:rPr>
          <w:b w:val="0"/>
          <w:caps w:val="0"/>
          <w:sz w:val="20"/>
        </w:rPr>
      </w:pPr>
      <w:proofErr w:type="spellStart"/>
      <w:r w:rsidRPr="001D1C2B">
        <w:rPr>
          <w:b w:val="0"/>
          <w:caps w:val="0"/>
          <w:sz w:val="20"/>
        </w:rPr>
        <w:t>Zolkepli</w:t>
      </w:r>
      <w:proofErr w:type="spellEnd"/>
      <w:r w:rsidRPr="001D1C2B">
        <w:rPr>
          <w:b w:val="0"/>
          <w:caps w:val="0"/>
          <w:sz w:val="20"/>
        </w:rPr>
        <w:t xml:space="preserve">, M. F., Ishak, M. F., &amp; </w:t>
      </w:r>
      <w:proofErr w:type="spellStart"/>
      <w:r w:rsidRPr="001D1C2B">
        <w:rPr>
          <w:b w:val="0"/>
          <w:caps w:val="0"/>
          <w:sz w:val="20"/>
        </w:rPr>
        <w:t>Zaini</w:t>
      </w:r>
      <w:proofErr w:type="spellEnd"/>
      <w:r w:rsidRPr="001D1C2B">
        <w:rPr>
          <w:b w:val="0"/>
          <w:caps w:val="0"/>
          <w:sz w:val="20"/>
        </w:rPr>
        <w:t xml:space="preserve">, M. S. I. (2019). Slope stability analysis using modified </w:t>
      </w:r>
      <w:proofErr w:type="spellStart"/>
      <w:r w:rsidRPr="001D1C2B">
        <w:rPr>
          <w:b w:val="0"/>
          <w:caps w:val="0"/>
          <w:sz w:val="20"/>
        </w:rPr>
        <w:t>Fellenius's</w:t>
      </w:r>
      <w:proofErr w:type="spellEnd"/>
      <w:r w:rsidRPr="001D1C2B">
        <w:rPr>
          <w:b w:val="0"/>
          <w:caps w:val="0"/>
          <w:sz w:val="20"/>
        </w:rPr>
        <w:t xml:space="preserve"> and Bishop's method. IOP Conference Series: Materials Science and Engineering, 527(1), 012004. https://doi.org/10.1088/1757-899X/527/1/012004</w:t>
      </w:r>
    </w:p>
    <w:p w14:paraId="1DDED953" w14:textId="4E6348EB" w:rsidR="001D1C2B" w:rsidRPr="00FB3A86" w:rsidRDefault="001D1C2B" w:rsidP="00382937">
      <w:pPr>
        <w:pStyle w:val="Appendix"/>
        <w:spacing w:after="0"/>
        <w:jc w:val="both"/>
        <w:rPr>
          <w:rFonts w:ascii="Arial" w:hAnsi="Arial" w:cs="Arial"/>
          <w:b w:val="0"/>
        </w:rPr>
        <w:sectPr w:rsidR="001D1C2B" w:rsidRPr="00FB3A86" w:rsidSect="00D335FF">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094408AB" w14:textId="77777777" w:rsidR="00B01FCD" w:rsidRPr="00FB3A86" w:rsidRDefault="00B01FCD" w:rsidP="00441B6F">
      <w:pPr>
        <w:pStyle w:val="Appendix"/>
        <w:spacing w:after="0"/>
        <w:jc w:val="both"/>
        <w:rPr>
          <w:rFonts w:ascii="Arial" w:hAnsi="Arial" w:cs="Arial"/>
          <w:b w:val="0"/>
        </w:rPr>
      </w:pPr>
    </w:p>
    <w:sectPr w:rsidR="00B01FCD" w:rsidRPr="00FB3A86" w:rsidSect="00D335F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9660B" w14:textId="77777777" w:rsidR="00AA5CED" w:rsidRDefault="00AA5CED" w:rsidP="00C37E61">
      <w:r>
        <w:separator/>
      </w:r>
    </w:p>
  </w:endnote>
  <w:endnote w:type="continuationSeparator" w:id="0">
    <w:p w14:paraId="542E1A8D" w14:textId="77777777" w:rsidR="00AA5CED" w:rsidRDefault="00AA5C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9513" w14:textId="77777777" w:rsidR="00CB289A" w:rsidRDefault="00CB2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8A11" w14:textId="77777777" w:rsidR="00CB289A" w:rsidRDefault="00CB28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98E3" w14:textId="677DC290" w:rsidR="00CB289A" w:rsidRPr="002D01C4" w:rsidRDefault="00CB289A" w:rsidP="002D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E299" w14:textId="77777777" w:rsidR="00CB289A" w:rsidRPr="00C37E61" w:rsidRDefault="00CB289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736E3" w14:textId="77777777" w:rsidR="00AA5CED" w:rsidRDefault="00AA5CED" w:rsidP="00C37E61">
      <w:r>
        <w:separator/>
      </w:r>
    </w:p>
  </w:footnote>
  <w:footnote w:type="continuationSeparator" w:id="0">
    <w:p w14:paraId="1E594462" w14:textId="77777777" w:rsidR="00AA5CED" w:rsidRDefault="00AA5C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B6D11" w14:textId="7E394915" w:rsidR="00CB289A" w:rsidRDefault="00AA5CED">
    <w:pPr>
      <w:pStyle w:val="Header"/>
    </w:pPr>
    <w:r>
      <w:rPr>
        <w:noProof/>
      </w:rPr>
      <w:pict w14:anchorId="6111A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651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24F2" w14:textId="6401A22A" w:rsidR="00CB289A" w:rsidRDefault="00AA5CED">
    <w:pPr>
      <w:pStyle w:val="Header"/>
    </w:pPr>
    <w:r>
      <w:rPr>
        <w:noProof/>
      </w:rPr>
      <w:pict w14:anchorId="76BA4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651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246D" w14:textId="5E59556C" w:rsidR="00CB289A" w:rsidRPr="00296529" w:rsidRDefault="00AA5CED" w:rsidP="00296529">
    <w:pPr>
      <w:ind w:left="2160"/>
      <w:jc w:val="center"/>
      <w:rPr>
        <w:rFonts w:ascii="Times New Roman" w:eastAsia="Calibri" w:hAnsi="Times New Roman"/>
        <w:i/>
        <w:sz w:val="18"/>
        <w:szCs w:val="22"/>
      </w:rPr>
    </w:pPr>
    <w:r>
      <w:rPr>
        <w:noProof/>
      </w:rPr>
      <w:pict w14:anchorId="0FD0F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651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21252A" w14:textId="77777777" w:rsidR="00CB289A" w:rsidRPr="00296529" w:rsidRDefault="00CB289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9BA59B" w14:textId="77777777" w:rsidR="00CB289A" w:rsidRPr="00296529" w:rsidRDefault="00CB28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22D1422" w14:textId="77777777" w:rsidR="00CB289A" w:rsidRPr="00296529" w:rsidRDefault="00CB289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6A3A9C" w14:textId="77777777" w:rsidR="00CB289A" w:rsidRDefault="00CB289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575FD8" w14:textId="77777777" w:rsidR="00CB289A" w:rsidRDefault="00CB289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04ADE5" w14:textId="77777777" w:rsidR="00CB289A" w:rsidRDefault="00CB28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77B8" w14:textId="583168F7" w:rsidR="00CB289A" w:rsidRDefault="00AA5CED">
    <w:pPr>
      <w:pStyle w:val="Header"/>
    </w:pPr>
    <w:r>
      <w:rPr>
        <w:noProof/>
      </w:rPr>
      <w:pict w14:anchorId="62D31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651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1C02" w14:textId="51B429BB" w:rsidR="00CB289A" w:rsidRDefault="00AA5CED">
    <w:pPr>
      <w:pStyle w:val="Header"/>
    </w:pPr>
    <w:r>
      <w:rPr>
        <w:noProof/>
      </w:rPr>
      <w:pict w14:anchorId="617B4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651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084C" w14:textId="18DFF2FE" w:rsidR="00CB289A" w:rsidRDefault="00AA5CED">
    <w:pPr>
      <w:pStyle w:val="Header"/>
    </w:pPr>
    <w:r>
      <w:rPr>
        <w:noProof/>
      </w:rPr>
      <w:pict w14:anchorId="49493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651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DC2B62"/>
    <w:multiLevelType w:val="hybridMultilevel"/>
    <w:tmpl w:val="09380B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BE64EF"/>
    <w:multiLevelType w:val="hybridMultilevel"/>
    <w:tmpl w:val="E2846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086011"/>
    <w:multiLevelType w:val="multilevel"/>
    <w:tmpl w:val="6E72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8"/>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1"/>
  </w:num>
  <w:num w:numId="31">
    <w:abstractNumId w:val="7"/>
  </w:num>
  <w:num w:numId="32">
    <w:abstractNumId w:val="2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AAA"/>
    <w:rsid w:val="00030174"/>
    <w:rsid w:val="0004579C"/>
    <w:rsid w:val="00067B06"/>
    <w:rsid w:val="000A47FA"/>
    <w:rsid w:val="000A65D3"/>
    <w:rsid w:val="000B1E33"/>
    <w:rsid w:val="000D689F"/>
    <w:rsid w:val="000D7B0C"/>
    <w:rsid w:val="000E1C70"/>
    <w:rsid w:val="000E7B7B"/>
    <w:rsid w:val="000E7D62"/>
    <w:rsid w:val="00103357"/>
    <w:rsid w:val="00123C9F"/>
    <w:rsid w:val="00126190"/>
    <w:rsid w:val="00130F17"/>
    <w:rsid w:val="001320BF"/>
    <w:rsid w:val="00163BC4"/>
    <w:rsid w:val="00183619"/>
    <w:rsid w:val="00191062"/>
    <w:rsid w:val="00192B72"/>
    <w:rsid w:val="001A29D8"/>
    <w:rsid w:val="001A5CAA"/>
    <w:rsid w:val="001B0427"/>
    <w:rsid w:val="001D1C2B"/>
    <w:rsid w:val="001D3A51"/>
    <w:rsid w:val="001E10D2"/>
    <w:rsid w:val="001E25B4"/>
    <w:rsid w:val="001E44FE"/>
    <w:rsid w:val="001F4504"/>
    <w:rsid w:val="00200595"/>
    <w:rsid w:val="00204835"/>
    <w:rsid w:val="002204B8"/>
    <w:rsid w:val="00231920"/>
    <w:rsid w:val="0023195C"/>
    <w:rsid w:val="0024282C"/>
    <w:rsid w:val="002460DC"/>
    <w:rsid w:val="00247A36"/>
    <w:rsid w:val="00250985"/>
    <w:rsid w:val="002556F6"/>
    <w:rsid w:val="00283105"/>
    <w:rsid w:val="00284C4C"/>
    <w:rsid w:val="00287E68"/>
    <w:rsid w:val="00296529"/>
    <w:rsid w:val="002B27FB"/>
    <w:rsid w:val="002B685A"/>
    <w:rsid w:val="002C57D2"/>
    <w:rsid w:val="002D01C4"/>
    <w:rsid w:val="002E0D56"/>
    <w:rsid w:val="002F67A6"/>
    <w:rsid w:val="00315186"/>
    <w:rsid w:val="00316BA5"/>
    <w:rsid w:val="0033343E"/>
    <w:rsid w:val="003512C2"/>
    <w:rsid w:val="00371FB6"/>
    <w:rsid w:val="003763C1"/>
    <w:rsid w:val="00376BBE"/>
    <w:rsid w:val="00382937"/>
    <w:rsid w:val="0039224F"/>
    <w:rsid w:val="0039248C"/>
    <w:rsid w:val="003A43A4"/>
    <w:rsid w:val="003A7E18"/>
    <w:rsid w:val="003C4C86"/>
    <w:rsid w:val="003C6258"/>
    <w:rsid w:val="003D5BA5"/>
    <w:rsid w:val="003E2904"/>
    <w:rsid w:val="00401927"/>
    <w:rsid w:val="0041027F"/>
    <w:rsid w:val="00412475"/>
    <w:rsid w:val="00423789"/>
    <w:rsid w:val="00440F43"/>
    <w:rsid w:val="00441B6F"/>
    <w:rsid w:val="00446221"/>
    <w:rsid w:val="00450E62"/>
    <w:rsid w:val="004539DB"/>
    <w:rsid w:val="00471A80"/>
    <w:rsid w:val="004D00ED"/>
    <w:rsid w:val="004D305E"/>
    <w:rsid w:val="004D4277"/>
    <w:rsid w:val="004E2FE6"/>
    <w:rsid w:val="00502516"/>
    <w:rsid w:val="00505F06"/>
    <w:rsid w:val="00506828"/>
    <w:rsid w:val="00526BE2"/>
    <w:rsid w:val="0053056E"/>
    <w:rsid w:val="00551098"/>
    <w:rsid w:val="00554FDA"/>
    <w:rsid w:val="00561902"/>
    <w:rsid w:val="005A340B"/>
    <w:rsid w:val="005C5319"/>
    <w:rsid w:val="005C54E3"/>
    <w:rsid w:val="005C784C"/>
    <w:rsid w:val="005D17F6"/>
    <w:rsid w:val="005E5539"/>
    <w:rsid w:val="00602BF5"/>
    <w:rsid w:val="00615503"/>
    <w:rsid w:val="00617FDD"/>
    <w:rsid w:val="00633614"/>
    <w:rsid w:val="00633F68"/>
    <w:rsid w:val="00636EB2"/>
    <w:rsid w:val="006375B8"/>
    <w:rsid w:val="006416FE"/>
    <w:rsid w:val="0066510A"/>
    <w:rsid w:val="006737DA"/>
    <w:rsid w:val="00673F9F"/>
    <w:rsid w:val="00686953"/>
    <w:rsid w:val="00687DEA"/>
    <w:rsid w:val="00687E67"/>
    <w:rsid w:val="00693426"/>
    <w:rsid w:val="006967F7"/>
    <w:rsid w:val="006A250C"/>
    <w:rsid w:val="006B21D3"/>
    <w:rsid w:val="006B57D0"/>
    <w:rsid w:val="006C09F7"/>
    <w:rsid w:val="006D30FF"/>
    <w:rsid w:val="006D6940"/>
    <w:rsid w:val="006E401F"/>
    <w:rsid w:val="006F11EC"/>
    <w:rsid w:val="0070082C"/>
    <w:rsid w:val="00724629"/>
    <w:rsid w:val="007369E6"/>
    <w:rsid w:val="00746E59"/>
    <w:rsid w:val="00747134"/>
    <w:rsid w:val="00754C9A"/>
    <w:rsid w:val="0075599A"/>
    <w:rsid w:val="00761D52"/>
    <w:rsid w:val="0077749E"/>
    <w:rsid w:val="00790ADA"/>
    <w:rsid w:val="007B199D"/>
    <w:rsid w:val="007D2288"/>
    <w:rsid w:val="007E088F"/>
    <w:rsid w:val="007E7400"/>
    <w:rsid w:val="007F7B32"/>
    <w:rsid w:val="00804BC2"/>
    <w:rsid w:val="0081103D"/>
    <w:rsid w:val="0081431A"/>
    <w:rsid w:val="008207EB"/>
    <w:rsid w:val="008208D3"/>
    <w:rsid w:val="0083216F"/>
    <w:rsid w:val="008574FA"/>
    <w:rsid w:val="00860000"/>
    <w:rsid w:val="00863BD3"/>
    <w:rsid w:val="008641ED"/>
    <w:rsid w:val="00866D66"/>
    <w:rsid w:val="008671C6"/>
    <w:rsid w:val="00875803"/>
    <w:rsid w:val="008B459E"/>
    <w:rsid w:val="008E13AE"/>
    <w:rsid w:val="008E1506"/>
    <w:rsid w:val="008E710C"/>
    <w:rsid w:val="008F61C2"/>
    <w:rsid w:val="008F69D6"/>
    <w:rsid w:val="00902823"/>
    <w:rsid w:val="00915CA6"/>
    <w:rsid w:val="00927834"/>
    <w:rsid w:val="009500A6"/>
    <w:rsid w:val="00957C18"/>
    <w:rsid w:val="009659BA"/>
    <w:rsid w:val="00983040"/>
    <w:rsid w:val="009B3FB9"/>
    <w:rsid w:val="009C2465"/>
    <w:rsid w:val="009D2736"/>
    <w:rsid w:val="009D2D68"/>
    <w:rsid w:val="009D33BA"/>
    <w:rsid w:val="009D35A0"/>
    <w:rsid w:val="009D7EB7"/>
    <w:rsid w:val="009E048A"/>
    <w:rsid w:val="009E08E9"/>
    <w:rsid w:val="009E3DB9"/>
    <w:rsid w:val="009E46B7"/>
    <w:rsid w:val="009E6E35"/>
    <w:rsid w:val="009F0EDA"/>
    <w:rsid w:val="00A03B96"/>
    <w:rsid w:val="00A05B19"/>
    <w:rsid w:val="00A1134E"/>
    <w:rsid w:val="00A24E7E"/>
    <w:rsid w:val="00A258C3"/>
    <w:rsid w:val="00A347C0"/>
    <w:rsid w:val="00A51431"/>
    <w:rsid w:val="00A539AD"/>
    <w:rsid w:val="00A56F40"/>
    <w:rsid w:val="00A82DF2"/>
    <w:rsid w:val="00A94063"/>
    <w:rsid w:val="00A95154"/>
    <w:rsid w:val="00AA5CED"/>
    <w:rsid w:val="00AA6219"/>
    <w:rsid w:val="00AA74E0"/>
    <w:rsid w:val="00AB703F"/>
    <w:rsid w:val="00AC6BB8"/>
    <w:rsid w:val="00AE008F"/>
    <w:rsid w:val="00AF1591"/>
    <w:rsid w:val="00B01FCD"/>
    <w:rsid w:val="00B1776C"/>
    <w:rsid w:val="00B17FD1"/>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00E3"/>
    <w:rsid w:val="00C70F1B"/>
    <w:rsid w:val="00C71A47"/>
    <w:rsid w:val="00C7464C"/>
    <w:rsid w:val="00C85588"/>
    <w:rsid w:val="00CB289A"/>
    <w:rsid w:val="00CD6755"/>
    <w:rsid w:val="00CD6856"/>
    <w:rsid w:val="00CE0089"/>
    <w:rsid w:val="00CE793C"/>
    <w:rsid w:val="00CF193C"/>
    <w:rsid w:val="00CF27F9"/>
    <w:rsid w:val="00D00695"/>
    <w:rsid w:val="00D14524"/>
    <w:rsid w:val="00D173F1"/>
    <w:rsid w:val="00D335FF"/>
    <w:rsid w:val="00D54AC0"/>
    <w:rsid w:val="00D7404D"/>
    <w:rsid w:val="00D74CB0"/>
    <w:rsid w:val="00D8295D"/>
    <w:rsid w:val="00D849ED"/>
    <w:rsid w:val="00DB0D48"/>
    <w:rsid w:val="00DC2A65"/>
    <w:rsid w:val="00DC3807"/>
    <w:rsid w:val="00DC576B"/>
    <w:rsid w:val="00DD2A60"/>
    <w:rsid w:val="00DE15F0"/>
    <w:rsid w:val="00DE5663"/>
    <w:rsid w:val="00DE5759"/>
    <w:rsid w:val="00DE78AA"/>
    <w:rsid w:val="00DF1670"/>
    <w:rsid w:val="00E053D0"/>
    <w:rsid w:val="00E06A8E"/>
    <w:rsid w:val="00E15994"/>
    <w:rsid w:val="00E3114E"/>
    <w:rsid w:val="00E31A70"/>
    <w:rsid w:val="00E35B02"/>
    <w:rsid w:val="00E5371B"/>
    <w:rsid w:val="00E663B5"/>
    <w:rsid w:val="00E66496"/>
    <w:rsid w:val="00E66B35"/>
    <w:rsid w:val="00E66E10"/>
    <w:rsid w:val="00E769F6"/>
    <w:rsid w:val="00E83D2C"/>
    <w:rsid w:val="00E8407C"/>
    <w:rsid w:val="00E84F3C"/>
    <w:rsid w:val="00EA012C"/>
    <w:rsid w:val="00EC143E"/>
    <w:rsid w:val="00EC6A55"/>
    <w:rsid w:val="00ED0288"/>
    <w:rsid w:val="00EE52CB"/>
    <w:rsid w:val="00EF581D"/>
    <w:rsid w:val="00EF7FD8"/>
    <w:rsid w:val="00F06F59"/>
    <w:rsid w:val="00F17988"/>
    <w:rsid w:val="00F469F0"/>
    <w:rsid w:val="00F53273"/>
    <w:rsid w:val="00F72D6C"/>
    <w:rsid w:val="00F755E4"/>
    <w:rsid w:val="00F77D02"/>
    <w:rsid w:val="00F819E6"/>
    <w:rsid w:val="00F9219D"/>
    <w:rsid w:val="00FB3A86"/>
    <w:rsid w:val="00FC2BD8"/>
    <w:rsid w:val="00FD36C8"/>
    <w:rsid w:val="00FF5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0864514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8361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737DA"/>
    <w:pPr>
      <w:ind w:left="720"/>
      <w:contextualSpacing/>
    </w:pPr>
  </w:style>
  <w:style w:type="paragraph" w:styleId="BodyText">
    <w:name w:val="Body Text"/>
    <w:basedOn w:val="Normal"/>
    <w:link w:val="BodyTextChar"/>
    <w:semiHidden/>
    <w:unhideWhenUsed/>
    <w:rsid w:val="006737DA"/>
    <w:pPr>
      <w:spacing w:after="120"/>
    </w:pPr>
  </w:style>
  <w:style w:type="character" w:customStyle="1" w:styleId="BodyTextChar">
    <w:name w:val="Body Text Char"/>
    <w:basedOn w:val="DefaultParagraphFont"/>
    <w:link w:val="BodyText"/>
    <w:semiHidden/>
    <w:rsid w:val="006737DA"/>
    <w:rPr>
      <w:rFonts w:ascii="Helvetica" w:hAnsi="Helvetica"/>
    </w:rPr>
  </w:style>
  <w:style w:type="table" w:styleId="PlainTable2">
    <w:name w:val="Plain Table 2"/>
    <w:basedOn w:val="TableNormal"/>
    <w:uiPriority w:val="42"/>
    <w:rsid w:val="00561902"/>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semiHidden/>
    <w:rsid w:val="00183619"/>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7404D"/>
    <w:rPr>
      <w:b/>
      <w:bCs/>
    </w:rPr>
  </w:style>
  <w:style w:type="paragraph" w:styleId="NormalWeb">
    <w:name w:val="Normal (Web)"/>
    <w:basedOn w:val="Normal"/>
    <w:uiPriority w:val="99"/>
    <w:semiHidden/>
    <w:unhideWhenUsed/>
    <w:rsid w:val="007B199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51495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189342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5231891">
      <w:bodyDiv w:val="1"/>
      <w:marLeft w:val="0"/>
      <w:marRight w:val="0"/>
      <w:marTop w:val="0"/>
      <w:marBottom w:val="0"/>
      <w:divBdr>
        <w:top w:val="none" w:sz="0" w:space="0" w:color="auto"/>
        <w:left w:val="none" w:sz="0" w:space="0" w:color="auto"/>
        <w:bottom w:val="none" w:sz="0" w:space="0" w:color="auto"/>
        <w:right w:val="none" w:sz="0" w:space="0" w:color="auto"/>
      </w:divBdr>
    </w:div>
    <w:div w:id="284963829">
      <w:bodyDiv w:val="1"/>
      <w:marLeft w:val="0"/>
      <w:marRight w:val="0"/>
      <w:marTop w:val="0"/>
      <w:marBottom w:val="0"/>
      <w:divBdr>
        <w:top w:val="none" w:sz="0" w:space="0" w:color="auto"/>
        <w:left w:val="none" w:sz="0" w:space="0" w:color="auto"/>
        <w:bottom w:val="none" w:sz="0" w:space="0" w:color="auto"/>
        <w:right w:val="none" w:sz="0" w:space="0" w:color="auto"/>
      </w:divBdr>
    </w:div>
    <w:div w:id="291860921">
      <w:bodyDiv w:val="1"/>
      <w:marLeft w:val="0"/>
      <w:marRight w:val="0"/>
      <w:marTop w:val="0"/>
      <w:marBottom w:val="0"/>
      <w:divBdr>
        <w:top w:val="none" w:sz="0" w:space="0" w:color="auto"/>
        <w:left w:val="none" w:sz="0" w:space="0" w:color="auto"/>
        <w:bottom w:val="none" w:sz="0" w:space="0" w:color="auto"/>
        <w:right w:val="none" w:sz="0" w:space="0" w:color="auto"/>
      </w:divBdr>
    </w:div>
    <w:div w:id="458302648">
      <w:bodyDiv w:val="1"/>
      <w:marLeft w:val="0"/>
      <w:marRight w:val="0"/>
      <w:marTop w:val="0"/>
      <w:marBottom w:val="0"/>
      <w:divBdr>
        <w:top w:val="none" w:sz="0" w:space="0" w:color="auto"/>
        <w:left w:val="none" w:sz="0" w:space="0" w:color="auto"/>
        <w:bottom w:val="none" w:sz="0" w:space="0" w:color="auto"/>
        <w:right w:val="none" w:sz="0" w:space="0" w:color="auto"/>
      </w:divBdr>
    </w:div>
    <w:div w:id="462191290">
      <w:bodyDiv w:val="1"/>
      <w:marLeft w:val="0"/>
      <w:marRight w:val="0"/>
      <w:marTop w:val="0"/>
      <w:marBottom w:val="0"/>
      <w:divBdr>
        <w:top w:val="none" w:sz="0" w:space="0" w:color="auto"/>
        <w:left w:val="none" w:sz="0" w:space="0" w:color="auto"/>
        <w:bottom w:val="none" w:sz="0" w:space="0" w:color="auto"/>
        <w:right w:val="none" w:sz="0" w:space="0" w:color="auto"/>
      </w:divBdr>
    </w:div>
    <w:div w:id="56888102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4629097">
      <w:bodyDiv w:val="1"/>
      <w:marLeft w:val="0"/>
      <w:marRight w:val="0"/>
      <w:marTop w:val="0"/>
      <w:marBottom w:val="0"/>
      <w:divBdr>
        <w:top w:val="none" w:sz="0" w:space="0" w:color="auto"/>
        <w:left w:val="none" w:sz="0" w:space="0" w:color="auto"/>
        <w:bottom w:val="none" w:sz="0" w:space="0" w:color="auto"/>
        <w:right w:val="none" w:sz="0" w:space="0" w:color="auto"/>
      </w:divBdr>
    </w:div>
    <w:div w:id="76568702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49466068">
      <w:bodyDiv w:val="1"/>
      <w:marLeft w:val="0"/>
      <w:marRight w:val="0"/>
      <w:marTop w:val="0"/>
      <w:marBottom w:val="0"/>
      <w:divBdr>
        <w:top w:val="none" w:sz="0" w:space="0" w:color="auto"/>
        <w:left w:val="none" w:sz="0" w:space="0" w:color="auto"/>
        <w:bottom w:val="none" w:sz="0" w:space="0" w:color="auto"/>
        <w:right w:val="none" w:sz="0" w:space="0" w:color="auto"/>
      </w:divBdr>
    </w:div>
    <w:div w:id="15189310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8986666">
      <w:bodyDiv w:val="1"/>
      <w:marLeft w:val="0"/>
      <w:marRight w:val="0"/>
      <w:marTop w:val="0"/>
      <w:marBottom w:val="0"/>
      <w:divBdr>
        <w:top w:val="none" w:sz="0" w:space="0" w:color="auto"/>
        <w:left w:val="none" w:sz="0" w:space="0" w:color="auto"/>
        <w:bottom w:val="none" w:sz="0" w:space="0" w:color="auto"/>
        <w:right w:val="none" w:sz="0" w:space="0" w:color="auto"/>
      </w:divBdr>
    </w:div>
    <w:div w:id="181556547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oi.org/10.1088/1755-1315/682/1/012017" TargetMode="External"/><Relationship Id="rId39" Type="http://schemas.openxmlformats.org/officeDocument/2006/relationships/hyperlink" Target="https://doi.org/10.1061/(ASCE)GT.1943-5606.0002206" TargetMode="External"/><Relationship Id="rId21" Type="http://schemas.openxmlformats.org/officeDocument/2006/relationships/image" Target="media/image7.png"/><Relationship Id="rId34" Type="http://schemas.openxmlformats.org/officeDocument/2006/relationships/hyperlink" Target="https://doi.org/10.33971/bjes.23.1.2" TargetMode="External"/><Relationship Id="rId42" Type="http://schemas.openxmlformats.org/officeDocument/2006/relationships/hyperlink" Target="https://doi.org/10.1016/j.conbuildmat.2023.132435" TargetMode="External"/><Relationship Id="rId47" Type="http://schemas.openxmlformats.org/officeDocument/2006/relationships/hyperlink" Target="https://doi.org/10.30880/ijscet.2023.14.04.025" TargetMode="External"/><Relationship Id="rId50" Type="http://schemas.openxmlformats.org/officeDocument/2006/relationships/hyperlink" Target="https://doi.org/10.1016/j.jclepro.2021.127879"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j.jmrt.2021.07.023" TargetMode="External"/><Relationship Id="rId11" Type="http://schemas.openxmlformats.org/officeDocument/2006/relationships/footer" Target="footer2.xml"/><Relationship Id="rId24" Type="http://schemas.openxmlformats.org/officeDocument/2006/relationships/hyperlink" Target="https://doi.org/10.1016/j.cscm.2023.e01983" TargetMode="External"/><Relationship Id="rId32" Type="http://schemas.openxmlformats.org/officeDocument/2006/relationships/hyperlink" Target="https://doi.org/10.4236/ojce.2022.124036" TargetMode="External"/><Relationship Id="rId37" Type="http://schemas.openxmlformats.org/officeDocument/2006/relationships/hyperlink" Target="https://doi.org/10.1016/j.indcrop.2022.115304" TargetMode="External"/><Relationship Id="rId40" Type="http://schemas.openxmlformats.org/officeDocument/2006/relationships/hyperlink" Target="https://doi.org/10.3390/f15020327" TargetMode="External"/><Relationship Id="rId45" Type="http://schemas.openxmlformats.org/officeDocument/2006/relationships/hyperlink" Target="https://publisher.uthm.edu.my/ojs/index.php/ijie/article/view/8667"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hyperlink" Target="https://doi.org/10.1016/j.jclepro.2023.140032" TargetMode="External"/><Relationship Id="rId30" Type="http://schemas.openxmlformats.org/officeDocument/2006/relationships/hyperlink" Target="https://doi.org/10.2991/aer.k.211106.074" TargetMode="External"/><Relationship Id="rId35" Type="http://schemas.openxmlformats.org/officeDocument/2006/relationships/hyperlink" Target="https://doi.org/10.9734/cjast/2025/v44i44517" TargetMode="External"/><Relationship Id="rId43" Type="http://schemas.openxmlformats.org/officeDocument/2006/relationships/hyperlink" Target="https://doi.org/10.3208/jgssp.v10.OS-30-06" TargetMode="External"/><Relationship Id="rId48" Type="http://schemas.openxmlformats.org/officeDocument/2006/relationships/hyperlink" Target="https://doi.org/10.46604/ijeti.2023.11936"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155/2022/404562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archivepp.com/archive/volume.11/issue.2/" TargetMode="External"/><Relationship Id="rId33" Type="http://schemas.openxmlformats.org/officeDocument/2006/relationships/hyperlink" Target="https://doi.org/10.1016/j.trgeo.2021.100585" TargetMode="External"/><Relationship Id="rId38" Type="http://schemas.openxmlformats.org/officeDocument/2006/relationships/hyperlink" Target="https://doi.org/10.1061/(ASCE)GT.1943-5606.0002518" TargetMode="External"/><Relationship Id="rId46" Type="http://schemas.openxmlformats.org/officeDocument/2006/relationships/hyperlink" Target="https://doi.org/10.1016/j.cscm.2023.e01985" TargetMode="External"/><Relationship Id="rId20" Type="http://schemas.openxmlformats.org/officeDocument/2006/relationships/image" Target="media/image6.png"/><Relationship Id="rId41" Type="http://schemas.openxmlformats.org/officeDocument/2006/relationships/hyperlink" Target="https://doi.org/10.1088/2053-1591/ad51d8"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hyperlink" Target="https://doi.org/10.1016/j.conbuildmat.2022.129820" TargetMode="External"/><Relationship Id="rId36" Type="http://schemas.openxmlformats.org/officeDocument/2006/relationships/hyperlink" Target="https://doi.org/10.1016/j.foohum.2024.100264" TargetMode="External"/><Relationship Id="rId49" Type="http://schemas.openxmlformats.org/officeDocument/2006/relationships/hyperlink" Target="https://doi.org/10.1007/s11356-023-25966-x"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016/j.jrmge.2018.08.013" TargetMode="External"/><Relationship Id="rId44" Type="http://schemas.openxmlformats.org/officeDocument/2006/relationships/hyperlink" Target="https://doi.org/10.1051/matecconf/201816201027" TargetMode="External"/><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sz="900">
                <a:latin typeface="Times New Roman" panose="02020603050405020304" pitchFamily="18" charset="0"/>
                <a:ea typeface="Tahoma" panose="020B0604030504040204" pitchFamily="34" charset="0"/>
                <a:cs typeface="Times New Roman" panose="02020603050405020304" pitchFamily="18" charset="0"/>
              </a:rPr>
              <a:t>Compaction</a:t>
            </a:r>
            <a:r>
              <a:rPr lang="en-US" sz="900" baseline="0">
                <a:latin typeface="Times New Roman" panose="02020603050405020304" pitchFamily="18" charset="0"/>
                <a:ea typeface="Tahoma" panose="020B0604030504040204" pitchFamily="34" charset="0"/>
                <a:cs typeface="Times New Roman" panose="02020603050405020304" pitchFamily="18" charset="0"/>
              </a:rPr>
              <a:t> Test</a:t>
            </a:r>
            <a:endParaRPr lang="en-US" sz="900">
              <a:latin typeface="Times New Roman" panose="02020603050405020304" pitchFamily="18" charset="0"/>
              <a:ea typeface="Tahom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autoTitleDeleted val="0"/>
    <c:plotArea>
      <c:layout/>
      <c:scatterChart>
        <c:scatterStyle val="smoothMarker"/>
        <c:varyColors val="0"/>
        <c:ser>
          <c:idx val="0"/>
          <c:order val="0"/>
          <c:tx>
            <c:strRef>
              <c:f>Sheet1!$I$28</c:f>
              <c:strCache>
                <c:ptCount val="1"/>
                <c:pt idx="0">
                  <c:v>DRY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Sheet1!$H$29:$H$32</c:f>
              <c:numCache>
                <c:formatCode>General</c:formatCode>
                <c:ptCount val="4"/>
                <c:pt idx="0">
                  <c:v>21.69</c:v>
                </c:pt>
                <c:pt idx="1">
                  <c:v>23.8</c:v>
                </c:pt>
                <c:pt idx="2">
                  <c:v>25.25</c:v>
                </c:pt>
                <c:pt idx="3">
                  <c:v>31.33</c:v>
                </c:pt>
              </c:numCache>
            </c:numRef>
          </c:xVal>
          <c:yVal>
            <c:numRef>
              <c:f>Sheet1!$I$29:$I$32</c:f>
              <c:numCache>
                <c:formatCode>General</c:formatCode>
                <c:ptCount val="4"/>
                <c:pt idx="0">
                  <c:v>1.37</c:v>
                </c:pt>
                <c:pt idx="1">
                  <c:v>1.43</c:v>
                </c:pt>
                <c:pt idx="2">
                  <c:v>1.56</c:v>
                </c:pt>
                <c:pt idx="3">
                  <c:v>1.4</c:v>
                </c:pt>
              </c:numCache>
            </c:numRef>
          </c:yVal>
          <c:smooth val="1"/>
          <c:extLst>
            <c:ext xmlns:c16="http://schemas.microsoft.com/office/drawing/2014/chart" uri="{C3380CC4-5D6E-409C-BE32-E72D297353CC}">
              <c16:uniqueId val="{00000000-3B7D-43CD-A1E8-ADDA9F040D32}"/>
            </c:ext>
          </c:extLst>
        </c:ser>
        <c:dLbls>
          <c:showLegendKey val="0"/>
          <c:showVal val="0"/>
          <c:showCatName val="0"/>
          <c:showSerName val="0"/>
          <c:showPercent val="0"/>
          <c:showBubbleSize val="0"/>
        </c:dLbls>
        <c:axId val="573199432"/>
        <c:axId val="573200216"/>
      </c:scatterChart>
      <c:valAx>
        <c:axId val="573199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Moisture</a:t>
                </a:r>
                <a:r>
                  <a:rPr lang="en-US" baseline="0"/>
                  <a:t> Content%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00216"/>
        <c:crosses val="autoZero"/>
        <c:crossBetween val="midCat"/>
      </c:valAx>
      <c:valAx>
        <c:axId val="573200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Dry</a:t>
                </a:r>
                <a:r>
                  <a:rPr lang="en-US" baseline="0"/>
                  <a:t> Densitykg/m3</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1994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cap="none" spc="0" normalizeH="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CBR</a:t>
            </a:r>
          </a:p>
        </c:rich>
      </c:tx>
      <c:overlay val="0"/>
      <c:spPr>
        <a:noFill/>
        <a:ln>
          <a:noFill/>
        </a:ln>
        <a:effectLst/>
      </c:spPr>
      <c:txPr>
        <a:bodyPr rot="0" spcFirstLastPara="1" vertOverflow="ellipsis" vert="horz" wrap="square" anchor="ctr" anchorCtr="1"/>
        <a:lstStyle/>
        <a:p>
          <a:pPr>
            <a:defRPr sz="720" b="0" i="0" u="none" strike="noStrike" kern="1200" cap="none" spc="0" normalizeH="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strRef>
              <c:f>Sheet1!$A$2:$A$3</c:f>
              <c:strCache>
                <c:ptCount val="2"/>
                <c:pt idx="0">
                  <c:v>7 days</c:v>
                </c:pt>
                <c:pt idx="1">
                  <c:v>14 days</c:v>
                </c:pt>
              </c:strCache>
            </c:strRef>
          </c:cat>
          <c:val>
            <c:numRef>
              <c:f>Sheet1!$B$2:$B$3</c:f>
              <c:numCache>
                <c:formatCode>General</c:formatCode>
                <c:ptCount val="2"/>
                <c:pt idx="0">
                  <c:v>41.5</c:v>
                </c:pt>
                <c:pt idx="1">
                  <c:v>41.5</c:v>
                </c:pt>
              </c:numCache>
            </c:numRef>
          </c:val>
          <c:extLst>
            <c:ext xmlns:c16="http://schemas.microsoft.com/office/drawing/2014/chart" uri="{C3380CC4-5D6E-409C-BE32-E72D297353CC}">
              <c16:uniqueId val="{00000000-50A4-45B1-A4DD-4A86ABFE51B8}"/>
            </c:ext>
          </c:extLst>
        </c:ser>
        <c:ser>
          <c:idx val="1"/>
          <c:order val="1"/>
          <c:tx>
            <c:strRef>
              <c:f>Sheet1!$C$1</c:f>
              <c:strCache>
                <c:ptCount val="1"/>
                <c:pt idx="0">
                  <c:v>2% GA 5% SD</c:v>
                </c:pt>
              </c:strCache>
            </c:strRef>
          </c:tx>
          <c:spPr>
            <a:solidFill>
              <a:schemeClr val="accent2"/>
            </a:solidFill>
            <a:ln>
              <a:noFill/>
            </a:ln>
            <a:effectLst/>
          </c:spPr>
          <c:invertIfNegative val="0"/>
          <c:cat>
            <c:strRef>
              <c:f>Sheet1!$A$2:$A$3</c:f>
              <c:strCache>
                <c:ptCount val="2"/>
                <c:pt idx="0">
                  <c:v>7 days</c:v>
                </c:pt>
                <c:pt idx="1">
                  <c:v>14 days</c:v>
                </c:pt>
              </c:strCache>
            </c:strRef>
          </c:cat>
          <c:val>
            <c:numRef>
              <c:f>Sheet1!$C$2:$C$3</c:f>
              <c:numCache>
                <c:formatCode>General</c:formatCode>
                <c:ptCount val="2"/>
                <c:pt idx="0">
                  <c:v>3.25</c:v>
                </c:pt>
                <c:pt idx="1">
                  <c:v>5</c:v>
                </c:pt>
              </c:numCache>
            </c:numRef>
          </c:val>
          <c:extLst>
            <c:ext xmlns:c16="http://schemas.microsoft.com/office/drawing/2014/chart" uri="{C3380CC4-5D6E-409C-BE32-E72D297353CC}">
              <c16:uniqueId val="{00000001-50A4-45B1-A4DD-4A86ABFE51B8}"/>
            </c:ext>
          </c:extLst>
        </c:ser>
        <c:ser>
          <c:idx val="2"/>
          <c:order val="2"/>
          <c:tx>
            <c:strRef>
              <c:f>Sheet1!$D$1</c:f>
              <c:strCache>
                <c:ptCount val="1"/>
                <c:pt idx="0">
                  <c:v>4% GA 10% SD</c:v>
                </c:pt>
              </c:strCache>
            </c:strRef>
          </c:tx>
          <c:spPr>
            <a:solidFill>
              <a:schemeClr val="accent3"/>
            </a:solidFill>
            <a:ln>
              <a:noFill/>
            </a:ln>
            <a:effectLst/>
          </c:spPr>
          <c:invertIfNegative val="0"/>
          <c:cat>
            <c:strRef>
              <c:f>Sheet1!$A$2:$A$3</c:f>
              <c:strCache>
                <c:ptCount val="2"/>
                <c:pt idx="0">
                  <c:v>7 days</c:v>
                </c:pt>
                <c:pt idx="1">
                  <c:v>14 days</c:v>
                </c:pt>
              </c:strCache>
            </c:strRef>
          </c:cat>
          <c:val>
            <c:numRef>
              <c:f>Sheet1!$D$2:$D$3</c:f>
              <c:numCache>
                <c:formatCode>General</c:formatCode>
                <c:ptCount val="2"/>
                <c:pt idx="0">
                  <c:v>2.25</c:v>
                </c:pt>
                <c:pt idx="1">
                  <c:v>9</c:v>
                </c:pt>
              </c:numCache>
            </c:numRef>
          </c:val>
          <c:extLst>
            <c:ext xmlns:c16="http://schemas.microsoft.com/office/drawing/2014/chart" uri="{C3380CC4-5D6E-409C-BE32-E72D297353CC}">
              <c16:uniqueId val="{00000002-50A4-45B1-A4DD-4A86ABFE51B8}"/>
            </c:ext>
          </c:extLst>
        </c:ser>
        <c:ser>
          <c:idx val="3"/>
          <c:order val="3"/>
          <c:tx>
            <c:strRef>
              <c:f>Sheet1!$E$1</c:f>
              <c:strCache>
                <c:ptCount val="1"/>
                <c:pt idx="0">
                  <c:v>6% GA 15% SD</c:v>
                </c:pt>
              </c:strCache>
            </c:strRef>
          </c:tx>
          <c:spPr>
            <a:solidFill>
              <a:schemeClr val="accent4"/>
            </a:solidFill>
            <a:ln>
              <a:noFill/>
            </a:ln>
            <a:effectLst/>
          </c:spPr>
          <c:invertIfNegative val="0"/>
          <c:cat>
            <c:strRef>
              <c:f>Sheet1!$A$2:$A$3</c:f>
              <c:strCache>
                <c:ptCount val="2"/>
                <c:pt idx="0">
                  <c:v>7 days</c:v>
                </c:pt>
                <c:pt idx="1">
                  <c:v>14 days</c:v>
                </c:pt>
              </c:strCache>
            </c:strRef>
          </c:cat>
          <c:val>
            <c:numRef>
              <c:f>Sheet1!$E$2:$E$3</c:f>
              <c:numCache>
                <c:formatCode>General</c:formatCode>
                <c:ptCount val="2"/>
                <c:pt idx="0">
                  <c:v>5</c:v>
                </c:pt>
                <c:pt idx="1">
                  <c:v>4.75</c:v>
                </c:pt>
              </c:numCache>
            </c:numRef>
          </c:val>
          <c:extLst>
            <c:ext xmlns:c16="http://schemas.microsoft.com/office/drawing/2014/chart" uri="{C3380CC4-5D6E-409C-BE32-E72D297353CC}">
              <c16:uniqueId val="{00000003-50A4-45B1-A4DD-4A86ABFE51B8}"/>
            </c:ext>
          </c:extLst>
        </c:ser>
        <c:ser>
          <c:idx val="4"/>
          <c:order val="4"/>
          <c:tx>
            <c:strRef>
              <c:f>Sheet1!$F$1</c:f>
              <c:strCache>
                <c:ptCount val="1"/>
                <c:pt idx="0">
                  <c:v>8% GA 20 % SD</c:v>
                </c:pt>
              </c:strCache>
            </c:strRef>
          </c:tx>
          <c:spPr>
            <a:solidFill>
              <a:schemeClr val="accent5"/>
            </a:solidFill>
            <a:ln>
              <a:noFill/>
            </a:ln>
            <a:effectLst/>
          </c:spPr>
          <c:invertIfNegative val="0"/>
          <c:cat>
            <c:strRef>
              <c:f>Sheet1!$A$2:$A$3</c:f>
              <c:strCache>
                <c:ptCount val="2"/>
                <c:pt idx="0">
                  <c:v>7 days</c:v>
                </c:pt>
                <c:pt idx="1">
                  <c:v>14 days</c:v>
                </c:pt>
              </c:strCache>
            </c:strRef>
          </c:cat>
          <c:val>
            <c:numRef>
              <c:f>Sheet1!$F$2:$F$3</c:f>
              <c:numCache>
                <c:formatCode>General</c:formatCode>
                <c:ptCount val="2"/>
                <c:pt idx="0">
                  <c:v>5</c:v>
                </c:pt>
                <c:pt idx="1">
                  <c:v>4.75</c:v>
                </c:pt>
              </c:numCache>
            </c:numRef>
          </c:val>
          <c:extLst>
            <c:ext xmlns:c16="http://schemas.microsoft.com/office/drawing/2014/chart" uri="{C3380CC4-5D6E-409C-BE32-E72D297353CC}">
              <c16:uniqueId val="{00000004-50A4-45B1-A4DD-4A86ABFE51B8}"/>
            </c:ext>
          </c:extLst>
        </c:ser>
        <c:dLbls>
          <c:showLegendKey val="0"/>
          <c:showVal val="0"/>
          <c:showCatName val="0"/>
          <c:showSerName val="0"/>
          <c:showPercent val="0"/>
          <c:showBubbleSize val="0"/>
        </c:dLbls>
        <c:gapWidth val="199"/>
        <c:axId val="573201000"/>
        <c:axId val="573200608"/>
      </c:barChart>
      <c:catAx>
        <c:axId val="573201000"/>
        <c:scaling>
          <c:orientation val="minMax"/>
        </c:scaling>
        <c:delete val="0"/>
        <c:axPos val="b"/>
        <c:title>
          <c:tx>
            <c:rich>
              <a:bodyPr rot="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Days OF CURING </a:t>
                </a:r>
              </a:p>
            </c:rich>
          </c:tx>
          <c:overlay val="0"/>
          <c:spPr>
            <a:noFill/>
            <a:ln>
              <a:noFill/>
            </a:ln>
            <a:effectLst/>
          </c:spPr>
          <c:txPr>
            <a:bodyPr rot="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573200608"/>
        <c:crosses val="autoZero"/>
        <c:auto val="1"/>
        <c:lblAlgn val="ctr"/>
        <c:lblOffset val="100"/>
        <c:noMultiLvlLbl val="0"/>
      </c:catAx>
      <c:valAx>
        <c:axId val="573200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CBR (%)</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573201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a:t>Shear Strength</a:t>
            </a:r>
          </a:p>
        </c:rich>
      </c:tx>
      <c:overlay val="0"/>
      <c:spPr>
        <a:noFill/>
        <a:ln>
          <a:noFill/>
        </a:ln>
        <a:effectLst/>
      </c:spPr>
      <c:txPr>
        <a:bodyPr rot="0" spcFirstLastPara="1" vertOverflow="ellipsis" vert="horz" wrap="square" anchor="ctr" anchorCtr="1"/>
        <a:lstStyle/>
        <a:p>
          <a:pPr>
            <a:defRPr sz="72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Control</c:v>
                </c:pt>
              </c:strCache>
            </c:strRef>
          </c:tx>
          <c:spPr>
            <a:solidFill>
              <a:schemeClr val="accent1"/>
            </a:solidFill>
            <a:ln>
              <a:noFill/>
            </a:ln>
            <a:effectLst/>
          </c:spPr>
          <c:invertIfNegative val="0"/>
          <c:cat>
            <c:strRef>
              <c:f>Sheet1!$A$2:$A$3</c:f>
              <c:strCache>
                <c:ptCount val="2"/>
                <c:pt idx="0">
                  <c:v>7 days</c:v>
                </c:pt>
                <c:pt idx="1">
                  <c:v>14 days</c:v>
                </c:pt>
              </c:strCache>
            </c:strRef>
          </c:cat>
          <c:val>
            <c:numRef>
              <c:f>Sheet1!$B$2:$B$3</c:f>
              <c:numCache>
                <c:formatCode>General</c:formatCode>
                <c:ptCount val="2"/>
                <c:pt idx="0">
                  <c:v>24.93994</c:v>
                </c:pt>
                <c:pt idx="1">
                  <c:v>24.93994</c:v>
                </c:pt>
              </c:numCache>
            </c:numRef>
          </c:val>
          <c:extLst>
            <c:ext xmlns:c16="http://schemas.microsoft.com/office/drawing/2014/chart" uri="{C3380CC4-5D6E-409C-BE32-E72D297353CC}">
              <c16:uniqueId val="{00000000-6780-4E71-925B-4B10B8D5B974}"/>
            </c:ext>
          </c:extLst>
        </c:ser>
        <c:ser>
          <c:idx val="1"/>
          <c:order val="1"/>
          <c:tx>
            <c:strRef>
              <c:f>Sheet1!$C$1</c:f>
              <c:strCache>
                <c:ptCount val="1"/>
                <c:pt idx="0">
                  <c:v>2% GA 5% SD</c:v>
                </c:pt>
              </c:strCache>
            </c:strRef>
          </c:tx>
          <c:spPr>
            <a:solidFill>
              <a:schemeClr val="accent2"/>
            </a:solidFill>
            <a:ln>
              <a:noFill/>
            </a:ln>
            <a:effectLst/>
          </c:spPr>
          <c:invertIfNegative val="0"/>
          <c:cat>
            <c:strRef>
              <c:f>Sheet1!$A$2:$A$3</c:f>
              <c:strCache>
                <c:ptCount val="2"/>
                <c:pt idx="0">
                  <c:v>7 days</c:v>
                </c:pt>
                <c:pt idx="1">
                  <c:v>14 days</c:v>
                </c:pt>
              </c:strCache>
            </c:strRef>
          </c:cat>
          <c:val>
            <c:numRef>
              <c:f>Sheet1!$C$2:$C$3</c:f>
              <c:numCache>
                <c:formatCode>General</c:formatCode>
                <c:ptCount val="2"/>
                <c:pt idx="0">
                  <c:v>31.722819999999999</c:v>
                </c:pt>
                <c:pt idx="1">
                  <c:v>33.115859999999998</c:v>
                </c:pt>
              </c:numCache>
            </c:numRef>
          </c:val>
          <c:extLst>
            <c:ext xmlns:c16="http://schemas.microsoft.com/office/drawing/2014/chart" uri="{C3380CC4-5D6E-409C-BE32-E72D297353CC}">
              <c16:uniqueId val="{00000001-6780-4E71-925B-4B10B8D5B974}"/>
            </c:ext>
          </c:extLst>
        </c:ser>
        <c:ser>
          <c:idx val="2"/>
          <c:order val="2"/>
          <c:tx>
            <c:strRef>
              <c:f>Sheet1!$D$1</c:f>
              <c:strCache>
                <c:ptCount val="1"/>
                <c:pt idx="0">
                  <c:v>4% GA 10% SD</c:v>
                </c:pt>
              </c:strCache>
            </c:strRef>
          </c:tx>
          <c:spPr>
            <a:solidFill>
              <a:schemeClr val="accent3"/>
            </a:solidFill>
            <a:ln>
              <a:noFill/>
            </a:ln>
            <a:effectLst/>
          </c:spPr>
          <c:invertIfNegative val="0"/>
          <c:cat>
            <c:strRef>
              <c:f>Sheet1!$A$2:$A$3</c:f>
              <c:strCache>
                <c:ptCount val="2"/>
                <c:pt idx="0">
                  <c:v>7 days</c:v>
                </c:pt>
                <c:pt idx="1">
                  <c:v>14 days</c:v>
                </c:pt>
              </c:strCache>
            </c:strRef>
          </c:cat>
          <c:val>
            <c:numRef>
              <c:f>Sheet1!$D$2:$D$3</c:f>
              <c:numCache>
                <c:formatCode>General</c:formatCode>
                <c:ptCount val="2"/>
                <c:pt idx="0">
                  <c:v>27.746749999999999</c:v>
                </c:pt>
                <c:pt idx="1">
                  <c:v>28.446490000000001</c:v>
                </c:pt>
              </c:numCache>
            </c:numRef>
          </c:val>
          <c:extLst>
            <c:ext xmlns:c16="http://schemas.microsoft.com/office/drawing/2014/chart" uri="{C3380CC4-5D6E-409C-BE32-E72D297353CC}">
              <c16:uniqueId val="{00000002-6780-4E71-925B-4B10B8D5B974}"/>
            </c:ext>
          </c:extLst>
        </c:ser>
        <c:ser>
          <c:idx val="3"/>
          <c:order val="3"/>
          <c:tx>
            <c:strRef>
              <c:f>Sheet1!$E$1</c:f>
              <c:strCache>
                <c:ptCount val="1"/>
                <c:pt idx="0">
                  <c:v>6% GA 15% SD</c:v>
                </c:pt>
              </c:strCache>
            </c:strRef>
          </c:tx>
          <c:spPr>
            <a:solidFill>
              <a:schemeClr val="accent4"/>
            </a:solidFill>
            <a:ln>
              <a:noFill/>
            </a:ln>
            <a:effectLst/>
          </c:spPr>
          <c:invertIfNegative val="0"/>
          <c:cat>
            <c:strRef>
              <c:f>Sheet1!$A$2:$A$3</c:f>
              <c:strCache>
                <c:ptCount val="2"/>
                <c:pt idx="0">
                  <c:v>7 days</c:v>
                </c:pt>
                <c:pt idx="1">
                  <c:v>14 days</c:v>
                </c:pt>
              </c:strCache>
            </c:strRef>
          </c:cat>
          <c:val>
            <c:numRef>
              <c:f>Sheet1!$E$2:$E$3</c:f>
              <c:numCache>
                <c:formatCode>General</c:formatCode>
                <c:ptCount val="2"/>
                <c:pt idx="0">
                  <c:v>24.097799999999999</c:v>
                </c:pt>
                <c:pt idx="1">
                  <c:v>24.31268</c:v>
                </c:pt>
              </c:numCache>
            </c:numRef>
          </c:val>
          <c:extLst>
            <c:ext xmlns:c16="http://schemas.microsoft.com/office/drawing/2014/chart" uri="{C3380CC4-5D6E-409C-BE32-E72D297353CC}">
              <c16:uniqueId val="{00000003-6780-4E71-925B-4B10B8D5B974}"/>
            </c:ext>
          </c:extLst>
        </c:ser>
        <c:ser>
          <c:idx val="4"/>
          <c:order val="4"/>
          <c:tx>
            <c:strRef>
              <c:f>Sheet1!$F$1</c:f>
              <c:strCache>
                <c:ptCount val="1"/>
                <c:pt idx="0">
                  <c:v>8% GA 20 % SD</c:v>
                </c:pt>
              </c:strCache>
            </c:strRef>
          </c:tx>
          <c:spPr>
            <a:solidFill>
              <a:schemeClr val="accent5"/>
            </a:solidFill>
            <a:ln>
              <a:noFill/>
            </a:ln>
            <a:effectLst/>
          </c:spPr>
          <c:invertIfNegative val="0"/>
          <c:cat>
            <c:strRef>
              <c:f>Sheet1!$A$2:$A$3</c:f>
              <c:strCache>
                <c:ptCount val="2"/>
                <c:pt idx="0">
                  <c:v>7 days</c:v>
                </c:pt>
                <c:pt idx="1">
                  <c:v>14 days</c:v>
                </c:pt>
              </c:strCache>
            </c:strRef>
          </c:cat>
          <c:val>
            <c:numRef>
              <c:f>Sheet1!$F$2:$F$3</c:f>
              <c:numCache>
                <c:formatCode>General</c:formatCode>
                <c:ptCount val="2"/>
                <c:pt idx="0">
                  <c:v>24.366820000000001</c:v>
                </c:pt>
                <c:pt idx="1">
                  <c:v>28.429860000000001</c:v>
                </c:pt>
              </c:numCache>
            </c:numRef>
          </c:val>
          <c:extLst>
            <c:ext xmlns:c16="http://schemas.microsoft.com/office/drawing/2014/chart" uri="{C3380CC4-5D6E-409C-BE32-E72D297353CC}">
              <c16:uniqueId val="{00000004-6780-4E71-925B-4B10B8D5B974}"/>
            </c:ext>
          </c:extLst>
        </c:ser>
        <c:dLbls>
          <c:showLegendKey val="0"/>
          <c:showVal val="0"/>
          <c:showCatName val="0"/>
          <c:showSerName val="0"/>
          <c:showPercent val="0"/>
          <c:showBubbleSize val="0"/>
        </c:dLbls>
        <c:gapWidth val="199"/>
        <c:axId val="416148032"/>
        <c:axId val="416151560"/>
      </c:barChart>
      <c:catAx>
        <c:axId val="416148032"/>
        <c:scaling>
          <c:orientation val="minMax"/>
        </c:scaling>
        <c:delete val="0"/>
        <c:axPos val="b"/>
        <c:title>
          <c:tx>
            <c:rich>
              <a:bodyPr rot="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curing days</a:t>
                </a:r>
              </a:p>
            </c:rich>
          </c:tx>
          <c:overlay val="0"/>
          <c:spPr>
            <a:noFill/>
            <a:ln>
              <a:noFill/>
            </a:ln>
            <a:effectLst/>
          </c:spPr>
          <c:txPr>
            <a:bodyPr rot="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6151560"/>
        <c:crosses val="autoZero"/>
        <c:auto val="1"/>
        <c:lblAlgn val="ctr"/>
        <c:lblOffset val="100"/>
        <c:noMultiLvlLbl val="0"/>
      </c:catAx>
      <c:valAx>
        <c:axId val="416151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Shear strength (kN/m2)</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6148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4C074-15C9-49DB-A3EC-02DC237B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6430</TotalTime>
  <Pages>15</Pages>
  <Words>5724</Words>
  <Characters>32629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38277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49</cp:revision>
  <cp:lastPrinted>1999-07-06T11:00:00Z</cp:lastPrinted>
  <dcterms:created xsi:type="dcterms:W3CDTF">2014-10-25T14:34:00Z</dcterms:created>
  <dcterms:modified xsi:type="dcterms:W3CDTF">2025-12-29T12:46:00Z</dcterms:modified>
</cp:coreProperties>
</file>