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7ADC9" w14:textId="77777777" w:rsidR="00AD10E3" w:rsidRDefault="00B66C14" w:rsidP="00384843">
      <w:pPr>
        <w:rPr>
          <w:rFonts w:ascii="Arial" w:eastAsia="Arial" w:hAnsi="Arial" w:cs="Arial"/>
          <w:b/>
          <w:bCs/>
          <w:sz w:val="20"/>
          <w:szCs w:val="20"/>
        </w:rPr>
      </w:pPr>
      <w:r>
        <w:rPr>
          <w:rFonts w:ascii="Arial" w:eastAsia="Arial" w:hAnsi="Arial" w:cs="Arial"/>
          <w:b/>
          <w:bCs/>
          <w:sz w:val="20"/>
          <w:szCs w:val="20"/>
        </w:rPr>
        <w:t xml:space="preserve">Governance Models for Safe Deployment and Fine-Tuning of Generative AI in Enterprise Security and Data Protection </w:t>
      </w:r>
    </w:p>
    <w:p w14:paraId="56EA195E" w14:textId="77777777" w:rsidR="00AD10E3" w:rsidRDefault="00AD10E3">
      <w:pPr>
        <w:jc w:val="right"/>
        <w:rPr>
          <w:rFonts w:ascii="Arial" w:eastAsia="Arial" w:hAnsi="Arial" w:cs="Arial"/>
          <w:b/>
          <w:bCs/>
          <w:sz w:val="20"/>
          <w:szCs w:val="20"/>
        </w:rPr>
      </w:pPr>
    </w:p>
    <w:p w14:paraId="6DDC102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Abstract</w:t>
      </w:r>
    </w:p>
    <w:p w14:paraId="2E647C50" w14:textId="06A591BD" w:rsidR="00AD10E3" w:rsidRDefault="00B66C14">
      <w:pPr>
        <w:jc w:val="both"/>
        <w:rPr>
          <w:rFonts w:ascii="Arial" w:eastAsia="Arial" w:hAnsi="Arial" w:cs="Arial"/>
          <w:sz w:val="20"/>
          <w:szCs w:val="20"/>
        </w:rPr>
      </w:pPr>
      <w:r>
        <w:rPr>
          <w:rFonts w:ascii="Arial" w:eastAsia="Arial" w:hAnsi="Arial" w:cs="Arial"/>
          <w:sz w:val="20"/>
          <w:szCs w:val="20"/>
        </w:rPr>
        <w:t>Businesses are quickly implementing generative artificial intelligence in clinical, financial and operational processes. Nonetheless, the systems of governance in regard to safe deployment and fine-tuning are still disjointed. This scoping review mapped research on the empirical evidence of the generative AI governance models in enterprises that deal with sensitive data. The study used a Population-Concept-Context framework to direct the study, and findings were presented in line with the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A thorough search was performed in IEEE Xplore and the ACM Digital Library between 2015 and 2025</w:t>
      </w:r>
      <w:r w:rsidR="00267624">
        <w:rPr>
          <w:rFonts w:ascii="Arial" w:eastAsia="Arial" w:hAnsi="Arial" w:cs="Arial"/>
          <w:sz w:val="20"/>
          <w:szCs w:val="20"/>
        </w:rPr>
        <w:t>,</w:t>
      </w:r>
      <w:r>
        <w:rPr>
          <w:rFonts w:ascii="Arial" w:eastAsia="Arial" w:hAnsi="Arial" w:cs="Arial"/>
          <w:sz w:val="20"/>
          <w:szCs w:val="20"/>
        </w:rPr>
        <w:t xml:space="preserve"> and 18 eligible studies were obtained after a two-step screening.  Most of the researches were launched in the area of regulated healthcare with additional support of banking and enterprise security. Excellent governance </w:t>
      </w:r>
      <w:proofErr w:type="spellStart"/>
      <w:r>
        <w:rPr>
          <w:rFonts w:ascii="Arial" w:eastAsia="Arial" w:hAnsi="Arial" w:cs="Arial"/>
          <w:sz w:val="20"/>
          <w:szCs w:val="20"/>
        </w:rPr>
        <w:t>centres</w:t>
      </w:r>
      <w:proofErr w:type="spellEnd"/>
      <w:r>
        <w:rPr>
          <w:rFonts w:ascii="Arial" w:eastAsia="Arial" w:hAnsi="Arial" w:cs="Arial"/>
          <w:sz w:val="20"/>
          <w:szCs w:val="20"/>
        </w:rPr>
        <w:t xml:space="preserve"> on lifecycle compliance frameworks which entrench privacy-by-destruction, secure on-premise or federated fine-tuning, and alignment with regulatory obligations. It was found that domain-constrained generation and human persistence were essential to curb errors, bias, and unsafe generation. Post-deployment assurance was based on multi-layered auditing</w:t>
      </w:r>
      <w:r w:rsidR="00267624">
        <w:rPr>
          <w:rFonts w:ascii="Arial" w:eastAsia="Arial" w:hAnsi="Arial" w:cs="Arial"/>
          <w:sz w:val="20"/>
          <w:szCs w:val="20"/>
        </w:rPr>
        <w:t xml:space="preserve">, which involved adversarial testing, expert review, and continuous quality metrics </w:t>
      </w:r>
      <w:r>
        <w:rPr>
          <w:rFonts w:ascii="Arial" w:eastAsia="Arial" w:hAnsi="Arial" w:cs="Arial"/>
          <w:sz w:val="20"/>
          <w:szCs w:val="20"/>
        </w:rPr>
        <w:t>related to escalation pathways. The gaps in the evidence reported are the lack of cross-sectoral comparisons</w:t>
      </w:r>
      <w:r w:rsidR="00267624">
        <w:rPr>
          <w:rFonts w:ascii="Arial" w:eastAsia="Arial" w:hAnsi="Arial" w:cs="Arial"/>
          <w:sz w:val="20"/>
          <w:szCs w:val="20"/>
        </w:rPr>
        <w:t>, the lack of prospective evaluations,</w:t>
      </w:r>
      <w:r>
        <w:rPr>
          <w:rFonts w:ascii="Arial" w:eastAsia="Arial" w:hAnsi="Arial" w:cs="Arial"/>
          <w:sz w:val="20"/>
          <w:szCs w:val="20"/>
        </w:rPr>
        <w:t xml:space="preserve"> and poor reporting of failures or near-misses. </w:t>
      </w:r>
      <w:r w:rsidR="00267624">
        <w:rPr>
          <w:rFonts w:ascii="Arial" w:eastAsia="Arial" w:hAnsi="Arial" w:cs="Arial"/>
          <w:sz w:val="20"/>
          <w:szCs w:val="20"/>
        </w:rPr>
        <w:t>This research recommends that e</w:t>
      </w:r>
      <w:r w:rsidR="00267624" w:rsidRPr="00267624">
        <w:rPr>
          <w:rFonts w:ascii="Arial" w:eastAsia="Arial" w:hAnsi="Arial" w:cs="Arial"/>
          <w:sz w:val="20"/>
          <w:szCs w:val="20"/>
        </w:rPr>
        <w:t>nterprises and regulators handling sensitive data should</w:t>
      </w:r>
      <w:r w:rsidR="00267624">
        <w:rPr>
          <w:rFonts w:ascii="Arial" w:eastAsia="Arial" w:hAnsi="Arial" w:cs="Arial"/>
          <w:sz w:val="20"/>
          <w:szCs w:val="20"/>
        </w:rPr>
        <w:t xml:space="preserve"> mandate board-level AI governance: inventory risks, restrict deployments, and continuously audit for leakage, bias, and </w:t>
      </w:r>
      <w:r w:rsidR="00267624" w:rsidRPr="00267624">
        <w:rPr>
          <w:rFonts w:ascii="Arial" w:eastAsia="Arial" w:hAnsi="Arial" w:cs="Arial"/>
          <w:sz w:val="20"/>
          <w:szCs w:val="20"/>
        </w:rPr>
        <w:t>drift</w:t>
      </w:r>
      <w:r>
        <w:rPr>
          <w:rFonts w:ascii="Arial" w:eastAsia="Arial" w:hAnsi="Arial" w:cs="Arial"/>
          <w:sz w:val="20"/>
          <w:szCs w:val="20"/>
        </w:rPr>
        <w:t xml:space="preserve">. </w:t>
      </w:r>
    </w:p>
    <w:p w14:paraId="6001E24D" w14:textId="77777777" w:rsidR="00AD10E3" w:rsidRDefault="00B66C14">
      <w:pPr>
        <w:jc w:val="both"/>
        <w:rPr>
          <w:rFonts w:ascii="Arial" w:eastAsia="Arial" w:hAnsi="Arial" w:cs="Arial"/>
          <w:sz w:val="20"/>
          <w:szCs w:val="20"/>
        </w:rPr>
      </w:pPr>
      <w:bookmarkStart w:id="0" w:name="_heading=h.dv9wepnewozf" w:colFirst="0" w:colLast="0"/>
      <w:bookmarkEnd w:id="0"/>
      <w:r>
        <w:rPr>
          <w:rFonts w:ascii="Arial" w:eastAsia="Arial" w:hAnsi="Arial" w:cs="Arial"/>
          <w:b/>
          <w:bCs/>
          <w:sz w:val="20"/>
          <w:szCs w:val="20"/>
        </w:rPr>
        <w:t>Keywords:</w:t>
      </w:r>
      <w:r>
        <w:rPr>
          <w:rFonts w:ascii="Arial" w:eastAsia="Arial" w:hAnsi="Arial" w:cs="Arial"/>
          <w:sz w:val="20"/>
          <w:szCs w:val="20"/>
        </w:rPr>
        <w:t xml:space="preserve"> Governance of generative artificial intelligence, Security and protection of enterprise data, Large language models, On-premise and federated fine-tuning </w:t>
      </w:r>
    </w:p>
    <w:p w14:paraId="43538AA0"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1.0 Introduction</w:t>
      </w:r>
    </w:p>
    <w:p w14:paraId="76F9F01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1.1 Problem and context/background</w:t>
      </w:r>
    </w:p>
    <w:p w14:paraId="6D7DA07D"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Companies in industries are quickly integrating generative artificial intelligence into decision support, customer interaction, software development, and internal knowledge management with little or no adjustment of risk structures in place. The growth has been used to fuel long-standing anxieties about the matter of accountability, transparency,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control of artificial intelligence in businesses (Schneider et al., 2023). In the early phases of study in the area of AI governance, the attention was paid to the high-level principles suggestion and the board responsibility outlining. Nevertheless, with the introduction of advanced large language models, it has become clear that the way in which firms distribute roles, how documents model </w:t>
      </w:r>
      <w:proofErr w:type="spellStart"/>
      <w:r>
        <w:rPr>
          <w:rFonts w:ascii="Arial" w:eastAsia="Arial" w:hAnsi="Arial" w:cs="Arial"/>
          <w:sz w:val="20"/>
          <w:szCs w:val="20"/>
        </w:rPr>
        <w:t>behaviour</w:t>
      </w:r>
      <w:proofErr w:type="spellEnd"/>
      <w:r>
        <w:rPr>
          <w:rFonts w:ascii="Arial" w:eastAsia="Arial" w:hAnsi="Arial" w:cs="Arial"/>
          <w:sz w:val="20"/>
          <w:szCs w:val="20"/>
        </w:rPr>
        <w:t>, and the way they react to emergent harms have serious flaws (Batool et al., 2025). The most glaring examples of these deficits in governance are in systems that handle sensitive or controlled data where failure may lead to breach of privacy, loss of money or erosion of trust.</w:t>
      </w:r>
    </w:p>
    <w:p w14:paraId="0782C35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 governance issue is closely connected with the governance one. The idea of trustworthy AI is based on the premise that data flows, access rights and quality cheques are systematically structured (Janssen et al., 2020; Zhang et al., 2022). Nevertheless, most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do not have architectural data governance. The problem is also made difficult by the use of generative models, which can gain knowledge based on a wide range of sources, such as proprietary records and external or synthetic corpora. Within the sphere of healthcare, the attempts to agree on a global basis on data and AI regulation highlight the weakness of patient trust and the necessity to prescribe clear stewardship schemes to clinical data and model outputs (Morley et al., 2022). Similar strains can be observed in jurisdictions that struggle with the generative-AI privacy and personal data risk in a national perspective. New protection requirements are needed in such situations, not limited to the old-fashioned consent and </w:t>
      </w:r>
      <w:proofErr w:type="spellStart"/>
      <w:r>
        <w:rPr>
          <w:rFonts w:ascii="Arial" w:eastAsia="Arial" w:hAnsi="Arial" w:cs="Arial"/>
          <w:sz w:val="20"/>
          <w:szCs w:val="20"/>
        </w:rPr>
        <w:t>anonymisation</w:t>
      </w:r>
      <w:proofErr w:type="spellEnd"/>
      <w:r>
        <w:rPr>
          <w:rFonts w:ascii="Arial" w:eastAsia="Arial" w:hAnsi="Arial" w:cs="Arial"/>
          <w:sz w:val="20"/>
          <w:szCs w:val="20"/>
        </w:rPr>
        <w:t xml:space="preserve"> models, re-identification, secondary use, and cross-border transfers (Ye et al., 2024).</w:t>
      </w:r>
    </w:p>
    <w:p w14:paraId="3E8C91AF"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Surveys of technologists have been made which are used to strengthen these anxieties by enumerating privacy hazards in large language models. These risks include leakage of training data, membership inference, and prompt-based sensitive-content extraction (Chen et al., 2025). The literature on cybersecurity proves that the identical models may be used to </w:t>
      </w:r>
      <w:r>
        <w:rPr>
          <w:rFonts w:ascii="Arial" w:eastAsia="Arial" w:hAnsi="Arial" w:cs="Arial"/>
          <w:sz w:val="20"/>
          <w:szCs w:val="20"/>
        </w:rPr>
        <w:lastRenderedPageBreak/>
        <w:t xml:space="preserve">generate codes, social engineering assistance and automated vulnerability identification, thereby expanding the attack surface of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that implement them (Jaffal et al., 2025). Dual-use aspects of AI pose a challenge in terms of establishing the boundaries between the defensive and offensive applications, and therefore, require a form of governance that incorporates the security, privacy, and compliance.</w:t>
      </w:r>
    </w:p>
    <w:p w14:paraId="31BDBF71"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At the same time, business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are facing economic and regulatory challenges that hinder the responsible use of AI. AI governance economics assessments indicate that there are trade-offs among strategic advantage, compliance costs, and innovation, with insufficient investment in governance resulting in concealed liabilities and competitive distortions (Kshetri, 2024). The literature on the regulation of AI indicates that the environment of national and industry regulations is developing at an extremely high pace and is becoming more </w:t>
      </w:r>
      <w:proofErr w:type="spellStart"/>
      <w:r>
        <w:rPr>
          <w:rFonts w:ascii="Arial" w:eastAsia="Arial" w:hAnsi="Arial" w:cs="Arial"/>
          <w:sz w:val="20"/>
          <w:szCs w:val="20"/>
        </w:rPr>
        <w:t>decentralised</w:t>
      </w:r>
      <w:proofErr w:type="spellEnd"/>
      <w:r>
        <w:rPr>
          <w:rFonts w:ascii="Arial" w:eastAsia="Arial" w:hAnsi="Arial" w:cs="Arial"/>
          <w:sz w:val="20"/>
          <w:szCs w:val="20"/>
        </w:rPr>
        <w:t>, as Shetty et al. (2025) record. To adhere to these rules, the firms need to interpret and implement them in the internal controls. Financial services are one area that can be used to exemplify how urgent and challenging self-regulating AI models can be. It can be seen that currently, risk, audit and model-validation functions are grappling with opaque, ever-changing systems (</w:t>
      </w:r>
      <w:proofErr w:type="spellStart"/>
      <w:r>
        <w:rPr>
          <w:rFonts w:ascii="Arial" w:eastAsia="Arial" w:hAnsi="Arial" w:cs="Arial"/>
          <w:sz w:val="20"/>
          <w:szCs w:val="20"/>
        </w:rPr>
        <w:t>Kurshan</w:t>
      </w:r>
      <w:proofErr w:type="spellEnd"/>
      <w:r>
        <w:rPr>
          <w:rFonts w:ascii="Arial" w:eastAsia="Arial" w:hAnsi="Arial" w:cs="Arial"/>
          <w:sz w:val="20"/>
          <w:szCs w:val="20"/>
        </w:rPr>
        <w:t xml:space="preserve"> et al., 2020). These trends showcase the need to gain an understanding of what governance frameworks can be used to </w:t>
      </w:r>
      <w:proofErr w:type="spellStart"/>
      <w:r>
        <w:rPr>
          <w:rFonts w:ascii="Arial" w:eastAsia="Arial" w:hAnsi="Arial" w:cs="Arial"/>
          <w:sz w:val="20"/>
          <w:szCs w:val="20"/>
        </w:rPr>
        <w:t>realise</w:t>
      </w:r>
      <w:proofErr w:type="spellEnd"/>
      <w:r>
        <w:rPr>
          <w:rFonts w:ascii="Arial" w:eastAsia="Arial" w:hAnsi="Arial" w:cs="Arial"/>
          <w:sz w:val="20"/>
          <w:szCs w:val="20"/>
        </w:rPr>
        <w:t xml:space="preserve"> safe, ethical implementation and optimization of generative AI in business settings that handle sensitive information. In the case of businesses in industries like healthcare, finance and critical infrastructure, the question is not whether to use generative systems, but how they can be incorporated into governance systems that have proven to mitigate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risk.</w:t>
      </w:r>
    </w:p>
    <w:p w14:paraId="576615DC"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1.2 Scope of Review</w:t>
      </w:r>
    </w:p>
    <w:p w14:paraId="0261818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This scoping review examines the extant empirical evidence on how enterprises govern the deployment and fine-tuning of generative artificial intelligence when handling sensitive or regulated data.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a Population–Concept–Context framework, the study focuses on healthcare, finance, the public sector, and other regulated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that are implementing large language models or related systems in real-world workflows. The review considers governance structures, compliance architectures, privacy and security controls, and post-deployment monitoring or auditing practices reported between 2020 and 2025. Papers that are purely theoretical, consumer-only, entertainment-based, or non-empirical are excluded to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actionable governance models that can inform policy, standards implementation, and enterprise risk management across diverse sectors worldwide.</w:t>
      </w:r>
    </w:p>
    <w:p w14:paraId="71B2BB08"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1.3 Aim and Specific Objectives</w:t>
      </w:r>
    </w:p>
    <w:p w14:paraId="70BE1B71"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aim of this study is to identify and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governance models that support secure, privacy-preserving and ethically compliant deployment and fine-tuning of generative artificial intelligence in enterprises handling sensitive data.</w:t>
      </w:r>
    </w:p>
    <w:p w14:paraId="482FA06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Specific Objectives</w:t>
      </w:r>
    </w:p>
    <w:p w14:paraId="662A88D4" w14:textId="77777777" w:rsidR="00AD10E3" w:rsidRDefault="00B66C14">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Map and classify reported governance structures, compliance architectures, and technical and </w:t>
      </w:r>
      <w:proofErr w:type="spellStart"/>
      <w:r>
        <w:rPr>
          <w:rFonts w:ascii="Arial" w:eastAsia="Arial" w:hAnsi="Arial" w:cs="Arial"/>
          <w:color w:val="000000"/>
          <w:sz w:val="20"/>
          <w:szCs w:val="20"/>
        </w:rPr>
        <w:t>organisational</w:t>
      </w:r>
      <w:proofErr w:type="spellEnd"/>
      <w:r>
        <w:rPr>
          <w:rFonts w:ascii="Arial" w:eastAsia="Arial" w:hAnsi="Arial" w:cs="Arial"/>
          <w:color w:val="000000"/>
          <w:sz w:val="20"/>
          <w:szCs w:val="20"/>
        </w:rPr>
        <w:t xml:space="preserve"> controls used to manage generative-AI risks in enterprise settings.</w:t>
      </w:r>
    </w:p>
    <w:p w14:paraId="08D02A4D" w14:textId="77777777" w:rsidR="00AD10E3" w:rsidRDefault="00B66C14">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Examine how included studies </w:t>
      </w:r>
      <w:proofErr w:type="spellStart"/>
      <w:r>
        <w:rPr>
          <w:rFonts w:ascii="Arial" w:eastAsia="Arial" w:hAnsi="Arial" w:cs="Arial"/>
          <w:color w:val="000000"/>
          <w:sz w:val="20"/>
          <w:szCs w:val="20"/>
        </w:rPr>
        <w:t>operationalise</w:t>
      </w:r>
      <w:proofErr w:type="spellEnd"/>
      <w:r>
        <w:rPr>
          <w:rFonts w:ascii="Arial" w:eastAsia="Arial" w:hAnsi="Arial" w:cs="Arial"/>
          <w:color w:val="000000"/>
          <w:sz w:val="20"/>
          <w:szCs w:val="20"/>
        </w:rPr>
        <w:t xml:space="preserve"> privacy, security, bias mitigation and model-security assurance across the deployment and fine-tuning lifecycle, including post-deployment monitoring and auditing.</w:t>
      </w:r>
    </w:p>
    <w:p w14:paraId="34F3740F" w14:textId="77777777" w:rsidR="00AD10E3" w:rsidRDefault="00B66C14">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Identify gaps, challenges and opportunities in current governance practice relative to emerging regulatory and standards frameworks, and to distil implications for enterprise policy and practice.</w:t>
      </w:r>
    </w:p>
    <w:p w14:paraId="7AB8441A" w14:textId="77777777" w:rsidR="00AD10E3" w:rsidRDefault="00B66C14">
      <w:pPr>
        <w:jc w:val="both"/>
        <w:rPr>
          <w:rFonts w:ascii="Arial" w:eastAsia="Arial" w:hAnsi="Arial" w:cs="Arial"/>
          <w:b/>
          <w:bCs/>
          <w:sz w:val="20"/>
          <w:szCs w:val="20"/>
        </w:rPr>
      </w:pPr>
      <w:proofErr w:type="gramStart"/>
      <w:r>
        <w:rPr>
          <w:rFonts w:ascii="Arial" w:eastAsia="Arial" w:hAnsi="Arial" w:cs="Arial"/>
          <w:b/>
          <w:bCs/>
          <w:sz w:val="20"/>
          <w:szCs w:val="20"/>
        </w:rPr>
        <w:t>2.0  Methodology</w:t>
      </w:r>
      <w:proofErr w:type="gramEnd"/>
    </w:p>
    <w:p w14:paraId="0A19A5CA"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2.1 Design and Reporting Standards</w:t>
      </w:r>
    </w:p>
    <w:p w14:paraId="14F9F21B" w14:textId="77777777" w:rsidR="00AD10E3" w:rsidRDefault="00B66C14">
      <w:pPr>
        <w:jc w:val="both"/>
        <w:rPr>
          <w:rFonts w:ascii="Arial" w:eastAsia="Arial" w:hAnsi="Arial" w:cs="Arial"/>
          <w:sz w:val="20"/>
          <w:szCs w:val="20"/>
        </w:rPr>
      </w:pPr>
      <w:r>
        <w:rPr>
          <w:rFonts w:ascii="Arial" w:eastAsia="Arial" w:hAnsi="Arial" w:cs="Arial"/>
          <w:sz w:val="20"/>
          <w:szCs w:val="20"/>
        </w:rPr>
        <w:t>The present study employed a scoping review design structured by the Population–Concept–Context (PCC) framework in order to map evidence on governance models for the safe deployment and fine-tuning of generative artificial intelligence in enterprises handling sensitive data. The reporting of this study adheres to the Preferred Reporting Items for Systematic Reviews and Meta-Analyses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encompassing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a flow diagram and meticulous documentation of screening decisions. No protocol registration was undertaken. As the objective of the study was to describe, classify, and synthesize governance evidence rather than estimate pooled effects, no formal risk-of-bias appraisal was performed. The methodological safeguards encompassed explicit PCC-based eligibility criteria, a two-database search strategy, dual independent screening,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 charting with iterative refinement.</w:t>
      </w:r>
    </w:p>
    <w:p w14:paraId="53C9A05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lastRenderedPageBreak/>
        <w:t>2.2 Eligibility Criteria</w:t>
      </w:r>
    </w:p>
    <w:p w14:paraId="791A169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Inclusive PCC criteria captured empirical, real-world enterprise evidence on generative-AI governance, while excluding non-implementation and non-enterprise work. The inclusion criteria for the study encompassed research reports that delineated governance or compliance structures, fine-tuning/deployment controls, or post-deployment monitoring and auditing practices for large language models or associated generative systems in enterprises, with a particular focus on regulated sectors. Table 1 </w:t>
      </w:r>
      <w:proofErr w:type="spellStart"/>
      <w:r>
        <w:rPr>
          <w:rFonts w:ascii="Arial" w:eastAsia="Arial" w:hAnsi="Arial" w:cs="Arial"/>
          <w:sz w:val="20"/>
          <w:szCs w:val="20"/>
        </w:rPr>
        <w:t>summarises</w:t>
      </w:r>
      <w:proofErr w:type="spellEnd"/>
      <w:r>
        <w:rPr>
          <w:rFonts w:ascii="Arial" w:eastAsia="Arial" w:hAnsi="Arial" w:cs="Arial"/>
          <w:sz w:val="20"/>
          <w:szCs w:val="20"/>
        </w:rPr>
        <w:t xml:space="preserve"> the inclusion and exclusion criteria used in the study.</w:t>
      </w:r>
    </w:p>
    <w:p w14:paraId="78E1233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3629"/>
        <w:gridCol w:w="3606"/>
      </w:tblGrid>
      <w:tr w:rsidR="00AD10E3" w14:paraId="1139782A" w14:textId="77777777">
        <w:tc>
          <w:tcPr>
            <w:tcW w:w="3555" w:type="dxa"/>
          </w:tcPr>
          <w:p w14:paraId="70104A0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Item</w:t>
            </w:r>
          </w:p>
        </w:tc>
        <w:tc>
          <w:tcPr>
            <w:tcW w:w="3629" w:type="dxa"/>
          </w:tcPr>
          <w:p w14:paraId="3BF58534"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Inclusion criteria</w:t>
            </w:r>
          </w:p>
        </w:tc>
        <w:tc>
          <w:tcPr>
            <w:tcW w:w="3606" w:type="dxa"/>
          </w:tcPr>
          <w:p w14:paraId="5503E372"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Exclusion criteria</w:t>
            </w:r>
          </w:p>
        </w:tc>
      </w:tr>
      <w:tr w:rsidR="00AD10E3" w14:paraId="791E01F3" w14:textId="77777777">
        <w:tc>
          <w:tcPr>
            <w:tcW w:w="3555" w:type="dxa"/>
          </w:tcPr>
          <w:p w14:paraId="64C39E60"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Population</w:t>
            </w:r>
          </w:p>
        </w:tc>
        <w:tc>
          <w:tcPr>
            <w:tcW w:w="3629" w:type="dxa"/>
          </w:tcPr>
          <w:p w14:paraId="3F9FAEC7" w14:textId="77777777" w:rsidR="00AD10E3" w:rsidRDefault="00B66C14">
            <w:pPr>
              <w:jc w:val="both"/>
              <w:rPr>
                <w:rFonts w:ascii="Arial" w:eastAsia="Arial" w:hAnsi="Arial" w:cs="Arial"/>
                <w:sz w:val="20"/>
                <w:szCs w:val="20"/>
              </w:rPr>
            </w:pPr>
            <w:r>
              <w:rPr>
                <w:rFonts w:ascii="Arial" w:eastAsia="Arial" w:hAnsi="Arial" w:cs="Arial"/>
                <w:sz w:val="20"/>
                <w:szCs w:val="20"/>
              </w:rPr>
              <w:t>Enterprises or regulated organizations (e.g., healthcare systems, financial institutions, public-sector agencies, industrial firms) using sensitive or protected data in generative-AI workflows.</w:t>
            </w:r>
          </w:p>
        </w:tc>
        <w:tc>
          <w:tcPr>
            <w:tcW w:w="3606" w:type="dxa"/>
          </w:tcPr>
          <w:p w14:paraId="6C00E354" w14:textId="77777777" w:rsidR="00AD10E3" w:rsidRDefault="00B66C14">
            <w:pPr>
              <w:jc w:val="both"/>
              <w:rPr>
                <w:rFonts w:ascii="Arial" w:eastAsia="Arial" w:hAnsi="Arial" w:cs="Arial"/>
                <w:sz w:val="20"/>
                <w:szCs w:val="20"/>
              </w:rPr>
            </w:pPr>
            <w:r>
              <w:rPr>
                <w:rFonts w:ascii="Arial" w:eastAsia="Arial" w:hAnsi="Arial" w:cs="Arial"/>
                <w:sz w:val="20"/>
                <w:szCs w:val="20"/>
              </w:rPr>
              <w:t>Consumer-only applications; non-enterprise hobby/education uses; entertainment/art/gaming deployments.</w:t>
            </w:r>
          </w:p>
        </w:tc>
      </w:tr>
      <w:tr w:rsidR="00AD10E3" w14:paraId="509D7F48" w14:textId="77777777">
        <w:tc>
          <w:tcPr>
            <w:tcW w:w="3555" w:type="dxa"/>
          </w:tcPr>
          <w:p w14:paraId="0F3DD1F9"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Concept</w:t>
            </w:r>
          </w:p>
        </w:tc>
        <w:tc>
          <w:tcPr>
            <w:tcW w:w="3629" w:type="dxa"/>
          </w:tcPr>
          <w:p w14:paraId="51ACF953" w14:textId="77777777" w:rsidR="00AD10E3" w:rsidRDefault="00B66C14">
            <w:pPr>
              <w:jc w:val="both"/>
              <w:rPr>
                <w:rFonts w:ascii="Arial" w:eastAsia="Arial" w:hAnsi="Arial" w:cs="Arial"/>
                <w:sz w:val="20"/>
                <w:szCs w:val="20"/>
              </w:rPr>
            </w:pPr>
            <w:r>
              <w:rPr>
                <w:rFonts w:ascii="Arial" w:eastAsia="Arial" w:hAnsi="Arial" w:cs="Arial"/>
                <w:sz w:val="20"/>
                <w:szCs w:val="20"/>
              </w:rPr>
              <w:t>Governance models, compliance architectures, or operational controls for safe deployment and/or fine-tuning of generative AI/large language models; frameworks linking ethics with cybersecurity, privacy, bias mitigation, model security, or auditability.</w:t>
            </w:r>
          </w:p>
        </w:tc>
        <w:tc>
          <w:tcPr>
            <w:tcW w:w="3606" w:type="dxa"/>
          </w:tcPr>
          <w:p w14:paraId="73E5C402" w14:textId="77777777" w:rsidR="00AD10E3" w:rsidRDefault="00B66C14">
            <w:pPr>
              <w:jc w:val="both"/>
              <w:rPr>
                <w:rFonts w:ascii="Arial" w:eastAsia="Arial" w:hAnsi="Arial" w:cs="Arial"/>
                <w:sz w:val="20"/>
                <w:szCs w:val="20"/>
              </w:rPr>
            </w:pPr>
            <w:r>
              <w:rPr>
                <w:rFonts w:ascii="Arial" w:eastAsia="Arial" w:hAnsi="Arial" w:cs="Arial"/>
                <w:sz w:val="20"/>
                <w:szCs w:val="20"/>
              </w:rPr>
              <w:t>Theoretical ethics or policy commentary without implementation evidence; purely technical model papers lacking governance or risk-control components.</w:t>
            </w:r>
          </w:p>
        </w:tc>
      </w:tr>
      <w:tr w:rsidR="00AD10E3" w14:paraId="26042117" w14:textId="77777777">
        <w:tc>
          <w:tcPr>
            <w:tcW w:w="3555" w:type="dxa"/>
          </w:tcPr>
          <w:p w14:paraId="4528BF0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Context</w:t>
            </w:r>
          </w:p>
        </w:tc>
        <w:tc>
          <w:tcPr>
            <w:tcW w:w="3629" w:type="dxa"/>
          </w:tcPr>
          <w:p w14:paraId="47364404" w14:textId="77777777" w:rsidR="00AD10E3" w:rsidRDefault="00B66C14">
            <w:pPr>
              <w:jc w:val="both"/>
              <w:rPr>
                <w:rFonts w:ascii="Arial" w:eastAsia="Arial" w:hAnsi="Arial" w:cs="Arial"/>
                <w:sz w:val="20"/>
                <w:szCs w:val="20"/>
              </w:rPr>
            </w:pPr>
            <w:r>
              <w:rPr>
                <w:rFonts w:ascii="Arial" w:eastAsia="Arial" w:hAnsi="Arial" w:cs="Arial"/>
                <w:sz w:val="20"/>
                <w:szCs w:val="20"/>
              </w:rPr>
              <w:t>Any enterprise environment globally where sensitive data is handled (including finance, healthcare, insurance, government, critical infrastructure); on-premise, private-cloud, hybrid, or federated settings.</w:t>
            </w:r>
          </w:p>
        </w:tc>
        <w:tc>
          <w:tcPr>
            <w:tcW w:w="3606" w:type="dxa"/>
          </w:tcPr>
          <w:p w14:paraId="07DC35AF" w14:textId="77777777" w:rsidR="00AD10E3" w:rsidRDefault="00B66C14">
            <w:pPr>
              <w:jc w:val="both"/>
              <w:rPr>
                <w:rFonts w:ascii="Arial" w:eastAsia="Arial" w:hAnsi="Arial" w:cs="Arial"/>
                <w:sz w:val="20"/>
                <w:szCs w:val="20"/>
              </w:rPr>
            </w:pPr>
            <w:r>
              <w:rPr>
                <w:rFonts w:ascii="Arial" w:eastAsia="Arial" w:hAnsi="Arial" w:cs="Arial"/>
                <w:sz w:val="20"/>
                <w:szCs w:val="20"/>
              </w:rPr>
              <w:t>Contexts not involving sensitive enterprise data or organizational governance (e.g., open consumer chatbots with no enterprise data exposure).</w:t>
            </w:r>
          </w:p>
        </w:tc>
      </w:tr>
      <w:tr w:rsidR="00AD10E3" w14:paraId="5DB39779" w14:textId="77777777">
        <w:tc>
          <w:tcPr>
            <w:tcW w:w="3555" w:type="dxa"/>
          </w:tcPr>
          <w:p w14:paraId="077630C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Study Designs</w:t>
            </w:r>
          </w:p>
        </w:tc>
        <w:tc>
          <w:tcPr>
            <w:tcW w:w="3629" w:type="dxa"/>
          </w:tcPr>
          <w:p w14:paraId="5C39BEFF" w14:textId="77777777" w:rsidR="00AD10E3" w:rsidRDefault="00B66C14">
            <w:pPr>
              <w:jc w:val="both"/>
              <w:rPr>
                <w:rFonts w:ascii="Arial" w:eastAsia="Arial" w:hAnsi="Arial" w:cs="Arial"/>
                <w:sz w:val="20"/>
                <w:szCs w:val="20"/>
              </w:rPr>
            </w:pPr>
            <w:r>
              <w:rPr>
                <w:rFonts w:ascii="Arial" w:eastAsia="Arial" w:hAnsi="Arial" w:cs="Arial"/>
                <w:sz w:val="20"/>
                <w:szCs w:val="20"/>
              </w:rPr>
              <w:t>Empirical studies, implementation reports, controlled evaluations, case studies, federated-fine-tuning experiments with privacy/security governance, or field pilots reporting governance outcomes.</w:t>
            </w:r>
          </w:p>
        </w:tc>
        <w:tc>
          <w:tcPr>
            <w:tcW w:w="3606" w:type="dxa"/>
          </w:tcPr>
          <w:p w14:paraId="2E6116C7" w14:textId="77777777" w:rsidR="00AD10E3" w:rsidRDefault="00B66C14">
            <w:pPr>
              <w:jc w:val="both"/>
              <w:rPr>
                <w:rFonts w:ascii="Arial" w:eastAsia="Arial" w:hAnsi="Arial" w:cs="Arial"/>
                <w:sz w:val="20"/>
                <w:szCs w:val="20"/>
              </w:rPr>
            </w:pPr>
            <w:r>
              <w:rPr>
                <w:rFonts w:ascii="Arial" w:eastAsia="Arial" w:hAnsi="Arial" w:cs="Arial"/>
                <w:sz w:val="20"/>
                <w:szCs w:val="20"/>
              </w:rPr>
              <w:t>Review papers, editorials, letters, protocols without results, opinion pieces, and non-peer-reviewed preprints.</w:t>
            </w:r>
          </w:p>
        </w:tc>
      </w:tr>
      <w:tr w:rsidR="00AD10E3" w14:paraId="0DB47D92" w14:textId="77777777">
        <w:tc>
          <w:tcPr>
            <w:tcW w:w="3555" w:type="dxa"/>
          </w:tcPr>
          <w:p w14:paraId="4DC6EC3A"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Outcomes</w:t>
            </w:r>
          </w:p>
        </w:tc>
        <w:tc>
          <w:tcPr>
            <w:tcW w:w="3629" w:type="dxa"/>
          </w:tcPr>
          <w:p w14:paraId="63613CCB" w14:textId="77777777" w:rsidR="00AD10E3" w:rsidRDefault="00AD10E3">
            <w:pPr>
              <w:widowControl w:val="0"/>
              <w:pBdr>
                <w:top w:val="nil"/>
                <w:left w:val="nil"/>
                <w:bottom w:val="nil"/>
                <w:right w:val="nil"/>
                <w:between w:val="nil"/>
              </w:pBdr>
              <w:spacing w:line="276" w:lineRule="auto"/>
              <w:rPr>
                <w:rFonts w:ascii="Arial" w:eastAsia="Arial" w:hAnsi="Arial" w:cs="Arial"/>
                <w:b/>
                <w:bCs/>
                <w:sz w:val="20"/>
                <w:szCs w:val="20"/>
              </w:rPr>
            </w:pPr>
          </w:p>
          <w:tbl>
            <w:tblPr>
              <w:tblStyle w:val="a0"/>
              <w:tblW w:w="96" w:type="dxa"/>
              <w:tblLayout w:type="fixed"/>
              <w:tblLook w:val="0400" w:firstRow="0" w:lastRow="0" w:firstColumn="0" w:lastColumn="0" w:noHBand="0" w:noVBand="1"/>
            </w:tblPr>
            <w:tblGrid>
              <w:gridCol w:w="96"/>
            </w:tblGrid>
            <w:tr w:rsidR="00AD10E3" w14:paraId="7C446793" w14:textId="77777777">
              <w:tc>
                <w:tcPr>
                  <w:tcW w:w="96" w:type="dxa"/>
                  <w:vAlign w:val="center"/>
                </w:tcPr>
                <w:p w14:paraId="24661BC7" w14:textId="77777777" w:rsidR="00AD10E3" w:rsidRDefault="00AD10E3">
                  <w:pPr>
                    <w:spacing w:after="0" w:line="240" w:lineRule="auto"/>
                    <w:jc w:val="both"/>
                    <w:rPr>
                      <w:rFonts w:ascii="Arial" w:eastAsia="Arial" w:hAnsi="Arial" w:cs="Arial"/>
                      <w:sz w:val="20"/>
                      <w:szCs w:val="20"/>
                    </w:rPr>
                  </w:pPr>
                </w:p>
              </w:tc>
            </w:tr>
          </w:tbl>
          <w:p w14:paraId="67465AC6" w14:textId="77777777" w:rsidR="00AD10E3" w:rsidRDefault="00AD10E3">
            <w:pPr>
              <w:widowControl w:val="0"/>
              <w:pBdr>
                <w:top w:val="nil"/>
                <w:left w:val="nil"/>
                <w:bottom w:val="nil"/>
                <w:right w:val="nil"/>
                <w:between w:val="nil"/>
              </w:pBdr>
              <w:spacing w:line="276" w:lineRule="auto"/>
              <w:rPr>
                <w:rFonts w:ascii="Arial" w:eastAsia="Arial" w:hAnsi="Arial" w:cs="Arial"/>
                <w:sz w:val="20"/>
                <w:szCs w:val="20"/>
              </w:rPr>
            </w:pPr>
          </w:p>
          <w:tbl>
            <w:tblPr>
              <w:tblStyle w:val="a1"/>
              <w:tblW w:w="3413" w:type="dxa"/>
              <w:tblLayout w:type="fixed"/>
              <w:tblLook w:val="0400" w:firstRow="0" w:lastRow="0" w:firstColumn="0" w:lastColumn="0" w:noHBand="0" w:noVBand="1"/>
            </w:tblPr>
            <w:tblGrid>
              <w:gridCol w:w="3413"/>
            </w:tblGrid>
            <w:tr w:rsidR="00AD10E3" w14:paraId="7BF14E36" w14:textId="77777777">
              <w:tc>
                <w:tcPr>
                  <w:tcW w:w="3413" w:type="dxa"/>
                  <w:vAlign w:val="center"/>
                </w:tcPr>
                <w:p w14:paraId="11155F2F" w14:textId="77777777" w:rsidR="00AD10E3" w:rsidRDefault="00B66C14">
                  <w:pPr>
                    <w:spacing w:after="0" w:line="240" w:lineRule="auto"/>
                    <w:jc w:val="both"/>
                    <w:rPr>
                      <w:rFonts w:ascii="Arial" w:eastAsia="Arial" w:hAnsi="Arial" w:cs="Arial"/>
                      <w:sz w:val="20"/>
                      <w:szCs w:val="20"/>
                    </w:rPr>
                  </w:pPr>
                  <w:r>
                    <w:rPr>
                      <w:rFonts w:ascii="Arial" w:eastAsia="Arial" w:hAnsi="Arial" w:cs="Arial"/>
                      <w:sz w:val="20"/>
                      <w:szCs w:val="20"/>
                    </w:rPr>
                    <w:t>Evidence of mitigation of privacy, bias, or model-security risks; demonstrable compliance adoption; effectiveness of monitoring, red-teaming, or auditing post-deployment; workflow or safety performance indicators.</w:t>
                  </w:r>
                </w:p>
              </w:tc>
            </w:tr>
          </w:tbl>
          <w:p w14:paraId="73525A09" w14:textId="77777777" w:rsidR="00AD10E3" w:rsidRDefault="00AD10E3">
            <w:pPr>
              <w:jc w:val="both"/>
              <w:rPr>
                <w:rFonts w:ascii="Arial" w:eastAsia="Arial" w:hAnsi="Arial" w:cs="Arial"/>
                <w:sz w:val="20"/>
                <w:szCs w:val="20"/>
              </w:rPr>
            </w:pPr>
          </w:p>
        </w:tc>
        <w:tc>
          <w:tcPr>
            <w:tcW w:w="3606" w:type="dxa"/>
          </w:tcPr>
          <w:p w14:paraId="3955052E" w14:textId="77777777" w:rsidR="00AD10E3" w:rsidRDefault="00B66C14">
            <w:pPr>
              <w:jc w:val="both"/>
              <w:rPr>
                <w:rFonts w:ascii="Arial" w:eastAsia="Arial" w:hAnsi="Arial" w:cs="Arial"/>
                <w:sz w:val="20"/>
                <w:szCs w:val="20"/>
              </w:rPr>
            </w:pPr>
            <w:r>
              <w:rPr>
                <w:rFonts w:ascii="Arial" w:eastAsia="Arial" w:hAnsi="Arial" w:cs="Arial"/>
                <w:sz w:val="20"/>
                <w:szCs w:val="20"/>
              </w:rPr>
              <w:t>Outcomes unrelated to governance or risk assurance (e.g., model performance only with no governance relevance).</w:t>
            </w:r>
          </w:p>
        </w:tc>
      </w:tr>
      <w:tr w:rsidR="00AD10E3" w14:paraId="2FD55341" w14:textId="77777777">
        <w:tc>
          <w:tcPr>
            <w:tcW w:w="3555" w:type="dxa"/>
          </w:tcPr>
          <w:p w14:paraId="604204E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Publication Features</w:t>
            </w:r>
          </w:p>
        </w:tc>
        <w:tc>
          <w:tcPr>
            <w:tcW w:w="3629" w:type="dxa"/>
          </w:tcPr>
          <w:p w14:paraId="5FC415D2" w14:textId="77777777" w:rsidR="00AD10E3" w:rsidRDefault="00B66C14">
            <w:pPr>
              <w:jc w:val="both"/>
              <w:rPr>
                <w:rFonts w:ascii="Arial" w:eastAsia="Arial" w:hAnsi="Arial" w:cs="Arial"/>
                <w:sz w:val="20"/>
                <w:szCs w:val="20"/>
              </w:rPr>
            </w:pPr>
            <w:r>
              <w:rPr>
                <w:rFonts w:ascii="Arial" w:eastAsia="Arial" w:hAnsi="Arial" w:cs="Arial"/>
                <w:sz w:val="20"/>
                <w:szCs w:val="20"/>
              </w:rPr>
              <w:t>Peer-reviewed journal articles in English, 2020–2025.</w:t>
            </w:r>
          </w:p>
        </w:tc>
        <w:tc>
          <w:tcPr>
            <w:tcW w:w="3606" w:type="dxa"/>
          </w:tcPr>
          <w:p w14:paraId="008600B2" w14:textId="77777777" w:rsidR="00AD10E3" w:rsidRDefault="00B66C14">
            <w:pPr>
              <w:jc w:val="both"/>
              <w:rPr>
                <w:rFonts w:ascii="Arial" w:eastAsia="Arial" w:hAnsi="Arial" w:cs="Arial"/>
                <w:sz w:val="20"/>
                <w:szCs w:val="20"/>
              </w:rPr>
            </w:pPr>
            <w:r>
              <w:rPr>
                <w:rFonts w:ascii="Arial" w:eastAsia="Arial" w:hAnsi="Arial" w:cs="Arial"/>
                <w:sz w:val="20"/>
                <w:szCs w:val="20"/>
              </w:rPr>
              <w:t>Preprints, theses, grey literature, non-English, or outside timeframe.</w:t>
            </w:r>
          </w:p>
        </w:tc>
      </w:tr>
    </w:tbl>
    <w:p w14:paraId="25E7ACFF" w14:textId="77777777" w:rsidR="00AD10E3" w:rsidRDefault="00AD10E3">
      <w:pPr>
        <w:jc w:val="both"/>
        <w:rPr>
          <w:rFonts w:ascii="Arial" w:eastAsia="Arial" w:hAnsi="Arial" w:cs="Arial"/>
          <w:sz w:val="20"/>
          <w:szCs w:val="20"/>
        </w:rPr>
      </w:pPr>
    </w:p>
    <w:p w14:paraId="43E48372"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2.3 Information Sources</w:t>
      </w:r>
    </w:p>
    <w:p w14:paraId="3093959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search was restricted to peer-reviewed literature indexed in two databases selected for comprehensive coverage of enterprise generative-AI systems, security, and governance: ACM Digital Library and IEEE Xplore. These sources capture the dominant venues for applied large language model deployment, trustworthy artificial intelligence, privacy-preserving machine learning, and enterprise cybersecurity governance. No grey-literature databases were searched; however, standards and regulatory documents (European Union Artificial Intelligence Act, National Institute of Standards and Technology Artificial Intelligence Risk Management Framework, and International Organization for </w:t>
      </w:r>
      <w:r>
        <w:rPr>
          <w:rFonts w:ascii="Arial" w:eastAsia="Arial" w:hAnsi="Arial" w:cs="Arial"/>
          <w:sz w:val="20"/>
          <w:szCs w:val="20"/>
        </w:rPr>
        <w:lastRenderedPageBreak/>
        <w:t>Standardization/International Electrotechnical Commission standards) were used for contextual grounding in the Discussion. The retrieved records were exported to Zotero to facilitate deduplication. This was followed by dual independent screening at the title/abstract and full-text stages, with resolution of any disagreements via consensus.</w:t>
      </w:r>
    </w:p>
    <w:p w14:paraId="28DE12C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2.4 Search Strategy</w:t>
      </w:r>
    </w:p>
    <w:p w14:paraId="6A84199D" w14:textId="77777777" w:rsidR="00AD10E3" w:rsidRDefault="00B66C14">
      <w:pPr>
        <w:jc w:val="both"/>
        <w:rPr>
          <w:rFonts w:ascii="Arial" w:eastAsia="Arial" w:hAnsi="Arial" w:cs="Arial"/>
          <w:sz w:val="20"/>
          <w:szCs w:val="20"/>
        </w:rPr>
      </w:pPr>
      <w:r>
        <w:rPr>
          <w:rFonts w:ascii="Arial" w:eastAsia="Arial" w:hAnsi="Arial" w:cs="Arial"/>
          <w:sz w:val="20"/>
          <w:szCs w:val="20"/>
        </w:rPr>
        <w:t>A combination of database-specific strategies was employed, along with the controlled vocabulary where available and free-text terms across PCC elements, with a focus on sensitivity. The application of filters restricted the results to English-language articles that had undergone peer review within the specified timeframe (2015–2025). Search strings were piloted and refined in order to retrieve governance-relevant enterprise deployments and fine-tuning studies.</w:t>
      </w:r>
    </w:p>
    <w:p w14:paraId="68D77F6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Table 2. Search string</w:t>
      </w:r>
    </w:p>
    <w:tbl>
      <w:tblPr>
        <w:tblStyle w:val="a2"/>
        <w:tblW w:w="1101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508"/>
        <w:gridCol w:w="5508"/>
      </w:tblGrid>
      <w:tr w:rsidR="00AD10E3" w14:paraId="00F552BB" w14:textId="77777777" w:rsidTr="00AD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2E3EF3A0" w14:textId="77777777" w:rsidR="00AD10E3" w:rsidRDefault="00B66C14">
            <w:pPr>
              <w:jc w:val="both"/>
              <w:rPr>
                <w:rFonts w:ascii="Arial" w:eastAsia="Arial" w:hAnsi="Arial" w:cs="Arial"/>
                <w:sz w:val="20"/>
                <w:szCs w:val="20"/>
              </w:rPr>
            </w:pPr>
            <w:r>
              <w:rPr>
                <w:rFonts w:ascii="Arial" w:eastAsia="Arial" w:hAnsi="Arial" w:cs="Arial"/>
                <w:b w:val="0"/>
                <w:bCs w:val="0"/>
                <w:sz w:val="20"/>
                <w:szCs w:val="20"/>
              </w:rPr>
              <w:t>Database</w:t>
            </w:r>
          </w:p>
        </w:tc>
        <w:tc>
          <w:tcPr>
            <w:tcW w:w="5508" w:type="dxa"/>
          </w:tcPr>
          <w:p w14:paraId="401501DD" w14:textId="77777777" w:rsidR="00AD10E3" w:rsidRDefault="00B66C14">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AD10E3" w14:paraId="454EEA33" w14:textId="77777777" w:rsidTr="00AD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5E73826F" w14:textId="77777777" w:rsidR="00AD10E3" w:rsidRDefault="00B66C14">
            <w:pPr>
              <w:jc w:val="both"/>
              <w:rPr>
                <w:rFonts w:ascii="Arial" w:eastAsia="Arial" w:hAnsi="Arial" w:cs="Arial"/>
                <w:sz w:val="20"/>
                <w:szCs w:val="20"/>
              </w:rPr>
            </w:pPr>
            <w:r>
              <w:rPr>
                <w:rFonts w:ascii="Arial" w:eastAsia="Arial" w:hAnsi="Arial" w:cs="Arial"/>
                <w:sz w:val="20"/>
                <w:szCs w:val="20"/>
              </w:rPr>
              <w:t>ACM Digital Library</w:t>
            </w:r>
          </w:p>
        </w:tc>
        <w:tc>
          <w:tcPr>
            <w:tcW w:w="5508" w:type="dxa"/>
          </w:tcPr>
          <w:p w14:paraId="105FC681" w14:textId="77777777" w:rsidR="00AD10E3" w:rsidRDefault="00B66C1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(“generative AI” OR “large language model*” OR LLM OR GPT OR “foundation model*”) AND (governance OR compliance OR “risk management” OR “AI audit*” OR “red team*” OR privacy OR security OR bias) AND (enterprise OR organization* OR “regulated </w:t>
            </w:r>
            <w:proofErr w:type="spellStart"/>
            <w:r>
              <w:rPr>
                <w:rFonts w:ascii="Arial" w:eastAsia="Arial" w:hAnsi="Arial" w:cs="Arial"/>
                <w:sz w:val="20"/>
                <w:szCs w:val="20"/>
              </w:rPr>
              <w:t>industr</w:t>
            </w:r>
            <w:proofErr w:type="spellEnd"/>
            <w:r>
              <w:rPr>
                <w:rFonts w:ascii="Arial" w:eastAsia="Arial" w:hAnsi="Arial" w:cs="Arial"/>
                <w:sz w:val="20"/>
                <w:szCs w:val="20"/>
              </w:rPr>
              <w:t>*” OR healthcare OR finance OR banking)</w:t>
            </w:r>
          </w:p>
        </w:tc>
      </w:tr>
      <w:tr w:rsidR="00AD10E3" w14:paraId="68964286" w14:textId="77777777" w:rsidTr="00AD10E3">
        <w:tc>
          <w:tcPr>
            <w:cnfStyle w:val="001000000000" w:firstRow="0" w:lastRow="0" w:firstColumn="1" w:lastColumn="0" w:oddVBand="0" w:evenVBand="0" w:oddHBand="0" w:evenHBand="0" w:firstRowFirstColumn="0" w:firstRowLastColumn="0" w:lastRowFirstColumn="0" w:lastRowLastColumn="0"/>
            <w:tcW w:w="5508" w:type="dxa"/>
          </w:tcPr>
          <w:p w14:paraId="7F7B8E39" w14:textId="77777777" w:rsidR="00AD10E3" w:rsidRDefault="00B66C14">
            <w:pPr>
              <w:jc w:val="both"/>
              <w:rPr>
                <w:rFonts w:ascii="Arial" w:eastAsia="Arial" w:hAnsi="Arial" w:cs="Arial"/>
                <w:sz w:val="20"/>
                <w:szCs w:val="20"/>
              </w:rPr>
            </w:pPr>
            <w:r>
              <w:rPr>
                <w:rFonts w:ascii="Arial" w:eastAsia="Arial" w:hAnsi="Arial" w:cs="Arial"/>
                <w:sz w:val="20"/>
                <w:szCs w:val="20"/>
              </w:rPr>
              <w:t>IEEE Xplore</w:t>
            </w:r>
          </w:p>
        </w:tc>
        <w:tc>
          <w:tcPr>
            <w:tcW w:w="5508" w:type="dxa"/>
          </w:tcPr>
          <w:p w14:paraId="420C2FE5" w14:textId="77777777" w:rsidR="00AD10E3" w:rsidRDefault="00B66C1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(“generative artificial intelligence” OR “large language model” OR “foundation model”) AND (governance OR “trustworthy AI” OR “AI risk management” OR auditing OR monitoring OR privacy OR cybersecurity OR “model security” OR jailbreak) AND (enterprise OR healthcare OR finance OR “critical infrastructure”)</w:t>
            </w:r>
          </w:p>
        </w:tc>
      </w:tr>
    </w:tbl>
    <w:p w14:paraId="678302D1" w14:textId="77777777" w:rsidR="00AD10E3" w:rsidRDefault="00AD10E3">
      <w:pPr>
        <w:jc w:val="both"/>
        <w:rPr>
          <w:rFonts w:ascii="Arial" w:eastAsia="Arial" w:hAnsi="Arial" w:cs="Arial"/>
          <w:sz w:val="20"/>
          <w:szCs w:val="20"/>
        </w:rPr>
      </w:pPr>
    </w:p>
    <w:p w14:paraId="280FFA99"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2.5 Data Extraction and Synthesis</w:t>
      </w:r>
    </w:p>
    <w:p w14:paraId="080D7DED"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 charting process involved the use of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extraction template that had been tested on a subset of studies and refined iteratively. The extracted variables encompassed bibliographic details; sector and enterprise setting; study design and data type; generative-AI model and adaptation route (retrieval-augmented generation, on-premise fine-tuning, federated tuning, prompt governance); governance and compliance controls; monitoring/auditing practices; evaluation metrics; and key outcomes. Synthesis was descriptive and mapping-oriented. The generation of numerical summaries was undertaken for the purpose of conducting a detailed study of the distribution of the study by year, sector, model type and governance mechanism. The narrative thematic synthesis grouped the findings into three governance themes: lifecycle compliance architectures for privacy-preserving deployment and fine-tuning; domain-constrained generation with human oversight; and post-deployment auditing and continuous monitoring. This reflects the scoping objective to classify actionable governance models rather than estimate aggregate effect sizes.</w:t>
      </w:r>
    </w:p>
    <w:p w14:paraId="08A4A55F"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3.0 Results</w:t>
      </w:r>
    </w:p>
    <w:p w14:paraId="2F68F0CC"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3.1 Screening and selection.</w:t>
      </w:r>
    </w:p>
    <w:p w14:paraId="67EAA04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database search yielded 247 unique records after removal of 269 duplicates. After title–abstract screening against the eligibility criteria, 80 papers were retained for full-text assessment. Sixty-two papers were excluded at this stage (narrative reviews and other non-empirical formats = 34; consumer-only or hobby/entertainment deployments = 12; contexts not involving sensitive enterprise data or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governance = 9; preprints, theses, grey literature, non-English publications, or records outside the timeframe = 7). Finally, 18 studies met all criteria and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in this scoping review (Fig. 1).</w:t>
      </w:r>
    </w:p>
    <w:p w14:paraId="2F144373" w14:textId="77777777" w:rsidR="00AD10E3" w:rsidRDefault="00AD10E3">
      <w:pPr>
        <w:jc w:val="both"/>
        <w:rPr>
          <w:rFonts w:ascii="Arial" w:eastAsia="Arial" w:hAnsi="Arial" w:cs="Arial"/>
          <w:sz w:val="20"/>
          <w:szCs w:val="20"/>
        </w:rPr>
      </w:pPr>
    </w:p>
    <w:p w14:paraId="376C6353" w14:textId="77777777" w:rsidR="00AD10E3" w:rsidRDefault="00B66C14">
      <w:pPr>
        <w:jc w:val="center"/>
        <w:rPr>
          <w:rFonts w:ascii="Arial" w:eastAsia="Arial" w:hAnsi="Arial" w:cs="Arial"/>
          <w:sz w:val="20"/>
          <w:szCs w:val="20"/>
        </w:rPr>
      </w:pPr>
      <w:r>
        <w:rPr>
          <w:rFonts w:ascii="Arial" w:eastAsia="Arial" w:hAnsi="Arial" w:cs="Arial"/>
          <w:noProof/>
          <w:sz w:val="20"/>
          <w:szCs w:val="20"/>
          <w:lang w:val="en-US"/>
        </w:rPr>
        <w:lastRenderedPageBreak/>
        <w:drawing>
          <wp:inline distT="0" distB="0" distL="0" distR="0" wp14:anchorId="667C0593" wp14:editId="3EEECCEB">
            <wp:extent cx="4583193" cy="3200585"/>
            <wp:effectExtent l="0" t="0" r="0" b="0"/>
            <wp:docPr id="151745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83193" cy="3200585"/>
                    </a:xfrm>
                    <a:prstGeom prst="rect">
                      <a:avLst/>
                    </a:prstGeom>
                    <a:ln/>
                  </pic:spPr>
                </pic:pic>
              </a:graphicData>
            </a:graphic>
          </wp:inline>
        </w:drawing>
      </w:r>
    </w:p>
    <w:p w14:paraId="542B4B1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Figure 1: Prisma Flow Diagram</w:t>
      </w:r>
    </w:p>
    <w:p w14:paraId="1BED307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7569F18A"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18 included studies (table 3) are concentrated in regulated healthcare (13 studies) and finance or enterprise security (5 studies). The majority of these cases are based on real-world hospital deployments or retrospective evaluations using electronic health records, discharge summaries, multilingual clinical notes, or patient–trial matching datasets. Finance cases draw on regulatory text corpora or banking authentication scenarios. The designs are principally comparative performance audits and expert-panel validations, with one design-science banking artefact, one visual red-teaming security system, and two federated fine-tuning method experiments. GenAI approaches include GPT-4-class models, customized local large language models, retrieval-augmented generation systems, fine-tuned transformer </w:t>
      </w:r>
      <w:proofErr w:type="spellStart"/>
      <w:r>
        <w:rPr>
          <w:rFonts w:ascii="Arial" w:eastAsia="Arial" w:hAnsi="Arial" w:cs="Arial"/>
          <w:sz w:val="20"/>
          <w:szCs w:val="20"/>
        </w:rPr>
        <w:t>summarisers</w:t>
      </w:r>
      <w:proofErr w:type="spellEnd"/>
      <w:r>
        <w:rPr>
          <w:rFonts w:ascii="Arial" w:eastAsia="Arial" w:hAnsi="Arial" w:cs="Arial"/>
          <w:sz w:val="20"/>
          <w:szCs w:val="20"/>
        </w:rPr>
        <w:t xml:space="preserve">, and privacy-preserving low-rank adaptation in federated settings. The sample sizes range from tens of discharge summaries to hundreds of clinical notes and hundreds of workflow cases. The assessment of outcomes is conducted through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clinician ratings, accuracy and hallucination measures, readability indices, and security robustness tests. The geographical scope of the studies encompasses Singapore, Korea, Denmark, European sites, and United States hospitals, thereby reflecting a diverse array of governance regimes.</w:t>
      </w:r>
    </w:p>
    <w:p w14:paraId="7C643BE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3.3 Thematic Analysis</w:t>
      </w:r>
    </w:p>
    <w:p w14:paraId="2C5C22F5"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1: Lifecycle compliance architectures for privacy-preserving deployment and fine-tuning</w:t>
      </w:r>
    </w:p>
    <w:p w14:paraId="65B5D07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Enterprises that handle sensitive data are converging on a governance model that integrates model choice, data controls and compliance into a single lifecycle. A banking authentication artefact is created in the field of finance, which introduces privacy-preserving and explainable controls, which are in line with the GDPR and PCI DSS guidelines. The development proves that compliance mapping can be implemented in generative systems at the design stage, instead of being added afterward (Addae-Mensah &amp; Qu, 2025). GPT-4 usage to de-identify clinical notes in the healthcare field has been proven to be nearly perfect in accuracy and precision. This result indicates that the protection of privacy is measurable as the quantifiable model objectives before further data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w:t>
      </w:r>
      <w:proofErr w:type="spellStart"/>
      <w:r>
        <w:rPr>
          <w:rFonts w:ascii="Arial" w:eastAsia="Arial" w:hAnsi="Arial" w:cs="Arial"/>
          <w:sz w:val="20"/>
          <w:szCs w:val="20"/>
        </w:rPr>
        <w:t>Altalla</w:t>
      </w:r>
      <w:proofErr w:type="spellEnd"/>
      <w:r>
        <w:rPr>
          <w:rFonts w:ascii="Arial" w:eastAsia="Arial" w:hAnsi="Arial" w:cs="Arial"/>
          <w:sz w:val="20"/>
          <w:szCs w:val="20"/>
        </w:rPr>
        <w:t xml:space="preserve"> et al., 2025). A shift towards train-where-data-lives architectures is also an indication of the refinement of governance. These strategies re-position tuning datasets, adapters and location of hosting as controlled resources, which require audit trails, access control and risk acceptance by the security and compliance leaders. It has also been shown that federated instruction-tuning based on dynamic </w:t>
      </w:r>
      <w:proofErr w:type="gramStart"/>
      <w:r>
        <w:rPr>
          <w:rFonts w:ascii="Arial" w:eastAsia="Arial" w:hAnsi="Arial" w:cs="Arial"/>
          <w:sz w:val="20"/>
          <w:szCs w:val="20"/>
        </w:rPr>
        <w:t>client side</w:t>
      </w:r>
      <w:proofErr w:type="gramEnd"/>
      <w:r>
        <w:rPr>
          <w:rFonts w:ascii="Arial" w:eastAsia="Arial" w:hAnsi="Arial" w:cs="Arial"/>
          <w:sz w:val="20"/>
          <w:szCs w:val="20"/>
        </w:rPr>
        <w:t xml:space="preserve"> quality scoring can </w:t>
      </w:r>
      <w:proofErr w:type="spellStart"/>
      <w:r>
        <w:rPr>
          <w:rFonts w:ascii="Arial" w:eastAsia="Arial" w:hAnsi="Arial" w:cs="Arial"/>
          <w:sz w:val="20"/>
          <w:szCs w:val="20"/>
        </w:rPr>
        <w:t>minimise</w:t>
      </w:r>
      <w:proofErr w:type="spellEnd"/>
      <w:r>
        <w:rPr>
          <w:rFonts w:ascii="Arial" w:eastAsia="Arial" w:hAnsi="Arial" w:cs="Arial"/>
          <w:sz w:val="20"/>
          <w:szCs w:val="20"/>
        </w:rPr>
        <w:t xml:space="preserve"> the exposure of raw records without the global models getting corrupted by local data with low quality (Du et al., 2025). It has been proven that federated low-rank adaptation is effective in the elimination of aggregation noise </w:t>
      </w:r>
      <w:r>
        <w:rPr>
          <w:rFonts w:ascii="Arial" w:eastAsia="Arial" w:hAnsi="Arial" w:cs="Arial"/>
          <w:sz w:val="20"/>
          <w:szCs w:val="20"/>
        </w:rPr>
        <w:lastRenderedPageBreak/>
        <w:t>and can help to tune the heterogeneous enterprise client devices precisely without any data transfer requirement (Wang et al., 2024). Domain-specific tuning in controlled finance relied on semantically filtered and deduplicated curated regulatory corpora, while dataset provenance and filtration evolved into compliance controls (Jiang et al., 2025). The adoption of the national data-residency regulations can become a major factor of obstruction in terms of the implementation of new technologies. An example can be given in the fact that the lack of models hosted in the country can delay the implementation of promising models, as the results of the Singaporean discharge-summary pilot study suggest (Chua et al., 2024). These examples assume that compliance-by-design, privacy-preserving tuning, and data-sovereignty alignment are to be discussed as the pillars of governance.</w:t>
      </w:r>
    </w:p>
    <w:p w14:paraId="0B0B5FA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2: Limited generation and human control as measures to prevent error, bias, and unsafe output</w:t>
      </w:r>
    </w:p>
    <w:p w14:paraId="4E61CEF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use of controllability and accountability as the major governance tools in the context of sensitive deployments has been proven to be effective. Hepatology Retrieval-augmented generation has been demonstrated to add accuracy through anchoring to a document set. Nevertheless, in the cases when the evidence base is poor, this approach may undermine the safety and completeness. As a result, it is the good governance that plays the most significant role in the corpus breadth calibration (Ge et al., 2024). The discharge </w:t>
      </w:r>
      <w:proofErr w:type="spellStart"/>
      <w:r>
        <w:rPr>
          <w:rFonts w:ascii="Arial" w:eastAsia="Arial" w:hAnsi="Arial" w:cs="Arial"/>
          <w:sz w:val="20"/>
          <w:szCs w:val="20"/>
        </w:rPr>
        <w:t>summarisation</w:t>
      </w:r>
      <w:proofErr w:type="spellEnd"/>
      <w:r>
        <w:rPr>
          <w:rFonts w:ascii="Arial" w:eastAsia="Arial" w:hAnsi="Arial" w:cs="Arial"/>
          <w:sz w:val="20"/>
          <w:szCs w:val="20"/>
        </w:rPr>
        <w:t xml:space="preserve"> in neurology used constrained decoding and the ratings of the clinician identified the degree of factuality the summaries fulfilled the standard of care. This method makes the acceptance of experts a deployment condition (Hartman et al., 2023). Light analogue was made possible through prompt-level governance. Few-shot prompting has produced patient-friendly summaries in Korea, in terms of both high factuality and low misinformation. This finding indicates the possibility of the timely templates being reflected in the codification of safety controls (Kim et al., 2024). Infectious-disease discharge scenario testing revealed that close clinician checking was still required with human sign-off remaining a permanent gate (Koh et al., 2025). A urology comparison showed that the safety and style constrained prompts were effective in the elimination of hallucinations with a similar amount of quality as the junior clinicians. Nevertheless, such effectiveness was only noted when the professional review was conducted continuously (Tung et al., 2024). GPT-4 already showed expertise in complicated diagnoses, but the authors also noted that further validation and approval of the ethics were required before it could be applied in a clinical environment on the regular basis. This informs the idea that accuracy is not a reason enough to adopt it (Eriksen et al., 2024). Multisite multilingual note analysis was based on paired-physician validation to determine the correctness between languages and introducing control to the standard workflow (Menezes et al., 2025). Combining limited generation and human responsibility creates a practical system of governance of prejudice and safety in generative AI at scale in enterprises.</w:t>
      </w:r>
    </w:p>
    <w:p w14:paraId="194D4A7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3: Post-deployment auditing, robustness testing, and performance monitoring in live workflows</w:t>
      </w:r>
    </w:p>
    <w:p w14:paraId="452DCF28" w14:textId="77777777" w:rsidR="00AD10E3" w:rsidRDefault="00B66C14">
      <w:pPr>
        <w:jc w:val="both"/>
        <w:rPr>
          <w:rFonts w:ascii="Arial" w:eastAsia="Arial" w:hAnsi="Arial" w:cs="Arial"/>
          <w:sz w:val="20"/>
          <w:szCs w:val="20"/>
        </w:rPr>
        <w:sectPr w:rsidR="00AD10E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Arial" w:eastAsia="Arial" w:hAnsi="Arial" w:cs="Arial"/>
          <w:sz w:val="20"/>
          <w:szCs w:val="20"/>
        </w:rPr>
        <w:t xml:space="preserve">Rollouts demonstrate that governance is only as credible as the continuity of surveillance post-release. </w:t>
      </w:r>
      <w:proofErr w:type="spellStart"/>
      <w:r>
        <w:rPr>
          <w:rFonts w:ascii="Arial" w:eastAsia="Arial" w:hAnsi="Arial" w:cs="Arial"/>
          <w:sz w:val="20"/>
          <w:szCs w:val="20"/>
        </w:rPr>
        <w:t>AdversaFlow</w:t>
      </w:r>
      <w:proofErr w:type="spellEnd"/>
      <w:r>
        <w:rPr>
          <w:rFonts w:ascii="Arial" w:eastAsia="Arial" w:hAnsi="Arial" w:cs="Arial"/>
          <w:sz w:val="20"/>
          <w:szCs w:val="20"/>
        </w:rPr>
        <w:t xml:space="preserve"> has been shown to enhance the field of security auditing by facilitating the generation and tracking of adversarial flows that initiate harmful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and subsequently fortify models (Deng et al., 2024). This technology provides a reusable template for the monitoring of model-security risk. </w:t>
      </w:r>
      <w:proofErr w:type="spellStart"/>
      <w:r>
        <w:rPr>
          <w:rFonts w:ascii="Arial" w:eastAsia="Arial" w:hAnsi="Arial" w:cs="Arial"/>
          <w:sz w:val="20"/>
          <w:szCs w:val="20"/>
        </w:rPr>
        <w:t>TrialGPT</w:t>
      </w:r>
      <w:proofErr w:type="spellEnd"/>
      <w:r>
        <w:rPr>
          <w:rFonts w:ascii="Arial" w:eastAsia="Arial" w:hAnsi="Arial" w:cs="Arial"/>
          <w:sz w:val="20"/>
          <w:szCs w:val="20"/>
        </w:rPr>
        <w:t xml:space="preserve"> demanded precise explanations for eligibility matching and ranking, and a large-cohort plus user-study evaluation demonstrated that auditability and efficiency can co-exist when outputs are explanation-backed (Jin et al., 2024). Monitoring also reveals limits that governance must respond to. A study of the generation of Structured Query Language (SQL) criteria for hallucination audits found error rates of between 21 and 50 per cent. The study also found that a smaller open model was superior to a larger commercial one, and that continuous comparative evaluation is essential for the safe selection of a model (Lee et al., 2025). Cardiology summaries were subjected to audit with readability indices and expert safety scoring. The results demonstrated high levels of agreement on the correctness and harmlessness of the summaries, thus translating ethics into measurable post-deployment indicators (Rust et al., 2025). A four-component quality rubric with independent physician assessment was implemented to all sets of notes deployed in emergency-departments, allowing real-time tracking and reducing documentation time by 50% (Song et al., 2025). These combined pieces of evidence suggest the need to have multi-layered monitoring which includes technical stress tests to identify misuse, operational dashboards to monitor drift and productivity, and governance-specified limits to identify harm. Without prior agreed-upon escalation channels, the process of detection would have been rendered useless in the risk mitigation process. This change involves the move towards the emphasis on paperwork reduction to that of control. In different industries, the requirements of monitoring can be summed down to three main domains; the introduction of adversarial security testing, the introduction of explanation-focused performance audits, and the introduction of continuous human-rated quality measurements, which has the potential to trigger retraining or rollback processes.</w:t>
      </w:r>
    </w:p>
    <w:p w14:paraId="0970FFE9" w14:textId="77777777" w:rsidR="00AD10E3" w:rsidRDefault="00AD10E3">
      <w:pPr>
        <w:jc w:val="both"/>
        <w:rPr>
          <w:rFonts w:ascii="Arial" w:eastAsia="Arial" w:hAnsi="Arial" w:cs="Arial"/>
          <w:b/>
          <w:bCs/>
          <w:sz w:val="20"/>
          <w:szCs w:val="20"/>
        </w:rPr>
      </w:pPr>
    </w:p>
    <w:p w14:paraId="4F1640F8" w14:textId="77777777" w:rsidR="00AD10E3" w:rsidRDefault="00AD10E3">
      <w:pPr>
        <w:jc w:val="both"/>
        <w:rPr>
          <w:rFonts w:ascii="Arial" w:eastAsia="Arial" w:hAnsi="Arial" w:cs="Arial"/>
          <w:b/>
          <w:bCs/>
          <w:sz w:val="20"/>
          <w:szCs w:val="20"/>
        </w:rPr>
      </w:pPr>
    </w:p>
    <w:p w14:paraId="23C75432" w14:textId="77777777" w:rsidR="00AD10E3" w:rsidRDefault="00B66C14">
      <w:pPr>
        <w:jc w:val="both"/>
        <w:rPr>
          <w:rFonts w:ascii="Arial" w:eastAsia="Arial" w:hAnsi="Arial" w:cs="Arial"/>
          <w:sz w:val="20"/>
          <w:szCs w:val="20"/>
        </w:rPr>
      </w:pPr>
      <w:r>
        <w:rPr>
          <w:rFonts w:ascii="Arial" w:eastAsia="Arial" w:hAnsi="Arial" w:cs="Arial"/>
          <w:b/>
          <w:bCs/>
          <w:sz w:val="20"/>
          <w:szCs w:val="20"/>
        </w:rPr>
        <w:t xml:space="preserve">Table 3: Data Extraction Matrix for Included Studies </w:t>
      </w:r>
    </w:p>
    <w:tbl>
      <w:tblPr>
        <w:tblStyle w:val="a3"/>
        <w:tblW w:w="148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00"/>
        <w:gridCol w:w="1800"/>
        <w:gridCol w:w="2079"/>
        <w:gridCol w:w="2268"/>
        <w:gridCol w:w="2127"/>
        <w:gridCol w:w="2976"/>
      </w:tblGrid>
      <w:tr w:rsidR="00AD10E3" w14:paraId="33CA59C1" w14:textId="77777777">
        <w:tc>
          <w:tcPr>
            <w:tcW w:w="1800" w:type="dxa"/>
          </w:tcPr>
          <w:p w14:paraId="30F5BD6F" w14:textId="77777777" w:rsidR="00AD10E3" w:rsidRDefault="00B66C14">
            <w:pPr>
              <w:jc w:val="both"/>
              <w:rPr>
                <w:rFonts w:ascii="Arial" w:eastAsia="Arial" w:hAnsi="Arial" w:cs="Arial"/>
                <w:sz w:val="20"/>
                <w:szCs w:val="20"/>
              </w:rPr>
            </w:pPr>
            <w:r>
              <w:rPr>
                <w:rFonts w:ascii="Arial" w:eastAsia="Arial" w:hAnsi="Arial" w:cs="Arial"/>
                <w:b/>
                <w:bCs/>
                <w:sz w:val="20"/>
                <w:szCs w:val="20"/>
              </w:rPr>
              <w:t>Study (first author, year)</w:t>
            </w:r>
          </w:p>
        </w:tc>
        <w:tc>
          <w:tcPr>
            <w:tcW w:w="1800" w:type="dxa"/>
          </w:tcPr>
          <w:p w14:paraId="5E7118CC" w14:textId="77777777" w:rsidR="00AD10E3" w:rsidRDefault="00B66C14">
            <w:pPr>
              <w:jc w:val="both"/>
              <w:rPr>
                <w:rFonts w:ascii="Arial" w:eastAsia="Arial" w:hAnsi="Arial" w:cs="Arial"/>
                <w:sz w:val="20"/>
                <w:szCs w:val="20"/>
              </w:rPr>
            </w:pPr>
            <w:r>
              <w:rPr>
                <w:rFonts w:ascii="Arial" w:eastAsia="Arial" w:hAnsi="Arial" w:cs="Arial"/>
                <w:b/>
                <w:bCs/>
                <w:sz w:val="20"/>
                <w:szCs w:val="20"/>
              </w:rPr>
              <w:t>Sector or enterprise context</w:t>
            </w:r>
          </w:p>
        </w:tc>
        <w:tc>
          <w:tcPr>
            <w:tcW w:w="1800" w:type="dxa"/>
          </w:tcPr>
          <w:p w14:paraId="33D14345" w14:textId="77777777" w:rsidR="00AD10E3" w:rsidRDefault="00B66C14">
            <w:pPr>
              <w:jc w:val="both"/>
              <w:rPr>
                <w:rFonts w:ascii="Arial" w:eastAsia="Arial" w:hAnsi="Arial" w:cs="Arial"/>
                <w:sz w:val="20"/>
                <w:szCs w:val="20"/>
              </w:rPr>
            </w:pPr>
            <w:r>
              <w:rPr>
                <w:rFonts w:ascii="Arial" w:eastAsia="Arial" w:hAnsi="Arial" w:cs="Arial"/>
                <w:b/>
                <w:bCs/>
                <w:sz w:val="20"/>
                <w:szCs w:val="20"/>
              </w:rPr>
              <w:t>Study design and data</w:t>
            </w:r>
          </w:p>
        </w:tc>
        <w:tc>
          <w:tcPr>
            <w:tcW w:w="2079" w:type="dxa"/>
          </w:tcPr>
          <w:p w14:paraId="7E0E7CE3" w14:textId="77777777" w:rsidR="00AD10E3" w:rsidRDefault="00B66C14">
            <w:pPr>
              <w:jc w:val="both"/>
              <w:rPr>
                <w:rFonts w:ascii="Arial" w:eastAsia="Arial" w:hAnsi="Arial" w:cs="Arial"/>
                <w:sz w:val="20"/>
                <w:szCs w:val="20"/>
              </w:rPr>
            </w:pPr>
            <w:r>
              <w:rPr>
                <w:rFonts w:ascii="Arial" w:eastAsia="Arial" w:hAnsi="Arial" w:cs="Arial"/>
                <w:b/>
                <w:bCs/>
                <w:sz w:val="20"/>
                <w:szCs w:val="20"/>
              </w:rPr>
              <w:t>Generative artificial intelligence model or adaptation</w:t>
            </w:r>
          </w:p>
        </w:tc>
        <w:tc>
          <w:tcPr>
            <w:tcW w:w="2268" w:type="dxa"/>
          </w:tcPr>
          <w:p w14:paraId="0CDA13F8" w14:textId="77777777" w:rsidR="00AD10E3" w:rsidRDefault="00B66C14">
            <w:pPr>
              <w:jc w:val="both"/>
              <w:rPr>
                <w:rFonts w:ascii="Arial" w:eastAsia="Arial" w:hAnsi="Arial" w:cs="Arial"/>
                <w:sz w:val="20"/>
                <w:szCs w:val="20"/>
              </w:rPr>
            </w:pPr>
            <w:r>
              <w:rPr>
                <w:rFonts w:ascii="Arial" w:eastAsia="Arial" w:hAnsi="Arial" w:cs="Arial"/>
                <w:b/>
                <w:bCs/>
                <w:sz w:val="20"/>
                <w:szCs w:val="20"/>
              </w:rPr>
              <w:t>Governance or compliance controls reported</w:t>
            </w:r>
          </w:p>
        </w:tc>
        <w:tc>
          <w:tcPr>
            <w:tcW w:w="2127" w:type="dxa"/>
          </w:tcPr>
          <w:p w14:paraId="253CBC2E" w14:textId="77777777" w:rsidR="00AD10E3" w:rsidRDefault="00B66C14">
            <w:pPr>
              <w:jc w:val="both"/>
              <w:rPr>
                <w:rFonts w:ascii="Arial" w:eastAsia="Arial" w:hAnsi="Arial" w:cs="Arial"/>
                <w:sz w:val="20"/>
                <w:szCs w:val="20"/>
              </w:rPr>
            </w:pPr>
            <w:r>
              <w:rPr>
                <w:rFonts w:ascii="Arial" w:eastAsia="Arial" w:hAnsi="Arial" w:cs="Arial"/>
                <w:b/>
                <w:bCs/>
                <w:sz w:val="20"/>
                <w:szCs w:val="20"/>
              </w:rPr>
              <w:t>Monitoring or audit metrics</w:t>
            </w:r>
          </w:p>
        </w:tc>
        <w:tc>
          <w:tcPr>
            <w:tcW w:w="2976" w:type="dxa"/>
          </w:tcPr>
          <w:p w14:paraId="260BF533" w14:textId="77777777" w:rsidR="00AD10E3" w:rsidRDefault="00B66C14">
            <w:pPr>
              <w:jc w:val="both"/>
              <w:rPr>
                <w:rFonts w:ascii="Arial" w:eastAsia="Arial" w:hAnsi="Arial" w:cs="Arial"/>
                <w:sz w:val="20"/>
                <w:szCs w:val="20"/>
              </w:rPr>
            </w:pPr>
            <w:r>
              <w:rPr>
                <w:rFonts w:ascii="Arial" w:eastAsia="Arial" w:hAnsi="Arial" w:cs="Arial"/>
                <w:b/>
                <w:bCs/>
                <w:sz w:val="20"/>
                <w:szCs w:val="20"/>
              </w:rPr>
              <w:t>Key results or evidence of success</w:t>
            </w:r>
          </w:p>
        </w:tc>
      </w:tr>
      <w:tr w:rsidR="00AD10E3" w14:paraId="0E64332A" w14:textId="77777777">
        <w:tc>
          <w:tcPr>
            <w:tcW w:w="1800" w:type="dxa"/>
          </w:tcPr>
          <w:p w14:paraId="74E20BBD" w14:textId="77777777" w:rsidR="00AD10E3" w:rsidRDefault="00B66C14">
            <w:pPr>
              <w:jc w:val="both"/>
              <w:rPr>
                <w:rFonts w:ascii="Arial" w:eastAsia="Arial" w:hAnsi="Arial" w:cs="Arial"/>
                <w:sz w:val="20"/>
                <w:szCs w:val="20"/>
              </w:rPr>
            </w:pPr>
            <w:r>
              <w:rPr>
                <w:rFonts w:ascii="Arial" w:eastAsia="Arial" w:hAnsi="Arial" w:cs="Arial"/>
                <w:sz w:val="20"/>
                <w:szCs w:val="20"/>
              </w:rPr>
              <w:t>Addae-Mensah and Qu (2025)</w:t>
            </w:r>
          </w:p>
        </w:tc>
        <w:tc>
          <w:tcPr>
            <w:tcW w:w="1800" w:type="dxa"/>
          </w:tcPr>
          <w:p w14:paraId="1EE94E91" w14:textId="77777777" w:rsidR="00AD10E3" w:rsidRDefault="00B66C14">
            <w:pPr>
              <w:jc w:val="both"/>
              <w:rPr>
                <w:rFonts w:ascii="Arial" w:eastAsia="Arial" w:hAnsi="Arial" w:cs="Arial"/>
                <w:sz w:val="20"/>
                <w:szCs w:val="20"/>
              </w:rPr>
            </w:pPr>
            <w:r>
              <w:rPr>
                <w:rFonts w:ascii="Arial" w:eastAsia="Arial" w:hAnsi="Arial" w:cs="Arial"/>
                <w:sz w:val="20"/>
                <w:szCs w:val="20"/>
              </w:rPr>
              <w:t>Regulated finance (banking authentication)</w:t>
            </w:r>
          </w:p>
        </w:tc>
        <w:tc>
          <w:tcPr>
            <w:tcW w:w="1800" w:type="dxa"/>
          </w:tcPr>
          <w:p w14:paraId="7777E2B8" w14:textId="77777777" w:rsidR="00AD10E3" w:rsidRDefault="00B66C14">
            <w:pPr>
              <w:jc w:val="both"/>
              <w:rPr>
                <w:rFonts w:ascii="Arial" w:eastAsia="Arial" w:hAnsi="Arial" w:cs="Arial"/>
                <w:sz w:val="20"/>
                <w:szCs w:val="20"/>
              </w:rPr>
            </w:pPr>
            <w:r>
              <w:rPr>
                <w:rFonts w:ascii="Arial" w:eastAsia="Arial" w:hAnsi="Arial" w:cs="Arial"/>
                <w:sz w:val="20"/>
                <w:szCs w:val="20"/>
              </w:rPr>
              <w:t>Design Science Research artifact; 550 simulated authentication use cases</w:t>
            </w:r>
          </w:p>
        </w:tc>
        <w:tc>
          <w:tcPr>
            <w:tcW w:w="2079" w:type="dxa"/>
          </w:tcPr>
          <w:p w14:paraId="4D41A913" w14:textId="77777777" w:rsidR="00AD10E3" w:rsidRDefault="00B66C14">
            <w:pPr>
              <w:jc w:val="both"/>
              <w:rPr>
                <w:rFonts w:ascii="Arial" w:eastAsia="Arial" w:hAnsi="Arial" w:cs="Arial"/>
                <w:sz w:val="20"/>
                <w:szCs w:val="20"/>
              </w:rPr>
            </w:pPr>
            <w:r>
              <w:rPr>
                <w:rFonts w:ascii="Arial" w:eastAsia="Arial" w:hAnsi="Arial" w:cs="Arial"/>
                <w:sz w:val="20"/>
                <w:szCs w:val="20"/>
              </w:rPr>
              <w:t>Large language model with retrieval-augmented generation integrated into banking authentication system</w:t>
            </w:r>
          </w:p>
        </w:tc>
        <w:tc>
          <w:tcPr>
            <w:tcW w:w="2268" w:type="dxa"/>
          </w:tcPr>
          <w:p w14:paraId="6B001E08" w14:textId="77777777" w:rsidR="00AD10E3" w:rsidRDefault="00B66C14">
            <w:pPr>
              <w:jc w:val="both"/>
              <w:rPr>
                <w:rFonts w:ascii="Arial" w:eastAsia="Arial" w:hAnsi="Arial" w:cs="Arial"/>
                <w:sz w:val="20"/>
                <w:szCs w:val="20"/>
              </w:rPr>
            </w:pPr>
            <w:r>
              <w:rPr>
                <w:rFonts w:ascii="Arial" w:eastAsia="Arial" w:hAnsi="Arial" w:cs="Arial"/>
                <w:sz w:val="20"/>
                <w:szCs w:val="20"/>
              </w:rPr>
              <w:t>Privacy-preserving artificial intelligence and explainable artificial intelligence; explicit General Data Protection Regulation and Payment Card Industry Data Security Standard compliance mapping; fairness protocols</w:t>
            </w:r>
          </w:p>
        </w:tc>
        <w:tc>
          <w:tcPr>
            <w:tcW w:w="2127" w:type="dxa"/>
          </w:tcPr>
          <w:p w14:paraId="7E8D1AD4" w14:textId="77777777" w:rsidR="00AD10E3" w:rsidRDefault="00B66C14">
            <w:pPr>
              <w:jc w:val="both"/>
              <w:rPr>
                <w:rFonts w:ascii="Arial" w:eastAsia="Arial" w:hAnsi="Arial" w:cs="Arial"/>
                <w:sz w:val="20"/>
                <w:szCs w:val="20"/>
              </w:rPr>
            </w:pPr>
            <w:r>
              <w:rPr>
                <w:rFonts w:ascii="Arial" w:eastAsia="Arial" w:hAnsi="Arial" w:cs="Arial"/>
                <w:sz w:val="20"/>
                <w:szCs w:val="20"/>
              </w:rPr>
              <w:t>Simulation tests for transparency, fairness, and privacy</w:t>
            </w:r>
          </w:p>
        </w:tc>
        <w:tc>
          <w:tcPr>
            <w:tcW w:w="2976" w:type="dxa"/>
          </w:tcPr>
          <w:p w14:paraId="064B3606" w14:textId="77777777" w:rsidR="00AD10E3" w:rsidRDefault="00B66C14">
            <w:pPr>
              <w:jc w:val="both"/>
              <w:rPr>
                <w:rFonts w:ascii="Arial" w:eastAsia="Arial" w:hAnsi="Arial" w:cs="Arial"/>
                <w:sz w:val="20"/>
                <w:szCs w:val="20"/>
              </w:rPr>
            </w:pPr>
            <w:r>
              <w:rPr>
                <w:rFonts w:ascii="Arial" w:eastAsia="Arial" w:hAnsi="Arial" w:cs="Arial"/>
                <w:sz w:val="20"/>
                <w:szCs w:val="20"/>
              </w:rPr>
              <w:t>Retrieval-augmented generation and large language model system improved authentication with strong privacy, fairness, and transparency</w:t>
            </w:r>
          </w:p>
        </w:tc>
      </w:tr>
      <w:tr w:rsidR="00AD10E3" w14:paraId="05A9A937" w14:textId="77777777">
        <w:tc>
          <w:tcPr>
            <w:tcW w:w="1800" w:type="dxa"/>
          </w:tcPr>
          <w:p w14:paraId="350B8177"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Altalla</w:t>
            </w:r>
            <w:proofErr w:type="spellEnd"/>
            <w:r>
              <w:rPr>
                <w:rFonts w:ascii="Arial" w:eastAsia="Arial" w:hAnsi="Arial" w:cs="Arial"/>
                <w:sz w:val="20"/>
                <w:szCs w:val="20"/>
              </w:rPr>
              <w:t>’ and colleagues (2025)</w:t>
            </w:r>
          </w:p>
        </w:tc>
        <w:tc>
          <w:tcPr>
            <w:tcW w:w="1800" w:type="dxa"/>
          </w:tcPr>
          <w:p w14:paraId="15727658" w14:textId="77777777" w:rsidR="00AD10E3" w:rsidRDefault="00B66C14">
            <w:pPr>
              <w:jc w:val="both"/>
              <w:rPr>
                <w:rFonts w:ascii="Arial" w:eastAsia="Arial" w:hAnsi="Arial" w:cs="Arial"/>
                <w:sz w:val="20"/>
                <w:szCs w:val="20"/>
              </w:rPr>
            </w:pPr>
            <w:r>
              <w:rPr>
                <w:rFonts w:ascii="Arial" w:eastAsia="Arial" w:hAnsi="Arial" w:cs="Arial"/>
                <w:sz w:val="20"/>
                <w:szCs w:val="20"/>
              </w:rPr>
              <w:t>Regulated healthcare (clinical notes)</w:t>
            </w:r>
          </w:p>
        </w:tc>
        <w:tc>
          <w:tcPr>
            <w:tcW w:w="1800" w:type="dxa"/>
          </w:tcPr>
          <w:p w14:paraId="6332C5B7" w14:textId="77777777" w:rsidR="00AD10E3" w:rsidRDefault="00B66C14">
            <w:pPr>
              <w:jc w:val="both"/>
              <w:rPr>
                <w:rFonts w:ascii="Arial" w:eastAsia="Arial" w:hAnsi="Arial" w:cs="Arial"/>
                <w:sz w:val="20"/>
                <w:szCs w:val="20"/>
              </w:rPr>
            </w:pPr>
            <w:r>
              <w:rPr>
                <w:rFonts w:ascii="Arial" w:eastAsia="Arial" w:hAnsi="Arial" w:cs="Arial"/>
                <w:sz w:val="20"/>
                <w:szCs w:val="20"/>
              </w:rPr>
              <w:t>Empirical benchmarking on real clinical notes</w:t>
            </w:r>
          </w:p>
        </w:tc>
        <w:tc>
          <w:tcPr>
            <w:tcW w:w="2079" w:type="dxa"/>
          </w:tcPr>
          <w:p w14:paraId="2DD7DCB7"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3.5 versus Generative Pre-trained Transformer 4; zero-shot prompts; synthetic data generation</w:t>
            </w:r>
          </w:p>
        </w:tc>
        <w:tc>
          <w:tcPr>
            <w:tcW w:w="2268" w:type="dxa"/>
          </w:tcPr>
          <w:p w14:paraId="4D3B2D26" w14:textId="77777777" w:rsidR="00AD10E3" w:rsidRDefault="00B66C14">
            <w:pPr>
              <w:jc w:val="both"/>
              <w:rPr>
                <w:rFonts w:ascii="Arial" w:eastAsia="Arial" w:hAnsi="Arial" w:cs="Arial"/>
                <w:sz w:val="20"/>
                <w:szCs w:val="20"/>
              </w:rPr>
            </w:pPr>
            <w:r>
              <w:rPr>
                <w:rFonts w:ascii="Arial" w:eastAsia="Arial" w:hAnsi="Arial" w:cs="Arial"/>
                <w:sz w:val="20"/>
                <w:szCs w:val="20"/>
              </w:rPr>
              <w:t>Operational de-identification governance for privacy</w:t>
            </w:r>
          </w:p>
        </w:tc>
        <w:tc>
          <w:tcPr>
            <w:tcW w:w="2127" w:type="dxa"/>
          </w:tcPr>
          <w:p w14:paraId="723FEE62" w14:textId="77777777" w:rsidR="00AD10E3" w:rsidRDefault="00B66C14">
            <w:pPr>
              <w:jc w:val="both"/>
              <w:rPr>
                <w:rFonts w:ascii="Arial" w:eastAsia="Arial" w:hAnsi="Arial" w:cs="Arial"/>
                <w:sz w:val="20"/>
                <w:szCs w:val="20"/>
              </w:rPr>
            </w:pPr>
            <w:r>
              <w:rPr>
                <w:rFonts w:ascii="Arial" w:eastAsia="Arial" w:hAnsi="Arial" w:cs="Arial"/>
                <w:sz w:val="20"/>
                <w:szCs w:val="20"/>
              </w:rPr>
              <w:t>Precision, recall, F1 score, and accuracy</w:t>
            </w:r>
          </w:p>
        </w:tc>
        <w:tc>
          <w:tcPr>
            <w:tcW w:w="2976" w:type="dxa"/>
          </w:tcPr>
          <w:p w14:paraId="19A90ECE"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achieved precision 0.9925 and accuracy 0.9911, enabling safer data reuse</w:t>
            </w:r>
          </w:p>
        </w:tc>
      </w:tr>
      <w:tr w:rsidR="00AD10E3" w14:paraId="7BEBE44F" w14:textId="77777777">
        <w:tc>
          <w:tcPr>
            <w:tcW w:w="1800" w:type="dxa"/>
          </w:tcPr>
          <w:p w14:paraId="58CD552E" w14:textId="77777777" w:rsidR="00AD10E3" w:rsidRDefault="00B66C14">
            <w:pPr>
              <w:jc w:val="both"/>
              <w:rPr>
                <w:rFonts w:ascii="Arial" w:eastAsia="Arial" w:hAnsi="Arial" w:cs="Arial"/>
                <w:sz w:val="20"/>
                <w:szCs w:val="20"/>
              </w:rPr>
            </w:pPr>
            <w:r>
              <w:rPr>
                <w:rFonts w:ascii="Arial" w:eastAsia="Arial" w:hAnsi="Arial" w:cs="Arial"/>
                <w:sz w:val="20"/>
                <w:szCs w:val="20"/>
              </w:rPr>
              <w:t>Chua and colleagues (2024)</w:t>
            </w:r>
          </w:p>
        </w:tc>
        <w:tc>
          <w:tcPr>
            <w:tcW w:w="1800" w:type="dxa"/>
          </w:tcPr>
          <w:p w14:paraId="5849BA60" w14:textId="77777777" w:rsidR="00AD10E3" w:rsidRDefault="00B66C14">
            <w:pPr>
              <w:jc w:val="both"/>
              <w:rPr>
                <w:rFonts w:ascii="Arial" w:eastAsia="Arial" w:hAnsi="Arial" w:cs="Arial"/>
                <w:sz w:val="20"/>
                <w:szCs w:val="20"/>
              </w:rPr>
            </w:pPr>
            <w:r>
              <w:rPr>
                <w:rFonts w:ascii="Arial" w:eastAsia="Arial" w:hAnsi="Arial" w:cs="Arial"/>
                <w:sz w:val="20"/>
                <w:szCs w:val="20"/>
              </w:rPr>
              <w:t>National health system (Singapore)</w:t>
            </w:r>
          </w:p>
        </w:tc>
        <w:tc>
          <w:tcPr>
            <w:tcW w:w="1800" w:type="dxa"/>
          </w:tcPr>
          <w:p w14:paraId="1F7FC799" w14:textId="77777777" w:rsidR="00AD10E3" w:rsidRDefault="00B66C14">
            <w:pPr>
              <w:jc w:val="both"/>
              <w:rPr>
                <w:rFonts w:ascii="Arial" w:eastAsia="Arial" w:hAnsi="Arial" w:cs="Arial"/>
                <w:sz w:val="20"/>
                <w:szCs w:val="20"/>
              </w:rPr>
            </w:pPr>
            <w:r>
              <w:rPr>
                <w:rFonts w:ascii="Arial" w:eastAsia="Arial" w:hAnsi="Arial" w:cs="Arial"/>
                <w:sz w:val="20"/>
                <w:szCs w:val="20"/>
              </w:rPr>
              <w:t>Real-world pilot; discharge summarization</w:t>
            </w:r>
          </w:p>
        </w:tc>
        <w:tc>
          <w:tcPr>
            <w:tcW w:w="2079" w:type="dxa"/>
          </w:tcPr>
          <w:p w14:paraId="04190071" w14:textId="77777777" w:rsidR="00AD10E3" w:rsidRDefault="00B66C14">
            <w:pPr>
              <w:jc w:val="both"/>
              <w:rPr>
                <w:rFonts w:ascii="Arial" w:eastAsia="Arial" w:hAnsi="Arial" w:cs="Arial"/>
                <w:sz w:val="20"/>
                <w:szCs w:val="20"/>
              </w:rPr>
            </w:pPr>
            <w:r>
              <w:rPr>
                <w:rFonts w:ascii="Arial" w:eastAsia="Arial" w:hAnsi="Arial" w:cs="Arial"/>
                <w:sz w:val="20"/>
                <w:szCs w:val="20"/>
              </w:rPr>
              <w:t>Customized local large language model (RUSSELL Generative Pre-trained Transformer)</w:t>
            </w:r>
          </w:p>
        </w:tc>
        <w:tc>
          <w:tcPr>
            <w:tcW w:w="2268" w:type="dxa"/>
          </w:tcPr>
          <w:p w14:paraId="4E32A9F2" w14:textId="77777777" w:rsidR="00AD10E3" w:rsidRDefault="00B66C14">
            <w:pPr>
              <w:jc w:val="both"/>
              <w:rPr>
                <w:rFonts w:ascii="Arial" w:eastAsia="Arial" w:hAnsi="Arial" w:cs="Arial"/>
                <w:sz w:val="20"/>
                <w:szCs w:val="20"/>
              </w:rPr>
            </w:pPr>
            <w:r>
              <w:rPr>
                <w:rFonts w:ascii="Arial" w:eastAsia="Arial" w:hAnsi="Arial" w:cs="Arial"/>
                <w:sz w:val="20"/>
                <w:szCs w:val="20"/>
              </w:rPr>
              <w:t>Strict data residency and sovereignty rules; storage only in accredited local clouds; overseas cloud use requires declassification</w:t>
            </w:r>
          </w:p>
        </w:tc>
        <w:tc>
          <w:tcPr>
            <w:tcW w:w="2127" w:type="dxa"/>
          </w:tcPr>
          <w:p w14:paraId="08AE79EA" w14:textId="77777777" w:rsidR="00AD10E3" w:rsidRDefault="00B66C14">
            <w:pPr>
              <w:jc w:val="both"/>
              <w:rPr>
                <w:rFonts w:ascii="Arial" w:eastAsia="Arial" w:hAnsi="Arial" w:cs="Arial"/>
                <w:sz w:val="20"/>
                <w:szCs w:val="20"/>
              </w:rPr>
            </w:pPr>
            <w:r>
              <w:rPr>
                <w:rFonts w:ascii="Arial" w:eastAsia="Arial" w:hAnsi="Arial" w:cs="Arial"/>
                <w:sz w:val="20"/>
                <w:szCs w:val="20"/>
              </w:rPr>
              <w:t>Pilot feasibility and safety or regulatory fit checks</w:t>
            </w:r>
          </w:p>
        </w:tc>
        <w:tc>
          <w:tcPr>
            <w:tcW w:w="2976" w:type="dxa"/>
          </w:tcPr>
          <w:p w14:paraId="2887C70C" w14:textId="77777777" w:rsidR="00AD10E3" w:rsidRDefault="00B66C14">
            <w:pPr>
              <w:jc w:val="both"/>
              <w:rPr>
                <w:rFonts w:ascii="Arial" w:eastAsia="Arial" w:hAnsi="Arial" w:cs="Arial"/>
                <w:sz w:val="20"/>
                <w:szCs w:val="20"/>
              </w:rPr>
            </w:pPr>
            <w:r>
              <w:rPr>
                <w:rFonts w:ascii="Arial" w:eastAsia="Arial" w:hAnsi="Arial" w:cs="Arial"/>
                <w:sz w:val="20"/>
                <w:szCs w:val="20"/>
              </w:rPr>
              <w:t>Feasible deployment but governance barriers due to data residency and integration requirements</w:t>
            </w:r>
          </w:p>
        </w:tc>
      </w:tr>
      <w:tr w:rsidR="00AD10E3" w14:paraId="106A9896" w14:textId="77777777">
        <w:tc>
          <w:tcPr>
            <w:tcW w:w="1800" w:type="dxa"/>
          </w:tcPr>
          <w:p w14:paraId="23A29972" w14:textId="77777777" w:rsidR="00AD10E3" w:rsidRDefault="00B66C14">
            <w:pPr>
              <w:jc w:val="both"/>
              <w:rPr>
                <w:rFonts w:ascii="Arial" w:eastAsia="Arial" w:hAnsi="Arial" w:cs="Arial"/>
                <w:sz w:val="20"/>
                <w:szCs w:val="20"/>
              </w:rPr>
            </w:pPr>
            <w:r>
              <w:rPr>
                <w:rFonts w:ascii="Arial" w:eastAsia="Arial" w:hAnsi="Arial" w:cs="Arial"/>
                <w:sz w:val="20"/>
                <w:szCs w:val="20"/>
              </w:rPr>
              <w:t>Deng and colleagues (2024)</w:t>
            </w:r>
          </w:p>
        </w:tc>
        <w:tc>
          <w:tcPr>
            <w:tcW w:w="1800" w:type="dxa"/>
          </w:tcPr>
          <w:p w14:paraId="2FE56FE0" w14:textId="77777777" w:rsidR="00AD10E3" w:rsidRDefault="00B66C14">
            <w:pPr>
              <w:jc w:val="both"/>
              <w:rPr>
                <w:rFonts w:ascii="Arial" w:eastAsia="Arial" w:hAnsi="Arial" w:cs="Arial"/>
                <w:sz w:val="20"/>
                <w:szCs w:val="20"/>
              </w:rPr>
            </w:pPr>
            <w:r>
              <w:rPr>
                <w:rFonts w:ascii="Arial" w:eastAsia="Arial" w:hAnsi="Arial" w:cs="Arial"/>
                <w:sz w:val="20"/>
                <w:szCs w:val="20"/>
              </w:rPr>
              <w:t>Enterprise large language model security and harmful content risk</w:t>
            </w:r>
          </w:p>
        </w:tc>
        <w:tc>
          <w:tcPr>
            <w:tcW w:w="1800" w:type="dxa"/>
          </w:tcPr>
          <w:p w14:paraId="1001A677" w14:textId="77777777" w:rsidR="00AD10E3" w:rsidRDefault="00B66C14">
            <w:pPr>
              <w:jc w:val="both"/>
              <w:rPr>
                <w:rFonts w:ascii="Arial" w:eastAsia="Arial" w:hAnsi="Arial" w:cs="Arial"/>
                <w:sz w:val="20"/>
                <w:szCs w:val="20"/>
              </w:rPr>
            </w:pPr>
            <w:r>
              <w:rPr>
                <w:rFonts w:ascii="Arial" w:eastAsia="Arial" w:hAnsi="Arial" w:cs="Arial"/>
                <w:sz w:val="20"/>
                <w:szCs w:val="20"/>
              </w:rPr>
              <w:t>System design with case studies and quantitative evaluation</w:t>
            </w:r>
          </w:p>
        </w:tc>
        <w:tc>
          <w:tcPr>
            <w:tcW w:w="2079" w:type="dxa"/>
          </w:tcPr>
          <w:p w14:paraId="2A5BDEA6"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AdversaFlow</w:t>
            </w:r>
            <w:proofErr w:type="spellEnd"/>
            <w:r>
              <w:rPr>
                <w:rFonts w:ascii="Arial" w:eastAsia="Arial" w:hAnsi="Arial" w:cs="Arial"/>
                <w:sz w:val="20"/>
                <w:szCs w:val="20"/>
              </w:rPr>
              <w:t xml:space="preserve"> visual red-teaming system with adversarial training</w:t>
            </w:r>
          </w:p>
        </w:tc>
        <w:tc>
          <w:tcPr>
            <w:tcW w:w="2268" w:type="dxa"/>
          </w:tcPr>
          <w:p w14:paraId="217961B8" w14:textId="77777777" w:rsidR="00AD10E3" w:rsidRDefault="00B66C14">
            <w:pPr>
              <w:jc w:val="both"/>
              <w:rPr>
                <w:rFonts w:ascii="Arial" w:eastAsia="Arial" w:hAnsi="Arial" w:cs="Arial"/>
                <w:sz w:val="20"/>
                <w:szCs w:val="20"/>
              </w:rPr>
            </w:pPr>
            <w:r>
              <w:rPr>
                <w:rFonts w:ascii="Arial" w:eastAsia="Arial" w:hAnsi="Arial" w:cs="Arial"/>
                <w:sz w:val="20"/>
                <w:szCs w:val="20"/>
              </w:rPr>
              <w:t>Formal red-team governance workflow for misuse and vulnerability discovery</w:t>
            </w:r>
          </w:p>
        </w:tc>
        <w:tc>
          <w:tcPr>
            <w:tcW w:w="2127" w:type="dxa"/>
          </w:tcPr>
          <w:p w14:paraId="48A69A66" w14:textId="77777777" w:rsidR="00AD10E3" w:rsidRDefault="00B66C14">
            <w:pPr>
              <w:jc w:val="both"/>
              <w:rPr>
                <w:rFonts w:ascii="Arial" w:eastAsia="Arial" w:hAnsi="Arial" w:cs="Arial"/>
                <w:sz w:val="20"/>
                <w:szCs w:val="20"/>
              </w:rPr>
            </w:pPr>
            <w:r>
              <w:rPr>
                <w:rFonts w:ascii="Arial" w:eastAsia="Arial" w:hAnsi="Arial" w:cs="Arial"/>
                <w:sz w:val="20"/>
                <w:szCs w:val="20"/>
              </w:rPr>
              <w:t>Robustness tests and adversarial case analyses</w:t>
            </w:r>
          </w:p>
        </w:tc>
        <w:tc>
          <w:tcPr>
            <w:tcW w:w="2976" w:type="dxa"/>
          </w:tcPr>
          <w:p w14:paraId="3A7E0AA1" w14:textId="77777777" w:rsidR="00AD10E3" w:rsidRDefault="00B66C14">
            <w:pPr>
              <w:jc w:val="both"/>
              <w:rPr>
                <w:rFonts w:ascii="Arial" w:eastAsia="Arial" w:hAnsi="Arial" w:cs="Arial"/>
                <w:sz w:val="20"/>
                <w:szCs w:val="20"/>
              </w:rPr>
            </w:pPr>
            <w:r>
              <w:rPr>
                <w:rFonts w:ascii="Arial" w:eastAsia="Arial" w:hAnsi="Arial" w:cs="Arial"/>
                <w:sz w:val="20"/>
                <w:szCs w:val="20"/>
              </w:rPr>
              <w:t>Improved detection and mitigation of unsafe model behaviors</w:t>
            </w:r>
          </w:p>
        </w:tc>
      </w:tr>
      <w:tr w:rsidR="00AD10E3" w14:paraId="780D135C" w14:textId="77777777">
        <w:tc>
          <w:tcPr>
            <w:tcW w:w="1800" w:type="dxa"/>
          </w:tcPr>
          <w:p w14:paraId="646C5AA7" w14:textId="77777777" w:rsidR="00AD10E3" w:rsidRDefault="00B66C14">
            <w:pPr>
              <w:jc w:val="both"/>
              <w:rPr>
                <w:rFonts w:ascii="Arial" w:eastAsia="Arial" w:hAnsi="Arial" w:cs="Arial"/>
                <w:sz w:val="20"/>
                <w:szCs w:val="20"/>
              </w:rPr>
            </w:pPr>
            <w:r>
              <w:rPr>
                <w:rFonts w:ascii="Arial" w:eastAsia="Arial" w:hAnsi="Arial" w:cs="Arial"/>
                <w:sz w:val="20"/>
                <w:szCs w:val="20"/>
              </w:rPr>
              <w:t>Du and colleagues (2025)</w:t>
            </w:r>
          </w:p>
        </w:tc>
        <w:tc>
          <w:tcPr>
            <w:tcW w:w="1800" w:type="dxa"/>
          </w:tcPr>
          <w:p w14:paraId="2BDEA04C" w14:textId="77777777" w:rsidR="00AD10E3" w:rsidRDefault="00B66C14">
            <w:pPr>
              <w:jc w:val="both"/>
              <w:rPr>
                <w:rFonts w:ascii="Arial" w:eastAsia="Arial" w:hAnsi="Arial" w:cs="Arial"/>
                <w:sz w:val="20"/>
                <w:szCs w:val="20"/>
              </w:rPr>
            </w:pPr>
            <w:r>
              <w:rPr>
                <w:rFonts w:ascii="Arial" w:eastAsia="Arial" w:hAnsi="Arial" w:cs="Arial"/>
                <w:sz w:val="20"/>
                <w:szCs w:val="20"/>
              </w:rPr>
              <w:t>Multi-client sensitive data environments</w:t>
            </w:r>
          </w:p>
        </w:tc>
        <w:tc>
          <w:tcPr>
            <w:tcW w:w="1800" w:type="dxa"/>
          </w:tcPr>
          <w:p w14:paraId="16B83F1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Federated fine-tuning experiments on </w:t>
            </w:r>
            <w:r>
              <w:rPr>
                <w:rFonts w:ascii="Arial" w:eastAsia="Arial" w:hAnsi="Arial" w:cs="Arial"/>
                <w:sz w:val="20"/>
                <w:szCs w:val="20"/>
              </w:rPr>
              <w:lastRenderedPageBreak/>
              <w:t>synthetic and real datasets</w:t>
            </w:r>
          </w:p>
        </w:tc>
        <w:tc>
          <w:tcPr>
            <w:tcW w:w="2079" w:type="dxa"/>
          </w:tcPr>
          <w:p w14:paraId="3559AAD4"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lastRenderedPageBreak/>
              <w:t>FedDQC</w:t>
            </w:r>
            <w:proofErr w:type="spellEnd"/>
            <w:r>
              <w:rPr>
                <w:rFonts w:ascii="Arial" w:eastAsia="Arial" w:hAnsi="Arial" w:cs="Arial"/>
                <w:sz w:val="20"/>
                <w:szCs w:val="20"/>
              </w:rPr>
              <w:t xml:space="preserve"> federated instruction-tuning with dynamic data quality control</w:t>
            </w:r>
          </w:p>
        </w:tc>
        <w:tc>
          <w:tcPr>
            <w:tcW w:w="2268" w:type="dxa"/>
          </w:tcPr>
          <w:p w14:paraId="4BFB4D73"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Privacy preservation via federated learning; client-side instruction response agreement </w:t>
            </w:r>
            <w:r>
              <w:rPr>
                <w:rFonts w:ascii="Arial" w:eastAsia="Arial" w:hAnsi="Arial" w:cs="Arial"/>
                <w:sz w:val="20"/>
                <w:szCs w:val="20"/>
              </w:rPr>
              <w:lastRenderedPageBreak/>
              <w:t>quality metric; hierarchical “easy-to-hard” tuning governance</w:t>
            </w:r>
          </w:p>
        </w:tc>
        <w:tc>
          <w:tcPr>
            <w:tcW w:w="2127" w:type="dxa"/>
          </w:tcPr>
          <w:p w14:paraId="02D704BB" w14:textId="77777777" w:rsidR="00AD10E3" w:rsidRDefault="00B66C14">
            <w:pPr>
              <w:jc w:val="both"/>
              <w:rPr>
                <w:rFonts w:ascii="Arial" w:eastAsia="Arial" w:hAnsi="Arial" w:cs="Arial"/>
                <w:sz w:val="20"/>
                <w:szCs w:val="20"/>
              </w:rPr>
            </w:pPr>
            <w:r>
              <w:rPr>
                <w:rFonts w:ascii="Arial" w:eastAsia="Arial" w:hAnsi="Arial" w:cs="Arial"/>
                <w:sz w:val="20"/>
                <w:szCs w:val="20"/>
              </w:rPr>
              <w:lastRenderedPageBreak/>
              <w:t>Instruction response agreement score and downstream task performance</w:t>
            </w:r>
          </w:p>
        </w:tc>
        <w:tc>
          <w:tcPr>
            <w:tcW w:w="2976" w:type="dxa"/>
          </w:tcPr>
          <w:p w14:paraId="0DDD2625" w14:textId="77777777" w:rsidR="00AD10E3" w:rsidRDefault="00B66C14">
            <w:pPr>
              <w:jc w:val="both"/>
              <w:rPr>
                <w:rFonts w:ascii="Arial" w:eastAsia="Arial" w:hAnsi="Arial" w:cs="Arial"/>
                <w:sz w:val="20"/>
                <w:szCs w:val="20"/>
              </w:rPr>
            </w:pPr>
            <w:r>
              <w:rPr>
                <w:rFonts w:ascii="Arial" w:eastAsia="Arial" w:hAnsi="Arial" w:cs="Arial"/>
                <w:sz w:val="20"/>
                <w:szCs w:val="20"/>
              </w:rPr>
              <w:t>Better tuning performance with mixed-quality private data</w:t>
            </w:r>
          </w:p>
        </w:tc>
      </w:tr>
      <w:tr w:rsidR="00AD10E3" w14:paraId="11EF7E61" w14:textId="77777777">
        <w:tc>
          <w:tcPr>
            <w:tcW w:w="1800" w:type="dxa"/>
          </w:tcPr>
          <w:p w14:paraId="28ACB0ED" w14:textId="77777777" w:rsidR="00AD10E3" w:rsidRDefault="00B66C14">
            <w:pPr>
              <w:jc w:val="both"/>
              <w:rPr>
                <w:rFonts w:ascii="Arial" w:eastAsia="Arial" w:hAnsi="Arial" w:cs="Arial"/>
                <w:sz w:val="20"/>
                <w:szCs w:val="20"/>
              </w:rPr>
            </w:pPr>
            <w:r>
              <w:rPr>
                <w:rFonts w:ascii="Arial" w:eastAsia="Arial" w:hAnsi="Arial" w:cs="Arial"/>
                <w:sz w:val="20"/>
                <w:szCs w:val="20"/>
              </w:rPr>
              <w:t>Eriksen and colleagues (2024)</w:t>
            </w:r>
          </w:p>
        </w:tc>
        <w:tc>
          <w:tcPr>
            <w:tcW w:w="1800" w:type="dxa"/>
          </w:tcPr>
          <w:p w14:paraId="040C3B5C" w14:textId="77777777" w:rsidR="00AD10E3" w:rsidRDefault="00B66C14">
            <w:pPr>
              <w:jc w:val="both"/>
              <w:rPr>
                <w:rFonts w:ascii="Arial" w:eastAsia="Arial" w:hAnsi="Arial" w:cs="Arial"/>
                <w:sz w:val="20"/>
                <w:szCs w:val="20"/>
              </w:rPr>
            </w:pPr>
            <w:r>
              <w:rPr>
                <w:rFonts w:ascii="Arial" w:eastAsia="Arial" w:hAnsi="Arial" w:cs="Arial"/>
                <w:sz w:val="20"/>
                <w:szCs w:val="20"/>
              </w:rPr>
              <w:t>Clinical decision support</w:t>
            </w:r>
          </w:p>
        </w:tc>
        <w:tc>
          <w:tcPr>
            <w:tcW w:w="1800" w:type="dxa"/>
          </w:tcPr>
          <w:p w14:paraId="644DE1EE" w14:textId="77777777" w:rsidR="00AD10E3" w:rsidRDefault="00B66C14">
            <w:pPr>
              <w:jc w:val="both"/>
              <w:rPr>
                <w:rFonts w:ascii="Arial" w:eastAsia="Arial" w:hAnsi="Arial" w:cs="Arial"/>
                <w:sz w:val="20"/>
                <w:szCs w:val="20"/>
              </w:rPr>
            </w:pPr>
            <w:r>
              <w:rPr>
                <w:rFonts w:ascii="Arial" w:eastAsia="Arial" w:hAnsi="Arial" w:cs="Arial"/>
                <w:sz w:val="20"/>
                <w:szCs w:val="20"/>
              </w:rPr>
              <w:t>Comparative diagnostic evaluation</w:t>
            </w:r>
          </w:p>
        </w:tc>
        <w:tc>
          <w:tcPr>
            <w:tcW w:w="2079" w:type="dxa"/>
          </w:tcPr>
          <w:p w14:paraId="1AE1596E"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used for diagnosis (no fine-tuning described)</w:t>
            </w:r>
          </w:p>
        </w:tc>
        <w:tc>
          <w:tcPr>
            <w:tcW w:w="2268" w:type="dxa"/>
          </w:tcPr>
          <w:p w14:paraId="52308F00" w14:textId="77777777" w:rsidR="00AD10E3" w:rsidRDefault="00B66C14">
            <w:pPr>
              <w:jc w:val="both"/>
              <w:rPr>
                <w:rFonts w:ascii="Arial" w:eastAsia="Arial" w:hAnsi="Arial" w:cs="Arial"/>
                <w:sz w:val="20"/>
                <w:szCs w:val="20"/>
              </w:rPr>
            </w:pPr>
            <w:r>
              <w:rPr>
                <w:rFonts w:ascii="Arial" w:eastAsia="Arial" w:hAnsi="Arial" w:cs="Arial"/>
                <w:sz w:val="20"/>
                <w:szCs w:val="20"/>
              </w:rPr>
              <w:t>Need for validation and ethical safeguards before deployment</w:t>
            </w:r>
          </w:p>
        </w:tc>
        <w:tc>
          <w:tcPr>
            <w:tcW w:w="2127" w:type="dxa"/>
          </w:tcPr>
          <w:p w14:paraId="2BEADC20" w14:textId="77777777" w:rsidR="00AD10E3" w:rsidRDefault="00B66C14">
            <w:pPr>
              <w:jc w:val="both"/>
              <w:rPr>
                <w:rFonts w:ascii="Arial" w:eastAsia="Arial" w:hAnsi="Arial" w:cs="Arial"/>
                <w:sz w:val="20"/>
                <w:szCs w:val="20"/>
              </w:rPr>
            </w:pPr>
            <w:r>
              <w:rPr>
                <w:rFonts w:ascii="Arial" w:eastAsia="Arial" w:hAnsi="Arial" w:cs="Arial"/>
                <w:sz w:val="20"/>
                <w:szCs w:val="20"/>
              </w:rPr>
              <w:t>Diagnostic success rate versus human readers</w:t>
            </w:r>
          </w:p>
        </w:tc>
        <w:tc>
          <w:tcPr>
            <w:tcW w:w="2976" w:type="dxa"/>
          </w:tcPr>
          <w:p w14:paraId="6C0B8B64"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correctly diagnosed 57 percent of complex cases</w:t>
            </w:r>
          </w:p>
        </w:tc>
      </w:tr>
      <w:tr w:rsidR="00AD10E3" w14:paraId="1903FE33" w14:textId="77777777">
        <w:tc>
          <w:tcPr>
            <w:tcW w:w="1800" w:type="dxa"/>
          </w:tcPr>
          <w:p w14:paraId="2BD01D3D" w14:textId="77777777" w:rsidR="00AD10E3" w:rsidRDefault="00B66C14">
            <w:pPr>
              <w:jc w:val="both"/>
              <w:rPr>
                <w:rFonts w:ascii="Arial" w:eastAsia="Arial" w:hAnsi="Arial" w:cs="Arial"/>
                <w:sz w:val="20"/>
                <w:szCs w:val="20"/>
              </w:rPr>
            </w:pPr>
            <w:r>
              <w:rPr>
                <w:rFonts w:ascii="Arial" w:eastAsia="Arial" w:hAnsi="Arial" w:cs="Arial"/>
                <w:sz w:val="20"/>
                <w:szCs w:val="20"/>
              </w:rPr>
              <w:t>Ge and colleagues (2024)</w:t>
            </w:r>
          </w:p>
        </w:tc>
        <w:tc>
          <w:tcPr>
            <w:tcW w:w="1800" w:type="dxa"/>
          </w:tcPr>
          <w:p w14:paraId="69FE8A5E" w14:textId="77777777" w:rsidR="00AD10E3" w:rsidRDefault="00B66C14">
            <w:pPr>
              <w:jc w:val="both"/>
              <w:rPr>
                <w:rFonts w:ascii="Arial" w:eastAsia="Arial" w:hAnsi="Arial" w:cs="Arial"/>
                <w:sz w:val="20"/>
                <w:szCs w:val="20"/>
              </w:rPr>
            </w:pPr>
            <w:r>
              <w:rPr>
                <w:rFonts w:ascii="Arial" w:eastAsia="Arial" w:hAnsi="Arial" w:cs="Arial"/>
                <w:sz w:val="20"/>
                <w:szCs w:val="20"/>
              </w:rPr>
              <w:t>Hepatology clinical decision support with protected health information</w:t>
            </w:r>
          </w:p>
        </w:tc>
        <w:tc>
          <w:tcPr>
            <w:tcW w:w="1800" w:type="dxa"/>
          </w:tcPr>
          <w:p w14:paraId="650F36DA" w14:textId="77777777" w:rsidR="00AD10E3" w:rsidRDefault="00B66C14">
            <w:pPr>
              <w:jc w:val="both"/>
              <w:rPr>
                <w:rFonts w:ascii="Arial" w:eastAsia="Arial" w:hAnsi="Arial" w:cs="Arial"/>
                <w:sz w:val="20"/>
                <w:szCs w:val="20"/>
              </w:rPr>
            </w:pPr>
            <w:r>
              <w:rPr>
                <w:rFonts w:ascii="Arial" w:eastAsia="Arial" w:hAnsi="Arial" w:cs="Arial"/>
                <w:sz w:val="20"/>
                <w:szCs w:val="20"/>
              </w:rPr>
              <w:t>Prototype with two-round evaluation by trainees and hepatologists</w:t>
            </w:r>
          </w:p>
        </w:tc>
        <w:tc>
          <w:tcPr>
            <w:tcW w:w="2079" w:type="dxa"/>
          </w:tcPr>
          <w:p w14:paraId="13B828F5" w14:textId="77777777" w:rsidR="00AD10E3" w:rsidRDefault="00B66C14">
            <w:pPr>
              <w:jc w:val="both"/>
              <w:rPr>
                <w:rFonts w:ascii="Arial" w:eastAsia="Arial" w:hAnsi="Arial" w:cs="Arial"/>
                <w:sz w:val="20"/>
                <w:szCs w:val="20"/>
              </w:rPr>
            </w:pPr>
            <w:r>
              <w:rPr>
                <w:rFonts w:ascii="Arial" w:eastAsia="Arial" w:hAnsi="Arial" w:cs="Arial"/>
                <w:sz w:val="20"/>
                <w:szCs w:val="20"/>
              </w:rPr>
              <w:t>Disease-specific retrieval-augmented generation large language model (</w:t>
            </w:r>
            <w:proofErr w:type="spellStart"/>
            <w:r>
              <w:rPr>
                <w:rFonts w:ascii="Arial" w:eastAsia="Arial" w:hAnsi="Arial" w:cs="Arial"/>
                <w:sz w:val="20"/>
                <w:szCs w:val="20"/>
              </w:rPr>
              <w:t>LiVersa</w:t>
            </w:r>
            <w:proofErr w:type="spellEnd"/>
            <w:r>
              <w:rPr>
                <w:rFonts w:ascii="Arial" w:eastAsia="Arial" w:hAnsi="Arial" w:cs="Arial"/>
                <w:sz w:val="20"/>
                <w:szCs w:val="20"/>
              </w:rPr>
              <w:t>)</w:t>
            </w:r>
          </w:p>
        </w:tc>
        <w:tc>
          <w:tcPr>
            <w:tcW w:w="2268" w:type="dxa"/>
          </w:tcPr>
          <w:p w14:paraId="1B07F7BA" w14:textId="77777777" w:rsidR="00AD10E3" w:rsidRDefault="00B66C14">
            <w:pPr>
              <w:jc w:val="both"/>
              <w:rPr>
                <w:rFonts w:ascii="Arial" w:eastAsia="Arial" w:hAnsi="Arial" w:cs="Arial"/>
                <w:sz w:val="20"/>
                <w:szCs w:val="20"/>
              </w:rPr>
            </w:pPr>
            <w:r>
              <w:rPr>
                <w:rFonts w:ascii="Arial" w:eastAsia="Arial" w:hAnsi="Arial" w:cs="Arial"/>
                <w:sz w:val="20"/>
                <w:szCs w:val="20"/>
              </w:rPr>
              <w:t>Protected health information–compliant retrieval-augmented generation; limited trusted document corpus as safety control</w:t>
            </w:r>
          </w:p>
        </w:tc>
        <w:tc>
          <w:tcPr>
            <w:tcW w:w="2127" w:type="dxa"/>
          </w:tcPr>
          <w:p w14:paraId="1BB7614E" w14:textId="77777777" w:rsidR="00AD10E3" w:rsidRDefault="00B66C14">
            <w:pPr>
              <w:jc w:val="both"/>
              <w:rPr>
                <w:rFonts w:ascii="Arial" w:eastAsia="Arial" w:hAnsi="Arial" w:cs="Arial"/>
                <w:sz w:val="20"/>
                <w:szCs w:val="20"/>
              </w:rPr>
            </w:pPr>
            <w:r>
              <w:rPr>
                <w:rFonts w:ascii="Arial" w:eastAsia="Arial" w:hAnsi="Arial" w:cs="Arial"/>
                <w:sz w:val="20"/>
                <w:szCs w:val="20"/>
              </w:rPr>
              <w:t>Accuracy and expert ratings for safety and comprehensiveness</w:t>
            </w:r>
          </w:p>
        </w:tc>
        <w:tc>
          <w:tcPr>
            <w:tcW w:w="2976" w:type="dxa"/>
          </w:tcPr>
          <w:p w14:paraId="651CB2CB" w14:textId="77777777" w:rsidR="00AD10E3" w:rsidRDefault="00B66C14">
            <w:pPr>
              <w:jc w:val="both"/>
              <w:rPr>
                <w:rFonts w:ascii="Arial" w:eastAsia="Arial" w:hAnsi="Arial" w:cs="Arial"/>
                <w:sz w:val="20"/>
                <w:szCs w:val="20"/>
              </w:rPr>
            </w:pPr>
            <w:r>
              <w:rPr>
                <w:rFonts w:ascii="Arial" w:eastAsia="Arial" w:hAnsi="Arial" w:cs="Arial"/>
                <w:sz w:val="20"/>
                <w:szCs w:val="20"/>
              </w:rPr>
              <w:t>More accurate than baselines; trade-off with reduced comprehensiveness due to corpus limits</w:t>
            </w:r>
          </w:p>
        </w:tc>
      </w:tr>
      <w:tr w:rsidR="00AD10E3" w14:paraId="6DDD5618" w14:textId="77777777">
        <w:tc>
          <w:tcPr>
            <w:tcW w:w="1800" w:type="dxa"/>
          </w:tcPr>
          <w:p w14:paraId="493BA5F2" w14:textId="77777777" w:rsidR="00AD10E3" w:rsidRDefault="00B66C14">
            <w:pPr>
              <w:jc w:val="both"/>
              <w:rPr>
                <w:rFonts w:ascii="Arial" w:eastAsia="Arial" w:hAnsi="Arial" w:cs="Arial"/>
                <w:sz w:val="20"/>
                <w:szCs w:val="20"/>
              </w:rPr>
            </w:pPr>
            <w:r>
              <w:rPr>
                <w:rFonts w:ascii="Arial" w:eastAsia="Arial" w:hAnsi="Arial" w:cs="Arial"/>
                <w:sz w:val="20"/>
                <w:szCs w:val="20"/>
              </w:rPr>
              <w:t>Hartman and colleagues (2023)</w:t>
            </w:r>
          </w:p>
        </w:tc>
        <w:tc>
          <w:tcPr>
            <w:tcW w:w="1800" w:type="dxa"/>
          </w:tcPr>
          <w:p w14:paraId="105A1054" w14:textId="77777777" w:rsidR="00AD10E3" w:rsidRDefault="00B66C14">
            <w:pPr>
              <w:jc w:val="both"/>
              <w:rPr>
                <w:rFonts w:ascii="Arial" w:eastAsia="Arial" w:hAnsi="Arial" w:cs="Arial"/>
                <w:sz w:val="20"/>
                <w:szCs w:val="20"/>
              </w:rPr>
            </w:pPr>
            <w:r>
              <w:rPr>
                <w:rFonts w:ascii="Arial" w:eastAsia="Arial" w:hAnsi="Arial" w:cs="Arial"/>
                <w:sz w:val="20"/>
                <w:szCs w:val="20"/>
              </w:rPr>
              <w:t>Hospital electronic health record documentation</w:t>
            </w:r>
          </w:p>
        </w:tc>
        <w:tc>
          <w:tcPr>
            <w:tcW w:w="1800" w:type="dxa"/>
          </w:tcPr>
          <w:p w14:paraId="6A313111" w14:textId="77777777" w:rsidR="00AD10E3" w:rsidRDefault="00B66C14">
            <w:pPr>
              <w:jc w:val="both"/>
              <w:rPr>
                <w:rFonts w:ascii="Arial" w:eastAsia="Arial" w:hAnsi="Arial" w:cs="Arial"/>
                <w:sz w:val="20"/>
                <w:szCs w:val="20"/>
              </w:rPr>
            </w:pPr>
            <w:r>
              <w:rPr>
                <w:rFonts w:ascii="Arial" w:eastAsia="Arial" w:hAnsi="Arial" w:cs="Arial"/>
                <w:sz w:val="20"/>
                <w:szCs w:val="20"/>
              </w:rPr>
              <w:t>Model development with blind clinician evaluation</w:t>
            </w:r>
          </w:p>
        </w:tc>
        <w:tc>
          <w:tcPr>
            <w:tcW w:w="2079" w:type="dxa"/>
          </w:tcPr>
          <w:p w14:paraId="7C344F1C" w14:textId="77777777" w:rsidR="00AD10E3" w:rsidRDefault="00B66C14">
            <w:pPr>
              <w:jc w:val="both"/>
              <w:rPr>
                <w:rFonts w:ascii="Arial" w:eastAsia="Arial" w:hAnsi="Arial" w:cs="Arial"/>
                <w:sz w:val="20"/>
                <w:szCs w:val="20"/>
              </w:rPr>
            </w:pPr>
            <w:r>
              <w:rPr>
                <w:rFonts w:ascii="Arial" w:eastAsia="Arial" w:hAnsi="Arial" w:cs="Arial"/>
                <w:sz w:val="20"/>
                <w:szCs w:val="20"/>
              </w:rPr>
              <w:t>Fine-tuned Bidirectional Encoder Representations from Transformers and Bidirectional and Auto-Regressive Transformers summarizers</w:t>
            </w:r>
          </w:p>
        </w:tc>
        <w:tc>
          <w:tcPr>
            <w:tcW w:w="2268" w:type="dxa"/>
          </w:tcPr>
          <w:p w14:paraId="7DCBE1A0" w14:textId="77777777" w:rsidR="00AD10E3" w:rsidRDefault="00B66C14">
            <w:pPr>
              <w:jc w:val="both"/>
              <w:rPr>
                <w:rFonts w:ascii="Arial" w:eastAsia="Arial" w:hAnsi="Arial" w:cs="Arial"/>
                <w:sz w:val="20"/>
                <w:szCs w:val="20"/>
              </w:rPr>
            </w:pPr>
            <w:r>
              <w:rPr>
                <w:rFonts w:ascii="Arial" w:eastAsia="Arial" w:hAnsi="Arial" w:cs="Arial"/>
                <w:sz w:val="20"/>
                <w:szCs w:val="20"/>
              </w:rPr>
              <w:t>Factuality-first generation; clinician quality thresholding</w:t>
            </w:r>
          </w:p>
        </w:tc>
        <w:tc>
          <w:tcPr>
            <w:tcW w:w="2127" w:type="dxa"/>
          </w:tcPr>
          <w:p w14:paraId="119BAC1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Recall-Oriented Understudy for </w:t>
            </w:r>
            <w:proofErr w:type="spellStart"/>
            <w:r>
              <w:rPr>
                <w:rFonts w:ascii="Arial" w:eastAsia="Arial" w:hAnsi="Arial" w:cs="Arial"/>
                <w:sz w:val="20"/>
                <w:szCs w:val="20"/>
              </w:rPr>
              <w:t>Gisting</w:t>
            </w:r>
            <w:proofErr w:type="spellEnd"/>
            <w:r>
              <w:rPr>
                <w:rFonts w:ascii="Arial" w:eastAsia="Arial" w:hAnsi="Arial" w:cs="Arial"/>
                <w:sz w:val="20"/>
                <w:szCs w:val="20"/>
              </w:rPr>
              <w:t xml:space="preserve"> Evaluation scores; blind physician standard-of-care rating</w:t>
            </w:r>
          </w:p>
        </w:tc>
        <w:tc>
          <w:tcPr>
            <w:tcW w:w="2976" w:type="dxa"/>
          </w:tcPr>
          <w:p w14:paraId="1C25B6AA"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Recall-Oriented Understudy for </w:t>
            </w:r>
            <w:proofErr w:type="spellStart"/>
            <w:r>
              <w:rPr>
                <w:rFonts w:ascii="Arial" w:eastAsia="Arial" w:hAnsi="Arial" w:cs="Arial"/>
                <w:sz w:val="20"/>
                <w:szCs w:val="20"/>
              </w:rPr>
              <w:t>Gisting</w:t>
            </w:r>
            <w:proofErr w:type="spellEnd"/>
            <w:r>
              <w:rPr>
                <w:rFonts w:ascii="Arial" w:eastAsia="Arial" w:hAnsi="Arial" w:cs="Arial"/>
                <w:sz w:val="20"/>
                <w:szCs w:val="20"/>
              </w:rPr>
              <w:t xml:space="preserve"> Evaluation bigram score 13.76; 62 percent summaries met standard of care</w:t>
            </w:r>
          </w:p>
        </w:tc>
      </w:tr>
      <w:tr w:rsidR="00AD10E3" w14:paraId="71437DDE" w14:textId="77777777">
        <w:tc>
          <w:tcPr>
            <w:tcW w:w="1800" w:type="dxa"/>
          </w:tcPr>
          <w:p w14:paraId="5F3CDBB7" w14:textId="77777777" w:rsidR="00AD10E3" w:rsidRDefault="00B66C14">
            <w:pPr>
              <w:jc w:val="both"/>
              <w:rPr>
                <w:rFonts w:ascii="Arial" w:eastAsia="Arial" w:hAnsi="Arial" w:cs="Arial"/>
                <w:sz w:val="20"/>
                <w:szCs w:val="20"/>
              </w:rPr>
            </w:pPr>
            <w:r>
              <w:rPr>
                <w:rFonts w:ascii="Arial" w:eastAsia="Arial" w:hAnsi="Arial" w:cs="Arial"/>
                <w:sz w:val="20"/>
                <w:szCs w:val="20"/>
              </w:rPr>
              <w:t>Jiang and colleagues (2025)</w:t>
            </w:r>
          </w:p>
        </w:tc>
        <w:tc>
          <w:tcPr>
            <w:tcW w:w="1800" w:type="dxa"/>
          </w:tcPr>
          <w:p w14:paraId="3CC5E534" w14:textId="77777777" w:rsidR="00AD10E3" w:rsidRDefault="00B66C14">
            <w:pPr>
              <w:jc w:val="both"/>
              <w:rPr>
                <w:rFonts w:ascii="Arial" w:eastAsia="Arial" w:hAnsi="Arial" w:cs="Arial"/>
                <w:sz w:val="20"/>
                <w:szCs w:val="20"/>
              </w:rPr>
            </w:pPr>
            <w:r>
              <w:rPr>
                <w:rFonts w:ascii="Arial" w:eastAsia="Arial" w:hAnsi="Arial" w:cs="Arial"/>
                <w:sz w:val="20"/>
                <w:szCs w:val="20"/>
              </w:rPr>
              <w:t>Finance regulatory operations</w:t>
            </w:r>
          </w:p>
        </w:tc>
        <w:tc>
          <w:tcPr>
            <w:tcW w:w="1800" w:type="dxa"/>
          </w:tcPr>
          <w:p w14:paraId="0EF6E10C" w14:textId="77777777" w:rsidR="00AD10E3" w:rsidRDefault="00B66C14">
            <w:pPr>
              <w:jc w:val="both"/>
              <w:rPr>
                <w:rFonts w:ascii="Arial" w:eastAsia="Arial" w:hAnsi="Arial" w:cs="Arial"/>
                <w:sz w:val="20"/>
                <w:szCs w:val="20"/>
              </w:rPr>
            </w:pPr>
            <w:r>
              <w:rPr>
                <w:rFonts w:ascii="Arial" w:eastAsia="Arial" w:hAnsi="Arial" w:cs="Arial"/>
                <w:sz w:val="20"/>
                <w:szCs w:val="20"/>
              </w:rPr>
              <w:t>Shared task case study in computational linguistics conference workshop</w:t>
            </w:r>
          </w:p>
        </w:tc>
        <w:tc>
          <w:tcPr>
            <w:tcW w:w="2079" w:type="dxa"/>
          </w:tcPr>
          <w:p w14:paraId="30244514" w14:textId="77777777" w:rsidR="00AD10E3" w:rsidRDefault="00B66C14">
            <w:pPr>
              <w:jc w:val="both"/>
              <w:rPr>
                <w:rFonts w:ascii="Arial" w:eastAsia="Arial" w:hAnsi="Arial" w:cs="Arial"/>
                <w:sz w:val="20"/>
                <w:szCs w:val="20"/>
              </w:rPr>
            </w:pPr>
            <w:r>
              <w:rPr>
                <w:rFonts w:ascii="Arial" w:eastAsia="Arial" w:hAnsi="Arial" w:cs="Arial"/>
                <w:sz w:val="20"/>
                <w:szCs w:val="20"/>
              </w:rPr>
              <w:t>Reg-</w:t>
            </w:r>
            <w:proofErr w:type="spellStart"/>
            <w:r>
              <w:rPr>
                <w:rFonts w:ascii="Arial" w:eastAsia="Arial" w:hAnsi="Arial" w:cs="Arial"/>
                <w:sz w:val="20"/>
                <w:szCs w:val="20"/>
              </w:rPr>
              <w:t>LLaMA</w:t>
            </w:r>
            <w:proofErr w:type="spellEnd"/>
            <w:r>
              <w:rPr>
                <w:rFonts w:ascii="Arial" w:eastAsia="Arial" w:hAnsi="Arial" w:cs="Arial"/>
                <w:sz w:val="20"/>
                <w:szCs w:val="20"/>
              </w:rPr>
              <w:t xml:space="preserve"> fine-tuned Llama model on curated regulatory dataset</w:t>
            </w:r>
          </w:p>
        </w:tc>
        <w:tc>
          <w:tcPr>
            <w:tcW w:w="2268" w:type="dxa"/>
          </w:tcPr>
          <w:p w14:paraId="7A7AE12F" w14:textId="77777777" w:rsidR="00AD10E3" w:rsidRDefault="00B66C14">
            <w:pPr>
              <w:jc w:val="both"/>
              <w:rPr>
                <w:rFonts w:ascii="Arial" w:eastAsia="Arial" w:hAnsi="Arial" w:cs="Arial"/>
                <w:sz w:val="20"/>
                <w:szCs w:val="20"/>
              </w:rPr>
            </w:pPr>
            <w:r>
              <w:rPr>
                <w:rFonts w:ascii="Arial" w:eastAsia="Arial" w:hAnsi="Arial" w:cs="Arial"/>
                <w:sz w:val="20"/>
                <w:szCs w:val="20"/>
              </w:rPr>
              <w:t>Dataset governance pipeline: filtering, semantic screening, and deduplication; regulatory grounding</w:t>
            </w:r>
          </w:p>
        </w:tc>
        <w:tc>
          <w:tcPr>
            <w:tcW w:w="2127" w:type="dxa"/>
          </w:tcPr>
          <w:p w14:paraId="571DCEDE" w14:textId="77777777" w:rsidR="00AD10E3" w:rsidRDefault="00B66C14">
            <w:pPr>
              <w:jc w:val="both"/>
              <w:rPr>
                <w:rFonts w:ascii="Arial" w:eastAsia="Arial" w:hAnsi="Arial" w:cs="Arial"/>
                <w:sz w:val="20"/>
                <w:szCs w:val="20"/>
              </w:rPr>
            </w:pPr>
            <w:r>
              <w:rPr>
                <w:rFonts w:ascii="Arial" w:eastAsia="Arial" w:hAnsi="Arial" w:cs="Arial"/>
                <w:sz w:val="20"/>
                <w:szCs w:val="20"/>
              </w:rPr>
              <w:t>Benchmark scores on regulatory task suites</w:t>
            </w:r>
          </w:p>
        </w:tc>
        <w:tc>
          <w:tcPr>
            <w:tcW w:w="2976" w:type="dxa"/>
          </w:tcPr>
          <w:p w14:paraId="2D961229" w14:textId="77777777" w:rsidR="00AD10E3" w:rsidRDefault="00B66C14">
            <w:pPr>
              <w:jc w:val="both"/>
              <w:rPr>
                <w:rFonts w:ascii="Arial" w:eastAsia="Arial" w:hAnsi="Arial" w:cs="Arial"/>
                <w:sz w:val="20"/>
                <w:szCs w:val="20"/>
              </w:rPr>
            </w:pPr>
            <w:r>
              <w:rPr>
                <w:rFonts w:ascii="Arial" w:eastAsia="Arial" w:hAnsi="Arial" w:cs="Arial"/>
                <w:sz w:val="20"/>
                <w:szCs w:val="20"/>
              </w:rPr>
              <w:t>Specialized model outperformed baselines on regulatory extraction and interpretation tasks</w:t>
            </w:r>
          </w:p>
        </w:tc>
      </w:tr>
      <w:tr w:rsidR="00AD10E3" w14:paraId="24070A13" w14:textId="77777777">
        <w:tc>
          <w:tcPr>
            <w:tcW w:w="1800" w:type="dxa"/>
          </w:tcPr>
          <w:p w14:paraId="454098B9" w14:textId="77777777" w:rsidR="00AD10E3" w:rsidRDefault="00B66C14">
            <w:pPr>
              <w:jc w:val="both"/>
              <w:rPr>
                <w:rFonts w:ascii="Arial" w:eastAsia="Arial" w:hAnsi="Arial" w:cs="Arial"/>
                <w:sz w:val="20"/>
                <w:szCs w:val="20"/>
              </w:rPr>
            </w:pPr>
            <w:r>
              <w:rPr>
                <w:rFonts w:ascii="Arial" w:eastAsia="Arial" w:hAnsi="Arial" w:cs="Arial"/>
                <w:sz w:val="20"/>
                <w:szCs w:val="20"/>
              </w:rPr>
              <w:t>Jin and colleagues (2024)</w:t>
            </w:r>
          </w:p>
        </w:tc>
        <w:tc>
          <w:tcPr>
            <w:tcW w:w="1800" w:type="dxa"/>
          </w:tcPr>
          <w:p w14:paraId="5A2FBA69" w14:textId="77777777" w:rsidR="00AD10E3" w:rsidRDefault="00B66C14">
            <w:pPr>
              <w:jc w:val="both"/>
              <w:rPr>
                <w:rFonts w:ascii="Arial" w:eastAsia="Arial" w:hAnsi="Arial" w:cs="Arial"/>
                <w:sz w:val="20"/>
                <w:szCs w:val="20"/>
              </w:rPr>
            </w:pPr>
            <w:r>
              <w:rPr>
                <w:rFonts w:ascii="Arial" w:eastAsia="Arial" w:hAnsi="Arial" w:cs="Arial"/>
                <w:sz w:val="20"/>
                <w:szCs w:val="20"/>
              </w:rPr>
              <w:t>Clinical trial recruitment using patient records</w:t>
            </w:r>
          </w:p>
        </w:tc>
        <w:tc>
          <w:tcPr>
            <w:tcW w:w="1800" w:type="dxa"/>
          </w:tcPr>
          <w:p w14:paraId="740F39BD" w14:textId="77777777" w:rsidR="00AD10E3" w:rsidRDefault="00B66C14">
            <w:pPr>
              <w:jc w:val="both"/>
              <w:rPr>
                <w:rFonts w:ascii="Arial" w:eastAsia="Arial" w:hAnsi="Arial" w:cs="Arial"/>
                <w:sz w:val="20"/>
                <w:szCs w:val="20"/>
              </w:rPr>
            </w:pPr>
            <w:r>
              <w:rPr>
                <w:rFonts w:ascii="Arial" w:eastAsia="Arial" w:hAnsi="Arial" w:cs="Arial"/>
                <w:sz w:val="20"/>
                <w:szCs w:val="20"/>
              </w:rPr>
              <w:t>Large-scale evaluation with expert review and user study</w:t>
            </w:r>
          </w:p>
        </w:tc>
        <w:tc>
          <w:tcPr>
            <w:tcW w:w="2079" w:type="dxa"/>
          </w:tcPr>
          <w:p w14:paraId="07270193"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TrialGPT</w:t>
            </w:r>
            <w:proofErr w:type="spellEnd"/>
            <w:r>
              <w:rPr>
                <w:rFonts w:ascii="Arial" w:eastAsia="Arial" w:hAnsi="Arial" w:cs="Arial"/>
                <w:sz w:val="20"/>
                <w:szCs w:val="20"/>
              </w:rPr>
              <w:t xml:space="preserve"> modular pipeline: retrieval, eligibility matching, and ranking</w:t>
            </w:r>
          </w:p>
        </w:tc>
        <w:tc>
          <w:tcPr>
            <w:tcW w:w="2268" w:type="dxa"/>
          </w:tcPr>
          <w:p w14:paraId="7E7405E4" w14:textId="77777777" w:rsidR="00AD10E3" w:rsidRDefault="00B66C14">
            <w:pPr>
              <w:jc w:val="both"/>
              <w:rPr>
                <w:rFonts w:ascii="Arial" w:eastAsia="Arial" w:hAnsi="Arial" w:cs="Arial"/>
                <w:sz w:val="20"/>
                <w:szCs w:val="20"/>
              </w:rPr>
            </w:pPr>
            <w:r>
              <w:rPr>
                <w:rFonts w:ascii="Arial" w:eastAsia="Arial" w:hAnsi="Arial" w:cs="Arial"/>
                <w:sz w:val="20"/>
                <w:szCs w:val="20"/>
              </w:rPr>
              <w:t>Staged filtering; faithful explanations as governance control</w:t>
            </w:r>
          </w:p>
        </w:tc>
        <w:tc>
          <w:tcPr>
            <w:tcW w:w="2127" w:type="dxa"/>
          </w:tcPr>
          <w:p w14:paraId="44130373" w14:textId="77777777" w:rsidR="00AD10E3" w:rsidRDefault="00B66C14">
            <w:pPr>
              <w:jc w:val="both"/>
              <w:rPr>
                <w:rFonts w:ascii="Arial" w:eastAsia="Arial" w:hAnsi="Arial" w:cs="Arial"/>
                <w:sz w:val="20"/>
                <w:szCs w:val="20"/>
              </w:rPr>
            </w:pPr>
            <w:r>
              <w:rPr>
                <w:rFonts w:ascii="Arial" w:eastAsia="Arial" w:hAnsi="Arial" w:cs="Arial"/>
                <w:sz w:val="20"/>
                <w:szCs w:val="20"/>
              </w:rPr>
              <w:t>Matching accuracy, screening time, and ranking correlation with humans</w:t>
            </w:r>
          </w:p>
        </w:tc>
        <w:tc>
          <w:tcPr>
            <w:tcW w:w="2976" w:type="dxa"/>
          </w:tcPr>
          <w:p w14:paraId="287823ED" w14:textId="77777777" w:rsidR="00AD10E3" w:rsidRDefault="00B66C14">
            <w:pPr>
              <w:jc w:val="both"/>
              <w:rPr>
                <w:rFonts w:ascii="Arial" w:eastAsia="Arial" w:hAnsi="Arial" w:cs="Arial"/>
                <w:sz w:val="20"/>
                <w:szCs w:val="20"/>
              </w:rPr>
            </w:pPr>
            <w:r>
              <w:rPr>
                <w:rFonts w:ascii="Arial" w:eastAsia="Arial" w:hAnsi="Arial" w:cs="Arial"/>
                <w:sz w:val="20"/>
                <w:szCs w:val="20"/>
              </w:rPr>
              <w:t>Matching accuracy 87.3 percent; screening time reduced by 42.6 percent</w:t>
            </w:r>
          </w:p>
        </w:tc>
      </w:tr>
      <w:tr w:rsidR="00AD10E3" w14:paraId="1AFB46AE" w14:textId="77777777">
        <w:tc>
          <w:tcPr>
            <w:tcW w:w="1800" w:type="dxa"/>
          </w:tcPr>
          <w:p w14:paraId="3D1A3F9D" w14:textId="77777777" w:rsidR="00AD10E3" w:rsidRDefault="00B66C14">
            <w:pPr>
              <w:jc w:val="both"/>
              <w:rPr>
                <w:rFonts w:ascii="Arial" w:eastAsia="Arial" w:hAnsi="Arial" w:cs="Arial"/>
                <w:sz w:val="20"/>
                <w:szCs w:val="20"/>
              </w:rPr>
            </w:pPr>
            <w:r>
              <w:rPr>
                <w:rFonts w:ascii="Arial" w:eastAsia="Arial" w:hAnsi="Arial" w:cs="Arial"/>
                <w:sz w:val="20"/>
                <w:szCs w:val="20"/>
              </w:rPr>
              <w:t>Kim and colleagues (2024)</w:t>
            </w:r>
          </w:p>
        </w:tc>
        <w:tc>
          <w:tcPr>
            <w:tcW w:w="1800" w:type="dxa"/>
          </w:tcPr>
          <w:p w14:paraId="3307332B" w14:textId="77777777" w:rsidR="00AD10E3" w:rsidRDefault="00B66C14">
            <w:pPr>
              <w:jc w:val="both"/>
              <w:rPr>
                <w:rFonts w:ascii="Arial" w:eastAsia="Arial" w:hAnsi="Arial" w:cs="Arial"/>
                <w:sz w:val="20"/>
                <w:szCs w:val="20"/>
              </w:rPr>
            </w:pPr>
            <w:r>
              <w:rPr>
                <w:rFonts w:ascii="Arial" w:eastAsia="Arial" w:hAnsi="Arial" w:cs="Arial"/>
                <w:sz w:val="20"/>
                <w:szCs w:val="20"/>
              </w:rPr>
              <w:t>Hospital discharge communication</w:t>
            </w:r>
          </w:p>
        </w:tc>
        <w:tc>
          <w:tcPr>
            <w:tcW w:w="1800" w:type="dxa"/>
          </w:tcPr>
          <w:p w14:paraId="3642B6E3" w14:textId="77777777" w:rsidR="00AD10E3" w:rsidRDefault="00B66C14">
            <w:pPr>
              <w:jc w:val="both"/>
              <w:rPr>
                <w:rFonts w:ascii="Arial" w:eastAsia="Arial" w:hAnsi="Arial" w:cs="Arial"/>
                <w:sz w:val="20"/>
                <w:szCs w:val="20"/>
              </w:rPr>
            </w:pPr>
            <w:r>
              <w:rPr>
                <w:rFonts w:ascii="Arial" w:eastAsia="Arial" w:hAnsi="Arial" w:cs="Arial"/>
                <w:sz w:val="20"/>
                <w:szCs w:val="20"/>
              </w:rPr>
              <w:t>Development and validation on 100 discharge documents</w:t>
            </w:r>
          </w:p>
        </w:tc>
        <w:tc>
          <w:tcPr>
            <w:tcW w:w="2079" w:type="dxa"/>
          </w:tcPr>
          <w:p w14:paraId="386EFA22" w14:textId="77777777" w:rsidR="00AD10E3" w:rsidRDefault="00B66C14">
            <w:pPr>
              <w:jc w:val="both"/>
              <w:rPr>
                <w:rFonts w:ascii="Arial" w:eastAsia="Arial" w:hAnsi="Arial" w:cs="Arial"/>
                <w:sz w:val="20"/>
                <w:szCs w:val="20"/>
              </w:rPr>
            </w:pPr>
            <w:r>
              <w:rPr>
                <w:rFonts w:ascii="Arial" w:eastAsia="Arial" w:hAnsi="Arial" w:cs="Arial"/>
                <w:sz w:val="20"/>
                <w:szCs w:val="20"/>
              </w:rPr>
              <w:t>ChatGPT with zero-shot, one-shot, and few-shot prompts</w:t>
            </w:r>
          </w:p>
        </w:tc>
        <w:tc>
          <w:tcPr>
            <w:tcW w:w="2268" w:type="dxa"/>
          </w:tcPr>
          <w:p w14:paraId="147EB1C3" w14:textId="77777777" w:rsidR="00AD10E3" w:rsidRDefault="00B66C14">
            <w:pPr>
              <w:jc w:val="both"/>
              <w:rPr>
                <w:rFonts w:ascii="Arial" w:eastAsia="Arial" w:hAnsi="Arial" w:cs="Arial"/>
                <w:sz w:val="20"/>
                <w:szCs w:val="20"/>
              </w:rPr>
            </w:pPr>
            <w:r>
              <w:rPr>
                <w:rFonts w:ascii="Arial" w:eastAsia="Arial" w:hAnsi="Arial" w:cs="Arial"/>
                <w:sz w:val="20"/>
                <w:szCs w:val="20"/>
              </w:rPr>
              <w:t>Prompt safety optimization; misinformation checks</w:t>
            </w:r>
          </w:p>
        </w:tc>
        <w:tc>
          <w:tcPr>
            <w:tcW w:w="2127" w:type="dxa"/>
          </w:tcPr>
          <w:p w14:paraId="5B763D49" w14:textId="77777777" w:rsidR="00AD10E3" w:rsidRDefault="00B66C14">
            <w:pPr>
              <w:jc w:val="both"/>
              <w:rPr>
                <w:rFonts w:ascii="Arial" w:eastAsia="Arial" w:hAnsi="Arial" w:cs="Arial"/>
                <w:sz w:val="20"/>
                <w:szCs w:val="20"/>
              </w:rPr>
            </w:pPr>
            <w:r>
              <w:rPr>
                <w:rFonts w:ascii="Arial" w:eastAsia="Arial" w:hAnsi="Arial" w:cs="Arial"/>
                <w:sz w:val="20"/>
                <w:szCs w:val="20"/>
              </w:rPr>
              <w:t>Expert Likert ratings on factuality, usability, and fluency</w:t>
            </w:r>
          </w:p>
        </w:tc>
        <w:tc>
          <w:tcPr>
            <w:tcW w:w="2976" w:type="dxa"/>
          </w:tcPr>
          <w:p w14:paraId="621A033E" w14:textId="77777777" w:rsidR="00AD10E3" w:rsidRDefault="00B66C14">
            <w:pPr>
              <w:jc w:val="both"/>
              <w:rPr>
                <w:rFonts w:ascii="Arial" w:eastAsia="Arial" w:hAnsi="Arial" w:cs="Arial"/>
                <w:sz w:val="20"/>
                <w:szCs w:val="20"/>
              </w:rPr>
            </w:pPr>
            <w:r>
              <w:rPr>
                <w:rFonts w:ascii="Arial" w:eastAsia="Arial" w:hAnsi="Arial" w:cs="Arial"/>
                <w:sz w:val="20"/>
                <w:szCs w:val="20"/>
              </w:rPr>
              <w:t>Few-shot and one-shot prompts produced acceptable summaries with low misinformation</w:t>
            </w:r>
          </w:p>
        </w:tc>
      </w:tr>
      <w:tr w:rsidR="00AD10E3" w14:paraId="13889E5B" w14:textId="77777777">
        <w:tc>
          <w:tcPr>
            <w:tcW w:w="1800" w:type="dxa"/>
          </w:tcPr>
          <w:p w14:paraId="34D33CEE" w14:textId="77777777" w:rsidR="00AD10E3" w:rsidRDefault="00B66C14">
            <w:pPr>
              <w:jc w:val="both"/>
              <w:rPr>
                <w:rFonts w:ascii="Arial" w:eastAsia="Arial" w:hAnsi="Arial" w:cs="Arial"/>
                <w:sz w:val="20"/>
                <w:szCs w:val="20"/>
              </w:rPr>
            </w:pPr>
            <w:r>
              <w:rPr>
                <w:rFonts w:ascii="Arial" w:eastAsia="Arial" w:hAnsi="Arial" w:cs="Arial"/>
                <w:sz w:val="20"/>
                <w:szCs w:val="20"/>
              </w:rPr>
              <w:t>Koh and colleagues (2025)</w:t>
            </w:r>
          </w:p>
        </w:tc>
        <w:tc>
          <w:tcPr>
            <w:tcW w:w="1800" w:type="dxa"/>
          </w:tcPr>
          <w:p w14:paraId="26D54763" w14:textId="77777777" w:rsidR="00AD10E3" w:rsidRDefault="00B66C14">
            <w:pPr>
              <w:jc w:val="both"/>
              <w:rPr>
                <w:rFonts w:ascii="Arial" w:eastAsia="Arial" w:hAnsi="Arial" w:cs="Arial"/>
                <w:sz w:val="20"/>
                <w:szCs w:val="20"/>
              </w:rPr>
            </w:pPr>
            <w:r>
              <w:rPr>
                <w:rFonts w:ascii="Arial" w:eastAsia="Arial" w:hAnsi="Arial" w:cs="Arial"/>
                <w:sz w:val="20"/>
                <w:szCs w:val="20"/>
              </w:rPr>
              <w:t>Infectious disease inpatient service</w:t>
            </w:r>
          </w:p>
        </w:tc>
        <w:tc>
          <w:tcPr>
            <w:tcW w:w="1800" w:type="dxa"/>
          </w:tcPr>
          <w:p w14:paraId="5F205B08" w14:textId="77777777" w:rsidR="00AD10E3" w:rsidRDefault="00B66C14">
            <w:pPr>
              <w:jc w:val="both"/>
              <w:rPr>
                <w:rFonts w:ascii="Arial" w:eastAsia="Arial" w:hAnsi="Arial" w:cs="Arial"/>
                <w:sz w:val="20"/>
                <w:szCs w:val="20"/>
              </w:rPr>
            </w:pPr>
            <w:r>
              <w:rPr>
                <w:rFonts w:ascii="Arial" w:eastAsia="Arial" w:hAnsi="Arial" w:cs="Arial"/>
                <w:sz w:val="20"/>
                <w:szCs w:val="20"/>
              </w:rPr>
              <w:t>Scenario-based empirical evaluation</w:t>
            </w:r>
          </w:p>
        </w:tc>
        <w:tc>
          <w:tcPr>
            <w:tcW w:w="2079" w:type="dxa"/>
          </w:tcPr>
          <w:p w14:paraId="77513957" w14:textId="77777777" w:rsidR="00AD10E3" w:rsidRDefault="00B66C14">
            <w:pPr>
              <w:jc w:val="both"/>
              <w:rPr>
                <w:rFonts w:ascii="Arial" w:eastAsia="Arial" w:hAnsi="Arial" w:cs="Arial"/>
                <w:sz w:val="20"/>
                <w:szCs w:val="20"/>
              </w:rPr>
            </w:pPr>
            <w:r>
              <w:rPr>
                <w:rFonts w:ascii="Arial" w:eastAsia="Arial" w:hAnsi="Arial" w:cs="Arial"/>
                <w:sz w:val="20"/>
                <w:szCs w:val="20"/>
              </w:rPr>
              <w:t>ChatGPT for structured discharge summaries</w:t>
            </w:r>
          </w:p>
        </w:tc>
        <w:tc>
          <w:tcPr>
            <w:tcW w:w="2268" w:type="dxa"/>
          </w:tcPr>
          <w:p w14:paraId="0211ACFB" w14:textId="77777777" w:rsidR="00AD10E3" w:rsidRDefault="00B66C14">
            <w:pPr>
              <w:jc w:val="both"/>
              <w:rPr>
                <w:rFonts w:ascii="Arial" w:eastAsia="Arial" w:hAnsi="Arial" w:cs="Arial"/>
                <w:sz w:val="20"/>
                <w:szCs w:val="20"/>
              </w:rPr>
            </w:pPr>
            <w:r>
              <w:rPr>
                <w:rFonts w:ascii="Arial" w:eastAsia="Arial" w:hAnsi="Arial" w:cs="Arial"/>
                <w:sz w:val="20"/>
                <w:szCs w:val="20"/>
              </w:rPr>
              <w:t>Human verification policy to manage errors and hallucinations</w:t>
            </w:r>
          </w:p>
        </w:tc>
        <w:tc>
          <w:tcPr>
            <w:tcW w:w="2127" w:type="dxa"/>
          </w:tcPr>
          <w:p w14:paraId="7B25BBB9" w14:textId="77777777" w:rsidR="00AD10E3" w:rsidRDefault="00B66C14">
            <w:pPr>
              <w:jc w:val="both"/>
              <w:rPr>
                <w:rFonts w:ascii="Arial" w:eastAsia="Arial" w:hAnsi="Arial" w:cs="Arial"/>
                <w:sz w:val="20"/>
                <w:szCs w:val="20"/>
              </w:rPr>
            </w:pPr>
            <w:r>
              <w:rPr>
                <w:rFonts w:ascii="Arial" w:eastAsia="Arial" w:hAnsi="Arial" w:cs="Arial"/>
                <w:sz w:val="20"/>
                <w:szCs w:val="20"/>
              </w:rPr>
              <w:t>Expert quality appraisal of outputs</w:t>
            </w:r>
          </w:p>
        </w:tc>
        <w:tc>
          <w:tcPr>
            <w:tcW w:w="2976" w:type="dxa"/>
          </w:tcPr>
          <w:p w14:paraId="719F9E4B" w14:textId="77777777" w:rsidR="00AD10E3" w:rsidRDefault="00B66C14">
            <w:pPr>
              <w:jc w:val="both"/>
              <w:rPr>
                <w:rFonts w:ascii="Arial" w:eastAsia="Arial" w:hAnsi="Arial" w:cs="Arial"/>
                <w:sz w:val="20"/>
                <w:szCs w:val="20"/>
              </w:rPr>
            </w:pPr>
            <w:r>
              <w:rPr>
                <w:rFonts w:ascii="Arial" w:eastAsia="Arial" w:hAnsi="Arial" w:cs="Arial"/>
                <w:sz w:val="20"/>
                <w:szCs w:val="20"/>
              </w:rPr>
              <w:t>Framework useful but requires close clinician review</w:t>
            </w:r>
          </w:p>
        </w:tc>
      </w:tr>
      <w:tr w:rsidR="00AD10E3" w14:paraId="2AAD979A" w14:textId="77777777">
        <w:tc>
          <w:tcPr>
            <w:tcW w:w="1800" w:type="dxa"/>
          </w:tcPr>
          <w:p w14:paraId="7B2FCD51" w14:textId="77777777" w:rsidR="00AD10E3" w:rsidRDefault="00B66C14">
            <w:pPr>
              <w:jc w:val="both"/>
              <w:rPr>
                <w:rFonts w:ascii="Arial" w:eastAsia="Arial" w:hAnsi="Arial" w:cs="Arial"/>
                <w:sz w:val="20"/>
                <w:szCs w:val="20"/>
              </w:rPr>
            </w:pPr>
            <w:r>
              <w:rPr>
                <w:rFonts w:ascii="Arial" w:eastAsia="Arial" w:hAnsi="Arial" w:cs="Arial"/>
                <w:sz w:val="20"/>
                <w:szCs w:val="20"/>
              </w:rPr>
              <w:lastRenderedPageBreak/>
              <w:t>Lee and colleagues (2025)</w:t>
            </w:r>
          </w:p>
        </w:tc>
        <w:tc>
          <w:tcPr>
            <w:tcW w:w="1800" w:type="dxa"/>
          </w:tcPr>
          <w:p w14:paraId="73E48878" w14:textId="77777777" w:rsidR="00AD10E3" w:rsidRDefault="00B66C14">
            <w:pPr>
              <w:jc w:val="both"/>
              <w:rPr>
                <w:rFonts w:ascii="Arial" w:eastAsia="Arial" w:hAnsi="Arial" w:cs="Arial"/>
                <w:sz w:val="20"/>
                <w:szCs w:val="20"/>
              </w:rPr>
            </w:pPr>
            <w:r>
              <w:rPr>
                <w:rFonts w:ascii="Arial" w:eastAsia="Arial" w:hAnsi="Arial" w:cs="Arial"/>
                <w:sz w:val="20"/>
                <w:szCs w:val="20"/>
              </w:rPr>
              <w:t>Clinical trial feasibility using real-world data</w:t>
            </w:r>
          </w:p>
        </w:tc>
        <w:tc>
          <w:tcPr>
            <w:tcW w:w="1800" w:type="dxa"/>
          </w:tcPr>
          <w:p w14:paraId="2154611A" w14:textId="77777777" w:rsidR="00AD10E3" w:rsidRDefault="00B66C14">
            <w:pPr>
              <w:jc w:val="both"/>
              <w:rPr>
                <w:rFonts w:ascii="Arial" w:eastAsia="Arial" w:hAnsi="Arial" w:cs="Arial"/>
                <w:sz w:val="20"/>
                <w:szCs w:val="20"/>
              </w:rPr>
            </w:pPr>
            <w:r>
              <w:rPr>
                <w:rFonts w:ascii="Arial" w:eastAsia="Arial" w:hAnsi="Arial" w:cs="Arial"/>
                <w:sz w:val="20"/>
                <w:szCs w:val="20"/>
              </w:rPr>
              <w:t>System build with cross-model hallucination audit; 760 structured query language attempts</w:t>
            </w:r>
          </w:p>
        </w:tc>
        <w:tc>
          <w:tcPr>
            <w:tcW w:w="2079" w:type="dxa"/>
          </w:tcPr>
          <w:p w14:paraId="3D1DDF83" w14:textId="77777777" w:rsidR="00AD10E3" w:rsidRDefault="00B66C14">
            <w:pPr>
              <w:jc w:val="both"/>
              <w:rPr>
                <w:rFonts w:ascii="Arial" w:eastAsia="Arial" w:hAnsi="Arial" w:cs="Arial"/>
                <w:sz w:val="20"/>
                <w:szCs w:val="20"/>
              </w:rPr>
            </w:pPr>
            <w:r>
              <w:rPr>
                <w:rFonts w:ascii="Arial" w:eastAsia="Arial" w:hAnsi="Arial" w:cs="Arial"/>
                <w:sz w:val="20"/>
                <w:szCs w:val="20"/>
              </w:rPr>
              <w:t>Multiple large language models including Generative Pre-trained Transformer 4 and open-source Llama models</w:t>
            </w:r>
          </w:p>
        </w:tc>
        <w:tc>
          <w:tcPr>
            <w:tcW w:w="2268" w:type="dxa"/>
          </w:tcPr>
          <w:p w14:paraId="3E147FDA" w14:textId="77777777" w:rsidR="00AD10E3" w:rsidRDefault="00B66C14">
            <w:pPr>
              <w:jc w:val="both"/>
              <w:rPr>
                <w:rFonts w:ascii="Arial" w:eastAsia="Arial" w:hAnsi="Arial" w:cs="Arial"/>
                <w:sz w:val="20"/>
                <w:szCs w:val="20"/>
              </w:rPr>
            </w:pPr>
            <w:r>
              <w:rPr>
                <w:rFonts w:ascii="Arial" w:eastAsia="Arial" w:hAnsi="Arial" w:cs="Arial"/>
                <w:sz w:val="20"/>
                <w:szCs w:val="20"/>
              </w:rPr>
              <w:t>Preprocessing governance (segmentation, filtering, simplification); hallucination pattern tracking; hybrid validation</w:t>
            </w:r>
          </w:p>
        </w:tc>
        <w:tc>
          <w:tcPr>
            <w:tcW w:w="2127" w:type="dxa"/>
          </w:tcPr>
          <w:p w14:paraId="3379B12D" w14:textId="77777777" w:rsidR="00AD10E3" w:rsidRDefault="00B66C14">
            <w:pPr>
              <w:jc w:val="both"/>
              <w:rPr>
                <w:rFonts w:ascii="Arial" w:eastAsia="Arial" w:hAnsi="Arial" w:cs="Arial"/>
                <w:sz w:val="20"/>
                <w:szCs w:val="20"/>
              </w:rPr>
            </w:pPr>
            <w:r>
              <w:rPr>
                <w:rFonts w:ascii="Arial" w:eastAsia="Arial" w:hAnsi="Arial" w:cs="Arial"/>
                <w:sz w:val="20"/>
                <w:szCs w:val="20"/>
              </w:rPr>
              <w:t>Hallucination rate and valid structured query language rate</w:t>
            </w:r>
          </w:p>
        </w:tc>
        <w:tc>
          <w:tcPr>
            <w:tcW w:w="2976" w:type="dxa"/>
          </w:tcPr>
          <w:p w14:paraId="5E8EE329" w14:textId="77777777" w:rsidR="00AD10E3" w:rsidRDefault="00B66C14">
            <w:pPr>
              <w:jc w:val="both"/>
              <w:rPr>
                <w:rFonts w:ascii="Arial" w:eastAsia="Arial" w:hAnsi="Arial" w:cs="Arial"/>
                <w:sz w:val="20"/>
                <w:szCs w:val="20"/>
              </w:rPr>
            </w:pPr>
            <w:r>
              <w:rPr>
                <w:rFonts w:ascii="Arial" w:eastAsia="Arial" w:hAnsi="Arial" w:cs="Arial"/>
                <w:sz w:val="20"/>
                <w:szCs w:val="20"/>
              </w:rPr>
              <w:t>Hallucinations 21–50 percent; smaller open model best structured query language validity</w:t>
            </w:r>
          </w:p>
        </w:tc>
      </w:tr>
      <w:tr w:rsidR="00AD10E3" w14:paraId="56DA2C47" w14:textId="77777777">
        <w:tc>
          <w:tcPr>
            <w:tcW w:w="1800" w:type="dxa"/>
          </w:tcPr>
          <w:p w14:paraId="609DC483" w14:textId="77777777" w:rsidR="00AD10E3" w:rsidRDefault="00B66C14">
            <w:pPr>
              <w:jc w:val="both"/>
              <w:rPr>
                <w:rFonts w:ascii="Arial" w:eastAsia="Arial" w:hAnsi="Arial" w:cs="Arial"/>
                <w:sz w:val="20"/>
                <w:szCs w:val="20"/>
              </w:rPr>
            </w:pPr>
            <w:r>
              <w:rPr>
                <w:rFonts w:ascii="Arial" w:eastAsia="Arial" w:hAnsi="Arial" w:cs="Arial"/>
                <w:sz w:val="20"/>
                <w:szCs w:val="20"/>
              </w:rPr>
              <w:t>Menezes and colleagues (2025)</w:t>
            </w:r>
          </w:p>
        </w:tc>
        <w:tc>
          <w:tcPr>
            <w:tcW w:w="1800" w:type="dxa"/>
          </w:tcPr>
          <w:p w14:paraId="1F88C011" w14:textId="77777777" w:rsidR="00AD10E3" w:rsidRDefault="00B66C14">
            <w:pPr>
              <w:jc w:val="both"/>
              <w:rPr>
                <w:rFonts w:ascii="Arial" w:eastAsia="Arial" w:hAnsi="Arial" w:cs="Arial"/>
                <w:sz w:val="20"/>
                <w:szCs w:val="20"/>
              </w:rPr>
            </w:pPr>
            <w:r>
              <w:rPr>
                <w:rFonts w:ascii="Arial" w:eastAsia="Arial" w:hAnsi="Arial" w:cs="Arial"/>
                <w:sz w:val="20"/>
                <w:szCs w:val="20"/>
              </w:rPr>
              <w:t>Multi-hospital multilingual clinical notes</w:t>
            </w:r>
          </w:p>
        </w:tc>
        <w:tc>
          <w:tcPr>
            <w:tcW w:w="1800" w:type="dxa"/>
          </w:tcPr>
          <w:p w14:paraId="5C3D03EC" w14:textId="77777777" w:rsidR="00AD10E3" w:rsidRDefault="00B66C14">
            <w:pPr>
              <w:jc w:val="both"/>
              <w:rPr>
                <w:rFonts w:ascii="Arial" w:eastAsia="Arial" w:hAnsi="Arial" w:cs="Arial"/>
                <w:sz w:val="20"/>
                <w:szCs w:val="20"/>
              </w:rPr>
            </w:pPr>
            <w:r>
              <w:rPr>
                <w:rFonts w:ascii="Arial" w:eastAsia="Arial" w:hAnsi="Arial" w:cs="Arial"/>
                <w:sz w:val="20"/>
                <w:szCs w:val="20"/>
              </w:rPr>
              <w:t>Retrospective evaluation across eight hospitals in four countries</w:t>
            </w:r>
          </w:p>
        </w:tc>
        <w:tc>
          <w:tcPr>
            <w:tcW w:w="2079" w:type="dxa"/>
          </w:tcPr>
          <w:p w14:paraId="2BCC53F8"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question answering over de-identified notes</w:t>
            </w:r>
          </w:p>
        </w:tc>
        <w:tc>
          <w:tcPr>
            <w:tcW w:w="2268" w:type="dxa"/>
          </w:tcPr>
          <w:p w14:paraId="58BE25C3" w14:textId="77777777" w:rsidR="00AD10E3" w:rsidRDefault="00B66C14">
            <w:pPr>
              <w:jc w:val="both"/>
              <w:rPr>
                <w:rFonts w:ascii="Arial" w:eastAsia="Arial" w:hAnsi="Arial" w:cs="Arial"/>
                <w:sz w:val="20"/>
                <w:szCs w:val="20"/>
              </w:rPr>
            </w:pPr>
            <w:r>
              <w:rPr>
                <w:rFonts w:ascii="Arial" w:eastAsia="Arial" w:hAnsi="Arial" w:cs="Arial"/>
                <w:sz w:val="20"/>
                <w:szCs w:val="20"/>
              </w:rPr>
              <w:t>Cross-site de-identification; fixed prompt protocol; double physician validation</w:t>
            </w:r>
          </w:p>
        </w:tc>
        <w:tc>
          <w:tcPr>
            <w:tcW w:w="2127" w:type="dxa"/>
          </w:tcPr>
          <w:p w14:paraId="11BB8D6C" w14:textId="77777777" w:rsidR="00AD10E3" w:rsidRDefault="00B66C14">
            <w:pPr>
              <w:jc w:val="both"/>
              <w:rPr>
                <w:rFonts w:ascii="Arial" w:eastAsia="Arial" w:hAnsi="Arial" w:cs="Arial"/>
                <w:sz w:val="20"/>
                <w:szCs w:val="20"/>
              </w:rPr>
            </w:pPr>
            <w:r>
              <w:rPr>
                <w:rFonts w:ascii="Arial" w:eastAsia="Arial" w:hAnsi="Arial" w:cs="Arial"/>
                <w:sz w:val="20"/>
                <w:szCs w:val="20"/>
              </w:rPr>
              <w:t>Physician agreement rates</w:t>
            </w:r>
          </w:p>
        </w:tc>
        <w:tc>
          <w:tcPr>
            <w:tcW w:w="2976" w:type="dxa"/>
          </w:tcPr>
          <w:p w14:paraId="632D2B12" w14:textId="77777777" w:rsidR="00AD10E3" w:rsidRDefault="00B66C14">
            <w:pPr>
              <w:jc w:val="both"/>
              <w:rPr>
                <w:rFonts w:ascii="Arial" w:eastAsia="Arial" w:hAnsi="Arial" w:cs="Arial"/>
                <w:sz w:val="20"/>
                <w:szCs w:val="20"/>
              </w:rPr>
            </w:pPr>
            <w:r>
              <w:rPr>
                <w:rFonts w:ascii="Arial" w:eastAsia="Arial" w:hAnsi="Arial" w:cs="Arial"/>
                <w:sz w:val="20"/>
                <w:szCs w:val="20"/>
              </w:rPr>
              <w:t>79 percent full agreement with model outputs; higher reliability in Spanish and Italian notes</w:t>
            </w:r>
          </w:p>
        </w:tc>
      </w:tr>
      <w:tr w:rsidR="00AD10E3" w14:paraId="1D3FB9F3" w14:textId="77777777">
        <w:tc>
          <w:tcPr>
            <w:tcW w:w="1800" w:type="dxa"/>
          </w:tcPr>
          <w:p w14:paraId="0AE1785D" w14:textId="77777777" w:rsidR="00AD10E3" w:rsidRDefault="00B66C14">
            <w:pPr>
              <w:jc w:val="both"/>
              <w:rPr>
                <w:rFonts w:ascii="Arial" w:eastAsia="Arial" w:hAnsi="Arial" w:cs="Arial"/>
                <w:sz w:val="20"/>
                <w:szCs w:val="20"/>
              </w:rPr>
            </w:pPr>
            <w:r>
              <w:rPr>
                <w:rFonts w:ascii="Arial" w:eastAsia="Arial" w:hAnsi="Arial" w:cs="Arial"/>
                <w:sz w:val="20"/>
                <w:szCs w:val="20"/>
              </w:rPr>
              <w:t>Rust and colleagues (2025)</w:t>
            </w:r>
          </w:p>
        </w:tc>
        <w:tc>
          <w:tcPr>
            <w:tcW w:w="1800" w:type="dxa"/>
          </w:tcPr>
          <w:p w14:paraId="06D32FBA" w14:textId="77777777" w:rsidR="00AD10E3" w:rsidRDefault="00B66C14">
            <w:pPr>
              <w:jc w:val="both"/>
              <w:rPr>
                <w:rFonts w:ascii="Arial" w:eastAsia="Arial" w:hAnsi="Arial" w:cs="Arial"/>
                <w:sz w:val="20"/>
                <w:szCs w:val="20"/>
              </w:rPr>
            </w:pPr>
            <w:r>
              <w:rPr>
                <w:rFonts w:ascii="Arial" w:eastAsia="Arial" w:hAnsi="Arial" w:cs="Arial"/>
                <w:sz w:val="20"/>
                <w:szCs w:val="20"/>
              </w:rPr>
              <w:t>Cardiology discharge summaries and lifestyle advice</w:t>
            </w:r>
          </w:p>
        </w:tc>
        <w:tc>
          <w:tcPr>
            <w:tcW w:w="1800" w:type="dxa"/>
          </w:tcPr>
          <w:p w14:paraId="6EDA9EED" w14:textId="77777777" w:rsidR="00AD10E3" w:rsidRDefault="00B66C14">
            <w:pPr>
              <w:jc w:val="both"/>
              <w:rPr>
                <w:rFonts w:ascii="Arial" w:eastAsia="Arial" w:hAnsi="Arial" w:cs="Arial"/>
                <w:sz w:val="20"/>
                <w:szCs w:val="20"/>
              </w:rPr>
            </w:pPr>
            <w:r>
              <w:rPr>
                <w:rFonts w:ascii="Arial" w:eastAsia="Arial" w:hAnsi="Arial" w:cs="Arial"/>
                <w:sz w:val="20"/>
                <w:szCs w:val="20"/>
              </w:rPr>
              <w:t>Empirical evaluation on 20 anonymized summaries; twelve-expert panel</w:t>
            </w:r>
          </w:p>
        </w:tc>
        <w:tc>
          <w:tcPr>
            <w:tcW w:w="2079" w:type="dxa"/>
          </w:tcPr>
          <w:p w14:paraId="540FD851"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4o simplification and recommendation generation</w:t>
            </w:r>
          </w:p>
        </w:tc>
        <w:tc>
          <w:tcPr>
            <w:tcW w:w="2268" w:type="dxa"/>
          </w:tcPr>
          <w:p w14:paraId="7EEA7CC1" w14:textId="77777777" w:rsidR="00AD10E3" w:rsidRDefault="00B66C14">
            <w:pPr>
              <w:jc w:val="both"/>
              <w:rPr>
                <w:rFonts w:ascii="Arial" w:eastAsia="Arial" w:hAnsi="Arial" w:cs="Arial"/>
                <w:sz w:val="20"/>
                <w:szCs w:val="20"/>
              </w:rPr>
            </w:pPr>
            <w:r>
              <w:rPr>
                <w:rFonts w:ascii="Arial" w:eastAsia="Arial" w:hAnsi="Arial" w:cs="Arial"/>
                <w:sz w:val="20"/>
                <w:szCs w:val="20"/>
              </w:rPr>
              <w:t>Anonymization; harmlessness and evidence-basis scoring</w:t>
            </w:r>
          </w:p>
        </w:tc>
        <w:tc>
          <w:tcPr>
            <w:tcW w:w="2127" w:type="dxa"/>
          </w:tcPr>
          <w:p w14:paraId="04C0F672" w14:textId="77777777" w:rsidR="00AD10E3" w:rsidRDefault="00B66C14">
            <w:pPr>
              <w:jc w:val="both"/>
              <w:rPr>
                <w:rFonts w:ascii="Arial" w:eastAsia="Arial" w:hAnsi="Arial" w:cs="Arial"/>
                <w:sz w:val="20"/>
                <w:szCs w:val="20"/>
              </w:rPr>
            </w:pPr>
            <w:r>
              <w:rPr>
                <w:rFonts w:ascii="Arial" w:eastAsia="Arial" w:hAnsi="Arial" w:cs="Arial"/>
                <w:sz w:val="20"/>
                <w:szCs w:val="20"/>
              </w:rPr>
              <w:t>Readability metrics and expert safety ratings</w:t>
            </w:r>
          </w:p>
        </w:tc>
        <w:tc>
          <w:tcPr>
            <w:tcW w:w="2976" w:type="dxa"/>
          </w:tcPr>
          <w:p w14:paraId="79BB307A" w14:textId="77777777" w:rsidR="00AD10E3" w:rsidRDefault="00B66C14">
            <w:pPr>
              <w:jc w:val="both"/>
              <w:rPr>
                <w:rFonts w:ascii="Arial" w:eastAsia="Arial" w:hAnsi="Arial" w:cs="Arial"/>
                <w:sz w:val="20"/>
                <w:szCs w:val="20"/>
              </w:rPr>
            </w:pPr>
            <w:r>
              <w:rPr>
                <w:rFonts w:ascii="Arial" w:eastAsia="Arial" w:hAnsi="Arial" w:cs="Arial"/>
                <w:sz w:val="20"/>
                <w:szCs w:val="20"/>
              </w:rPr>
              <w:t>Readability improved (p &lt; 0.0001); at least 80 percent expert agreement on safety and correctness</w:t>
            </w:r>
          </w:p>
        </w:tc>
      </w:tr>
      <w:tr w:rsidR="00AD10E3" w14:paraId="5C6948B4" w14:textId="77777777">
        <w:tc>
          <w:tcPr>
            <w:tcW w:w="1800" w:type="dxa"/>
          </w:tcPr>
          <w:p w14:paraId="30CD5C0C" w14:textId="77777777" w:rsidR="00AD10E3" w:rsidRDefault="00B66C14">
            <w:pPr>
              <w:jc w:val="both"/>
              <w:rPr>
                <w:rFonts w:ascii="Arial" w:eastAsia="Arial" w:hAnsi="Arial" w:cs="Arial"/>
                <w:sz w:val="20"/>
                <w:szCs w:val="20"/>
              </w:rPr>
            </w:pPr>
            <w:r>
              <w:rPr>
                <w:rFonts w:ascii="Arial" w:eastAsia="Arial" w:hAnsi="Arial" w:cs="Arial"/>
                <w:sz w:val="20"/>
                <w:szCs w:val="20"/>
              </w:rPr>
              <w:t>Song and colleagues (2025)</w:t>
            </w:r>
          </w:p>
        </w:tc>
        <w:tc>
          <w:tcPr>
            <w:tcW w:w="1800" w:type="dxa"/>
          </w:tcPr>
          <w:p w14:paraId="5150F7BF" w14:textId="77777777" w:rsidR="00AD10E3" w:rsidRDefault="00B66C14">
            <w:pPr>
              <w:jc w:val="both"/>
              <w:rPr>
                <w:rFonts w:ascii="Arial" w:eastAsia="Arial" w:hAnsi="Arial" w:cs="Arial"/>
                <w:sz w:val="20"/>
                <w:szCs w:val="20"/>
              </w:rPr>
            </w:pPr>
            <w:r>
              <w:rPr>
                <w:rFonts w:ascii="Arial" w:eastAsia="Arial" w:hAnsi="Arial" w:cs="Arial"/>
                <w:sz w:val="20"/>
                <w:szCs w:val="20"/>
              </w:rPr>
              <w:t>Emergency department enterprise deployment</w:t>
            </w:r>
          </w:p>
        </w:tc>
        <w:tc>
          <w:tcPr>
            <w:tcW w:w="1800" w:type="dxa"/>
          </w:tcPr>
          <w:p w14:paraId="2A3D4DDA" w14:textId="77777777" w:rsidR="00AD10E3" w:rsidRDefault="00B66C14">
            <w:pPr>
              <w:jc w:val="both"/>
              <w:rPr>
                <w:rFonts w:ascii="Arial" w:eastAsia="Arial" w:hAnsi="Arial" w:cs="Arial"/>
                <w:sz w:val="20"/>
                <w:szCs w:val="20"/>
              </w:rPr>
            </w:pPr>
            <w:r>
              <w:rPr>
                <w:rFonts w:ascii="Arial" w:eastAsia="Arial" w:hAnsi="Arial" w:cs="Arial"/>
                <w:sz w:val="20"/>
                <w:szCs w:val="20"/>
              </w:rPr>
              <w:t>Comparative effectiveness study in tertiary hospital; 592 training cases; 900 notes evaluated</w:t>
            </w:r>
          </w:p>
        </w:tc>
        <w:tc>
          <w:tcPr>
            <w:tcW w:w="2079" w:type="dxa"/>
          </w:tcPr>
          <w:p w14:paraId="0CE07A84" w14:textId="77777777" w:rsidR="00AD10E3" w:rsidRDefault="00B66C14">
            <w:pPr>
              <w:jc w:val="both"/>
              <w:rPr>
                <w:rFonts w:ascii="Arial" w:eastAsia="Arial" w:hAnsi="Arial" w:cs="Arial"/>
                <w:sz w:val="20"/>
                <w:szCs w:val="20"/>
              </w:rPr>
            </w:pPr>
            <w:r>
              <w:rPr>
                <w:rFonts w:ascii="Arial" w:eastAsia="Arial" w:hAnsi="Arial" w:cs="Arial"/>
                <w:sz w:val="20"/>
                <w:szCs w:val="20"/>
              </w:rPr>
              <w:t>Commercial transformer model fine-tuned on-site; two documentation pipelines</w:t>
            </w:r>
          </w:p>
        </w:tc>
        <w:tc>
          <w:tcPr>
            <w:tcW w:w="2268" w:type="dxa"/>
          </w:tcPr>
          <w:p w14:paraId="1AC8D706" w14:textId="77777777" w:rsidR="00AD10E3" w:rsidRDefault="00B66C14">
            <w:pPr>
              <w:jc w:val="both"/>
              <w:rPr>
                <w:rFonts w:ascii="Arial" w:eastAsia="Arial" w:hAnsi="Arial" w:cs="Arial"/>
                <w:sz w:val="20"/>
                <w:szCs w:val="20"/>
              </w:rPr>
            </w:pPr>
            <w:r>
              <w:rPr>
                <w:rFonts w:ascii="Arial" w:eastAsia="Arial" w:hAnsi="Arial" w:cs="Arial"/>
                <w:sz w:val="20"/>
                <w:szCs w:val="20"/>
              </w:rPr>
              <w:t>Local deployment for data residency; independent physician review; quality rubric (completeness, correctness, conciseness, clinical usefulness)</w:t>
            </w:r>
          </w:p>
        </w:tc>
        <w:tc>
          <w:tcPr>
            <w:tcW w:w="2127" w:type="dxa"/>
          </w:tcPr>
          <w:p w14:paraId="25EDB615" w14:textId="77777777" w:rsidR="00AD10E3" w:rsidRDefault="00B66C14">
            <w:pPr>
              <w:jc w:val="both"/>
              <w:rPr>
                <w:rFonts w:ascii="Arial" w:eastAsia="Arial" w:hAnsi="Arial" w:cs="Arial"/>
                <w:sz w:val="20"/>
                <w:szCs w:val="20"/>
              </w:rPr>
            </w:pPr>
            <w:r>
              <w:rPr>
                <w:rFonts w:ascii="Arial" w:eastAsia="Arial" w:hAnsi="Arial" w:cs="Arial"/>
                <w:sz w:val="20"/>
                <w:szCs w:val="20"/>
              </w:rPr>
              <w:t>Quality rubric scores and time per note</w:t>
            </w:r>
          </w:p>
        </w:tc>
        <w:tc>
          <w:tcPr>
            <w:tcW w:w="2976" w:type="dxa"/>
          </w:tcPr>
          <w:p w14:paraId="2B6F003F" w14:textId="77777777" w:rsidR="00AD10E3" w:rsidRDefault="00B66C14">
            <w:pPr>
              <w:jc w:val="both"/>
              <w:rPr>
                <w:rFonts w:ascii="Arial" w:eastAsia="Arial" w:hAnsi="Arial" w:cs="Arial"/>
                <w:sz w:val="20"/>
                <w:szCs w:val="20"/>
              </w:rPr>
            </w:pPr>
            <w:r>
              <w:rPr>
                <w:rFonts w:ascii="Arial" w:eastAsia="Arial" w:hAnsi="Arial" w:cs="Arial"/>
                <w:sz w:val="20"/>
                <w:szCs w:val="20"/>
              </w:rPr>
              <w:t>Quality improved; documentation time reduced from 69.5 seconds to 32.0 seconds</w:t>
            </w:r>
          </w:p>
        </w:tc>
      </w:tr>
      <w:tr w:rsidR="00AD10E3" w14:paraId="522D76DC" w14:textId="77777777">
        <w:tc>
          <w:tcPr>
            <w:tcW w:w="1800" w:type="dxa"/>
          </w:tcPr>
          <w:p w14:paraId="4E16F6BC" w14:textId="77777777" w:rsidR="00AD10E3" w:rsidRDefault="00B66C14">
            <w:pPr>
              <w:jc w:val="both"/>
              <w:rPr>
                <w:rFonts w:ascii="Arial" w:eastAsia="Arial" w:hAnsi="Arial" w:cs="Arial"/>
                <w:sz w:val="20"/>
                <w:szCs w:val="20"/>
              </w:rPr>
            </w:pPr>
            <w:r>
              <w:rPr>
                <w:rFonts w:ascii="Arial" w:eastAsia="Arial" w:hAnsi="Arial" w:cs="Arial"/>
                <w:sz w:val="20"/>
                <w:szCs w:val="20"/>
              </w:rPr>
              <w:t>Tung and colleagues (2024)</w:t>
            </w:r>
          </w:p>
        </w:tc>
        <w:tc>
          <w:tcPr>
            <w:tcW w:w="1800" w:type="dxa"/>
          </w:tcPr>
          <w:p w14:paraId="62045FDD" w14:textId="77777777" w:rsidR="00AD10E3" w:rsidRDefault="00B66C14">
            <w:pPr>
              <w:jc w:val="both"/>
              <w:rPr>
                <w:rFonts w:ascii="Arial" w:eastAsia="Arial" w:hAnsi="Arial" w:cs="Arial"/>
                <w:sz w:val="20"/>
                <w:szCs w:val="20"/>
              </w:rPr>
            </w:pPr>
            <w:r>
              <w:rPr>
                <w:rFonts w:ascii="Arial" w:eastAsia="Arial" w:hAnsi="Arial" w:cs="Arial"/>
                <w:sz w:val="20"/>
                <w:szCs w:val="20"/>
              </w:rPr>
              <w:t>Outpatient urology discharge letters</w:t>
            </w:r>
          </w:p>
        </w:tc>
        <w:tc>
          <w:tcPr>
            <w:tcW w:w="1800" w:type="dxa"/>
          </w:tcPr>
          <w:p w14:paraId="5CDE8BC2" w14:textId="77777777" w:rsidR="00AD10E3" w:rsidRDefault="00B66C14">
            <w:pPr>
              <w:jc w:val="both"/>
              <w:rPr>
                <w:rFonts w:ascii="Arial" w:eastAsia="Arial" w:hAnsi="Arial" w:cs="Arial"/>
                <w:sz w:val="20"/>
                <w:szCs w:val="20"/>
              </w:rPr>
            </w:pPr>
            <w:r>
              <w:rPr>
                <w:rFonts w:ascii="Arial" w:eastAsia="Arial" w:hAnsi="Arial" w:cs="Arial"/>
                <w:sz w:val="20"/>
                <w:szCs w:val="20"/>
              </w:rPr>
              <w:t>Single-blinded clinician comparison on simulated cases</w:t>
            </w:r>
          </w:p>
        </w:tc>
        <w:tc>
          <w:tcPr>
            <w:tcW w:w="2079" w:type="dxa"/>
          </w:tcPr>
          <w:p w14:paraId="60A46F96"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letter drafting with safety and style prompts</w:t>
            </w:r>
          </w:p>
        </w:tc>
        <w:tc>
          <w:tcPr>
            <w:tcW w:w="2268" w:type="dxa"/>
          </w:tcPr>
          <w:p w14:paraId="1F59ACBA" w14:textId="77777777" w:rsidR="00AD10E3" w:rsidRDefault="00B66C14">
            <w:pPr>
              <w:jc w:val="both"/>
              <w:rPr>
                <w:rFonts w:ascii="Arial" w:eastAsia="Arial" w:hAnsi="Arial" w:cs="Arial"/>
                <w:sz w:val="20"/>
                <w:szCs w:val="20"/>
              </w:rPr>
            </w:pPr>
            <w:r>
              <w:rPr>
                <w:rFonts w:ascii="Arial" w:eastAsia="Arial" w:hAnsi="Arial" w:cs="Arial"/>
                <w:sz w:val="20"/>
                <w:szCs w:val="20"/>
              </w:rPr>
              <w:t>Prompt constraints; hallucination checking; blinded evaluation</w:t>
            </w:r>
          </w:p>
        </w:tc>
        <w:tc>
          <w:tcPr>
            <w:tcW w:w="2127" w:type="dxa"/>
          </w:tcPr>
          <w:p w14:paraId="4E44303D" w14:textId="77777777" w:rsidR="00AD10E3" w:rsidRDefault="00B66C14">
            <w:pPr>
              <w:jc w:val="both"/>
              <w:rPr>
                <w:rFonts w:ascii="Arial" w:eastAsia="Arial" w:hAnsi="Arial" w:cs="Arial"/>
                <w:sz w:val="20"/>
                <w:szCs w:val="20"/>
              </w:rPr>
            </w:pPr>
            <w:r>
              <w:rPr>
                <w:rFonts w:ascii="Arial" w:eastAsia="Arial" w:hAnsi="Arial" w:cs="Arial"/>
                <w:sz w:val="20"/>
                <w:szCs w:val="20"/>
              </w:rPr>
              <w:t>Physician ratings and hallucination count</w:t>
            </w:r>
          </w:p>
        </w:tc>
        <w:tc>
          <w:tcPr>
            <w:tcW w:w="2976" w:type="dxa"/>
          </w:tcPr>
          <w:p w14:paraId="28FB77BE" w14:textId="77777777" w:rsidR="00AD10E3" w:rsidRDefault="00B66C14">
            <w:pPr>
              <w:jc w:val="both"/>
              <w:rPr>
                <w:rFonts w:ascii="Arial" w:eastAsia="Arial" w:hAnsi="Arial" w:cs="Arial"/>
                <w:sz w:val="20"/>
                <w:szCs w:val="20"/>
              </w:rPr>
            </w:pPr>
            <w:r>
              <w:rPr>
                <w:rFonts w:ascii="Arial" w:eastAsia="Arial" w:hAnsi="Arial" w:cs="Arial"/>
                <w:sz w:val="20"/>
                <w:szCs w:val="20"/>
              </w:rPr>
              <w:t>Letters equal or better on information provision; no hallucinations detected</w:t>
            </w:r>
          </w:p>
        </w:tc>
      </w:tr>
      <w:tr w:rsidR="00AD10E3" w14:paraId="58174A85" w14:textId="77777777">
        <w:tc>
          <w:tcPr>
            <w:tcW w:w="1800" w:type="dxa"/>
          </w:tcPr>
          <w:p w14:paraId="3535B0A9" w14:textId="77777777" w:rsidR="00AD10E3" w:rsidRDefault="00B66C14">
            <w:pPr>
              <w:jc w:val="both"/>
              <w:rPr>
                <w:rFonts w:ascii="Arial" w:eastAsia="Arial" w:hAnsi="Arial" w:cs="Arial"/>
                <w:sz w:val="20"/>
                <w:szCs w:val="20"/>
              </w:rPr>
            </w:pPr>
            <w:r>
              <w:rPr>
                <w:rFonts w:ascii="Arial" w:eastAsia="Arial" w:hAnsi="Arial" w:cs="Arial"/>
                <w:sz w:val="20"/>
                <w:szCs w:val="20"/>
              </w:rPr>
              <w:t>Wang and colleagues (2024)</w:t>
            </w:r>
          </w:p>
        </w:tc>
        <w:tc>
          <w:tcPr>
            <w:tcW w:w="1800" w:type="dxa"/>
          </w:tcPr>
          <w:p w14:paraId="67C71BF5" w14:textId="77777777" w:rsidR="00AD10E3" w:rsidRDefault="00B66C14">
            <w:pPr>
              <w:jc w:val="both"/>
              <w:rPr>
                <w:rFonts w:ascii="Arial" w:eastAsia="Arial" w:hAnsi="Arial" w:cs="Arial"/>
                <w:sz w:val="20"/>
                <w:szCs w:val="20"/>
              </w:rPr>
            </w:pPr>
            <w:r>
              <w:rPr>
                <w:rFonts w:ascii="Arial" w:eastAsia="Arial" w:hAnsi="Arial" w:cs="Arial"/>
                <w:sz w:val="20"/>
                <w:szCs w:val="20"/>
              </w:rPr>
              <w:t>Enterprise privacy-aware multi-client fine-tuning</w:t>
            </w:r>
          </w:p>
        </w:tc>
        <w:tc>
          <w:tcPr>
            <w:tcW w:w="1800" w:type="dxa"/>
          </w:tcPr>
          <w:p w14:paraId="5C887AAA" w14:textId="77777777" w:rsidR="00AD10E3" w:rsidRDefault="00B66C14">
            <w:pPr>
              <w:jc w:val="both"/>
              <w:rPr>
                <w:rFonts w:ascii="Arial" w:eastAsia="Arial" w:hAnsi="Arial" w:cs="Arial"/>
                <w:sz w:val="20"/>
                <w:szCs w:val="20"/>
              </w:rPr>
            </w:pPr>
            <w:r>
              <w:rPr>
                <w:rFonts w:ascii="Arial" w:eastAsia="Arial" w:hAnsi="Arial" w:cs="Arial"/>
                <w:sz w:val="20"/>
                <w:szCs w:val="20"/>
              </w:rPr>
              <w:t>Neural Information Processing Systems empirical federated learning experimentation</w:t>
            </w:r>
          </w:p>
        </w:tc>
        <w:tc>
          <w:tcPr>
            <w:tcW w:w="2079" w:type="dxa"/>
          </w:tcPr>
          <w:p w14:paraId="7AD6C4D7"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FLoRA</w:t>
            </w:r>
            <w:proofErr w:type="spellEnd"/>
            <w:r>
              <w:rPr>
                <w:rFonts w:ascii="Arial" w:eastAsia="Arial" w:hAnsi="Arial" w:cs="Arial"/>
                <w:sz w:val="20"/>
                <w:szCs w:val="20"/>
              </w:rPr>
              <w:t xml:space="preserve"> federated fine-tuning with heterogeneous low-rank adaptation adapters</w:t>
            </w:r>
          </w:p>
        </w:tc>
        <w:tc>
          <w:tcPr>
            <w:tcW w:w="2268" w:type="dxa"/>
          </w:tcPr>
          <w:p w14:paraId="1C4A5A54" w14:textId="77777777" w:rsidR="00AD10E3" w:rsidRDefault="00B66C14">
            <w:pPr>
              <w:jc w:val="both"/>
              <w:rPr>
                <w:rFonts w:ascii="Arial" w:eastAsia="Arial" w:hAnsi="Arial" w:cs="Arial"/>
                <w:sz w:val="20"/>
                <w:szCs w:val="20"/>
              </w:rPr>
            </w:pPr>
            <w:r>
              <w:rPr>
                <w:rFonts w:ascii="Arial" w:eastAsia="Arial" w:hAnsi="Arial" w:cs="Arial"/>
                <w:sz w:val="20"/>
                <w:szCs w:val="20"/>
              </w:rPr>
              <w:t>No raw data transfer; noise-free adapter aggregation for heterogeneous clients</w:t>
            </w:r>
          </w:p>
        </w:tc>
        <w:tc>
          <w:tcPr>
            <w:tcW w:w="2127" w:type="dxa"/>
          </w:tcPr>
          <w:p w14:paraId="6B78037B" w14:textId="77777777" w:rsidR="00AD10E3" w:rsidRDefault="00B66C14">
            <w:pPr>
              <w:jc w:val="both"/>
              <w:rPr>
                <w:rFonts w:ascii="Arial" w:eastAsia="Arial" w:hAnsi="Arial" w:cs="Arial"/>
                <w:sz w:val="20"/>
                <w:szCs w:val="20"/>
              </w:rPr>
            </w:pPr>
            <w:r>
              <w:rPr>
                <w:rFonts w:ascii="Arial" w:eastAsia="Arial" w:hAnsi="Arial" w:cs="Arial"/>
                <w:sz w:val="20"/>
                <w:szCs w:val="20"/>
              </w:rPr>
              <w:t>Task performance comparisons versus federated low-rank adaptation baselines</w:t>
            </w:r>
          </w:p>
        </w:tc>
        <w:tc>
          <w:tcPr>
            <w:tcW w:w="2976" w:type="dxa"/>
          </w:tcPr>
          <w:p w14:paraId="762A8402" w14:textId="77777777" w:rsidR="00AD10E3" w:rsidRDefault="00B66C14">
            <w:pPr>
              <w:jc w:val="both"/>
              <w:rPr>
                <w:rFonts w:ascii="Arial" w:eastAsia="Arial" w:hAnsi="Arial" w:cs="Arial"/>
                <w:sz w:val="20"/>
                <w:szCs w:val="20"/>
              </w:rPr>
            </w:pPr>
            <w:r>
              <w:rPr>
                <w:rFonts w:ascii="Arial" w:eastAsia="Arial" w:hAnsi="Arial" w:cs="Arial"/>
                <w:sz w:val="20"/>
                <w:szCs w:val="20"/>
              </w:rPr>
              <w:t>Outperformed prior methods; enables accurate, privacy-preserving fine-tuning</w:t>
            </w:r>
          </w:p>
        </w:tc>
      </w:tr>
    </w:tbl>
    <w:p w14:paraId="1092ABA8" w14:textId="77777777" w:rsidR="00AD10E3" w:rsidRDefault="00AD10E3">
      <w:pPr>
        <w:jc w:val="both"/>
        <w:rPr>
          <w:rFonts w:ascii="Arial" w:eastAsia="Arial" w:hAnsi="Arial" w:cs="Arial"/>
          <w:sz w:val="20"/>
          <w:szCs w:val="20"/>
        </w:rPr>
      </w:pPr>
    </w:p>
    <w:p w14:paraId="65D00F9D" w14:textId="77777777" w:rsidR="00AD10E3" w:rsidRDefault="00AD10E3">
      <w:pPr>
        <w:jc w:val="both"/>
        <w:rPr>
          <w:rFonts w:ascii="Arial" w:eastAsia="Arial" w:hAnsi="Arial" w:cs="Arial"/>
          <w:b/>
          <w:bCs/>
          <w:sz w:val="20"/>
          <w:szCs w:val="20"/>
        </w:rPr>
      </w:pPr>
    </w:p>
    <w:p w14:paraId="79F3F417" w14:textId="77777777" w:rsidR="00AD10E3" w:rsidRDefault="00AD10E3">
      <w:pPr>
        <w:jc w:val="both"/>
        <w:rPr>
          <w:rFonts w:ascii="Arial" w:eastAsia="Arial" w:hAnsi="Arial" w:cs="Arial"/>
          <w:b/>
          <w:bCs/>
          <w:sz w:val="20"/>
          <w:szCs w:val="20"/>
        </w:rPr>
      </w:pPr>
    </w:p>
    <w:p w14:paraId="1EE81270" w14:textId="77777777" w:rsidR="00AD10E3" w:rsidRDefault="00AD10E3">
      <w:pPr>
        <w:jc w:val="both"/>
        <w:rPr>
          <w:rFonts w:ascii="Arial" w:eastAsia="Arial" w:hAnsi="Arial" w:cs="Arial"/>
          <w:b/>
          <w:bCs/>
          <w:sz w:val="20"/>
          <w:szCs w:val="20"/>
        </w:rPr>
      </w:pPr>
    </w:p>
    <w:p w14:paraId="481824BC" w14:textId="77777777" w:rsidR="00AD10E3" w:rsidRDefault="00AD10E3">
      <w:pPr>
        <w:jc w:val="both"/>
        <w:rPr>
          <w:rFonts w:ascii="Arial" w:eastAsia="Arial" w:hAnsi="Arial" w:cs="Arial"/>
          <w:b/>
          <w:bCs/>
          <w:sz w:val="20"/>
          <w:szCs w:val="20"/>
        </w:rPr>
      </w:pPr>
    </w:p>
    <w:p w14:paraId="6146162A" w14:textId="77777777" w:rsidR="00AD10E3" w:rsidRDefault="00AD10E3">
      <w:pPr>
        <w:jc w:val="both"/>
        <w:rPr>
          <w:rFonts w:ascii="Arial" w:eastAsia="Arial" w:hAnsi="Arial" w:cs="Arial"/>
          <w:b/>
          <w:bCs/>
          <w:sz w:val="20"/>
          <w:szCs w:val="20"/>
        </w:rPr>
        <w:sectPr w:rsidR="00AD10E3">
          <w:pgSz w:w="15840" w:h="12240" w:orient="landscape"/>
          <w:pgMar w:top="720" w:right="720" w:bottom="720" w:left="720" w:header="720" w:footer="720" w:gutter="0"/>
          <w:cols w:space="720"/>
        </w:sectPr>
      </w:pPr>
    </w:p>
    <w:p w14:paraId="58CD293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lastRenderedPageBreak/>
        <w:t>4.0 Discussion</w:t>
      </w:r>
    </w:p>
    <w:p w14:paraId="51B3FD2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4.1 Summary of Key Findings</w:t>
      </w:r>
    </w:p>
    <w:p w14:paraId="01037B8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In many industries, existing data shows that the safe implementation of generative AI in business depends on the integration of governance frameworks through implementation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The threat of privacy is addressed through the implementation of stringent de-identification or grounding of retrieval of vetted internal corpora, hence limiting leakage, amplification of bias and hallucination. Fine-tuning process is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when sensitive data is on-premise and only parameter updates or adapters are aggregated. This is accompanied by clear data-quality gates which prevent the spread of noisy or unsafe local data, and therefore global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is not affected. The effectiveness of compliance-by-design depends on the one-to-one mapping of technical controls to regulatory responsibilities, which is used in the area of banking authentication and regulation-conscious language models. The post-deployment assurance should be ongoing with red-teaming finding the ways people are misusing the system, and expert panels finding drift and leftover mistakes. In addition, the scoring of ethics into actionable thresholds is done by readability, correctness, and harmlessness scoring. Businesses would gain the advantages of the monitoring and escalation playbook integration to retraining or rollback. Essentially, such </w:t>
      </w:r>
      <w:proofErr w:type="spellStart"/>
      <w:r>
        <w:rPr>
          <w:rFonts w:ascii="Arial" w:eastAsia="Arial" w:hAnsi="Arial" w:cs="Arial"/>
          <w:sz w:val="20"/>
          <w:szCs w:val="20"/>
        </w:rPr>
        <w:t>practises</w:t>
      </w:r>
      <w:proofErr w:type="spellEnd"/>
      <w:r>
        <w:rPr>
          <w:rFonts w:ascii="Arial" w:eastAsia="Arial" w:hAnsi="Arial" w:cs="Arial"/>
          <w:sz w:val="20"/>
          <w:szCs w:val="20"/>
        </w:rPr>
        <w:t xml:space="preserve"> lead to the change of policy governance to control governance, which in turn enables scalable, reliable business use.</w:t>
      </w:r>
    </w:p>
    <w:p w14:paraId="7DA723B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4.2 Comparison with Existing Literatures</w:t>
      </w:r>
    </w:p>
    <w:p w14:paraId="1012015F"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results of the research place governance as a lifecycle compliance architecture that encompasses data stewardship and adapting models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accountability. This result is consistent with the results of the world accounts that show that the merging of ethics, cybersecurity, and compliance governance is a must to the successful deployment of generative artificial intelligence into businesses, overcoming the use of individual controls (</w:t>
      </w:r>
      <w:proofErr w:type="spellStart"/>
      <w:r>
        <w:rPr>
          <w:rFonts w:ascii="Arial" w:eastAsia="Arial" w:hAnsi="Arial" w:cs="Arial"/>
          <w:sz w:val="20"/>
          <w:szCs w:val="20"/>
        </w:rPr>
        <w:t>Taeihagh</w:t>
      </w:r>
      <w:proofErr w:type="spellEnd"/>
      <w:r>
        <w:rPr>
          <w:rFonts w:ascii="Arial" w:eastAsia="Arial" w:hAnsi="Arial" w:cs="Arial"/>
          <w:sz w:val="20"/>
          <w:szCs w:val="20"/>
        </w:rPr>
        <w:t xml:space="preserve">, 2025). The </w:t>
      </w:r>
      <w:proofErr w:type="spellStart"/>
      <w:r>
        <w:rPr>
          <w:rFonts w:ascii="Arial" w:eastAsia="Arial" w:hAnsi="Arial" w:cs="Arial"/>
          <w:sz w:val="20"/>
          <w:szCs w:val="20"/>
        </w:rPr>
        <w:t>operationalisations</w:t>
      </w:r>
      <w:proofErr w:type="spellEnd"/>
      <w:r>
        <w:rPr>
          <w:rFonts w:ascii="Arial" w:eastAsia="Arial" w:hAnsi="Arial" w:cs="Arial"/>
          <w:sz w:val="20"/>
          <w:szCs w:val="20"/>
        </w:rPr>
        <w:t xml:space="preserve"> of privacy in the included studies include high-precision de-identification, restricted retrieval corpora, and on-premise or federated fine-tuning, which is similar to the enterprise security frameworks that consider privacy controls as technical specifications throughout the pipeline (Nadella et al., 2025). On the policy level, our compliance-by-design focus corresponds with the interpretations of the European Union Artificial Intelligence Act (</w:t>
      </w:r>
      <w:proofErr w:type="spellStart"/>
      <w:r>
        <w:rPr>
          <w:rFonts w:ascii="Arial" w:eastAsia="Arial" w:hAnsi="Arial" w:cs="Arial"/>
          <w:sz w:val="20"/>
          <w:szCs w:val="20"/>
        </w:rPr>
        <w:t>Gstrein</w:t>
      </w:r>
      <w:proofErr w:type="spellEnd"/>
      <w:r>
        <w:rPr>
          <w:rFonts w:ascii="Arial" w:eastAsia="Arial" w:hAnsi="Arial" w:cs="Arial"/>
          <w:sz w:val="20"/>
          <w:szCs w:val="20"/>
        </w:rPr>
        <w:t xml:space="preserve"> et al., 2024). General-purpose model responsibilities are found in these interpretations in risk-tiered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processes. However, comparative regulatory studies cautions that commitments vary across jurisdictions hence substantiating the finding that internal governance should be strong enough to meet the demands of two or more regimes at the same time (</w:t>
      </w:r>
      <w:proofErr w:type="spellStart"/>
      <w:r>
        <w:rPr>
          <w:rFonts w:ascii="Arial" w:eastAsia="Arial" w:hAnsi="Arial" w:cs="Arial"/>
          <w:sz w:val="20"/>
          <w:szCs w:val="20"/>
        </w:rPr>
        <w:t>Poncibò</w:t>
      </w:r>
      <w:proofErr w:type="spellEnd"/>
      <w:r>
        <w:rPr>
          <w:rFonts w:ascii="Arial" w:eastAsia="Arial" w:hAnsi="Arial" w:cs="Arial"/>
          <w:sz w:val="20"/>
          <w:szCs w:val="20"/>
        </w:rPr>
        <w:t xml:space="preserve"> and Ebers, 2025). The review of governance is consistent with the evidence of other parts of the world that heterogeneous clients of an enterprise are safe when the adaptation is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and aggregated by using low-rank or federated updates (Bai et al., 2024). The results on federated low-rank adaptation also highlight the significance of tuning that takes place in the place where sensitive data is stored, and in which the raw data is not transferred (Wang et al., 2024).</w:t>
      </w:r>
    </w:p>
    <w:p w14:paraId="1DCB4918"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second theme, the theme that deals with domain-based generation with the concurrent human control, is related to the domain of world healthcare governance. This field demands that work be done in a strictly defined way, where there should be strict validation processes before it is incorporated into common clinical </w:t>
      </w:r>
      <w:proofErr w:type="spellStart"/>
      <w:r>
        <w:rPr>
          <w:rFonts w:ascii="Arial" w:eastAsia="Arial" w:hAnsi="Arial" w:cs="Arial"/>
          <w:sz w:val="20"/>
          <w:szCs w:val="20"/>
        </w:rPr>
        <w:t>practise</w:t>
      </w:r>
      <w:proofErr w:type="spellEnd"/>
      <w:r>
        <w:rPr>
          <w:rFonts w:ascii="Arial" w:eastAsia="Arial" w:hAnsi="Arial" w:cs="Arial"/>
          <w:sz w:val="20"/>
          <w:szCs w:val="20"/>
        </w:rPr>
        <w:t xml:space="preserve"> (Reddy, 2023). The current deployments are used to support the idea that the generative systems cannot be used to undermine professional accountability. This stance complies with the arguments that suggest the significance of prospective validation when it comes to the safe application of text generation to clinical practice (de </w:t>
      </w:r>
      <w:proofErr w:type="spellStart"/>
      <w:r>
        <w:rPr>
          <w:rFonts w:ascii="Arial" w:eastAsia="Arial" w:hAnsi="Arial" w:cs="Arial"/>
          <w:sz w:val="20"/>
          <w:szCs w:val="20"/>
        </w:rPr>
        <w:t>Hond</w:t>
      </w:r>
      <w:proofErr w:type="spellEnd"/>
      <w:r>
        <w:rPr>
          <w:rFonts w:ascii="Arial" w:eastAsia="Arial" w:hAnsi="Arial" w:cs="Arial"/>
          <w:sz w:val="20"/>
          <w:szCs w:val="20"/>
        </w:rPr>
        <w:t xml:space="preserve"> et al., 2024). The bias governance phenomenon is enhanced by the fact that large language models can spread race-based clinical assumptions unless auditing is transparent and ongoing (</w:t>
      </w:r>
      <w:proofErr w:type="spellStart"/>
      <w:r>
        <w:rPr>
          <w:rFonts w:ascii="Arial" w:eastAsia="Arial" w:hAnsi="Arial" w:cs="Arial"/>
          <w:sz w:val="20"/>
          <w:szCs w:val="20"/>
        </w:rPr>
        <w:t>Omiye</w:t>
      </w:r>
      <w:proofErr w:type="spellEnd"/>
      <w:r>
        <w:rPr>
          <w:rFonts w:ascii="Arial" w:eastAsia="Arial" w:hAnsi="Arial" w:cs="Arial"/>
          <w:sz w:val="20"/>
          <w:szCs w:val="20"/>
        </w:rPr>
        <w:t xml:space="preserve"> et al., 2023). Syntheses of security and privacy additionally observe that retrieval grounding and prompt constraints lower hallucination, yet fail to decrease leakage or model inversion, which supports our request to introduce layered protection (Yao et al., 2024). The protection of privacy in large language model agents signifies risks that extend beyond the scope of the evidence base at present (Yan et al., 2025).</w:t>
      </w:r>
    </w:p>
    <w:p w14:paraId="1ABFDE4F" w14:textId="77777777" w:rsidR="00AD10E3" w:rsidRDefault="00B66C14">
      <w:pPr>
        <w:jc w:val="both"/>
        <w:rPr>
          <w:rFonts w:ascii="Arial" w:eastAsia="Arial" w:hAnsi="Arial" w:cs="Arial"/>
          <w:sz w:val="20"/>
          <w:szCs w:val="20"/>
        </w:rPr>
      </w:pPr>
      <w:r>
        <w:rPr>
          <w:rFonts w:ascii="Arial" w:eastAsia="Arial" w:hAnsi="Arial" w:cs="Arial"/>
          <w:sz w:val="20"/>
          <w:szCs w:val="20"/>
        </w:rPr>
        <w:t>In conclusion, the post-deployment theme to which this text refers extends the existing body of knowledge in the field of global auditing and red-teaming scholarship. The three-layer audit model for large language models is consistent with our observation that security stress tests must be integrated with workflow dashboards and triggers for retraining or rollback (</w:t>
      </w:r>
      <w:proofErr w:type="spellStart"/>
      <w:r>
        <w:rPr>
          <w:rFonts w:ascii="Arial" w:eastAsia="Arial" w:hAnsi="Arial" w:cs="Arial"/>
          <w:sz w:val="20"/>
          <w:szCs w:val="20"/>
        </w:rPr>
        <w:t>Mökander</w:t>
      </w:r>
      <w:proofErr w:type="spellEnd"/>
      <w:r>
        <w:rPr>
          <w:rFonts w:ascii="Arial" w:eastAsia="Arial" w:hAnsi="Arial" w:cs="Arial"/>
          <w:sz w:val="20"/>
          <w:szCs w:val="20"/>
        </w:rPr>
        <w:t xml:space="preserve"> et al., 2024). End-to-end red-teaming frameworks validate our emphasis on adversarial monitoring as a standing control (Purpura et al., 2025). As Walter et al. (2024) demonstrate, the adaptation of threats to context is a key tenet of </w:t>
      </w:r>
      <w:r>
        <w:rPr>
          <w:rFonts w:ascii="Arial" w:eastAsia="Arial" w:hAnsi="Arial" w:cs="Arial"/>
          <w:sz w:val="20"/>
          <w:szCs w:val="20"/>
        </w:rPr>
        <w:lastRenderedPageBreak/>
        <w:t>sector-specific red-teaming, with the support of domain-tailored adversarial test suites being a crucial component of this process.</w:t>
      </w:r>
    </w:p>
    <w:p w14:paraId="4DC04634" w14:textId="77777777" w:rsidR="00AD10E3" w:rsidRDefault="00AD10E3">
      <w:pPr>
        <w:jc w:val="both"/>
        <w:rPr>
          <w:rFonts w:ascii="Arial" w:eastAsia="Arial" w:hAnsi="Arial" w:cs="Arial"/>
          <w:sz w:val="20"/>
          <w:szCs w:val="20"/>
        </w:rPr>
      </w:pPr>
    </w:p>
    <w:p w14:paraId="645219FF"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3CBC3510" w14:textId="77777777" w:rsidR="00AD10E3" w:rsidRDefault="00B66C14">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It is proposed that generative-AI governance be established as a commissioned enterprise standard for any environment handling sensitive or regulated data. This would necessitate the compulsory compilation of a model and use-case inventory, risk-tiering, and the implementation of approval gates prior to deployment or fine-tuning. The accountability framework would be anchored at the board and executive levels. It is imperative that governance necessitates the formal mapping of each generative-AI system to the relevant regulatory and standards obligations (for instance, data-protection legislation, sectoral compliance, and internal risk appetite). To back this up, there should be verifiable records of the source of training facts, tuning targets, and systemic-risk controls. Policies around data sovereignty and residency must also be seen as design limits that cannot be changed and is of preference of on-premise, private-cloud, or federated tuning architectures where sensitive raw data is kept by the institution. In addition to that, a requirement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sets of outcomes of post-deployment audits, including privacy-leakage tests, impact of bias, resistance to adversarial use, and indicators of model-drift, is imperative. Policy in such a setting should focus on minimum-viable governance packages in settings with limited resources. These must contain secure data rooms, limited access corpora and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incident reporting. These are to be joined with common assessment system, and external assurance, which is done periodically. This is needed to maintain trust and cross-jurisdictional compliance.</w:t>
      </w:r>
    </w:p>
    <w:p w14:paraId="1B4C7018" w14:textId="77777777" w:rsidR="00AD10E3" w:rsidRDefault="00B66C14">
      <w:pPr>
        <w:jc w:val="both"/>
        <w:rPr>
          <w:rFonts w:ascii="Arial" w:eastAsia="Arial" w:hAnsi="Arial" w:cs="Arial"/>
          <w:sz w:val="20"/>
          <w:szCs w:val="20"/>
        </w:rPr>
      </w:pPr>
      <w:r>
        <w:rPr>
          <w:rFonts w:ascii="Arial" w:eastAsia="Arial" w:hAnsi="Arial" w:cs="Arial"/>
          <w:b/>
          <w:bCs/>
          <w:sz w:val="20"/>
          <w:szCs w:val="20"/>
        </w:rPr>
        <w:t>Practice:</w:t>
      </w:r>
      <w:r>
        <w:rPr>
          <w:rFonts w:ascii="Arial" w:eastAsia="Arial" w:hAnsi="Arial" w:cs="Arial"/>
          <w:sz w:val="20"/>
          <w:szCs w:val="20"/>
        </w:rPr>
        <w:t xml:space="preserve"> It is recommended that the enterprises start to adopt an assess-classify-control-monitor model with a systematic data sensitivity and use-case criticality classification. This ought to be succeeded by the choice of models that is limited to approved hosting and tuning settings. The use of strict security protocols, including role-based access control, thorough checking of dataset quality, thorough training documentation record keeping and the installation of adapters or renewed weights in guarded storage are the most crucial controls that will control the integrity and security of these pipelines. The domain-constrained generation is vital during deployment as retrieval-augmented generation must be based on verified internal knowledge bases, and timely templates are to be made standard in order to </w:t>
      </w:r>
      <w:proofErr w:type="spellStart"/>
      <w:r>
        <w:rPr>
          <w:rFonts w:ascii="Arial" w:eastAsia="Arial" w:hAnsi="Arial" w:cs="Arial"/>
          <w:sz w:val="20"/>
          <w:szCs w:val="20"/>
        </w:rPr>
        <w:t>minimise</w:t>
      </w:r>
      <w:proofErr w:type="spellEnd"/>
      <w:r>
        <w:rPr>
          <w:rFonts w:ascii="Arial" w:eastAsia="Arial" w:hAnsi="Arial" w:cs="Arial"/>
          <w:sz w:val="20"/>
          <w:szCs w:val="20"/>
        </w:rPr>
        <w:t xml:space="preserve"> unsafe variability. Human oversight must be an operational checkpoint to high-risk outputs, and the verification roles must be well-established as well as the exit points. During the post-deployment stage, it is advisable to have a mix of automated misuse, drift and </w:t>
      </w:r>
      <w:proofErr w:type="spellStart"/>
      <w:r>
        <w:rPr>
          <w:rFonts w:ascii="Arial" w:eastAsia="Arial" w:hAnsi="Arial" w:cs="Arial"/>
          <w:sz w:val="20"/>
          <w:szCs w:val="20"/>
        </w:rPr>
        <w:t>gaolbreak</w:t>
      </w:r>
      <w:proofErr w:type="spellEnd"/>
      <w:r>
        <w:rPr>
          <w:rFonts w:ascii="Arial" w:eastAsia="Arial" w:hAnsi="Arial" w:cs="Arial"/>
          <w:sz w:val="20"/>
          <w:szCs w:val="20"/>
        </w:rPr>
        <w:t xml:space="preserve"> attempt telemetry, and red-team exercises and independent expert analysis of output quality. Privacy events, hallucination rates, fairness deviations, task-accuracy thresholds and productivity impacts are some of the key performance indicators (KPI) that should be used to guide cycles of iterative improvement. These cycles are supposed to be initiated because of the overstepping of the limits and they may include retraining, rollback or revising policies. It is recommended that multidisciplinary teams be trained in secure large-language-model operations, documentation, and audit routines in order to strengthen adoption, equity, and resilience.</w:t>
      </w:r>
    </w:p>
    <w:p w14:paraId="5E7514E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5.0 Conclusion</w:t>
      </w:r>
    </w:p>
    <w:p w14:paraId="4CB07128"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This scoping review mapped empirical governance models for deploying and fine-tuning generative AI in enterprises handling sensitive data. A comprehensive review of 18 studies revealed that effective practices converged on three key pillars: lifecycle compliance architectures that embed privacy, security and regulatory alignment; domain-constrained generation with persistent human oversight; and post-deployment auditing that combines technical stress testing with continuous quality monitoring. Recent studies have indicated that federated and on-premise tuning are promising avenues for the </w:t>
      </w:r>
      <w:proofErr w:type="spellStart"/>
      <w:r>
        <w:rPr>
          <w:rFonts w:ascii="Arial" w:eastAsia="Arial" w:hAnsi="Arial" w:cs="Arial"/>
          <w:sz w:val="20"/>
          <w:szCs w:val="20"/>
        </w:rPr>
        <w:t>minimisation</w:t>
      </w:r>
      <w:proofErr w:type="spellEnd"/>
      <w:r>
        <w:rPr>
          <w:rFonts w:ascii="Arial" w:eastAsia="Arial" w:hAnsi="Arial" w:cs="Arial"/>
          <w:sz w:val="20"/>
          <w:szCs w:val="20"/>
        </w:rPr>
        <w:t xml:space="preserve"> of data movement, whilst maintaining optimal performance. Nevertheless, the evidence is predominantly concentrated in the healthcare sector, with a paucity of cross-sectoral and cross-jurisdictional analysis. It is recommended that future research efforts focus on the prospective evaluation of governance models, the quantification of trade-offs between safety and efficiency, and the extension of evidence to finance, government, and critical-infrastructure settings. The aim of these efforts should be to aid in creating international standards that are in line with each other. Furthermore, the necessity for enhanced reporting on failures and near-misses is imperative.</w:t>
      </w:r>
    </w:p>
    <w:p w14:paraId="40A2EB4D" w14:textId="77777777" w:rsidR="003A0686" w:rsidRDefault="003A0686">
      <w:pPr>
        <w:jc w:val="both"/>
        <w:rPr>
          <w:rFonts w:ascii="Arial" w:eastAsia="Arial" w:hAnsi="Arial" w:cs="Arial"/>
          <w:sz w:val="20"/>
          <w:szCs w:val="20"/>
        </w:rPr>
      </w:pPr>
    </w:p>
    <w:p w14:paraId="6F400A6E" w14:textId="77777777" w:rsidR="003A0686" w:rsidRDefault="003A0686">
      <w:pPr>
        <w:jc w:val="both"/>
        <w:rPr>
          <w:rFonts w:ascii="Arial" w:eastAsia="Arial" w:hAnsi="Arial" w:cs="Arial"/>
          <w:sz w:val="20"/>
          <w:szCs w:val="20"/>
        </w:rPr>
      </w:pPr>
    </w:p>
    <w:p w14:paraId="4A1BC62B" w14:textId="77777777" w:rsidR="003A0686" w:rsidRPr="003A0686" w:rsidRDefault="003A0686" w:rsidP="003A0686">
      <w:pPr>
        <w:jc w:val="both"/>
        <w:rPr>
          <w:rFonts w:ascii="Arial" w:eastAsia="Arial" w:hAnsi="Arial" w:cs="Arial"/>
          <w:sz w:val="20"/>
          <w:szCs w:val="20"/>
        </w:rPr>
      </w:pPr>
      <w:r w:rsidRPr="003A0686">
        <w:rPr>
          <w:rFonts w:ascii="Arial" w:eastAsia="Arial" w:hAnsi="Arial" w:cs="Arial"/>
          <w:sz w:val="20"/>
          <w:szCs w:val="20"/>
        </w:rPr>
        <w:t>COMPETING INTERESTS DISCLAIMER:</w:t>
      </w:r>
    </w:p>
    <w:p w14:paraId="68238DBC" w14:textId="6EDE2368" w:rsidR="003A0686" w:rsidRDefault="003A0686" w:rsidP="003A0686">
      <w:pPr>
        <w:jc w:val="both"/>
        <w:rPr>
          <w:rFonts w:ascii="Arial" w:eastAsia="Arial" w:hAnsi="Arial" w:cs="Arial"/>
          <w:sz w:val="20"/>
          <w:szCs w:val="20"/>
        </w:rPr>
      </w:pPr>
      <w:r w:rsidRPr="003A0686">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089E0684" w14:textId="77777777" w:rsidR="00344443" w:rsidRPr="00740879" w:rsidRDefault="00344443" w:rsidP="00344443">
      <w:pPr>
        <w:rPr>
          <w:highlight w:val="yellow"/>
        </w:rPr>
      </w:pPr>
      <w:r w:rsidRPr="00740879">
        <w:rPr>
          <w:highlight w:val="yellow"/>
        </w:rPr>
        <w:t>Disclaimer (Artificial intelligence)</w:t>
      </w:r>
    </w:p>
    <w:p w14:paraId="316CB5A5" w14:textId="77777777" w:rsidR="00344443" w:rsidRPr="00740879" w:rsidRDefault="00344443" w:rsidP="00344443">
      <w:pPr>
        <w:rPr>
          <w:highlight w:val="yellow"/>
        </w:rPr>
      </w:pPr>
      <w:r w:rsidRPr="00740879">
        <w:rPr>
          <w:highlight w:val="yellow"/>
        </w:rPr>
        <w:t xml:space="preserve">Option 1: </w:t>
      </w:r>
    </w:p>
    <w:p w14:paraId="32813D8E" w14:textId="77777777" w:rsidR="00344443" w:rsidRPr="00740879" w:rsidRDefault="00344443" w:rsidP="0034444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323366C" w14:textId="77777777" w:rsidR="00344443" w:rsidRPr="00740879" w:rsidRDefault="00344443" w:rsidP="00344443">
      <w:pPr>
        <w:rPr>
          <w:highlight w:val="yellow"/>
        </w:rPr>
      </w:pPr>
      <w:r w:rsidRPr="00740879">
        <w:rPr>
          <w:highlight w:val="yellow"/>
        </w:rPr>
        <w:t xml:space="preserve">Option 2: </w:t>
      </w:r>
    </w:p>
    <w:p w14:paraId="18EB8BCD" w14:textId="77777777" w:rsidR="00344443" w:rsidRPr="00740879" w:rsidRDefault="00344443" w:rsidP="0034444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5F04A7" w14:textId="77777777" w:rsidR="00344443" w:rsidRPr="00740879" w:rsidRDefault="00344443" w:rsidP="00344443">
      <w:pPr>
        <w:rPr>
          <w:highlight w:val="yellow"/>
        </w:rPr>
      </w:pPr>
      <w:r w:rsidRPr="00740879">
        <w:rPr>
          <w:highlight w:val="yellow"/>
        </w:rPr>
        <w:t>Details of the AI usage are given below:</w:t>
      </w:r>
    </w:p>
    <w:p w14:paraId="1B423198" w14:textId="77777777" w:rsidR="00344443" w:rsidRPr="00740879" w:rsidRDefault="00344443" w:rsidP="00344443">
      <w:pPr>
        <w:rPr>
          <w:highlight w:val="yellow"/>
        </w:rPr>
      </w:pPr>
      <w:r w:rsidRPr="00740879">
        <w:rPr>
          <w:highlight w:val="yellow"/>
        </w:rPr>
        <w:t>1.</w:t>
      </w:r>
    </w:p>
    <w:p w14:paraId="55754D2A" w14:textId="77777777" w:rsidR="00344443" w:rsidRPr="00740879" w:rsidRDefault="00344443" w:rsidP="00344443">
      <w:pPr>
        <w:rPr>
          <w:highlight w:val="yellow"/>
        </w:rPr>
      </w:pPr>
      <w:r w:rsidRPr="00740879">
        <w:rPr>
          <w:highlight w:val="yellow"/>
        </w:rPr>
        <w:t>2.</w:t>
      </w:r>
    </w:p>
    <w:p w14:paraId="101E1FE6" w14:textId="77777777" w:rsidR="00344443" w:rsidRPr="00D047BB" w:rsidRDefault="00344443" w:rsidP="00344443">
      <w:r w:rsidRPr="00740879">
        <w:rPr>
          <w:highlight w:val="yellow"/>
        </w:rPr>
        <w:t>3.</w:t>
      </w:r>
    </w:p>
    <w:p w14:paraId="5B012E30" w14:textId="77777777" w:rsidR="00344443" w:rsidRDefault="00344443" w:rsidP="003A0686">
      <w:pPr>
        <w:jc w:val="both"/>
        <w:rPr>
          <w:rFonts w:ascii="Arial" w:eastAsia="Arial" w:hAnsi="Arial" w:cs="Arial"/>
          <w:sz w:val="20"/>
          <w:szCs w:val="20"/>
        </w:rPr>
      </w:pPr>
    </w:p>
    <w:p w14:paraId="27F1FA0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 xml:space="preserve">References </w:t>
      </w:r>
    </w:p>
    <w:p w14:paraId="09129B7E" w14:textId="4F468661" w:rsidR="00AD10E3" w:rsidRPr="00030148" w:rsidRDefault="00B66C14" w:rsidP="0003014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Addae-Mensah, K., &amp; Qu, Y. (2025). Enhancing Banking Authentication Systems with LLMs and RAG: Addressing Ethical and Privacy Challenges. European Journal of Electrical Engineering and Computer Science, 9(3), 30-35.</w:t>
      </w:r>
      <w:r w:rsidR="00030148" w:rsidRPr="00030148">
        <w:t xml:space="preserve"> </w:t>
      </w:r>
      <w:hyperlink r:id="rId15" w:history="1">
        <w:r w:rsidR="00030148" w:rsidRPr="00D67C5E">
          <w:rPr>
            <w:rStyle w:val="Hyperlink"/>
            <w:rFonts w:ascii="Arial" w:eastAsia="Arial" w:hAnsi="Arial" w:cs="Arial"/>
            <w:sz w:val="20"/>
            <w:szCs w:val="20"/>
          </w:rPr>
          <w:t>https://doi.org/10.24018/ejece.2025.9.3.715</w:t>
        </w:r>
      </w:hyperlink>
      <w:r w:rsidR="00030148">
        <w:rPr>
          <w:rFonts w:ascii="Arial" w:eastAsia="Arial" w:hAnsi="Arial" w:cs="Arial"/>
          <w:sz w:val="20"/>
          <w:szCs w:val="20"/>
        </w:rPr>
        <w:t xml:space="preserve"> </w:t>
      </w:r>
    </w:p>
    <w:p w14:paraId="29E3F14A" w14:textId="4DC4836C" w:rsidR="00AD10E3" w:rsidRPr="00030148" w:rsidRDefault="00B66C14" w:rsidP="00913F5B">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Altalla</w:t>
      </w:r>
      <w:proofErr w:type="spellEnd"/>
      <w:r w:rsidRPr="00030148">
        <w:rPr>
          <w:rFonts w:ascii="Arial" w:eastAsia="Arial" w:hAnsi="Arial" w:cs="Arial"/>
          <w:sz w:val="20"/>
          <w:szCs w:val="20"/>
        </w:rPr>
        <w:t>’, B., Abdalla, S., Altamimi, A., Bitar, L., Al Omari, A., Kardan, R., &amp; Sultan, I. (2025). Evaluating GPT models for clinical note de-identification. Scientific Reports, 15(1), 3852.</w:t>
      </w:r>
      <w:r w:rsidR="00913F5B" w:rsidRPr="00913F5B">
        <w:t xml:space="preserve"> </w:t>
      </w:r>
      <w:hyperlink r:id="rId16" w:history="1">
        <w:r w:rsidR="00913F5B" w:rsidRPr="00D67C5E">
          <w:rPr>
            <w:rStyle w:val="Hyperlink"/>
            <w:rFonts w:ascii="Arial" w:eastAsia="Arial" w:hAnsi="Arial" w:cs="Arial"/>
            <w:sz w:val="20"/>
            <w:szCs w:val="20"/>
          </w:rPr>
          <w:t>https://doi.org/10.1038/s41598-025-86890-3</w:t>
        </w:r>
      </w:hyperlink>
      <w:r w:rsidR="00913F5B">
        <w:rPr>
          <w:rFonts w:ascii="Arial" w:eastAsia="Arial" w:hAnsi="Arial" w:cs="Arial"/>
          <w:sz w:val="20"/>
          <w:szCs w:val="20"/>
        </w:rPr>
        <w:t xml:space="preserve"> </w:t>
      </w:r>
    </w:p>
    <w:p w14:paraId="28AC666C" w14:textId="0BADFE29" w:rsidR="00AD10E3" w:rsidRPr="00030148" w:rsidRDefault="00B66C14" w:rsidP="00A8029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Bai, J., Chen, D., Qian, B., Yao, L., &amp; Li, Y. (2024). Federated fine-tuning of large language models under heterogeneous tasks and client resources. Advances in Neural Information Processing Systems, 37, 14457-14483.</w:t>
      </w:r>
      <w:r w:rsidR="00A80298" w:rsidRPr="00A80298">
        <w:t xml:space="preserve"> </w:t>
      </w:r>
      <w:hyperlink r:id="rId17" w:history="1">
        <w:r w:rsidR="00A80298" w:rsidRPr="00D67C5E">
          <w:rPr>
            <w:rStyle w:val="Hyperlink"/>
            <w:rFonts w:ascii="Arial" w:eastAsia="Arial" w:hAnsi="Arial" w:cs="Arial"/>
            <w:sz w:val="20"/>
            <w:szCs w:val="20"/>
          </w:rPr>
          <w:t>https://doi.org/10.52202/079017-0461</w:t>
        </w:r>
      </w:hyperlink>
      <w:r w:rsidR="00A80298">
        <w:rPr>
          <w:rFonts w:ascii="Arial" w:eastAsia="Arial" w:hAnsi="Arial" w:cs="Arial"/>
          <w:sz w:val="20"/>
          <w:szCs w:val="20"/>
        </w:rPr>
        <w:t xml:space="preserve"> </w:t>
      </w:r>
    </w:p>
    <w:p w14:paraId="78E1FC19" w14:textId="09A6BA77" w:rsidR="00AD10E3" w:rsidRPr="00030148" w:rsidRDefault="00B66C14" w:rsidP="00324FC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Batool, A., </w:t>
      </w:r>
      <w:proofErr w:type="spellStart"/>
      <w:r w:rsidRPr="00030148">
        <w:rPr>
          <w:rFonts w:ascii="Arial" w:eastAsia="Arial" w:hAnsi="Arial" w:cs="Arial"/>
          <w:sz w:val="20"/>
          <w:szCs w:val="20"/>
        </w:rPr>
        <w:t>Zowghi</w:t>
      </w:r>
      <w:proofErr w:type="spellEnd"/>
      <w:r w:rsidRPr="00030148">
        <w:rPr>
          <w:rFonts w:ascii="Arial" w:eastAsia="Arial" w:hAnsi="Arial" w:cs="Arial"/>
          <w:sz w:val="20"/>
          <w:szCs w:val="20"/>
        </w:rPr>
        <w:t>, D., &amp; Bano, M. (2025). AI governance: a systematic literature review. AI and Ethics, 1-15.</w:t>
      </w:r>
      <w:r w:rsidR="00324FC6" w:rsidRPr="00324FC6">
        <w:t xml:space="preserve"> </w:t>
      </w:r>
      <w:hyperlink r:id="rId18" w:history="1">
        <w:r w:rsidR="00324FC6" w:rsidRPr="00D67C5E">
          <w:rPr>
            <w:rStyle w:val="Hyperlink"/>
            <w:rFonts w:ascii="Arial" w:eastAsia="Arial" w:hAnsi="Arial" w:cs="Arial"/>
            <w:sz w:val="20"/>
            <w:szCs w:val="20"/>
          </w:rPr>
          <w:t>https://doi.org/10.1007/s43681-024-00653-w</w:t>
        </w:r>
      </w:hyperlink>
      <w:r w:rsidR="00324FC6">
        <w:rPr>
          <w:rFonts w:ascii="Arial" w:eastAsia="Arial" w:hAnsi="Arial" w:cs="Arial"/>
          <w:sz w:val="20"/>
          <w:szCs w:val="20"/>
        </w:rPr>
        <w:t xml:space="preserve"> </w:t>
      </w:r>
    </w:p>
    <w:p w14:paraId="10913422" w14:textId="5D07A0FF" w:rsidR="00AD10E3" w:rsidRPr="00030148" w:rsidRDefault="00B66C14" w:rsidP="003D104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Camilleri, M. A. (2024). Artificial intelligence governance: Ethical considerations and implications for social responsibility. Expert systems, 41(7), e13406.</w:t>
      </w:r>
      <w:r w:rsidR="003D1045" w:rsidRPr="003D1045">
        <w:t xml:space="preserve"> </w:t>
      </w:r>
      <w:hyperlink r:id="rId19" w:history="1">
        <w:r w:rsidR="003D1045" w:rsidRPr="00D67C5E">
          <w:rPr>
            <w:rStyle w:val="Hyperlink"/>
            <w:rFonts w:ascii="Arial" w:eastAsia="Arial" w:hAnsi="Arial" w:cs="Arial"/>
            <w:sz w:val="20"/>
            <w:szCs w:val="20"/>
          </w:rPr>
          <w:t>https://doi.org/10.1111/exsy.13406</w:t>
        </w:r>
      </w:hyperlink>
      <w:r w:rsidR="003D1045">
        <w:rPr>
          <w:rFonts w:ascii="Arial" w:eastAsia="Arial" w:hAnsi="Arial" w:cs="Arial"/>
          <w:sz w:val="20"/>
          <w:szCs w:val="20"/>
        </w:rPr>
        <w:t xml:space="preserve"> </w:t>
      </w:r>
    </w:p>
    <w:p w14:paraId="2D89C94E" w14:textId="092AE198" w:rsidR="00AD10E3" w:rsidRPr="00030148" w:rsidRDefault="00B66C14" w:rsidP="00F4257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Chen, K., Zhou, X., Lin, Y., Feng, S., Shen, L., &amp; Wu, P. (2025). A survey on privacy risks and protection in large language models. Journal of King Saud University Computer and Information Sciences, 37(7), 163.</w:t>
      </w:r>
      <w:r w:rsidR="00F42579" w:rsidRPr="00F42579">
        <w:t xml:space="preserve"> </w:t>
      </w:r>
      <w:hyperlink r:id="rId20" w:history="1">
        <w:r w:rsidR="00F42579" w:rsidRPr="00D67C5E">
          <w:rPr>
            <w:rStyle w:val="Hyperlink"/>
            <w:rFonts w:ascii="Arial" w:eastAsia="Arial" w:hAnsi="Arial" w:cs="Arial"/>
            <w:sz w:val="20"/>
            <w:szCs w:val="20"/>
          </w:rPr>
          <w:t>https://doi.org/10.1007/s44443-025-00177-1</w:t>
        </w:r>
      </w:hyperlink>
      <w:r w:rsidR="00F42579">
        <w:rPr>
          <w:rFonts w:ascii="Arial" w:eastAsia="Arial" w:hAnsi="Arial" w:cs="Arial"/>
          <w:sz w:val="20"/>
          <w:szCs w:val="20"/>
        </w:rPr>
        <w:t xml:space="preserve"> </w:t>
      </w:r>
    </w:p>
    <w:p w14:paraId="19FC7DB8" w14:textId="3BE0FC93" w:rsidR="00AD10E3" w:rsidRPr="00030148" w:rsidRDefault="00B66C14" w:rsidP="004307A2">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Chua, C. E., Clara, N. L. Y., Furqan, M. S., Kit, J. L. W., Makmur, A., Tham, Y. C., ... &amp; Ngiam, K. Y. (2024). Integration of </w:t>
      </w:r>
      <w:proofErr w:type="spellStart"/>
      <w:r w:rsidRPr="00030148">
        <w:rPr>
          <w:rFonts w:ascii="Arial" w:eastAsia="Arial" w:hAnsi="Arial" w:cs="Arial"/>
          <w:sz w:val="20"/>
          <w:szCs w:val="20"/>
        </w:rPr>
        <w:t>customised</w:t>
      </w:r>
      <w:proofErr w:type="spellEnd"/>
      <w:r w:rsidRPr="00030148">
        <w:rPr>
          <w:rFonts w:ascii="Arial" w:eastAsia="Arial" w:hAnsi="Arial" w:cs="Arial"/>
          <w:sz w:val="20"/>
          <w:szCs w:val="20"/>
        </w:rPr>
        <w:t xml:space="preserve"> LLM for discharge summary generation in real-world clinical settings: a pilot study on RUSSELL GPT. The Lancet Regional Health–Western Pacific, 51.</w:t>
      </w:r>
      <w:r w:rsidR="004307A2" w:rsidRPr="004307A2">
        <w:t xml:space="preserve"> </w:t>
      </w:r>
      <w:hyperlink r:id="rId21" w:history="1">
        <w:r w:rsidR="004307A2" w:rsidRPr="00D67C5E">
          <w:rPr>
            <w:rStyle w:val="Hyperlink"/>
            <w:rFonts w:ascii="Arial" w:eastAsia="Arial" w:hAnsi="Arial" w:cs="Arial"/>
            <w:sz w:val="20"/>
            <w:szCs w:val="20"/>
          </w:rPr>
          <w:t>https://doi.org/10.1016/j.lanwpc.2024.101211</w:t>
        </w:r>
      </w:hyperlink>
      <w:r w:rsidR="004307A2">
        <w:rPr>
          <w:rFonts w:ascii="Arial" w:eastAsia="Arial" w:hAnsi="Arial" w:cs="Arial"/>
          <w:sz w:val="20"/>
          <w:szCs w:val="20"/>
        </w:rPr>
        <w:t xml:space="preserve"> </w:t>
      </w:r>
    </w:p>
    <w:p w14:paraId="066FC128" w14:textId="4976B6DD" w:rsidR="00AD10E3" w:rsidRPr="00030148" w:rsidRDefault="00B66C14" w:rsidP="00D1748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Croxford, E., Gao, Y., First, E., Pellegrino, N., Schnier, M., Caskey, J., ... &amp; Afshar, M. (2025). Evaluating clinical AI summaries with large language models as judges. </w:t>
      </w:r>
      <w:proofErr w:type="spellStart"/>
      <w:r w:rsidRPr="00030148">
        <w:rPr>
          <w:rFonts w:ascii="Arial" w:eastAsia="Arial" w:hAnsi="Arial" w:cs="Arial"/>
          <w:sz w:val="20"/>
          <w:szCs w:val="20"/>
        </w:rPr>
        <w:t>npj</w:t>
      </w:r>
      <w:proofErr w:type="spellEnd"/>
      <w:r w:rsidRPr="00030148">
        <w:rPr>
          <w:rFonts w:ascii="Arial" w:eastAsia="Arial" w:hAnsi="Arial" w:cs="Arial"/>
          <w:sz w:val="20"/>
          <w:szCs w:val="20"/>
        </w:rPr>
        <w:t xml:space="preserve"> Digital Medicine, 8(1), 640.</w:t>
      </w:r>
      <w:r w:rsidR="00D1748A" w:rsidRPr="00D1748A">
        <w:t xml:space="preserve"> </w:t>
      </w:r>
      <w:hyperlink r:id="rId22" w:history="1">
        <w:r w:rsidR="00D1748A" w:rsidRPr="00D67C5E">
          <w:rPr>
            <w:rStyle w:val="Hyperlink"/>
            <w:rFonts w:ascii="Arial" w:eastAsia="Arial" w:hAnsi="Arial" w:cs="Arial"/>
            <w:sz w:val="20"/>
            <w:szCs w:val="20"/>
          </w:rPr>
          <w:t>https://doi.org/10.1038/s41746-025-02005-2</w:t>
        </w:r>
      </w:hyperlink>
      <w:r w:rsidR="00D1748A">
        <w:rPr>
          <w:rFonts w:ascii="Arial" w:eastAsia="Arial" w:hAnsi="Arial" w:cs="Arial"/>
          <w:sz w:val="20"/>
          <w:szCs w:val="20"/>
        </w:rPr>
        <w:t xml:space="preserve"> </w:t>
      </w:r>
    </w:p>
    <w:p w14:paraId="0851CFAF" w14:textId="03290492" w:rsidR="00AD10E3" w:rsidRPr="00030148" w:rsidRDefault="00B66C14" w:rsidP="00F55EA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lastRenderedPageBreak/>
        <w:t xml:space="preserve">de </w:t>
      </w:r>
      <w:proofErr w:type="spellStart"/>
      <w:r w:rsidRPr="00030148">
        <w:rPr>
          <w:rFonts w:ascii="Arial" w:eastAsia="Arial" w:hAnsi="Arial" w:cs="Arial"/>
          <w:sz w:val="20"/>
          <w:szCs w:val="20"/>
        </w:rPr>
        <w:t>Hond</w:t>
      </w:r>
      <w:proofErr w:type="spellEnd"/>
      <w:r w:rsidRPr="00030148">
        <w:rPr>
          <w:rFonts w:ascii="Arial" w:eastAsia="Arial" w:hAnsi="Arial" w:cs="Arial"/>
          <w:sz w:val="20"/>
          <w:szCs w:val="20"/>
        </w:rPr>
        <w:t xml:space="preserve">, A., </w:t>
      </w:r>
      <w:proofErr w:type="spellStart"/>
      <w:r w:rsidRPr="00030148">
        <w:rPr>
          <w:rFonts w:ascii="Arial" w:eastAsia="Arial" w:hAnsi="Arial" w:cs="Arial"/>
          <w:sz w:val="20"/>
          <w:szCs w:val="20"/>
        </w:rPr>
        <w:t>Leeuwenberg</w:t>
      </w:r>
      <w:proofErr w:type="spellEnd"/>
      <w:r w:rsidRPr="00030148">
        <w:rPr>
          <w:rFonts w:ascii="Arial" w:eastAsia="Arial" w:hAnsi="Arial" w:cs="Arial"/>
          <w:sz w:val="20"/>
          <w:szCs w:val="20"/>
        </w:rPr>
        <w:t xml:space="preserve">, T., Bartels, R., van </w:t>
      </w:r>
      <w:proofErr w:type="spellStart"/>
      <w:r w:rsidRPr="00030148">
        <w:rPr>
          <w:rFonts w:ascii="Arial" w:eastAsia="Arial" w:hAnsi="Arial" w:cs="Arial"/>
          <w:sz w:val="20"/>
          <w:szCs w:val="20"/>
        </w:rPr>
        <w:t>Buchem</w:t>
      </w:r>
      <w:proofErr w:type="spellEnd"/>
      <w:r w:rsidRPr="00030148">
        <w:rPr>
          <w:rFonts w:ascii="Arial" w:eastAsia="Arial" w:hAnsi="Arial" w:cs="Arial"/>
          <w:sz w:val="20"/>
          <w:szCs w:val="20"/>
        </w:rPr>
        <w:t>, M., Kant, I., Moons, K. G., &amp; van Smeden, M. (2024). From text to treatment: the crucial role of validation for generative large language models in health care. The Lancet Digital Health, 6(7), e441-e443.</w:t>
      </w:r>
      <w:r w:rsidR="00F55EA1" w:rsidRPr="00F55EA1">
        <w:t xml:space="preserve"> </w:t>
      </w:r>
      <w:hyperlink r:id="rId23" w:history="1">
        <w:r w:rsidR="00F55EA1" w:rsidRPr="00D67C5E">
          <w:rPr>
            <w:rStyle w:val="Hyperlink"/>
            <w:rFonts w:ascii="Arial" w:eastAsia="Arial" w:hAnsi="Arial" w:cs="Arial"/>
            <w:sz w:val="20"/>
            <w:szCs w:val="20"/>
          </w:rPr>
          <w:t>https://doi.org/10.1016/S2589-7500(24)00111-0</w:t>
        </w:r>
      </w:hyperlink>
      <w:r w:rsidR="00F55EA1">
        <w:rPr>
          <w:rFonts w:ascii="Arial" w:eastAsia="Arial" w:hAnsi="Arial" w:cs="Arial"/>
          <w:sz w:val="20"/>
          <w:szCs w:val="20"/>
        </w:rPr>
        <w:t xml:space="preserve"> </w:t>
      </w:r>
    </w:p>
    <w:p w14:paraId="4599303C" w14:textId="0526CA2F" w:rsidR="00AD10E3" w:rsidRPr="00030148" w:rsidRDefault="00B66C14" w:rsidP="0037178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Deng, D., Zhang, C., Zheng, H., Pu, Y., Ji, S., &amp; Wu, Y. (2024). </w:t>
      </w:r>
      <w:proofErr w:type="spellStart"/>
      <w:r w:rsidRPr="00030148">
        <w:rPr>
          <w:rFonts w:ascii="Arial" w:eastAsia="Arial" w:hAnsi="Arial" w:cs="Arial"/>
          <w:sz w:val="20"/>
          <w:szCs w:val="20"/>
        </w:rPr>
        <w:t>Adversaflow</w:t>
      </w:r>
      <w:proofErr w:type="spellEnd"/>
      <w:r w:rsidRPr="00030148">
        <w:rPr>
          <w:rFonts w:ascii="Arial" w:eastAsia="Arial" w:hAnsi="Arial" w:cs="Arial"/>
          <w:sz w:val="20"/>
          <w:szCs w:val="20"/>
        </w:rPr>
        <w:t>: Visual red teaming for large language models with multi-level adversarial flow. IEEE Transactions on Visualization and Computer Graphics.</w:t>
      </w:r>
      <w:r w:rsidR="00371781" w:rsidRPr="00371781">
        <w:t xml:space="preserve"> </w:t>
      </w:r>
      <w:hyperlink r:id="rId24" w:history="1">
        <w:r w:rsidR="00371781" w:rsidRPr="00D67C5E">
          <w:rPr>
            <w:rStyle w:val="Hyperlink"/>
            <w:rFonts w:ascii="Arial" w:eastAsia="Arial" w:hAnsi="Arial" w:cs="Arial"/>
            <w:sz w:val="20"/>
            <w:szCs w:val="20"/>
          </w:rPr>
          <w:t>https://doi.org/10.1109/TVCG.2024.3456150</w:t>
        </w:r>
      </w:hyperlink>
      <w:r w:rsidR="00371781">
        <w:rPr>
          <w:rFonts w:ascii="Arial" w:eastAsia="Arial" w:hAnsi="Arial" w:cs="Arial"/>
          <w:sz w:val="20"/>
          <w:szCs w:val="20"/>
        </w:rPr>
        <w:t xml:space="preserve"> </w:t>
      </w:r>
    </w:p>
    <w:p w14:paraId="20DC4876" w14:textId="14F7902B" w:rsidR="00AD10E3" w:rsidRPr="00030148" w:rsidRDefault="00B66C14" w:rsidP="008A2C60">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Du, Y., Ye, R., Yuchi, F., Zhao, W., Qu, J., Wang, Y., &amp; Chen, S. (2025, July). </w:t>
      </w:r>
      <w:proofErr w:type="spellStart"/>
      <w:r w:rsidRPr="00030148">
        <w:rPr>
          <w:rFonts w:ascii="Arial" w:eastAsia="Arial" w:hAnsi="Arial" w:cs="Arial"/>
          <w:sz w:val="20"/>
          <w:szCs w:val="20"/>
        </w:rPr>
        <w:t>FedDQC</w:t>
      </w:r>
      <w:proofErr w:type="spellEnd"/>
      <w:r w:rsidRPr="00030148">
        <w:rPr>
          <w:rFonts w:ascii="Arial" w:eastAsia="Arial" w:hAnsi="Arial" w:cs="Arial"/>
          <w:sz w:val="20"/>
          <w:szCs w:val="20"/>
        </w:rPr>
        <w:t>: Data quality control in federated instruction-tuning of large language models. In Findings of the Association for Computational Linguistics: ACL 2025 (pp. 15267-15291).</w:t>
      </w:r>
      <w:r w:rsidR="008A2C60" w:rsidRPr="008A2C60">
        <w:t xml:space="preserve"> </w:t>
      </w:r>
      <w:hyperlink r:id="rId25" w:history="1">
        <w:r w:rsidR="008A2C60" w:rsidRPr="00D67C5E">
          <w:rPr>
            <w:rStyle w:val="Hyperlink"/>
            <w:rFonts w:ascii="Arial" w:eastAsia="Arial" w:hAnsi="Arial" w:cs="Arial"/>
            <w:sz w:val="20"/>
            <w:szCs w:val="20"/>
          </w:rPr>
          <w:t>https://doi.org/10.18653/v1/2025.findings-acl.791</w:t>
        </w:r>
      </w:hyperlink>
      <w:r w:rsidR="008A2C60">
        <w:rPr>
          <w:rFonts w:ascii="Arial" w:eastAsia="Arial" w:hAnsi="Arial" w:cs="Arial"/>
          <w:sz w:val="20"/>
          <w:szCs w:val="20"/>
        </w:rPr>
        <w:t xml:space="preserve"> </w:t>
      </w:r>
    </w:p>
    <w:p w14:paraId="3DD4A877" w14:textId="607F33AB" w:rsidR="00AD10E3" w:rsidRPr="00030148" w:rsidRDefault="00B66C14" w:rsidP="00F6424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Eriksen, A. V., Möller, S., &amp; Ryg, J. (2024). Use of GPT-4 to diagnose complex clinical cases. </w:t>
      </w:r>
      <w:proofErr w:type="spellStart"/>
      <w:r w:rsidRPr="00030148">
        <w:rPr>
          <w:rFonts w:ascii="Arial" w:eastAsia="Arial" w:hAnsi="Arial" w:cs="Arial"/>
          <w:sz w:val="20"/>
          <w:szCs w:val="20"/>
        </w:rPr>
        <w:t>Nejm</w:t>
      </w:r>
      <w:proofErr w:type="spellEnd"/>
      <w:r w:rsidRPr="00030148">
        <w:rPr>
          <w:rFonts w:ascii="Arial" w:eastAsia="Arial" w:hAnsi="Arial" w:cs="Arial"/>
          <w:sz w:val="20"/>
          <w:szCs w:val="20"/>
        </w:rPr>
        <w:t xml:space="preserve"> Ai, 1(1), AIp2300031.</w:t>
      </w:r>
      <w:r w:rsidR="00F64248" w:rsidRPr="00F64248">
        <w:t xml:space="preserve"> </w:t>
      </w:r>
      <w:hyperlink r:id="rId26" w:history="1">
        <w:r w:rsidR="00F64248" w:rsidRPr="00D67C5E">
          <w:rPr>
            <w:rStyle w:val="Hyperlink"/>
            <w:rFonts w:ascii="Arial" w:eastAsia="Arial" w:hAnsi="Arial" w:cs="Arial"/>
            <w:sz w:val="20"/>
            <w:szCs w:val="20"/>
          </w:rPr>
          <w:t>https://doi.org/10.1056/AIp2300031</w:t>
        </w:r>
      </w:hyperlink>
      <w:r w:rsidR="00F64248">
        <w:rPr>
          <w:rFonts w:ascii="Arial" w:eastAsia="Arial" w:hAnsi="Arial" w:cs="Arial"/>
          <w:sz w:val="20"/>
          <w:szCs w:val="20"/>
        </w:rPr>
        <w:t xml:space="preserve"> </w:t>
      </w:r>
    </w:p>
    <w:p w14:paraId="224FAFA7" w14:textId="1D940651" w:rsidR="00AD10E3" w:rsidRPr="00030148" w:rsidRDefault="00B66C14" w:rsidP="004101E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Ge, J., Sun, S., Owens, J., Galvez, V., </w:t>
      </w:r>
      <w:proofErr w:type="spellStart"/>
      <w:r w:rsidRPr="00030148">
        <w:rPr>
          <w:rFonts w:ascii="Arial" w:eastAsia="Arial" w:hAnsi="Arial" w:cs="Arial"/>
          <w:sz w:val="20"/>
          <w:szCs w:val="20"/>
        </w:rPr>
        <w:t>Gologorskaya</w:t>
      </w:r>
      <w:proofErr w:type="spellEnd"/>
      <w:r w:rsidRPr="00030148">
        <w:rPr>
          <w:rFonts w:ascii="Arial" w:eastAsia="Arial" w:hAnsi="Arial" w:cs="Arial"/>
          <w:sz w:val="20"/>
          <w:szCs w:val="20"/>
        </w:rPr>
        <w:t>, O., Lai, J. C., ... &amp; Lai, K. (2024). Development of a liver disease–specific large language model chat interface using retrieval-augmented generation. Hepatology, 80(5), 1158-1168.</w:t>
      </w:r>
      <w:r w:rsidR="004101E7" w:rsidRPr="004101E7">
        <w:t xml:space="preserve"> </w:t>
      </w:r>
      <w:hyperlink r:id="rId27" w:history="1">
        <w:r w:rsidR="004101E7" w:rsidRPr="00D67C5E">
          <w:rPr>
            <w:rStyle w:val="Hyperlink"/>
            <w:rFonts w:ascii="Arial" w:eastAsia="Arial" w:hAnsi="Arial" w:cs="Arial"/>
            <w:sz w:val="20"/>
            <w:szCs w:val="20"/>
          </w:rPr>
          <w:t>https://doi.org/10.1097/HEP.0000000000000834</w:t>
        </w:r>
      </w:hyperlink>
      <w:r w:rsidR="004101E7">
        <w:rPr>
          <w:rFonts w:ascii="Arial" w:eastAsia="Arial" w:hAnsi="Arial" w:cs="Arial"/>
          <w:sz w:val="20"/>
          <w:szCs w:val="20"/>
        </w:rPr>
        <w:t xml:space="preserve"> </w:t>
      </w:r>
    </w:p>
    <w:p w14:paraId="66126C03" w14:textId="29263F03" w:rsidR="00AD10E3" w:rsidRPr="00030148" w:rsidRDefault="00B66C14" w:rsidP="00424531">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Gstrein</w:t>
      </w:r>
      <w:proofErr w:type="spellEnd"/>
      <w:r w:rsidRPr="00030148">
        <w:rPr>
          <w:rFonts w:ascii="Arial" w:eastAsia="Arial" w:hAnsi="Arial" w:cs="Arial"/>
          <w:sz w:val="20"/>
          <w:szCs w:val="20"/>
        </w:rPr>
        <w:t xml:space="preserve">, O. J., Haleem, N., &amp; </w:t>
      </w:r>
      <w:proofErr w:type="spellStart"/>
      <w:r w:rsidRPr="00030148">
        <w:rPr>
          <w:rFonts w:ascii="Arial" w:eastAsia="Arial" w:hAnsi="Arial" w:cs="Arial"/>
          <w:sz w:val="20"/>
          <w:szCs w:val="20"/>
        </w:rPr>
        <w:t>Zwitter</w:t>
      </w:r>
      <w:proofErr w:type="spellEnd"/>
      <w:r w:rsidRPr="00030148">
        <w:rPr>
          <w:rFonts w:ascii="Arial" w:eastAsia="Arial" w:hAnsi="Arial" w:cs="Arial"/>
          <w:sz w:val="20"/>
          <w:szCs w:val="20"/>
        </w:rPr>
        <w:t>, A. (2024). General-purpose AI regulation and the European Union AI Act. Internet Policy Review, 13(3), 1-26.</w:t>
      </w:r>
      <w:r w:rsidR="00424531" w:rsidRPr="00424531">
        <w:t xml:space="preserve"> </w:t>
      </w:r>
      <w:hyperlink r:id="rId28" w:history="1">
        <w:r w:rsidR="00424531" w:rsidRPr="00D67C5E">
          <w:rPr>
            <w:rStyle w:val="Hyperlink"/>
            <w:rFonts w:ascii="Arial" w:eastAsia="Arial" w:hAnsi="Arial" w:cs="Arial"/>
            <w:sz w:val="20"/>
            <w:szCs w:val="20"/>
          </w:rPr>
          <w:t>https://doi.org/10.14763/2024.3.1790</w:t>
        </w:r>
      </w:hyperlink>
      <w:r w:rsidR="00424531">
        <w:rPr>
          <w:rFonts w:ascii="Arial" w:eastAsia="Arial" w:hAnsi="Arial" w:cs="Arial"/>
          <w:sz w:val="20"/>
          <w:szCs w:val="20"/>
        </w:rPr>
        <w:t xml:space="preserve"> </w:t>
      </w:r>
    </w:p>
    <w:p w14:paraId="6BC6A0D4" w14:textId="2E77E1C4" w:rsidR="00AD10E3" w:rsidRPr="00030148" w:rsidRDefault="00B66C14" w:rsidP="00BC4C5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Hartman, V. C., Bapat, S. S., Weiner, M. G., Navi, B. B., </w:t>
      </w:r>
      <w:proofErr w:type="spellStart"/>
      <w:r w:rsidRPr="00030148">
        <w:rPr>
          <w:rFonts w:ascii="Arial" w:eastAsia="Arial" w:hAnsi="Arial" w:cs="Arial"/>
          <w:sz w:val="20"/>
          <w:szCs w:val="20"/>
        </w:rPr>
        <w:t>Sholle</w:t>
      </w:r>
      <w:proofErr w:type="spellEnd"/>
      <w:r w:rsidRPr="00030148">
        <w:rPr>
          <w:rFonts w:ascii="Arial" w:eastAsia="Arial" w:hAnsi="Arial" w:cs="Arial"/>
          <w:sz w:val="20"/>
          <w:szCs w:val="20"/>
        </w:rPr>
        <w:t>, E. T., &amp; Campion Jr, T. R. (2023). A method to automate the discharge summary hospital course for neurology patients. Journal of the American Medical Informatics Association, 30(12), 1995-2003.</w:t>
      </w:r>
      <w:r w:rsidR="00BC4C5E" w:rsidRPr="00BC4C5E">
        <w:t xml:space="preserve"> </w:t>
      </w:r>
      <w:hyperlink r:id="rId29" w:history="1">
        <w:r w:rsidR="00BC4C5E" w:rsidRPr="00D67C5E">
          <w:rPr>
            <w:rStyle w:val="Hyperlink"/>
            <w:rFonts w:ascii="Arial" w:eastAsia="Arial" w:hAnsi="Arial" w:cs="Arial"/>
            <w:sz w:val="20"/>
            <w:szCs w:val="20"/>
          </w:rPr>
          <w:t>https://doi.org/10.1093/jamia/ocad177</w:t>
        </w:r>
      </w:hyperlink>
      <w:r w:rsidR="00BC4C5E">
        <w:rPr>
          <w:rFonts w:ascii="Arial" w:eastAsia="Arial" w:hAnsi="Arial" w:cs="Arial"/>
          <w:sz w:val="20"/>
          <w:szCs w:val="20"/>
        </w:rPr>
        <w:t xml:space="preserve"> </w:t>
      </w:r>
    </w:p>
    <w:p w14:paraId="3E14DAE1" w14:textId="374FD6C7" w:rsidR="00AD10E3" w:rsidRPr="00030148" w:rsidRDefault="00B66C14" w:rsidP="00C670D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Jaffal, N. O., </w:t>
      </w:r>
      <w:proofErr w:type="spellStart"/>
      <w:r w:rsidRPr="00030148">
        <w:rPr>
          <w:rFonts w:ascii="Arial" w:eastAsia="Arial" w:hAnsi="Arial" w:cs="Arial"/>
          <w:sz w:val="20"/>
          <w:szCs w:val="20"/>
        </w:rPr>
        <w:t>Alkhanafseh</w:t>
      </w:r>
      <w:proofErr w:type="spellEnd"/>
      <w:r w:rsidRPr="00030148">
        <w:rPr>
          <w:rFonts w:ascii="Arial" w:eastAsia="Arial" w:hAnsi="Arial" w:cs="Arial"/>
          <w:sz w:val="20"/>
          <w:szCs w:val="20"/>
        </w:rPr>
        <w:t xml:space="preserve">, M., &amp; </w:t>
      </w:r>
      <w:proofErr w:type="spellStart"/>
      <w:r w:rsidRPr="00030148">
        <w:rPr>
          <w:rFonts w:ascii="Arial" w:eastAsia="Arial" w:hAnsi="Arial" w:cs="Arial"/>
          <w:sz w:val="20"/>
          <w:szCs w:val="20"/>
        </w:rPr>
        <w:t>Mohaisen</w:t>
      </w:r>
      <w:proofErr w:type="spellEnd"/>
      <w:r w:rsidRPr="00030148">
        <w:rPr>
          <w:rFonts w:ascii="Arial" w:eastAsia="Arial" w:hAnsi="Arial" w:cs="Arial"/>
          <w:sz w:val="20"/>
          <w:szCs w:val="20"/>
        </w:rPr>
        <w:t>, D. (2025). Large language models in cybersecurity: A survey of applications, vulnerabilities, and defense techniques. AI, 6(9), 216.</w:t>
      </w:r>
      <w:r w:rsidR="00C670D5" w:rsidRPr="00C670D5">
        <w:t xml:space="preserve"> </w:t>
      </w:r>
      <w:hyperlink r:id="rId30" w:history="1">
        <w:r w:rsidR="00C670D5" w:rsidRPr="00D67C5E">
          <w:rPr>
            <w:rStyle w:val="Hyperlink"/>
            <w:rFonts w:ascii="Arial" w:eastAsia="Arial" w:hAnsi="Arial" w:cs="Arial"/>
            <w:sz w:val="20"/>
            <w:szCs w:val="20"/>
          </w:rPr>
          <w:t>https://doi.org/10.3390/ai6090216</w:t>
        </w:r>
      </w:hyperlink>
      <w:r w:rsidR="00C670D5">
        <w:rPr>
          <w:rFonts w:ascii="Arial" w:eastAsia="Arial" w:hAnsi="Arial" w:cs="Arial"/>
          <w:sz w:val="20"/>
          <w:szCs w:val="20"/>
        </w:rPr>
        <w:t xml:space="preserve"> </w:t>
      </w:r>
    </w:p>
    <w:p w14:paraId="411DB8F0" w14:textId="65E164C8" w:rsidR="00AD10E3" w:rsidRPr="00030148" w:rsidRDefault="00B66C14" w:rsidP="0079446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Janssen, M., Brous, P., Estevez, E., Barbosa, L. S., &amp; Janowski, T. (2020). Data governance: Organizing data for trustworthy Artificial Intelligence. Government information quarterly, 37(3), 101493.</w:t>
      </w:r>
      <w:r w:rsidR="00794464" w:rsidRPr="00794464">
        <w:t xml:space="preserve"> </w:t>
      </w:r>
      <w:hyperlink r:id="rId31" w:history="1">
        <w:r w:rsidR="00794464" w:rsidRPr="00D67C5E">
          <w:rPr>
            <w:rStyle w:val="Hyperlink"/>
            <w:rFonts w:ascii="Arial" w:eastAsia="Arial" w:hAnsi="Arial" w:cs="Arial"/>
            <w:sz w:val="20"/>
            <w:szCs w:val="20"/>
          </w:rPr>
          <w:t>https://doi.org/10.1016/j.giq.2020.101493</w:t>
        </w:r>
      </w:hyperlink>
      <w:r w:rsidR="00794464">
        <w:rPr>
          <w:rFonts w:ascii="Arial" w:eastAsia="Arial" w:hAnsi="Arial" w:cs="Arial"/>
          <w:sz w:val="20"/>
          <w:szCs w:val="20"/>
        </w:rPr>
        <w:t xml:space="preserve"> </w:t>
      </w:r>
    </w:p>
    <w:p w14:paraId="2C4CA8CE" w14:textId="6AE539C0" w:rsidR="00AD10E3" w:rsidRPr="00030148" w:rsidRDefault="00B66C14" w:rsidP="00BB6BB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Jiang, S., Dai, Y., Jia, H., Wang, Y., &amp; Wang, H. (2025, January). </w:t>
      </w:r>
      <w:proofErr w:type="spellStart"/>
      <w:r w:rsidRPr="00030148">
        <w:rPr>
          <w:rFonts w:ascii="Arial" w:eastAsia="Arial" w:hAnsi="Arial" w:cs="Arial"/>
          <w:sz w:val="20"/>
          <w:szCs w:val="20"/>
        </w:rPr>
        <w:t>Intellichain</w:t>
      </w:r>
      <w:proofErr w:type="spellEnd"/>
      <w:r w:rsidRPr="00030148">
        <w:rPr>
          <w:rFonts w:ascii="Arial" w:eastAsia="Arial" w:hAnsi="Arial" w:cs="Arial"/>
          <w:sz w:val="20"/>
          <w:szCs w:val="20"/>
        </w:rPr>
        <w:t xml:space="preserve"> stars at the regulations challenge task: A large language model for financial regulation. In Proceedings of the Joint Workshop of the 9th Financial Technology and Natural Language Processing (</w:t>
      </w:r>
      <w:proofErr w:type="spellStart"/>
      <w:r w:rsidRPr="00030148">
        <w:rPr>
          <w:rFonts w:ascii="Arial" w:eastAsia="Arial" w:hAnsi="Arial" w:cs="Arial"/>
          <w:sz w:val="20"/>
          <w:szCs w:val="20"/>
        </w:rPr>
        <w:t>FinNLP</w:t>
      </w:r>
      <w:proofErr w:type="spellEnd"/>
      <w:r w:rsidRPr="00030148">
        <w:rPr>
          <w:rFonts w:ascii="Arial" w:eastAsia="Arial" w:hAnsi="Arial" w:cs="Arial"/>
          <w:sz w:val="20"/>
          <w:szCs w:val="20"/>
        </w:rPr>
        <w:t>), the 6th Financial Narrative Processing (FNP), and the 1st Workshop on Large Language Models for Finance and Legal (</w:t>
      </w:r>
      <w:proofErr w:type="spellStart"/>
      <w:r w:rsidRPr="00030148">
        <w:rPr>
          <w:rFonts w:ascii="Arial" w:eastAsia="Arial" w:hAnsi="Arial" w:cs="Arial"/>
          <w:sz w:val="20"/>
          <w:szCs w:val="20"/>
        </w:rPr>
        <w:t>LLMFinLegal</w:t>
      </w:r>
      <w:proofErr w:type="spellEnd"/>
      <w:r w:rsidRPr="00030148">
        <w:rPr>
          <w:rFonts w:ascii="Arial" w:eastAsia="Arial" w:hAnsi="Arial" w:cs="Arial"/>
          <w:sz w:val="20"/>
          <w:szCs w:val="20"/>
        </w:rPr>
        <w:t>) (pp. 371-384).</w:t>
      </w:r>
      <w:r w:rsidR="00BB6BBA" w:rsidRPr="00BB6BBA">
        <w:t xml:space="preserve"> </w:t>
      </w:r>
      <w:hyperlink r:id="rId32" w:history="1">
        <w:r w:rsidR="00BB6BBA" w:rsidRPr="00D67C5E">
          <w:rPr>
            <w:rStyle w:val="Hyperlink"/>
            <w:rFonts w:ascii="Arial" w:eastAsia="Arial" w:hAnsi="Arial" w:cs="Arial"/>
            <w:sz w:val="20"/>
            <w:szCs w:val="20"/>
          </w:rPr>
          <w:t>https://aclanthology.org/2025.finnlp-1.43/</w:t>
        </w:r>
      </w:hyperlink>
      <w:r w:rsidR="00BB6BBA">
        <w:rPr>
          <w:rFonts w:ascii="Arial" w:eastAsia="Arial" w:hAnsi="Arial" w:cs="Arial"/>
          <w:sz w:val="20"/>
          <w:szCs w:val="20"/>
        </w:rPr>
        <w:t xml:space="preserve"> </w:t>
      </w:r>
    </w:p>
    <w:p w14:paraId="13F4A39B" w14:textId="5CAEAB0D" w:rsidR="00AD10E3" w:rsidRPr="00030148" w:rsidRDefault="00B66C14" w:rsidP="00B36F0F">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Jin, Q., Wang, Z., </w:t>
      </w:r>
      <w:proofErr w:type="spellStart"/>
      <w:r w:rsidRPr="00030148">
        <w:rPr>
          <w:rFonts w:ascii="Arial" w:eastAsia="Arial" w:hAnsi="Arial" w:cs="Arial"/>
          <w:sz w:val="20"/>
          <w:szCs w:val="20"/>
        </w:rPr>
        <w:t>Floudas</w:t>
      </w:r>
      <w:proofErr w:type="spellEnd"/>
      <w:r w:rsidRPr="00030148">
        <w:rPr>
          <w:rFonts w:ascii="Arial" w:eastAsia="Arial" w:hAnsi="Arial" w:cs="Arial"/>
          <w:sz w:val="20"/>
          <w:szCs w:val="20"/>
        </w:rPr>
        <w:t>, C. S., Chen, F., Gong, C., Bracken-Clarke, D., ... &amp; Lu, Z. (2024). Matching patients to clinical trials with large language models. Nature communications, 15(1), 9074.</w:t>
      </w:r>
      <w:r w:rsidR="00B36F0F" w:rsidRPr="00B36F0F">
        <w:t xml:space="preserve"> </w:t>
      </w:r>
      <w:hyperlink r:id="rId33" w:history="1">
        <w:r w:rsidR="00B36F0F" w:rsidRPr="00D67C5E">
          <w:rPr>
            <w:rStyle w:val="Hyperlink"/>
            <w:rFonts w:ascii="Arial" w:eastAsia="Arial" w:hAnsi="Arial" w:cs="Arial"/>
            <w:sz w:val="20"/>
            <w:szCs w:val="20"/>
          </w:rPr>
          <w:t>https://doi.org/10.1038/s41467-024-53081-z</w:t>
        </w:r>
      </w:hyperlink>
      <w:r w:rsidR="00B36F0F">
        <w:rPr>
          <w:rFonts w:ascii="Arial" w:eastAsia="Arial" w:hAnsi="Arial" w:cs="Arial"/>
          <w:sz w:val="20"/>
          <w:szCs w:val="20"/>
        </w:rPr>
        <w:t xml:space="preserve"> </w:t>
      </w:r>
    </w:p>
    <w:p w14:paraId="2B3530B3" w14:textId="2F7AB311" w:rsidR="00AD10E3" w:rsidRPr="00030148" w:rsidRDefault="00B66C14" w:rsidP="009B207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Kim, H., Jin, H. M., Jung, Y. B., &amp; You, S. C. (2024). Patient-friendly discharge summaries in Korea based on ChatGPT: software development and validation. Journal of Korean Medical Science, 39(16).</w:t>
      </w:r>
      <w:r w:rsidR="009B2079" w:rsidRPr="009B2079">
        <w:t xml:space="preserve"> </w:t>
      </w:r>
      <w:hyperlink r:id="rId34" w:history="1">
        <w:r w:rsidR="009B2079" w:rsidRPr="00D67C5E">
          <w:rPr>
            <w:rStyle w:val="Hyperlink"/>
            <w:rFonts w:ascii="Arial" w:eastAsia="Arial" w:hAnsi="Arial" w:cs="Arial"/>
            <w:sz w:val="20"/>
            <w:szCs w:val="20"/>
          </w:rPr>
          <w:t>https://doi.org/10.3346/jkms.2024.39.e148</w:t>
        </w:r>
      </w:hyperlink>
      <w:r w:rsidR="009B2079">
        <w:rPr>
          <w:rFonts w:ascii="Arial" w:eastAsia="Arial" w:hAnsi="Arial" w:cs="Arial"/>
          <w:sz w:val="20"/>
          <w:szCs w:val="20"/>
        </w:rPr>
        <w:t xml:space="preserve"> </w:t>
      </w:r>
    </w:p>
    <w:p w14:paraId="329A1021" w14:textId="6007824B" w:rsidR="00AD10E3" w:rsidRPr="00030148" w:rsidRDefault="00B66C14" w:rsidP="004B6C7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Koh, M. C. Y., Ngiam, J. N., Oon, J. E. L., Lum, L. H. W., </w:t>
      </w:r>
      <w:proofErr w:type="spellStart"/>
      <w:r w:rsidRPr="00030148">
        <w:rPr>
          <w:rFonts w:ascii="Arial" w:eastAsia="Arial" w:hAnsi="Arial" w:cs="Arial"/>
          <w:sz w:val="20"/>
          <w:szCs w:val="20"/>
        </w:rPr>
        <w:t>Smitasin</w:t>
      </w:r>
      <w:proofErr w:type="spellEnd"/>
      <w:r w:rsidRPr="00030148">
        <w:rPr>
          <w:rFonts w:ascii="Arial" w:eastAsia="Arial" w:hAnsi="Arial" w:cs="Arial"/>
          <w:sz w:val="20"/>
          <w:szCs w:val="20"/>
        </w:rPr>
        <w:t>, N., &amp; Archuleta, S. (2025). Using ChatGPT for writing hospital inpatient discharge summaries–perspectives from an inpatient infectious diseases service. BMC Health Services Research, 25(1), 221.</w:t>
      </w:r>
      <w:r w:rsidR="004B6C7E" w:rsidRPr="004B6C7E">
        <w:t xml:space="preserve"> </w:t>
      </w:r>
      <w:hyperlink r:id="rId35" w:history="1">
        <w:r w:rsidR="004B6C7E" w:rsidRPr="00D67C5E">
          <w:rPr>
            <w:rStyle w:val="Hyperlink"/>
            <w:rFonts w:ascii="Arial" w:eastAsia="Arial" w:hAnsi="Arial" w:cs="Arial"/>
            <w:sz w:val="20"/>
            <w:szCs w:val="20"/>
          </w:rPr>
          <w:t>https://doi.org/10.1186/s12913-025-12373-w</w:t>
        </w:r>
      </w:hyperlink>
      <w:r w:rsidR="004B6C7E">
        <w:rPr>
          <w:rFonts w:ascii="Arial" w:eastAsia="Arial" w:hAnsi="Arial" w:cs="Arial"/>
          <w:sz w:val="20"/>
          <w:szCs w:val="20"/>
        </w:rPr>
        <w:t xml:space="preserve"> </w:t>
      </w:r>
    </w:p>
    <w:p w14:paraId="5B69984E" w14:textId="692DE02E" w:rsidR="00AD10E3" w:rsidRPr="00030148" w:rsidRDefault="00B66C14" w:rsidP="00DD30C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Kshetri, N. (2024). Economics of artificial intelligence governance. Computer, 57(4), 113-118.</w:t>
      </w:r>
      <w:r w:rsidR="00DD30C7" w:rsidRPr="00DD30C7">
        <w:t xml:space="preserve"> </w:t>
      </w:r>
      <w:hyperlink r:id="rId36" w:history="1">
        <w:r w:rsidR="00DD30C7" w:rsidRPr="00D67C5E">
          <w:rPr>
            <w:rStyle w:val="Hyperlink"/>
            <w:rFonts w:ascii="Arial" w:eastAsia="Arial" w:hAnsi="Arial" w:cs="Arial"/>
            <w:sz w:val="20"/>
            <w:szCs w:val="20"/>
          </w:rPr>
          <w:t>https://doi.org/10.1109/MC.2024.3357951</w:t>
        </w:r>
      </w:hyperlink>
      <w:r w:rsidR="00DD30C7">
        <w:rPr>
          <w:rFonts w:ascii="Arial" w:eastAsia="Arial" w:hAnsi="Arial" w:cs="Arial"/>
          <w:sz w:val="20"/>
          <w:szCs w:val="20"/>
        </w:rPr>
        <w:t xml:space="preserve"> </w:t>
      </w:r>
    </w:p>
    <w:p w14:paraId="7D04CBC3" w14:textId="6C9DD132" w:rsidR="00AD10E3" w:rsidRPr="00030148" w:rsidRDefault="00B66C14" w:rsidP="00C17DD4">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Kurshan</w:t>
      </w:r>
      <w:proofErr w:type="spellEnd"/>
      <w:r w:rsidRPr="00030148">
        <w:rPr>
          <w:rFonts w:ascii="Arial" w:eastAsia="Arial" w:hAnsi="Arial" w:cs="Arial"/>
          <w:sz w:val="20"/>
          <w:szCs w:val="20"/>
        </w:rPr>
        <w:t>, E., Shen, H., &amp; Chen, J. (2020, October). Towards self-regulating AI: Challenges and opportunities of AI model governance in financial services. In Proceedings of the First ACM International Conference on AI in Finance (pp. 1-8).</w:t>
      </w:r>
      <w:r w:rsidR="00C17DD4" w:rsidRPr="00C17DD4">
        <w:t xml:space="preserve"> </w:t>
      </w:r>
      <w:hyperlink r:id="rId37" w:history="1">
        <w:r w:rsidR="00C17DD4" w:rsidRPr="00D67C5E">
          <w:rPr>
            <w:rStyle w:val="Hyperlink"/>
            <w:rFonts w:ascii="Arial" w:eastAsia="Arial" w:hAnsi="Arial" w:cs="Arial"/>
            <w:sz w:val="20"/>
            <w:szCs w:val="20"/>
          </w:rPr>
          <w:t>https://doi.org/10.1145/3383455.3422564</w:t>
        </w:r>
      </w:hyperlink>
      <w:r w:rsidR="00C17DD4">
        <w:rPr>
          <w:rFonts w:ascii="Arial" w:eastAsia="Arial" w:hAnsi="Arial" w:cs="Arial"/>
          <w:sz w:val="20"/>
          <w:szCs w:val="20"/>
        </w:rPr>
        <w:t xml:space="preserve"> </w:t>
      </w:r>
    </w:p>
    <w:p w14:paraId="3C09F977" w14:textId="4BA4CD9D" w:rsidR="00AD10E3" w:rsidRPr="00030148" w:rsidRDefault="00B66C14" w:rsidP="0047569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Lee, K. H., Jang, S., Kim, G. J., Park, S., Kim, D., Kwon, O. J., ... &amp; Kim, Y. H. (2025). Large Language Models for Automating Clinical Trial Criteria Conversion to Observational Medical Outcomes Partnership Common Data Model Queries: Validation and Evaluation Study. JMIR Medical Informatics, 13, e71252.</w:t>
      </w:r>
      <w:r w:rsidR="00475691" w:rsidRPr="00475691">
        <w:t xml:space="preserve"> </w:t>
      </w:r>
      <w:hyperlink r:id="rId38" w:history="1">
        <w:r w:rsidR="00475691" w:rsidRPr="00D67C5E">
          <w:rPr>
            <w:rStyle w:val="Hyperlink"/>
            <w:rFonts w:ascii="Arial" w:eastAsia="Arial" w:hAnsi="Arial" w:cs="Arial"/>
            <w:sz w:val="20"/>
            <w:szCs w:val="20"/>
          </w:rPr>
          <w:t>https://doi.org/10.2196/71252</w:t>
        </w:r>
      </w:hyperlink>
      <w:r w:rsidR="00475691">
        <w:rPr>
          <w:rFonts w:ascii="Arial" w:eastAsia="Arial" w:hAnsi="Arial" w:cs="Arial"/>
          <w:sz w:val="20"/>
          <w:szCs w:val="20"/>
        </w:rPr>
        <w:t xml:space="preserve"> </w:t>
      </w:r>
    </w:p>
    <w:p w14:paraId="65B42D5C" w14:textId="60D0E31F" w:rsidR="00AD10E3" w:rsidRPr="00030148" w:rsidRDefault="00B66C14" w:rsidP="00B62E9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Liu, Y., Cai, C., Zhang, X., Yuan, X., &amp; Wang, C. (2024, October). </w:t>
      </w:r>
      <w:proofErr w:type="spellStart"/>
      <w:r w:rsidRPr="00030148">
        <w:rPr>
          <w:rFonts w:ascii="Arial" w:eastAsia="Arial" w:hAnsi="Arial" w:cs="Arial"/>
          <w:sz w:val="20"/>
          <w:szCs w:val="20"/>
        </w:rPr>
        <w:t>Arondight</w:t>
      </w:r>
      <w:proofErr w:type="spellEnd"/>
      <w:r w:rsidRPr="00030148">
        <w:rPr>
          <w:rFonts w:ascii="Arial" w:eastAsia="Arial" w:hAnsi="Arial" w:cs="Arial"/>
          <w:sz w:val="20"/>
          <w:szCs w:val="20"/>
        </w:rPr>
        <w:t>: Red teaming large vision language models with auto-generated multi-modal jailbreak prompts. In Proceedings of the 32nd ACM International Conference on Multimedia (pp. 3578-3586).</w:t>
      </w:r>
      <w:r w:rsidR="00B62E9A" w:rsidRPr="00B62E9A">
        <w:t xml:space="preserve"> </w:t>
      </w:r>
      <w:hyperlink r:id="rId39" w:history="1">
        <w:r w:rsidR="00B62E9A" w:rsidRPr="00D67C5E">
          <w:rPr>
            <w:rStyle w:val="Hyperlink"/>
            <w:rFonts w:ascii="Arial" w:eastAsia="Arial" w:hAnsi="Arial" w:cs="Arial"/>
            <w:sz w:val="20"/>
            <w:szCs w:val="20"/>
          </w:rPr>
          <w:t>https://arxiv.org/abs/2407.15050</w:t>
        </w:r>
      </w:hyperlink>
      <w:r w:rsidR="00B62E9A">
        <w:rPr>
          <w:rFonts w:ascii="Arial" w:eastAsia="Arial" w:hAnsi="Arial" w:cs="Arial"/>
          <w:sz w:val="20"/>
          <w:szCs w:val="20"/>
        </w:rPr>
        <w:t xml:space="preserve"> </w:t>
      </w:r>
    </w:p>
    <w:p w14:paraId="4C3D082D" w14:textId="2CBA445C" w:rsidR="00AD10E3" w:rsidRPr="00030148" w:rsidRDefault="00B66C14" w:rsidP="00B748B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Menezes, M. C. S., Hoffmann, A. F., Tan, A. L., Nalbandyan, M., Omenn, G. S., Mazzotti, D. R., ... &amp; </w:t>
      </w:r>
      <w:proofErr w:type="spellStart"/>
      <w:r w:rsidRPr="00030148">
        <w:rPr>
          <w:rFonts w:ascii="Arial" w:eastAsia="Arial" w:hAnsi="Arial" w:cs="Arial"/>
          <w:sz w:val="20"/>
          <w:szCs w:val="20"/>
        </w:rPr>
        <w:t>Kohane</w:t>
      </w:r>
      <w:proofErr w:type="spellEnd"/>
      <w:r w:rsidRPr="00030148">
        <w:rPr>
          <w:rFonts w:ascii="Arial" w:eastAsia="Arial" w:hAnsi="Arial" w:cs="Arial"/>
          <w:sz w:val="20"/>
          <w:szCs w:val="20"/>
        </w:rPr>
        <w:t xml:space="preserve">, I. S. (2025). The potential of Generative Pre-trained Transformer 4 (GPT-4) to </w:t>
      </w:r>
      <w:proofErr w:type="spellStart"/>
      <w:r w:rsidRPr="00030148">
        <w:rPr>
          <w:rFonts w:ascii="Arial" w:eastAsia="Arial" w:hAnsi="Arial" w:cs="Arial"/>
          <w:sz w:val="20"/>
          <w:szCs w:val="20"/>
        </w:rPr>
        <w:t>analyse</w:t>
      </w:r>
      <w:proofErr w:type="spellEnd"/>
      <w:r w:rsidRPr="00030148">
        <w:rPr>
          <w:rFonts w:ascii="Arial" w:eastAsia="Arial" w:hAnsi="Arial" w:cs="Arial"/>
          <w:sz w:val="20"/>
          <w:szCs w:val="20"/>
        </w:rPr>
        <w:t xml:space="preserve"> medical notes in three different </w:t>
      </w:r>
      <w:r w:rsidRPr="00030148">
        <w:rPr>
          <w:rFonts w:ascii="Arial" w:eastAsia="Arial" w:hAnsi="Arial" w:cs="Arial"/>
          <w:sz w:val="20"/>
          <w:szCs w:val="20"/>
        </w:rPr>
        <w:lastRenderedPageBreak/>
        <w:t>languages: a retrospective model-evaluation study. The Lancet Digital Health, 7(1), e35-e43.</w:t>
      </w:r>
      <w:r w:rsidR="00B748B5" w:rsidRPr="00B748B5">
        <w:t xml:space="preserve"> </w:t>
      </w:r>
      <w:hyperlink r:id="rId40" w:history="1">
        <w:r w:rsidR="00B748B5" w:rsidRPr="00D67C5E">
          <w:rPr>
            <w:rStyle w:val="Hyperlink"/>
            <w:rFonts w:ascii="Arial" w:eastAsia="Arial" w:hAnsi="Arial" w:cs="Arial"/>
            <w:sz w:val="20"/>
            <w:szCs w:val="20"/>
          </w:rPr>
          <w:t>https://doi.org/10.1016/S2589-7500(24)00246-2</w:t>
        </w:r>
      </w:hyperlink>
      <w:r w:rsidR="00B748B5">
        <w:rPr>
          <w:rFonts w:ascii="Arial" w:eastAsia="Arial" w:hAnsi="Arial" w:cs="Arial"/>
          <w:sz w:val="20"/>
          <w:szCs w:val="20"/>
        </w:rPr>
        <w:t xml:space="preserve"> </w:t>
      </w:r>
    </w:p>
    <w:p w14:paraId="5C6F7373" w14:textId="7304CEBA" w:rsidR="00AD10E3" w:rsidRPr="00030148" w:rsidRDefault="00B66C14" w:rsidP="004557BB">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Mökander</w:t>
      </w:r>
      <w:proofErr w:type="spellEnd"/>
      <w:r w:rsidRPr="00030148">
        <w:rPr>
          <w:rFonts w:ascii="Arial" w:eastAsia="Arial" w:hAnsi="Arial" w:cs="Arial"/>
          <w:sz w:val="20"/>
          <w:szCs w:val="20"/>
        </w:rPr>
        <w:t xml:space="preserve">, J., Schuett, J., Kirk, H. R., &amp; </w:t>
      </w:r>
      <w:proofErr w:type="spellStart"/>
      <w:r w:rsidRPr="00030148">
        <w:rPr>
          <w:rFonts w:ascii="Arial" w:eastAsia="Arial" w:hAnsi="Arial" w:cs="Arial"/>
          <w:sz w:val="20"/>
          <w:szCs w:val="20"/>
        </w:rPr>
        <w:t>Floridi</w:t>
      </w:r>
      <w:proofErr w:type="spellEnd"/>
      <w:r w:rsidRPr="00030148">
        <w:rPr>
          <w:rFonts w:ascii="Arial" w:eastAsia="Arial" w:hAnsi="Arial" w:cs="Arial"/>
          <w:sz w:val="20"/>
          <w:szCs w:val="20"/>
        </w:rPr>
        <w:t>, L. (2024). Auditing large language models: a three-layered approach. AI and Ethics, 4(4), 1085-1115.</w:t>
      </w:r>
      <w:r w:rsidR="004557BB" w:rsidRPr="004557BB">
        <w:t xml:space="preserve"> </w:t>
      </w:r>
      <w:hyperlink r:id="rId41" w:history="1">
        <w:r w:rsidR="004557BB" w:rsidRPr="00D67C5E">
          <w:rPr>
            <w:rStyle w:val="Hyperlink"/>
            <w:rFonts w:ascii="Arial" w:eastAsia="Arial" w:hAnsi="Arial" w:cs="Arial"/>
            <w:sz w:val="20"/>
            <w:szCs w:val="20"/>
          </w:rPr>
          <w:t>https://doi.org/10.1007/s43681-023-00289-2</w:t>
        </w:r>
      </w:hyperlink>
      <w:r w:rsidR="004557BB">
        <w:rPr>
          <w:rFonts w:ascii="Arial" w:eastAsia="Arial" w:hAnsi="Arial" w:cs="Arial"/>
          <w:sz w:val="20"/>
          <w:szCs w:val="20"/>
        </w:rPr>
        <w:t xml:space="preserve"> </w:t>
      </w:r>
    </w:p>
    <w:p w14:paraId="3AACD918" w14:textId="63567CB4" w:rsidR="00AD10E3" w:rsidRPr="00030148" w:rsidRDefault="00B66C14" w:rsidP="0057773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Morley, J., Murphy, L., Mishra, A., Joshi, I., &amp; </w:t>
      </w:r>
      <w:proofErr w:type="spellStart"/>
      <w:r w:rsidRPr="00030148">
        <w:rPr>
          <w:rFonts w:ascii="Arial" w:eastAsia="Arial" w:hAnsi="Arial" w:cs="Arial"/>
          <w:sz w:val="20"/>
          <w:szCs w:val="20"/>
        </w:rPr>
        <w:t>Karpathakis</w:t>
      </w:r>
      <w:proofErr w:type="spellEnd"/>
      <w:r w:rsidRPr="00030148">
        <w:rPr>
          <w:rFonts w:ascii="Arial" w:eastAsia="Arial" w:hAnsi="Arial" w:cs="Arial"/>
          <w:sz w:val="20"/>
          <w:szCs w:val="20"/>
        </w:rPr>
        <w:t>, K. (2022). Governing data and artificial intelligence for health care: developing an international understanding. JMIR formative research, 6(1), e31623.</w:t>
      </w:r>
      <w:r w:rsidR="0057773A" w:rsidRPr="0057773A">
        <w:t xml:space="preserve"> </w:t>
      </w:r>
      <w:hyperlink r:id="rId42" w:history="1">
        <w:r w:rsidR="0057773A" w:rsidRPr="00D67C5E">
          <w:rPr>
            <w:rStyle w:val="Hyperlink"/>
            <w:rFonts w:ascii="Arial" w:eastAsia="Arial" w:hAnsi="Arial" w:cs="Arial"/>
            <w:sz w:val="20"/>
            <w:szCs w:val="20"/>
          </w:rPr>
          <w:t>https://doi.org/10.2196/31623</w:t>
        </w:r>
      </w:hyperlink>
      <w:r w:rsidR="0057773A">
        <w:rPr>
          <w:rFonts w:ascii="Arial" w:eastAsia="Arial" w:hAnsi="Arial" w:cs="Arial"/>
          <w:sz w:val="20"/>
          <w:szCs w:val="20"/>
        </w:rPr>
        <w:t xml:space="preserve"> </w:t>
      </w:r>
    </w:p>
    <w:p w14:paraId="14115127" w14:textId="27FF3244" w:rsidR="00AD10E3" w:rsidRPr="00030148" w:rsidRDefault="00B66C14" w:rsidP="00070CA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Nadella, G. S., Addula, S. R., </w:t>
      </w:r>
      <w:proofErr w:type="spellStart"/>
      <w:r w:rsidRPr="00030148">
        <w:rPr>
          <w:rFonts w:ascii="Arial" w:eastAsia="Arial" w:hAnsi="Arial" w:cs="Arial"/>
          <w:sz w:val="20"/>
          <w:szCs w:val="20"/>
        </w:rPr>
        <w:t>Yadulla</w:t>
      </w:r>
      <w:proofErr w:type="spellEnd"/>
      <w:r w:rsidRPr="00030148">
        <w:rPr>
          <w:rFonts w:ascii="Arial" w:eastAsia="Arial" w:hAnsi="Arial" w:cs="Arial"/>
          <w:sz w:val="20"/>
          <w:szCs w:val="20"/>
        </w:rPr>
        <w:t xml:space="preserve">, A. R., Sajja, G. S., </w:t>
      </w:r>
      <w:proofErr w:type="spellStart"/>
      <w:r w:rsidRPr="00030148">
        <w:rPr>
          <w:rFonts w:ascii="Arial" w:eastAsia="Arial" w:hAnsi="Arial" w:cs="Arial"/>
          <w:sz w:val="20"/>
          <w:szCs w:val="20"/>
        </w:rPr>
        <w:t>Meesala</w:t>
      </w:r>
      <w:proofErr w:type="spellEnd"/>
      <w:r w:rsidRPr="00030148">
        <w:rPr>
          <w:rFonts w:ascii="Arial" w:eastAsia="Arial" w:hAnsi="Arial" w:cs="Arial"/>
          <w:sz w:val="20"/>
          <w:szCs w:val="20"/>
        </w:rPr>
        <w:t xml:space="preserve">, M., Maturi, M. H., ... &amp; </w:t>
      </w:r>
      <w:proofErr w:type="spellStart"/>
      <w:r w:rsidRPr="00030148">
        <w:rPr>
          <w:rFonts w:ascii="Arial" w:eastAsia="Arial" w:hAnsi="Arial" w:cs="Arial"/>
          <w:sz w:val="20"/>
          <w:szCs w:val="20"/>
        </w:rPr>
        <w:t>Gonaygunta</w:t>
      </w:r>
      <w:proofErr w:type="spellEnd"/>
      <w:r w:rsidRPr="00030148">
        <w:rPr>
          <w:rFonts w:ascii="Arial" w:eastAsia="Arial" w:hAnsi="Arial" w:cs="Arial"/>
          <w:sz w:val="20"/>
          <w:szCs w:val="20"/>
        </w:rPr>
        <w:t>, H. (2025). Generative AI-Enhanced Cybersecurity Framework for Enterprise Data Privacy Management. Computers, 14(2), 55.</w:t>
      </w:r>
      <w:r w:rsidR="00070CA5" w:rsidRPr="00070CA5">
        <w:t xml:space="preserve"> </w:t>
      </w:r>
      <w:hyperlink r:id="rId43" w:history="1">
        <w:r w:rsidR="00070CA5" w:rsidRPr="00D67C5E">
          <w:rPr>
            <w:rStyle w:val="Hyperlink"/>
            <w:rFonts w:ascii="Arial" w:eastAsia="Arial" w:hAnsi="Arial" w:cs="Arial"/>
            <w:sz w:val="20"/>
            <w:szCs w:val="20"/>
          </w:rPr>
          <w:t>https://doi.org/10.3390/computers14020055</w:t>
        </w:r>
      </w:hyperlink>
      <w:r w:rsidR="00070CA5">
        <w:rPr>
          <w:rFonts w:ascii="Arial" w:eastAsia="Arial" w:hAnsi="Arial" w:cs="Arial"/>
          <w:sz w:val="20"/>
          <w:szCs w:val="20"/>
        </w:rPr>
        <w:t xml:space="preserve"> </w:t>
      </w:r>
    </w:p>
    <w:p w14:paraId="7762FA10" w14:textId="5660FA7A" w:rsidR="00AD10E3" w:rsidRPr="00030148" w:rsidRDefault="00B66C14" w:rsidP="000775CC">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Omiye</w:t>
      </w:r>
      <w:proofErr w:type="spellEnd"/>
      <w:r w:rsidRPr="00030148">
        <w:rPr>
          <w:rFonts w:ascii="Arial" w:eastAsia="Arial" w:hAnsi="Arial" w:cs="Arial"/>
          <w:sz w:val="20"/>
          <w:szCs w:val="20"/>
        </w:rPr>
        <w:t xml:space="preserve">, J. A., Lester, J. C., </w:t>
      </w:r>
      <w:proofErr w:type="spellStart"/>
      <w:r w:rsidRPr="00030148">
        <w:rPr>
          <w:rFonts w:ascii="Arial" w:eastAsia="Arial" w:hAnsi="Arial" w:cs="Arial"/>
          <w:sz w:val="20"/>
          <w:szCs w:val="20"/>
        </w:rPr>
        <w:t>Spichak</w:t>
      </w:r>
      <w:proofErr w:type="spellEnd"/>
      <w:r w:rsidRPr="00030148">
        <w:rPr>
          <w:rFonts w:ascii="Arial" w:eastAsia="Arial" w:hAnsi="Arial" w:cs="Arial"/>
          <w:sz w:val="20"/>
          <w:szCs w:val="20"/>
        </w:rPr>
        <w:t xml:space="preserve">, S., </w:t>
      </w:r>
      <w:proofErr w:type="spellStart"/>
      <w:r w:rsidRPr="00030148">
        <w:rPr>
          <w:rFonts w:ascii="Arial" w:eastAsia="Arial" w:hAnsi="Arial" w:cs="Arial"/>
          <w:sz w:val="20"/>
          <w:szCs w:val="20"/>
        </w:rPr>
        <w:t>Rotemberg</w:t>
      </w:r>
      <w:proofErr w:type="spellEnd"/>
      <w:r w:rsidRPr="00030148">
        <w:rPr>
          <w:rFonts w:ascii="Arial" w:eastAsia="Arial" w:hAnsi="Arial" w:cs="Arial"/>
          <w:sz w:val="20"/>
          <w:szCs w:val="20"/>
        </w:rPr>
        <w:t xml:space="preserve">, V., &amp; </w:t>
      </w:r>
      <w:proofErr w:type="spellStart"/>
      <w:r w:rsidRPr="00030148">
        <w:rPr>
          <w:rFonts w:ascii="Arial" w:eastAsia="Arial" w:hAnsi="Arial" w:cs="Arial"/>
          <w:sz w:val="20"/>
          <w:szCs w:val="20"/>
        </w:rPr>
        <w:t>Daneshjou</w:t>
      </w:r>
      <w:proofErr w:type="spellEnd"/>
      <w:r w:rsidRPr="00030148">
        <w:rPr>
          <w:rFonts w:ascii="Arial" w:eastAsia="Arial" w:hAnsi="Arial" w:cs="Arial"/>
          <w:sz w:val="20"/>
          <w:szCs w:val="20"/>
        </w:rPr>
        <w:t>, R. (2023). Large language models propagate race-based medicine. NPJ Digital Medicine, 6(1), 195.</w:t>
      </w:r>
      <w:r w:rsidR="000775CC" w:rsidRPr="000775CC">
        <w:t xml:space="preserve"> </w:t>
      </w:r>
      <w:hyperlink r:id="rId44" w:history="1">
        <w:r w:rsidR="000775CC" w:rsidRPr="00D67C5E">
          <w:rPr>
            <w:rStyle w:val="Hyperlink"/>
            <w:rFonts w:ascii="Arial" w:eastAsia="Arial" w:hAnsi="Arial" w:cs="Arial"/>
            <w:sz w:val="20"/>
            <w:szCs w:val="20"/>
          </w:rPr>
          <w:t>https://doi.org/10.1038/s41746-023-00939-z</w:t>
        </w:r>
      </w:hyperlink>
      <w:r w:rsidR="000775CC">
        <w:rPr>
          <w:rFonts w:ascii="Arial" w:eastAsia="Arial" w:hAnsi="Arial" w:cs="Arial"/>
          <w:sz w:val="20"/>
          <w:szCs w:val="20"/>
        </w:rPr>
        <w:t xml:space="preserve"> </w:t>
      </w:r>
    </w:p>
    <w:p w14:paraId="2B204128" w14:textId="7D1A88D7" w:rsidR="00AD10E3" w:rsidRPr="00030148" w:rsidRDefault="00B66C14" w:rsidP="003F0AE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Panchal, K., Parikh, N., Choudhary, S., Zhang, L., Brun, Y., &amp; Guan, H. (2024). Thinking forward: memory-efficient federated finetuning of language models. Advances in Neural Information Processing Systems, 37, 69069-69119.</w:t>
      </w:r>
      <w:r w:rsidR="003F0AEE" w:rsidRPr="003F0AEE">
        <w:t xml:space="preserve"> </w:t>
      </w:r>
      <w:hyperlink r:id="rId45" w:history="1">
        <w:r w:rsidR="003F0AEE" w:rsidRPr="00D67C5E">
          <w:rPr>
            <w:rStyle w:val="Hyperlink"/>
            <w:rFonts w:ascii="Arial" w:eastAsia="Arial" w:hAnsi="Arial" w:cs="Arial"/>
            <w:sz w:val="20"/>
            <w:szCs w:val="20"/>
          </w:rPr>
          <w:t>https://arxiv.org/abs/2405.15551</w:t>
        </w:r>
      </w:hyperlink>
      <w:r w:rsidR="003F0AEE">
        <w:rPr>
          <w:rFonts w:ascii="Arial" w:eastAsia="Arial" w:hAnsi="Arial" w:cs="Arial"/>
          <w:sz w:val="20"/>
          <w:szCs w:val="20"/>
        </w:rPr>
        <w:t xml:space="preserve"> </w:t>
      </w:r>
    </w:p>
    <w:p w14:paraId="0F70736D" w14:textId="45A0FEF5" w:rsidR="00AD10E3" w:rsidRPr="00030148" w:rsidRDefault="00B66C14" w:rsidP="0077189A">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Poncibò</w:t>
      </w:r>
      <w:proofErr w:type="spellEnd"/>
      <w:r w:rsidRPr="00030148">
        <w:rPr>
          <w:rFonts w:ascii="Arial" w:eastAsia="Arial" w:hAnsi="Arial" w:cs="Arial"/>
          <w:sz w:val="20"/>
          <w:szCs w:val="20"/>
        </w:rPr>
        <w:t>, C., &amp; Ebers, M. (2025, January). Comparative perspectives on the regulation of large language models. In Cambridge Forum on AI: Law and Governance (Vol. 1, p. e10). Cambridge University Press.</w:t>
      </w:r>
      <w:r w:rsidR="0077189A" w:rsidRPr="0077189A">
        <w:t xml:space="preserve"> </w:t>
      </w:r>
      <w:hyperlink r:id="rId46" w:history="1">
        <w:r w:rsidR="0077189A" w:rsidRPr="00D67C5E">
          <w:rPr>
            <w:rStyle w:val="Hyperlink"/>
            <w:rFonts w:ascii="Arial" w:eastAsia="Arial" w:hAnsi="Arial" w:cs="Arial"/>
            <w:sz w:val="20"/>
            <w:szCs w:val="20"/>
          </w:rPr>
          <w:t>https://www.cambridge.org/core/journals/cambridge-forum-on-ai-law-and-governance/article/comparative-perspectives-on-the-regulation-of-large-language-models/</w:t>
        </w:r>
      </w:hyperlink>
      <w:r w:rsidR="0077189A">
        <w:rPr>
          <w:rFonts w:ascii="Arial" w:eastAsia="Arial" w:hAnsi="Arial" w:cs="Arial"/>
          <w:sz w:val="20"/>
          <w:szCs w:val="20"/>
        </w:rPr>
        <w:t xml:space="preserve"> </w:t>
      </w:r>
    </w:p>
    <w:p w14:paraId="6808D28B" w14:textId="0407844C" w:rsidR="00AD10E3" w:rsidRPr="00030148" w:rsidRDefault="00B66C14" w:rsidP="00A01F3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Purpura, A., Wadhwa, S., </w:t>
      </w:r>
      <w:proofErr w:type="spellStart"/>
      <w:r w:rsidRPr="00030148">
        <w:rPr>
          <w:rFonts w:ascii="Arial" w:eastAsia="Arial" w:hAnsi="Arial" w:cs="Arial"/>
          <w:sz w:val="20"/>
          <w:szCs w:val="20"/>
        </w:rPr>
        <w:t>Zymet</w:t>
      </w:r>
      <w:proofErr w:type="spellEnd"/>
      <w:r w:rsidRPr="00030148">
        <w:rPr>
          <w:rFonts w:ascii="Arial" w:eastAsia="Arial" w:hAnsi="Arial" w:cs="Arial"/>
          <w:sz w:val="20"/>
          <w:szCs w:val="20"/>
        </w:rPr>
        <w:t xml:space="preserve">, J., Gupta, A., Luo, A., Rad, M. K., ... &amp; </w:t>
      </w:r>
      <w:proofErr w:type="spellStart"/>
      <w:r w:rsidRPr="00030148">
        <w:rPr>
          <w:rFonts w:ascii="Arial" w:eastAsia="Arial" w:hAnsi="Arial" w:cs="Arial"/>
          <w:sz w:val="20"/>
          <w:szCs w:val="20"/>
        </w:rPr>
        <w:t>Sorower</w:t>
      </w:r>
      <w:proofErr w:type="spellEnd"/>
      <w:r w:rsidRPr="00030148">
        <w:rPr>
          <w:rFonts w:ascii="Arial" w:eastAsia="Arial" w:hAnsi="Arial" w:cs="Arial"/>
          <w:sz w:val="20"/>
          <w:szCs w:val="20"/>
        </w:rPr>
        <w:t xml:space="preserve">, M. S. (2025). Building Safe GenAI Applications: An End-to-End Overview of Red Teaming for Large Language Models. </w:t>
      </w:r>
      <w:proofErr w:type="spellStart"/>
      <w:r w:rsidRPr="00030148">
        <w:rPr>
          <w:rFonts w:ascii="Arial" w:eastAsia="Arial" w:hAnsi="Arial" w:cs="Arial"/>
          <w:sz w:val="20"/>
          <w:szCs w:val="20"/>
        </w:rPr>
        <w:t>arXiv</w:t>
      </w:r>
      <w:proofErr w:type="spellEnd"/>
      <w:r w:rsidRPr="00030148">
        <w:rPr>
          <w:rFonts w:ascii="Arial" w:eastAsia="Arial" w:hAnsi="Arial" w:cs="Arial"/>
          <w:sz w:val="20"/>
          <w:szCs w:val="20"/>
        </w:rPr>
        <w:t xml:space="preserve"> preprint arXiv:2503.01742.</w:t>
      </w:r>
      <w:r w:rsidR="00A01F36" w:rsidRPr="00A01F36">
        <w:t xml:space="preserve"> </w:t>
      </w:r>
      <w:hyperlink r:id="rId47" w:history="1">
        <w:r w:rsidR="00A01F36" w:rsidRPr="00D67C5E">
          <w:rPr>
            <w:rStyle w:val="Hyperlink"/>
            <w:rFonts w:ascii="Arial" w:eastAsia="Arial" w:hAnsi="Arial" w:cs="Arial"/>
            <w:sz w:val="20"/>
            <w:szCs w:val="20"/>
          </w:rPr>
          <w:t>https://doi.org/10.48550/arXiv.2503.01742</w:t>
        </w:r>
      </w:hyperlink>
      <w:r w:rsidR="00A01F36">
        <w:rPr>
          <w:rFonts w:ascii="Arial" w:eastAsia="Arial" w:hAnsi="Arial" w:cs="Arial"/>
          <w:sz w:val="20"/>
          <w:szCs w:val="20"/>
        </w:rPr>
        <w:t xml:space="preserve"> </w:t>
      </w:r>
    </w:p>
    <w:p w14:paraId="3582164F" w14:textId="304C4453" w:rsidR="00AD10E3" w:rsidRPr="00030148" w:rsidRDefault="00B66C14" w:rsidP="0057525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Reddy, S. (2023). Evaluating large language models for use in healthcare: A framework for translational value assessment. Informatics in Medicine Unlocked, 41, 101304.</w:t>
      </w:r>
      <w:r w:rsidR="00575257" w:rsidRPr="00575257">
        <w:t xml:space="preserve"> </w:t>
      </w:r>
      <w:hyperlink r:id="rId48" w:history="1">
        <w:r w:rsidR="00575257" w:rsidRPr="00D67C5E">
          <w:rPr>
            <w:rStyle w:val="Hyperlink"/>
            <w:rFonts w:ascii="Arial" w:eastAsia="Arial" w:hAnsi="Arial" w:cs="Arial"/>
            <w:sz w:val="20"/>
            <w:szCs w:val="20"/>
          </w:rPr>
          <w:t>https://doi.org/10.1016/j.imu.2023.101304</w:t>
        </w:r>
      </w:hyperlink>
      <w:r w:rsidR="00575257">
        <w:rPr>
          <w:rFonts w:ascii="Arial" w:eastAsia="Arial" w:hAnsi="Arial" w:cs="Arial"/>
          <w:sz w:val="20"/>
          <w:szCs w:val="20"/>
        </w:rPr>
        <w:t xml:space="preserve"> </w:t>
      </w:r>
    </w:p>
    <w:p w14:paraId="5A9E992F" w14:textId="029B08CF" w:rsidR="00AD10E3" w:rsidRPr="00030148" w:rsidRDefault="00B66C14" w:rsidP="00111F1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Rust, P., Frings, J., Meister, S., &amp; Fehring, L. (2025). Evaluation of a large language model to simplify discharge summaries and provide cardiological lifestyle recommendations. Communications Medicine, 5(1), 208.</w:t>
      </w:r>
      <w:r w:rsidR="00111F19" w:rsidRPr="00111F19">
        <w:t xml:space="preserve"> </w:t>
      </w:r>
      <w:hyperlink r:id="rId49" w:history="1">
        <w:r w:rsidR="00111F19" w:rsidRPr="00D67C5E">
          <w:rPr>
            <w:rStyle w:val="Hyperlink"/>
            <w:rFonts w:ascii="Arial" w:eastAsia="Arial" w:hAnsi="Arial" w:cs="Arial"/>
            <w:sz w:val="20"/>
            <w:szCs w:val="20"/>
          </w:rPr>
          <w:t>https://doi.org/10.1038/s43856-025-00927-2</w:t>
        </w:r>
      </w:hyperlink>
      <w:r w:rsidR="00111F19">
        <w:rPr>
          <w:rFonts w:ascii="Arial" w:eastAsia="Arial" w:hAnsi="Arial" w:cs="Arial"/>
          <w:sz w:val="20"/>
          <w:szCs w:val="20"/>
        </w:rPr>
        <w:t xml:space="preserve"> </w:t>
      </w:r>
    </w:p>
    <w:p w14:paraId="11677AAA" w14:textId="3437C255" w:rsidR="00AD10E3" w:rsidRPr="00030148" w:rsidRDefault="00B66C14" w:rsidP="00AC73E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Schneider, J., Abraham, R., Meske, C., &amp; </w:t>
      </w:r>
      <w:proofErr w:type="spellStart"/>
      <w:r w:rsidRPr="00030148">
        <w:rPr>
          <w:rFonts w:ascii="Arial" w:eastAsia="Arial" w:hAnsi="Arial" w:cs="Arial"/>
          <w:sz w:val="20"/>
          <w:szCs w:val="20"/>
        </w:rPr>
        <w:t>Vom</w:t>
      </w:r>
      <w:proofErr w:type="spellEnd"/>
      <w:r w:rsidRPr="00030148">
        <w:rPr>
          <w:rFonts w:ascii="Arial" w:eastAsia="Arial" w:hAnsi="Arial" w:cs="Arial"/>
          <w:sz w:val="20"/>
          <w:szCs w:val="20"/>
        </w:rPr>
        <w:t xml:space="preserve"> Brocke, J. (2023). Artificial intelligence governance for businesses. Information Systems Management, 40(3), 229-249.</w:t>
      </w:r>
      <w:r w:rsidR="00AC73E9" w:rsidRPr="00AC73E9">
        <w:t xml:space="preserve"> </w:t>
      </w:r>
      <w:hyperlink r:id="rId50" w:history="1">
        <w:r w:rsidR="00AC73E9" w:rsidRPr="00D67C5E">
          <w:rPr>
            <w:rStyle w:val="Hyperlink"/>
            <w:rFonts w:ascii="Arial" w:eastAsia="Arial" w:hAnsi="Arial" w:cs="Arial"/>
            <w:sz w:val="20"/>
            <w:szCs w:val="20"/>
          </w:rPr>
          <w:t>https://doi.org/10.1080/10580530.2022.2085825</w:t>
        </w:r>
      </w:hyperlink>
      <w:r w:rsidR="00AC73E9">
        <w:rPr>
          <w:rFonts w:ascii="Arial" w:eastAsia="Arial" w:hAnsi="Arial" w:cs="Arial"/>
          <w:sz w:val="20"/>
          <w:szCs w:val="20"/>
        </w:rPr>
        <w:t xml:space="preserve"> </w:t>
      </w:r>
    </w:p>
    <w:p w14:paraId="49D99663" w14:textId="3FE2EF21" w:rsidR="00AD10E3" w:rsidRPr="00030148" w:rsidRDefault="00B66C14" w:rsidP="009A40A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Shetty, D. K., Arjunan, R. V., </w:t>
      </w:r>
      <w:proofErr w:type="spellStart"/>
      <w:r w:rsidRPr="00030148">
        <w:rPr>
          <w:rFonts w:ascii="Arial" w:eastAsia="Arial" w:hAnsi="Arial" w:cs="Arial"/>
          <w:sz w:val="20"/>
          <w:szCs w:val="20"/>
        </w:rPr>
        <w:t>Cenitta</w:t>
      </w:r>
      <w:proofErr w:type="spellEnd"/>
      <w:r w:rsidRPr="00030148">
        <w:rPr>
          <w:rFonts w:ascii="Arial" w:eastAsia="Arial" w:hAnsi="Arial" w:cs="Arial"/>
          <w:sz w:val="20"/>
          <w:szCs w:val="20"/>
        </w:rPr>
        <w:t xml:space="preserve">, D., </w:t>
      </w:r>
      <w:proofErr w:type="spellStart"/>
      <w:r w:rsidRPr="00030148">
        <w:rPr>
          <w:rFonts w:ascii="Arial" w:eastAsia="Arial" w:hAnsi="Arial" w:cs="Arial"/>
          <w:sz w:val="20"/>
          <w:szCs w:val="20"/>
        </w:rPr>
        <w:t>Makkithaya</w:t>
      </w:r>
      <w:proofErr w:type="spellEnd"/>
      <w:r w:rsidRPr="00030148">
        <w:rPr>
          <w:rFonts w:ascii="Arial" w:eastAsia="Arial" w:hAnsi="Arial" w:cs="Arial"/>
          <w:sz w:val="20"/>
          <w:szCs w:val="20"/>
        </w:rPr>
        <w:t>, K., Hegde, N. V., Salu, S., ... &amp; Pullela, P. K. (2025). Analyzing AI Regulation through Literature and Current Trends. Journal of Open Innovation: Technology, Market, and Complexity, 100508.</w:t>
      </w:r>
      <w:r w:rsidR="009A40A4" w:rsidRPr="009A40A4">
        <w:t xml:space="preserve"> </w:t>
      </w:r>
      <w:hyperlink r:id="rId51" w:history="1">
        <w:r w:rsidR="009A40A4" w:rsidRPr="00D67C5E">
          <w:rPr>
            <w:rStyle w:val="Hyperlink"/>
            <w:rFonts w:ascii="Arial" w:eastAsia="Arial" w:hAnsi="Arial" w:cs="Arial"/>
            <w:sz w:val="20"/>
            <w:szCs w:val="20"/>
          </w:rPr>
          <w:t>https://doi.org/10.1016/j.joitmc.2025.100508</w:t>
        </w:r>
      </w:hyperlink>
      <w:r w:rsidR="009A40A4">
        <w:rPr>
          <w:rFonts w:ascii="Arial" w:eastAsia="Arial" w:hAnsi="Arial" w:cs="Arial"/>
          <w:sz w:val="20"/>
          <w:szCs w:val="20"/>
        </w:rPr>
        <w:t xml:space="preserve"> </w:t>
      </w:r>
    </w:p>
    <w:p w14:paraId="3B6B2A82" w14:textId="01A53F93" w:rsidR="00AD10E3" w:rsidRPr="00030148" w:rsidRDefault="00B66C14" w:rsidP="00A202D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Song, J. W., Park, J., Kim, J. H., &amp; You, S. C. (2025). Large language model assistant for emergency department discharge documentation. JAMA Network Open, 8(10), e2538427-e2538427.</w:t>
      </w:r>
      <w:r w:rsidR="00A202D9" w:rsidRPr="00A202D9">
        <w:t xml:space="preserve"> </w:t>
      </w:r>
      <w:hyperlink r:id="rId52" w:history="1">
        <w:r w:rsidR="00A202D9" w:rsidRPr="00D67C5E">
          <w:rPr>
            <w:rStyle w:val="Hyperlink"/>
            <w:rFonts w:ascii="Arial" w:eastAsia="Arial" w:hAnsi="Arial" w:cs="Arial"/>
            <w:sz w:val="20"/>
            <w:szCs w:val="20"/>
          </w:rPr>
          <w:t>https://doi.org/10.1001/jamanetworkopen.2025.38427</w:t>
        </w:r>
      </w:hyperlink>
      <w:r w:rsidR="00A202D9">
        <w:rPr>
          <w:rFonts w:ascii="Arial" w:eastAsia="Arial" w:hAnsi="Arial" w:cs="Arial"/>
          <w:sz w:val="20"/>
          <w:szCs w:val="20"/>
        </w:rPr>
        <w:t xml:space="preserve"> </w:t>
      </w:r>
    </w:p>
    <w:p w14:paraId="194A8F33" w14:textId="721A61B8" w:rsidR="00AD10E3" w:rsidRPr="00030148" w:rsidRDefault="00B66C14" w:rsidP="001A145F">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Taeihagh</w:t>
      </w:r>
      <w:proofErr w:type="spellEnd"/>
      <w:r w:rsidRPr="00030148">
        <w:rPr>
          <w:rFonts w:ascii="Arial" w:eastAsia="Arial" w:hAnsi="Arial" w:cs="Arial"/>
          <w:sz w:val="20"/>
          <w:szCs w:val="20"/>
        </w:rPr>
        <w:t>, A. (2025). Governance of generative AI. Policy and society, 44(1), 1-22.</w:t>
      </w:r>
      <w:r w:rsidR="001A145F" w:rsidRPr="001A145F">
        <w:t xml:space="preserve"> </w:t>
      </w:r>
      <w:hyperlink r:id="rId53" w:history="1">
        <w:r w:rsidR="001A145F" w:rsidRPr="00D67C5E">
          <w:rPr>
            <w:rStyle w:val="Hyperlink"/>
            <w:rFonts w:ascii="Arial" w:eastAsia="Arial" w:hAnsi="Arial" w:cs="Arial"/>
            <w:sz w:val="20"/>
            <w:szCs w:val="20"/>
          </w:rPr>
          <w:t>https://doi.org/10.1093/polsoc/puaf001</w:t>
        </w:r>
      </w:hyperlink>
      <w:r w:rsidR="001A145F">
        <w:rPr>
          <w:rFonts w:ascii="Arial" w:eastAsia="Arial" w:hAnsi="Arial" w:cs="Arial"/>
          <w:sz w:val="20"/>
          <w:szCs w:val="20"/>
        </w:rPr>
        <w:t xml:space="preserve"> </w:t>
      </w:r>
    </w:p>
    <w:p w14:paraId="5C64666D" w14:textId="039CAF55" w:rsidR="00AD10E3" w:rsidRPr="00030148" w:rsidRDefault="00B66C14" w:rsidP="00E85BE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Tung, J. Y. M., Gill, S. R., </w:t>
      </w:r>
      <w:proofErr w:type="spellStart"/>
      <w:r w:rsidRPr="00030148">
        <w:rPr>
          <w:rFonts w:ascii="Arial" w:eastAsia="Arial" w:hAnsi="Arial" w:cs="Arial"/>
          <w:sz w:val="20"/>
          <w:szCs w:val="20"/>
        </w:rPr>
        <w:t>Sng</w:t>
      </w:r>
      <w:proofErr w:type="spellEnd"/>
      <w:r w:rsidRPr="00030148">
        <w:rPr>
          <w:rFonts w:ascii="Arial" w:eastAsia="Arial" w:hAnsi="Arial" w:cs="Arial"/>
          <w:sz w:val="20"/>
          <w:szCs w:val="20"/>
        </w:rPr>
        <w:t>, G. G. R., Lim, D. Y. Z., Ke, Y., Tan, T. F., ... &amp; Chong, T. W. (2024). Comparison of the quality of discharge letters written by large language models and junior clinicians: single-blinded study. Journal of medical Internet research, 26, e57721.</w:t>
      </w:r>
      <w:r w:rsidR="00E85BEE" w:rsidRPr="00E85BEE">
        <w:t xml:space="preserve"> </w:t>
      </w:r>
      <w:hyperlink r:id="rId54" w:history="1">
        <w:r w:rsidR="00E85BEE" w:rsidRPr="00D67C5E">
          <w:rPr>
            <w:rStyle w:val="Hyperlink"/>
            <w:rFonts w:ascii="Arial" w:eastAsia="Arial" w:hAnsi="Arial" w:cs="Arial"/>
            <w:sz w:val="20"/>
            <w:szCs w:val="20"/>
          </w:rPr>
          <w:t>https://doi.org/10.2196/57721</w:t>
        </w:r>
      </w:hyperlink>
      <w:r w:rsidR="00E85BEE">
        <w:rPr>
          <w:rFonts w:ascii="Arial" w:eastAsia="Arial" w:hAnsi="Arial" w:cs="Arial"/>
          <w:sz w:val="20"/>
          <w:szCs w:val="20"/>
        </w:rPr>
        <w:t xml:space="preserve"> </w:t>
      </w:r>
    </w:p>
    <w:p w14:paraId="12BA47B4" w14:textId="74763DB8" w:rsidR="00AD10E3" w:rsidRPr="00030148" w:rsidRDefault="00B66C14" w:rsidP="0055783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Walter, M. J., Barrett, A., &amp; Tam, K. (2024). A red teaming framework for securing AI in maritime autonomous systems. Applied Artificial Intelligence, 38(1), 2395750.</w:t>
      </w:r>
      <w:r w:rsidR="00557839" w:rsidRPr="00557839">
        <w:t xml:space="preserve"> </w:t>
      </w:r>
      <w:hyperlink r:id="rId55" w:history="1">
        <w:r w:rsidR="00557839" w:rsidRPr="00D67C5E">
          <w:rPr>
            <w:rStyle w:val="Hyperlink"/>
            <w:rFonts w:ascii="Arial" w:eastAsia="Arial" w:hAnsi="Arial" w:cs="Arial"/>
            <w:sz w:val="20"/>
            <w:szCs w:val="20"/>
          </w:rPr>
          <w:t>https://doi.org/10.1080/08839514.2024.2395750</w:t>
        </w:r>
      </w:hyperlink>
      <w:r w:rsidR="00557839">
        <w:rPr>
          <w:rFonts w:ascii="Arial" w:eastAsia="Arial" w:hAnsi="Arial" w:cs="Arial"/>
          <w:sz w:val="20"/>
          <w:szCs w:val="20"/>
        </w:rPr>
        <w:t xml:space="preserve"> </w:t>
      </w:r>
    </w:p>
    <w:p w14:paraId="0F5D91A5" w14:textId="6A3E610C" w:rsidR="00AD10E3" w:rsidRPr="00030148" w:rsidRDefault="00B66C14" w:rsidP="004A4F7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Wang, Z., Shen, Z., He, Y., Sun, G., Wang, H., Lyu, L., &amp; Li, A. (2024). Flora: Federated fine-tuning large language models with heterogeneous low-rank adaptations. Advances in Neural Information Processing Systems, 37, 22513-22533.</w:t>
      </w:r>
      <w:r w:rsidR="004A4F76" w:rsidRPr="004A4F76">
        <w:t xml:space="preserve"> </w:t>
      </w:r>
      <w:hyperlink r:id="rId56" w:history="1">
        <w:r w:rsidR="004A4F76" w:rsidRPr="00D67C5E">
          <w:rPr>
            <w:rStyle w:val="Hyperlink"/>
            <w:rFonts w:ascii="Arial" w:eastAsia="Arial" w:hAnsi="Arial" w:cs="Arial"/>
            <w:sz w:val="20"/>
            <w:szCs w:val="20"/>
          </w:rPr>
          <w:t>https://doi.org/10.52202/079017-0708</w:t>
        </w:r>
      </w:hyperlink>
      <w:r w:rsidR="004A4F76">
        <w:rPr>
          <w:rFonts w:ascii="Arial" w:eastAsia="Arial" w:hAnsi="Arial" w:cs="Arial"/>
          <w:sz w:val="20"/>
          <w:szCs w:val="20"/>
        </w:rPr>
        <w:t xml:space="preserve"> </w:t>
      </w:r>
    </w:p>
    <w:p w14:paraId="13A924D6" w14:textId="708AB144" w:rsidR="00AD10E3" w:rsidRPr="00030148" w:rsidRDefault="00B66C14" w:rsidP="00A123AC">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Yan, B., Li, K., Xu, M., Dong, Y., Zhang, Y., Ren, Z., &amp; Cheng, X. (2025). On protecting the data privacy of Large Language Models (LLMs) and LLM agents: A literature review. High-Confidence Computing, 100300.</w:t>
      </w:r>
      <w:r w:rsidR="00A123AC" w:rsidRPr="00A123AC">
        <w:t xml:space="preserve"> </w:t>
      </w:r>
      <w:hyperlink r:id="rId57" w:history="1">
        <w:r w:rsidR="00A123AC" w:rsidRPr="00D67C5E">
          <w:rPr>
            <w:rStyle w:val="Hyperlink"/>
            <w:rFonts w:ascii="Arial" w:eastAsia="Arial" w:hAnsi="Arial" w:cs="Arial"/>
            <w:sz w:val="20"/>
            <w:szCs w:val="20"/>
          </w:rPr>
          <w:t>https://doi.org/10.1016/j.hcc.2025.100300</w:t>
        </w:r>
      </w:hyperlink>
      <w:r w:rsidR="00A123AC">
        <w:rPr>
          <w:rFonts w:ascii="Arial" w:eastAsia="Arial" w:hAnsi="Arial" w:cs="Arial"/>
          <w:sz w:val="20"/>
          <w:szCs w:val="20"/>
        </w:rPr>
        <w:t xml:space="preserve"> </w:t>
      </w:r>
    </w:p>
    <w:p w14:paraId="5AF6DA91" w14:textId="579149E0" w:rsidR="00AD10E3" w:rsidRPr="00030148" w:rsidRDefault="00B66C14" w:rsidP="0062593F">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Yao, Y., Duan, J., Xu, K., Cai, Y., Sun, Z., &amp; Zhang, Y. (2024). A survey on large language model (</w:t>
      </w:r>
      <w:proofErr w:type="spellStart"/>
      <w:r w:rsidRPr="00030148">
        <w:rPr>
          <w:rFonts w:ascii="Arial" w:eastAsia="Arial" w:hAnsi="Arial" w:cs="Arial"/>
          <w:sz w:val="20"/>
          <w:szCs w:val="20"/>
        </w:rPr>
        <w:t>llm</w:t>
      </w:r>
      <w:proofErr w:type="spellEnd"/>
      <w:r w:rsidRPr="00030148">
        <w:rPr>
          <w:rFonts w:ascii="Arial" w:eastAsia="Arial" w:hAnsi="Arial" w:cs="Arial"/>
          <w:sz w:val="20"/>
          <w:szCs w:val="20"/>
        </w:rPr>
        <w:t>) security and privacy: The good, the bad, and the ugly. High-Confidence Computing, 4(2), 100211.</w:t>
      </w:r>
      <w:r w:rsidR="0062593F" w:rsidRPr="0062593F">
        <w:t xml:space="preserve"> </w:t>
      </w:r>
      <w:hyperlink r:id="rId58" w:history="1">
        <w:r w:rsidR="0062593F" w:rsidRPr="00D67C5E">
          <w:rPr>
            <w:rStyle w:val="Hyperlink"/>
            <w:rFonts w:ascii="Arial" w:eastAsia="Arial" w:hAnsi="Arial" w:cs="Arial"/>
            <w:sz w:val="20"/>
            <w:szCs w:val="20"/>
          </w:rPr>
          <w:t>https://doi.org/10.1016/j.hcc.2024.100211</w:t>
        </w:r>
      </w:hyperlink>
      <w:r w:rsidR="0062593F">
        <w:rPr>
          <w:rFonts w:ascii="Arial" w:eastAsia="Arial" w:hAnsi="Arial" w:cs="Arial"/>
          <w:sz w:val="20"/>
          <w:szCs w:val="20"/>
        </w:rPr>
        <w:t xml:space="preserve"> </w:t>
      </w:r>
    </w:p>
    <w:p w14:paraId="4B2BC8B0" w14:textId="4800B74B" w:rsidR="00AD10E3" w:rsidRPr="00030148" w:rsidRDefault="00B66C14" w:rsidP="0057682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lastRenderedPageBreak/>
        <w:t>Ye, X., Yan, Y., Li, J., &amp; Jiang, B. (2024). Privacy and personal data risk governance for generative artificial intelligence: A Chinese perspective. Telecommunications Policy, 48(10), 102851.</w:t>
      </w:r>
      <w:r w:rsidR="00576828" w:rsidRPr="00576828">
        <w:t xml:space="preserve"> </w:t>
      </w:r>
      <w:hyperlink r:id="rId59" w:history="1">
        <w:r w:rsidR="00576828" w:rsidRPr="00D67C5E">
          <w:rPr>
            <w:rStyle w:val="Hyperlink"/>
            <w:rFonts w:ascii="Arial" w:eastAsia="Arial" w:hAnsi="Arial" w:cs="Arial"/>
            <w:sz w:val="20"/>
            <w:szCs w:val="20"/>
          </w:rPr>
          <w:t>https://doi.org/10.1016/j.telpol.2024.102851</w:t>
        </w:r>
      </w:hyperlink>
      <w:r w:rsidR="00576828">
        <w:rPr>
          <w:rFonts w:ascii="Arial" w:eastAsia="Arial" w:hAnsi="Arial" w:cs="Arial"/>
          <w:sz w:val="20"/>
          <w:szCs w:val="20"/>
        </w:rPr>
        <w:t xml:space="preserve"> </w:t>
      </w:r>
    </w:p>
    <w:p w14:paraId="6D90C900" w14:textId="02C78308" w:rsidR="00AD10E3" w:rsidRPr="00030148" w:rsidRDefault="00B66C14" w:rsidP="00B66C1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Zhang, Q., Sun, X., &amp; Zhang, M. (2022). Data matters: A strategic action framework for data governance. Information &amp; management, 59(4), 103642.</w:t>
      </w:r>
      <w:r w:rsidRPr="00B66C14">
        <w:t xml:space="preserve"> </w:t>
      </w:r>
      <w:hyperlink r:id="rId60" w:history="1">
        <w:r w:rsidRPr="00D67C5E">
          <w:rPr>
            <w:rStyle w:val="Hyperlink"/>
            <w:rFonts w:ascii="Arial" w:eastAsia="Arial" w:hAnsi="Arial" w:cs="Arial"/>
            <w:sz w:val="20"/>
            <w:szCs w:val="20"/>
          </w:rPr>
          <w:t>https://doi.org/10.1016/j.im.2022.103642</w:t>
        </w:r>
      </w:hyperlink>
      <w:r>
        <w:rPr>
          <w:rFonts w:ascii="Arial" w:eastAsia="Arial" w:hAnsi="Arial" w:cs="Arial"/>
          <w:sz w:val="20"/>
          <w:szCs w:val="20"/>
        </w:rPr>
        <w:t xml:space="preserve"> </w:t>
      </w:r>
    </w:p>
    <w:sectPr w:rsidR="00AD10E3" w:rsidRPr="0003014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D2B7D" w14:textId="77777777" w:rsidR="00944938" w:rsidRDefault="00944938" w:rsidP="004D047F">
      <w:pPr>
        <w:spacing w:after="0" w:line="240" w:lineRule="auto"/>
      </w:pPr>
      <w:r>
        <w:separator/>
      </w:r>
    </w:p>
  </w:endnote>
  <w:endnote w:type="continuationSeparator" w:id="0">
    <w:p w14:paraId="0B75E02E" w14:textId="77777777" w:rsidR="00944938" w:rsidRDefault="00944938" w:rsidP="004D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EEED0800-3E94-4B4B-A004-90A4548242ED}"/>
    <w:embedBold r:id="rId2" w:fontKey="{94B2C26C-C109-4CE2-8418-D4FFD1B0F385}"/>
    <w:embedItalic r:id="rId3" w:fontKey="{DE7175B2-8F50-4E05-9D95-FBB1FE357F28}"/>
    <w:embedBoldItalic r:id="rId4" w:fontKey="{8D6E9B53-CF1B-48B8-9C0F-3F72E3A527C5}"/>
  </w:font>
  <w:font w:name="Calibri">
    <w:panose1 w:val="020F0502020204030204"/>
    <w:charset w:val="00"/>
    <w:family w:val="swiss"/>
    <w:pitch w:val="variable"/>
    <w:sig w:usb0="E4002EFF" w:usb1="C000247B" w:usb2="00000009" w:usb3="00000000" w:csb0="000001FF" w:csb1="00000000"/>
    <w:embedRegular r:id="rId5" w:fontKey="{A55324BB-9676-46B8-AB95-979993616AD8}"/>
    <w:embedBold r:id="rId6" w:fontKey="{B5586E50-536D-407A-BA0E-12D552BA5F03}"/>
    <w:embedItalic r:id="rId7" w:fontKey="{AE823C95-1E64-4783-A9DB-381ADB74B52D}"/>
    <w:embedBoldItalic r:id="rId8" w:fontKey="{C5FE6C32-B4DC-44D9-873E-8413815E69EB}"/>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0F3C1BFD-9F8B-4238-B4FC-3D2FEA0CAA9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1C5A" w14:textId="77777777" w:rsidR="004D047F" w:rsidRDefault="004D0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0462" w14:textId="77777777" w:rsidR="004D047F" w:rsidRDefault="004D0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2D18" w14:textId="77777777" w:rsidR="004D047F" w:rsidRDefault="004D0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A7AD4" w14:textId="77777777" w:rsidR="00944938" w:rsidRDefault="00944938" w:rsidP="004D047F">
      <w:pPr>
        <w:spacing w:after="0" w:line="240" w:lineRule="auto"/>
      </w:pPr>
      <w:r>
        <w:separator/>
      </w:r>
    </w:p>
  </w:footnote>
  <w:footnote w:type="continuationSeparator" w:id="0">
    <w:p w14:paraId="7E040E33" w14:textId="77777777" w:rsidR="00944938" w:rsidRDefault="00944938" w:rsidP="004D0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8D87" w14:textId="614051B0" w:rsidR="004D047F" w:rsidRDefault="00000000">
    <w:pPr>
      <w:pStyle w:val="Header"/>
    </w:pPr>
    <w:r>
      <w:rPr>
        <w:noProof/>
      </w:rPr>
      <w:pict w14:anchorId="63697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4" o:spid="_x0000_s1026"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8BBF" w14:textId="2E990E6A" w:rsidR="004D047F" w:rsidRDefault="00000000">
    <w:pPr>
      <w:pStyle w:val="Header"/>
    </w:pPr>
    <w:r>
      <w:rPr>
        <w:noProof/>
      </w:rPr>
      <w:pict w14:anchorId="15FD3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5" o:spid="_x0000_s1027"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C5B7" w14:textId="226E7755" w:rsidR="004D047F" w:rsidRDefault="00000000">
    <w:pPr>
      <w:pStyle w:val="Header"/>
    </w:pPr>
    <w:r>
      <w:rPr>
        <w:noProof/>
      </w:rPr>
      <w:pict w14:anchorId="51E6E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3" o:spid="_x0000_s1025"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34A6"/>
    <w:multiLevelType w:val="multilevel"/>
    <w:tmpl w:val="2172538C"/>
    <w:lvl w:ilvl="0">
      <w:start w:val="1"/>
      <w:numFmt w:val="lowerRoman"/>
      <w:pStyle w:val="ListBulle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BF60B9"/>
    <w:multiLevelType w:val="hybridMultilevel"/>
    <w:tmpl w:val="DF045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65042"/>
    <w:multiLevelType w:val="multilevel"/>
    <w:tmpl w:val="558C61C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9207569">
    <w:abstractNumId w:val="0"/>
  </w:num>
  <w:num w:numId="2" w16cid:durableId="196897751">
    <w:abstractNumId w:val="2"/>
  </w:num>
  <w:num w:numId="3" w16cid:durableId="1532305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04650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4452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32187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3427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E3"/>
    <w:rsid w:val="00030148"/>
    <w:rsid w:val="00070CA5"/>
    <w:rsid w:val="000775CC"/>
    <w:rsid w:val="000B6E3F"/>
    <w:rsid w:val="00111F19"/>
    <w:rsid w:val="001A145F"/>
    <w:rsid w:val="00204828"/>
    <w:rsid w:val="00267624"/>
    <w:rsid w:val="002A1DD4"/>
    <w:rsid w:val="00324FC6"/>
    <w:rsid w:val="003256E8"/>
    <w:rsid w:val="00344443"/>
    <w:rsid w:val="00371781"/>
    <w:rsid w:val="00384843"/>
    <w:rsid w:val="003A0686"/>
    <w:rsid w:val="003D1045"/>
    <w:rsid w:val="003F0AEE"/>
    <w:rsid w:val="004101E7"/>
    <w:rsid w:val="00424531"/>
    <w:rsid w:val="004307A2"/>
    <w:rsid w:val="004557BB"/>
    <w:rsid w:val="00475691"/>
    <w:rsid w:val="004A4F76"/>
    <w:rsid w:val="004B6C7E"/>
    <w:rsid w:val="004D047F"/>
    <w:rsid w:val="00557839"/>
    <w:rsid w:val="00575257"/>
    <w:rsid w:val="00576828"/>
    <w:rsid w:val="0057773A"/>
    <w:rsid w:val="0062593F"/>
    <w:rsid w:val="0077189A"/>
    <w:rsid w:val="00794464"/>
    <w:rsid w:val="00796BB0"/>
    <w:rsid w:val="008A2C60"/>
    <w:rsid w:val="00913F5B"/>
    <w:rsid w:val="00944938"/>
    <w:rsid w:val="009A40A4"/>
    <w:rsid w:val="009B2079"/>
    <w:rsid w:val="00A01F36"/>
    <w:rsid w:val="00A123AC"/>
    <w:rsid w:val="00A202D9"/>
    <w:rsid w:val="00A36CFC"/>
    <w:rsid w:val="00A4256C"/>
    <w:rsid w:val="00A80298"/>
    <w:rsid w:val="00AC73E9"/>
    <w:rsid w:val="00AD10E3"/>
    <w:rsid w:val="00B25CF9"/>
    <w:rsid w:val="00B36F0F"/>
    <w:rsid w:val="00B62E9A"/>
    <w:rsid w:val="00B66C14"/>
    <w:rsid w:val="00B748B5"/>
    <w:rsid w:val="00BB6BBA"/>
    <w:rsid w:val="00BC4C5E"/>
    <w:rsid w:val="00C17DD4"/>
    <w:rsid w:val="00C670D5"/>
    <w:rsid w:val="00D1748A"/>
    <w:rsid w:val="00DD30C7"/>
    <w:rsid w:val="00E85BEE"/>
    <w:rsid w:val="00F42579"/>
    <w:rsid w:val="00F55EA1"/>
    <w:rsid w:val="00F64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644AD"/>
  <w15:docId w15:val="{CA47E997-8D21-482B-8C0F-A39D2210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lainTable21">
    <w:name w:val="Plain Table 21"/>
    <w:basedOn w:val="TableNormal"/>
    <w:uiPriority w:val="99"/>
    <w:rsid w:val="00FF00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B5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F46"/>
    <w:rPr>
      <w:rFonts w:ascii="Tahoma" w:hAnsi="Tahoma" w:cs="Tahoma"/>
      <w:sz w:val="16"/>
      <w:szCs w:val="16"/>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4256C"/>
    <w:rPr>
      <w:color w:val="0000FF" w:themeColor="hyperlink"/>
      <w:u w:val="single"/>
    </w:rPr>
  </w:style>
  <w:style w:type="character" w:customStyle="1" w:styleId="UnresolvedMention1">
    <w:name w:val="Unresolved Mention1"/>
    <w:basedOn w:val="DefaultParagraphFont"/>
    <w:uiPriority w:val="99"/>
    <w:semiHidden/>
    <w:unhideWhenUsed/>
    <w:rsid w:val="00A4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07/s43681-024-00653-w" TargetMode="External"/><Relationship Id="rId26" Type="http://schemas.openxmlformats.org/officeDocument/2006/relationships/hyperlink" Target="https://doi.org/10.1056/AIp2300031" TargetMode="External"/><Relationship Id="rId39" Type="http://schemas.openxmlformats.org/officeDocument/2006/relationships/hyperlink" Target="https://arxiv.org/abs/2407.15050" TargetMode="External"/><Relationship Id="rId21" Type="http://schemas.openxmlformats.org/officeDocument/2006/relationships/hyperlink" Target="https://doi.org/10.1016/j.lanwpc.2024.101211" TargetMode="External"/><Relationship Id="rId34" Type="http://schemas.openxmlformats.org/officeDocument/2006/relationships/hyperlink" Target="https://doi.org/10.3346/jkms.2024.39.e148" TargetMode="External"/><Relationship Id="rId42" Type="http://schemas.openxmlformats.org/officeDocument/2006/relationships/hyperlink" Target="https://doi.org/10.2196/31623" TargetMode="External"/><Relationship Id="rId47" Type="http://schemas.openxmlformats.org/officeDocument/2006/relationships/hyperlink" Target="https://doi.org/10.48550/arXiv.2503.01742" TargetMode="External"/><Relationship Id="rId50" Type="http://schemas.openxmlformats.org/officeDocument/2006/relationships/hyperlink" Target="https://doi.org/10.1080/10580530.2022.2085825" TargetMode="External"/><Relationship Id="rId55" Type="http://schemas.openxmlformats.org/officeDocument/2006/relationships/hyperlink" Target="https://doi.org/10.1080/08839514.2024.239575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98-025-86890-3" TargetMode="External"/><Relationship Id="rId29" Type="http://schemas.openxmlformats.org/officeDocument/2006/relationships/hyperlink" Target="https://doi.org/10.1093/jamia/ocad177" TargetMode="External"/><Relationship Id="rId11" Type="http://schemas.openxmlformats.org/officeDocument/2006/relationships/footer" Target="footer1.xml"/><Relationship Id="rId24" Type="http://schemas.openxmlformats.org/officeDocument/2006/relationships/hyperlink" Target="https://doi.org/10.1109/TVCG.2024.3456150" TargetMode="External"/><Relationship Id="rId32" Type="http://schemas.openxmlformats.org/officeDocument/2006/relationships/hyperlink" Target="https://aclanthology.org/2025.finnlp-1.43/" TargetMode="External"/><Relationship Id="rId37" Type="http://schemas.openxmlformats.org/officeDocument/2006/relationships/hyperlink" Target="https://doi.org/10.1145/3383455.3422564" TargetMode="External"/><Relationship Id="rId40" Type="http://schemas.openxmlformats.org/officeDocument/2006/relationships/hyperlink" Target="https://doi.org/10.1016/S2589-7500(24)00246-2" TargetMode="External"/><Relationship Id="rId45" Type="http://schemas.openxmlformats.org/officeDocument/2006/relationships/hyperlink" Target="https://arxiv.org/abs/2405.15551" TargetMode="External"/><Relationship Id="rId53" Type="http://schemas.openxmlformats.org/officeDocument/2006/relationships/hyperlink" Target="https://doi.org/10.1093/polsoc/puaf001" TargetMode="External"/><Relationship Id="rId58" Type="http://schemas.openxmlformats.org/officeDocument/2006/relationships/hyperlink" Target="https://doi.org/10.1016/j.hcc.2024.10021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111/exsy.13406" TargetMode="External"/><Relationship Id="rId14" Type="http://schemas.openxmlformats.org/officeDocument/2006/relationships/footer" Target="footer3.xml"/><Relationship Id="rId22" Type="http://schemas.openxmlformats.org/officeDocument/2006/relationships/hyperlink" Target="https://doi.org/10.1038/s41746-025-02005-2" TargetMode="External"/><Relationship Id="rId27" Type="http://schemas.openxmlformats.org/officeDocument/2006/relationships/hyperlink" Target="https://doi.org/10.1097/HEP.0000000000000834" TargetMode="External"/><Relationship Id="rId30" Type="http://schemas.openxmlformats.org/officeDocument/2006/relationships/hyperlink" Target="https://doi.org/10.3390/ai6090216" TargetMode="External"/><Relationship Id="rId35" Type="http://schemas.openxmlformats.org/officeDocument/2006/relationships/hyperlink" Target="https://doi.org/10.1186/s12913-025-12373-w" TargetMode="External"/><Relationship Id="rId43" Type="http://schemas.openxmlformats.org/officeDocument/2006/relationships/hyperlink" Target="https://doi.org/10.3390/computers14020055" TargetMode="External"/><Relationship Id="rId48" Type="http://schemas.openxmlformats.org/officeDocument/2006/relationships/hyperlink" Target="https://doi.org/10.1016/j.imu.2023.101304" TargetMode="External"/><Relationship Id="rId56" Type="http://schemas.openxmlformats.org/officeDocument/2006/relationships/hyperlink" Target="https://doi.org/10.52202/079017-0708" TargetMode="External"/><Relationship Id="rId8" Type="http://schemas.openxmlformats.org/officeDocument/2006/relationships/image" Target="media/image1.png"/><Relationship Id="rId51" Type="http://schemas.openxmlformats.org/officeDocument/2006/relationships/hyperlink" Target="https://doi.org/10.1016/j.joitmc.2025.10050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52202/079017-0461" TargetMode="External"/><Relationship Id="rId25" Type="http://schemas.openxmlformats.org/officeDocument/2006/relationships/hyperlink" Target="https://doi.org/10.18653/v1/2025.findings-acl.791" TargetMode="External"/><Relationship Id="rId33" Type="http://schemas.openxmlformats.org/officeDocument/2006/relationships/hyperlink" Target="https://doi.org/10.1038/s41467-024-53081-z" TargetMode="External"/><Relationship Id="rId38" Type="http://schemas.openxmlformats.org/officeDocument/2006/relationships/hyperlink" Target="https://doi.org/10.2196/71252" TargetMode="External"/><Relationship Id="rId46" Type="http://schemas.openxmlformats.org/officeDocument/2006/relationships/hyperlink" Target="https://www.cambridge.org/core/journals/cambridge-forum-on-ai-law-and-governance/article/comparative-perspectives-on-the-regulation-of-large-language-models/" TargetMode="External"/><Relationship Id="rId59" Type="http://schemas.openxmlformats.org/officeDocument/2006/relationships/hyperlink" Target="https://doi.org/10.1016/j.telpol.2024.102851" TargetMode="External"/><Relationship Id="rId20" Type="http://schemas.openxmlformats.org/officeDocument/2006/relationships/hyperlink" Target="https://doi.org/10.1007/s44443-025-00177-1" TargetMode="External"/><Relationship Id="rId41" Type="http://schemas.openxmlformats.org/officeDocument/2006/relationships/hyperlink" Target="https://doi.org/10.1007/s43681-023-00289-2" TargetMode="External"/><Relationship Id="rId54" Type="http://schemas.openxmlformats.org/officeDocument/2006/relationships/hyperlink" Target="https://doi.org/10.2196/577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4018/ejece.2025.9.3.715" TargetMode="External"/><Relationship Id="rId23" Type="http://schemas.openxmlformats.org/officeDocument/2006/relationships/hyperlink" Target="https://doi.org/10.1016/S2589-7500(24)00111-0" TargetMode="External"/><Relationship Id="rId28" Type="http://schemas.openxmlformats.org/officeDocument/2006/relationships/hyperlink" Target="https://doi.org/10.14763/2024.3.1790" TargetMode="External"/><Relationship Id="rId36" Type="http://schemas.openxmlformats.org/officeDocument/2006/relationships/hyperlink" Target="https://doi.org/10.1109/MC.2024.3357951" TargetMode="External"/><Relationship Id="rId49" Type="http://schemas.openxmlformats.org/officeDocument/2006/relationships/hyperlink" Target="https://doi.org/10.1038/s43856-025-00927-2" TargetMode="External"/><Relationship Id="rId57" Type="http://schemas.openxmlformats.org/officeDocument/2006/relationships/hyperlink" Target="https://doi.org/10.1016/j.hcc.2025.100300" TargetMode="External"/><Relationship Id="rId10" Type="http://schemas.openxmlformats.org/officeDocument/2006/relationships/header" Target="header2.xml"/><Relationship Id="rId31" Type="http://schemas.openxmlformats.org/officeDocument/2006/relationships/hyperlink" Target="https://doi.org/10.1016/j.giq.2020.101493" TargetMode="External"/><Relationship Id="rId44" Type="http://schemas.openxmlformats.org/officeDocument/2006/relationships/hyperlink" Target="https://doi.org/10.1038/s41746-023-00939-z" TargetMode="External"/><Relationship Id="rId52" Type="http://schemas.openxmlformats.org/officeDocument/2006/relationships/hyperlink" Target="https://doi.org/10.1001/jamanetworkopen.2025.38427" TargetMode="External"/><Relationship Id="rId60" Type="http://schemas.openxmlformats.org/officeDocument/2006/relationships/hyperlink" Target="https://doi.org/10.1016/j.im.2022.103642"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dr1GnEh+AiqCfwvviF9ZeKlUw==">CgMxLjAyDmguZHY5d2VwbmV3b3pmOAByITE1Q2kxNl9VZVo0T3QzLXQ1STlrYjVCV1oxcTNVcWJBRg==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8722</Words>
  <Characters>49719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kelechi Eze</cp:lastModifiedBy>
  <cp:revision>102</cp:revision>
  <dcterms:created xsi:type="dcterms:W3CDTF">2025-11-25T00:58:00Z</dcterms:created>
  <dcterms:modified xsi:type="dcterms:W3CDTF">2025-12-16T18:34:00Z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3dfd4e11-801e-4d34-8234-09735366be9b</vt:lpwstr>
  </property>
</Properties>
</file>