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D2ADE"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Towards Self-Healing Machine Learning Systems: Continual Learning and Drift-Aware </w:t>
      </w:r>
      <w:proofErr w:type="spellStart"/>
      <w:r>
        <w:rPr>
          <w:rFonts w:ascii="Times New Roman" w:eastAsia="Times New Roman" w:hAnsi="Times New Roman" w:cs="Times New Roman"/>
          <w:b/>
          <w:bCs/>
        </w:rPr>
        <w:t>MLOps</w:t>
      </w:r>
      <w:proofErr w:type="spellEnd"/>
      <w:r>
        <w:rPr>
          <w:rFonts w:ascii="Times New Roman" w:eastAsia="Times New Roman" w:hAnsi="Times New Roman" w:cs="Times New Roman"/>
          <w:b/>
          <w:bCs/>
        </w:rPr>
        <w:t xml:space="preserve"> Pipelines for Supply Chain Operations</w:t>
      </w:r>
    </w:p>
    <w:p w14:paraId="30628235" w14:textId="77777777" w:rsidR="003D186C" w:rsidRDefault="003D186C">
      <w:pPr>
        <w:tabs>
          <w:tab w:val="left" w:pos="1766"/>
        </w:tabs>
        <w:spacing w:after="0"/>
        <w:jc w:val="both"/>
        <w:rPr>
          <w:rFonts w:ascii="Times New Roman" w:eastAsia="Times New Roman" w:hAnsi="Times New Roman" w:cs="Times New Roman"/>
          <w:b/>
          <w:bCs/>
        </w:rPr>
      </w:pPr>
    </w:p>
    <w:p w14:paraId="4E29F2E3" w14:textId="77777777" w:rsidR="003D186C" w:rsidRDefault="003D186C">
      <w:pPr>
        <w:tabs>
          <w:tab w:val="left" w:pos="1766"/>
        </w:tabs>
        <w:spacing w:after="0"/>
        <w:jc w:val="both"/>
        <w:rPr>
          <w:rFonts w:ascii="Times New Roman" w:eastAsia="Times New Roman" w:hAnsi="Times New Roman" w:cs="Times New Roman"/>
          <w:b/>
          <w:bCs/>
        </w:rPr>
      </w:pPr>
    </w:p>
    <w:p w14:paraId="42E7A7AB" w14:textId="77777777" w:rsidR="003D186C" w:rsidRDefault="003D186C">
      <w:pPr>
        <w:tabs>
          <w:tab w:val="left" w:pos="1766"/>
        </w:tabs>
        <w:spacing w:after="0"/>
        <w:jc w:val="right"/>
        <w:rPr>
          <w:rFonts w:ascii="Times New Roman" w:eastAsia="Times New Roman" w:hAnsi="Times New Roman" w:cs="Times New Roman"/>
          <w:b/>
          <w:bCs/>
        </w:rPr>
      </w:pPr>
    </w:p>
    <w:p w14:paraId="4C182509" w14:textId="77777777" w:rsidR="003D186C" w:rsidRDefault="003D186C">
      <w:pPr>
        <w:tabs>
          <w:tab w:val="left" w:pos="1766"/>
        </w:tabs>
        <w:spacing w:after="0"/>
        <w:jc w:val="both"/>
        <w:rPr>
          <w:rFonts w:ascii="Times New Roman" w:eastAsia="Times New Roman" w:hAnsi="Times New Roman" w:cs="Times New Roman"/>
          <w:b/>
          <w:bCs/>
        </w:rPr>
      </w:pPr>
    </w:p>
    <w:p w14:paraId="5551A2E9"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37E399EA" w14:textId="12EB6B8C"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Supply-chain machine learning operates in inherently non-stationary settings, promotions, assortment churn, shocks, and sensor drift routinely shift data and labels, so static models degrade in accuracy, service levels, and latency. </w:t>
      </w:r>
      <w:r w:rsidRPr="00CA20C9">
        <w:rPr>
          <w:rFonts w:ascii="Times New Roman" w:eastAsia="Times New Roman" w:hAnsi="Times New Roman" w:cs="Times New Roman"/>
          <w:highlight w:val="yellow"/>
        </w:rPr>
        <w:t xml:space="preserve">This review consolidates evidence on drift-aware, continual-learning pipelines and proposes a governed, self-healing </w:t>
      </w:r>
      <w:proofErr w:type="spellStart"/>
      <w:r w:rsidRPr="00CA20C9">
        <w:rPr>
          <w:rFonts w:ascii="Times New Roman" w:eastAsia="Times New Roman" w:hAnsi="Times New Roman" w:cs="Times New Roman"/>
          <w:highlight w:val="yellow"/>
        </w:rPr>
        <w:t>MLOps</w:t>
      </w:r>
      <w:proofErr w:type="spellEnd"/>
      <w:r w:rsidRPr="00CA20C9">
        <w:rPr>
          <w:rFonts w:ascii="Times New Roman" w:eastAsia="Times New Roman" w:hAnsi="Times New Roman" w:cs="Times New Roman"/>
          <w:highlight w:val="yellow"/>
        </w:rPr>
        <w:t xml:space="preserve"> architecture to support reliable, auditable operations</w:t>
      </w:r>
      <w:r w:rsidRPr="00A06659">
        <w:rPr>
          <w:rFonts w:ascii="Times New Roman" w:eastAsia="Times New Roman" w:hAnsi="Times New Roman" w:cs="Times New Roman"/>
          <w:highlight w:val="yellow"/>
        </w:rPr>
        <w:t xml:space="preserve">. </w:t>
      </w:r>
      <w:r w:rsidR="00AF6739" w:rsidRPr="00A06659">
        <w:rPr>
          <w:rFonts w:ascii="Times New Roman" w:eastAsia="Times New Roman" w:hAnsi="Times New Roman" w:cs="Times New Roman"/>
          <w:highlight w:val="yellow"/>
        </w:rPr>
        <w:t>Th</w:t>
      </w:r>
      <w:r w:rsidR="00FC0D6C" w:rsidRPr="00A06659">
        <w:rPr>
          <w:rFonts w:ascii="Times New Roman" w:eastAsia="Times New Roman" w:hAnsi="Times New Roman" w:cs="Times New Roman"/>
          <w:highlight w:val="yellow"/>
        </w:rPr>
        <w:t>is review</w:t>
      </w:r>
      <w:r w:rsidR="00FC0D6C">
        <w:rPr>
          <w:rFonts w:ascii="Times New Roman" w:eastAsia="Times New Roman" w:hAnsi="Times New Roman" w:cs="Times New Roman"/>
        </w:rPr>
        <w:t xml:space="preserve"> </w:t>
      </w:r>
      <w:r>
        <w:rPr>
          <w:rFonts w:ascii="Times New Roman" w:eastAsia="Times New Roman" w:hAnsi="Times New Roman" w:cs="Times New Roman"/>
        </w:rPr>
        <w:t xml:space="preserve">conducted a structured search (2015–2025) across Scopus, Web of Science, IEEE, ACM, and INFORMS, retaining studies using operational tabular/time-series data with business or reliability metrics and excluding theoretical, vision-only, and non-operational work. Extracted studies were thematically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into drift landscape and adaptation, operational effectiveness and risk, and self-healing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design. Fifteen applied studies spanning retail, logistics, manufacturing, pharma, and cold-chains reported reduced costs and errors, improved service stability, fairness-aware dispatch, better ETA/promise accuracy, and fewer false alerts. However, explicit drift detectors, reliability KPIs (time-to-detect, time-to-recover), and governance artefacts were inconsistently </w:t>
      </w:r>
      <w:r w:rsidRPr="00C60CAA">
        <w:rPr>
          <w:rFonts w:ascii="Times New Roman" w:eastAsia="Times New Roman" w:hAnsi="Times New Roman" w:cs="Times New Roman"/>
          <w:highlight w:val="yellow"/>
        </w:rPr>
        <w:t xml:space="preserve">reported. </w:t>
      </w:r>
      <w:r w:rsidR="009129F2" w:rsidRPr="00C60CAA">
        <w:rPr>
          <w:rFonts w:ascii="Times New Roman" w:eastAsia="Times New Roman" w:hAnsi="Times New Roman" w:cs="Times New Roman"/>
          <w:highlight w:val="yellow"/>
        </w:rPr>
        <w:t>The review</w:t>
      </w:r>
      <w:r w:rsidRPr="00C60CAA">
        <w:rPr>
          <w:rFonts w:ascii="Times New Roman" w:eastAsia="Times New Roman" w:hAnsi="Times New Roman" w:cs="Times New Roman"/>
          <w:highlight w:val="yellow"/>
        </w:rPr>
        <w:t xml:space="preserve"> recommend</w:t>
      </w:r>
      <w:r w:rsidR="009129F2" w:rsidRPr="00C60CAA">
        <w:rPr>
          <w:rFonts w:ascii="Times New Roman" w:eastAsia="Times New Roman" w:hAnsi="Times New Roman" w:cs="Times New Roman"/>
          <w:highlight w:val="yellow"/>
        </w:rPr>
        <w:t>ed</w:t>
      </w:r>
      <w:r w:rsidRPr="00C60CAA">
        <w:rPr>
          <w:rFonts w:ascii="Times New Roman" w:eastAsia="Times New Roman" w:hAnsi="Times New Roman" w:cs="Times New Roman"/>
          <w:highlight w:val="yellow"/>
        </w:rPr>
        <w:t xml:space="preserve"> </w:t>
      </w:r>
      <w:proofErr w:type="spellStart"/>
      <w:r w:rsidRPr="00C60CAA">
        <w:rPr>
          <w:rFonts w:ascii="Times New Roman" w:eastAsia="Times New Roman" w:hAnsi="Times New Roman" w:cs="Times New Roman"/>
          <w:highlight w:val="yellow"/>
        </w:rPr>
        <w:t>standardisi</w:t>
      </w:r>
      <w:r>
        <w:rPr>
          <w:rFonts w:ascii="Times New Roman" w:eastAsia="Times New Roman" w:hAnsi="Times New Roman" w:cs="Times New Roman"/>
        </w:rPr>
        <w:t>ng</w:t>
      </w:r>
      <w:proofErr w:type="spellEnd"/>
      <w:r>
        <w:rPr>
          <w:rFonts w:ascii="Times New Roman" w:eastAsia="Times New Roman" w:hAnsi="Times New Roman" w:cs="Times New Roman"/>
        </w:rPr>
        <w:t xml:space="preserve"> reliability reporting and audits; creating temporal benchmarks that couple forecasting and policy tasks with drift injections and label latency; evaluating composite monitors and rollback/canary policies; strengthening data validation, feature/label lineage, and edge–cloud designs; and extending to federated, privacy-preserving settings with energy and carbon accounting.</w:t>
      </w:r>
    </w:p>
    <w:p w14:paraId="3194749C" w14:textId="77777777" w:rsidR="003D186C" w:rsidRDefault="003D186C">
      <w:pPr>
        <w:tabs>
          <w:tab w:val="left" w:pos="1766"/>
        </w:tabs>
        <w:spacing w:after="0"/>
        <w:jc w:val="both"/>
        <w:rPr>
          <w:rFonts w:ascii="Times New Roman" w:eastAsia="Times New Roman" w:hAnsi="Times New Roman" w:cs="Times New Roman"/>
        </w:rPr>
      </w:pPr>
    </w:p>
    <w:p w14:paraId="274A4CE8" w14:textId="2940A2F6"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Self-healing machine learning, Concept drift, Drift-aware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Supply chain analytics</w:t>
      </w:r>
    </w:p>
    <w:p w14:paraId="687517A7" w14:textId="77777777" w:rsidR="003D186C" w:rsidRDefault="003D186C">
      <w:pPr>
        <w:tabs>
          <w:tab w:val="left" w:pos="1766"/>
        </w:tabs>
        <w:spacing w:after="0"/>
        <w:jc w:val="both"/>
        <w:rPr>
          <w:rFonts w:ascii="Times New Roman" w:eastAsia="Times New Roman" w:hAnsi="Times New Roman" w:cs="Times New Roman"/>
        </w:rPr>
      </w:pPr>
    </w:p>
    <w:p w14:paraId="6F19446C" w14:textId="77777777" w:rsidR="003D186C" w:rsidRDefault="00C00BC0">
      <w:pPr>
        <w:numPr>
          <w:ilvl w:val="0"/>
          <w:numId w:val="1"/>
        </w:numPr>
        <w:pBdr>
          <w:top w:val="nil"/>
          <w:left w:val="nil"/>
          <w:bottom w:val="nil"/>
          <w:right w:val="nil"/>
          <w:between w:val="nil"/>
        </w:pBdr>
        <w:tabs>
          <w:tab w:val="left" w:pos="1766"/>
        </w:tabs>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3762CC82" w14:textId="77777777" w:rsidR="003D186C" w:rsidRDefault="00C00BC0">
      <w:pPr>
        <w:numPr>
          <w:ilvl w:val="1"/>
          <w:numId w:val="1"/>
        </w:numPr>
        <w:pBdr>
          <w:top w:val="nil"/>
          <w:left w:val="nil"/>
          <w:bottom w:val="nil"/>
          <w:right w:val="nil"/>
          <w:between w:val="nil"/>
        </w:pBdr>
        <w:tabs>
          <w:tab w:val="left" w:pos="1766"/>
        </w:tabs>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Problem and context / Background</w:t>
      </w:r>
    </w:p>
    <w:p w14:paraId="644C7902" w14:textId="6FBD520C" w:rsidR="003D186C" w:rsidRDefault="0087313F">
      <w:pPr>
        <w:tabs>
          <w:tab w:val="left" w:pos="1766"/>
        </w:tabs>
        <w:spacing w:after="0"/>
        <w:jc w:val="both"/>
        <w:rPr>
          <w:rFonts w:ascii="Times New Roman" w:eastAsia="Times New Roman" w:hAnsi="Times New Roman" w:cs="Times New Roman"/>
        </w:rPr>
      </w:pPr>
      <w:r w:rsidRPr="0087313F">
        <w:rPr>
          <w:rFonts w:ascii="Times New Roman" w:eastAsia="Times New Roman" w:hAnsi="Times New Roman" w:cs="Times New Roman"/>
          <w:highlight w:val="yellow"/>
        </w:rPr>
        <w:t>Against the backdrop of economic globalization, the supply chain relationship is undergoing dramatic changes. Enterprises develop and grow effectively only when they constantly adjust their policies in accordance with market changes. Therefore, a smooth, efficient and cost-saving flow of information, money, logistics, and human resources is crucial to the operation of modern enterprises</w:t>
      </w:r>
      <w:r w:rsidR="00390467">
        <w:rPr>
          <w:rFonts w:ascii="Times New Roman" w:eastAsia="Times New Roman" w:hAnsi="Times New Roman" w:cs="Times New Roman"/>
          <w:highlight w:val="yellow"/>
        </w:rPr>
        <w:t xml:space="preserve"> (</w:t>
      </w:r>
      <w:r w:rsidR="00390467" w:rsidRPr="00390467">
        <w:rPr>
          <w:rFonts w:ascii="Times New Roman" w:eastAsia="Times New Roman" w:hAnsi="Times New Roman" w:cs="Times New Roman"/>
        </w:rPr>
        <w:t>Lin</w:t>
      </w:r>
      <w:r w:rsidR="00390467">
        <w:rPr>
          <w:rFonts w:ascii="Times New Roman" w:eastAsia="Times New Roman" w:hAnsi="Times New Roman" w:cs="Times New Roman"/>
        </w:rPr>
        <w:t xml:space="preserve"> et al., 2022</w:t>
      </w:r>
      <w:r w:rsidR="00D75178">
        <w:rPr>
          <w:rFonts w:ascii="Times New Roman" w:eastAsia="Times New Roman" w:hAnsi="Times New Roman" w:cs="Times New Roman"/>
        </w:rPr>
        <w:t xml:space="preserve">; </w:t>
      </w:r>
      <w:r w:rsidR="00D75178" w:rsidRPr="00D75178">
        <w:rPr>
          <w:rFonts w:ascii="Times New Roman" w:eastAsia="Times New Roman" w:hAnsi="Times New Roman" w:cs="Times New Roman"/>
        </w:rPr>
        <w:t>Yuan</w:t>
      </w:r>
      <w:r w:rsidR="00D75178">
        <w:rPr>
          <w:rFonts w:ascii="Times New Roman" w:eastAsia="Times New Roman" w:hAnsi="Times New Roman" w:cs="Times New Roman"/>
        </w:rPr>
        <w:t xml:space="preserve"> et al., 2023</w:t>
      </w:r>
      <w:r w:rsidR="00390467">
        <w:rPr>
          <w:rFonts w:ascii="Times New Roman" w:eastAsia="Times New Roman" w:hAnsi="Times New Roman" w:cs="Times New Roman"/>
        </w:rPr>
        <w:t>)</w:t>
      </w:r>
      <w:r w:rsidRPr="0087313F">
        <w:rPr>
          <w:rFonts w:ascii="Times New Roman" w:eastAsia="Times New Roman" w:hAnsi="Times New Roman" w:cs="Times New Roman"/>
          <w:highlight w:val="yellow"/>
        </w:rPr>
        <w:t>.</w:t>
      </w:r>
      <w:r w:rsidR="007A5CB7" w:rsidRPr="007A5CB7">
        <w:t xml:space="preserve"> </w:t>
      </w:r>
      <w:r w:rsidR="007A5CB7" w:rsidRPr="007A5CB7">
        <w:rPr>
          <w:rFonts w:ascii="Times New Roman" w:eastAsia="Times New Roman" w:hAnsi="Times New Roman" w:cs="Times New Roman"/>
          <w:highlight w:val="yellow"/>
        </w:rPr>
        <w:t>This information must be mastered as accurately as possible to ensure economic success.</w:t>
      </w:r>
      <w:r w:rsidRPr="0087313F">
        <w:rPr>
          <w:rFonts w:ascii="Times New Roman" w:eastAsia="Times New Roman" w:hAnsi="Times New Roman" w:cs="Times New Roman"/>
        </w:rPr>
        <w:t xml:space="preserve"> </w:t>
      </w:r>
      <w:r w:rsidR="00C00BC0">
        <w:rPr>
          <w:rFonts w:ascii="Times New Roman" w:eastAsia="Times New Roman" w:hAnsi="Times New Roman" w:cs="Times New Roman"/>
        </w:rPr>
        <w:t xml:space="preserve">Supply-chain machine-learning systems function in environments where data distributions, label definitions, and operational constraints are in a state of perpetual flux. Promotions, assortment churn, supplier transitions, weather disruptions, and sensor drift </w:t>
      </w:r>
      <w:proofErr w:type="spellStart"/>
      <w:r w:rsidR="00C00BC0">
        <w:rPr>
          <w:rFonts w:ascii="Times New Roman" w:eastAsia="Times New Roman" w:hAnsi="Times New Roman" w:cs="Times New Roman"/>
        </w:rPr>
        <w:t>destabilise</w:t>
      </w:r>
      <w:proofErr w:type="spellEnd"/>
      <w:r w:rsidR="00C00BC0">
        <w:rPr>
          <w:rFonts w:ascii="Times New Roman" w:eastAsia="Times New Roman" w:hAnsi="Times New Roman" w:cs="Times New Roman"/>
        </w:rPr>
        <w:t xml:space="preserve"> the statistical assumptions underlying models, thereby creating regime shifts that degrade accuracy, service levels, and decision latency. Streaming-oriented methods and adaptive ensembles were explicitly designed for evolving data, underscoring the need to treat non-stationarity as a first-class property rather than an exception (Gomes et al., 2017). Practical frameworks for incremental and online learning further establish temporal validation and windowed evaluation as standard practices (Montiel et al., 2018). The recent growth of open-source tools has led to the integration of feature learning with drift-aware metrics and incremental estimators in libraries that are adjacent to production (Montiel et al., 2021).</w:t>
      </w:r>
      <w:r w:rsidR="001A4FF6">
        <w:rPr>
          <w:rFonts w:ascii="Times New Roman" w:eastAsia="Times New Roman" w:hAnsi="Times New Roman" w:cs="Times New Roman"/>
        </w:rPr>
        <w:t xml:space="preserve"> </w:t>
      </w:r>
    </w:p>
    <w:p w14:paraId="5F29B8A1"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Automated data validation in production pipelines is crucial in the early identification of schema breaks, missing values, and distributional anomalies, thus minimizing the extent of silent failures (Breck et al., 2019). At scale, declarative checks and orchestration systems provide seamless integration for continuous monitoring of data quality and lineage (Schelter et al., 2018). Apparent performance drops can result from population reweighting and, thus, must be misattributed when label-shift diagnostics and corrections are not implemented (Lipton et al., 2018). This, coupled with the recent advancements in anomaly detection and the development of solid detectors and evaluation frameworks for non-stationary time series, allows timely triage in logistics and manufacturing telemetry (Liu et al., 2024). </w:t>
      </w:r>
    </w:p>
    <w:p w14:paraId="5E9CEE6D" w14:textId="5D5F0C8B"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Cold chain temperature profiles indicate regime changes across routes and equipment which makes short-horizon forecasting and alerting an adaptive problem (</w:t>
      </w:r>
      <w:proofErr w:type="spellStart"/>
      <w:r>
        <w:rPr>
          <w:rFonts w:ascii="Times New Roman" w:eastAsia="Times New Roman" w:hAnsi="Times New Roman" w:cs="Times New Roman"/>
        </w:rPr>
        <w:t>Konovalenko</w:t>
      </w:r>
      <w:proofErr w:type="spellEnd"/>
      <w:r>
        <w:rPr>
          <w:rFonts w:ascii="Times New Roman" w:eastAsia="Times New Roman" w:hAnsi="Times New Roman" w:cs="Times New Roman"/>
        </w:rPr>
        <w:t xml:space="preserve"> et al. 2021). Daily retail demand exhibits fluctuations due to calendar and micro-events which makes the demand forecasting problem more complex and thus requires models to explain and incorporate exogenous variables while preserving the flexibility demanded by planners (Huber et al. 2020). Even granular time series may be highly volatile, but cross-section aggregation will </w:t>
      </w:r>
      <w:proofErr w:type="spellStart"/>
      <w:r>
        <w:rPr>
          <w:rFonts w:ascii="Times New Roman" w:eastAsia="Times New Roman" w:hAnsi="Times New Roman" w:cs="Times New Roman"/>
        </w:rPr>
        <w:t>stabilise</w:t>
      </w:r>
      <w:proofErr w:type="spellEnd"/>
      <w:r>
        <w:rPr>
          <w:rFonts w:ascii="Times New Roman" w:eastAsia="Times New Roman" w:hAnsi="Times New Roman" w:cs="Times New Roman"/>
        </w:rPr>
        <w:t xml:space="preserve"> the forecast and be useful from an inventory policy perspective, showing that there are design levers that go beyond the choice of algorithm (Rostami-Tabar et al. 2015). Recommender systems provide an additional feedback loop, where algorithmic confounding can influence user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generating a distribution shift and complicating counterfactual analysis (Chaney et al. 2018).  </w:t>
      </w:r>
    </w:p>
    <w:p w14:paraId="000ED1D4"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The reliability of the product stems from the engineering effort that it took to create it. In the machine learning (ML) context, the use of continuous integration services facilitates the integration of unit tests, and data validations, and shadow or canary evaluations of versioned artifacts. This approach improves the time taken to locate and fix problems that arise after changes are implemented (</w:t>
      </w:r>
      <w:proofErr w:type="spellStart"/>
      <w:r>
        <w:rPr>
          <w:rFonts w:ascii="Times New Roman" w:eastAsia="Times New Roman" w:hAnsi="Times New Roman" w:cs="Times New Roman"/>
        </w:rPr>
        <w:t>Karlaš</w:t>
      </w:r>
      <w:proofErr w:type="spellEnd"/>
      <w:r>
        <w:rPr>
          <w:rFonts w:ascii="Times New Roman" w:eastAsia="Times New Roman" w:hAnsi="Times New Roman" w:cs="Times New Roman"/>
        </w:rPr>
        <w:t xml:space="preserve"> et al. 2020).</w:t>
      </w:r>
    </w:p>
    <w:p w14:paraId="53947347" w14:textId="77777777" w:rsidR="003D186C" w:rsidRDefault="003D186C">
      <w:pPr>
        <w:tabs>
          <w:tab w:val="left" w:pos="1766"/>
        </w:tabs>
        <w:spacing w:after="0"/>
        <w:jc w:val="both"/>
        <w:rPr>
          <w:rFonts w:ascii="Times New Roman" w:eastAsia="Times New Roman" w:hAnsi="Times New Roman" w:cs="Times New Roman"/>
        </w:rPr>
      </w:pPr>
    </w:p>
    <w:p w14:paraId="01174CA8" w14:textId="77777777" w:rsidR="003D186C" w:rsidRDefault="00C00BC0">
      <w:pPr>
        <w:numPr>
          <w:ilvl w:val="1"/>
          <w:numId w:val="1"/>
        </w:numPr>
        <w:pBdr>
          <w:top w:val="nil"/>
          <w:left w:val="nil"/>
          <w:bottom w:val="nil"/>
          <w:right w:val="nil"/>
          <w:between w:val="nil"/>
        </w:pBdr>
        <w:tabs>
          <w:tab w:val="left" w:pos="1766"/>
        </w:tabs>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Definition of concepts</w:t>
      </w:r>
    </w:p>
    <w:p w14:paraId="75E46C52" w14:textId="50F1DEA9" w:rsidR="003D186C" w:rsidRDefault="006F0FD3">
      <w:pPr>
        <w:jc w:val="both"/>
        <w:rPr>
          <w:rFonts w:ascii="Times New Roman" w:eastAsia="Times New Roman" w:hAnsi="Times New Roman" w:cs="Times New Roman"/>
        </w:rPr>
      </w:pPr>
      <w:r w:rsidRPr="006F0FD3">
        <w:rPr>
          <w:rFonts w:ascii="Times New Roman" w:eastAsia="Times New Roman" w:hAnsi="Times New Roman" w:cs="Times New Roman"/>
          <w:highlight w:val="yellow"/>
        </w:rPr>
        <w:t xml:space="preserve">In this current world of rapid technological changes, with an overwhelming constant availability of services being central to </w:t>
      </w:r>
      <w:proofErr w:type="gramStart"/>
      <w:r w:rsidRPr="006F0FD3">
        <w:rPr>
          <w:rFonts w:ascii="Times New Roman" w:eastAsia="Times New Roman" w:hAnsi="Times New Roman" w:cs="Times New Roman"/>
          <w:highlight w:val="yellow"/>
        </w:rPr>
        <w:t>the  idea</w:t>
      </w:r>
      <w:proofErr w:type="gramEnd"/>
      <w:r w:rsidRPr="006F0FD3">
        <w:rPr>
          <w:rFonts w:ascii="Times New Roman" w:eastAsia="Times New Roman" w:hAnsi="Times New Roman" w:cs="Times New Roman"/>
          <w:highlight w:val="yellow"/>
        </w:rPr>
        <w:t>,  the  idea  of self-healing</w:t>
      </w:r>
      <w:r w:rsidR="00824837">
        <w:rPr>
          <w:rFonts w:ascii="Times New Roman" w:eastAsia="Times New Roman" w:hAnsi="Times New Roman" w:cs="Times New Roman"/>
          <w:highlight w:val="yellow"/>
        </w:rPr>
        <w:t xml:space="preserve"> </w:t>
      </w:r>
      <w:r w:rsidRPr="006F0FD3">
        <w:rPr>
          <w:rFonts w:ascii="Times New Roman" w:eastAsia="Times New Roman" w:hAnsi="Times New Roman" w:cs="Times New Roman"/>
          <w:highlight w:val="yellow"/>
        </w:rPr>
        <w:t xml:space="preserve">systems  has  become  an  essential  innovation.  Today, infrastructures, including cloud systems, enterprise networks, and the Internet of Things, cannot afford much downtime, as it would likely result </w:t>
      </w:r>
      <w:proofErr w:type="spellStart"/>
      <w:r w:rsidRPr="006F0FD3">
        <w:rPr>
          <w:rFonts w:ascii="Times New Roman" w:eastAsia="Times New Roman" w:hAnsi="Times New Roman" w:cs="Times New Roman"/>
          <w:highlight w:val="yellow"/>
        </w:rPr>
        <w:t>inmonetary</w:t>
      </w:r>
      <w:proofErr w:type="spellEnd"/>
      <w:r w:rsidRPr="006F0FD3">
        <w:rPr>
          <w:rFonts w:ascii="Times New Roman" w:eastAsia="Times New Roman" w:hAnsi="Times New Roman" w:cs="Times New Roman"/>
          <w:highlight w:val="yellow"/>
        </w:rPr>
        <w:t xml:space="preserve"> losses, data leaks, and customer dissatisfaction (</w:t>
      </w:r>
      <w:proofErr w:type="spellStart"/>
      <w:r w:rsidRPr="006F0FD3">
        <w:rPr>
          <w:rFonts w:ascii="Times New Roman" w:eastAsia="Times New Roman" w:hAnsi="Times New Roman" w:cs="Times New Roman"/>
          <w:highlight w:val="yellow"/>
        </w:rPr>
        <w:t>Jangam</w:t>
      </w:r>
      <w:proofErr w:type="spellEnd"/>
      <w:r w:rsidRPr="006F0FD3">
        <w:rPr>
          <w:rFonts w:ascii="Times New Roman" w:eastAsia="Times New Roman" w:hAnsi="Times New Roman" w:cs="Times New Roman"/>
          <w:highlight w:val="yellow"/>
        </w:rPr>
        <w:t>, 2022).</w:t>
      </w:r>
      <w:r>
        <w:rPr>
          <w:rFonts w:ascii="Times New Roman" w:eastAsia="Times New Roman" w:hAnsi="Times New Roman" w:cs="Times New Roman"/>
        </w:rPr>
        <w:t xml:space="preserve"> </w:t>
      </w:r>
      <w:r w:rsidR="00C00BC0">
        <w:rPr>
          <w:rFonts w:ascii="Times New Roman" w:eastAsia="Times New Roman" w:hAnsi="Times New Roman" w:cs="Times New Roman"/>
        </w:rPr>
        <w:t xml:space="preserve">Self-healing machine-learning systems are defined as closed-loop pipelines that detect performance or data drift, diagnose likely causes, and execute controlled remediation. Such remediation may take the form of shadow evaluation, canary release, rollback, or retraining. Continual learning is defined as the ability to acquire new patterns while preserving prior competence, thereby mitigating catastrophic forgetting through parameter-anchoring or rehearsal strategies (Kirkpatrick et al., 2017). Learning without Forgetting exemplifies rehearsal-free consolidation by distilling knowledge from the deployed model during task expansion (Li and </w:t>
      </w:r>
      <w:proofErr w:type="spellStart"/>
      <w:r w:rsidR="00C00BC0">
        <w:rPr>
          <w:rFonts w:ascii="Times New Roman" w:eastAsia="Times New Roman" w:hAnsi="Times New Roman" w:cs="Times New Roman"/>
        </w:rPr>
        <w:t>Hoiem</w:t>
      </w:r>
      <w:proofErr w:type="spellEnd"/>
      <w:r w:rsidR="00C00BC0">
        <w:rPr>
          <w:rFonts w:ascii="Times New Roman" w:eastAsia="Times New Roman" w:hAnsi="Times New Roman" w:cs="Times New Roman"/>
        </w:rPr>
        <w:t>, 2018). The term "datasets shift" refers to a distributional change between the training and operational phases (Ovadia et al., 2019). Reliable remediation relies on calibrated predictive uncertainty that degrades gracefully under shift. Data validation encompasses automated schema, constraint, and distribution verifications that regulate training and deployment to avert silent failures (Caveness et al., 2020). Versioned, append-only storage with ACID guarantees provides auditable lineage for features, labels, and model artefacts, thereby enabling reproducible rollbacks and post-mortems (Armbrust et al., 2020). The online settings for stream drift detection targets are maintained by ADWIN-style detectors, which maintain adaptive windows to flag statistically significant changes in real time (Moharram et al., 2022).</w:t>
      </w:r>
    </w:p>
    <w:p w14:paraId="571C74D5" w14:textId="77777777" w:rsidR="003D186C" w:rsidRDefault="00C00BC0">
      <w:pPr>
        <w:numPr>
          <w:ilvl w:val="1"/>
          <w:numId w:val="1"/>
        </w:numPr>
        <w:pBdr>
          <w:top w:val="nil"/>
          <w:left w:val="nil"/>
          <w:bottom w:val="nil"/>
          <w:right w:val="nil"/>
          <w:between w:val="nil"/>
        </w:pBdr>
        <w:tabs>
          <w:tab w:val="left" w:pos="1766"/>
        </w:tabs>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Scope of review</w:t>
      </w:r>
    </w:p>
    <w:p w14:paraId="79BAFC19"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The review analyzes the possibility of incorporating self-healing features within machine learning (ML) systems that manage fundamental supply chain functions in the context of non-stationarity. It consolidates information about sources of drift and drift signals; the tools of detection, attribution, uncertainty, and adaptation; and online/incremental learning, periodic retraining, and policy learning. Our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service offerings include the entire machine learning operations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lifecycle: data validation; feature and label versioning; model registries; observability; rollout gates (shadow, canary, and rollback) and governance/auditability. The empirical focus is on operational tabular, time-series, and spatiotemporal workloads. These include demand forecasting, inventory and replenishment, pricing/promotion, routing/dispatch, ETA/lead-time, cold-chain anomaly, and delay-risk. These workloads are evaluated with business and reliability KPIs (WAPE/MAPE, service level, costs, alert precision, time-to-detect, time-to-recover) across sectors and deployment contexts.</w:t>
      </w:r>
    </w:p>
    <w:p w14:paraId="15663A6E" w14:textId="77777777" w:rsidR="003D186C" w:rsidRDefault="003D186C">
      <w:pPr>
        <w:tabs>
          <w:tab w:val="left" w:pos="1766"/>
        </w:tabs>
        <w:spacing w:after="0"/>
        <w:jc w:val="both"/>
        <w:rPr>
          <w:rFonts w:ascii="Times New Roman" w:eastAsia="Times New Roman" w:hAnsi="Times New Roman" w:cs="Times New Roman"/>
          <w:b/>
          <w:bCs/>
        </w:rPr>
      </w:pPr>
    </w:p>
    <w:p w14:paraId="0DDC3E71"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1.4 Aim and Specific Objectives</w:t>
      </w:r>
    </w:p>
    <w:p w14:paraId="55543C88" w14:textId="77777777" w:rsidR="003D186C" w:rsidRDefault="003D186C">
      <w:pPr>
        <w:tabs>
          <w:tab w:val="left" w:pos="1766"/>
        </w:tabs>
        <w:spacing w:after="0"/>
        <w:jc w:val="both"/>
        <w:rPr>
          <w:rFonts w:ascii="Times New Roman" w:eastAsia="Times New Roman" w:hAnsi="Times New Roman" w:cs="Times New Roman"/>
        </w:rPr>
      </w:pPr>
    </w:p>
    <w:p w14:paraId="1BA31230"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The aim of this study is to consolidate and critically appraise deployment-oriented evidence on drift-aware, continual-learning pipelines for supply-chain operations. Additionally, it aims to propose a governed, self-healing machine learning operations reference architecture that improves predictive accuracy, service reliability, and recovery speed under real-world change.</w:t>
      </w:r>
    </w:p>
    <w:p w14:paraId="59FD7AAD"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Specific Objectives</w:t>
      </w:r>
    </w:p>
    <w:p w14:paraId="6C582460" w14:textId="77777777" w:rsidR="003D186C" w:rsidRDefault="00C00BC0">
      <w:pPr>
        <w:numPr>
          <w:ilvl w:val="0"/>
          <w:numId w:val="2"/>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a taxonomy linking use cases, data modalities, drift types, detection/attribution methods, adaptation strategies, and </w:t>
      </w:r>
      <w:proofErr w:type="spellStart"/>
      <w:r>
        <w:rPr>
          <w:rFonts w:ascii="Times New Roman" w:eastAsia="Times New Roman" w:hAnsi="Times New Roman" w:cs="Times New Roman"/>
          <w:color w:val="000000"/>
        </w:rPr>
        <w:t>MLOps</w:t>
      </w:r>
      <w:proofErr w:type="spellEnd"/>
      <w:r>
        <w:rPr>
          <w:rFonts w:ascii="Times New Roman" w:eastAsia="Times New Roman" w:hAnsi="Times New Roman" w:cs="Times New Roman"/>
          <w:color w:val="000000"/>
        </w:rPr>
        <w:t xml:space="preserve"> components; instantiate as an evaluation matrix with operational and reliability metrics.</w:t>
      </w:r>
    </w:p>
    <w:p w14:paraId="0C785570" w14:textId="77777777" w:rsidR="003D186C" w:rsidRDefault="00C00BC0">
      <w:pPr>
        <w:numPr>
          <w:ilvl w:val="0"/>
          <w:numId w:val="2"/>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Compare drift-aware/continual-learning approaches to static baselines on business KPIs and reliability (TTD/TTR), and identify failure modes with mitigations.</w:t>
      </w:r>
    </w:p>
    <w:p w14:paraId="7F726627" w14:textId="77777777" w:rsidR="003D186C" w:rsidRDefault="00C00BC0">
      <w:pPr>
        <w:numPr>
          <w:ilvl w:val="0"/>
          <w:numId w:val="2"/>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Specify a production-ready, self-healing </w:t>
      </w:r>
      <w:proofErr w:type="spellStart"/>
      <w:r>
        <w:rPr>
          <w:rFonts w:ascii="Times New Roman" w:eastAsia="Times New Roman" w:hAnsi="Times New Roman" w:cs="Times New Roman"/>
          <w:color w:val="000000"/>
        </w:rPr>
        <w:t>MLOps</w:t>
      </w:r>
      <w:proofErr w:type="spellEnd"/>
      <w:r>
        <w:rPr>
          <w:rFonts w:ascii="Times New Roman" w:eastAsia="Times New Roman" w:hAnsi="Times New Roman" w:cs="Times New Roman"/>
          <w:color w:val="000000"/>
        </w:rPr>
        <w:t xml:space="preserve"> blueprint (validation, versioning, observability, trigger thresholds, canary/rollback gates, audit trails, HITL) plus a reproducible benchmarking and reporting protocol.</w:t>
      </w:r>
    </w:p>
    <w:p w14:paraId="62C5D669"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2.0 Methodology</w:t>
      </w:r>
    </w:p>
    <w:p w14:paraId="5ABF57E1"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2.1 Search strategy</w:t>
      </w:r>
    </w:p>
    <w:p w14:paraId="799B357E"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We conducted a structured search (2015–2025, English) across Scopus, Web of Science Core Collection, IEEE Xplore, ACM Digital Library, and INFORMS </w:t>
      </w:r>
      <w:proofErr w:type="spellStart"/>
      <w:r>
        <w:rPr>
          <w:rFonts w:ascii="Times New Roman" w:eastAsia="Times New Roman" w:hAnsi="Times New Roman" w:cs="Times New Roman"/>
        </w:rPr>
        <w:t>PubsOnline</w:t>
      </w:r>
      <w:proofErr w:type="spellEnd"/>
      <w:r>
        <w:rPr>
          <w:rFonts w:ascii="Times New Roman" w:eastAsia="Times New Roman" w:hAnsi="Times New Roman" w:cs="Times New Roman"/>
        </w:rPr>
        <w:t xml:space="preserve">. We complemented venue-targeted queries (KDD, </w:t>
      </w:r>
      <w:proofErr w:type="spellStart"/>
      <w:r>
        <w:rPr>
          <w:rFonts w:ascii="Times New Roman" w:eastAsia="Times New Roman" w:hAnsi="Times New Roman" w:cs="Times New Roman"/>
        </w:rPr>
        <w:t>NeurIPS</w:t>
      </w:r>
      <w:proofErr w:type="spellEnd"/>
      <w:r>
        <w:rPr>
          <w:rFonts w:ascii="Times New Roman" w:eastAsia="Times New Roman" w:hAnsi="Times New Roman" w:cs="Times New Roman"/>
        </w:rPr>
        <w:t xml:space="preserve">/ICLR/AAAI, IJF, MS/OR journals) and backward/forward snowballing from seed papers. Representative Boolean strings combined supply-chain functions with drift/continual-learning and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terms, e.g., (“supply chain” OR logistics OR “last-mile” OR inventory OR replenishment OR “lead time” OR ETA OR “cold chain” OR pricing) AND (drift OR “dataset shift” OR “concept drift” OR “label shift” OR “schema drift”) AND (“continual learning” OR “online learning” OR “incremental learning”) AND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OR monitoring OR “feature store” OR “model registry” OR canary OR rollback). We filtered for field deployments or production-like evaluations, de-duplicated results, and managed records in a shared log (title/abstract/keywords, venue, year).</w:t>
      </w:r>
    </w:p>
    <w:p w14:paraId="52600C0C" w14:textId="77777777" w:rsidR="003D186C" w:rsidRDefault="003D186C">
      <w:pPr>
        <w:tabs>
          <w:tab w:val="left" w:pos="1766"/>
        </w:tabs>
        <w:spacing w:after="0"/>
        <w:jc w:val="both"/>
        <w:rPr>
          <w:rFonts w:ascii="Times New Roman" w:eastAsia="Times New Roman" w:hAnsi="Times New Roman" w:cs="Times New Roman"/>
        </w:rPr>
      </w:pPr>
    </w:p>
    <w:p w14:paraId="49BB0A24"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2.2 Inclusion criteria</w:t>
      </w:r>
    </w:p>
    <w:p w14:paraId="2780E27E"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Studies were eligible if they: </w:t>
      </w:r>
    </w:p>
    <w:p w14:paraId="167DC654"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addressed a supply-chain operation (demand forecasting; inventory/replenishment; supplier/delivery risk; routing/dispatch; ETA/lead-time; pricing/promotion; cold-chain anomaly); </w:t>
      </w:r>
    </w:p>
    <w:p w14:paraId="722E5416"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used operational tabular, time-series, spatiotemporal, or IoT data;</w:t>
      </w:r>
    </w:p>
    <w:p w14:paraId="765CCC72"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reported empirical results against business or reliability metrics (e.g., WAPE/MAPE, service level, stockouts/holding cost, ETA error, alert precision/recall, time-to-detect/time-to-recover); </w:t>
      </w:r>
    </w:p>
    <w:p w14:paraId="611C2660"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implemented adaptive mechanisms (online/incremental/periodic retraining, policy updating) and/or drift-aware monitoring/rollout controls; and</w:t>
      </w:r>
    </w:p>
    <w:p w14:paraId="0FF91F8C" w14:textId="77777777" w:rsidR="003D186C" w:rsidRDefault="00C00BC0">
      <w:pPr>
        <w:numPr>
          <w:ilvl w:val="0"/>
          <w:numId w:val="3"/>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were peer-reviewed articles or full conference papers (2015–2025). Industrial case studies and production-scale evaluations were </w:t>
      </w:r>
      <w:proofErr w:type="spellStart"/>
      <w:r>
        <w:rPr>
          <w:rFonts w:ascii="Times New Roman" w:eastAsia="Times New Roman" w:hAnsi="Times New Roman" w:cs="Times New Roman"/>
          <w:color w:val="000000"/>
        </w:rPr>
        <w:t>prioritised</w:t>
      </w:r>
      <w:proofErr w:type="spellEnd"/>
      <w:r>
        <w:rPr>
          <w:rFonts w:ascii="Times New Roman" w:eastAsia="Times New Roman" w:hAnsi="Times New Roman" w:cs="Times New Roman"/>
          <w:color w:val="000000"/>
        </w:rPr>
        <w:t>.</w:t>
      </w:r>
    </w:p>
    <w:p w14:paraId="633BFC33"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2.3 Exclusion criteria</w:t>
      </w:r>
    </w:p>
    <w:p w14:paraId="0F470F2A"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We excluded: review/survey/tutorial papers; purely theoretical or synthetic studies without deployment-relevant pipelines; computer-vision-only inspection lacking end-to-end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integration; cybersecurity works beyond data-integrity checks; simulation-only routing/dispatch without validation on operational data; undergraduate theses/white papers/blogs; duplicate analyses of the same system without new evidence; and studies missing sufficient methodological detail or metrics to support comparison. Preprints were retained only as context but not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as included evidence.</w:t>
      </w:r>
    </w:p>
    <w:p w14:paraId="341D818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2.4 Case Study Selection and Thematic </w:t>
      </w:r>
      <w:proofErr w:type="spellStart"/>
      <w:r>
        <w:rPr>
          <w:rFonts w:ascii="Times New Roman" w:eastAsia="Times New Roman" w:hAnsi="Times New Roman" w:cs="Times New Roman"/>
          <w:b/>
          <w:bCs/>
        </w:rPr>
        <w:t>Categorisation</w:t>
      </w:r>
      <w:proofErr w:type="spellEnd"/>
    </w:p>
    <w:p w14:paraId="6AFF8FAE"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Two reviewers independently screened titles/abstracts, then full texts; disagreements were resolved by consensus, recording reasons for exclusion. For included studies, we extracted: sector/context; function; data modality/latency; drift signals and type (covariate/label/concept/schema/data-quality); adaptation mode; rollout controls (shadow/canary/rollback/fallback);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components (validation, versioning, registries/feature stores, observability); metrics; and reported business/reliability outcomes. We then thematically mapped cases into three analysis axes: (A) Drift landscape &amp; adaptive mechanisms (sources, detection/attribution, adaptation), (B) Operational effectiveness, reliability &amp; risk (comparators, KPI deltas, failure modes/mitigations), and (C) Self-healing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design (components, gates, SLOs, governance). Coding memos captured task-specific nuances (e.g., promotions, lead-time volatility, cold-chain telemetry), enabling cross-case synthesis and effect-direction summaries.</w:t>
      </w:r>
    </w:p>
    <w:p w14:paraId="6937EC69" w14:textId="77777777" w:rsidR="003D186C" w:rsidRDefault="003D186C">
      <w:pPr>
        <w:tabs>
          <w:tab w:val="left" w:pos="1766"/>
        </w:tabs>
        <w:spacing w:after="0"/>
        <w:jc w:val="both"/>
        <w:rPr>
          <w:rFonts w:ascii="Times New Roman" w:eastAsia="Times New Roman" w:hAnsi="Times New Roman" w:cs="Times New Roman"/>
          <w:b/>
          <w:bCs/>
        </w:rPr>
      </w:pPr>
    </w:p>
    <w:p w14:paraId="21756F0F"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3.0 Result</w:t>
      </w:r>
    </w:p>
    <w:p w14:paraId="3132500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3.1 Summary of study characteristics </w:t>
      </w:r>
    </w:p>
    <w:p w14:paraId="7235754F"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A comprehensive review of the extant literature reveals fifteen peer-reviewed, applied studies (2017–2024) that span a wide range of fields, including retail/e-commerce, last-mile logistics, manufacturing SMEs, city logistics hubs, cold-chain transport, and pharmaceutical supply Table 1). Core functions include demand forecasting, inventory and replenishment policy, price–promotion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dispatch and routing, ETA/lead-time prediction, and temperature-anomaly detection. The data are primarily of an operational nature, in tabular form, and time-series in nature (including spatiotemporal and IoT telemetry) with label latency in logistics and cold-chain contexts. The methods employed in this study place significant emphasis on probabilistic forecasting, deep representation learning, and reinforcement-learning controllers. Adaptational methods include periodic retraining, online policy updates, and iterative zone partitioning. There is considerable evidence, which spans from platform-scale deployments through multi-firm case studies to challenge-grade operational datasets. Metrics include WAPE/MAPE, service levels, stockout and holding costs, ETA error, profit uplift, fairness/throughput, and anomaly precision/recall. The state of </w:t>
      </w:r>
      <w:r>
        <w:rPr>
          <w:rFonts w:ascii="Times New Roman" w:eastAsia="Times New Roman" w:hAnsi="Times New Roman" w:cs="Times New Roman"/>
        </w:rPr>
        <w:lastRenderedPageBreak/>
        <w:t xml:space="preserve">maturity of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is inconsistent; for instance, the specification of drift detectors is infrequent and the governance of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is poorly documented.</w:t>
      </w:r>
    </w:p>
    <w:p w14:paraId="07E24433"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3.1 Thematic Analysis</w:t>
      </w:r>
    </w:p>
    <w:p w14:paraId="0E5F0C9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Theme 1: Drift Landscape &amp; Adaptive Mechanisms</w:t>
      </w:r>
    </w:p>
    <w:p w14:paraId="6F7352FF" w14:textId="77777777" w:rsidR="003D186C" w:rsidRDefault="003D186C">
      <w:pPr>
        <w:tabs>
          <w:tab w:val="left" w:pos="1766"/>
        </w:tabs>
        <w:spacing w:after="0"/>
        <w:jc w:val="both"/>
        <w:rPr>
          <w:rFonts w:ascii="Times New Roman" w:eastAsia="Times New Roman" w:hAnsi="Times New Roman" w:cs="Times New Roman"/>
        </w:rPr>
      </w:pPr>
    </w:p>
    <w:p w14:paraId="364405C9"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In dynamic supply chains, the sources of non-stationarity include demand shocks, lead-time instability, and changes in the processes. Hence, the need to assess and deviate continuously and the need for adaptive modelling to retain the optimal state is justified (</w:t>
      </w:r>
      <w:proofErr w:type="spellStart"/>
      <w:r>
        <w:rPr>
          <w:rFonts w:ascii="Times New Roman" w:eastAsia="Times New Roman" w:hAnsi="Times New Roman" w:cs="Times New Roman"/>
        </w:rPr>
        <w:t>Böse</w:t>
      </w:r>
      <w:proofErr w:type="spellEnd"/>
      <w:r>
        <w:rPr>
          <w:rFonts w:ascii="Times New Roman" w:eastAsia="Times New Roman" w:hAnsi="Times New Roman" w:cs="Times New Roman"/>
        </w:rPr>
        <w:t xml:space="preserve"> et al., 2017). Operational demand–inventory pipelines intend to integrate probabilistic forecasting to policy learning, thus enabling changes to be made periodically when drift signals are detected (Qi et al., 2023). Enterprise stacks combine forecasting, inventory control, pricing, and recommendations, surfacing drift through KPI dashboards that automate the alignment of model refresh and policy changes (Deng et al., 2023). Lead-time and delay-risk models have been proven to encapsulate changes at the macroeconomic and supplier levels, thus enabling the provision of early warnings and the relativistic retraining of logistics network interfaces (Gabellini et al., 2024). To ensure active data and log telemetry for the identification of temperature anomalies, cold-chain systems have been developed to stream IoT telemetry.</w:t>
      </w:r>
    </w:p>
    <w:p w14:paraId="6A9EC151" w14:textId="77777777" w:rsidR="003D186C" w:rsidRDefault="003D186C">
      <w:pPr>
        <w:tabs>
          <w:tab w:val="left" w:pos="1766"/>
        </w:tabs>
        <w:spacing w:after="0"/>
        <w:jc w:val="both"/>
        <w:rPr>
          <w:rFonts w:ascii="Times New Roman" w:eastAsia="Times New Roman" w:hAnsi="Times New Roman" w:cs="Times New Roman"/>
        </w:rPr>
      </w:pPr>
    </w:p>
    <w:p w14:paraId="676B1D56" w14:textId="77777777" w:rsidR="003D186C" w:rsidRDefault="00C00BC0">
      <w:pPr>
        <w:tabs>
          <w:tab w:val="left" w:pos="1766"/>
        </w:tabs>
        <w:spacing w:after="0"/>
        <w:jc w:val="both"/>
        <w:rPr>
          <w:rFonts w:ascii="Times New Roman" w:eastAsia="Times New Roman" w:hAnsi="Times New Roman" w:cs="Times New Roman"/>
        </w:rPr>
        <w:sectPr w:rsidR="003D186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rFonts w:ascii="Times New Roman" w:eastAsia="Times New Roman" w:hAnsi="Times New Roman" w:cs="Times New Roman"/>
        </w:rPr>
        <w:t>These systems are created to respond to fluctuating transport situations by changing levels based on the alterations of transport regimes (Gillespie et al., 2023). It has been demonstrated that edge deployments are able to extend self-monitoring to microcontrollers, thus maintaining detection even when connectivity is lost and providing local remediation signals (</w:t>
      </w:r>
      <w:proofErr w:type="spellStart"/>
      <w:r>
        <w:rPr>
          <w:rFonts w:ascii="Times New Roman" w:eastAsia="Times New Roman" w:hAnsi="Times New Roman" w:cs="Times New Roman"/>
        </w:rPr>
        <w:t>Harrabi</w:t>
      </w:r>
      <w:proofErr w:type="spellEnd"/>
      <w:r>
        <w:rPr>
          <w:rFonts w:ascii="Times New Roman" w:eastAsia="Times New Roman" w:hAnsi="Times New Roman" w:cs="Times New Roman"/>
        </w:rPr>
        <w:t xml:space="preserve"> et al., 2024). Dispatch systems adjust to demand-supply drift by employing continual reinforcement learning and policy adjustments based on real-time rewards and throughput (Liu et al., 2022). Controllers that consider fairness have been shown to effectively control concurrency and equity of the workload, even as spatial demand shifts, and to inform zone changes and assignment policies (Jiang et al., 2023). According to Vijay et al. (2024), ETA and dock-rescheduling models monitor changes in arrival patterns and adjust parameters to focus on maintaining strong schedule reliability at hyperconnected hubs.</w:t>
      </w:r>
    </w:p>
    <w:p w14:paraId="13514F13" w14:textId="77777777" w:rsidR="003D186C" w:rsidRDefault="00C00BC0">
      <w:pPr>
        <w:tabs>
          <w:tab w:val="left" w:pos="1766"/>
        </w:tabs>
        <w:spacing w:after="0"/>
        <w:jc w:val="center"/>
        <w:rPr>
          <w:rFonts w:ascii="Times New Roman" w:eastAsia="Times New Roman" w:hAnsi="Times New Roman" w:cs="Times New Roman"/>
        </w:rPr>
      </w:pPr>
      <w:r>
        <w:rPr>
          <w:rFonts w:ascii="Times New Roman" w:eastAsia="Times New Roman" w:hAnsi="Times New Roman" w:cs="Times New Roman"/>
        </w:rPr>
        <w:lastRenderedPageBreak/>
        <w:t>Table 1: Core study characteristics</w:t>
      </w:r>
    </w:p>
    <w:tbl>
      <w:tblPr>
        <w:tblStyle w:val="a"/>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1707"/>
        <w:gridCol w:w="2183"/>
        <w:gridCol w:w="2315"/>
        <w:gridCol w:w="2955"/>
        <w:gridCol w:w="3247"/>
      </w:tblGrid>
      <w:tr w:rsidR="003D186C" w14:paraId="1CCF22FD" w14:textId="77777777">
        <w:tc>
          <w:tcPr>
            <w:tcW w:w="1622" w:type="dxa"/>
          </w:tcPr>
          <w:p w14:paraId="315355C8" w14:textId="77777777" w:rsidR="003D186C" w:rsidRDefault="00C00BC0">
            <w:pPr>
              <w:spacing w:line="276" w:lineRule="auto"/>
              <w:jc w:val="both"/>
            </w:pPr>
            <w:r>
              <w:rPr>
                <w:b/>
                <w:bCs/>
              </w:rPr>
              <w:t>Reference (Year)</w:t>
            </w:r>
          </w:p>
        </w:tc>
        <w:tc>
          <w:tcPr>
            <w:tcW w:w="1707" w:type="dxa"/>
          </w:tcPr>
          <w:p w14:paraId="650EB73D" w14:textId="77777777" w:rsidR="003D186C" w:rsidRDefault="00C00BC0">
            <w:pPr>
              <w:spacing w:line="276" w:lineRule="auto"/>
              <w:jc w:val="both"/>
            </w:pPr>
            <w:r>
              <w:rPr>
                <w:b/>
                <w:bCs/>
              </w:rPr>
              <w:t>Sector / Context</w:t>
            </w:r>
          </w:p>
        </w:tc>
        <w:tc>
          <w:tcPr>
            <w:tcW w:w="2183" w:type="dxa"/>
          </w:tcPr>
          <w:p w14:paraId="00989A59" w14:textId="77777777" w:rsidR="003D186C" w:rsidRDefault="00C00BC0">
            <w:pPr>
              <w:spacing w:line="276" w:lineRule="auto"/>
              <w:jc w:val="both"/>
            </w:pPr>
            <w:r>
              <w:rPr>
                <w:b/>
                <w:bCs/>
              </w:rPr>
              <w:t>Supply-chain Function</w:t>
            </w:r>
          </w:p>
        </w:tc>
        <w:tc>
          <w:tcPr>
            <w:tcW w:w="2315" w:type="dxa"/>
          </w:tcPr>
          <w:p w14:paraId="7965ED1E" w14:textId="77777777" w:rsidR="003D186C" w:rsidRDefault="00C00BC0">
            <w:pPr>
              <w:spacing w:line="276" w:lineRule="auto"/>
              <w:jc w:val="both"/>
            </w:pPr>
            <w:r>
              <w:rPr>
                <w:b/>
                <w:bCs/>
              </w:rPr>
              <w:t>Data Modality</w:t>
            </w:r>
          </w:p>
        </w:tc>
        <w:tc>
          <w:tcPr>
            <w:tcW w:w="2955" w:type="dxa"/>
          </w:tcPr>
          <w:p w14:paraId="56469F38" w14:textId="77777777" w:rsidR="003D186C" w:rsidRDefault="00C00BC0">
            <w:pPr>
              <w:spacing w:line="276" w:lineRule="auto"/>
              <w:jc w:val="both"/>
            </w:pPr>
            <w:r>
              <w:rPr>
                <w:b/>
                <w:bCs/>
              </w:rPr>
              <w:t>Method / System Focus</w:t>
            </w:r>
          </w:p>
        </w:tc>
        <w:tc>
          <w:tcPr>
            <w:tcW w:w="3247" w:type="dxa"/>
          </w:tcPr>
          <w:p w14:paraId="6E570E5E" w14:textId="77777777" w:rsidR="003D186C" w:rsidRDefault="00C00BC0">
            <w:pPr>
              <w:spacing w:line="276" w:lineRule="auto"/>
              <w:jc w:val="both"/>
            </w:pPr>
            <w:r>
              <w:rPr>
                <w:b/>
                <w:bCs/>
              </w:rPr>
              <w:t>Setting / Evidence</w:t>
            </w:r>
          </w:p>
        </w:tc>
      </w:tr>
      <w:tr w:rsidR="003D186C" w14:paraId="0C238795" w14:textId="77777777">
        <w:tc>
          <w:tcPr>
            <w:tcW w:w="1622" w:type="dxa"/>
          </w:tcPr>
          <w:p w14:paraId="517DFAAF" w14:textId="77777777" w:rsidR="003D186C" w:rsidRDefault="00C00BC0">
            <w:pPr>
              <w:spacing w:line="276" w:lineRule="auto"/>
              <w:jc w:val="both"/>
            </w:pPr>
            <w:proofErr w:type="spellStart"/>
            <w:r>
              <w:t>Böse</w:t>
            </w:r>
            <w:proofErr w:type="spellEnd"/>
            <w:r>
              <w:t xml:space="preserve"> et al. (2017)</w:t>
            </w:r>
          </w:p>
        </w:tc>
        <w:tc>
          <w:tcPr>
            <w:tcW w:w="1707" w:type="dxa"/>
          </w:tcPr>
          <w:p w14:paraId="6906DCF2" w14:textId="77777777" w:rsidR="003D186C" w:rsidRDefault="00C00BC0">
            <w:pPr>
              <w:spacing w:line="276" w:lineRule="auto"/>
              <w:jc w:val="both"/>
            </w:pPr>
            <w:r>
              <w:t>Retail (large-scale)</w:t>
            </w:r>
          </w:p>
        </w:tc>
        <w:tc>
          <w:tcPr>
            <w:tcW w:w="2183" w:type="dxa"/>
          </w:tcPr>
          <w:p w14:paraId="475713CB" w14:textId="77777777" w:rsidR="003D186C" w:rsidRDefault="00C00BC0">
            <w:pPr>
              <w:spacing w:line="276" w:lineRule="auto"/>
              <w:jc w:val="both"/>
            </w:pPr>
            <w:r>
              <w:t>Demand forecasting</w:t>
            </w:r>
          </w:p>
        </w:tc>
        <w:tc>
          <w:tcPr>
            <w:tcW w:w="2315" w:type="dxa"/>
          </w:tcPr>
          <w:p w14:paraId="729F3174" w14:textId="77777777" w:rsidR="003D186C" w:rsidRDefault="00C00BC0">
            <w:pPr>
              <w:spacing w:line="276" w:lineRule="auto"/>
              <w:jc w:val="both"/>
            </w:pPr>
            <w:r>
              <w:t>Time-series (tabular)</w:t>
            </w:r>
          </w:p>
        </w:tc>
        <w:tc>
          <w:tcPr>
            <w:tcW w:w="2955" w:type="dxa"/>
          </w:tcPr>
          <w:p w14:paraId="60391FC2" w14:textId="77777777" w:rsidR="003D186C" w:rsidRDefault="00C00BC0">
            <w:pPr>
              <w:spacing w:line="276" w:lineRule="auto"/>
              <w:jc w:val="both"/>
            </w:pPr>
            <w:r>
              <w:t>Probabilistic forecasting at scale (platform)</w:t>
            </w:r>
          </w:p>
        </w:tc>
        <w:tc>
          <w:tcPr>
            <w:tcW w:w="3247" w:type="dxa"/>
          </w:tcPr>
          <w:p w14:paraId="0A842F9E" w14:textId="77777777" w:rsidR="003D186C" w:rsidRDefault="00C00BC0">
            <w:pPr>
              <w:spacing w:line="276" w:lineRule="auto"/>
              <w:jc w:val="both"/>
            </w:pPr>
            <w:r>
              <w:t>Industrial platform case</w:t>
            </w:r>
          </w:p>
        </w:tc>
      </w:tr>
      <w:tr w:rsidR="003D186C" w14:paraId="36B5758F" w14:textId="77777777">
        <w:tc>
          <w:tcPr>
            <w:tcW w:w="1622" w:type="dxa"/>
          </w:tcPr>
          <w:p w14:paraId="4A152809" w14:textId="77777777" w:rsidR="003D186C" w:rsidRDefault="00C00BC0">
            <w:pPr>
              <w:spacing w:line="276" w:lineRule="auto"/>
              <w:jc w:val="both"/>
            </w:pPr>
            <w:r>
              <w:t>de Oliveira et al. (2021)</w:t>
            </w:r>
          </w:p>
        </w:tc>
        <w:tc>
          <w:tcPr>
            <w:tcW w:w="1707" w:type="dxa"/>
          </w:tcPr>
          <w:p w14:paraId="28ADB0FF" w14:textId="77777777" w:rsidR="003D186C" w:rsidRDefault="00C00BC0">
            <w:pPr>
              <w:spacing w:line="276" w:lineRule="auto"/>
              <w:jc w:val="both"/>
            </w:pPr>
            <w:r>
              <w:t>Pharma</w:t>
            </w:r>
          </w:p>
        </w:tc>
        <w:tc>
          <w:tcPr>
            <w:tcW w:w="2183" w:type="dxa"/>
          </w:tcPr>
          <w:p w14:paraId="2A6BE44E" w14:textId="77777777" w:rsidR="003D186C" w:rsidRDefault="00C00BC0">
            <w:pPr>
              <w:spacing w:line="276" w:lineRule="auto"/>
              <w:jc w:val="both"/>
            </w:pPr>
            <w:r>
              <w:t>Lead-time forecasting</w:t>
            </w:r>
          </w:p>
        </w:tc>
        <w:tc>
          <w:tcPr>
            <w:tcW w:w="2315" w:type="dxa"/>
          </w:tcPr>
          <w:p w14:paraId="08224A9F" w14:textId="77777777" w:rsidR="003D186C" w:rsidRDefault="00C00BC0">
            <w:pPr>
              <w:spacing w:line="276" w:lineRule="auto"/>
              <w:jc w:val="both"/>
            </w:pPr>
            <w:r>
              <w:t>Tabular/time-series</w:t>
            </w:r>
          </w:p>
        </w:tc>
        <w:tc>
          <w:tcPr>
            <w:tcW w:w="2955" w:type="dxa"/>
          </w:tcPr>
          <w:p w14:paraId="269577C7" w14:textId="77777777" w:rsidR="003D186C" w:rsidRDefault="00C00BC0">
            <w:pPr>
              <w:spacing w:line="276" w:lineRule="auto"/>
              <w:jc w:val="both"/>
            </w:pPr>
            <w:r>
              <w:t>Comparative ML for lead-time</w:t>
            </w:r>
          </w:p>
        </w:tc>
        <w:tc>
          <w:tcPr>
            <w:tcW w:w="3247" w:type="dxa"/>
          </w:tcPr>
          <w:p w14:paraId="4F20C1BE" w14:textId="77777777" w:rsidR="003D186C" w:rsidRDefault="00C00BC0">
            <w:pPr>
              <w:spacing w:line="276" w:lineRule="auto"/>
              <w:jc w:val="both"/>
            </w:pPr>
            <w:r>
              <w:t>Industrial case study</w:t>
            </w:r>
          </w:p>
        </w:tc>
      </w:tr>
      <w:tr w:rsidR="003D186C" w14:paraId="707EE3B0" w14:textId="77777777">
        <w:tc>
          <w:tcPr>
            <w:tcW w:w="1622" w:type="dxa"/>
          </w:tcPr>
          <w:p w14:paraId="6A6BB920" w14:textId="77777777" w:rsidR="003D186C" w:rsidRDefault="00C00BC0">
            <w:pPr>
              <w:spacing w:line="276" w:lineRule="auto"/>
              <w:jc w:val="both"/>
            </w:pPr>
            <w:r>
              <w:t>Deng et al. (2023)</w:t>
            </w:r>
          </w:p>
        </w:tc>
        <w:tc>
          <w:tcPr>
            <w:tcW w:w="1707" w:type="dxa"/>
          </w:tcPr>
          <w:p w14:paraId="41A9FA15" w14:textId="77777777" w:rsidR="003D186C" w:rsidRDefault="00C00BC0">
            <w:pPr>
              <w:spacing w:line="276" w:lineRule="auto"/>
              <w:jc w:val="both"/>
            </w:pPr>
            <w:r>
              <w:t>E-commerce (Alibaba)</w:t>
            </w:r>
          </w:p>
        </w:tc>
        <w:tc>
          <w:tcPr>
            <w:tcW w:w="2183" w:type="dxa"/>
          </w:tcPr>
          <w:p w14:paraId="30EBE254" w14:textId="77777777" w:rsidR="003D186C" w:rsidRDefault="00C00BC0">
            <w:pPr>
              <w:spacing w:line="276" w:lineRule="auto"/>
              <w:jc w:val="both"/>
            </w:pPr>
            <w:r>
              <w:t>Forecasting, inventory, pricing, recommendations</w:t>
            </w:r>
          </w:p>
        </w:tc>
        <w:tc>
          <w:tcPr>
            <w:tcW w:w="2315" w:type="dxa"/>
          </w:tcPr>
          <w:p w14:paraId="64567D2A" w14:textId="77777777" w:rsidR="003D186C" w:rsidRDefault="00C00BC0">
            <w:pPr>
              <w:spacing w:line="276" w:lineRule="auto"/>
              <w:jc w:val="both"/>
            </w:pPr>
            <w:r>
              <w:t>Mixed (tabular/time-series)</w:t>
            </w:r>
          </w:p>
        </w:tc>
        <w:tc>
          <w:tcPr>
            <w:tcW w:w="2955" w:type="dxa"/>
          </w:tcPr>
          <w:p w14:paraId="650CAD7D" w14:textId="77777777" w:rsidR="003D186C" w:rsidRDefault="00C00BC0">
            <w:pPr>
              <w:spacing w:line="276" w:lineRule="auto"/>
              <w:jc w:val="both"/>
            </w:pPr>
            <w:r>
              <w:t xml:space="preserve">Integrated </w:t>
            </w:r>
            <w:proofErr w:type="spellStart"/>
            <w:r>
              <w:t>optimisation</w:t>
            </w:r>
            <w:proofErr w:type="spellEnd"/>
            <w:r>
              <w:t xml:space="preserve"> + ML stack</w:t>
            </w:r>
          </w:p>
        </w:tc>
        <w:tc>
          <w:tcPr>
            <w:tcW w:w="3247" w:type="dxa"/>
          </w:tcPr>
          <w:p w14:paraId="32689091" w14:textId="77777777" w:rsidR="003D186C" w:rsidRDefault="00C00BC0">
            <w:pPr>
              <w:spacing w:line="276" w:lineRule="auto"/>
              <w:jc w:val="both"/>
            </w:pPr>
            <w:r>
              <w:t>Field deployment; cost savings reported</w:t>
            </w:r>
          </w:p>
        </w:tc>
      </w:tr>
      <w:tr w:rsidR="003D186C" w14:paraId="31977D10" w14:textId="77777777">
        <w:tc>
          <w:tcPr>
            <w:tcW w:w="1622" w:type="dxa"/>
          </w:tcPr>
          <w:p w14:paraId="4EF1CF0C" w14:textId="77777777" w:rsidR="003D186C" w:rsidRDefault="00C00BC0">
            <w:pPr>
              <w:spacing w:line="276" w:lineRule="auto"/>
              <w:jc w:val="both"/>
            </w:pPr>
            <w:r>
              <w:t>Gabellini et al. (2024)</w:t>
            </w:r>
          </w:p>
        </w:tc>
        <w:tc>
          <w:tcPr>
            <w:tcW w:w="1707" w:type="dxa"/>
          </w:tcPr>
          <w:p w14:paraId="2DA0DFCB" w14:textId="77777777" w:rsidR="003D186C" w:rsidRDefault="00C00BC0">
            <w:pPr>
              <w:spacing w:line="276" w:lineRule="auto"/>
              <w:jc w:val="both"/>
            </w:pPr>
            <w:r>
              <w:t>Automotive</w:t>
            </w:r>
          </w:p>
        </w:tc>
        <w:tc>
          <w:tcPr>
            <w:tcW w:w="2183" w:type="dxa"/>
          </w:tcPr>
          <w:p w14:paraId="0FB63FD2" w14:textId="77777777" w:rsidR="003D186C" w:rsidRDefault="00C00BC0">
            <w:pPr>
              <w:spacing w:line="276" w:lineRule="auto"/>
              <w:jc w:val="both"/>
            </w:pPr>
            <w:r>
              <w:t>Delivery-delay risk</w:t>
            </w:r>
          </w:p>
        </w:tc>
        <w:tc>
          <w:tcPr>
            <w:tcW w:w="2315" w:type="dxa"/>
          </w:tcPr>
          <w:p w14:paraId="5DBB234B" w14:textId="77777777" w:rsidR="003D186C" w:rsidRDefault="00C00BC0">
            <w:pPr>
              <w:spacing w:line="276" w:lineRule="auto"/>
              <w:jc w:val="both"/>
            </w:pPr>
            <w:r>
              <w:t>Tabular + macro indicators</w:t>
            </w:r>
          </w:p>
        </w:tc>
        <w:tc>
          <w:tcPr>
            <w:tcW w:w="2955" w:type="dxa"/>
          </w:tcPr>
          <w:p w14:paraId="6F45E370" w14:textId="77777777" w:rsidR="003D186C" w:rsidRDefault="00C00BC0">
            <w:pPr>
              <w:spacing w:line="276" w:lineRule="auto"/>
              <w:jc w:val="both"/>
            </w:pPr>
            <w:r>
              <w:t>Deep learning risk prediction</w:t>
            </w:r>
          </w:p>
        </w:tc>
        <w:tc>
          <w:tcPr>
            <w:tcW w:w="3247" w:type="dxa"/>
          </w:tcPr>
          <w:p w14:paraId="67332ECE" w14:textId="77777777" w:rsidR="003D186C" w:rsidRDefault="00C00BC0">
            <w:pPr>
              <w:spacing w:line="276" w:lineRule="auto"/>
              <w:jc w:val="both"/>
            </w:pPr>
            <w:r>
              <w:t>Industrial case</w:t>
            </w:r>
          </w:p>
        </w:tc>
      </w:tr>
      <w:tr w:rsidR="003D186C" w14:paraId="7DC555E8" w14:textId="77777777">
        <w:tc>
          <w:tcPr>
            <w:tcW w:w="1622" w:type="dxa"/>
          </w:tcPr>
          <w:p w14:paraId="1BA59BB1" w14:textId="77777777" w:rsidR="003D186C" w:rsidRDefault="00C00BC0">
            <w:pPr>
              <w:spacing w:line="276" w:lineRule="auto"/>
              <w:jc w:val="both"/>
            </w:pPr>
            <w:r>
              <w:t>Gillespie et al. (2023)</w:t>
            </w:r>
          </w:p>
        </w:tc>
        <w:tc>
          <w:tcPr>
            <w:tcW w:w="1707" w:type="dxa"/>
          </w:tcPr>
          <w:p w14:paraId="3B5296B7" w14:textId="77777777" w:rsidR="003D186C" w:rsidRDefault="00C00BC0">
            <w:pPr>
              <w:spacing w:line="276" w:lineRule="auto"/>
              <w:jc w:val="both"/>
            </w:pPr>
            <w:r>
              <w:t>Cold-chain logistics</w:t>
            </w:r>
          </w:p>
        </w:tc>
        <w:tc>
          <w:tcPr>
            <w:tcW w:w="2183" w:type="dxa"/>
          </w:tcPr>
          <w:p w14:paraId="6A6CB3E8" w14:textId="77777777" w:rsidR="003D186C" w:rsidRDefault="00C00BC0">
            <w:pPr>
              <w:spacing w:line="276" w:lineRule="auto"/>
              <w:jc w:val="both"/>
            </w:pPr>
            <w:r>
              <w:t>Temperature anomaly detection</w:t>
            </w:r>
          </w:p>
        </w:tc>
        <w:tc>
          <w:tcPr>
            <w:tcW w:w="2315" w:type="dxa"/>
          </w:tcPr>
          <w:p w14:paraId="673ECBC8" w14:textId="77777777" w:rsidR="003D186C" w:rsidRDefault="00C00BC0">
            <w:pPr>
              <w:spacing w:line="276" w:lineRule="auto"/>
              <w:jc w:val="both"/>
            </w:pPr>
            <w:r>
              <w:t>IoT sensors (time-series)</w:t>
            </w:r>
          </w:p>
        </w:tc>
        <w:tc>
          <w:tcPr>
            <w:tcW w:w="2955" w:type="dxa"/>
          </w:tcPr>
          <w:p w14:paraId="6F1CA533" w14:textId="77777777" w:rsidR="003D186C" w:rsidRDefault="00C00BC0">
            <w:pPr>
              <w:spacing w:line="276" w:lineRule="auto"/>
              <w:jc w:val="both"/>
            </w:pPr>
            <w:r>
              <w:t>Real-time anomaly detection</w:t>
            </w:r>
          </w:p>
        </w:tc>
        <w:tc>
          <w:tcPr>
            <w:tcW w:w="3247" w:type="dxa"/>
          </w:tcPr>
          <w:p w14:paraId="38FA84CC" w14:textId="77777777" w:rsidR="003D186C" w:rsidRDefault="00C00BC0">
            <w:pPr>
              <w:spacing w:line="276" w:lineRule="auto"/>
              <w:jc w:val="both"/>
            </w:pPr>
            <w:r>
              <w:t>Field IoT case</w:t>
            </w:r>
          </w:p>
        </w:tc>
      </w:tr>
      <w:tr w:rsidR="003D186C" w14:paraId="2E0885A5" w14:textId="77777777">
        <w:tc>
          <w:tcPr>
            <w:tcW w:w="1622" w:type="dxa"/>
          </w:tcPr>
          <w:p w14:paraId="167D9048" w14:textId="77777777" w:rsidR="003D186C" w:rsidRDefault="00C00BC0">
            <w:pPr>
              <w:spacing w:line="276" w:lineRule="auto"/>
              <w:jc w:val="both"/>
            </w:pPr>
            <w:r>
              <w:t>Guo et al. (2023)</w:t>
            </w:r>
          </w:p>
        </w:tc>
        <w:tc>
          <w:tcPr>
            <w:tcW w:w="1707" w:type="dxa"/>
          </w:tcPr>
          <w:p w14:paraId="6A14DC51" w14:textId="77777777" w:rsidR="003D186C" w:rsidRDefault="00C00BC0">
            <w:pPr>
              <w:spacing w:line="276" w:lineRule="auto"/>
              <w:jc w:val="both"/>
            </w:pPr>
            <w:r>
              <w:t>Last-mile logistics</w:t>
            </w:r>
          </w:p>
        </w:tc>
        <w:tc>
          <w:tcPr>
            <w:tcW w:w="2183" w:type="dxa"/>
          </w:tcPr>
          <w:p w14:paraId="3D54F82D" w14:textId="77777777" w:rsidR="003D186C" w:rsidRDefault="00C00BC0">
            <w:pPr>
              <w:spacing w:line="276" w:lineRule="auto"/>
              <w:jc w:val="both"/>
            </w:pPr>
            <w:r>
              <w:t>Delivery zone partitioning</w:t>
            </w:r>
          </w:p>
        </w:tc>
        <w:tc>
          <w:tcPr>
            <w:tcW w:w="2315" w:type="dxa"/>
          </w:tcPr>
          <w:p w14:paraId="7FC1ADA3" w14:textId="77777777" w:rsidR="003D186C" w:rsidRDefault="00C00BC0">
            <w:pPr>
              <w:spacing w:line="276" w:lineRule="auto"/>
              <w:jc w:val="both"/>
            </w:pPr>
            <w:r>
              <w:t>Operational tabular/geospatial</w:t>
            </w:r>
          </w:p>
        </w:tc>
        <w:tc>
          <w:tcPr>
            <w:tcW w:w="2955" w:type="dxa"/>
          </w:tcPr>
          <w:p w14:paraId="442F3782" w14:textId="77777777" w:rsidR="003D186C" w:rsidRDefault="00C00BC0">
            <w:pPr>
              <w:spacing w:line="276" w:lineRule="auto"/>
              <w:jc w:val="both"/>
            </w:pPr>
            <w:r>
              <w:t>Data-driven equitable partitioning</w:t>
            </w:r>
          </w:p>
        </w:tc>
        <w:tc>
          <w:tcPr>
            <w:tcW w:w="3247" w:type="dxa"/>
          </w:tcPr>
          <w:p w14:paraId="62714247" w14:textId="77777777" w:rsidR="003D186C" w:rsidRDefault="00C00BC0">
            <w:pPr>
              <w:spacing w:line="276" w:lineRule="auto"/>
              <w:jc w:val="both"/>
            </w:pPr>
            <w:r>
              <w:t>Large-scale operational data</w:t>
            </w:r>
          </w:p>
        </w:tc>
      </w:tr>
      <w:tr w:rsidR="003D186C" w14:paraId="318D2019" w14:textId="77777777">
        <w:tc>
          <w:tcPr>
            <w:tcW w:w="1622" w:type="dxa"/>
          </w:tcPr>
          <w:p w14:paraId="17FBDB58" w14:textId="77777777" w:rsidR="003D186C" w:rsidRDefault="00C00BC0">
            <w:pPr>
              <w:spacing w:line="276" w:lineRule="auto"/>
              <w:jc w:val="both"/>
            </w:pPr>
            <w:proofErr w:type="spellStart"/>
            <w:r>
              <w:t>Harrabi</w:t>
            </w:r>
            <w:proofErr w:type="spellEnd"/>
            <w:r>
              <w:t xml:space="preserve"> et al. (2024)</w:t>
            </w:r>
          </w:p>
        </w:tc>
        <w:tc>
          <w:tcPr>
            <w:tcW w:w="1707" w:type="dxa"/>
          </w:tcPr>
          <w:p w14:paraId="341A6EA0" w14:textId="77777777" w:rsidR="003D186C" w:rsidRDefault="00C00BC0">
            <w:pPr>
              <w:spacing w:line="276" w:lineRule="auto"/>
              <w:jc w:val="both"/>
            </w:pPr>
            <w:r>
              <w:t>Vaccine cold-chain</w:t>
            </w:r>
          </w:p>
        </w:tc>
        <w:tc>
          <w:tcPr>
            <w:tcW w:w="2183" w:type="dxa"/>
          </w:tcPr>
          <w:p w14:paraId="7512B7AE" w14:textId="77777777" w:rsidR="003D186C" w:rsidRDefault="00C00BC0">
            <w:pPr>
              <w:spacing w:line="276" w:lineRule="auto"/>
              <w:jc w:val="both"/>
            </w:pPr>
            <w:r>
              <w:t>Temperature anomaly detection</w:t>
            </w:r>
          </w:p>
        </w:tc>
        <w:tc>
          <w:tcPr>
            <w:tcW w:w="2315" w:type="dxa"/>
          </w:tcPr>
          <w:p w14:paraId="6A1D79F5" w14:textId="77777777" w:rsidR="003D186C" w:rsidRDefault="00C00BC0">
            <w:pPr>
              <w:spacing w:line="276" w:lineRule="auto"/>
              <w:jc w:val="both"/>
            </w:pPr>
            <w:r>
              <w:t>IoT sensors (edge)</w:t>
            </w:r>
          </w:p>
        </w:tc>
        <w:tc>
          <w:tcPr>
            <w:tcW w:w="2955" w:type="dxa"/>
          </w:tcPr>
          <w:p w14:paraId="07DC8DA4" w14:textId="77777777" w:rsidR="003D186C" w:rsidRDefault="00C00BC0">
            <w:pPr>
              <w:spacing w:line="276" w:lineRule="auto"/>
              <w:jc w:val="both"/>
            </w:pPr>
            <w:r>
              <w:t>DL on microcontroller (ESP-class)</w:t>
            </w:r>
          </w:p>
        </w:tc>
        <w:tc>
          <w:tcPr>
            <w:tcW w:w="3247" w:type="dxa"/>
          </w:tcPr>
          <w:p w14:paraId="333273B1" w14:textId="77777777" w:rsidR="003D186C" w:rsidRDefault="00C00BC0">
            <w:pPr>
              <w:spacing w:line="276" w:lineRule="auto"/>
              <w:jc w:val="both"/>
            </w:pPr>
            <w:r>
              <w:t>Real-time embedded case</w:t>
            </w:r>
          </w:p>
        </w:tc>
      </w:tr>
      <w:tr w:rsidR="003D186C" w14:paraId="3FD70096" w14:textId="77777777">
        <w:tc>
          <w:tcPr>
            <w:tcW w:w="1622" w:type="dxa"/>
          </w:tcPr>
          <w:p w14:paraId="0E152DE9" w14:textId="77777777" w:rsidR="003D186C" w:rsidRDefault="00C00BC0">
            <w:pPr>
              <w:spacing w:line="276" w:lineRule="auto"/>
              <w:jc w:val="both"/>
            </w:pPr>
            <w:r>
              <w:t>Jiang et al. (2023)</w:t>
            </w:r>
          </w:p>
        </w:tc>
        <w:tc>
          <w:tcPr>
            <w:tcW w:w="1707" w:type="dxa"/>
          </w:tcPr>
          <w:p w14:paraId="5D8EFA6A" w14:textId="77777777" w:rsidR="003D186C" w:rsidRDefault="00C00BC0">
            <w:pPr>
              <w:spacing w:line="276" w:lineRule="auto"/>
              <w:jc w:val="both"/>
            </w:pPr>
            <w:r>
              <w:t>Instant delivery</w:t>
            </w:r>
          </w:p>
        </w:tc>
        <w:tc>
          <w:tcPr>
            <w:tcW w:w="2183" w:type="dxa"/>
          </w:tcPr>
          <w:p w14:paraId="5129AC3E" w14:textId="77777777" w:rsidR="003D186C" w:rsidRDefault="00C00BC0">
            <w:pPr>
              <w:spacing w:line="276" w:lineRule="auto"/>
              <w:jc w:val="both"/>
            </w:pPr>
            <w:r>
              <w:t>Dispatch (fairness-aware)</w:t>
            </w:r>
          </w:p>
        </w:tc>
        <w:tc>
          <w:tcPr>
            <w:tcW w:w="2315" w:type="dxa"/>
          </w:tcPr>
          <w:p w14:paraId="46C1AA67" w14:textId="77777777" w:rsidR="003D186C" w:rsidRDefault="00C00BC0">
            <w:pPr>
              <w:spacing w:line="276" w:lineRule="auto"/>
              <w:jc w:val="both"/>
            </w:pPr>
            <w:r>
              <w:t>Operational tabular/spatiotemporal</w:t>
            </w:r>
          </w:p>
        </w:tc>
        <w:tc>
          <w:tcPr>
            <w:tcW w:w="2955" w:type="dxa"/>
          </w:tcPr>
          <w:p w14:paraId="0EB31021" w14:textId="77777777" w:rsidR="003D186C" w:rsidRDefault="00C00BC0">
            <w:pPr>
              <w:spacing w:line="276" w:lineRule="auto"/>
              <w:jc w:val="both"/>
            </w:pPr>
            <w:proofErr w:type="spellStart"/>
            <w:r>
              <w:t>FairCod</w:t>
            </w:r>
            <w:proofErr w:type="spellEnd"/>
            <w:r>
              <w:t xml:space="preserve"> concurrent dispatch system</w:t>
            </w:r>
          </w:p>
        </w:tc>
        <w:tc>
          <w:tcPr>
            <w:tcW w:w="3247" w:type="dxa"/>
          </w:tcPr>
          <w:p w14:paraId="067E8C3F" w14:textId="77777777" w:rsidR="003D186C" w:rsidRDefault="00C00BC0">
            <w:pPr>
              <w:spacing w:line="276" w:lineRule="auto"/>
              <w:jc w:val="both"/>
            </w:pPr>
            <w:r>
              <w:t>At-scale system case</w:t>
            </w:r>
          </w:p>
        </w:tc>
      </w:tr>
      <w:tr w:rsidR="003D186C" w14:paraId="645EEECD" w14:textId="77777777">
        <w:tc>
          <w:tcPr>
            <w:tcW w:w="1622" w:type="dxa"/>
          </w:tcPr>
          <w:p w14:paraId="363E6112" w14:textId="77777777" w:rsidR="003D186C" w:rsidRDefault="00C00BC0">
            <w:pPr>
              <w:spacing w:line="276" w:lineRule="auto"/>
              <w:jc w:val="both"/>
            </w:pPr>
            <w:r>
              <w:t>Liu et al. (2022)</w:t>
            </w:r>
          </w:p>
        </w:tc>
        <w:tc>
          <w:tcPr>
            <w:tcW w:w="1707" w:type="dxa"/>
          </w:tcPr>
          <w:p w14:paraId="121EBC92" w14:textId="77777777" w:rsidR="003D186C" w:rsidRDefault="00C00BC0">
            <w:pPr>
              <w:spacing w:line="276" w:lineRule="auto"/>
              <w:jc w:val="both"/>
            </w:pPr>
            <w:r>
              <w:t>Ride-hailing ops</w:t>
            </w:r>
          </w:p>
        </w:tc>
        <w:tc>
          <w:tcPr>
            <w:tcW w:w="2183" w:type="dxa"/>
          </w:tcPr>
          <w:p w14:paraId="4034D606" w14:textId="77777777" w:rsidR="003D186C" w:rsidRDefault="00C00BC0">
            <w:pPr>
              <w:spacing w:line="276" w:lineRule="auto"/>
              <w:jc w:val="both"/>
            </w:pPr>
            <w:r>
              <w:t>Vehicle dispatching</w:t>
            </w:r>
          </w:p>
        </w:tc>
        <w:tc>
          <w:tcPr>
            <w:tcW w:w="2315" w:type="dxa"/>
          </w:tcPr>
          <w:p w14:paraId="46038BBB" w14:textId="77777777" w:rsidR="003D186C" w:rsidRDefault="00C00BC0">
            <w:pPr>
              <w:spacing w:line="276" w:lineRule="auto"/>
              <w:jc w:val="both"/>
            </w:pPr>
            <w:r>
              <w:t>Spatiotemporal</w:t>
            </w:r>
          </w:p>
        </w:tc>
        <w:tc>
          <w:tcPr>
            <w:tcW w:w="2955" w:type="dxa"/>
          </w:tcPr>
          <w:p w14:paraId="11145FD3" w14:textId="77777777" w:rsidR="003D186C" w:rsidRDefault="00C00BC0">
            <w:pPr>
              <w:spacing w:line="276" w:lineRule="auto"/>
              <w:jc w:val="both"/>
            </w:pPr>
            <w:r>
              <w:t>Deep RL dispatch policy</w:t>
            </w:r>
          </w:p>
        </w:tc>
        <w:tc>
          <w:tcPr>
            <w:tcW w:w="3247" w:type="dxa"/>
          </w:tcPr>
          <w:p w14:paraId="55ACE1CA" w14:textId="77777777" w:rsidR="003D186C" w:rsidRDefault="00C00BC0">
            <w:pPr>
              <w:spacing w:line="276" w:lineRule="auto"/>
              <w:jc w:val="both"/>
            </w:pPr>
            <w:r>
              <w:t>Real platform data</w:t>
            </w:r>
          </w:p>
        </w:tc>
      </w:tr>
      <w:tr w:rsidR="003D186C" w14:paraId="505D5A03" w14:textId="77777777">
        <w:tc>
          <w:tcPr>
            <w:tcW w:w="1622" w:type="dxa"/>
          </w:tcPr>
          <w:p w14:paraId="28FC284F" w14:textId="77777777" w:rsidR="003D186C" w:rsidRDefault="00C00BC0">
            <w:pPr>
              <w:spacing w:line="276" w:lineRule="auto"/>
              <w:jc w:val="both"/>
            </w:pPr>
            <w:r>
              <w:t>Mesa et al. (2023)</w:t>
            </w:r>
          </w:p>
        </w:tc>
        <w:tc>
          <w:tcPr>
            <w:tcW w:w="1707" w:type="dxa"/>
          </w:tcPr>
          <w:p w14:paraId="6CA31F83" w14:textId="77777777" w:rsidR="003D186C" w:rsidRDefault="00C00BC0">
            <w:pPr>
              <w:spacing w:line="276" w:lineRule="auto"/>
              <w:jc w:val="both"/>
            </w:pPr>
            <w:r>
              <w:t>Last-mile logistics</w:t>
            </w:r>
          </w:p>
        </w:tc>
        <w:tc>
          <w:tcPr>
            <w:tcW w:w="2183" w:type="dxa"/>
          </w:tcPr>
          <w:p w14:paraId="48FCC300" w14:textId="77777777" w:rsidR="003D186C" w:rsidRDefault="00C00BC0">
            <w:pPr>
              <w:spacing w:line="276" w:lineRule="auto"/>
              <w:jc w:val="both"/>
            </w:pPr>
            <w:r>
              <w:t>Route-sequence prediction</w:t>
            </w:r>
          </w:p>
        </w:tc>
        <w:tc>
          <w:tcPr>
            <w:tcW w:w="2315" w:type="dxa"/>
          </w:tcPr>
          <w:p w14:paraId="23D1ABBF" w14:textId="77777777" w:rsidR="003D186C" w:rsidRDefault="00C00BC0">
            <w:pPr>
              <w:spacing w:line="276" w:lineRule="auto"/>
              <w:jc w:val="both"/>
            </w:pPr>
            <w:r>
              <w:t>Operational / challenge dataset</w:t>
            </w:r>
          </w:p>
        </w:tc>
        <w:tc>
          <w:tcPr>
            <w:tcW w:w="2955" w:type="dxa"/>
          </w:tcPr>
          <w:p w14:paraId="3DB68292" w14:textId="77777777" w:rsidR="003D186C" w:rsidRDefault="00C00BC0">
            <w:pPr>
              <w:spacing w:line="276" w:lineRule="auto"/>
              <w:jc w:val="both"/>
            </w:pPr>
            <w:r>
              <w:t>Two-stage metaheuristic + learning</w:t>
            </w:r>
          </w:p>
        </w:tc>
        <w:tc>
          <w:tcPr>
            <w:tcW w:w="3247" w:type="dxa"/>
          </w:tcPr>
          <w:p w14:paraId="1DBC001F" w14:textId="77777777" w:rsidR="003D186C" w:rsidRDefault="00C00BC0">
            <w:pPr>
              <w:spacing w:line="276" w:lineRule="auto"/>
              <w:jc w:val="both"/>
            </w:pPr>
            <w:r>
              <w:t>Benchmark/operational dataset</w:t>
            </w:r>
          </w:p>
        </w:tc>
      </w:tr>
      <w:tr w:rsidR="003D186C" w14:paraId="5F8543C0" w14:textId="77777777">
        <w:tc>
          <w:tcPr>
            <w:tcW w:w="1622" w:type="dxa"/>
          </w:tcPr>
          <w:p w14:paraId="2852FA23" w14:textId="77777777" w:rsidR="003D186C" w:rsidRDefault="00C00BC0">
            <w:pPr>
              <w:spacing w:line="276" w:lineRule="auto"/>
              <w:jc w:val="both"/>
            </w:pPr>
            <w:proofErr w:type="spellStart"/>
            <w:r>
              <w:t>Phumchusri</w:t>
            </w:r>
            <w:proofErr w:type="spellEnd"/>
            <w:r>
              <w:t xml:space="preserve"> et al. (2024)</w:t>
            </w:r>
          </w:p>
        </w:tc>
        <w:tc>
          <w:tcPr>
            <w:tcW w:w="1707" w:type="dxa"/>
          </w:tcPr>
          <w:p w14:paraId="1252CA6A" w14:textId="77777777" w:rsidR="003D186C" w:rsidRDefault="00C00BC0">
            <w:pPr>
              <w:spacing w:line="276" w:lineRule="auto"/>
              <w:jc w:val="both"/>
            </w:pPr>
            <w:r>
              <w:t>Retail (convenience chain)</w:t>
            </w:r>
          </w:p>
        </w:tc>
        <w:tc>
          <w:tcPr>
            <w:tcW w:w="2183" w:type="dxa"/>
          </w:tcPr>
          <w:p w14:paraId="0D2BF2BE" w14:textId="77777777" w:rsidR="003D186C" w:rsidRDefault="00C00BC0">
            <w:pPr>
              <w:spacing w:line="276" w:lineRule="auto"/>
              <w:jc w:val="both"/>
            </w:pPr>
            <w:r>
              <w:t xml:space="preserve">Price &amp; promotion </w:t>
            </w:r>
            <w:proofErr w:type="spellStart"/>
            <w:r>
              <w:t>optimisation</w:t>
            </w:r>
            <w:proofErr w:type="spellEnd"/>
          </w:p>
        </w:tc>
        <w:tc>
          <w:tcPr>
            <w:tcW w:w="2315" w:type="dxa"/>
          </w:tcPr>
          <w:p w14:paraId="6A0C1945" w14:textId="77777777" w:rsidR="003D186C" w:rsidRDefault="00C00BC0">
            <w:pPr>
              <w:spacing w:line="276" w:lineRule="auto"/>
              <w:jc w:val="both"/>
            </w:pPr>
            <w:r>
              <w:t>Tabular (transactions)</w:t>
            </w:r>
          </w:p>
        </w:tc>
        <w:tc>
          <w:tcPr>
            <w:tcW w:w="2955" w:type="dxa"/>
          </w:tcPr>
          <w:p w14:paraId="6D325962" w14:textId="77777777" w:rsidR="003D186C" w:rsidRDefault="00C00BC0">
            <w:pPr>
              <w:spacing w:line="276" w:lineRule="auto"/>
              <w:jc w:val="both"/>
            </w:pPr>
            <w:r>
              <w:t xml:space="preserve">Multi-period </w:t>
            </w:r>
            <w:proofErr w:type="spellStart"/>
            <w:r>
              <w:t>optimisation</w:t>
            </w:r>
            <w:proofErr w:type="spellEnd"/>
            <w:r>
              <w:t xml:space="preserve"> with ML inputs</w:t>
            </w:r>
          </w:p>
        </w:tc>
        <w:tc>
          <w:tcPr>
            <w:tcW w:w="3247" w:type="dxa"/>
          </w:tcPr>
          <w:p w14:paraId="3F9C0554" w14:textId="77777777" w:rsidR="003D186C" w:rsidRDefault="00C00BC0">
            <w:pPr>
              <w:spacing w:line="276" w:lineRule="auto"/>
              <w:jc w:val="both"/>
            </w:pPr>
            <w:r>
              <w:t>Real SKUs; retail chain</w:t>
            </w:r>
          </w:p>
        </w:tc>
      </w:tr>
      <w:tr w:rsidR="003D186C" w14:paraId="7184FC26" w14:textId="77777777">
        <w:tc>
          <w:tcPr>
            <w:tcW w:w="1622" w:type="dxa"/>
          </w:tcPr>
          <w:p w14:paraId="16850D98" w14:textId="77777777" w:rsidR="003D186C" w:rsidRDefault="00C00BC0">
            <w:pPr>
              <w:spacing w:line="276" w:lineRule="auto"/>
              <w:jc w:val="both"/>
            </w:pPr>
            <w:r>
              <w:t>Qi et al. (2023)</w:t>
            </w:r>
          </w:p>
        </w:tc>
        <w:tc>
          <w:tcPr>
            <w:tcW w:w="1707" w:type="dxa"/>
          </w:tcPr>
          <w:p w14:paraId="096748D4" w14:textId="77777777" w:rsidR="003D186C" w:rsidRDefault="00C00BC0">
            <w:pPr>
              <w:spacing w:line="276" w:lineRule="auto"/>
              <w:jc w:val="both"/>
            </w:pPr>
            <w:r>
              <w:t>Retail / E-commerce</w:t>
            </w:r>
          </w:p>
        </w:tc>
        <w:tc>
          <w:tcPr>
            <w:tcW w:w="2183" w:type="dxa"/>
          </w:tcPr>
          <w:p w14:paraId="5A61A0DD" w14:textId="77777777" w:rsidR="003D186C" w:rsidRDefault="00C00BC0">
            <w:pPr>
              <w:spacing w:line="276" w:lineRule="auto"/>
              <w:jc w:val="both"/>
            </w:pPr>
            <w:r>
              <w:t>Inventory management (policy)</w:t>
            </w:r>
          </w:p>
        </w:tc>
        <w:tc>
          <w:tcPr>
            <w:tcW w:w="2315" w:type="dxa"/>
          </w:tcPr>
          <w:p w14:paraId="6E6532CC" w14:textId="77777777" w:rsidR="003D186C" w:rsidRDefault="00C00BC0">
            <w:pPr>
              <w:spacing w:line="276" w:lineRule="auto"/>
              <w:jc w:val="both"/>
            </w:pPr>
            <w:r>
              <w:t>Tabular/time-series</w:t>
            </w:r>
          </w:p>
        </w:tc>
        <w:tc>
          <w:tcPr>
            <w:tcW w:w="2955" w:type="dxa"/>
          </w:tcPr>
          <w:p w14:paraId="3B5AA742" w14:textId="77777777" w:rsidR="003D186C" w:rsidRDefault="00C00BC0">
            <w:pPr>
              <w:spacing w:line="276" w:lineRule="auto"/>
              <w:jc w:val="both"/>
            </w:pPr>
            <w:r>
              <w:t>End-to-end DL inventory model</w:t>
            </w:r>
          </w:p>
        </w:tc>
        <w:tc>
          <w:tcPr>
            <w:tcW w:w="3247" w:type="dxa"/>
          </w:tcPr>
          <w:p w14:paraId="1FCF5F3A" w14:textId="77777777" w:rsidR="003D186C" w:rsidRDefault="00C00BC0">
            <w:pPr>
              <w:spacing w:line="276" w:lineRule="auto"/>
              <w:jc w:val="both"/>
            </w:pPr>
            <w:r>
              <w:t>Field/industrial evaluation</w:t>
            </w:r>
          </w:p>
        </w:tc>
      </w:tr>
      <w:tr w:rsidR="003D186C" w14:paraId="498864A6" w14:textId="77777777">
        <w:tc>
          <w:tcPr>
            <w:tcW w:w="1622" w:type="dxa"/>
          </w:tcPr>
          <w:p w14:paraId="15CA33F8" w14:textId="77777777" w:rsidR="003D186C" w:rsidRDefault="00C00BC0">
            <w:pPr>
              <w:spacing w:line="276" w:lineRule="auto"/>
              <w:jc w:val="both"/>
            </w:pPr>
            <w:r>
              <w:t>Qin et al. (2020)</w:t>
            </w:r>
          </w:p>
        </w:tc>
        <w:tc>
          <w:tcPr>
            <w:tcW w:w="1707" w:type="dxa"/>
          </w:tcPr>
          <w:p w14:paraId="093875CF" w14:textId="77777777" w:rsidR="003D186C" w:rsidRDefault="00C00BC0">
            <w:pPr>
              <w:spacing w:line="276" w:lineRule="auto"/>
              <w:jc w:val="both"/>
            </w:pPr>
            <w:r>
              <w:t>Ride-hailing (</w:t>
            </w:r>
            <w:proofErr w:type="spellStart"/>
            <w:r>
              <w:t>DiDi</w:t>
            </w:r>
            <w:proofErr w:type="spellEnd"/>
            <w:r>
              <w:t>)</w:t>
            </w:r>
          </w:p>
        </w:tc>
        <w:tc>
          <w:tcPr>
            <w:tcW w:w="2183" w:type="dxa"/>
          </w:tcPr>
          <w:p w14:paraId="560C28F7" w14:textId="77777777" w:rsidR="003D186C" w:rsidRDefault="00C00BC0">
            <w:pPr>
              <w:spacing w:line="276" w:lineRule="auto"/>
              <w:jc w:val="both"/>
            </w:pPr>
            <w:r>
              <w:t>Order dispatching</w:t>
            </w:r>
          </w:p>
        </w:tc>
        <w:tc>
          <w:tcPr>
            <w:tcW w:w="2315" w:type="dxa"/>
          </w:tcPr>
          <w:p w14:paraId="2B8C705C" w14:textId="77777777" w:rsidR="003D186C" w:rsidRDefault="00C00BC0">
            <w:pPr>
              <w:spacing w:line="276" w:lineRule="auto"/>
              <w:jc w:val="both"/>
            </w:pPr>
            <w:r>
              <w:t>Spatiotemporal</w:t>
            </w:r>
          </w:p>
        </w:tc>
        <w:tc>
          <w:tcPr>
            <w:tcW w:w="2955" w:type="dxa"/>
          </w:tcPr>
          <w:p w14:paraId="45BF5117" w14:textId="77777777" w:rsidR="003D186C" w:rsidRDefault="00C00BC0">
            <w:pPr>
              <w:spacing w:line="276" w:lineRule="auto"/>
              <w:jc w:val="both"/>
            </w:pPr>
            <w:r>
              <w:t>RL dispatch system</w:t>
            </w:r>
          </w:p>
        </w:tc>
        <w:tc>
          <w:tcPr>
            <w:tcW w:w="3247" w:type="dxa"/>
          </w:tcPr>
          <w:p w14:paraId="5796A6C3" w14:textId="77777777" w:rsidR="003D186C" w:rsidRDefault="00C00BC0">
            <w:pPr>
              <w:spacing w:line="276" w:lineRule="auto"/>
              <w:jc w:val="both"/>
            </w:pPr>
            <w:r>
              <w:t>Deployed; business impact reported</w:t>
            </w:r>
          </w:p>
        </w:tc>
      </w:tr>
      <w:tr w:rsidR="003D186C" w14:paraId="37349AC1" w14:textId="77777777">
        <w:tc>
          <w:tcPr>
            <w:tcW w:w="1622" w:type="dxa"/>
          </w:tcPr>
          <w:p w14:paraId="108A1E08" w14:textId="77777777" w:rsidR="003D186C" w:rsidRDefault="00C00BC0">
            <w:pPr>
              <w:spacing w:line="276" w:lineRule="auto"/>
              <w:jc w:val="both"/>
            </w:pPr>
            <w:proofErr w:type="spellStart"/>
            <w:r>
              <w:lastRenderedPageBreak/>
              <w:t>Rokoss</w:t>
            </w:r>
            <w:proofErr w:type="spellEnd"/>
            <w:r>
              <w:t xml:space="preserve"> et al. (2024)</w:t>
            </w:r>
          </w:p>
        </w:tc>
        <w:tc>
          <w:tcPr>
            <w:tcW w:w="1707" w:type="dxa"/>
          </w:tcPr>
          <w:p w14:paraId="1DAED7B3" w14:textId="77777777" w:rsidR="003D186C" w:rsidRDefault="00C00BC0">
            <w:pPr>
              <w:spacing w:line="276" w:lineRule="auto"/>
              <w:jc w:val="both"/>
            </w:pPr>
            <w:r>
              <w:t>Manufacturing (SME)</w:t>
            </w:r>
          </w:p>
        </w:tc>
        <w:tc>
          <w:tcPr>
            <w:tcW w:w="2183" w:type="dxa"/>
          </w:tcPr>
          <w:p w14:paraId="5795A9BE" w14:textId="77777777" w:rsidR="003D186C" w:rsidRDefault="00C00BC0">
            <w:pPr>
              <w:spacing w:line="276" w:lineRule="auto"/>
              <w:jc w:val="both"/>
            </w:pPr>
            <w:r>
              <w:t>Delivery-time prediction/promise dates</w:t>
            </w:r>
          </w:p>
        </w:tc>
        <w:tc>
          <w:tcPr>
            <w:tcW w:w="2315" w:type="dxa"/>
          </w:tcPr>
          <w:p w14:paraId="239DD550" w14:textId="77777777" w:rsidR="003D186C" w:rsidRDefault="00C00BC0">
            <w:pPr>
              <w:spacing w:line="276" w:lineRule="auto"/>
              <w:jc w:val="both"/>
            </w:pPr>
            <w:r>
              <w:t>Tabular/time-series</w:t>
            </w:r>
          </w:p>
        </w:tc>
        <w:tc>
          <w:tcPr>
            <w:tcW w:w="2955" w:type="dxa"/>
          </w:tcPr>
          <w:p w14:paraId="790D1821" w14:textId="77777777" w:rsidR="003D186C" w:rsidRDefault="00C00BC0">
            <w:pPr>
              <w:spacing w:line="276" w:lineRule="auto"/>
              <w:jc w:val="both"/>
            </w:pPr>
            <w:r>
              <w:t>ML ETA/delivery-time models</w:t>
            </w:r>
          </w:p>
        </w:tc>
        <w:tc>
          <w:tcPr>
            <w:tcW w:w="3247" w:type="dxa"/>
          </w:tcPr>
          <w:p w14:paraId="0663A16E" w14:textId="77777777" w:rsidR="003D186C" w:rsidRDefault="00C00BC0">
            <w:pPr>
              <w:spacing w:line="276" w:lineRule="auto"/>
              <w:jc w:val="both"/>
            </w:pPr>
            <w:r>
              <w:t>Company cases (small-batch)</w:t>
            </w:r>
          </w:p>
        </w:tc>
      </w:tr>
      <w:tr w:rsidR="003D186C" w14:paraId="1EA65043" w14:textId="77777777">
        <w:tc>
          <w:tcPr>
            <w:tcW w:w="1622" w:type="dxa"/>
          </w:tcPr>
          <w:p w14:paraId="7821B4E1" w14:textId="77777777" w:rsidR="003D186C" w:rsidRDefault="00C00BC0">
            <w:pPr>
              <w:spacing w:line="276" w:lineRule="auto"/>
              <w:jc w:val="both"/>
            </w:pPr>
            <w:r>
              <w:t>Vijay et al. (2024)</w:t>
            </w:r>
          </w:p>
        </w:tc>
        <w:tc>
          <w:tcPr>
            <w:tcW w:w="1707" w:type="dxa"/>
          </w:tcPr>
          <w:p w14:paraId="4025029D" w14:textId="77777777" w:rsidR="003D186C" w:rsidRDefault="00C00BC0">
            <w:pPr>
              <w:spacing w:line="276" w:lineRule="auto"/>
              <w:jc w:val="both"/>
            </w:pPr>
            <w:r>
              <w:t>City logistics (PI-hub)</w:t>
            </w:r>
          </w:p>
        </w:tc>
        <w:tc>
          <w:tcPr>
            <w:tcW w:w="2183" w:type="dxa"/>
          </w:tcPr>
          <w:p w14:paraId="66E22A02" w14:textId="77777777" w:rsidR="003D186C" w:rsidRDefault="00C00BC0">
            <w:pPr>
              <w:spacing w:line="276" w:lineRule="auto"/>
              <w:jc w:val="both"/>
            </w:pPr>
            <w:r>
              <w:t>Dock ETA for rescheduling</w:t>
            </w:r>
          </w:p>
        </w:tc>
        <w:tc>
          <w:tcPr>
            <w:tcW w:w="2315" w:type="dxa"/>
          </w:tcPr>
          <w:p w14:paraId="0D727AED" w14:textId="77777777" w:rsidR="003D186C" w:rsidRDefault="00C00BC0">
            <w:pPr>
              <w:spacing w:line="276" w:lineRule="auto"/>
              <w:jc w:val="both"/>
            </w:pPr>
            <w:r>
              <w:t>Time-series / operational</w:t>
            </w:r>
          </w:p>
        </w:tc>
        <w:tc>
          <w:tcPr>
            <w:tcW w:w="2955" w:type="dxa"/>
          </w:tcPr>
          <w:p w14:paraId="7BE294A9" w14:textId="77777777" w:rsidR="003D186C" w:rsidRDefault="00C00BC0">
            <w:pPr>
              <w:spacing w:line="276" w:lineRule="auto"/>
              <w:jc w:val="both"/>
            </w:pPr>
            <w:r>
              <w:t>ML-based ETA for rescheduling</w:t>
            </w:r>
          </w:p>
        </w:tc>
        <w:tc>
          <w:tcPr>
            <w:tcW w:w="3247" w:type="dxa"/>
          </w:tcPr>
          <w:p w14:paraId="3E6E0AEF" w14:textId="77777777" w:rsidR="003D186C" w:rsidRDefault="00C00BC0">
            <w:pPr>
              <w:spacing w:line="276" w:lineRule="auto"/>
              <w:jc w:val="both"/>
            </w:pPr>
            <w:r>
              <w:t>Operational scheduling context</w:t>
            </w:r>
          </w:p>
        </w:tc>
      </w:tr>
    </w:tbl>
    <w:p w14:paraId="6D61E138" w14:textId="77777777" w:rsidR="003D186C" w:rsidRDefault="003D186C">
      <w:pPr>
        <w:tabs>
          <w:tab w:val="left" w:pos="1766"/>
        </w:tabs>
        <w:spacing w:after="0"/>
        <w:jc w:val="both"/>
        <w:rPr>
          <w:rFonts w:ascii="Times New Roman" w:eastAsia="Times New Roman" w:hAnsi="Times New Roman" w:cs="Times New Roman"/>
        </w:rPr>
        <w:sectPr w:rsidR="003D186C">
          <w:pgSz w:w="15840" w:h="12240" w:orient="landscape"/>
          <w:pgMar w:top="709" w:right="1440" w:bottom="1440" w:left="1440" w:header="720" w:footer="720" w:gutter="0"/>
          <w:cols w:space="720"/>
        </w:sectPr>
      </w:pPr>
    </w:p>
    <w:p w14:paraId="5F0A1B1A" w14:textId="77777777" w:rsidR="003D186C" w:rsidRDefault="003D186C">
      <w:pPr>
        <w:tabs>
          <w:tab w:val="left" w:pos="1766"/>
        </w:tabs>
        <w:spacing w:after="0"/>
        <w:jc w:val="both"/>
        <w:rPr>
          <w:rFonts w:ascii="Times New Roman" w:eastAsia="Times New Roman" w:hAnsi="Times New Roman" w:cs="Times New Roman"/>
        </w:rPr>
      </w:pPr>
    </w:p>
    <w:p w14:paraId="21BE94B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Theme 2: Operational Effectiveness, Reliability &amp; Risk </w:t>
      </w:r>
    </w:p>
    <w:p w14:paraId="275C8D12" w14:textId="77777777" w:rsidR="003D186C" w:rsidRDefault="003D186C">
      <w:pPr>
        <w:tabs>
          <w:tab w:val="left" w:pos="1766"/>
        </w:tabs>
        <w:spacing w:after="0"/>
        <w:jc w:val="both"/>
        <w:rPr>
          <w:rFonts w:ascii="Times New Roman" w:eastAsia="Times New Roman" w:hAnsi="Times New Roman" w:cs="Times New Roman"/>
        </w:rPr>
      </w:pPr>
    </w:p>
    <w:p w14:paraId="249CBBCA"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Integrated stacks illustrate business outcomes which connects the accuracy of forecasts and policy changes to cost savings, improvements in service, and the dependability of materials as reported in (Deng et al., 2023). Qi et al. (2023) exemplifies how inventory policies proposed by learned representations reduced both holding and stockout costs more than the rule-based baseline during field experiments. Reinforcement learning dispatch at the </w:t>
      </w:r>
      <w:proofErr w:type="spellStart"/>
      <w:r>
        <w:rPr>
          <w:rFonts w:ascii="Times New Roman" w:eastAsia="Times New Roman" w:hAnsi="Times New Roman" w:cs="Times New Roman"/>
        </w:rPr>
        <w:t>superapp</w:t>
      </w:r>
      <w:proofErr w:type="spellEnd"/>
      <w:r>
        <w:rPr>
          <w:rFonts w:ascii="Times New Roman" w:eastAsia="Times New Roman" w:hAnsi="Times New Roman" w:cs="Times New Roman"/>
        </w:rPr>
        <w:t xml:space="preserve"> level has improved matching efficiency and improved timeliness under volatile demand-supply conditions, which resulted in significant platform level reliability advantages (Qin et. al, 2020).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of retail price promotions has shown to improve profitability under conditions of evolving price elasticities.</w:t>
      </w:r>
    </w:p>
    <w:p w14:paraId="2BDCFC77"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This finding suggests that multi-period plans exhibit resilience to concept drift (</w:t>
      </w:r>
      <w:proofErr w:type="spellStart"/>
      <w:r>
        <w:rPr>
          <w:rFonts w:ascii="Times New Roman" w:eastAsia="Times New Roman" w:hAnsi="Times New Roman" w:cs="Times New Roman"/>
        </w:rPr>
        <w:t>Phumchusri</w:t>
      </w:r>
      <w:proofErr w:type="spellEnd"/>
      <w:r>
        <w:rPr>
          <w:rFonts w:ascii="Times New Roman" w:eastAsia="Times New Roman" w:hAnsi="Times New Roman" w:cs="Times New Roman"/>
        </w:rPr>
        <w:t xml:space="preserve"> et al., 2024). The partitioning of delivery zones has been shown to balance workloads without violating service metrics and minimize disparities that might arise from shifts in the spatial distribution (Guo et al., 2023). In the context of manufacturing cases, promise-date accuracy improvements translate to lower downstream schedule risk associated with process variability and uncertainties pertaining to suppliers (</w:t>
      </w:r>
      <w:proofErr w:type="spellStart"/>
      <w:r>
        <w:rPr>
          <w:rFonts w:ascii="Times New Roman" w:eastAsia="Times New Roman" w:hAnsi="Times New Roman" w:cs="Times New Roman"/>
        </w:rPr>
        <w:t>Rokoss</w:t>
      </w:r>
      <w:proofErr w:type="spellEnd"/>
      <w:r>
        <w:rPr>
          <w:rFonts w:ascii="Times New Roman" w:eastAsia="Times New Roman" w:hAnsi="Times New Roman" w:cs="Times New Roman"/>
        </w:rPr>
        <w:t xml:space="preserve"> et al., 2024). Sequencing and execution of dock ETA models eased the decision to re-assign resources, thus alleviating cascading delays triggered by variability in terminal arrival patterns (Vijay et al., 2024). Cold-chain anomaly detection systems helped reduce the frequency of false alerts without compromising sensitivity, thus mitigating response and recovery time during temperature excursions (Gillespie et al., 2023). On-device inference showed the ability to maintain high detection accuracy during periods of connectivity, thus allowing continuous monitoring to detect situations that required timely remediation (</w:t>
      </w:r>
      <w:proofErr w:type="spellStart"/>
      <w:r>
        <w:rPr>
          <w:rFonts w:ascii="Times New Roman" w:eastAsia="Times New Roman" w:hAnsi="Times New Roman" w:cs="Times New Roman"/>
        </w:rPr>
        <w:t>Harrabi</w:t>
      </w:r>
      <w:proofErr w:type="spellEnd"/>
      <w:r>
        <w:rPr>
          <w:rFonts w:ascii="Times New Roman" w:eastAsia="Times New Roman" w:hAnsi="Times New Roman" w:cs="Times New Roman"/>
        </w:rPr>
        <w:t xml:space="preserve"> et al., 2024). Delay-risk scoring has been shown to provide advance warning to logistics planners (Gabellini et al., 2024).</w:t>
      </w:r>
    </w:p>
    <w:p w14:paraId="57CE3107" w14:textId="77777777" w:rsidR="003D186C" w:rsidRDefault="003D186C">
      <w:pPr>
        <w:tabs>
          <w:tab w:val="left" w:pos="1766"/>
        </w:tabs>
        <w:spacing w:after="0"/>
        <w:jc w:val="both"/>
        <w:rPr>
          <w:rFonts w:ascii="Times New Roman" w:eastAsia="Times New Roman" w:hAnsi="Times New Roman" w:cs="Times New Roman"/>
        </w:rPr>
      </w:pPr>
    </w:p>
    <w:p w14:paraId="1C3BC48B"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Theme 3:  Self-Healing </w:t>
      </w:r>
      <w:proofErr w:type="spellStart"/>
      <w:r>
        <w:rPr>
          <w:rFonts w:ascii="Times New Roman" w:eastAsia="Times New Roman" w:hAnsi="Times New Roman" w:cs="Times New Roman"/>
          <w:b/>
          <w:bCs/>
        </w:rPr>
        <w:t>MLOps</w:t>
      </w:r>
      <w:proofErr w:type="spellEnd"/>
      <w:r>
        <w:rPr>
          <w:rFonts w:ascii="Times New Roman" w:eastAsia="Times New Roman" w:hAnsi="Times New Roman" w:cs="Times New Roman"/>
          <w:b/>
          <w:bCs/>
        </w:rPr>
        <w:t xml:space="preserve"> Reference Design &amp; Benchmarking</w:t>
      </w:r>
    </w:p>
    <w:p w14:paraId="3BEFCAA9" w14:textId="77777777" w:rsidR="003D186C" w:rsidRDefault="003D186C">
      <w:pPr>
        <w:tabs>
          <w:tab w:val="left" w:pos="1766"/>
        </w:tabs>
        <w:spacing w:after="0"/>
        <w:jc w:val="both"/>
        <w:rPr>
          <w:rFonts w:ascii="Times New Roman" w:eastAsia="Times New Roman" w:hAnsi="Times New Roman" w:cs="Times New Roman"/>
        </w:rPr>
      </w:pPr>
    </w:p>
    <w:p w14:paraId="793E77C7"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According to </w:t>
      </w:r>
      <w:proofErr w:type="spellStart"/>
      <w:r>
        <w:rPr>
          <w:rFonts w:ascii="Times New Roman" w:eastAsia="Times New Roman" w:hAnsi="Times New Roman" w:cs="Times New Roman"/>
        </w:rPr>
        <w:t>Böse</w:t>
      </w:r>
      <w:proofErr w:type="spellEnd"/>
      <w:r>
        <w:rPr>
          <w:rFonts w:ascii="Times New Roman" w:eastAsia="Times New Roman" w:hAnsi="Times New Roman" w:cs="Times New Roman"/>
        </w:rPr>
        <w:t xml:space="preserve"> et al. (2017), reference designs should document registries, feature stores, lineage, and gates as they demonstrate scalable forecasting platforms within retail operations. Integration of forecasting, inventory, and pricing with KPI dashboards, along with rollback paths for safe remediation, requires end-to-end orchestration (Deng et al., 2023). As stated by Qin et al. (2020), policy engines should facilitate staged rollouts and canaries for control policies that adapt to non-stationary conditions in the marketplace.</w:t>
      </w:r>
    </w:p>
    <w:p w14:paraId="6C860AF2" w14:textId="77777777" w:rsidR="003D186C" w:rsidRDefault="00C00BC0">
      <w:pPr>
        <w:tabs>
          <w:tab w:val="left" w:pos="1766"/>
        </w:tabs>
        <w:spacing w:after="0"/>
        <w:jc w:val="both"/>
        <w:rPr>
          <w:rFonts w:ascii="Times New Roman" w:eastAsia="Times New Roman" w:hAnsi="Times New Roman" w:cs="Times New Roman"/>
        </w:rPr>
        <w:sectPr w:rsidR="003D186C">
          <w:pgSz w:w="12240" w:h="15840"/>
          <w:pgMar w:top="1440" w:right="1440" w:bottom="1440" w:left="709" w:header="720" w:footer="720" w:gutter="0"/>
          <w:cols w:space="720"/>
        </w:sectPr>
      </w:pPr>
      <w:r>
        <w:rPr>
          <w:rFonts w:ascii="Times New Roman" w:eastAsia="Times New Roman" w:hAnsi="Times New Roman" w:cs="Times New Roman"/>
        </w:rPr>
        <w:t>Due to spatiotemporal shifts, fairness monitors and concurrency safeguards must be integrated to avoid deterioration of the dispatch controllers (Jiang et al., 2023). Lightweight detectors should be positioned on edge tiers, and monitoring and alerts should be preserved while the network is intermittent or backhaul delays (</w:t>
      </w:r>
      <w:proofErr w:type="spellStart"/>
      <w:r>
        <w:rPr>
          <w:rFonts w:ascii="Times New Roman" w:eastAsia="Times New Roman" w:hAnsi="Times New Roman" w:cs="Times New Roman"/>
        </w:rPr>
        <w:t>Harrabi</w:t>
      </w:r>
      <w:proofErr w:type="spellEnd"/>
      <w:r>
        <w:rPr>
          <w:rFonts w:ascii="Times New Roman" w:eastAsia="Times New Roman" w:hAnsi="Times New Roman" w:cs="Times New Roman"/>
        </w:rPr>
        <w:t xml:space="preserve"> et al., 2024). Cold-chain telemetry should be used to enable data-quality checks, as well as, anomaly services, leading to actionable alerts with recoverable latencies and telemetry for actionable relapses (Gillespie et al., 2023). Inventory modules need trigger and service level objectives on the modules that need to be integrated to hold, stockout, and cost targets so that retraining can be linked (Qi et al., 2023). Lead-time models must include supplier and process metadata, as well as, governance checks on leakage and retraining cadence (de Oliveira et al., 2021). Route-sequence tasks and ablations on trigger sensitivity should be included in benchmarking to stress robust stability under drift (Mesa et al., 2023). Operational validation must analyze the utility of rescheduling and the accuracy of ETAs to prioritize triage during disruptions (Vijay et al., 2024).</w:t>
      </w:r>
    </w:p>
    <w:p w14:paraId="6D5ED747" w14:textId="77777777" w:rsidR="003D186C" w:rsidRDefault="00C00BC0">
      <w:pPr>
        <w:tabs>
          <w:tab w:val="left" w:pos="1766"/>
        </w:tabs>
        <w:spacing w:after="0"/>
        <w:jc w:val="center"/>
        <w:rPr>
          <w:rFonts w:ascii="Times New Roman" w:eastAsia="Times New Roman" w:hAnsi="Times New Roman" w:cs="Times New Roman"/>
        </w:rPr>
      </w:pPr>
      <w:r>
        <w:rPr>
          <w:rFonts w:ascii="Times New Roman" w:eastAsia="Times New Roman" w:hAnsi="Times New Roman" w:cs="Times New Roman"/>
        </w:rPr>
        <w:lastRenderedPageBreak/>
        <w:t>Table 2: Summary of key findings</w:t>
      </w:r>
    </w:p>
    <w:tbl>
      <w:tblPr>
        <w:tblStyle w:val="a0"/>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843"/>
        <w:gridCol w:w="1276"/>
        <w:gridCol w:w="1984"/>
        <w:gridCol w:w="1701"/>
        <w:gridCol w:w="1985"/>
        <w:gridCol w:w="1984"/>
        <w:gridCol w:w="2268"/>
      </w:tblGrid>
      <w:tr w:rsidR="003D186C" w14:paraId="3D4CEDEA" w14:textId="77777777">
        <w:tc>
          <w:tcPr>
            <w:tcW w:w="1276" w:type="dxa"/>
          </w:tcPr>
          <w:p w14:paraId="6A75B840" w14:textId="77777777" w:rsidR="003D186C" w:rsidRDefault="00C00BC0">
            <w:pPr>
              <w:spacing w:line="276" w:lineRule="auto"/>
              <w:jc w:val="both"/>
              <w:rPr>
                <w:b/>
                <w:bCs/>
              </w:rPr>
            </w:pPr>
            <w:r>
              <w:rPr>
                <w:b/>
                <w:bCs/>
              </w:rPr>
              <w:t>Reference (Year)</w:t>
            </w:r>
          </w:p>
        </w:tc>
        <w:tc>
          <w:tcPr>
            <w:tcW w:w="1843" w:type="dxa"/>
          </w:tcPr>
          <w:p w14:paraId="412A5A06" w14:textId="77777777" w:rsidR="003D186C" w:rsidRDefault="00C00BC0">
            <w:pPr>
              <w:spacing w:line="276" w:lineRule="auto"/>
              <w:jc w:val="both"/>
            </w:pPr>
            <w:r>
              <w:rPr>
                <w:b/>
                <w:bCs/>
              </w:rPr>
              <w:t>Drift Signals Monitored (perf/data)</w:t>
            </w:r>
          </w:p>
        </w:tc>
        <w:tc>
          <w:tcPr>
            <w:tcW w:w="1276" w:type="dxa"/>
          </w:tcPr>
          <w:p w14:paraId="10CC6BCE" w14:textId="77777777" w:rsidR="003D186C" w:rsidRDefault="00C00BC0">
            <w:pPr>
              <w:spacing w:line="276" w:lineRule="auto"/>
              <w:jc w:val="both"/>
            </w:pPr>
            <w:r>
              <w:rPr>
                <w:b/>
                <w:bCs/>
              </w:rPr>
              <w:t>Drift Type (if stated)</w:t>
            </w:r>
          </w:p>
        </w:tc>
        <w:tc>
          <w:tcPr>
            <w:tcW w:w="1984" w:type="dxa"/>
          </w:tcPr>
          <w:p w14:paraId="0D50663A" w14:textId="77777777" w:rsidR="003D186C" w:rsidRDefault="00C00BC0">
            <w:pPr>
              <w:spacing w:line="276" w:lineRule="auto"/>
              <w:jc w:val="both"/>
            </w:pPr>
            <w:r>
              <w:rPr>
                <w:b/>
                <w:bCs/>
              </w:rPr>
              <w:t>Adaptation / Continual Learning</w:t>
            </w:r>
          </w:p>
        </w:tc>
        <w:tc>
          <w:tcPr>
            <w:tcW w:w="1701" w:type="dxa"/>
          </w:tcPr>
          <w:p w14:paraId="606E6EDF" w14:textId="77777777" w:rsidR="003D186C" w:rsidRDefault="00C00BC0">
            <w:pPr>
              <w:spacing w:line="276" w:lineRule="auto"/>
              <w:jc w:val="both"/>
            </w:pPr>
            <w:r>
              <w:rPr>
                <w:b/>
                <w:bCs/>
              </w:rPr>
              <w:t>Auto-remediation / Rollout</w:t>
            </w:r>
          </w:p>
        </w:tc>
        <w:tc>
          <w:tcPr>
            <w:tcW w:w="1985" w:type="dxa"/>
          </w:tcPr>
          <w:p w14:paraId="07A05CDF" w14:textId="77777777" w:rsidR="003D186C" w:rsidRDefault="00C00BC0">
            <w:pPr>
              <w:spacing w:line="276" w:lineRule="auto"/>
              <w:jc w:val="both"/>
            </w:pPr>
            <w:r>
              <w:rPr>
                <w:b/>
                <w:bCs/>
              </w:rPr>
              <w:t>Metrics Reported (examples)</w:t>
            </w:r>
          </w:p>
        </w:tc>
        <w:tc>
          <w:tcPr>
            <w:tcW w:w="1984" w:type="dxa"/>
          </w:tcPr>
          <w:p w14:paraId="2E179428" w14:textId="77777777" w:rsidR="003D186C" w:rsidRDefault="00C00BC0">
            <w:pPr>
              <w:spacing w:line="276" w:lineRule="auto"/>
              <w:jc w:val="both"/>
            </w:pPr>
            <w:r>
              <w:rPr>
                <w:b/>
                <w:bCs/>
              </w:rPr>
              <w:t>Indicative Impact (as reported)</w:t>
            </w:r>
          </w:p>
        </w:tc>
        <w:tc>
          <w:tcPr>
            <w:tcW w:w="2268" w:type="dxa"/>
          </w:tcPr>
          <w:p w14:paraId="599B7E66" w14:textId="77777777" w:rsidR="003D186C" w:rsidRDefault="00C00BC0">
            <w:pPr>
              <w:spacing w:line="276" w:lineRule="auto"/>
              <w:jc w:val="both"/>
            </w:pPr>
            <w:proofErr w:type="spellStart"/>
            <w:r>
              <w:rPr>
                <w:b/>
                <w:bCs/>
              </w:rPr>
              <w:t>MLOps</w:t>
            </w:r>
            <w:proofErr w:type="spellEnd"/>
            <w:r>
              <w:rPr>
                <w:b/>
                <w:bCs/>
              </w:rPr>
              <w:t xml:space="preserve"> / Ops Notes</w:t>
            </w:r>
          </w:p>
        </w:tc>
      </w:tr>
      <w:tr w:rsidR="003D186C" w14:paraId="54118858" w14:textId="77777777">
        <w:tc>
          <w:tcPr>
            <w:tcW w:w="1276" w:type="dxa"/>
          </w:tcPr>
          <w:p w14:paraId="4B500233" w14:textId="77777777" w:rsidR="003D186C" w:rsidRDefault="00C00BC0">
            <w:pPr>
              <w:spacing w:line="276" w:lineRule="auto"/>
              <w:jc w:val="both"/>
            </w:pPr>
            <w:proofErr w:type="spellStart"/>
            <w:r>
              <w:t>Böse</w:t>
            </w:r>
            <w:proofErr w:type="spellEnd"/>
            <w:r>
              <w:t xml:space="preserve"> et al. (2017)</w:t>
            </w:r>
          </w:p>
        </w:tc>
        <w:tc>
          <w:tcPr>
            <w:tcW w:w="1843" w:type="dxa"/>
          </w:tcPr>
          <w:p w14:paraId="57713059" w14:textId="77777777" w:rsidR="003D186C" w:rsidRDefault="00C00BC0">
            <w:pPr>
              <w:spacing w:line="276" w:lineRule="auto"/>
              <w:jc w:val="both"/>
            </w:pPr>
            <w:r>
              <w:t>Rolling accuracy monitoring; production observability (implied)</w:t>
            </w:r>
          </w:p>
        </w:tc>
        <w:tc>
          <w:tcPr>
            <w:tcW w:w="1276" w:type="dxa"/>
          </w:tcPr>
          <w:p w14:paraId="2C58ADA9" w14:textId="77777777" w:rsidR="003D186C" w:rsidRDefault="00C00BC0">
            <w:pPr>
              <w:spacing w:line="276" w:lineRule="auto"/>
              <w:jc w:val="both"/>
            </w:pPr>
            <w:r>
              <w:t>NR</w:t>
            </w:r>
          </w:p>
        </w:tc>
        <w:tc>
          <w:tcPr>
            <w:tcW w:w="1984" w:type="dxa"/>
          </w:tcPr>
          <w:p w14:paraId="610AF260" w14:textId="77777777" w:rsidR="003D186C" w:rsidRDefault="00C00BC0">
            <w:pPr>
              <w:spacing w:line="276" w:lineRule="auto"/>
              <w:jc w:val="both"/>
            </w:pPr>
            <w:r>
              <w:t>Periodic re-estimation / scalable probabilistic training</w:t>
            </w:r>
          </w:p>
        </w:tc>
        <w:tc>
          <w:tcPr>
            <w:tcW w:w="1701" w:type="dxa"/>
          </w:tcPr>
          <w:p w14:paraId="7C013FBD" w14:textId="77777777" w:rsidR="003D186C" w:rsidRDefault="00C00BC0">
            <w:pPr>
              <w:spacing w:line="276" w:lineRule="auto"/>
              <w:jc w:val="both"/>
            </w:pPr>
            <w:proofErr w:type="spellStart"/>
            <w:r>
              <w:t>Platformized</w:t>
            </w:r>
            <w:proofErr w:type="spellEnd"/>
            <w:r>
              <w:t xml:space="preserve"> deployment; A/B feasible (NR)</w:t>
            </w:r>
          </w:p>
        </w:tc>
        <w:tc>
          <w:tcPr>
            <w:tcW w:w="1985" w:type="dxa"/>
          </w:tcPr>
          <w:p w14:paraId="56F720F5" w14:textId="77777777" w:rsidR="003D186C" w:rsidRDefault="00C00BC0">
            <w:pPr>
              <w:spacing w:line="276" w:lineRule="auto"/>
              <w:jc w:val="both"/>
            </w:pPr>
            <w:r>
              <w:t>Forecast error (e.g., WAPE/MAPE), coverage</w:t>
            </w:r>
          </w:p>
        </w:tc>
        <w:tc>
          <w:tcPr>
            <w:tcW w:w="1984" w:type="dxa"/>
          </w:tcPr>
          <w:p w14:paraId="61B8350A" w14:textId="77777777" w:rsidR="003D186C" w:rsidRDefault="00C00BC0">
            <w:pPr>
              <w:spacing w:line="276" w:lineRule="auto"/>
              <w:jc w:val="both"/>
            </w:pPr>
            <w:r>
              <w:t>Industrial-scale accuracy enabling downstream supply decisions</w:t>
            </w:r>
          </w:p>
        </w:tc>
        <w:tc>
          <w:tcPr>
            <w:tcW w:w="2268" w:type="dxa"/>
          </w:tcPr>
          <w:p w14:paraId="72D798E5" w14:textId="77777777" w:rsidR="003D186C" w:rsidRDefault="00C00BC0">
            <w:pPr>
              <w:spacing w:line="276" w:lineRule="auto"/>
              <w:jc w:val="both"/>
            </w:pPr>
            <w:r>
              <w:t>Mature platform for large SKU hierarchies</w:t>
            </w:r>
          </w:p>
        </w:tc>
      </w:tr>
      <w:tr w:rsidR="003D186C" w14:paraId="36B11A23" w14:textId="77777777">
        <w:tc>
          <w:tcPr>
            <w:tcW w:w="1276" w:type="dxa"/>
          </w:tcPr>
          <w:p w14:paraId="3FA87B40" w14:textId="77777777" w:rsidR="003D186C" w:rsidRDefault="00C00BC0">
            <w:pPr>
              <w:spacing w:line="276" w:lineRule="auto"/>
              <w:jc w:val="both"/>
            </w:pPr>
            <w:r>
              <w:t>de Oliveira et al. (2021)</w:t>
            </w:r>
          </w:p>
        </w:tc>
        <w:tc>
          <w:tcPr>
            <w:tcW w:w="1843" w:type="dxa"/>
          </w:tcPr>
          <w:p w14:paraId="3D8D1394" w14:textId="77777777" w:rsidR="003D186C" w:rsidRDefault="00C00BC0">
            <w:pPr>
              <w:spacing w:line="276" w:lineRule="auto"/>
              <w:jc w:val="both"/>
            </w:pPr>
            <w:r>
              <w:t>Error tracking across leads; feature drift plausible</w:t>
            </w:r>
          </w:p>
        </w:tc>
        <w:tc>
          <w:tcPr>
            <w:tcW w:w="1276" w:type="dxa"/>
          </w:tcPr>
          <w:p w14:paraId="6834D99F" w14:textId="77777777" w:rsidR="003D186C" w:rsidRDefault="00C00BC0">
            <w:pPr>
              <w:spacing w:line="276" w:lineRule="auto"/>
              <w:jc w:val="both"/>
            </w:pPr>
            <w:r>
              <w:t>Covariate/lead-time regime (implied)</w:t>
            </w:r>
          </w:p>
        </w:tc>
        <w:tc>
          <w:tcPr>
            <w:tcW w:w="1984" w:type="dxa"/>
          </w:tcPr>
          <w:p w14:paraId="4E8DA631" w14:textId="77777777" w:rsidR="003D186C" w:rsidRDefault="00C00BC0">
            <w:pPr>
              <w:spacing w:line="276" w:lineRule="auto"/>
              <w:jc w:val="both"/>
            </w:pPr>
            <w:r>
              <w:t>Batch re-training; model selection</w:t>
            </w:r>
          </w:p>
        </w:tc>
        <w:tc>
          <w:tcPr>
            <w:tcW w:w="1701" w:type="dxa"/>
          </w:tcPr>
          <w:p w14:paraId="2B2D8230" w14:textId="77777777" w:rsidR="003D186C" w:rsidRDefault="00C00BC0">
            <w:pPr>
              <w:spacing w:line="276" w:lineRule="auto"/>
              <w:jc w:val="both"/>
            </w:pPr>
            <w:r>
              <w:t>NR</w:t>
            </w:r>
          </w:p>
        </w:tc>
        <w:tc>
          <w:tcPr>
            <w:tcW w:w="1985" w:type="dxa"/>
          </w:tcPr>
          <w:p w14:paraId="0BE843DB" w14:textId="77777777" w:rsidR="003D186C" w:rsidRDefault="00C00BC0">
            <w:pPr>
              <w:spacing w:line="276" w:lineRule="auto"/>
              <w:jc w:val="both"/>
            </w:pPr>
            <w:r>
              <w:t>MAE/MAPE/RMSE</w:t>
            </w:r>
          </w:p>
        </w:tc>
        <w:tc>
          <w:tcPr>
            <w:tcW w:w="1984" w:type="dxa"/>
          </w:tcPr>
          <w:p w14:paraId="687FE8EB" w14:textId="77777777" w:rsidR="003D186C" w:rsidRDefault="00C00BC0">
            <w:pPr>
              <w:spacing w:line="276" w:lineRule="auto"/>
              <w:jc w:val="both"/>
            </w:pPr>
            <w:r>
              <w:t>Improved LT accuracy vs baselines</w:t>
            </w:r>
          </w:p>
        </w:tc>
        <w:tc>
          <w:tcPr>
            <w:tcW w:w="2268" w:type="dxa"/>
          </w:tcPr>
          <w:p w14:paraId="0E1780B3" w14:textId="77777777" w:rsidR="003D186C" w:rsidRDefault="00C00BC0">
            <w:pPr>
              <w:spacing w:line="276" w:lineRule="auto"/>
              <w:jc w:val="both"/>
            </w:pPr>
            <w:r>
              <w:t>Pharma SC context: pragmatic features</w:t>
            </w:r>
          </w:p>
        </w:tc>
      </w:tr>
      <w:tr w:rsidR="003D186C" w14:paraId="1C9685CC" w14:textId="77777777">
        <w:tc>
          <w:tcPr>
            <w:tcW w:w="1276" w:type="dxa"/>
          </w:tcPr>
          <w:p w14:paraId="434472A7" w14:textId="77777777" w:rsidR="003D186C" w:rsidRDefault="00C00BC0">
            <w:pPr>
              <w:spacing w:line="276" w:lineRule="auto"/>
              <w:jc w:val="both"/>
            </w:pPr>
            <w:r>
              <w:t>Deng et al. (2023)</w:t>
            </w:r>
          </w:p>
        </w:tc>
        <w:tc>
          <w:tcPr>
            <w:tcW w:w="1843" w:type="dxa"/>
          </w:tcPr>
          <w:p w14:paraId="33EF4484" w14:textId="77777777" w:rsidR="003D186C" w:rsidRDefault="00C00BC0">
            <w:pPr>
              <w:spacing w:line="276" w:lineRule="auto"/>
              <w:jc w:val="both"/>
            </w:pPr>
            <w:r>
              <w:t>Business KPI and model perf dashboards</w:t>
            </w:r>
          </w:p>
        </w:tc>
        <w:tc>
          <w:tcPr>
            <w:tcW w:w="1276" w:type="dxa"/>
          </w:tcPr>
          <w:p w14:paraId="7D24393E" w14:textId="77777777" w:rsidR="003D186C" w:rsidRDefault="00C00BC0">
            <w:pPr>
              <w:spacing w:line="276" w:lineRule="auto"/>
              <w:jc w:val="both"/>
            </w:pPr>
            <w:r>
              <w:t>Concept &amp; covariate (implied, multi-module)</w:t>
            </w:r>
          </w:p>
        </w:tc>
        <w:tc>
          <w:tcPr>
            <w:tcW w:w="1984" w:type="dxa"/>
          </w:tcPr>
          <w:p w14:paraId="71B4EFB0" w14:textId="77777777" w:rsidR="003D186C" w:rsidRDefault="00C00BC0">
            <w:pPr>
              <w:spacing w:line="276" w:lineRule="auto"/>
              <w:jc w:val="both"/>
            </w:pPr>
            <w:r>
              <w:t>Periodic + event-triggered updates across modules</w:t>
            </w:r>
          </w:p>
        </w:tc>
        <w:tc>
          <w:tcPr>
            <w:tcW w:w="1701" w:type="dxa"/>
          </w:tcPr>
          <w:p w14:paraId="455C2FFE" w14:textId="77777777" w:rsidR="003D186C" w:rsidRDefault="00C00BC0">
            <w:pPr>
              <w:spacing w:line="276" w:lineRule="auto"/>
              <w:jc w:val="both"/>
            </w:pPr>
            <w:r>
              <w:t>Operational gating; integrated rollback (implied)</w:t>
            </w:r>
          </w:p>
        </w:tc>
        <w:tc>
          <w:tcPr>
            <w:tcW w:w="1985" w:type="dxa"/>
          </w:tcPr>
          <w:p w14:paraId="7CAA0341" w14:textId="77777777" w:rsidR="003D186C" w:rsidRDefault="00C00BC0">
            <w:pPr>
              <w:spacing w:line="276" w:lineRule="auto"/>
              <w:jc w:val="both"/>
            </w:pPr>
            <w:r>
              <w:t>Cost savings; service level; WAPE/stockouts (mix)</w:t>
            </w:r>
          </w:p>
        </w:tc>
        <w:tc>
          <w:tcPr>
            <w:tcW w:w="1984" w:type="dxa"/>
          </w:tcPr>
          <w:p w14:paraId="214BC89B" w14:textId="77777777" w:rsidR="003D186C" w:rsidRDefault="00C00BC0">
            <w:pPr>
              <w:spacing w:line="276" w:lineRule="auto"/>
              <w:jc w:val="both"/>
            </w:pPr>
            <w:r>
              <w:t>“Millions” in savings; service improvements</w:t>
            </w:r>
          </w:p>
        </w:tc>
        <w:tc>
          <w:tcPr>
            <w:tcW w:w="2268" w:type="dxa"/>
          </w:tcPr>
          <w:p w14:paraId="735B9CAD" w14:textId="77777777" w:rsidR="003D186C" w:rsidRDefault="00C00BC0">
            <w:pPr>
              <w:spacing w:line="276" w:lineRule="auto"/>
              <w:jc w:val="both"/>
            </w:pPr>
            <w:r>
              <w:t>End-to-end stack (</w:t>
            </w:r>
            <w:proofErr w:type="spellStart"/>
            <w:r>
              <w:t>forecast→inventory→pricing</w:t>
            </w:r>
            <w:proofErr w:type="spellEnd"/>
            <w:r>
              <w:t>)</w:t>
            </w:r>
          </w:p>
        </w:tc>
      </w:tr>
      <w:tr w:rsidR="003D186C" w14:paraId="01E74D71" w14:textId="77777777">
        <w:tc>
          <w:tcPr>
            <w:tcW w:w="1276" w:type="dxa"/>
          </w:tcPr>
          <w:p w14:paraId="55979AC8" w14:textId="77777777" w:rsidR="003D186C" w:rsidRDefault="00C00BC0">
            <w:pPr>
              <w:spacing w:line="276" w:lineRule="auto"/>
              <w:jc w:val="both"/>
            </w:pPr>
            <w:r>
              <w:t>Gabellini et al. (2024)</w:t>
            </w:r>
          </w:p>
        </w:tc>
        <w:tc>
          <w:tcPr>
            <w:tcW w:w="1843" w:type="dxa"/>
          </w:tcPr>
          <w:p w14:paraId="3419C2EC" w14:textId="77777777" w:rsidR="003D186C" w:rsidRDefault="00C00BC0">
            <w:pPr>
              <w:spacing w:line="276" w:lineRule="auto"/>
              <w:jc w:val="both"/>
            </w:pPr>
            <w:r>
              <w:t>Macroeconomic shift monitoring</w:t>
            </w:r>
          </w:p>
        </w:tc>
        <w:tc>
          <w:tcPr>
            <w:tcW w:w="1276" w:type="dxa"/>
          </w:tcPr>
          <w:p w14:paraId="5B57B086" w14:textId="77777777" w:rsidR="003D186C" w:rsidRDefault="00C00BC0">
            <w:pPr>
              <w:spacing w:line="276" w:lineRule="auto"/>
              <w:jc w:val="both"/>
            </w:pPr>
            <w:r>
              <w:t>Covariate</w:t>
            </w:r>
          </w:p>
        </w:tc>
        <w:tc>
          <w:tcPr>
            <w:tcW w:w="1984" w:type="dxa"/>
          </w:tcPr>
          <w:p w14:paraId="4E1BE7E2" w14:textId="77777777" w:rsidR="003D186C" w:rsidRDefault="00C00BC0">
            <w:pPr>
              <w:spacing w:line="276" w:lineRule="auto"/>
              <w:jc w:val="both"/>
            </w:pPr>
            <w:r>
              <w:t>Periodic updates</w:t>
            </w:r>
          </w:p>
        </w:tc>
        <w:tc>
          <w:tcPr>
            <w:tcW w:w="1701" w:type="dxa"/>
          </w:tcPr>
          <w:p w14:paraId="1F9BB5D3" w14:textId="77777777" w:rsidR="003D186C" w:rsidRDefault="00C00BC0">
            <w:pPr>
              <w:spacing w:line="276" w:lineRule="auto"/>
              <w:jc w:val="both"/>
            </w:pPr>
            <w:r>
              <w:t>NR</w:t>
            </w:r>
          </w:p>
        </w:tc>
        <w:tc>
          <w:tcPr>
            <w:tcW w:w="1985" w:type="dxa"/>
          </w:tcPr>
          <w:p w14:paraId="339B28A2" w14:textId="77777777" w:rsidR="003D186C" w:rsidRDefault="00C00BC0">
            <w:pPr>
              <w:spacing w:line="276" w:lineRule="auto"/>
              <w:jc w:val="both"/>
            </w:pPr>
            <w:r>
              <w:t>AUC/accuracy; delay-risk calibration</w:t>
            </w:r>
          </w:p>
        </w:tc>
        <w:tc>
          <w:tcPr>
            <w:tcW w:w="1984" w:type="dxa"/>
          </w:tcPr>
          <w:p w14:paraId="6272A58B" w14:textId="77777777" w:rsidR="003D186C" w:rsidRDefault="00C00BC0">
            <w:pPr>
              <w:spacing w:line="276" w:lineRule="auto"/>
              <w:jc w:val="both"/>
            </w:pPr>
            <w:r>
              <w:t>Improved delay-risk prediction</w:t>
            </w:r>
          </w:p>
        </w:tc>
        <w:tc>
          <w:tcPr>
            <w:tcW w:w="2268" w:type="dxa"/>
          </w:tcPr>
          <w:p w14:paraId="6345A567" w14:textId="77777777" w:rsidR="003D186C" w:rsidRDefault="00C00BC0">
            <w:pPr>
              <w:spacing w:line="276" w:lineRule="auto"/>
              <w:jc w:val="both"/>
            </w:pPr>
            <w:r>
              <w:t>Risk early-warning for automotive logistics</w:t>
            </w:r>
          </w:p>
        </w:tc>
      </w:tr>
      <w:tr w:rsidR="003D186C" w14:paraId="3F764902" w14:textId="77777777">
        <w:tc>
          <w:tcPr>
            <w:tcW w:w="1276" w:type="dxa"/>
          </w:tcPr>
          <w:p w14:paraId="2192A68B" w14:textId="77777777" w:rsidR="003D186C" w:rsidRDefault="00C00BC0">
            <w:pPr>
              <w:spacing w:line="276" w:lineRule="auto"/>
              <w:jc w:val="both"/>
            </w:pPr>
            <w:r>
              <w:t>Gillespie et al. (2023)</w:t>
            </w:r>
          </w:p>
        </w:tc>
        <w:tc>
          <w:tcPr>
            <w:tcW w:w="1843" w:type="dxa"/>
          </w:tcPr>
          <w:p w14:paraId="120BE8B6" w14:textId="77777777" w:rsidR="003D186C" w:rsidRDefault="00C00BC0">
            <w:pPr>
              <w:spacing w:line="276" w:lineRule="auto"/>
              <w:jc w:val="both"/>
            </w:pPr>
            <w:r>
              <w:t>Real-time sensor anomaly flags</w:t>
            </w:r>
          </w:p>
        </w:tc>
        <w:tc>
          <w:tcPr>
            <w:tcW w:w="1276" w:type="dxa"/>
          </w:tcPr>
          <w:p w14:paraId="6DEB39CC" w14:textId="77777777" w:rsidR="003D186C" w:rsidRDefault="00C00BC0">
            <w:pPr>
              <w:spacing w:line="276" w:lineRule="auto"/>
              <w:jc w:val="both"/>
            </w:pPr>
            <w:r>
              <w:t>Data quality/sensor drift</w:t>
            </w:r>
          </w:p>
        </w:tc>
        <w:tc>
          <w:tcPr>
            <w:tcW w:w="1984" w:type="dxa"/>
          </w:tcPr>
          <w:p w14:paraId="74154356" w14:textId="77777777" w:rsidR="003D186C" w:rsidRDefault="00C00BC0">
            <w:pPr>
              <w:spacing w:line="276" w:lineRule="auto"/>
              <w:jc w:val="both"/>
            </w:pPr>
            <w:r>
              <w:t>Online thresholding/ML updates (NR)</w:t>
            </w:r>
          </w:p>
        </w:tc>
        <w:tc>
          <w:tcPr>
            <w:tcW w:w="1701" w:type="dxa"/>
          </w:tcPr>
          <w:p w14:paraId="6EC540BC" w14:textId="77777777" w:rsidR="003D186C" w:rsidRDefault="00C00BC0">
            <w:pPr>
              <w:spacing w:line="276" w:lineRule="auto"/>
              <w:jc w:val="both"/>
            </w:pPr>
            <w:r>
              <w:t>Alerting to operators; fallback (NR)</w:t>
            </w:r>
          </w:p>
        </w:tc>
        <w:tc>
          <w:tcPr>
            <w:tcW w:w="1985" w:type="dxa"/>
          </w:tcPr>
          <w:p w14:paraId="20516E4D" w14:textId="77777777" w:rsidR="003D186C" w:rsidRDefault="00C00BC0">
            <w:pPr>
              <w:spacing w:line="276" w:lineRule="auto"/>
              <w:jc w:val="both"/>
            </w:pPr>
            <w:r>
              <w:t>Precision/recall; latency</w:t>
            </w:r>
          </w:p>
        </w:tc>
        <w:tc>
          <w:tcPr>
            <w:tcW w:w="1984" w:type="dxa"/>
          </w:tcPr>
          <w:p w14:paraId="6F013924" w14:textId="77777777" w:rsidR="003D186C" w:rsidRDefault="00C00BC0">
            <w:pPr>
              <w:spacing w:line="276" w:lineRule="auto"/>
              <w:jc w:val="both"/>
            </w:pPr>
            <w:r>
              <w:t>Reduced false alerts; timely detection</w:t>
            </w:r>
          </w:p>
        </w:tc>
        <w:tc>
          <w:tcPr>
            <w:tcW w:w="2268" w:type="dxa"/>
          </w:tcPr>
          <w:p w14:paraId="1CFA0A9F" w14:textId="77777777" w:rsidR="003D186C" w:rsidRDefault="00C00BC0">
            <w:pPr>
              <w:spacing w:line="276" w:lineRule="auto"/>
              <w:jc w:val="both"/>
            </w:pPr>
            <w:r>
              <w:t>IoT-edge to cloud pipeline</w:t>
            </w:r>
          </w:p>
        </w:tc>
      </w:tr>
      <w:tr w:rsidR="003D186C" w14:paraId="7EF0805C" w14:textId="77777777">
        <w:tc>
          <w:tcPr>
            <w:tcW w:w="1276" w:type="dxa"/>
          </w:tcPr>
          <w:p w14:paraId="37DBA400" w14:textId="77777777" w:rsidR="003D186C" w:rsidRDefault="00C00BC0">
            <w:pPr>
              <w:spacing w:line="276" w:lineRule="auto"/>
              <w:jc w:val="both"/>
            </w:pPr>
            <w:r>
              <w:t>Guo et al. (2023)</w:t>
            </w:r>
          </w:p>
        </w:tc>
        <w:tc>
          <w:tcPr>
            <w:tcW w:w="1843" w:type="dxa"/>
          </w:tcPr>
          <w:p w14:paraId="002F586A" w14:textId="77777777" w:rsidR="003D186C" w:rsidRDefault="00C00BC0">
            <w:pPr>
              <w:spacing w:line="276" w:lineRule="auto"/>
              <w:jc w:val="both"/>
            </w:pPr>
            <w:r>
              <w:t>Load balance &amp; service metrics</w:t>
            </w:r>
          </w:p>
        </w:tc>
        <w:tc>
          <w:tcPr>
            <w:tcW w:w="1276" w:type="dxa"/>
          </w:tcPr>
          <w:p w14:paraId="335F87C4" w14:textId="77777777" w:rsidR="003D186C" w:rsidRDefault="00C00BC0">
            <w:pPr>
              <w:spacing w:line="276" w:lineRule="auto"/>
              <w:jc w:val="both"/>
            </w:pPr>
            <w:r>
              <w:t>Distribution shift across zones</w:t>
            </w:r>
          </w:p>
        </w:tc>
        <w:tc>
          <w:tcPr>
            <w:tcW w:w="1984" w:type="dxa"/>
          </w:tcPr>
          <w:p w14:paraId="72E838F4" w14:textId="77777777" w:rsidR="003D186C" w:rsidRDefault="00C00BC0">
            <w:pPr>
              <w:spacing w:line="276" w:lineRule="auto"/>
              <w:jc w:val="both"/>
            </w:pPr>
            <w:r>
              <w:t>Iterative re-partitioning</w:t>
            </w:r>
          </w:p>
        </w:tc>
        <w:tc>
          <w:tcPr>
            <w:tcW w:w="1701" w:type="dxa"/>
          </w:tcPr>
          <w:p w14:paraId="51DDCD32" w14:textId="77777777" w:rsidR="003D186C" w:rsidRDefault="00C00BC0">
            <w:pPr>
              <w:spacing w:line="276" w:lineRule="auto"/>
              <w:jc w:val="both"/>
            </w:pPr>
            <w:r>
              <w:t>NR</w:t>
            </w:r>
          </w:p>
        </w:tc>
        <w:tc>
          <w:tcPr>
            <w:tcW w:w="1985" w:type="dxa"/>
          </w:tcPr>
          <w:p w14:paraId="4515C803" w14:textId="77777777" w:rsidR="003D186C" w:rsidRDefault="00C00BC0">
            <w:pPr>
              <w:spacing w:line="276" w:lineRule="auto"/>
              <w:jc w:val="both"/>
            </w:pPr>
            <w:r>
              <w:t>Equity metrics; service cost</w:t>
            </w:r>
          </w:p>
        </w:tc>
        <w:tc>
          <w:tcPr>
            <w:tcW w:w="1984" w:type="dxa"/>
          </w:tcPr>
          <w:p w14:paraId="6FA6F48D" w14:textId="77777777" w:rsidR="003D186C" w:rsidRDefault="00C00BC0">
            <w:pPr>
              <w:spacing w:line="276" w:lineRule="auto"/>
              <w:jc w:val="both"/>
            </w:pPr>
            <w:r>
              <w:t>Better workload equity without loss in service</w:t>
            </w:r>
          </w:p>
        </w:tc>
        <w:tc>
          <w:tcPr>
            <w:tcW w:w="2268" w:type="dxa"/>
          </w:tcPr>
          <w:p w14:paraId="7300C0C7" w14:textId="77777777" w:rsidR="003D186C" w:rsidRDefault="00C00BC0">
            <w:pPr>
              <w:spacing w:line="276" w:lineRule="auto"/>
              <w:jc w:val="both"/>
            </w:pPr>
            <w:r>
              <w:t>Supports fairer last-mile ops</w:t>
            </w:r>
          </w:p>
        </w:tc>
      </w:tr>
      <w:tr w:rsidR="003D186C" w14:paraId="6B004C83" w14:textId="77777777">
        <w:tc>
          <w:tcPr>
            <w:tcW w:w="1276" w:type="dxa"/>
          </w:tcPr>
          <w:p w14:paraId="6B79432E" w14:textId="77777777" w:rsidR="003D186C" w:rsidRDefault="00C00BC0">
            <w:pPr>
              <w:spacing w:line="276" w:lineRule="auto"/>
              <w:jc w:val="both"/>
            </w:pPr>
            <w:proofErr w:type="spellStart"/>
            <w:r>
              <w:t>Harrabi</w:t>
            </w:r>
            <w:proofErr w:type="spellEnd"/>
            <w:r>
              <w:t xml:space="preserve"> et al. (2024)</w:t>
            </w:r>
          </w:p>
        </w:tc>
        <w:tc>
          <w:tcPr>
            <w:tcW w:w="1843" w:type="dxa"/>
          </w:tcPr>
          <w:p w14:paraId="26131BFF" w14:textId="77777777" w:rsidR="003D186C" w:rsidRDefault="00C00BC0">
            <w:pPr>
              <w:spacing w:line="276" w:lineRule="auto"/>
              <w:jc w:val="both"/>
            </w:pPr>
            <w:r>
              <w:t>On-device anomaly score</w:t>
            </w:r>
          </w:p>
        </w:tc>
        <w:tc>
          <w:tcPr>
            <w:tcW w:w="1276" w:type="dxa"/>
          </w:tcPr>
          <w:p w14:paraId="4625C8D9" w14:textId="77777777" w:rsidR="003D186C" w:rsidRDefault="00C00BC0">
            <w:pPr>
              <w:spacing w:line="276" w:lineRule="auto"/>
              <w:jc w:val="both"/>
            </w:pPr>
            <w:r>
              <w:t>Sensor/cold-chain drift</w:t>
            </w:r>
          </w:p>
        </w:tc>
        <w:tc>
          <w:tcPr>
            <w:tcW w:w="1984" w:type="dxa"/>
          </w:tcPr>
          <w:p w14:paraId="3297040D" w14:textId="77777777" w:rsidR="003D186C" w:rsidRDefault="00C00BC0">
            <w:pPr>
              <w:spacing w:line="276" w:lineRule="auto"/>
              <w:jc w:val="both"/>
            </w:pPr>
            <w:r>
              <w:t>Online inference; update off-device (NR)</w:t>
            </w:r>
          </w:p>
        </w:tc>
        <w:tc>
          <w:tcPr>
            <w:tcW w:w="1701" w:type="dxa"/>
          </w:tcPr>
          <w:p w14:paraId="66832AAE" w14:textId="77777777" w:rsidR="003D186C" w:rsidRDefault="00C00BC0">
            <w:pPr>
              <w:spacing w:line="276" w:lineRule="auto"/>
              <w:jc w:val="both"/>
            </w:pPr>
            <w:r>
              <w:t>Local alarms; escalation</w:t>
            </w:r>
          </w:p>
        </w:tc>
        <w:tc>
          <w:tcPr>
            <w:tcW w:w="1985" w:type="dxa"/>
          </w:tcPr>
          <w:p w14:paraId="51094BBF" w14:textId="77777777" w:rsidR="003D186C" w:rsidRDefault="00C00BC0">
            <w:pPr>
              <w:spacing w:line="276" w:lineRule="auto"/>
              <w:jc w:val="both"/>
            </w:pPr>
            <w:r>
              <w:t>Accuracy, F1; resource use</w:t>
            </w:r>
          </w:p>
        </w:tc>
        <w:tc>
          <w:tcPr>
            <w:tcW w:w="1984" w:type="dxa"/>
          </w:tcPr>
          <w:p w14:paraId="6CABC5DC" w14:textId="77777777" w:rsidR="003D186C" w:rsidRDefault="00C00BC0">
            <w:pPr>
              <w:spacing w:line="276" w:lineRule="auto"/>
              <w:jc w:val="both"/>
            </w:pPr>
            <w:r>
              <w:t>High accuracy on constrained MCU</w:t>
            </w:r>
          </w:p>
        </w:tc>
        <w:tc>
          <w:tcPr>
            <w:tcW w:w="2268" w:type="dxa"/>
          </w:tcPr>
          <w:p w14:paraId="14D28335" w14:textId="77777777" w:rsidR="003D186C" w:rsidRDefault="00C00BC0">
            <w:pPr>
              <w:spacing w:line="276" w:lineRule="auto"/>
              <w:jc w:val="both"/>
            </w:pPr>
            <w:r>
              <w:t>Edge self-monitoring; resilient ops</w:t>
            </w:r>
          </w:p>
        </w:tc>
      </w:tr>
      <w:tr w:rsidR="003D186C" w14:paraId="0E0EA2B2" w14:textId="77777777">
        <w:tc>
          <w:tcPr>
            <w:tcW w:w="1276" w:type="dxa"/>
          </w:tcPr>
          <w:p w14:paraId="058429A4" w14:textId="77777777" w:rsidR="003D186C" w:rsidRDefault="00C00BC0">
            <w:pPr>
              <w:spacing w:line="276" w:lineRule="auto"/>
              <w:jc w:val="both"/>
            </w:pPr>
            <w:r>
              <w:lastRenderedPageBreak/>
              <w:t>Jiang et al. (2023)</w:t>
            </w:r>
          </w:p>
        </w:tc>
        <w:tc>
          <w:tcPr>
            <w:tcW w:w="1843" w:type="dxa"/>
          </w:tcPr>
          <w:p w14:paraId="3A3E295B" w14:textId="77777777" w:rsidR="003D186C" w:rsidRDefault="00C00BC0">
            <w:pPr>
              <w:spacing w:line="276" w:lineRule="auto"/>
              <w:jc w:val="both"/>
            </w:pPr>
            <w:r>
              <w:t>Fairness &amp; throughput monitors</w:t>
            </w:r>
          </w:p>
        </w:tc>
        <w:tc>
          <w:tcPr>
            <w:tcW w:w="1276" w:type="dxa"/>
          </w:tcPr>
          <w:p w14:paraId="7DC56B69" w14:textId="77777777" w:rsidR="003D186C" w:rsidRDefault="00C00BC0">
            <w:pPr>
              <w:spacing w:line="276" w:lineRule="auto"/>
              <w:jc w:val="both"/>
            </w:pPr>
            <w:r>
              <w:t>Demand/supply non-stationarity</w:t>
            </w:r>
          </w:p>
        </w:tc>
        <w:tc>
          <w:tcPr>
            <w:tcW w:w="1984" w:type="dxa"/>
          </w:tcPr>
          <w:p w14:paraId="19B695CE" w14:textId="77777777" w:rsidR="003D186C" w:rsidRDefault="00C00BC0">
            <w:pPr>
              <w:spacing w:line="276" w:lineRule="auto"/>
              <w:jc w:val="both"/>
            </w:pPr>
            <w:r>
              <w:t>Continuous policy improvement</w:t>
            </w:r>
          </w:p>
        </w:tc>
        <w:tc>
          <w:tcPr>
            <w:tcW w:w="1701" w:type="dxa"/>
          </w:tcPr>
          <w:p w14:paraId="0C9DC0A7" w14:textId="77777777" w:rsidR="003D186C" w:rsidRDefault="00C00BC0">
            <w:pPr>
              <w:spacing w:line="276" w:lineRule="auto"/>
              <w:jc w:val="both"/>
            </w:pPr>
            <w:r>
              <w:t>Concurrent dispatch controller</w:t>
            </w:r>
          </w:p>
        </w:tc>
        <w:tc>
          <w:tcPr>
            <w:tcW w:w="1985" w:type="dxa"/>
          </w:tcPr>
          <w:p w14:paraId="1AF47EB8" w14:textId="77777777" w:rsidR="003D186C" w:rsidRDefault="00C00BC0">
            <w:pPr>
              <w:spacing w:line="276" w:lineRule="auto"/>
              <w:jc w:val="both"/>
            </w:pPr>
            <w:r>
              <w:t>Fairness, completion rate, and latency</w:t>
            </w:r>
          </w:p>
        </w:tc>
        <w:tc>
          <w:tcPr>
            <w:tcW w:w="1984" w:type="dxa"/>
          </w:tcPr>
          <w:p w14:paraId="30AE073A" w14:textId="77777777" w:rsidR="003D186C" w:rsidRDefault="00C00BC0">
            <w:pPr>
              <w:spacing w:line="276" w:lineRule="auto"/>
              <w:jc w:val="both"/>
            </w:pPr>
            <w:r>
              <w:t>Improved fairness + efficiency</w:t>
            </w:r>
          </w:p>
        </w:tc>
        <w:tc>
          <w:tcPr>
            <w:tcW w:w="2268" w:type="dxa"/>
          </w:tcPr>
          <w:p w14:paraId="1F580042" w14:textId="77777777" w:rsidR="003D186C" w:rsidRDefault="00C00BC0">
            <w:pPr>
              <w:spacing w:line="276" w:lineRule="auto"/>
              <w:jc w:val="both"/>
            </w:pPr>
            <w:r>
              <w:t>Production-scale concurrent system</w:t>
            </w:r>
          </w:p>
        </w:tc>
      </w:tr>
      <w:tr w:rsidR="003D186C" w14:paraId="24F0F7A1" w14:textId="77777777">
        <w:tc>
          <w:tcPr>
            <w:tcW w:w="1276" w:type="dxa"/>
          </w:tcPr>
          <w:p w14:paraId="62843B69" w14:textId="77777777" w:rsidR="003D186C" w:rsidRDefault="00C00BC0">
            <w:pPr>
              <w:spacing w:line="276" w:lineRule="auto"/>
              <w:jc w:val="both"/>
            </w:pPr>
            <w:r>
              <w:t>Liu et al. (2022)</w:t>
            </w:r>
          </w:p>
        </w:tc>
        <w:tc>
          <w:tcPr>
            <w:tcW w:w="1843" w:type="dxa"/>
          </w:tcPr>
          <w:p w14:paraId="05E8268E" w14:textId="77777777" w:rsidR="003D186C" w:rsidRDefault="00C00BC0">
            <w:pPr>
              <w:spacing w:line="276" w:lineRule="auto"/>
              <w:jc w:val="both"/>
            </w:pPr>
            <w:r>
              <w:t>Reward/throughput online metrics</w:t>
            </w:r>
          </w:p>
        </w:tc>
        <w:tc>
          <w:tcPr>
            <w:tcW w:w="1276" w:type="dxa"/>
          </w:tcPr>
          <w:p w14:paraId="361BCF48" w14:textId="77777777" w:rsidR="003D186C" w:rsidRDefault="00C00BC0">
            <w:pPr>
              <w:spacing w:line="276" w:lineRule="auto"/>
              <w:jc w:val="both"/>
            </w:pPr>
            <w:r>
              <w:t>Demand pattern shifts</w:t>
            </w:r>
          </w:p>
        </w:tc>
        <w:tc>
          <w:tcPr>
            <w:tcW w:w="1984" w:type="dxa"/>
          </w:tcPr>
          <w:p w14:paraId="63EBD1C0" w14:textId="77777777" w:rsidR="003D186C" w:rsidRDefault="00C00BC0">
            <w:pPr>
              <w:spacing w:line="276" w:lineRule="auto"/>
              <w:jc w:val="both"/>
            </w:pPr>
            <w:r>
              <w:t>Deep RL (continual policy learning)</w:t>
            </w:r>
          </w:p>
        </w:tc>
        <w:tc>
          <w:tcPr>
            <w:tcW w:w="1701" w:type="dxa"/>
          </w:tcPr>
          <w:p w14:paraId="68DA8F5C" w14:textId="77777777" w:rsidR="003D186C" w:rsidRDefault="00C00BC0">
            <w:pPr>
              <w:spacing w:line="276" w:lineRule="auto"/>
              <w:jc w:val="both"/>
            </w:pPr>
            <w:r>
              <w:t>Online policy rollout with safeguards (NR)</w:t>
            </w:r>
          </w:p>
        </w:tc>
        <w:tc>
          <w:tcPr>
            <w:tcW w:w="1985" w:type="dxa"/>
          </w:tcPr>
          <w:p w14:paraId="23BAA9BF" w14:textId="77777777" w:rsidR="003D186C" w:rsidRDefault="00C00BC0">
            <w:pPr>
              <w:spacing w:line="276" w:lineRule="auto"/>
              <w:jc w:val="both"/>
            </w:pPr>
            <w:r>
              <w:t>GMV/ETAs/acceptance (proxy), throughput</w:t>
            </w:r>
          </w:p>
        </w:tc>
        <w:tc>
          <w:tcPr>
            <w:tcW w:w="1984" w:type="dxa"/>
          </w:tcPr>
          <w:p w14:paraId="4B0EB863" w14:textId="77777777" w:rsidR="003D186C" w:rsidRDefault="00C00BC0">
            <w:pPr>
              <w:spacing w:line="276" w:lineRule="auto"/>
              <w:jc w:val="both"/>
            </w:pPr>
            <w:r>
              <w:t>Gains vs heuristic baselines</w:t>
            </w:r>
          </w:p>
        </w:tc>
        <w:tc>
          <w:tcPr>
            <w:tcW w:w="2268" w:type="dxa"/>
          </w:tcPr>
          <w:p w14:paraId="0EC48A0E" w14:textId="77777777" w:rsidR="003D186C" w:rsidRDefault="00C00BC0">
            <w:pPr>
              <w:spacing w:line="276" w:lineRule="auto"/>
              <w:jc w:val="both"/>
            </w:pPr>
            <w:r>
              <w:t>Live platform learning loop</w:t>
            </w:r>
          </w:p>
        </w:tc>
      </w:tr>
      <w:tr w:rsidR="003D186C" w14:paraId="660EB09B" w14:textId="77777777">
        <w:tc>
          <w:tcPr>
            <w:tcW w:w="1276" w:type="dxa"/>
          </w:tcPr>
          <w:p w14:paraId="4B58AC56" w14:textId="77777777" w:rsidR="003D186C" w:rsidRDefault="00C00BC0">
            <w:pPr>
              <w:spacing w:line="276" w:lineRule="auto"/>
              <w:jc w:val="both"/>
            </w:pPr>
            <w:r>
              <w:t>Mesa et al. (2023)</w:t>
            </w:r>
          </w:p>
        </w:tc>
        <w:tc>
          <w:tcPr>
            <w:tcW w:w="1843" w:type="dxa"/>
          </w:tcPr>
          <w:p w14:paraId="23D838B5" w14:textId="77777777" w:rsidR="003D186C" w:rsidRDefault="00C00BC0">
            <w:pPr>
              <w:spacing w:line="276" w:lineRule="auto"/>
              <w:jc w:val="both"/>
            </w:pPr>
            <w:r>
              <w:t>Route pattern changes (NR)</w:t>
            </w:r>
          </w:p>
        </w:tc>
        <w:tc>
          <w:tcPr>
            <w:tcW w:w="1276" w:type="dxa"/>
          </w:tcPr>
          <w:p w14:paraId="39044CF3" w14:textId="77777777" w:rsidR="003D186C" w:rsidRDefault="00C00BC0">
            <w:pPr>
              <w:spacing w:line="276" w:lineRule="auto"/>
              <w:jc w:val="both"/>
            </w:pPr>
            <w:r>
              <w:t>Operational regime shifts (implied)</w:t>
            </w:r>
          </w:p>
        </w:tc>
        <w:tc>
          <w:tcPr>
            <w:tcW w:w="1984" w:type="dxa"/>
          </w:tcPr>
          <w:p w14:paraId="7508CDE8" w14:textId="77777777" w:rsidR="003D186C" w:rsidRDefault="00C00BC0">
            <w:pPr>
              <w:spacing w:line="276" w:lineRule="auto"/>
              <w:jc w:val="both"/>
            </w:pPr>
            <w:r>
              <w:t>Offline retraining on new batches</w:t>
            </w:r>
          </w:p>
        </w:tc>
        <w:tc>
          <w:tcPr>
            <w:tcW w:w="1701" w:type="dxa"/>
          </w:tcPr>
          <w:p w14:paraId="6DD02FFE" w14:textId="77777777" w:rsidR="003D186C" w:rsidRDefault="00C00BC0">
            <w:pPr>
              <w:spacing w:line="276" w:lineRule="auto"/>
              <w:jc w:val="both"/>
            </w:pPr>
            <w:r>
              <w:t>NR</w:t>
            </w:r>
          </w:p>
        </w:tc>
        <w:tc>
          <w:tcPr>
            <w:tcW w:w="1985" w:type="dxa"/>
          </w:tcPr>
          <w:p w14:paraId="66CE2712" w14:textId="77777777" w:rsidR="003D186C" w:rsidRDefault="00C00BC0">
            <w:pPr>
              <w:spacing w:line="276" w:lineRule="auto"/>
              <w:jc w:val="both"/>
            </w:pPr>
            <w:r>
              <w:t>Sequence accuracy/routing KPIs</w:t>
            </w:r>
          </w:p>
        </w:tc>
        <w:tc>
          <w:tcPr>
            <w:tcW w:w="1984" w:type="dxa"/>
          </w:tcPr>
          <w:p w14:paraId="0DBDCADD" w14:textId="77777777" w:rsidR="003D186C" w:rsidRDefault="00C00BC0">
            <w:pPr>
              <w:spacing w:line="276" w:lineRule="auto"/>
              <w:jc w:val="both"/>
            </w:pPr>
            <w:r>
              <w:t>Better predicted sequences</w:t>
            </w:r>
          </w:p>
        </w:tc>
        <w:tc>
          <w:tcPr>
            <w:tcW w:w="2268" w:type="dxa"/>
          </w:tcPr>
          <w:p w14:paraId="451C3449" w14:textId="77777777" w:rsidR="003D186C" w:rsidRDefault="00C00BC0">
            <w:pPr>
              <w:spacing w:line="276" w:lineRule="auto"/>
              <w:jc w:val="both"/>
            </w:pPr>
            <w:r>
              <w:t>Informs dispatch planning</w:t>
            </w:r>
          </w:p>
        </w:tc>
      </w:tr>
      <w:tr w:rsidR="003D186C" w14:paraId="1BCC77E7" w14:textId="77777777">
        <w:tc>
          <w:tcPr>
            <w:tcW w:w="1276" w:type="dxa"/>
          </w:tcPr>
          <w:p w14:paraId="5C9A0D36" w14:textId="77777777" w:rsidR="003D186C" w:rsidRDefault="00C00BC0">
            <w:pPr>
              <w:spacing w:line="276" w:lineRule="auto"/>
              <w:jc w:val="both"/>
            </w:pPr>
            <w:proofErr w:type="spellStart"/>
            <w:r>
              <w:t>Phumchusri</w:t>
            </w:r>
            <w:proofErr w:type="spellEnd"/>
            <w:r>
              <w:t xml:space="preserve"> et al. (2024)</w:t>
            </w:r>
          </w:p>
        </w:tc>
        <w:tc>
          <w:tcPr>
            <w:tcW w:w="1843" w:type="dxa"/>
          </w:tcPr>
          <w:p w14:paraId="1CF9C7D5" w14:textId="77777777" w:rsidR="003D186C" w:rsidRDefault="00C00BC0">
            <w:pPr>
              <w:spacing w:line="276" w:lineRule="auto"/>
              <w:jc w:val="both"/>
            </w:pPr>
            <w:r>
              <w:t>Elasticity drift via rolling windows (implied)</w:t>
            </w:r>
          </w:p>
        </w:tc>
        <w:tc>
          <w:tcPr>
            <w:tcW w:w="1276" w:type="dxa"/>
          </w:tcPr>
          <w:p w14:paraId="3573E97B" w14:textId="77777777" w:rsidR="003D186C" w:rsidRDefault="00C00BC0">
            <w:pPr>
              <w:spacing w:line="276" w:lineRule="auto"/>
              <w:jc w:val="both"/>
            </w:pPr>
            <w:r>
              <w:t>Concept (elasticity change)</w:t>
            </w:r>
          </w:p>
        </w:tc>
        <w:tc>
          <w:tcPr>
            <w:tcW w:w="1984" w:type="dxa"/>
          </w:tcPr>
          <w:p w14:paraId="3AD0E8E1" w14:textId="77777777" w:rsidR="003D186C" w:rsidRDefault="00C00BC0">
            <w:pPr>
              <w:spacing w:line="276" w:lineRule="auto"/>
              <w:jc w:val="both"/>
            </w:pPr>
            <w:r>
              <w:t>Periodic re-optimization</w:t>
            </w:r>
          </w:p>
        </w:tc>
        <w:tc>
          <w:tcPr>
            <w:tcW w:w="1701" w:type="dxa"/>
          </w:tcPr>
          <w:p w14:paraId="7B82C75E" w14:textId="77777777" w:rsidR="003D186C" w:rsidRDefault="00C00BC0">
            <w:pPr>
              <w:spacing w:line="276" w:lineRule="auto"/>
              <w:jc w:val="both"/>
            </w:pPr>
            <w:r>
              <w:t>Price guardrails (NR)</w:t>
            </w:r>
          </w:p>
        </w:tc>
        <w:tc>
          <w:tcPr>
            <w:tcW w:w="1985" w:type="dxa"/>
          </w:tcPr>
          <w:p w14:paraId="632753DD" w14:textId="77777777" w:rsidR="003D186C" w:rsidRDefault="00C00BC0">
            <w:pPr>
              <w:spacing w:line="276" w:lineRule="auto"/>
              <w:jc w:val="both"/>
            </w:pPr>
            <w:r>
              <w:t>Profit/revenue uplift, promo ROI</w:t>
            </w:r>
          </w:p>
        </w:tc>
        <w:tc>
          <w:tcPr>
            <w:tcW w:w="1984" w:type="dxa"/>
          </w:tcPr>
          <w:p w14:paraId="76C922B8" w14:textId="77777777" w:rsidR="003D186C" w:rsidRDefault="00C00BC0">
            <w:pPr>
              <w:spacing w:line="276" w:lineRule="auto"/>
              <w:jc w:val="both"/>
            </w:pPr>
            <w:r>
              <w:t>Improved profit under a multiperiod plan</w:t>
            </w:r>
          </w:p>
        </w:tc>
        <w:tc>
          <w:tcPr>
            <w:tcW w:w="2268" w:type="dxa"/>
          </w:tcPr>
          <w:p w14:paraId="1D45DA17" w14:textId="77777777" w:rsidR="003D186C" w:rsidRDefault="00C00BC0">
            <w:pPr>
              <w:spacing w:line="276" w:lineRule="auto"/>
              <w:jc w:val="both"/>
            </w:pPr>
            <w:r>
              <w:t>Retail chain operations</w:t>
            </w:r>
          </w:p>
        </w:tc>
      </w:tr>
      <w:tr w:rsidR="003D186C" w14:paraId="104B9574" w14:textId="77777777">
        <w:tc>
          <w:tcPr>
            <w:tcW w:w="1276" w:type="dxa"/>
          </w:tcPr>
          <w:p w14:paraId="0E20A0B4" w14:textId="77777777" w:rsidR="003D186C" w:rsidRDefault="00C00BC0">
            <w:pPr>
              <w:spacing w:line="276" w:lineRule="auto"/>
              <w:jc w:val="both"/>
            </w:pPr>
            <w:r>
              <w:t>Qi et al. (2023)</w:t>
            </w:r>
          </w:p>
        </w:tc>
        <w:tc>
          <w:tcPr>
            <w:tcW w:w="1843" w:type="dxa"/>
          </w:tcPr>
          <w:p w14:paraId="14C1CD52" w14:textId="77777777" w:rsidR="003D186C" w:rsidRDefault="00C00BC0">
            <w:pPr>
              <w:spacing w:line="276" w:lineRule="auto"/>
              <w:jc w:val="both"/>
            </w:pPr>
            <w:r>
              <w:t>Inventory KPIs monitored</w:t>
            </w:r>
          </w:p>
        </w:tc>
        <w:tc>
          <w:tcPr>
            <w:tcW w:w="1276" w:type="dxa"/>
          </w:tcPr>
          <w:p w14:paraId="69EE718B" w14:textId="77777777" w:rsidR="003D186C" w:rsidRDefault="00C00BC0">
            <w:pPr>
              <w:spacing w:line="276" w:lineRule="auto"/>
              <w:jc w:val="both"/>
            </w:pPr>
            <w:r>
              <w:t>Demand/lead-time drift (implied)</w:t>
            </w:r>
          </w:p>
        </w:tc>
        <w:tc>
          <w:tcPr>
            <w:tcW w:w="1984" w:type="dxa"/>
          </w:tcPr>
          <w:p w14:paraId="7B86C885" w14:textId="77777777" w:rsidR="003D186C" w:rsidRDefault="00C00BC0">
            <w:pPr>
              <w:spacing w:line="276" w:lineRule="auto"/>
              <w:jc w:val="both"/>
            </w:pPr>
            <w:r>
              <w:t>End-to-end DL with periodic updates</w:t>
            </w:r>
          </w:p>
        </w:tc>
        <w:tc>
          <w:tcPr>
            <w:tcW w:w="1701" w:type="dxa"/>
          </w:tcPr>
          <w:p w14:paraId="7CC78D26" w14:textId="77777777" w:rsidR="003D186C" w:rsidRDefault="00C00BC0">
            <w:pPr>
              <w:spacing w:line="276" w:lineRule="auto"/>
              <w:jc w:val="both"/>
            </w:pPr>
            <w:r>
              <w:t>Policy rollout with business gates (NR)</w:t>
            </w:r>
          </w:p>
        </w:tc>
        <w:tc>
          <w:tcPr>
            <w:tcW w:w="1985" w:type="dxa"/>
          </w:tcPr>
          <w:p w14:paraId="0E7EEE4F" w14:textId="77777777" w:rsidR="003D186C" w:rsidRDefault="00C00BC0">
            <w:pPr>
              <w:spacing w:line="276" w:lineRule="auto"/>
              <w:jc w:val="both"/>
            </w:pPr>
            <w:r>
              <w:t>Holding/stockout/total cost; service level</w:t>
            </w:r>
          </w:p>
        </w:tc>
        <w:tc>
          <w:tcPr>
            <w:tcW w:w="1984" w:type="dxa"/>
          </w:tcPr>
          <w:p w14:paraId="3688F7C9" w14:textId="77777777" w:rsidR="003D186C" w:rsidRDefault="00C00BC0">
            <w:pPr>
              <w:spacing w:line="276" w:lineRule="auto"/>
              <w:jc w:val="both"/>
            </w:pPr>
            <w:r>
              <w:t>Cost reductions vs static rules</w:t>
            </w:r>
          </w:p>
        </w:tc>
        <w:tc>
          <w:tcPr>
            <w:tcW w:w="2268" w:type="dxa"/>
          </w:tcPr>
          <w:p w14:paraId="3F969E81" w14:textId="77777777" w:rsidR="003D186C" w:rsidRDefault="00C00BC0">
            <w:pPr>
              <w:spacing w:line="276" w:lineRule="auto"/>
              <w:jc w:val="both"/>
            </w:pPr>
            <w:r>
              <w:t>Forecast-to-policy linkage</w:t>
            </w:r>
          </w:p>
        </w:tc>
      </w:tr>
      <w:tr w:rsidR="003D186C" w14:paraId="68A2CD52" w14:textId="77777777">
        <w:tc>
          <w:tcPr>
            <w:tcW w:w="1276" w:type="dxa"/>
          </w:tcPr>
          <w:p w14:paraId="3EB14DC5" w14:textId="77777777" w:rsidR="003D186C" w:rsidRDefault="00C00BC0">
            <w:pPr>
              <w:spacing w:line="276" w:lineRule="auto"/>
              <w:jc w:val="both"/>
            </w:pPr>
            <w:r>
              <w:t>Qin et al. (2020)</w:t>
            </w:r>
          </w:p>
        </w:tc>
        <w:tc>
          <w:tcPr>
            <w:tcW w:w="1843" w:type="dxa"/>
          </w:tcPr>
          <w:p w14:paraId="3301551C" w14:textId="77777777" w:rsidR="003D186C" w:rsidRDefault="00C00BC0">
            <w:pPr>
              <w:spacing w:line="276" w:lineRule="auto"/>
              <w:jc w:val="both"/>
            </w:pPr>
            <w:r>
              <w:t>Online platform metrics</w:t>
            </w:r>
          </w:p>
        </w:tc>
        <w:tc>
          <w:tcPr>
            <w:tcW w:w="1276" w:type="dxa"/>
          </w:tcPr>
          <w:p w14:paraId="552AE524" w14:textId="77777777" w:rsidR="003D186C" w:rsidRDefault="00C00BC0">
            <w:pPr>
              <w:spacing w:line="276" w:lineRule="auto"/>
              <w:jc w:val="both"/>
            </w:pPr>
            <w:r>
              <w:t>Demand/supply drift</w:t>
            </w:r>
          </w:p>
        </w:tc>
        <w:tc>
          <w:tcPr>
            <w:tcW w:w="1984" w:type="dxa"/>
          </w:tcPr>
          <w:p w14:paraId="69A58B57" w14:textId="77777777" w:rsidR="003D186C" w:rsidRDefault="00C00BC0">
            <w:pPr>
              <w:spacing w:line="276" w:lineRule="auto"/>
              <w:jc w:val="both"/>
            </w:pPr>
            <w:r>
              <w:t>RL with continual updates</w:t>
            </w:r>
          </w:p>
        </w:tc>
        <w:tc>
          <w:tcPr>
            <w:tcW w:w="1701" w:type="dxa"/>
          </w:tcPr>
          <w:p w14:paraId="0EDF6CB7" w14:textId="77777777" w:rsidR="003D186C" w:rsidRDefault="00C00BC0">
            <w:pPr>
              <w:spacing w:line="276" w:lineRule="auto"/>
              <w:jc w:val="both"/>
            </w:pPr>
            <w:r>
              <w:t>Staged rollout; A/B (implied)</w:t>
            </w:r>
          </w:p>
        </w:tc>
        <w:tc>
          <w:tcPr>
            <w:tcW w:w="1985" w:type="dxa"/>
          </w:tcPr>
          <w:p w14:paraId="2C5A4F5F" w14:textId="77777777" w:rsidR="003D186C" w:rsidRDefault="00C00BC0">
            <w:pPr>
              <w:spacing w:line="276" w:lineRule="auto"/>
              <w:jc w:val="both"/>
            </w:pPr>
            <w:r>
              <w:t>Matching rate/ETA/GMV</w:t>
            </w:r>
          </w:p>
        </w:tc>
        <w:tc>
          <w:tcPr>
            <w:tcW w:w="1984" w:type="dxa"/>
          </w:tcPr>
          <w:p w14:paraId="1FA3AD68" w14:textId="77777777" w:rsidR="003D186C" w:rsidRDefault="00C00BC0">
            <w:pPr>
              <w:spacing w:line="276" w:lineRule="auto"/>
              <w:jc w:val="both"/>
            </w:pPr>
            <w:r>
              <w:t>Business impact reported</w:t>
            </w:r>
          </w:p>
        </w:tc>
        <w:tc>
          <w:tcPr>
            <w:tcW w:w="2268" w:type="dxa"/>
          </w:tcPr>
          <w:p w14:paraId="6540239B" w14:textId="77777777" w:rsidR="003D186C" w:rsidRDefault="00C00BC0">
            <w:pPr>
              <w:spacing w:line="276" w:lineRule="auto"/>
              <w:jc w:val="both"/>
            </w:pPr>
            <w:r>
              <w:t>Industrial RL control</w:t>
            </w:r>
          </w:p>
        </w:tc>
      </w:tr>
      <w:tr w:rsidR="003D186C" w14:paraId="53A882EC" w14:textId="77777777">
        <w:tc>
          <w:tcPr>
            <w:tcW w:w="1276" w:type="dxa"/>
          </w:tcPr>
          <w:p w14:paraId="48AB9EBA" w14:textId="77777777" w:rsidR="003D186C" w:rsidRDefault="00C00BC0">
            <w:pPr>
              <w:spacing w:line="276" w:lineRule="auto"/>
              <w:jc w:val="both"/>
            </w:pPr>
            <w:proofErr w:type="spellStart"/>
            <w:r>
              <w:t>Rokoss</w:t>
            </w:r>
            <w:proofErr w:type="spellEnd"/>
            <w:r>
              <w:t xml:space="preserve"> et al. (2024)</w:t>
            </w:r>
          </w:p>
        </w:tc>
        <w:tc>
          <w:tcPr>
            <w:tcW w:w="1843" w:type="dxa"/>
          </w:tcPr>
          <w:p w14:paraId="7AF51A89" w14:textId="77777777" w:rsidR="003D186C" w:rsidRDefault="00C00BC0">
            <w:pPr>
              <w:spacing w:line="276" w:lineRule="auto"/>
              <w:jc w:val="both"/>
            </w:pPr>
            <w:r>
              <w:t>ETA error monitors</w:t>
            </w:r>
          </w:p>
        </w:tc>
        <w:tc>
          <w:tcPr>
            <w:tcW w:w="1276" w:type="dxa"/>
          </w:tcPr>
          <w:p w14:paraId="2807F939" w14:textId="77777777" w:rsidR="003D186C" w:rsidRDefault="00C00BC0">
            <w:pPr>
              <w:spacing w:line="276" w:lineRule="auto"/>
              <w:jc w:val="both"/>
            </w:pPr>
            <w:r>
              <w:t>Process regime changes</w:t>
            </w:r>
          </w:p>
        </w:tc>
        <w:tc>
          <w:tcPr>
            <w:tcW w:w="1984" w:type="dxa"/>
          </w:tcPr>
          <w:p w14:paraId="54F0D87F" w14:textId="77777777" w:rsidR="003D186C" w:rsidRDefault="00C00BC0">
            <w:pPr>
              <w:spacing w:line="276" w:lineRule="auto"/>
              <w:jc w:val="both"/>
            </w:pPr>
            <w:r>
              <w:t>Batch retraining</w:t>
            </w:r>
          </w:p>
        </w:tc>
        <w:tc>
          <w:tcPr>
            <w:tcW w:w="1701" w:type="dxa"/>
          </w:tcPr>
          <w:p w14:paraId="36AE6358" w14:textId="77777777" w:rsidR="003D186C" w:rsidRDefault="00C00BC0">
            <w:pPr>
              <w:spacing w:line="276" w:lineRule="auto"/>
              <w:jc w:val="both"/>
            </w:pPr>
            <w:r>
              <w:t>NR</w:t>
            </w:r>
          </w:p>
        </w:tc>
        <w:tc>
          <w:tcPr>
            <w:tcW w:w="1985" w:type="dxa"/>
          </w:tcPr>
          <w:p w14:paraId="5B25ED53" w14:textId="77777777" w:rsidR="003D186C" w:rsidRDefault="00C00BC0">
            <w:pPr>
              <w:spacing w:line="276" w:lineRule="auto"/>
              <w:jc w:val="both"/>
            </w:pPr>
            <w:r>
              <w:t>MAE/MAPE/R²</w:t>
            </w:r>
          </w:p>
        </w:tc>
        <w:tc>
          <w:tcPr>
            <w:tcW w:w="1984" w:type="dxa"/>
          </w:tcPr>
          <w:p w14:paraId="590E787F" w14:textId="77777777" w:rsidR="003D186C" w:rsidRDefault="00C00BC0">
            <w:pPr>
              <w:spacing w:line="276" w:lineRule="auto"/>
              <w:jc w:val="both"/>
            </w:pPr>
            <w:r>
              <w:t>Improved promise-date accuracy</w:t>
            </w:r>
          </w:p>
        </w:tc>
        <w:tc>
          <w:tcPr>
            <w:tcW w:w="2268" w:type="dxa"/>
          </w:tcPr>
          <w:p w14:paraId="1B3176D5" w14:textId="77777777" w:rsidR="003D186C" w:rsidRDefault="00C00BC0">
            <w:pPr>
              <w:spacing w:line="276" w:lineRule="auto"/>
              <w:jc w:val="both"/>
            </w:pPr>
            <w:r>
              <w:t>Supports reliable order promising</w:t>
            </w:r>
          </w:p>
        </w:tc>
      </w:tr>
      <w:tr w:rsidR="003D186C" w14:paraId="6FA2AC48" w14:textId="77777777">
        <w:tc>
          <w:tcPr>
            <w:tcW w:w="1276" w:type="dxa"/>
          </w:tcPr>
          <w:p w14:paraId="02B384C2" w14:textId="77777777" w:rsidR="003D186C" w:rsidRDefault="00C00BC0">
            <w:pPr>
              <w:spacing w:line="276" w:lineRule="auto"/>
              <w:jc w:val="both"/>
            </w:pPr>
            <w:r>
              <w:t>Vijay et al. (2024)</w:t>
            </w:r>
          </w:p>
        </w:tc>
        <w:tc>
          <w:tcPr>
            <w:tcW w:w="1843" w:type="dxa"/>
          </w:tcPr>
          <w:p w14:paraId="3BF8C4F8" w14:textId="77777777" w:rsidR="003D186C" w:rsidRDefault="00C00BC0">
            <w:pPr>
              <w:spacing w:line="276" w:lineRule="auto"/>
              <w:jc w:val="both"/>
            </w:pPr>
            <w:r>
              <w:t>Dock schedule KPIs</w:t>
            </w:r>
          </w:p>
        </w:tc>
        <w:tc>
          <w:tcPr>
            <w:tcW w:w="1276" w:type="dxa"/>
          </w:tcPr>
          <w:p w14:paraId="51A9244E" w14:textId="77777777" w:rsidR="003D186C" w:rsidRDefault="00C00BC0">
            <w:pPr>
              <w:spacing w:line="276" w:lineRule="auto"/>
              <w:jc w:val="both"/>
            </w:pPr>
            <w:r>
              <w:t>Arrival pattern drift</w:t>
            </w:r>
          </w:p>
        </w:tc>
        <w:tc>
          <w:tcPr>
            <w:tcW w:w="1984" w:type="dxa"/>
          </w:tcPr>
          <w:p w14:paraId="60E29661" w14:textId="77777777" w:rsidR="003D186C" w:rsidRDefault="00C00BC0">
            <w:pPr>
              <w:spacing w:line="276" w:lineRule="auto"/>
              <w:jc w:val="both"/>
            </w:pPr>
            <w:r>
              <w:t>Periodic model refresh</w:t>
            </w:r>
          </w:p>
        </w:tc>
        <w:tc>
          <w:tcPr>
            <w:tcW w:w="1701" w:type="dxa"/>
          </w:tcPr>
          <w:p w14:paraId="6FB00378" w14:textId="77777777" w:rsidR="003D186C" w:rsidRDefault="00C00BC0">
            <w:pPr>
              <w:spacing w:line="276" w:lineRule="auto"/>
              <w:jc w:val="both"/>
            </w:pPr>
            <w:r>
              <w:t>NR</w:t>
            </w:r>
          </w:p>
        </w:tc>
        <w:tc>
          <w:tcPr>
            <w:tcW w:w="1985" w:type="dxa"/>
          </w:tcPr>
          <w:p w14:paraId="4E81F294" w14:textId="77777777" w:rsidR="003D186C" w:rsidRDefault="00C00BC0">
            <w:pPr>
              <w:spacing w:line="276" w:lineRule="auto"/>
              <w:jc w:val="both"/>
            </w:pPr>
            <w:r>
              <w:t>ETA error; rescheduling delay</w:t>
            </w:r>
          </w:p>
        </w:tc>
        <w:tc>
          <w:tcPr>
            <w:tcW w:w="1984" w:type="dxa"/>
          </w:tcPr>
          <w:p w14:paraId="6A43E577" w14:textId="77777777" w:rsidR="003D186C" w:rsidRDefault="00C00BC0">
            <w:pPr>
              <w:spacing w:line="276" w:lineRule="auto"/>
              <w:jc w:val="both"/>
            </w:pPr>
            <w:r>
              <w:t>Improved rescheduling decisions</w:t>
            </w:r>
          </w:p>
        </w:tc>
        <w:tc>
          <w:tcPr>
            <w:tcW w:w="2268" w:type="dxa"/>
          </w:tcPr>
          <w:p w14:paraId="49C6EDEE" w14:textId="77777777" w:rsidR="003D186C" w:rsidRDefault="00C00BC0">
            <w:pPr>
              <w:spacing w:line="276" w:lineRule="auto"/>
              <w:jc w:val="both"/>
            </w:pPr>
            <w:r>
              <w:t>PI-hub scheduling</w:t>
            </w:r>
          </w:p>
        </w:tc>
      </w:tr>
    </w:tbl>
    <w:p w14:paraId="4EB84AC7" w14:textId="77777777" w:rsidR="003D186C" w:rsidRDefault="003D186C">
      <w:pPr>
        <w:tabs>
          <w:tab w:val="left" w:pos="1766"/>
        </w:tabs>
        <w:spacing w:after="0"/>
        <w:jc w:val="both"/>
        <w:rPr>
          <w:rFonts w:ascii="Times New Roman" w:eastAsia="Times New Roman" w:hAnsi="Times New Roman" w:cs="Times New Roman"/>
        </w:rPr>
      </w:pPr>
    </w:p>
    <w:p w14:paraId="0F19A19E" w14:textId="77777777" w:rsidR="003D186C" w:rsidRDefault="003D186C">
      <w:pPr>
        <w:tabs>
          <w:tab w:val="left" w:pos="1766"/>
        </w:tabs>
        <w:spacing w:after="0"/>
        <w:jc w:val="both"/>
        <w:rPr>
          <w:rFonts w:ascii="Times New Roman" w:eastAsia="Times New Roman" w:hAnsi="Times New Roman" w:cs="Times New Roman"/>
        </w:rPr>
      </w:pPr>
    </w:p>
    <w:p w14:paraId="6559DE66" w14:textId="77777777" w:rsidR="003D186C" w:rsidRDefault="003D186C">
      <w:pPr>
        <w:tabs>
          <w:tab w:val="left" w:pos="1766"/>
        </w:tabs>
        <w:spacing w:after="0"/>
        <w:jc w:val="both"/>
        <w:rPr>
          <w:rFonts w:ascii="Times New Roman" w:eastAsia="Times New Roman" w:hAnsi="Times New Roman" w:cs="Times New Roman"/>
        </w:rPr>
      </w:pPr>
    </w:p>
    <w:p w14:paraId="43B5CB24" w14:textId="77777777" w:rsidR="003D186C" w:rsidRDefault="003D186C">
      <w:pPr>
        <w:tabs>
          <w:tab w:val="left" w:pos="1766"/>
        </w:tabs>
        <w:spacing w:after="0"/>
        <w:jc w:val="both"/>
        <w:rPr>
          <w:rFonts w:ascii="Times New Roman" w:eastAsia="Times New Roman" w:hAnsi="Times New Roman" w:cs="Times New Roman"/>
        </w:rPr>
      </w:pPr>
    </w:p>
    <w:p w14:paraId="303F06FC" w14:textId="77777777" w:rsidR="003D186C" w:rsidRDefault="003D186C">
      <w:pPr>
        <w:tabs>
          <w:tab w:val="left" w:pos="1766"/>
        </w:tabs>
        <w:spacing w:after="0"/>
        <w:jc w:val="both"/>
        <w:rPr>
          <w:rFonts w:ascii="Times New Roman" w:eastAsia="Times New Roman" w:hAnsi="Times New Roman" w:cs="Times New Roman"/>
        </w:rPr>
      </w:pPr>
    </w:p>
    <w:p w14:paraId="7CFBC264" w14:textId="77777777" w:rsidR="003D186C" w:rsidRDefault="003D186C">
      <w:pPr>
        <w:tabs>
          <w:tab w:val="left" w:pos="1766"/>
        </w:tabs>
        <w:spacing w:after="0"/>
        <w:jc w:val="both"/>
        <w:rPr>
          <w:rFonts w:ascii="Times New Roman" w:eastAsia="Times New Roman" w:hAnsi="Times New Roman" w:cs="Times New Roman"/>
        </w:rPr>
      </w:pPr>
    </w:p>
    <w:p w14:paraId="615D7627" w14:textId="77777777" w:rsidR="003D186C" w:rsidRDefault="003D186C">
      <w:pPr>
        <w:tabs>
          <w:tab w:val="left" w:pos="1766"/>
        </w:tabs>
        <w:spacing w:after="0"/>
        <w:jc w:val="both"/>
        <w:rPr>
          <w:rFonts w:ascii="Times New Roman" w:eastAsia="Times New Roman" w:hAnsi="Times New Roman" w:cs="Times New Roman"/>
        </w:rPr>
        <w:sectPr w:rsidR="003D186C">
          <w:pgSz w:w="15840" w:h="12240" w:orient="landscape"/>
          <w:pgMar w:top="709" w:right="1440" w:bottom="1440" w:left="1440" w:header="720" w:footer="720" w:gutter="0"/>
          <w:cols w:space="720"/>
        </w:sectPr>
      </w:pPr>
    </w:p>
    <w:p w14:paraId="598AB1E0"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14:paraId="38D6B3F2"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4.1 Summary of key findings</w:t>
      </w:r>
    </w:p>
    <w:p w14:paraId="1FC20F07" w14:textId="77777777" w:rsidR="003D186C" w:rsidRDefault="003D186C">
      <w:pPr>
        <w:tabs>
          <w:tab w:val="left" w:pos="1766"/>
        </w:tabs>
        <w:spacing w:after="0"/>
        <w:jc w:val="both"/>
        <w:rPr>
          <w:rFonts w:ascii="Times New Roman" w:eastAsia="Times New Roman" w:hAnsi="Times New Roman" w:cs="Times New Roman"/>
          <w:b/>
          <w:bCs/>
        </w:rPr>
      </w:pPr>
    </w:p>
    <w:p w14:paraId="72C73749"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Self-healing patterns, irrespective of function, produced reliable operational improvements, as shown in Table 2. The integrated stack has been shown to report cost savings and improve service levels when forecast, inventory, and pricing modules are co-</w:t>
      </w:r>
      <w:proofErr w:type="spellStart"/>
      <w:r>
        <w:rPr>
          <w:rFonts w:ascii="Times New Roman" w:eastAsia="Times New Roman" w:hAnsi="Times New Roman" w:cs="Times New Roman"/>
        </w:rPr>
        <w:t>optimised</w:t>
      </w:r>
      <w:proofErr w:type="spellEnd"/>
      <w:r>
        <w:rPr>
          <w:rFonts w:ascii="Times New Roman" w:eastAsia="Times New Roman" w:hAnsi="Times New Roman" w:cs="Times New Roman"/>
        </w:rPr>
        <w:t xml:space="preserve">, indicating the efficacy of remediation under drift. End-to-end deep inventory policies have been demonstrated to reduce holding and stockout costs in comparison with static rules. This suggests that such policies are capable of adapting to fluctuations in demand and lead times. Reinforcement-learning dispatch has been demonstrated to enhance the efficiency and timeliness of resource allocation in contexts of non-stationary demand and supply, while fairness-aware controllers have been shown to distribute workloads in a balanced manner without compromising throughput. The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of retail price promotions increased profit, despite the occurrence of elasticity drift. Furthermore, delivery-time/ETA models were found to enhance promise accuracy and responsiveness. Cold-chain anomaly detectors were found to curtail false alerts and preserve sensitivity, with edge inference maintaining monitoring during connectivity gaps. The implementation of delay-risk scoring led to the generation of warnings. Reliability Key Performance Indicators (KPIs), such as TTD/TTR, were seldom explicit; however, proxies, including alert precision, recovery speed, and service stability, demonstrated improvement.</w:t>
      </w:r>
    </w:p>
    <w:p w14:paraId="5FA0F11D" w14:textId="77777777" w:rsidR="003D186C" w:rsidRDefault="003D186C">
      <w:pPr>
        <w:tabs>
          <w:tab w:val="left" w:pos="1766"/>
        </w:tabs>
        <w:spacing w:after="0"/>
        <w:jc w:val="both"/>
        <w:rPr>
          <w:rFonts w:ascii="Times New Roman" w:eastAsia="Times New Roman" w:hAnsi="Times New Roman" w:cs="Times New Roman"/>
        </w:rPr>
      </w:pPr>
    </w:p>
    <w:p w14:paraId="3C4EE0A5"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4.2 Comparison of existing literature</w:t>
      </w:r>
    </w:p>
    <w:p w14:paraId="390CDE20"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The findings of this study demonstrate that self-healing loops encompassing forecasting, inventory, pricing, and dispatch result in quantifiable operational enhancements, thereby corroborating the imperative to remedy system-level technical debt through the implementation of controls and tests (Sculley et al., 2015). While the extant literature thoroughly characterizes concept and label drift, the majority of included case studies recommended periodic retraining and multi-metric monitoring as an alternative to explicit drift tests (Webb et al., 2016). Continual learning surveys emphasize benchmarks and forgetting mitigation, whereas field evidence highlights pragmatic online or periodic adaptation with risk gates (De Lange et al., 2021). The practical management of stability-plasticity trade-offs using triggers, canaries, and rollbacks has operationalized high-level continual learning guidance within the business constraints (Wang et al., 2024). Empirical assessments show that single-method shift detectors can be fragile. Our cases support a preference for composite monitoring and post-deployment validation (</w:t>
      </w:r>
      <w:proofErr w:type="spellStart"/>
      <w:r>
        <w:rPr>
          <w:rFonts w:ascii="Times New Roman" w:eastAsia="Times New Roman" w:hAnsi="Times New Roman" w:cs="Times New Roman"/>
        </w:rPr>
        <w:t>Rabanser</w:t>
      </w:r>
      <w:proofErr w:type="spellEnd"/>
      <w:r>
        <w:rPr>
          <w:rFonts w:ascii="Times New Roman" w:eastAsia="Times New Roman" w:hAnsi="Times New Roman" w:cs="Times New Roman"/>
        </w:rPr>
        <w:t xml:space="preserve"> et al., 2019). The use of label-shift estimators in supply-chain pipelines is underexplored in the literature, suggesting opportunities for integration with existing remediation approaches (Garg et al., 2020).</w:t>
      </w:r>
    </w:p>
    <w:p w14:paraId="3DB256B4"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Even though governance artifacts such as Model Cards help communicate assumptions, risks, and intended use boundaries in changing environments, their value goes unreported (Mitchell et al., 2019). Dataset documentation also experienced significant delays; many of the lineage, consent, and coverage </w:t>
      </w:r>
      <w:proofErr w:type="spellStart"/>
      <w:r>
        <w:rPr>
          <w:rFonts w:ascii="Times New Roman" w:eastAsia="Times New Roman" w:hAnsi="Times New Roman" w:cs="Times New Roman"/>
        </w:rPr>
        <w:t>ambigu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tities</w:t>
      </w:r>
      <w:proofErr w:type="spellEnd"/>
      <w:r>
        <w:rPr>
          <w:rFonts w:ascii="Times New Roman" w:eastAsia="Times New Roman" w:hAnsi="Times New Roman" w:cs="Times New Roman"/>
        </w:rPr>
        <w:t xml:space="preserve"> in operations could be avoided by adopting the Datasheets practices (Gebru et al., 2021). Pipeline practices that showed the highest alignment with the TFX principles of validation, versioning, and orchestration across training and serving practices led to the most overall success (Baylor et al., 2017). The existence of feature stores has improved model retraining and decreased the frequency of rollbacks, supporting the intended use of feature store architectures for production environments (de la Rúa Martínez et al., 2024). Point-in-time joins helped maintain temporal accuracy, and many failure modes in the corpus correspond to leakage risks in the machine learning (ML) feature pipeline isolation (Liu et al., 2023). In terms of forecasting, our improved costs and services correspond with the architecture for multi-horizon control and interpretability.</w:t>
      </w:r>
    </w:p>
    <w:p w14:paraId="7DB51280"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Nonetheless, Lim et al. (2021) highlights the inconsistencies surrounding the reporting of reliability KPIs.  </w:t>
      </w:r>
    </w:p>
    <w:p w14:paraId="2693B3E9"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Variability of the baseline strength and evaluation </w:t>
      </w:r>
      <w:proofErr w:type="spellStart"/>
      <w:r>
        <w:rPr>
          <w:rFonts w:ascii="Times New Roman" w:eastAsia="Times New Roman" w:hAnsi="Times New Roman" w:cs="Times New Roman"/>
        </w:rPr>
        <w:t>rigour</w:t>
      </w:r>
      <w:proofErr w:type="spellEnd"/>
      <w:r>
        <w:rPr>
          <w:rFonts w:ascii="Times New Roman" w:eastAsia="Times New Roman" w:hAnsi="Times New Roman" w:cs="Times New Roman"/>
        </w:rPr>
        <w:t xml:space="preserve"> manifests significantly. Competition-grade practices has been shown to strengthen claims concerning </w:t>
      </w:r>
      <w:proofErr w:type="spellStart"/>
      <w:r>
        <w:rPr>
          <w:rFonts w:ascii="Times New Roman" w:eastAsia="Times New Roman" w:hAnsi="Times New Roman" w:cs="Times New Roman"/>
        </w:rPr>
        <w:t>generalisation</w:t>
      </w:r>
      <w:proofErr w:type="spellEnd"/>
      <w:r>
        <w:rPr>
          <w:rFonts w:ascii="Times New Roman" w:eastAsia="Times New Roman" w:hAnsi="Times New Roman" w:cs="Times New Roman"/>
        </w:rPr>
        <w:t xml:space="preserve"> and robustness under drift (</w:t>
      </w:r>
      <w:proofErr w:type="spellStart"/>
      <w:r>
        <w:rPr>
          <w:rFonts w:ascii="Times New Roman" w:eastAsia="Times New Roman" w:hAnsi="Times New Roman" w:cs="Times New Roman"/>
        </w:rPr>
        <w:t>Makridakis</w:t>
      </w:r>
      <w:proofErr w:type="spellEnd"/>
      <w:r>
        <w:rPr>
          <w:rFonts w:ascii="Times New Roman" w:eastAsia="Times New Roman" w:hAnsi="Times New Roman" w:cs="Times New Roman"/>
        </w:rPr>
        <w:t xml:space="preserve"> et al., 2022). Anomaly detection systems have revealed the need for shift-aware benchmarks and the role of </w:t>
      </w:r>
      <w:proofErr w:type="spellStart"/>
      <w:r>
        <w:rPr>
          <w:rFonts w:ascii="Times New Roman" w:eastAsia="Times New Roman" w:hAnsi="Times New Roman" w:cs="Times New Roman"/>
        </w:rPr>
        <w:t>standardisation</w:t>
      </w:r>
      <w:proofErr w:type="spellEnd"/>
      <w:r>
        <w:rPr>
          <w:rFonts w:ascii="Times New Roman" w:eastAsia="Times New Roman" w:hAnsi="Times New Roman" w:cs="Times New Roman"/>
        </w:rPr>
        <w:t xml:space="preserve"> on datasets in improving comparability and ablation processes in further studies (Dragoi et al., 2022). Overall, our cross-functional advances </w:t>
      </w:r>
      <w:proofErr w:type="gramStart"/>
      <w:r>
        <w:rPr>
          <w:rFonts w:ascii="Times New Roman" w:eastAsia="Times New Roman" w:hAnsi="Times New Roman" w:cs="Times New Roman"/>
        </w:rPr>
        <w:t>supports</w:t>
      </w:r>
      <w:proofErr w:type="gramEnd"/>
      <w:r>
        <w:rPr>
          <w:rFonts w:ascii="Times New Roman" w:eastAsia="Times New Roman" w:hAnsi="Times New Roman" w:cs="Times New Roman"/>
        </w:rPr>
        <w:t xml:space="preserve"> the conclusion that the deep methods significantly enhances time-series fidelity, while revealing profound discrepancies in the monitoring, governance, and reporting continuum as outlined in production (</w:t>
      </w:r>
      <w:proofErr w:type="spellStart"/>
      <w:r>
        <w:rPr>
          <w:rFonts w:ascii="Times New Roman" w:eastAsia="Times New Roman" w:hAnsi="Times New Roman" w:cs="Times New Roman"/>
        </w:rPr>
        <w:t>Benidis</w:t>
      </w:r>
      <w:proofErr w:type="spellEnd"/>
      <w:r>
        <w:rPr>
          <w:rFonts w:ascii="Times New Roman" w:eastAsia="Times New Roman" w:hAnsi="Times New Roman" w:cs="Times New Roman"/>
        </w:rPr>
        <w:t xml:space="preserve"> et al., 2022).</w:t>
      </w:r>
    </w:p>
    <w:p w14:paraId="0B69AB6B" w14:textId="77777777" w:rsidR="003D186C" w:rsidRDefault="003D186C">
      <w:pPr>
        <w:tabs>
          <w:tab w:val="left" w:pos="1766"/>
        </w:tabs>
        <w:spacing w:after="0"/>
        <w:jc w:val="both"/>
        <w:rPr>
          <w:rFonts w:ascii="Times New Roman" w:eastAsia="Times New Roman" w:hAnsi="Times New Roman" w:cs="Times New Roman"/>
        </w:rPr>
      </w:pPr>
    </w:p>
    <w:p w14:paraId="6FE1DD11"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4.3. Policy and practice implications</w:t>
      </w:r>
    </w:p>
    <w:p w14:paraId="46EAD407" w14:textId="77777777" w:rsidR="003D186C" w:rsidRDefault="003D186C">
      <w:pPr>
        <w:tabs>
          <w:tab w:val="left" w:pos="1766"/>
        </w:tabs>
        <w:spacing w:after="0"/>
        <w:jc w:val="both"/>
        <w:rPr>
          <w:rFonts w:ascii="Times New Roman" w:eastAsia="Times New Roman" w:hAnsi="Times New Roman" w:cs="Times New Roman"/>
          <w:b/>
          <w:bCs/>
        </w:rPr>
      </w:pPr>
    </w:p>
    <w:p w14:paraId="39D4FE50" w14:textId="77777777"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To </w:t>
      </w:r>
      <w:proofErr w:type="spellStart"/>
      <w:r>
        <w:rPr>
          <w:rFonts w:ascii="Times New Roman" w:eastAsia="Times New Roman" w:hAnsi="Times New Roman" w:cs="Times New Roman"/>
        </w:rPr>
        <w:t>operationalise</w:t>
      </w:r>
      <w:proofErr w:type="spellEnd"/>
      <w:r>
        <w:rPr>
          <w:rFonts w:ascii="Times New Roman" w:eastAsia="Times New Roman" w:hAnsi="Times New Roman" w:cs="Times New Roman"/>
        </w:rPr>
        <w:t xml:space="preserve"> self-healing, drift-aware machine learning (ML) requires the embedding of software engineering discipline, auditability, and data governance as part of the operational framework. Role, test, and gate definitions in </w:t>
      </w:r>
      <w:proofErr w:type="spellStart"/>
      <w:r>
        <w:rPr>
          <w:rFonts w:ascii="Times New Roman" w:eastAsia="Times New Roman" w:hAnsi="Times New Roman" w:cs="Times New Roman"/>
        </w:rPr>
        <w:t>MLOps</w:t>
      </w:r>
      <w:proofErr w:type="spellEnd"/>
      <w:r>
        <w:rPr>
          <w:rFonts w:ascii="Times New Roman" w:eastAsia="Times New Roman" w:hAnsi="Times New Roman" w:cs="Times New Roman"/>
        </w:rPr>
        <w:t xml:space="preserve"> need to incorporate the elements of data validation, versioning, CI/CD, observability, and rollback as proposed in </w:t>
      </w:r>
      <w:proofErr w:type="spellStart"/>
      <w:r>
        <w:rPr>
          <w:rFonts w:ascii="Times New Roman" w:eastAsia="Times New Roman" w:hAnsi="Times New Roman" w:cs="Times New Roman"/>
        </w:rPr>
        <w:t>Kreuzberger</w:t>
      </w:r>
      <w:proofErr w:type="spellEnd"/>
      <w:r>
        <w:rPr>
          <w:rFonts w:ascii="Times New Roman" w:eastAsia="Times New Roman" w:hAnsi="Times New Roman" w:cs="Times New Roman"/>
        </w:rPr>
        <w:t xml:space="preserve"> et al. (2023) and other research. Engineering playbooks must convey these as part of the requisite engineering discipline to be performed in workflows, which include capture of requirements, design reviews, experiment tracking, and post-mortems. And, must ensure that failed signals spawn active remediation rather than improvisation (</w:t>
      </w:r>
      <w:proofErr w:type="spellStart"/>
      <w:r>
        <w:rPr>
          <w:rFonts w:ascii="Times New Roman" w:eastAsia="Times New Roman" w:hAnsi="Times New Roman" w:cs="Times New Roman"/>
        </w:rPr>
        <w:t>Amershi</w:t>
      </w:r>
      <w:proofErr w:type="spellEnd"/>
      <w:r>
        <w:rPr>
          <w:rFonts w:ascii="Times New Roman" w:eastAsia="Times New Roman" w:hAnsi="Times New Roman" w:cs="Times New Roman"/>
        </w:rPr>
        <w:t xml:space="preserve"> et al., 2019). It is incumbent upon leaders to anticipate bottlenecks in deployment and budget for process change, tooling, and skills beyond modelling alone (</w:t>
      </w:r>
      <w:proofErr w:type="spellStart"/>
      <w:r>
        <w:rPr>
          <w:rFonts w:ascii="Times New Roman" w:eastAsia="Times New Roman" w:hAnsi="Times New Roman" w:cs="Times New Roman"/>
        </w:rPr>
        <w:t>Paleyes</w:t>
      </w:r>
      <w:proofErr w:type="spellEnd"/>
      <w:r>
        <w:rPr>
          <w:rFonts w:ascii="Times New Roman" w:eastAsia="Times New Roman" w:hAnsi="Times New Roman" w:cs="Times New Roman"/>
        </w:rPr>
        <w:t xml:space="preserve"> et al., 2022). In order to achieve internal accountability, periodic algorithmic audits must be performed. Such audits must assess three key areas: the resilience of the algorithms to changes, the completeness of the documentation, and the readiness for rollback in the event of a malfunction (Raji et al., 2020). Supplier-style declarations, such as service fact sheets, have been shown to </w:t>
      </w:r>
      <w:proofErr w:type="spellStart"/>
      <w:r>
        <w:rPr>
          <w:rFonts w:ascii="Times New Roman" w:eastAsia="Times New Roman" w:hAnsi="Times New Roman" w:cs="Times New Roman"/>
        </w:rPr>
        <w:t>standardise</w:t>
      </w:r>
      <w:proofErr w:type="spellEnd"/>
      <w:r>
        <w:rPr>
          <w:rFonts w:ascii="Times New Roman" w:eastAsia="Times New Roman" w:hAnsi="Times New Roman" w:cs="Times New Roman"/>
        </w:rPr>
        <w:t xml:space="preserve"> the information reported about models, data, and operating conditions (Arnold et al., 2019). Fairness, therefore, must be </w:t>
      </w:r>
      <w:proofErr w:type="spellStart"/>
      <w:r>
        <w:rPr>
          <w:rFonts w:ascii="Times New Roman" w:eastAsia="Times New Roman" w:hAnsi="Times New Roman" w:cs="Times New Roman"/>
        </w:rPr>
        <w:t>operationalised</w:t>
      </w:r>
      <w:proofErr w:type="spellEnd"/>
      <w:r>
        <w:rPr>
          <w:rFonts w:ascii="Times New Roman" w:eastAsia="Times New Roman" w:hAnsi="Times New Roman" w:cs="Times New Roman"/>
        </w:rPr>
        <w:t xml:space="preserve"> through practitioner guidance and checklists that surface trade-offs during monitoring, adaptation, and release decisions (Holstein et al., 2019). Co-designed checklists have been shown to </w:t>
      </w:r>
      <w:proofErr w:type="spellStart"/>
      <w:r>
        <w:rPr>
          <w:rFonts w:ascii="Times New Roman" w:eastAsia="Times New Roman" w:hAnsi="Times New Roman" w:cs="Times New Roman"/>
        </w:rPr>
        <w:t>institutionalise</w:t>
      </w:r>
      <w:proofErr w:type="spellEnd"/>
      <w:r>
        <w:rPr>
          <w:rFonts w:ascii="Times New Roman" w:eastAsia="Times New Roman" w:hAnsi="Times New Roman" w:cs="Times New Roman"/>
        </w:rPr>
        <w:t xml:space="preserve"> these practices across functions (Madaio et al., 2020). Finally, policy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“data work” to prevent cascades, funding stewardship, lineage, and contract enforcement (Sambasivan et al., 2021).</w:t>
      </w:r>
    </w:p>
    <w:p w14:paraId="3B2D20E0" w14:textId="77777777" w:rsidR="003D186C" w:rsidRDefault="003D186C">
      <w:pPr>
        <w:tabs>
          <w:tab w:val="left" w:pos="1766"/>
        </w:tabs>
        <w:spacing w:after="0"/>
        <w:jc w:val="both"/>
        <w:rPr>
          <w:rFonts w:ascii="Times New Roman" w:eastAsia="Times New Roman" w:hAnsi="Times New Roman" w:cs="Times New Roman"/>
        </w:rPr>
      </w:pPr>
    </w:p>
    <w:p w14:paraId="11D4DEDD" w14:textId="77777777" w:rsidR="003D186C" w:rsidRDefault="003D186C">
      <w:pPr>
        <w:tabs>
          <w:tab w:val="left" w:pos="1766"/>
        </w:tabs>
        <w:spacing w:after="0"/>
        <w:jc w:val="both"/>
        <w:rPr>
          <w:rFonts w:ascii="Times New Roman" w:eastAsia="Times New Roman" w:hAnsi="Times New Roman" w:cs="Times New Roman"/>
        </w:rPr>
      </w:pPr>
    </w:p>
    <w:p w14:paraId="2E766ED9"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5.0 Conclusion and Recommendations for Future Research</w:t>
      </w:r>
    </w:p>
    <w:p w14:paraId="10874BE8"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5.1 Conclusion</w:t>
      </w:r>
    </w:p>
    <w:p w14:paraId="3177CB4A" w14:textId="77777777" w:rsidR="003D186C" w:rsidRDefault="00C00BC0">
      <w:pPr>
        <w:tabs>
          <w:tab w:val="left" w:pos="1766"/>
        </w:tabs>
        <w:spacing w:after="0"/>
        <w:jc w:val="both"/>
        <w:rPr>
          <w:rFonts w:ascii="Times New Roman" w:eastAsia="Times New Roman" w:hAnsi="Times New Roman" w:cs="Times New Roman"/>
        </w:rPr>
      </w:pPr>
      <w:r>
        <w:rPr>
          <w:rFonts w:ascii="Times New Roman" w:eastAsia="Times New Roman" w:hAnsi="Times New Roman" w:cs="Times New Roman"/>
        </w:rPr>
        <w:t xml:space="preserve">This review demonstrates that machine learning algorithms that are self-healing and aware of drift can materially improve supply-chain decisions when monitoring, attribution, adaptation, and gated rollout are engineered as a single reliability loop. Across a range of metrics, including demand, inventory, pricing, routing, estimated time of arrival/lead time, and cold-chain anomaly detection, the evidence indicates that there is a reduction in errors and costs, along with the maintenance of service stability. The implementation of fairness-aware dispatch and edge-based detectors has been shown to enhance the robustness of the system under conditions of connectivity and workload constraints. The synthesis also reveals gaps in the reporting of key performance indicators (KPIs): time-to-detect and time-to-recover are reported inconsistently; explicit drift detectors and governance artefacts are under-specified; and reproducibility is limited by proprietary stacks. In response, we propose a reference architecture that codifies validation, versioned data and models, observability, trigger thresholds, and controlled rollout paths, coupled with a benchmarking and reporting checklist. The review as a whole provides a feasible plan for </w:t>
      </w:r>
      <w:proofErr w:type="spellStart"/>
      <w:r>
        <w:rPr>
          <w:rFonts w:ascii="Times New Roman" w:eastAsia="Times New Roman" w:hAnsi="Times New Roman" w:cs="Times New Roman"/>
        </w:rPr>
        <w:t>organisations</w:t>
      </w:r>
      <w:proofErr w:type="spellEnd"/>
      <w:r>
        <w:rPr>
          <w:rFonts w:ascii="Times New Roman" w:eastAsia="Times New Roman" w:hAnsi="Times New Roman" w:cs="Times New Roman"/>
        </w:rPr>
        <w:t xml:space="preserve"> to translate research on continual learning into audited, cost-aware operations that remain reliable under non-stationarity. It also clarifies the evidence base and future research priorities.</w:t>
      </w:r>
    </w:p>
    <w:p w14:paraId="5BBE9EB6" w14:textId="77777777" w:rsidR="003D186C" w:rsidRDefault="003D186C">
      <w:pPr>
        <w:tabs>
          <w:tab w:val="left" w:pos="1766"/>
        </w:tabs>
        <w:spacing w:after="0"/>
        <w:jc w:val="both"/>
        <w:rPr>
          <w:rFonts w:ascii="Times New Roman" w:eastAsia="Times New Roman" w:hAnsi="Times New Roman" w:cs="Times New Roman"/>
        </w:rPr>
      </w:pPr>
    </w:p>
    <w:p w14:paraId="3ADB9B3D"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5.2 Recommendations for future research</w:t>
      </w:r>
    </w:p>
    <w:p w14:paraId="15DF34F3" w14:textId="28127BF3" w:rsidR="003D186C" w:rsidRDefault="00C00BC0">
      <w:pPr>
        <w:jc w:val="both"/>
        <w:rPr>
          <w:rFonts w:ascii="Times New Roman" w:eastAsia="Times New Roman" w:hAnsi="Times New Roman" w:cs="Times New Roman"/>
        </w:rPr>
      </w:pPr>
      <w:r>
        <w:rPr>
          <w:rFonts w:ascii="Times New Roman" w:eastAsia="Times New Roman" w:hAnsi="Times New Roman" w:cs="Times New Roman"/>
        </w:rPr>
        <w:t xml:space="preserve">Future </w:t>
      </w:r>
      <w:proofErr w:type="spellStart"/>
      <w:r>
        <w:rPr>
          <w:rFonts w:ascii="Times New Roman" w:eastAsia="Times New Roman" w:hAnsi="Times New Roman" w:cs="Times New Roman"/>
        </w:rPr>
        <w:t>endeavours</w:t>
      </w:r>
      <w:proofErr w:type="spellEnd"/>
      <w:r>
        <w:rPr>
          <w:rFonts w:ascii="Times New Roman" w:eastAsia="Times New Roman" w:hAnsi="Times New Roman" w:cs="Times New Roman"/>
        </w:rPr>
        <w:t xml:space="preserve">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standardisation</w:t>
      </w:r>
      <w:proofErr w:type="spellEnd"/>
      <w:r>
        <w:rPr>
          <w:rFonts w:ascii="Times New Roman" w:eastAsia="Times New Roman" w:hAnsi="Times New Roman" w:cs="Times New Roman"/>
        </w:rPr>
        <w:t xml:space="preserve"> of reliability reporting metrics, such as TTD, TTR, and alert precision/recall. Additionally, the development of public, temporal benchmarks that integrate forecasting and policy-related tasks with drift injections and label latency is essential. Studies must be conducted to compare composite drift monitors with single detectors. The cost-latency balances for each trigger should also be measured. In addition, stress testing rollback and canary policies is necessary. Research should also focus on ever-evolving continual learning while managing policy boundaries, data agreements, and guarantees on fairness. In addition, assessing the performance of edge-cloud split architectures on cold chains and logistics is necessary. In multi-partner federated configurations, privacy-preserving observability, and traceable audited lineage should be mandatory. Lastly, for an honest evaluation of the system's impact on the environment, energy and carbon bookkeeping should be mandatory.</w:t>
      </w:r>
    </w:p>
    <w:p w14:paraId="6829D657" w14:textId="2810C93C" w:rsidR="00DB17BF" w:rsidRDefault="00DB17BF">
      <w:pPr>
        <w:jc w:val="both"/>
        <w:rPr>
          <w:rFonts w:ascii="Times New Roman" w:eastAsia="Times New Roman" w:hAnsi="Times New Roman" w:cs="Times New Roman"/>
        </w:rPr>
      </w:pPr>
    </w:p>
    <w:p w14:paraId="14BF9CBE" w14:textId="14164065" w:rsidR="00DB17BF" w:rsidRPr="00DB17BF" w:rsidRDefault="00DB17BF" w:rsidP="00DB17BF">
      <w:pPr>
        <w:jc w:val="both"/>
        <w:rPr>
          <w:rFonts w:ascii="Times New Roman" w:eastAsia="Times New Roman" w:hAnsi="Times New Roman" w:cs="Times New Roman"/>
          <w:b/>
        </w:rPr>
      </w:pPr>
      <w:r w:rsidRPr="00DB17BF">
        <w:rPr>
          <w:rFonts w:ascii="Times New Roman" w:eastAsia="Times New Roman" w:hAnsi="Times New Roman" w:cs="Times New Roman"/>
          <w:b/>
        </w:rPr>
        <w:t>Limitations of the review</w:t>
      </w:r>
    </w:p>
    <w:p w14:paraId="2704BF6A" w14:textId="15ECDAD3" w:rsidR="00DB17BF" w:rsidRDefault="00DB17BF" w:rsidP="00DB17BF">
      <w:pPr>
        <w:jc w:val="both"/>
        <w:rPr>
          <w:rFonts w:ascii="Times New Roman" w:eastAsia="Times New Roman" w:hAnsi="Times New Roman" w:cs="Times New Roman"/>
        </w:rPr>
      </w:pPr>
      <w:r w:rsidRPr="00DB17BF">
        <w:rPr>
          <w:rFonts w:ascii="Times New Roman" w:eastAsia="Times New Roman" w:hAnsi="Times New Roman" w:cs="Times New Roman"/>
        </w:rPr>
        <w:t>Despite a systematic approach, this review faces several constraints. Firstly, the heterogeneity in tasks, datasets, and reporting prevented meta-analysis and forced narrative synthesis. Secondly, the implementation of English-only language requirements and the peer-review process may have resulted in selection and publication biases. Thirdly, numerous deployments underreported reliability indicators (e.g., TTD/TTR), drift detectors, and governance controls, thereby limiting cross-study comparability. Fourthly, proprietary platforms restricted reproducibility and detail on rollout gates. Finally, excluded vision-only inspection and cybersecurity studies may omit relevant edge cases where pipeline integration or data-integrity failures indirectly affect operations.</w:t>
      </w:r>
    </w:p>
    <w:p w14:paraId="5F11A423" w14:textId="77777777" w:rsidR="0002102E" w:rsidRPr="009D754A" w:rsidRDefault="0002102E" w:rsidP="0002102E">
      <w:pPr>
        <w:rPr>
          <w:rFonts w:cs="Times New Roman"/>
          <w:b/>
          <w:kern w:val="2"/>
          <w:highlight w:val="yellow"/>
          <w:lang w:val="en-US"/>
        </w:rPr>
      </w:pPr>
      <w:bookmarkStart w:id="0" w:name="_Hlk204003461"/>
      <w:bookmarkStart w:id="1" w:name="_Hlk213070710"/>
      <w:r w:rsidRPr="009D754A">
        <w:rPr>
          <w:rFonts w:cs="Times New Roman"/>
          <w:b/>
          <w:kern w:val="2"/>
          <w:highlight w:val="yellow"/>
          <w:lang w:val="en-US"/>
        </w:rPr>
        <w:t>Disclaimer (Artificial intelligence)</w:t>
      </w:r>
    </w:p>
    <w:p w14:paraId="28A284B5" w14:textId="77777777" w:rsidR="0002102E" w:rsidRDefault="0002102E" w:rsidP="0002102E">
      <w:pPr>
        <w:rPr>
          <w:rFonts w:cs="Times New Roman"/>
          <w:kern w:val="2"/>
          <w:highlight w:val="yellow"/>
          <w:lang w:val="en-US"/>
        </w:rPr>
      </w:pPr>
      <w:r>
        <w:rPr>
          <w:rFonts w:cs="Times New Roman"/>
          <w:kern w:val="2"/>
          <w:highlight w:val="yellow"/>
          <w:lang w:val="en-US"/>
        </w:rPr>
        <w:t>Author(s) hereby declare that NO generative AI technologies such as Large Language Models (</w:t>
      </w:r>
      <w:proofErr w:type="spellStart"/>
      <w:r>
        <w:rPr>
          <w:rFonts w:cs="Times New Roman"/>
          <w:kern w:val="2"/>
          <w:highlight w:val="yellow"/>
          <w:lang w:val="en-US"/>
        </w:rPr>
        <w:t>ChatGPT</w:t>
      </w:r>
      <w:proofErr w:type="spellEnd"/>
      <w:r>
        <w:rPr>
          <w:rFonts w:cs="Times New Roman"/>
          <w:kern w:val="2"/>
          <w:highlight w:val="yellow"/>
          <w:lang w:val="en-US"/>
        </w:rPr>
        <w:t xml:space="preserve">, COPILOT, etc.) and text-to-image generators have been used during the writing or editing of this manuscript. </w:t>
      </w:r>
    </w:p>
    <w:bookmarkEnd w:id="0"/>
    <w:bookmarkEnd w:id="1"/>
    <w:p w14:paraId="39D943FA" w14:textId="77777777" w:rsidR="0002102E" w:rsidRDefault="0002102E">
      <w:pPr>
        <w:jc w:val="both"/>
        <w:rPr>
          <w:rFonts w:ascii="Times New Roman" w:eastAsia="Times New Roman" w:hAnsi="Times New Roman" w:cs="Times New Roman"/>
        </w:rPr>
      </w:pPr>
    </w:p>
    <w:p w14:paraId="2EFF1430" w14:textId="77777777" w:rsidR="003D186C" w:rsidRDefault="003D186C">
      <w:pPr>
        <w:tabs>
          <w:tab w:val="left" w:pos="1766"/>
        </w:tabs>
        <w:spacing w:after="0"/>
        <w:jc w:val="both"/>
        <w:rPr>
          <w:rFonts w:ascii="Times New Roman" w:eastAsia="Times New Roman" w:hAnsi="Times New Roman" w:cs="Times New Roman"/>
        </w:rPr>
      </w:pPr>
    </w:p>
    <w:p w14:paraId="0AB63AF9" w14:textId="77777777" w:rsidR="003D186C" w:rsidRDefault="00C00BC0">
      <w:pPr>
        <w:tabs>
          <w:tab w:val="left" w:pos="1766"/>
        </w:tabs>
        <w:spacing w:after="0"/>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0C012B84" w14:textId="3A9D0353" w:rsidR="003D186C" w:rsidRDefault="001520A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1520AF">
        <w:rPr>
          <w:rFonts w:ascii="Times New Roman" w:eastAsia="Times New Roman" w:hAnsi="Times New Roman" w:cs="Times New Roman"/>
          <w:color w:val="000000"/>
        </w:rPr>
        <w:t>Amershi</w:t>
      </w:r>
      <w:proofErr w:type="spellEnd"/>
      <w:r w:rsidRPr="001520AF">
        <w:rPr>
          <w:rFonts w:ascii="Times New Roman" w:eastAsia="Times New Roman" w:hAnsi="Times New Roman" w:cs="Times New Roman"/>
          <w:color w:val="000000"/>
        </w:rPr>
        <w:t xml:space="preserve">, S., </w:t>
      </w:r>
      <w:proofErr w:type="spellStart"/>
      <w:r w:rsidRPr="001520AF">
        <w:rPr>
          <w:rFonts w:ascii="Times New Roman" w:eastAsia="Times New Roman" w:hAnsi="Times New Roman" w:cs="Times New Roman"/>
          <w:color w:val="000000"/>
        </w:rPr>
        <w:t>Begel</w:t>
      </w:r>
      <w:proofErr w:type="spellEnd"/>
      <w:r w:rsidRPr="001520AF">
        <w:rPr>
          <w:rFonts w:ascii="Times New Roman" w:eastAsia="Times New Roman" w:hAnsi="Times New Roman" w:cs="Times New Roman"/>
          <w:color w:val="000000"/>
        </w:rPr>
        <w:t xml:space="preserve">, A., Bird, C., </w:t>
      </w:r>
      <w:proofErr w:type="spellStart"/>
      <w:r w:rsidRPr="001520AF">
        <w:rPr>
          <w:rFonts w:ascii="Times New Roman" w:eastAsia="Times New Roman" w:hAnsi="Times New Roman" w:cs="Times New Roman"/>
          <w:color w:val="000000"/>
        </w:rPr>
        <w:t>DeLine</w:t>
      </w:r>
      <w:proofErr w:type="spellEnd"/>
      <w:r w:rsidRPr="001520AF">
        <w:rPr>
          <w:rFonts w:ascii="Times New Roman" w:eastAsia="Times New Roman" w:hAnsi="Times New Roman" w:cs="Times New Roman"/>
          <w:color w:val="000000"/>
        </w:rPr>
        <w:t xml:space="preserve">, R., Gall, H., </w:t>
      </w:r>
      <w:proofErr w:type="spellStart"/>
      <w:r w:rsidRPr="001520AF">
        <w:rPr>
          <w:rFonts w:ascii="Times New Roman" w:eastAsia="Times New Roman" w:hAnsi="Times New Roman" w:cs="Times New Roman"/>
          <w:color w:val="000000"/>
        </w:rPr>
        <w:t>Kamar</w:t>
      </w:r>
      <w:proofErr w:type="spellEnd"/>
      <w:r w:rsidRPr="001520AF">
        <w:rPr>
          <w:rFonts w:ascii="Times New Roman" w:eastAsia="Times New Roman" w:hAnsi="Times New Roman" w:cs="Times New Roman"/>
          <w:color w:val="000000"/>
        </w:rPr>
        <w:t xml:space="preserve">, E., </w:t>
      </w:r>
      <w:proofErr w:type="spellStart"/>
      <w:r w:rsidRPr="001520AF">
        <w:rPr>
          <w:rFonts w:ascii="Times New Roman" w:eastAsia="Times New Roman" w:hAnsi="Times New Roman" w:cs="Times New Roman"/>
          <w:color w:val="000000"/>
        </w:rPr>
        <w:t>Nagappan</w:t>
      </w:r>
      <w:proofErr w:type="spellEnd"/>
      <w:r w:rsidRPr="001520AF">
        <w:rPr>
          <w:rFonts w:ascii="Times New Roman" w:eastAsia="Times New Roman" w:hAnsi="Times New Roman" w:cs="Times New Roman"/>
          <w:color w:val="000000"/>
        </w:rPr>
        <w:t xml:space="preserve">, N., </w:t>
      </w:r>
      <w:proofErr w:type="spellStart"/>
      <w:r w:rsidRPr="001520AF">
        <w:rPr>
          <w:rFonts w:ascii="Times New Roman" w:eastAsia="Times New Roman" w:hAnsi="Times New Roman" w:cs="Times New Roman"/>
          <w:color w:val="000000"/>
        </w:rPr>
        <w:t>Nushi</w:t>
      </w:r>
      <w:proofErr w:type="spellEnd"/>
      <w:r w:rsidRPr="001520AF">
        <w:rPr>
          <w:rFonts w:ascii="Times New Roman" w:eastAsia="Times New Roman" w:hAnsi="Times New Roman" w:cs="Times New Roman"/>
          <w:color w:val="000000"/>
        </w:rPr>
        <w:t xml:space="preserve">, B., &amp; Zimmermann, T. (2019). Software Engineering for Machine Learning: A Case Study. 2019 IEEE/ACM 41st International Conference on Software Engineering: Software Engineering in Practice (ICSE-SEIP) </w:t>
      </w:r>
      <w:hyperlink r:id="rId14" w:history="1">
        <w:r w:rsidRPr="007468C6">
          <w:rPr>
            <w:rStyle w:val="Hyperlink"/>
            <w:rFonts w:ascii="Times New Roman" w:eastAsia="Times New Roman" w:hAnsi="Times New Roman" w:cs="Times New Roman"/>
          </w:rPr>
          <w:t>https://doi.org/10.1109/ICSE-SEIP.2019.00042</w:t>
        </w:r>
      </w:hyperlink>
      <w:r>
        <w:rPr>
          <w:rFonts w:ascii="Times New Roman" w:eastAsia="Times New Roman" w:hAnsi="Times New Roman" w:cs="Times New Roman"/>
          <w:color w:val="000000"/>
        </w:rPr>
        <w:t xml:space="preserve"> </w:t>
      </w:r>
    </w:p>
    <w:p w14:paraId="23EF1E41" w14:textId="05EFB372" w:rsidR="003D186C" w:rsidRDefault="00E000F8">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E000F8">
        <w:rPr>
          <w:rFonts w:ascii="Times New Roman" w:eastAsia="Times New Roman" w:hAnsi="Times New Roman" w:cs="Times New Roman"/>
          <w:color w:val="000000"/>
        </w:rPr>
        <w:t xml:space="preserve">Arnold, M., Bellamy, R. K., Hind, M., </w:t>
      </w:r>
      <w:proofErr w:type="spellStart"/>
      <w:r w:rsidRPr="00E000F8">
        <w:rPr>
          <w:rFonts w:ascii="Times New Roman" w:eastAsia="Times New Roman" w:hAnsi="Times New Roman" w:cs="Times New Roman"/>
          <w:color w:val="000000"/>
        </w:rPr>
        <w:t>Houde</w:t>
      </w:r>
      <w:proofErr w:type="spellEnd"/>
      <w:r w:rsidRPr="00E000F8">
        <w:rPr>
          <w:rFonts w:ascii="Times New Roman" w:eastAsia="Times New Roman" w:hAnsi="Times New Roman" w:cs="Times New Roman"/>
          <w:color w:val="000000"/>
        </w:rPr>
        <w:t xml:space="preserve">, S., Mehta, S., </w:t>
      </w:r>
      <w:proofErr w:type="spellStart"/>
      <w:r w:rsidRPr="00E000F8">
        <w:rPr>
          <w:rFonts w:ascii="Times New Roman" w:eastAsia="Times New Roman" w:hAnsi="Times New Roman" w:cs="Times New Roman"/>
          <w:color w:val="000000"/>
        </w:rPr>
        <w:t>Mojsilović</w:t>
      </w:r>
      <w:proofErr w:type="spellEnd"/>
      <w:r w:rsidRPr="00E000F8">
        <w:rPr>
          <w:rFonts w:ascii="Times New Roman" w:eastAsia="Times New Roman" w:hAnsi="Times New Roman" w:cs="Times New Roman"/>
          <w:color w:val="000000"/>
        </w:rPr>
        <w:t xml:space="preserve">, A., Nair, R. G., Ramamurthy, K. N., </w:t>
      </w:r>
      <w:proofErr w:type="spellStart"/>
      <w:r w:rsidRPr="00E000F8">
        <w:rPr>
          <w:rFonts w:ascii="Times New Roman" w:eastAsia="Times New Roman" w:hAnsi="Times New Roman" w:cs="Times New Roman"/>
          <w:color w:val="000000"/>
        </w:rPr>
        <w:t>Olteanu</w:t>
      </w:r>
      <w:proofErr w:type="spellEnd"/>
      <w:r w:rsidRPr="00E000F8">
        <w:rPr>
          <w:rFonts w:ascii="Times New Roman" w:eastAsia="Times New Roman" w:hAnsi="Times New Roman" w:cs="Times New Roman"/>
          <w:color w:val="000000"/>
        </w:rPr>
        <w:t xml:space="preserve">, A., </w:t>
      </w:r>
      <w:proofErr w:type="spellStart"/>
      <w:r w:rsidRPr="00E000F8">
        <w:rPr>
          <w:rFonts w:ascii="Times New Roman" w:eastAsia="Times New Roman" w:hAnsi="Times New Roman" w:cs="Times New Roman"/>
          <w:color w:val="000000"/>
        </w:rPr>
        <w:t>Piorkowski</w:t>
      </w:r>
      <w:proofErr w:type="spellEnd"/>
      <w:r w:rsidRPr="00E000F8">
        <w:rPr>
          <w:rFonts w:ascii="Times New Roman" w:eastAsia="Times New Roman" w:hAnsi="Times New Roman" w:cs="Times New Roman"/>
          <w:color w:val="000000"/>
        </w:rPr>
        <w:t xml:space="preserve">, D., Reimer, D., Richards, J. T., </w:t>
      </w:r>
      <w:proofErr w:type="spellStart"/>
      <w:r w:rsidRPr="00E000F8">
        <w:rPr>
          <w:rFonts w:ascii="Times New Roman" w:eastAsia="Times New Roman" w:hAnsi="Times New Roman" w:cs="Times New Roman"/>
          <w:color w:val="000000"/>
        </w:rPr>
        <w:t>Tsay</w:t>
      </w:r>
      <w:proofErr w:type="spellEnd"/>
      <w:r w:rsidRPr="00E000F8">
        <w:rPr>
          <w:rFonts w:ascii="Times New Roman" w:eastAsia="Times New Roman" w:hAnsi="Times New Roman" w:cs="Times New Roman"/>
          <w:color w:val="000000"/>
        </w:rPr>
        <w:t xml:space="preserve">, J., &amp; Varshney, K. R. (2019). </w:t>
      </w:r>
      <w:proofErr w:type="spellStart"/>
      <w:r w:rsidRPr="00E000F8">
        <w:rPr>
          <w:rFonts w:ascii="Times New Roman" w:eastAsia="Times New Roman" w:hAnsi="Times New Roman" w:cs="Times New Roman"/>
          <w:color w:val="000000"/>
        </w:rPr>
        <w:t>FactSheets</w:t>
      </w:r>
      <w:proofErr w:type="spellEnd"/>
      <w:r w:rsidRPr="00E000F8">
        <w:rPr>
          <w:rFonts w:ascii="Times New Roman" w:eastAsia="Times New Roman" w:hAnsi="Times New Roman" w:cs="Times New Roman"/>
          <w:color w:val="000000"/>
        </w:rPr>
        <w:t xml:space="preserve">: Increasing trust in AI services through supplier's declarations of conformity. IBM Journal of Research and Development, 63(4/5), 6:1–6:13. </w:t>
      </w:r>
      <w:hyperlink r:id="rId15" w:history="1">
        <w:r w:rsidRPr="007468C6">
          <w:rPr>
            <w:rStyle w:val="Hyperlink"/>
            <w:rFonts w:ascii="Times New Roman" w:eastAsia="Times New Roman" w:hAnsi="Times New Roman" w:cs="Times New Roman"/>
          </w:rPr>
          <w:t>https://doi.org/10.1147/JRD.2019.2942288</w:t>
        </w:r>
      </w:hyperlink>
      <w:r>
        <w:rPr>
          <w:rFonts w:ascii="Times New Roman" w:eastAsia="Times New Roman" w:hAnsi="Times New Roman" w:cs="Times New Roman"/>
          <w:color w:val="000000"/>
        </w:rPr>
        <w:t xml:space="preserve"> </w:t>
      </w:r>
    </w:p>
    <w:p w14:paraId="2768590A" w14:textId="4B649EC6" w:rsidR="003D186C" w:rsidRDefault="00DE5D97">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DE5D97">
        <w:rPr>
          <w:rFonts w:ascii="Times New Roman" w:eastAsia="Times New Roman" w:hAnsi="Times New Roman" w:cs="Times New Roman"/>
          <w:color w:val="000000"/>
        </w:rPr>
        <w:t xml:space="preserve">Baylor, D., Breck, E., Cheng, H. T., </w:t>
      </w:r>
      <w:proofErr w:type="spellStart"/>
      <w:r w:rsidRPr="00DE5D97">
        <w:rPr>
          <w:rFonts w:ascii="Times New Roman" w:eastAsia="Times New Roman" w:hAnsi="Times New Roman" w:cs="Times New Roman"/>
          <w:color w:val="000000"/>
        </w:rPr>
        <w:t>Fiedel</w:t>
      </w:r>
      <w:proofErr w:type="spellEnd"/>
      <w:r w:rsidRPr="00DE5D97">
        <w:rPr>
          <w:rFonts w:ascii="Times New Roman" w:eastAsia="Times New Roman" w:hAnsi="Times New Roman" w:cs="Times New Roman"/>
          <w:color w:val="000000"/>
        </w:rPr>
        <w:t xml:space="preserve">, N., Foo, C. Y., Haque, Z., </w:t>
      </w:r>
      <w:proofErr w:type="spellStart"/>
      <w:r w:rsidRPr="00DE5D97">
        <w:rPr>
          <w:rFonts w:ascii="Times New Roman" w:eastAsia="Times New Roman" w:hAnsi="Times New Roman" w:cs="Times New Roman"/>
          <w:color w:val="000000"/>
        </w:rPr>
        <w:t>Haykal</w:t>
      </w:r>
      <w:proofErr w:type="spellEnd"/>
      <w:r w:rsidRPr="00DE5D97">
        <w:rPr>
          <w:rFonts w:ascii="Times New Roman" w:eastAsia="Times New Roman" w:hAnsi="Times New Roman" w:cs="Times New Roman"/>
          <w:color w:val="000000"/>
        </w:rPr>
        <w:t xml:space="preserve">, S., </w:t>
      </w:r>
      <w:proofErr w:type="spellStart"/>
      <w:r w:rsidRPr="00DE5D97">
        <w:rPr>
          <w:rFonts w:ascii="Times New Roman" w:eastAsia="Times New Roman" w:hAnsi="Times New Roman" w:cs="Times New Roman"/>
          <w:color w:val="000000"/>
        </w:rPr>
        <w:t>Ispir</w:t>
      </w:r>
      <w:proofErr w:type="spellEnd"/>
      <w:r w:rsidRPr="00DE5D97">
        <w:rPr>
          <w:rFonts w:ascii="Times New Roman" w:eastAsia="Times New Roman" w:hAnsi="Times New Roman" w:cs="Times New Roman"/>
          <w:color w:val="000000"/>
        </w:rPr>
        <w:t xml:space="preserve">, M., Jain, V., </w:t>
      </w:r>
      <w:proofErr w:type="spellStart"/>
      <w:r w:rsidRPr="00DE5D97">
        <w:rPr>
          <w:rFonts w:ascii="Times New Roman" w:eastAsia="Times New Roman" w:hAnsi="Times New Roman" w:cs="Times New Roman"/>
          <w:color w:val="000000"/>
        </w:rPr>
        <w:t>Koc</w:t>
      </w:r>
      <w:proofErr w:type="spellEnd"/>
      <w:r w:rsidRPr="00DE5D97">
        <w:rPr>
          <w:rFonts w:ascii="Times New Roman" w:eastAsia="Times New Roman" w:hAnsi="Times New Roman" w:cs="Times New Roman"/>
          <w:color w:val="000000"/>
        </w:rPr>
        <w:t xml:space="preserve">, L., Koo, C. Y., Lew, L., </w:t>
      </w:r>
      <w:proofErr w:type="spellStart"/>
      <w:r w:rsidRPr="00DE5D97">
        <w:rPr>
          <w:rFonts w:ascii="Times New Roman" w:eastAsia="Times New Roman" w:hAnsi="Times New Roman" w:cs="Times New Roman"/>
          <w:color w:val="000000"/>
        </w:rPr>
        <w:t>Mewald</w:t>
      </w:r>
      <w:proofErr w:type="spellEnd"/>
      <w:r w:rsidRPr="00DE5D97">
        <w:rPr>
          <w:rFonts w:ascii="Times New Roman" w:eastAsia="Times New Roman" w:hAnsi="Times New Roman" w:cs="Times New Roman"/>
          <w:color w:val="000000"/>
        </w:rPr>
        <w:t xml:space="preserve">, C., Modi, A. N., </w:t>
      </w:r>
      <w:proofErr w:type="spellStart"/>
      <w:r w:rsidRPr="00DE5D97">
        <w:rPr>
          <w:rFonts w:ascii="Times New Roman" w:eastAsia="Times New Roman" w:hAnsi="Times New Roman" w:cs="Times New Roman"/>
          <w:color w:val="000000"/>
        </w:rPr>
        <w:t>Polyzotis</w:t>
      </w:r>
      <w:proofErr w:type="spellEnd"/>
      <w:r w:rsidRPr="00DE5D97">
        <w:rPr>
          <w:rFonts w:ascii="Times New Roman" w:eastAsia="Times New Roman" w:hAnsi="Times New Roman" w:cs="Times New Roman"/>
          <w:color w:val="000000"/>
        </w:rPr>
        <w:t xml:space="preserve">, N., Ramesh, S., Roy, S., Whang, S. E., </w:t>
      </w:r>
      <w:proofErr w:type="spellStart"/>
      <w:r w:rsidRPr="00DE5D97">
        <w:rPr>
          <w:rFonts w:ascii="Times New Roman" w:eastAsia="Times New Roman" w:hAnsi="Times New Roman" w:cs="Times New Roman"/>
          <w:color w:val="000000"/>
        </w:rPr>
        <w:t>Wicke</w:t>
      </w:r>
      <w:proofErr w:type="spellEnd"/>
      <w:r w:rsidRPr="00DE5D97">
        <w:rPr>
          <w:rFonts w:ascii="Times New Roman" w:eastAsia="Times New Roman" w:hAnsi="Times New Roman" w:cs="Times New Roman"/>
          <w:color w:val="000000"/>
        </w:rPr>
        <w:t xml:space="preserve">, M., </w:t>
      </w:r>
      <w:proofErr w:type="spellStart"/>
      <w:r w:rsidRPr="00DE5D97">
        <w:rPr>
          <w:rFonts w:ascii="Times New Roman" w:eastAsia="Times New Roman" w:hAnsi="Times New Roman" w:cs="Times New Roman"/>
          <w:color w:val="000000"/>
        </w:rPr>
        <w:t>Wilkiewicz</w:t>
      </w:r>
      <w:proofErr w:type="spellEnd"/>
      <w:r w:rsidRPr="00DE5D97">
        <w:rPr>
          <w:rFonts w:ascii="Times New Roman" w:eastAsia="Times New Roman" w:hAnsi="Times New Roman" w:cs="Times New Roman"/>
          <w:color w:val="000000"/>
        </w:rPr>
        <w:t xml:space="preserve">, J., Zhang, X., &amp; </w:t>
      </w:r>
      <w:proofErr w:type="spellStart"/>
      <w:r w:rsidRPr="00DE5D97">
        <w:rPr>
          <w:rFonts w:ascii="Times New Roman" w:eastAsia="Times New Roman" w:hAnsi="Times New Roman" w:cs="Times New Roman"/>
          <w:color w:val="000000"/>
        </w:rPr>
        <w:t>Zinkevich</w:t>
      </w:r>
      <w:proofErr w:type="spellEnd"/>
      <w:r w:rsidRPr="00DE5D97">
        <w:rPr>
          <w:rFonts w:ascii="Times New Roman" w:eastAsia="Times New Roman" w:hAnsi="Times New Roman" w:cs="Times New Roman"/>
          <w:color w:val="000000"/>
        </w:rPr>
        <w:t xml:space="preserve">, M. (2017, August). </w:t>
      </w:r>
      <w:proofErr w:type="spellStart"/>
      <w:r w:rsidRPr="00DE5D97">
        <w:rPr>
          <w:rFonts w:ascii="Times New Roman" w:eastAsia="Times New Roman" w:hAnsi="Times New Roman" w:cs="Times New Roman"/>
          <w:color w:val="000000"/>
        </w:rPr>
        <w:t>Tfx</w:t>
      </w:r>
      <w:proofErr w:type="spellEnd"/>
      <w:r w:rsidRPr="00DE5D97">
        <w:rPr>
          <w:rFonts w:ascii="Times New Roman" w:eastAsia="Times New Roman" w:hAnsi="Times New Roman" w:cs="Times New Roman"/>
          <w:color w:val="000000"/>
        </w:rPr>
        <w:t xml:space="preserve">: A </w:t>
      </w:r>
      <w:proofErr w:type="spellStart"/>
      <w:r w:rsidRPr="00DE5D97">
        <w:rPr>
          <w:rFonts w:ascii="Times New Roman" w:eastAsia="Times New Roman" w:hAnsi="Times New Roman" w:cs="Times New Roman"/>
          <w:color w:val="000000"/>
        </w:rPr>
        <w:t>tensorflow</w:t>
      </w:r>
      <w:proofErr w:type="spellEnd"/>
      <w:r w:rsidRPr="00DE5D97">
        <w:rPr>
          <w:rFonts w:ascii="Times New Roman" w:eastAsia="Times New Roman" w:hAnsi="Times New Roman" w:cs="Times New Roman"/>
          <w:color w:val="000000"/>
        </w:rPr>
        <w:t xml:space="preserve">-based production-scale </w:t>
      </w:r>
      <w:r w:rsidRPr="00DE5D97">
        <w:rPr>
          <w:rFonts w:ascii="Times New Roman" w:eastAsia="Times New Roman" w:hAnsi="Times New Roman" w:cs="Times New Roman"/>
          <w:color w:val="000000"/>
        </w:rPr>
        <w:lastRenderedPageBreak/>
        <w:t xml:space="preserve">machine learning platform. In Proceedings of the 23rd ACM SIGKDD international conference on knowledge discovery and data mining (pp. 1387-1395). </w:t>
      </w:r>
      <w:hyperlink r:id="rId16" w:history="1">
        <w:r w:rsidRPr="007468C6">
          <w:rPr>
            <w:rStyle w:val="Hyperlink"/>
            <w:rFonts w:ascii="Times New Roman" w:eastAsia="Times New Roman" w:hAnsi="Times New Roman" w:cs="Times New Roman"/>
          </w:rPr>
          <w:t>https://doi.org/10.1145/3097983.3098021</w:t>
        </w:r>
      </w:hyperlink>
      <w:r>
        <w:rPr>
          <w:rFonts w:ascii="Times New Roman" w:eastAsia="Times New Roman" w:hAnsi="Times New Roman" w:cs="Times New Roman"/>
          <w:color w:val="000000"/>
        </w:rPr>
        <w:t xml:space="preserve"> </w:t>
      </w:r>
    </w:p>
    <w:p w14:paraId="692C9BAA" w14:textId="2B476DAE" w:rsidR="003D186C" w:rsidRDefault="00EF57D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EF57D0">
        <w:rPr>
          <w:rFonts w:ascii="Times New Roman" w:eastAsia="Times New Roman" w:hAnsi="Times New Roman" w:cs="Times New Roman"/>
          <w:color w:val="000000"/>
        </w:rPr>
        <w:t>Benidis</w:t>
      </w:r>
      <w:proofErr w:type="spellEnd"/>
      <w:r w:rsidRPr="00EF57D0">
        <w:rPr>
          <w:rFonts w:ascii="Times New Roman" w:eastAsia="Times New Roman" w:hAnsi="Times New Roman" w:cs="Times New Roman"/>
          <w:color w:val="000000"/>
        </w:rPr>
        <w:t xml:space="preserve">, K., </w:t>
      </w:r>
      <w:proofErr w:type="spellStart"/>
      <w:r w:rsidRPr="00EF57D0">
        <w:rPr>
          <w:rFonts w:ascii="Times New Roman" w:eastAsia="Times New Roman" w:hAnsi="Times New Roman" w:cs="Times New Roman"/>
          <w:color w:val="000000"/>
        </w:rPr>
        <w:t>Rangapuram</w:t>
      </w:r>
      <w:proofErr w:type="spellEnd"/>
      <w:r w:rsidRPr="00EF57D0">
        <w:rPr>
          <w:rFonts w:ascii="Times New Roman" w:eastAsia="Times New Roman" w:hAnsi="Times New Roman" w:cs="Times New Roman"/>
          <w:color w:val="000000"/>
        </w:rPr>
        <w:t xml:space="preserve">, S. S., </w:t>
      </w:r>
      <w:proofErr w:type="spellStart"/>
      <w:r w:rsidRPr="00EF57D0">
        <w:rPr>
          <w:rFonts w:ascii="Times New Roman" w:eastAsia="Times New Roman" w:hAnsi="Times New Roman" w:cs="Times New Roman"/>
          <w:color w:val="000000"/>
        </w:rPr>
        <w:t>Flunkert</w:t>
      </w:r>
      <w:proofErr w:type="spellEnd"/>
      <w:r w:rsidRPr="00EF57D0">
        <w:rPr>
          <w:rFonts w:ascii="Times New Roman" w:eastAsia="Times New Roman" w:hAnsi="Times New Roman" w:cs="Times New Roman"/>
          <w:color w:val="000000"/>
        </w:rPr>
        <w:t xml:space="preserve">, V., Wang, Y., </w:t>
      </w:r>
      <w:proofErr w:type="spellStart"/>
      <w:r w:rsidRPr="00EF57D0">
        <w:rPr>
          <w:rFonts w:ascii="Times New Roman" w:eastAsia="Times New Roman" w:hAnsi="Times New Roman" w:cs="Times New Roman"/>
          <w:color w:val="000000"/>
        </w:rPr>
        <w:t>Maddix</w:t>
      </w:r>
      <w:proofErr w:type="spellEnd"/>
      <w:r w:rsidRPr="00EF57D0">
        <w:rPr>
          <w:rFonts w:ascii="Times New Roman" w:eastAsia="Times New Roman" w:hAnsi="Times New Roman" w:cs="Times New Roman"/>
          <w:color w:val="000000"/>
        </w:rPr>
        <w:t xml:space="preserve">, D., Turkmen, C., </w:t>
      </w:r>
      <w:proofErr w:type="spellStart"/>
      <w:r w:rsidRPr="00EF57D0">
        <w:rPr>
          <w:rFonts w:ascii="Times New Roman" w:eastAsia="Times New Roman" w:hAnsi="Times New Roman" w:cs="Times New Roman"/>
          <w:color w:val="000000"/>
        </w:rPr>
        <w:t>Gasthaus</w:t>
      </w:r>
      <w:proofErr w:type="spellEnd"/>
      <w:r w:rsidRPr="00EF57D0">
        <w:rPr>
          <w:rFonts w:ascii="Times New Roman" w:eastAsia="Times New Roman" w:hAnsi="Times New Roman" w:cs="Times New Roman"/>
          <w:color w:val="000000"/>
        </w:rPr>
        <w:t xml:space="preserve">, J., </w:t>
      </w:r>
      <w:proofErr w:type="spellStart"/>
      <w:r w:rsidRPr="00EF57D0">
        <w:rPr>
          <w:rFonts w:ascii="Times New Roman" w:eastAsia="Times New Roman" w:hAnsi="Times New Roman" w:cs="Times New Roman"/>
          <w:color w:val="000000"/>
        </w:rPr>
        <w:t>Bohlke</w:t>
      </w:r>
      <w:proofErr w:type="spellEnd"/>
      <w:r w:rsidRPr="00EF57D0">
        <w:rPr>
          <w:rFonts w:ascii="Times New Roman" w:eastAsia="Times New Roman" w:hAnsi="Times New Roman" w:cs="Times New Roman"/>
          <w:color w:val="000000"/>
        </w:rPr>
        <w:t xml:space="preserve">-Schneider, M., Salinas, D., Stella, L., </w:t>
      </w:r>
      <w:proofErr w:type="spellStart"/>
      <w:r w:rsidRPr="00EF57D0">
        <w:rPr>
          <w:rFonts w:ascii="Times New Roman" w:eastAsia="Times New Roman" w:hAnsi="Times New Roman" w:cs="Times New Roman"/>
          <w:color w:val="000000"/>
        </w:rPr>
        <w:t>Aubet</w:t>
      </w:r>
      <w:proofErr w:type="spellEnd"/>
      <w:r w:rsidRPr="00EF57D0">
        <w:rPr>
          <w:rFonts w:ascii="Times New Roman" w:eastAsia="Times New Roman" w:hAnsi="Times New Roman" w:cs="Times New Roman"/>
          <w:color w:val="000000"/>
        </w:rPr>
        <w:t xml:space="preserve">, F.-X., </w:t>
      </w:r>
      <w:proofErr w:type="spellStart"/>
      <w:r w:rsidRPr="00EF57D0">
        <w:rPr>
          <w:rFonts w:ascii="Times New Roman" w:eastAsia="Times New Roman" w:hAnsi="Times New Roman" w:cs="Times New Roman"/>
          <w:color w:val="000000"/>
        </w:rPr>
        <w:t>Callot</w:t>
      </w:r>
      <w:proofErr w:type="spellEnd"/>
      <w:r w:rsidRPr="00EF57D0">
        <w:rPr>
          <w:rFonts w:ascii="Times New Roman" w:eastAsia="Times New Roman" w:hAnsi="Times New Roman" w:cs="Times New Roman"/>
          <w:color w:val="000000"/>
        </w:rPr>
        <w:t xml:space="preserve">, L., &amp; </w:t>
      </w:r>
      <w:proofErr w:type="spellStart"/>
      <w:r w:rsidRPr="00EF57D0">
        <w:rPr>
          <w:rFonts w:ascii="Times New Roman" w:eastAsia="Times New Roman" w:hAnsi="Times New Roman" w:cs="Times New Roman"/>
          <w:color w:val="000000"/>
        </w:rPr>
        <w:t>Januschowski</w:t>
      </w:r>
      <w:proofErr w:type="spellEnd"/>
      <w:r w:rsidRPr="00EF57D0">
        <w:rPr>
          <w:rFonts w:ascii="Times New Roman" w:eastAsia="Times New Roman" w:hAnsi="Times New Roman" w:cs="Times New Roman"/>
          <w:color w:val="000000"/>
        </w:rPr>
        <w:t xml:space="preserve">, T. (2022). Deep learning for time series forecasting: Tutorial and literature survey. ACM Computing Surveys, 55(6), 1-36. </w:t>
      </w:r>
      <w:hyperlink r:id="rId17" w:history="1">
        <w:r w:rsidRPr="007468C6">
          <w:rPr>
            <w:rStyle w:val="Hyperlink"/>
            <w:rFonts w:ascii="Times New Roman" w:eastAsia="Times New Roman" w:hAnsi="Times New Roman" w:cs="Times New Roman"/>
          </w:rPr>
          <w:t>https://doi.org/10.1145/3533382</w:t>
        </w:r>
      </w:hyperlink>
      <w:r>
        <w:rPr>
          <w:rFonts w:ascii="Times New Roman" w:eastAsia="Times New Roman" w:hAnsi="Times New Roman" w:cs="Times New Roman"/>
          <w:color w:val="000000"/>
        </w:rPr>
        <w:t xml:space="preserve"> </w:t>
      </w:r>
    </w:p>
    <w:p w14:paraId="6F5CAA16" w14:textId="77A0E0CE" w:rsidR="003D186C" w:rsidRDefault="00FE3777">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FE3777">
        <w:rPr>
          <w:rFonts w:ascii="Times New Roman" w:eastAsia="Times New Roman" w:hAnsi="Times New Roman" w:cs="Times New Roman"/>
          <w:color w:val="000000"/>
        </w:rPr>
        <w:t>Böse</w:t>
      </w:r>
      <w:proofErr w:type="spellEnd"/>
      <w:r w:rsidRPr="00FE3777">
        <w:rPr>
          <w:rFonts w:ascii="Times New Roman" w:eastAsia="Times New Roman" w:hAnsi="Times New Roman" w:cs="Times New Roman"/>
          <w:color w:val="000000"/>
        </w:rPr>
        <w:t xml:space="preserve">, J. H., </w:t>
      </w:r>
      <w:proofErr w:type="spellStart"/>
      <w:r w:rsidRPr="00FE3777">
        <w:rPr>
          <w:rFonts w:ascii="Times New Roman" w:eastAsia="Times New Roman" w:hAnsi="Times New Roman" w:cs="Times New Roman"/>
          <w:color w:val="000000"/>
        </w:rPr>
        <w:t>Flunkert</w:t>
      </w:r>
      <w:proofErr w:type="spellEnd"/>
      <w:r w:rsidRPr="00FE3777">
        <w:rPr>
          <w:rFonts w:ascii="Times New Roman" w:eastAsia="Times New Roman" w:hAnsi="Times New Roman" w:cs="Times New Roman"/>
          <w:color w:val="000000"/>
        </w:rPr>
        <w:t xml:space="preserve">, V., </w:t>
      </w:r>
      <w:proofErr w:type="spellStart"/>
      <w:r w:rsidRPr="00FE3777">
        <w:rPr>
          <w:rFonts w:ascii="Times New Roman" w:eastAsia="Times New Roman" w:hAnsi="Times New Roman" w:cs="Times New Roman"/>
          <w:color w:val="000000"/>
        </w:rPr>
        <w:t>Gasthaus</w:t>
      </w:r>
      <w:proofErr w:type="spellEnd"/>
      <w:r w:rsidRPr="00FE3777">
        <w:rPr>
          <w:rFonts w:ascii="Times New Roman" w:eastAsia="Times New Roman" w:hAnsi="Times New Roman" w:cs="Times New Roman"/>
          <w:color w:val="000000"/>
        </w:rPr>
        <w:t xml:space="preserve">, J., </w:t>
      </w:r>
      <w:proofErr w:type="spellStart"/>
      <w:r w:rsidRPr="00FE3777">
        <w:rPr>
          <w:rFonts w:ascii="Times New Roman" w:eastAsia="Times New Roman" w:hAnsi="Times New Roman" w:cs="Times New Roman"/>
          <w:color w:val="000000"/>
        </w:rPr>
        <w:t>Januschowski</w:t>
      </w:r>
      <w:proofErr w:type="spellEnd"/>
      <w:r w:rsidRPr="00FE3777">
        <w:rPr>
          <w:rFonts w:ascii="Times New Roman" w:eastAsia="Times New Roman" w:hAnsi="Times New Roman" w:cs="Times New Roman"/>
          <w:color w:val="000000"/>
        </w:rPr>
        <w:t xml:space="preserve">, T., Lange, D., Salinas, D., </w:t>
      </w:r>
      <w:proofErr w:type="spellStart"/>
      <w:r w:rsidRPr="00FE3777">
        <w:rPr>
          <w:rFonts w:ascii="Times New Roman" w:eastAsia="Times New Roman" w:hAnsi="Times New Roman" w:cs="Times New Roman"/>
          <w:color w:val="000000"/>
        </w:rPr>
        <w:t>Schelter</w:t>
      </w:r>
      <w:proofErr w:type="spellEnd"/>
      <w:r w:rsidRPr="00FE3777">
        <w:rPr>
          <w:rFonts w:ascii="Times New Roman" w:eastAsia="Times New Roman" w:hAnsi="Times New Roman" w:cs="Times New Roman"/>
          <w:color w:val="000000"/>
        </w:rPr>
        <w:t xml:space="preserve">, S., Seeger, M., &amp; Wang, Y. (2017). Probabilistic demand forecasting at scale. Proceedings of the VLDB Endowment, 10(12), 1694-1705. </w:t>
      </w:r>
      <w:hyperlink r:id="rId18" w:history="1">
        <w:r w:rsidRPr="007468C6">
          <w:rPr>
            <w:rStyle w:val="Hyperlink"/>
            <w:rFonts w:ascii="Times New Roman" w:eastAsia="Times New Roman" w:hAnsi="Times New Roman" w:cs="Times New Roman"/>
          </w:rPr>
          <w:t>https://doi.org/10.14778/3137765.3137775</w:t>
        </w:r>
      </w:hyperlink>
      <w:r>
        <w:rPr>
          <w:rFonts w:ascii="Times New Roman" w:eastAsia="Times New Roman" w:hAnsi="Times New Roman" w:cs="Times New Roman"/>
          <w:color w:val="000000"/>
        </w:rPr>
        <w:t xml:space="preserve"> </w:t>
      </w:r>
    </w:p>
    <w:p w14:paraId="50F60C52" w14:textId="78DF7100" w:rsidR="003D186C" w:rsidRDefault="00AB5DED">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AB5DED">
        <w:rPr>
          <w:rFonts w:ascii="Times New Roman" w:eastAsia="Times New Roman" w:hAnsi="Times New Roman" w:cs="Times New Roman"/>
          <w:color w:val="000000"/>
        </w:rPr>
        <w:t xml:space="preserve">Chaney, A. J. B., Stewart, B. M., &amp; Engelhardt, B. E. (2018). How algorithmic confounding in recommendation systems increases homogeneity and decreases utility. In *Proceedings of the 12th ACM Conference on Recommender Systems* (pp. 224-232). </w:t>
      </w:r>
      <w:hyperlink r:id="rId19" w:history="1">
        <w:r w:rsidRPr="007468C6">
          <w:rPr>
            <w:rStyle w:val="Hyperlink"/>
            <w:rFonts w:ascii="Times New Roman" w:eastAsia="Times New Roman" w:hAnsi="Times New Roman" w:cs="Times New Roman"/>
          </w:rPr>
          <w:t>https://doi.org/10.1145/3240323.3240370</w:t>
        </w:r>
      </w:hyperlink>
      <w:r>
        <w:rPr>
          <w:rFonts w:ascii="Times New Roman" w:eastAsia="Times New Roman" w:hAnsi="Times New Roman" w:cs="Times New Roman"/>
          <w:color w:val="000000"/>
        </w:rPr>
        <w:t xml:space="preserve"> </w:t>
      </w:r>
    </w:p>
    <w:p w14:paraId="0A438939" w14:textId="77777777" w:rsidR="003D186C" w:rsidRDefault="00C00BC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Chen, Y., Qian, Y., Yao, Y., Wu, Z., Li, R., Zhou, Y., ... &amp; Xu, Y. (2019). Can sophisticated dispatching strategy acquired by reinforcement </w:t>
      </w:r>
      <w:proofErr w:type="gramStart"/>
      <w:r>
        <w:rPr>
          <w:rFonts w:ascii="Times New Roman" w:eastAsia="Times New Roman" w:hAnsi="Times New Roman" w:cs="Times New Roman"/>
          <w:color w:val="000000"/>
        </w:rPr>
        <w:t>learning?-</w:t>
      </w:r>
      <w:proofErr w:type="gramEnd"/>
      <w:r>
        <w:rPr>
          <w:rFonts w:ascii="Times New Roman" w:eastAsia="Times New Roman" w:hAnsi="Times New Roman" w:cs="Times New Roman"/>
          <w:color w:val="000000"/>
        </w:rPr>
        <w:t xml:space="preserve">a case study in dynamic courier dispatching system. </w:t>
      </w:r>
      <w:proofErr w:type="spellStart"/>
      <w:r>
        <w:rPr>
          <w:rFonts w:ascii="Times New Roman" w:eastAsia="Times New Roman" w:hAnsi="Times New Roman" w:cs="Times New Roman"/>
          <w:color w:val="000000"/>
        </w:rPr>
        <w:t>arXiv</w:t>
      </w:r>
      <w:proofErr w:type="spellEnd"/>
      <w:r>
        <w:rPr>
          <w:rFonts w:ascii="Times New Roman" w:eastAsia="Times New Roman" w:hAnsi="Times New Roman" w:cs="Times New Roman"/>
          <w:color w:val="000000"/>
        </w:rPr>
        <w:t xml:space="preserve"> preprint arXiv:1903.02716.</w:t>
      </w:r>
    </w:p>
    <w:p w14:paraId="5BF4049B" w14:textId="152F3C88" w:rsidR="003D186C" w:rsidRDefault="00F8698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F8698F">
        <w:rPr>
          <w:rFonts w:ascii="Times New Roman" w:eastAsia="Times New Roman" w:hAnsi="Times New Roman" w:cs="Times New Roman"/>
          <w:color w:val="000000"/>
        </w:rPr>
        <w:t xml:space="preserve">de Oliveira, M. B., Zucchi, G., Lippi, M., Cordeiro, D. F., da Silva, N. R., &amp; </w:t>
      </w:r>
      <w:proofErr w:type="spellStart"/>
      <w:r w:rsidRPr="00F8698F">
        <w:rPr>
          <w:rFonts w:ascii="Times New Roman" w:eastAsia="Times New Roman" w:hAnsi="Times New Roman" w:cs="Times New Roman"/>
          <w:color w:val="000000"/>
        </w:rPr>
        <w:t>Iori</w:t>
      </w:r>
      <w:proofErr w:type="spellEnd"/>
      <w:r w:rsidRPr="00F8698F">
        <w:rPr>
          <w:rFonts w:ascii="Times New Roman" w:eastAsia="Times New Roman" w:hAnsi="Times New Roman" w:cs="Times New Roman"/>
          <w:color w:val="000000"/>
        </w:rPr>
        <w:t xml:space="preserve">, M. (2021). Lead Time Forecasting with Machine Learning Techniques for a Pharmaceutical Supply Chain. In *Proceedings of the 23rd International Conference on Enterprise Information Systems (ICEIS)* (Vol. 1, pp. 634-641). </w:t>
      </w:r>
      <w:hyperlink r:id="rId20" w:history="1">
        <w:r w:rsidRPr="007468C6">
          <w:rPr>
            <w:rStyle w:val="Hyperlink"/>
            <w:rFonts w:ascii="Times New Roman" w:eastAsia="Times New Roman" w:hAnsi="Times New Roman" w:cs="Times New Roman"/>
          </w:rPr>
          <w:t>https://doi.org/10.5220/0010434406340641</w:t>
        </w:r>
      </w:hyperlink>
      <w:r>
        <w:rPr>
          <w:rFonts w:ascii="Times New Roman" w:eastAsia="Times New Roman" w:hAnsi="Times New Roman" w:cs="Times New Roman"/>
          <w:color w:val="000000"/>
        </w:rPr>
        <w:t xml:space="preserve"> </w:t>
      </w:r>
    </w:p>
    <w:p w14:paraId="3B61914A" w14:textId="106D1615" w:rsidR="003D186C" w:rsidRDefault="005C3B7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5C3B71">
        <w:rPr>
          <w:rFonts w:ascii="Times New Roman" w:eastAsia="Times New Roman" w:hAnsi="Times New Roman" w:cs="Times New Roman"/>
          <w:color w:val="000000"/>
        </w:rPr>
        <w:t xml:space="preserve">De Lange, M., </w:t>
      </w:r>
      <w:proofErr w:type="spellStart"/>
      <w:r w:rsidRPr="005C3B71">
        <w:rPr>
          <w:rFonts w:ascii="Times New Roman" w:eastAsia="Times New Roman" w:hAnsi="Times New Roman" w:cs="Times New Roman"/>
          <w:color w:val="000000"/>
        </w:rPr>
        <w:t>Aljundi</w:t>
      </w:r>
      <w:proofErr w:type="spellEnd"/>
      <w:r w:rsidRPr="005C3B71">
        <w:rPr>
          <w:rFonts w:ascii="Times New Roman" w:eastAsia="Times New Roman" w:hAnsi="Times New Roman" w:cs="Times New Roman"/>
          <w:color w:val="000000"/>
        </w:rPr>
        <w:t xml:space="preserve">, R., </w:t>
      </w:r>
      <w:proofErr w:type="spellStart"/>
      <w:r w:rsidRPr="005C3B71">
        <w:rPr>
          <w:rFonts w:ascii="Times New Roman" w:eastAsia="Times New Roman" w:hAnsi="Times New Roman" w:cs="Times New Roman"/>
          <w:color w:val="000000"/>
        </w:rPr>
        <w:t>Masana</w:t>
      </w:r>
      <w:proofErr w:type="spellEnd"/>
      <w:r w:rsidRPr="005C3B71">
        <w:rPr>
          <w:rFonts w:ascii="Times New Roman" w:eastAsia="Times New Roman" w:hAnsi="Times New Roman" w:cs="Times New Roman"/>
          <w:color w:val="000000"/>
        </w:rPr>
        <w:t xml:space="preserve">, M., Parisot, S., Jia, X., </w:t>
      </w:r>
      <w:proofErr w:type="spellStart"/>
      <w:r w:rsidRPr="005C3B71">
        <w:rPr>
          <w:rFonts w:ascii="Times New Roman" w:eastAsia="Times New Roman" w:hAnsi="Times New Roman" w:cs="Times New Roman"/>
          <w:color w:val="000000"/>
        </w:rPr>
        <w:t>Leonardis</w:t>
      </w:r>
      <w:proofErr w:type="spellEnd"/>
      <w:r w:rsidRPr="005C3B71">
        <w:rPr>
          <w:rFonts w:ascii="Times New Roman" w:eastAsia="Times New Roman" w:hAnsi="Times New Roman" w:cs="Times New Roman"/>
          <w:color w:val="000000"/>
        </w:rPr>
        <w:t xml:space="preserve">, A., </w:t>
      </w:r>
      <w:proofErr w:type="spellStart"/>
      <w:r w:rsidRPr="005C3B71">
        <w:rPr>
          <w:rFonts w:ascii="Times New Roman" w:eastAsia="Times New Roman" w:hAnsi="Times New Roman" w:cs="Times New Roman"/>
          <w:color w:val="000000"/>
        </w:rPr>
        <w:t>Slabaugh</w:t>
      </w:r>
      <w:proofErr w:type="spellEnd"/>
      <w:r w:rsidRPr="005C3B71">
        <w:rPr>
          <w:rFonts w:ascii="Times New Roman" w:eastAsia="Times New Roman" w:hAnsi="Times New Roman" w:cs="Times New Roman"/>
          <w:color w:val="000000"/>
        </w:rPr>
        <w:t xml:space="preserve">, G., &amp; </w:t>
      </w:r>
      <w:proofErr w:type="spellStart"/>
      <w:r w:rsidRPr="005C3B71">
        <w:rPr>
          <w:rFonts w:ascii="Times New Roman" w:eastAsia="Times New Roman" w:hAnsi="Times New Roman" w:cs="Times New Roman"/>
          <w:color w:val="000000"/>
        </w:rPr>
        <w:t>Tuytelaars</w:t>
      </w:r>
      <w:proofErr w:type="spellEnd"/>
      <w:r w:rsidRPr="005C3B71">
        <w:rPr>
          <w:rFonts w:ascii="Times New Roman" w:eastAsia="Times New Roman" w:hAnsi="Times New Roman" w:cs="Times New Roman"/>
          <w:color w:val="000000"/>
        </w:rPr>
        <w:t xml:space="preserve">, T. (2022). A continual learning survey: Defying forgetting in classification tasks. IEEE Transactions on Pattern Analysis and Machine Intelligence, 44(7), 3366-3385. </w:t>
      </w:r>
      <w:hyperlink r:id="rId21" w:history="1">
        <w:r w:rsidRPr="007468C6">
          <w:rPr>
            <w:rStyle w:val="Hyperlink"/>
            <w:rFonts w:ascii="Times New Roman" w:eastAsia="Times New Roman" w:hAnsi="Times New Roman" w:cs="Times New Roman"/>
          </w:rPr>
          <w:t>https://doi.org/10.1109/TPAMI.2021.3057446</w:t>
        </w:r>
      </w:hyperlink>
      <w:r>
        <w:rPr>
          <w:rFonts w:ascii="Times New Roman" w:eastAsia="Times New Roman" w:hAnsi="Times New Roman" w:cs="Times New Roman"/>
          <w:color w:val="000000"/>
        </w:rPr>
        <w:t xml:space="preserve"> </w:t>
      </w:r>
    </w:p>
    <w:p w14:paraId="290F9BB3" w14:textId="212F5B4E" w:rsidR="003D186C" w:rsidRDefault="00E2444B">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E2444B">
        <w:rPr>
          <w:rFonts w:ascii="Times New Roman" w:eastAsia="Times New Roman" w:hAnsi="Times New Roman" w:cs="Times New Roman"/>
          <w:color w:val="000000"/>
        </w:rPr>
        <w:t xml:space="preserve">de la </w:t>
      </w:r>
      <w:proofErr w:type="spellStart"/>
      <w:r w:rsidRPr="00E2444B">
        <w:rPr>
          <w:rFonts w:ascii="Times New Roman" w:eastAsia="Times New Roman" w:hAnsi="Times New Roman" w:cs="Times New Roman"/>
          <w:color w:val="000000"/>
        </w:rPr>
        <w:t>Rúa</w:t>
      </w:r>
      <w:proofErr w:type="spellEnd"/>
      <w:r w:rsidRPr="00E2444B">
        <w:rPr>
          <w:rFonts w:ascii="Times New Roman" w:eastAsia="Times New Roman" w:hAnsi="Times New Roman" w:cs="Times New Roman"/>
          <w:color w:val="000000"/>
        </w:rPr>
        <w:t xml:space="preserve"> Martínez, J., </w:t>
      </w:r>
      <w:proofErr w:type="spellStart"/>
      <w:r w:rsidRPr="00E2444B">
        <w:rPr>
          <w:rFonts w:ascii="Times New Roman" w:eastAsia="Times New Roman" w:hAnsi="Times New Roman" w:cs="Times New Roman"/>
          <w:color w:val="000000"/>
        </w:rPr>
        <w:t>Buso</w:t>
      </w:r>
      <w:proofErr w:type="spellEnd"/>
      <w:r w:rsidRPr="00E2444B">
        <w:rPr>
          <w:rFonts w:ascii="Times New Roman" w:eastAsia="Times New Roman" w:hAnsi="Times New Roman" w:cs="Times New Roman"/>
          <w:color w:val="000000"/>
        </w:rPr>
        <w:t xml:space="preserve">, F., </w:t>
      </w:r>
      <w:proofErr w:type="spellStart"/>
      <w:r w:rsidRPr="00E2444B">
        <w:rPr>
          <w:rFonts w:ascii="Times New Roman" w:eastAsia="Times New Roman" w:hAnsi="Times New Roman" w:cs="Times New Roman"/>
          <w:color w:val="000000"/>
        </w:rPr>
        <w:t>Kouzoupis</w:t>
      </w:r>
      <w:proofErr w:type="spellEnd"/>
      <w:r w:rsidRPr="00E2444B">
        <w:rPr>
          <w:rFonts w:ascii="Times New Roman" w:eastAsia="Times New Roman" w:hAnsi="Times New Roman" w:cs="Times New Roman"/>
          <w:color w:val="000000"/>
        </w:rPr>
        <w:t xml:space="preserve">, A., </w:t>
      </w:r>
      <w:proofErr w:type="spellStart"/>
      <w:r w:rsidRPr="00E2444B">
        <w:rPr>
          <w:rFonts w:ascii="Times New Roman" w:eastAsia="Times New Roman" w:hAnsi="Times New Roman" w:cs="Times New Roman"/>
          <w:color w:val="000000"/>
        </w:rPr>
        <w:t>Ormenisan</w:t>
      </w:r>
      <w:proofErr w:type="spellEnd"/>
      <w:r w:rsidRPr="00E2444B">
        <w:rPr>
          <w:rFonts w:ascii="Times New Roman" w:eastAsia="Times New Roman" w:hAnsi="Times New Roman" w:cs="Times New Roman"/>
          <w:color w:val="000000"/>
        </w:rPr>
        <w:t xml:space="preserve">, A. A., </w:t>
      </w:r>
      <w:proofErr w:type="spellStart"/>
      <w:r w:rsidRPr="00E2444B">
        <w:rPr>
          <w:rFonts w:ascii="Times New Roman" w:eastAsia="Times New Roman" w:hAnsi="Times New Roman" w:cs="Times New Roman"/>
          <w:color w:val="000000"/>
        </w:rPr>
        <w:t>Niazi</w:t>
      </w:r>
      <w:proofErr w:type="spellEnd"/>
      <w:r w:rsidRPr="00E2444B">
        <w:rPr>
          <w:rFonts w:ascii="Times New Roman" w:eastAsia="Times New Roman" w:hAnsi="Times New Roman" w:cs="Times New Roman"/>
          <w:color w:val="000000"/>
        </w:rPr>
        <w:t xml:space="preserve">, S., </w:t>
      </w:r>
      <w:proofErr w:type="spellStart"/>
      <w:r w:rsidRPr="00E2444B">
        <w:rPr>
          <w:rFonts w:ascii="Times New Roman" w:eastAsia="Times New Roman" w:hAnsi="Times New Roman" w:cs="Times New Roman"/>
          <w:color w:val="000000"/>
        </w:rPr>
        <w:t>Bzhalava</w:t>
      </w:r>
      <w:proofErr w:type="spellEnd"/>
      <w:r w:rsidRPr="00E2444B">
        <w:rPr>
          <w:rFonts w:ascii="Times New Roman" w:eastAsia="Times New Roman" w:hAnsi="Times New Roman" w:cs="Times New Roman"/>
          <w:color w:val="000000"/>
        </w:rPr>
        <w:t xml:space="preserve">, D., </w:t>
      </w:r>
      <w:proofErr w:type="spellStart"/>
      <w:r w:rsidRPr="00E2444B">
        <w:rPr>
          <w:rFonts w:ascii="Times New Roman" w:eastAsia="Times New Roman" w:hAnsi="Times New Roman" w:cs="Times New Roman"/>
          <w:color w:val="000000"/>
        </w:rPr>
        <w:t>Mak</w:t>
      </w:r>
      <w:proofErr w:type="spellEnd"/>
      <w:r w:rsidRPr="00E2444B">
        <w:rPr>
          <w:rFonts w:ascii="Times New Roman" w:eastAsia="Times New Roman" w:hAnsi="Times New Roman" w:cs="Times New Roman"/>
          <w:color w:val="000000"/>
        </w:rPr>
        <w:t xml:space="preserve">, K., </w:t>
      </w:r>
      <w:proofErr w:type="spellStart"/>
      <w:r w:rsidRPr="00E2444B">
        <w:rPr>
          <w:rFonts w:ascii="Times New Roman" w:eastAsia="Times New Roman" w:hAnsi="Times New Roman" w:cs="Times New Roman"/>
          <w:color w:val="000000"/>
        </w:rPr>
        <w:t>Jouffrey</w:t>
      </w:r>
      <w:proofErr w:type="spellEnd"/>
      <w:r w:rsidRPr="00E2444B">
        <w:rPr>
          <w:rFonts w:ascii="Times New Roman" w:eastAsia="Times New Roman" w:hAnsi="Times New Roman" w:cs="Times New Roman"/>
          <w:color w:val="000000"/>
        </w:rPr>
        <w:t xml:space="preserve">, V., </w:t>
      </w:r>
      <w:proofErr w:type="spellStart"/>
      <w:r w:rsidRPr="00E2444B">
        <w:rPr>
          <w:rFonts w:ascii="Times New Roman" w:eastAsia="Times New Roman" w:hAnsi="Times New Roman" w:cs="Times New Roman"/>
          <w:color w:val="000000"/>
        </w:rPr>
        <w:t>Ronström</w:t>
      </w:r>
      <w:proofErr w:type="spellEnd"/>
      <w:r w:rsidRPr="00E2444B">
        <w:rPr>
          <w:rFonts w:ascii="Times New Roman" w:eastAsia="Times New Roman" w:hAnsi="Times New Roman" w:cs="Times New Roman"/>
          <w:color w:val="000000"/>
        </w:rPr>
        <w:t xml:space="preserve">, M., Cunningham, R., </w:t>
      </w:r>
      <w:proofErr w:type="spellStart"/>
      <w:r w:rsidRPr="00E2444B">
        <w:rPr>
          <w:rFonts w:ascii="Times New Roman" w:eastAsia="Times New Roman" w:hAnsi="Times New Roman" w:cs="Times New Roman"/>
          <w:color w:val="000000"/>
        </w:rPr>
        <w:t>Zangis</w:t>
      </w:r>
      <w:proofErr w:type="spellEnd"/>
      <w:r w:rsidRPr="00E2444B">
        <w:rPr>
          <w:rFonts w:ascii="Times New Roman" w:eastAsia="Times New Roman" w:hAnsi="Times New Roman" w:cs="Times New Roman"/>
          <w:color w:val="000000"/>
        </w:rPr>
        <w:t xml:space="preserve">, R., </w:t>
      </w:r>
      <w:proofErr w:type="spellStart"/>
      <w:r w:rsidRPr="00E2444B">
        <w:rPr>
          <w:rFonts w:ascii="Times New Roman" w:eastAsia="Times New Roman" w:hAnsi="Times New Roman" w:cs="Times New Roman"/>
          <w:color w:val="000000"/>
        </w:rPr>
        <w:t>Mukhedkar</w:t>
      </w:r>
      <w:proofErr w:type="spellEnd"/>
      <w:r w:rsidRPr="00E2444B">
        <w:rPr>
          <w:rFonts w:ascii="Times New Roman" w:eastAsia="Times New Roman" w:hAnsi="Times New Roman" w:cs="Times New Roman"/>
          <w:color w:val="000000"/>
        </w:rPr>
        <w:t xml:space="preserve">, D., </w:t>
      </w:r>
      <w:proofErr w:type="spellStart"/>
      <w:r w:rsidRPr="00E2444B">
        <w:rPr>
          <w:rFonts w:ascii="Times New Roman" w:eastAsia="Times New Roman" w:hAnsi="Times New Roman" w:cs="Times New Roman"/>
          <w:color w:val="000000"/>
        </w:rPr>
        <w:t>Khazanchi</w:t>
      </w:r>
      <w:proofErr w:type="spellEnd"/>
      <w:r w:rsidRPr="00E2444B">
        <w:rPr>
          <w:rFonts w:ascii="Times New Roman" w:eastAsia="Times New Roman" w:hAnsi="Times New Roman" w:cs="Times New Roman"/>
          <w:color w:val="000000"/>
        </w:rPr>
        <w:t xml:space="preserve">, A., </w:t>
      </w:r>
      <w:proofErr w:type="spellStart"/>
      <w:r w:rsidRPr="00E2444B">
        <w:rPr>
          <w:rFonts w:ascii="Times New Roman" w:eastAsia="Times New Roman" w:hAnsi="Times New Roman" w:cs="Times New Roman"/>
          <w:color w:val="000000"/>
        </w:rPr>
        <w:t>Vlassov</w:t>
      </w:r>
      <w:proofErr w:type="spellEnd"/>
      <w:r w:rsidRPr="00E2444B">
        <w:rPr>
          <w:rFonts w:ascii="Times New Roman" w:eastAsia="Times New Roman" w:hAnsi="Times New Roman" w:cs="Times New Roman"/>
          <w:color w:val="000000"/>
        </w:rPr>
        <w:t xml:space="preserve">, V., &amp; Dowling, J. (2024). The </w:t>
      </w:r>
      <w:proofErr w:type="spellStart"/>
      <w:r w:rsidRPr="00E2444B">
        <w:rPr>
          <w:rFonts w:ascii="Times New Roman" w:eastAsia="Times New Roman" w:hAnsi="Times New Roman" w:cs="Times New Roman"/>
          <w:color w:val="000000"/>
        </w:rPr>
        <w:t>hopsworks</w:t>
      </w:r>
      <w:proofErr w:type="spellEnd"/>
      <w:r w:rsidRPr="00E2444B">
        <w:rPr>
          <w:rFonts w:ascii="Times New Roman" w:eastAsia="Times New Roman" w:hAnsi="Times New Roman" w:cs="Times New Roman"/>
          <w:color w:val="000000"/>
        </w:rPr>
        <w:t xml:space="preserve"> feature store for machine learning. In Companion of the 2024 International Conference on Management of Data (pp. 135-147). </w:t>
      </w:r>
      <w:hyperlink r:id="rId22" w:history="1">
        <w:r w:rsidRPr="007468C6">
          <w:rPr>
            <w:rStyle w:val="Hyperlink"/>
            <w:rFonts w:ascii="Times New Roman" w:eastAsia="Times New Roman" w:hAnsi="Times New Roman" w:cs="Times New Roman"/>
          </w:rPr>
          <w:t>https://doi.org/10.1145/3626246.3653389</w:t>
        </w:r>
      </w:hyperlink>
      <w:r>
        <w:rPr>
          <w:rFonts w:ascii="Times New Roman" w:eastAsia="Times New Roman" w:hAnsi="Times New Roman" w:cs="Times New Roman"/>
          <w:color w:val="000000"/>
        </w:rPr>
        <w:t xml:space="preserve"> </w:t>
      </w:r>
    </w:p>
    <w:p w14:paraId="56D4F75F" w14:textId="0ECEFBD3" w:rsidR="003D186C" w:rsidRDefault="006B0123">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6B0123">
        <w:rPr>
          <w:rFonts w:ascii="Times New Roman" w:eastAsia="Times New Roman" w:hAnsi="Times New Roman" w:cs="Times New Roman"/>
          <w:color w:val="000000"/>
        </w:rPr>
        <w:t xml:space="preserve">Deng, Y., Zhang, X., Wang, T., Wang, L., Zhang, Y., Wang, X., Zhao, S., Qi, Y., Yang, G., &amp; Peng, X. (2023). Alibaba realizes millions in cost savings through integrated demand forecasting, inventory management, price optimization, and product recommendations. INFORMS Journal on Applied Analytics, 53(1), 32-46. </w:t>
      </w:r>
      <w:hyperlink r:id="rId23" w:history="1">
        <w:r w:rsidRPr="007468C6">
          <w:rPr>
            <w:rStyle w:val="Hyperlink"/>
            <w:rFonts w:ascii="Times New Roman" w:eastAsia="Times New Roman" w:hAnsi="Times New Roman" w:cs="Times New Roman"/>
          </w:rPr>
          <w:t>https://doi.org/10.1287/inte.2022.1145</w:t>
        </w:r>
      </w:hyperlink>
      <w:r>
        <w:rPr>
          <w:rFonts w:ascii="Times New Roman" w:eastAsia="Times New Roman" w:hAnsi="Times New Roman" w:cs="Times New Roman"/>
          <w:color w:val="000000"/>
        </w:rPr>
        <w:t xml:space="preserve"> </w:t>
      </w:r>
    </w:p>
    <w:p w14:paraId="4322CD14" w14:textId="2912D029" w:rsidR="003D186C" w:rsidRDefault="00D61335">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D61335">
        <w:rPr>
          <w:rFonts w:ascii="Times New Roman" w:eastAsia="Times New Roman" w:hAnsi="Times New Roman" w:cs="Times New Roman"/>
          <w:color w:val="000000"/>
        </w:rPr>
        <w:t>Dragoi</w:t>
      </w:r>
      <w:proofErr w:type="spellEnd"/>
      <w:r w:rsidRPr="00D61335">
        <w:rPr>
          <w:rFonts w:ascii="Times New Roman" w:eastAsia="Times New Roman" w:hAnsi="Times New Roman" w:cs="Times New Roman"/>
          <w:color w:val="000000"/>
        </w:rPr>
        <w:t xml:space="preserve">, M., </w:t>
      </w:r>
      <w:proofErr w:type="spellStart"/>
      <w:r w:rsidRPr="00D61335">
        <w:rPr>
          <w:rFonts w:ascii="Times New Roman" w:eastAsia="Times New Roman" w:hAnsi="Times New Roman" w:cs="Times New Roman"/>
          <w:color w:val="000000"/>
        </w:rPr>
        <w:t>Burceanu</w:t>
      </w:r>
      <w:proofErr w:type="spellEnd"/>
      <w:r w:rsidRPr="00D61335">
        <w:rPr>
          <w:rFonts w:ascii="Times New Roman" w:eastAsia="Times New Roman" w:hAnsi="Times New Roman" w:cs="Times New Roman"/>
          <w:color w:val="000000"/>
        </w:rPr>
        <w:t xml:space="preserve">, E., Haller, E., </w:t>
      </w:r>
      <w:proofErr w:type="spellStart"/>
      <w:r w:rsidRPr="00D61335">
        <w:rPr>
          <w:rFonts w:ascii="Times New Roman" w:eastAsia="Times New Roman" w:hAnsi="Times New Roman" w:cs="Times New Roman"/>
          <w:color w:val="000000"/>
        </w:rPr>
        <w:t>Manolache</w:t>
      </w:r>
      <w:proofErr w:type="spellEnd"/>
      <w:r w:rsidRPr="00D61335">
        <w:rPr>
          <w:rFonts w:ascii="Times New Roman" w:eastAsia="Times New Roman" w:hAnsi="Times New Roman" w:cs="Times New Roman"/>
          <w:color w:val="000000"/>
        </w:rPr>
        <w:t xml:space="preserve">, A., &amp; Brad, F. (2022). </w:t>
      </w:r>
      <w:proofErr w:type="spellStart"/>
      <w:r w:rsidRPr="00D61335">
        <w:rPr>
          <w:rFonts w:ascii="Times New Roman" w:eastAsia="Times New Roman" w:hAnsi="Times New Roman" w:cs="Times New Roman"/>
          <w:color w:val="000000"/>
        </w:rPr>
        <w:t>AnoShift</w:t>
      </w:r>
      <w:proofErr w:type="spellEnd"/>
      <w:r w:rsidRPr="00D61335">
        <w:rPr>
          <w:rFonts w:ascii="Times New Roman" w:eastAsia="Times New Roman" w:hAnsi="Times New Roman" w:cs="Times New Roman"/>
          <w:color w:val="000000"/>
        </w:rPr>
        <w:t xml:space="preserve">: A distribution shift benchmark for unsupervised anomaly detection. Advances in Neural Information Processing Systems, 35, 32854-32867. </w:t>
      </w:r>
      <w:hyperlink r:id="rId24" w:history="1">
        <w:r w:rsidRPr="007468C6">
          <w:rPr>
            <w:rStyle w:val="Hyperlink"/>
            <w:rFonts w:ascii="Times New Roman" w:eastAsia="Times New Roman" w:hAnsi="Times New Roman" w:cs="Times New Roman"/>
          </w:rPr>
          <w:t>https://neurips.cc/Conferences/2022/Schedule?showEvent=29000</w:t>
        </w:r>
      </w:hyperlink>
      <w:r>
        <w:rPr>
          <w:rFonts w:ascii="Times New Roman" w:eastAsia="Times New Roman" w:hAnsi="Times New Roman" w:cs="Times New Roman"/>
          <w:color w:val="000000"/>
        </w:rPr>
        <w:t xml:space="preserve"> </w:t>
      </w:r>
    </w:p>
    <w:p w14:paraId="292262BE" w14:textId="4D13AE21" w:rsidR="003D186C" w:rsidRDefault="007340B2">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7340B2">
        <w:rPr>
          <w:rFonts w:ascii="Times New Roman" w:eastAsia="Times New Roman" w:hAnsi="Times New Roman" w:cs="Times New Roman"/>
          <w:color w:val="000000"/>
        </w:rPr>
        <w:t xml:space="preserve">Garg, S., Wu, Y., Balakrishnan, S., &amp; Lipton, Z. (2020). A unified view of label shift estimation. Advances in Neural Information Processing Systems. </w:t>
      </w:r>
      <w:hyperlink r:id="rId25" w:history="1">
        <w:r w:rsidRPr="007468C6">
          <w:rPr>
            <w:rStyle w:val="Hyperlink"/>
            <w:rFonts w:ascii="Times New Roman" w:eastAsia="Times New Roman" w:hAnsi="Times New Roman" w:cs="Times New Roman"/>
          </w:rPr>
          <w:t>https://doi.org/10.5591/0609.2020.1000</w:t>
        </w:r>
      </w:hyperlink>
      <w:r>
        <w:rPr>
          <w:rFonts w:ascii="Times New Roman" w:eastAsia="Times New Roman" w:hAnsi="Times New Roman" w:cs="Times New Roman"/>
          <w:color w:val="000000"/>
        </w:rPr>
        <w:t xml:space="preserve"> </w:t>
      </w:r>
    </w:p>
    <w:p w14:paraId="2732CAC6" w14:textId="62A8C812" w:rsidR="003D186C" w:rsidRDefault="00394F7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394F71">
        <w:rPr>
          <w:rFonts w:ascii="Times New Roman" w:eastAsia="Times New Roman" w:hAnsi="Times New Roman" w:cs="Times New Roman"/>
          <w:color w:val="000000"/>
        </w:rPr>
        <w:t>Gabellini</w:t>
      </w:r>
      <w:proofErr w:type="spellEnd"/>
      <w:r w:rsidRPr="00394F71">
        <w:rPr>
          <w:rFonts w:ascii="Times New Roman" w:eastAsia="Times New Roman" w:hAnsi="Times New Roman" w:cs="Times New Roman"/>
          <w:color w:val="000000"/>
        </w:rPr>
        <w:t xml:space="preserve">, M., </w:t>
      </w:r>
      <w:proofErr w:type="spellStart"/>
      <w:r w:rsidRPr="00394F71">
        <w:rPr>
          <w:rFonts w:ascii="Times New Roman" w:eastAsia="Times New Roman" w:hAnsi="Times New Roman" w:cs="Times New Roman"/>
          <w:color w:val="000000"/>
        </w:rPr>
        <w:t>Civolani</w:t>
      </w:r>
      <w:proofErr w:type="spellEnd"/>
      <w:r w:rsidRPr="00394F71">
        <w:rPr>
          <w:rFonts w:ascii="Times New Roman" w:eastAsia="Times New Roman" w:hAnsi="Times New Roman" w:cs="Times New Roman"/>
          <w:color w:val="000000"/>
        </w:rPr>
        <w:t xml:space="preserve">, L., Calabrese, F., &amp; </w:t>
      </w:r>
      <w:proofErr w:type="spellStart"/>
      <w:r w:rsidRPr="00394F71">
        <w:rPr>
          <w:rFonts w:ascii="Times New Roman" w:eastAsia="Times New Roman" w:hAnsi="Times New Roman" w:cs="Times New Roman"/>
          <w:color w:val="000000"/>
        </w:rPr>
        <w:t>Bortolini</w:t>
      </w:r>
      <w:proofErr w:type="spellEnd"/>
      <w:r w:rsidRPr="00394F71">
        <w:rPr>
          <w:rFonts w:ascii="Times New Roman" w:eastAsia="Times New Roman" w:hAnsi="Times New Roman" w:cs="Times New Roman"/>
          <w:color w:val="000000"/>
        </w:rPr>
        <w:t xml:space="preserve">, M. (2024). A deep learning approach to predict supply chain delivery delay risk based on macroeconomic indicators: A case study in the automotive sector. Applied Sciences, 14(11), 4688. </w:t>
      </w:r>
      <w:hyperlink r:id="rId26" w:history="1">
        <w:r w:rsidRPr="007468C6">
          <w:rPr>
            <w:rStyle w:val="Hyperlink"/>
            <w:rFonts w:ascii="Times New Roman" w:eastAsia="Times New Roman" w:hAnsi="Times New Roman" w:cs="Times New Roman"/>
          </w:rPr>
          <w:t>https://doi.org/10.3390/app14114688</w:t>
        </w:r>
      </w:hyperlink>
      <w:r>
        <w:rPr>
          <w:rFonts w:ascii="Times New Roman" w:eastAsia="Times New Roman" w:hAnsi="Times New Roman" w:cs="Times New Roman"/>
          <w:color w:val="000000"/>
        </w:rPr>
        <w:t xml:space="preserve"> </w:t>
      </w:r>
    </w:p>
    <w:p w14:paraId="6299C6CC" w14:textId="3B187DB1" w:rsidR="003D186C" w:rsidRDefault="003C5F78">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3C5F78">
        <w:rPr>
          <w:rFonts w:ascii="Times New Roman" w:eastAsia="Times New Roman" w:hAnsi="Times New Roman" w:cs="Times New Roman"/>
          <w:color w:val="000000"/>
        </w:rPr>
        <w:t>Gebru</w:t>
      </w:r>
      <w:proofErr w:type="spellEnd"/>
      <w:r w:rsidRPr="003C5F78">
        <w:rPr>
          <w:rFonts w:ascii="Times New Roman" w:eastAsia="Times New Roman" w:hAnsi="Times New Roman" w:cs="Times New Roman"/>
          <w:color w:val="000000"/>
        </w:rPr>
        <w:t xml:space="preserve">, T., Morgenstern, J., </w:t>
      </w:r>
      <w:proofErr w:type="spellStart"/>
      <w:r w:rsidRPr="003C5F78">
        <w:rPr>
          <w:rFonts w:ascii="Times New Roman" w:eastAsia="Times New Roman" w:hAnsi="Times New Roman" w:cs="Times New Roman"/>
          <w:color w:val="000000"/>
        </w:rPr>
        <w:t>Vecchione</w:t>
      </w:r>
      <w:proofErr w:type="spellEnd"/>
      <w:r w:rsidRPr="003C5F78">
        <w:rPr>
          <w:rFonts w:ascii="Times New Roman" w:eastAsia="Times New Roman" w:hAnsi="Times New Roman" w:cs="Times New Roman"/>
          <w:color w:val="000000"/>
        </w:rPr>
        <w:t xml:space="preserve">, B., Vaughan, J. W., Wallach, H., </w:t>
      </w:r>
      <w:proofErr w:type="spellStart"/>
      <w:r w:rsidRPr="003C5F78">
        <w:rPr>
          <w:rFonts w:ascii="Times New Roman" w:eastAsia="Times New Roman" w:hAnsi="Times New Roman" w:cs="Times New Roman"/>
          <w:color w:val="000000"/>
        </w:rPr>
        <w:t>Daumé</w:t>
      </w:r>
      <w:proofErr w:type="spellEnd"/>
      <w:r w:rsidRPr="003C5F78">
        <w:rPr>
          <w:rFonts w:ascii="Times New Roman" w:eastAsia="Times New Roman" w:hAnsi="Times New Roman" w:cs="Times New Roman"/>
          <w:color w:val="000000"/>
        </w:rPr>
        <w:t xml:space="preserve"> III, H., &amp; Crawford, K. (2021). Datasheets for datasets. Communications of the ACM, 64(12), 86-92. </w:t>
      </w:r>
      <w:hyperlink r:id="rId27" w:history="1">
        <w:r w:rsidRPr="007468C6">
          <w:rPr>
            <w:rStyle w:val="Hyperlink"/>
            <w:rFonts w:ascii="Times New Roman" w:eastAsia="Times New Roman" w:hAnsi="Times New Roman" w:cs="Times New Roman"/>
          </w:rPr>
          <w:t>https://doi.org/10.1145/3458723</w:t>
        </w:r>
      </w:hyperlink>
      <w:r>
        <w:rPr>
          <w:rFonts w:ascii="Times New Roman" w:eastAsia="Times New Roman" w:hAnsi="Times New Roman" w:cs="Times New Roman"/>
          <w:color w:val="000000"/>
        </w:rPr>
        <w:t xml:space="preserve"> </w:t>
      </w:r>
    </w:p>
    <w:p w14:paraId="406C7B24" w14:textId="1BED78F2" w:rsidR="003D186C" w:rsidRDefault="00B14B6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B14B6F">
        <w:rPr>
          <w:rFonts w:ascii="Times New Roman" w:eastAsia="Times New Roman" w:hAnsi="Times New Roman" w:cs="Times New Roman"/>
          <w:color w:val="000000"/>
        </w:rPr>
        <w:t xml:space="preserve">Gillespie, J., da Costa, T. P., </w:t>
      </w:r>
      <w:proofErr w:type="spellStart"/>
      <w:r w:rsidRPr="00B14B6F">
        <w:rPr>
          <w:rFonts w:ascii="Times New Roman" w:eastAsia="Times New Roman" w:hAnsi="Times New Roman" w:cs="Times New Roman"/>
          <w:color w:val="000000"/>
        </w:rPr>
        <w:t>Cama-Moncunill</w:t>
      </w:r>
      <w:proofErr w:type="spellEnd"/>
      <w:r w:rsidRPr="00B14B6F">
        <w:rPr>
          <w:rFonts w:ascii="Times New Roman" w:eastAsia="Times New Roman" w:hAnsi="Times New Roman" w:cs="Times New Roman"/>
          <w:color w:val="000000"/>
        </w:rPr>
        <w:t xml:space="preserve">, X., </w:t>
      </w:r>
      <w:proofErr w:type="spellStart"/>
      <w:r w:rsidRPr="00B14B6F">
        <w:rPr>
          <w:rFonts w:ascii="Times New Roman" w:eastAsia="Times New Roman" w:hAnsi="Times New Roman" w:cs="Times New Roman"/>
          <w:color w:val="000000"/>
        </w:rPr>
        <w:t>Cadden</w:t>
      </w:r>
      <w:proofErr w:type="spellEnd"/>
      <w:r w:rsidRPr="00B14B6F">
        <w:rPr>
          <w:rFonts w:ascii="Times New Roman" w:eastAsia="Times New Roman" w:hAnsi="Times New Roman" w:cs="Times New Roman"/>
          <w:color w:val="000000"/>
        </w:rPr>
        <w:t xml:space="preserve">, T., Condell, J., </w:t>
      </w:r>
      <w:proofErr w:type="spellStart"/>
      <w:r w:rsidRPr="00B14B6F">
        <w:rPr>
          <w:rFonts w:ascii="Times New Roman" w:eastAsia="Times New Roman" w:hAnsi="Times New Roman" w:cs="Times New Roman"/>
          <w:color w:val="000000"/>
        </w:rPr>
        <w:t>Cowderoy</w:t>
      </w:r>
      <w:proofErr w:type="spellEnd"/>
      <w:r w:rsidRPr="00B14B6F">
        <w:rPr>
          <w:rFonts w:ascii="Times New Roman" w:eastAsia="Times New Roman" w:hAnsi="Times New Roman" w:cs="Times New Roman"/>
          <w:color w:val="000000"/>
        </w:rPr>
        <w:t xml:space="preserve">, T., Ramsey, E., Murphy, F., Kull, M., Gallagher, R., &amp; Ramanathan, R. (2023). Real-Time Anomaly Detection in Cold </w:t>
      </w:r>
      <w:r w:rsidRPr="00B14B6F">
        <w:rPr>
          <w:rFonts w:ascii="Times New Roman" w:eastAsia="Times New Roman" w:hAnsi="Times New Roman" w:cs="Times New Roman"/>
          <w:color w:val="000000"/>
        </w:rPr>
        <w:lastRenderedPageBreak/>
        <w:t xml:space="preserve">Chain Transportation Using IoT Technology. Sustainability, 15(3), 2255. </w:t>
      </w:r>
      <w:hyperlink r:id="rId28" w:history="1">
        <w:r w:rsidRPr="007468C6">
          <w:rPr>
            <w:rStyle w:val="Hyperlink"/>
            <w:rFonts w:ascii="Times New Roman" w:eastAsia="Times New Roman" w:hAnsi="Times New Roman" w:cs="Times New Roman"/>
          </w:rPr>
          <w:t>https://doi.org/10.3390/su15032255</w:t>
        </w:r>
      </w:hyperlink>
      <w:r>
        <w:rPr>
          <w:rFonts w:ascii="Times New Roman" w:eastAsia="Times New Roman" w:hAnsi="Times New Roman" w:cs="Times New Roman"/>
          <w:color w:val="000000"/>
        </w:rPr>
        <w:t xml:space="preserve"> </w:t>
      </w:r>
    </w:p>
    <w:p w14:paraId="1CBCF7A9" w14:textId="246E2EA2" w:rsidR="003D186C" w:rsidRDefault="00F10C5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F10C5F">
        <w:rPr>
          <w:rFonts w:ascii="Times New Roman" w:eastAsia="Times New Roman" w:hAnsi="Times New Roman" w:cs="Times New Roman"/>
          <w:color w:val="000000"/>
        </w:rPr>
        <w:t xml:space="preserve">Gomes, H. M., </w:t>
      </w:r>
      <w:proofErr w:type="spellStart"/>
      <w:r w:rsidRPr="00F10C5F">
        <w:rPr>
          <w:rFonts w:ascii="Times New Roman" w:eastAsia="Times New Roman" w:hAnsi="Times New Roman" w:cs="Times New Roman"/>
          <w:color w:val="000000"/>
        </w:rPr>
        <w:t>Bifet</w:t>
      </w:r>
      <w:proofErr w:type="spellEnd"/>
      <w:r w:rsidRPr="00F10C5F">
        <w:rPr>
          <w:rFonts w:ascii="Times New Roman" w:eastAsia="Times New Roman" w:hAnsi="Times New Roman" w:cs="Times New Roman"/>
          <w:color w:val="000000"/>
        </w:rPr>
        <w:t xml:space="preserve">, A., Read, J., </w:t>
      </w:r>
      <w:proofErr w:type="spellStart"/>
      <w:r w:rsidRPr="00F10C5F">
        <w:rPr>
          <w:rFonts w:ascii="Times New Roman" w:eastAsia="Times New Roman" w:hAnsi="Times New Roman" w:cs="Times New Roman"/>
          <w:color w:val="000000"/>
        </w:rPr>
        <w:t>Barddal</w:t>
      </w:r>
      <w:proofErr w:type="spellEnd"/>
      <w:r w:rsidRPr="00F10C5F">
        <w:rPr>
          <w:rFonts w:ascii="Times New Roman" w:eastAsia="Times New Roman" w:hAnsi="Times New Roman" w:cs="Times New Roman"/>
          <w:color w:val="000000"/>
        </w:rPr>
        <w:t xml:space="preserve">, J. P., </w:t>
      </w:r>
      <w:proofErr w:type="spellStart"/>
      <w:r w:rsidRPr="00F10C5F">
        <w:rPr>
          <w:rFonts w:ascii="Times New Roman" w:eastAsia="Times New Roman" w:hAnsi="Times New Roman" w:cs="Times New Roman"/>
          <w:color w:val="000000"/>
        </w:rPr>
        <w:t>Enembreck</w:t>
      </w:r>
      <w:proofErr w:type="spellEnd"/>
      <w:r w:rsidRPr="00F10C5F">
        <w:rPr>
          <w:rFonts w:ascii="Times New Roman" w:eastAsia="Times New Roman" w:hAnsi="Times New Roman" w:cs="Times New Roman"/>
          <w:color w:val="000000"/>
        </w:rPr>
        <w:t xml:space="preserve">, F., </w:t>
      </w:r>
      <w:proofErr w:type="spellStart"/>
      <w:r w:rsidRPr="00F10C5F">
        <w:rPr>
          <w:rFonts w:ascii="Times New Roman" w:eastAsia="Times New Roman" w:hAnsi="Times New Roman" w:cs="Times New Roman"/>
          <w:color w:val="000000"/>
        </w:rPr>
        <w:t>Pfahringer</w:t>
      </w:r>
      <w:proofErr w:type="spellEnd"/>
      <w:r w:rsidRPr="00F10C5F">
        <w:rPr>
          <w:rFonts w:ascii="Times New Roman" w:eastAsia="Times New Roman" w:hAnsi="Times New Roman" w:cs="Times New Roman"/>
          <w:color w:val="000000"/>
        </w:rPr>
        <w:t xml:space="preserve">, B., Holmes, G., &amp; </w:t>
      </w:r>
      <w:proofErr w:type="spellStart"/>
      <w:r w:rsidRPr="00F10C5F">
        <w:rPr>
          <w:rFonts w:ascii="Times New Roman" w:eastAsia="Times New Roman" w:hAnsi="Times New Roman" w:cs="Times New Roman"/>
          <w:color w:val="000000"/>
        </w:rPr>
        <w:t>Abdessalem</w:t>
      </w:r>
      <w:proofErr w:type="spellEnd"/>
      <w:r w:rsidRPr="00F10C5F">
        <w:rPr>
          <w:rFonts w:ascii="Times New Roman" w:eastAsia="Times New Roman" w:hAnsi="Times New Roman" w:cs="Times New Roman"/>
          <w:color w:val="000000"/>
        </w:rPr>
        <w:t xml:space="preserve">, T. (2017). Adaptive random forests for evolving data stream classification. Machine Learning, 106(9), 1469-1495. </w:t>
      </w:r>
      <w:hyperlink r:id="rId29" w:history="1">
        <w:r w:rsidRPr="007468C6">
          <w:rPr>
            <w:rStyle w:val="Hyperlink"/>
            <w:rFonts w:ascii="Times New Roman" w:eastAsia="Times New Roman" w:hAnsi="Times New Roman" w:cs="Times New Roman"/>
          </w:rPr>
          <w:t>https://doi.org/10.1007/s10994-017-5642-8</w:t>
        </w:r>
      </w:hyperlink>
      <w:r>
        <w:rPr>
          <w:rFonts w:ascii="Times New Roman" w:eastAsia="Times New Roman" w:hAnsi="Times New Roman" w:cs="Times New Roman"/>
          <w:color w:val="000000"/>
        </w:rPr>
        <w:t xml:space="preserve"> </w:t>
      </w:r>
    </w:p>
    <w:p w14:paraId="1875D13C" w14:textId="2028D4C4" w:rsidR="003D186C" w:rsidRDefault="00843A52">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843A52">
        <w:rPr>
          <w:rFonts w:ascii="Times New Roman" w:eastAsia="Times New Roman" w:hAnsi="Times New Roman" w:cs="Times New Roman"/>
          <w:color w:val="000000"/>
        </w:rPr>
        <w:t xml:space="preserve">Guo, B., Wang, S., Wang, H., Liu, Y., Kong, F., Zhang, D., &amp; He, T. (2023). Towards Equitable Assignment: Data-Driven Delivery Zone Partition at Last-mile Logistics. In Proceedings of the 29th ACM SIGKDD Conference on Knowledge Discovery and Data Mining. </w:t>
      </w:r>
      <w:hyperlink r:id="rId30" w:history="1">
        <w:r w:rsidRPr="007468C6">
          <w:rPr>
            <w:rStyle w:val="Hyperlink"/>
            <w:rFonts w:ascii="Times New Roman" w:eastAsia="Times New Roman" w:hAnsi="Times New Roman" w:cs="Times New Roman"/>
          </w:rPr>
          <w:t>https://doi.org/10.1145/3580305.3599915</w:t>
        </w:r>
      </w:hyperlink>
      <w:r>
        <w:rPr>
          <w:rFonts w:ascii="Times New Roman" w:eastAsia="Times New Roman" w:hAnsi="Times New Roman" w:cs="Times New Roman"/>
          <w:color w:val="000000"/>
        </w:rPr>
        <w:t xml:space="preserve"> </w:t>
      </w:r>
    </w:p>
    <w:p w14:paraId="7AE89F2B" w14:textId="4D336022" w:rsidR="003D186C" w:rsidRDefault="00935846">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935846">
        <w:rPr>
          <w:rFonts w:ascii="Times New Roman" w:eastAsia="Times New Roman" w:hAnsi="Times New Roman" w:cs="Times New Roman"/>
          <w:color w:val="000000"/>
        </w:rPr>
        <w:t>Harrabi</w:t>
      </w:r>
      <w:proofErr w:type="spellEnd"/>
      <w:r w:rsidRPr="00935846">
        <w:rPr>
          <w:rFonts w:ascii="Times New Roman" w:eastAsia="Times New Roman" w:hAnsi="Times New Roman" w:cs="Times New Roman"/>
          <w:color w:val="000000"/>
        </w:rPr>
        <w:t xml:space="preserve">, M., Hamdi, A., </w:t>
      </w:r>
      <w:proofErr w:type="spellStart"/>
      <w:r w:rsidRPr="00935846">
        <w:rPr>
          <w:rFonts w:ascii="Times New Roman" w:eastAsia="Times New Roman" w:hAnsi="Times New Roman" w:cs="Times New Roman"/>
          <w:color w:val="000000"/>
        </w:rPr>
        <w:t>Ouni</w:t>
      </w:r>
      <w:proofErr w:type="spellEnd"/>
      <w:r w:rsidRPr="00935846">
        <w:rPr>
          <w:rFonts w:ascii="Times New Roman" w:eastAsia="Times New Roman" w:hAnsi="Times New Roman" w:cs="Times New Roman"/>
          <w:color w:val="000000"/>
        </w:rPr>
        <w:t xml:space="preserve">, B., &amp; Bel </w:t>
      </w:r>
      <w:proofErr w:type="spellStart"/>
      <w:r w:rsidRPr="00935846">
        <w:rPr>
          <w:rFonts w:ascii="Times New Roman" w:eastAsia="Times New Roman" w:hAnsi="Times New Roman" w:cs="Times New Roman"/>
          <w:color w:val="000000"/>
        </w:rPr>
        <w:t>Hadj</w:t>
      </w:r>
      <w:proofErr w:type="spellEnd"/>
      <w:r w:rsidRPr="00935846">
        <w:rPr>
          <w:rFonts w:ascii="Times New Roman" w:eastAsia="Times New Roman" w:hAnsi="Times New Roman" w:cs="Times New Roman"/>
          <w:color w:val="000000"/>
        </w:rPr>
        <w:t xml:space="preserve"> </w:t>
      </w:r>
      <w:proofErr w:type="spellStart"/>
      <w:r w:rsidRPr="00935846">
        <w:rPr>
          <w:rFonts w:ascii="Times New Roman" w:eastAsia="Times New Roman" w:hAnsi="Times New Roman" w:cs="Times New Roman"/>
          <w:color w:val="000000"/>
        </w:rPr>
        <w:t>Tahar</w:t>
      </w:r>
      <w:proofErr w:type="spellEnd"/>
      <w:r w:rsidRPr="00935846">
        <w:rPr>
          <w:rFonts w:ascii="Times New Roman" w:eastAsia="Times New Roman" w:hAnsi="Times New Roman" w:cs="Times New Roman"/>
          <w:color w:val="000000"/>
        </w:rPr>
        <w:t xml:space="preserve">, J. (2024). Real-time temperature anomaly detection in vaccine refrigeration systems using deep learning on a resource-constrained microcontroller. Frontiers in Artificial Intelligence. </w:t>
      </w:r>
      <w:hyperlink r:id="rId31" w:history="1">
        <w:r w:rsidRPr="007468C6">
          <w:rPr>
            <w:rStyle w:val="Hyperlink"/>
            <w:rFonts w:ascii="Times New Roman" w:eastAsia="Times New Roman" w:hAnsi="Times New Roman" w:cs="Times New Roman"/>
          </w:rPr>
          <w:t>https://doi.org/10.3389/frai.2024.1429602</w:t>
        </w:r>
      </w:hyperlink>
      <w:r>
        <w:rPr>
          <w:rFonts w:ascii="Times New Roman" w:eastAsia="Times New Roman" w:hAnsi="Times New Roman" w:cs="Times New Roman"/>
          <w:color w:val="000000"/>
        </w:rPr>
        <w:t xml:space="preserve"> </w:t>
      </w:r>
    </w:p>
    <w:p w14:paraId="492F338D" w14:textId="33941805" w:rsidR="003D186C" w:rsidRDefault="00BE406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BE406A">
        <w:rPr>
          <w:rFonts w:ascii="Times New Roman" w:eastAsia="Times New Roman" w:hAnsi="Times New Roman" w:cs="Times New Roman"/>
          <w:color w:val="000000"/>
        </w:rPr>
        <w:t xml:space="preserve">Holstein, K., Wortman Vaughan, J., </w:t>
      </w:r>
      <w:proofErr w:type="spellStart"/>
      <w:r w:rsidRPr="00BE406A">
        <w:rPr>
          <w:rFonts w:ascii="Times New Roman" w:eastAsia="Times New Roman" w:hAnsi="Times New Roman" w:cs="Times New Roman"/>
          <w:color w:val="000000"/>
        </w:rPr>
        <w:t>Daumé</w:t>
      </w:r>
      <w:proofErr w:type="spellEnd"/>
      <w:r w:rsidRPr="00BE406A">
        <w:rPr>
          <w:rFonts w:ascii="Times New Roman" w:eastAsia="Times New Roman" w:hAnsi="Times New Roman" w:cs="Times New Roman"/>
          <w:color w:val="000000"/>
        </w:rPr>
        <w:t xml:space="preserve"> III, H., </w:t>
      </w:r>
      <w:proofErr w:type="spellStart"/>
      <w:r w:rsidRPr="00BE406A">
        <w:rPr>
          <w:rFonts w:ascii="Times New Roman" w:eastAsia="Times New Roman" w:hAnsi="Times New Roman" w:cs="Times New Roman"/>
          <w:color w:val="000000"/>
        </w:rPr>
        <w:t>Dudík</w:t>
      </w:r>
      <w:proofErr w:type="spellEnd"/>
      <w:r w:rsidRPr="00BE406A">
        <w:rPr>
          <w:rFonts w:ascii="Times New Roman" w:eastAsia="Times New Roman" w:hAnsi="Times New Roman" w:cs="Times New Roman"/>
          <w:color w:val="000000"/>
        </w:rPr>
        <w:t xml:space="preserve">, M., &amp; Wallach, H. (2019). Improving fairness in machine learning systems: What do industry practitioners </w:t>
      </w:r>
      <w:proofErr w:type="gramStart"/>
      <w:r w:rsidRPr="00BE406A">
        <w:rPr>
          <w:rFonts w:ascii="Times New Roman" w:eastAsia="Times New Roman" w:hAnsi="Times New Roman" w:cs="Times New Roman"/>
          <w:color w:val="000000"/>
        </w:rPr>
        <w:t>need?.</w:t>
      </w:r>
      <w:proofErr w:type="gramEnd"/>
      <w:r w:rsidRPr="00BE406A">
        <w:rPr>
          <w:rFonts w:ascii="Times New Roman" w:eastAsia="Times New Roman" w:hAnsi="Times New Roman" w:cs="Times New Roman"/>
          <w:color w:val="000000"/>
        </w:rPr>
        <w:t xml:space="preserve"> In Proceedings of the 2019 CHI Conference on Human Factors in Computing Systems (pp. 1-16). </w:t>
      </w:r>
      <w:hyperlink r:id="rId32" w:history="1">
        <w:r w:rsidRPr="007468C6">
          <w:rPr>
            <w:rStyle w:val="Hyperlink"/>
            <w:rFonts w:ascii="Times New Roman" w:eastAsia="Times New Roman" w:hAnsi="Times New Roman" w:cs="Times New Roman"/>
          </w:rPr>
          <w:t>https://doi.org/10.1145/3290605.3300830</w:t>
        </w:r>
      </w:hyperlink>
      <w:r>
        <w:rPr>
          <w:rFonts w:ascii="Times New Roman" w:eastAsia="Times New Roman" w:hAnsi="Times New Roman" w:cs="Times New Roman"/>
          <w:color w:val="000000"/>
        </w:rPr>
        <w:t xml:space="preserve"> </w:t>
      </w:r>
    </w:p>
    <w:p w14:paraId="32D976AC" w14:textId="3485265E" w:rsidR="003D186C" w:rsidRDefault="006A32B6">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6A32B6">
        <w:rPr>
          <w:rFonts w:ascii="Times New Roman" w:eastAsia="Times New Roman" w:hAnsi="Times New Roman" w:cs="Times New Roman"/>
          <w:color w:val="000000"/>
        </w:rPr>
        <w:t xml:space="preserve">Huber, J., &amp; </w:t>
      </w:r>
      <w:proofErr w:type="spellStart"/>
      <w:r w:rsidRPr="006A32B6">
        <w:rPr>
          <w:rFonts w:ascii="Times New Roman" w:eastAsia="Times New Roman" w:hAnsi="Times New Roman" w:cs="Times New Roman"/>
          <w:color w:val="000000"/>
        </w:rPr>
        <w:t>Stuckenschmidt</w:t>
      </w:r>
      <w:proofErr w:type="spellEnd"/>
      <w:r w:rsidRPr="006A32B6">
        <w:rPr>
          <w:rFonts w:ascii="Times New Roman" w:eastAsia="Times New Roman" w:hAnsi="Times New Roman" w:cs="Times New Roman"/>
          <w:color w:val="000000"/>
        </w:rPr>
        <w:t xml:space="preserve">, H. (2020). Daily retail demand forecasting using machine learning with emphasis on calendric special days. International Journal of Forecasting, 36(4), 1420-1438. </w:t>
      </w:r>
      <w:hyperlink r:id="rId33" w:history="1">
        <w:r w:rsidRPr="007468C6">
          <w:rPr>
            <w:rStyle w:val="Hyperlink"/>
            <w:rFonts w:ascii="Times New Roman" w:eastAsia="Times New Roman" w:hAnsi="Times New Roman" w:cs="Times New Roman"/>
          </w:rPr>
          <w:t>https://doi.org/10.1016/j.ijforecast.2020.02.005</w:t>
        </w:r>
      </w:hyperlink>
      <w:r>
        <w:rPr>
          <w:rFonts w:ascii="Times New Roman" w:eastAsia="Times New Roman" w:hAnsi="Times New Roman" w:cs="Times New Roman"/>
          <w:color w:val="000000"/>
        </w:rPr>
        <w:t xml:space="preserve"> </w:t>
      </w:r>
    </w:p>
    <w:p w14:paraId="5BAA8524" w14:textId="77777777" w:rsidR="003D186C" w:rsidRDefault="00C00BC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Jiang, L., Wang, S., Guo, B., Wang, H., Zhang, D., &amp; Wang, G. (2023, August). </w:t>
      </w:r>
      <w:proofErr w:type="spellStart"/>
      <w:r>
        <w:rPr>
          <w:rFonts w:ascii="Times New Roman" w:eastAsia="Times New Roman" w:hAnsi="Times New Roman" w:cs="Times New Roman"/>
          <w:color w:val="000000"/>
        </w:rPr>
        <w:t>FairCod</w:t>
      </w:r>
      <w:proofErr w:type="spellEnd"/>
      <w:r>
        <w:rPr>
          <w:rFonts w:ascii="Times New Roman" w:eastAsia="Times New Roman" w:hAnsi="Times New Roman" w:cs="Times New Roman"/>
          <w:color w:val="000000"/>
        </w:rPr>
        <w:t>: A fairness-aware concurrent dispatch system for large-scale instant delivery services. In Proceedings of the 29th ACM SIGKDD Conference on knowledge discovery and data mining (pp. 4229-4238).</w:t>
      </w:r>
    </w:p>
    <w:p w14:paraId="37C29C0E" w14:textId="08F1C9F1" w:rsidR="003D186C" w:rsidRDefault="007E53A9">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7E53A9">
        <w:rPr>
          <w:rFonts w:ascii="Times New Roman" w:eastAsia="Times New Roman" w:hAnsi="Times New Roman" w:cs="Times New Roman"/>
          <w:color w:val="000000"/>
        </w:rPr>
        <w:t>Karlaš</w:t>
      </w:r>
      <w:proofErr w:type="spellEnd"/>
      <w:r w:rsidRPr="007E53A9">
        <w:rPr>
          <w:rFonts w:ascii="Times New Roman" w:eastAsia="Times New Roman" w:hAnsi="Times New Roman" w:cs="Times New Roman"/>
          <w:color w:val="000000"/>
        </w:rPr>
        <w:t xml:space="preserve">, B., </w:t>
      </w:r>
      <w:proofErr w:type="spellStart"/>
      <w:r w:rsidRPr="007E53A9">
        <w:rPr>
          <w:rFonts w:ascii="Times New Roman" w:eastAsia="Times New Roman" w:hAnsi="Times New Roman" w:cs="Times New Roman"/>
          <w:color w:val="000000"/>
        </w:rPr>
        <w:t>Interlandi</w:t>
      </w:r>
      <w:proofErr w:type="spellEnd"/>
      <w:r w:rsidRPr="007E53A9">
        <w:rPr>
          <w:rFonts w:ascii="Times New Roman" w:eastAsia="Times New Roman" w:hAnsi="Times New Roman" w:cs="Times New Roman"/>
          <w:color w:val="000000"/>
        </w:rPr>
        <w:t xml:space="preserve">, M., </w:t>
      </w:r>
      <w:proofErr w:type="spellStart"/>
      <w:r w:rsidRPr="007E53A9">
        <w:rPr>
          <w:rFonts w:ascii="Times New Roman" w:eastAsia="Times New Roman" w:hAnsi="Times New Roman" w:cs="Times New Roman"/>
          <w:color w:val="000000"/>
        </w:rPr>
        <w:t>Renggli</w:t>
      </w:r>
      <w:proofErr w:type="spellEnd"/>
      <w:r w:rsidRPr="007E53A9">
        <w:rPr>
          <w:rFonts w:ascii="Times New Roman" w:eastAsia="Times New Roman" w:hAnsi="Times New Roman" w:cs="Times New Roman"/>
          <w:color w:val="000000"/>
        </w:rPr>
        <w:t xml:space="preserve">, C., Wu, W., Zhang, C., </w:t>
      </w:r>
      <w:proofErr w:type="spellStart"/>
      <w:r w:rsidRPr="007E53A9">
        <w:rPr>
          <w:rFonts w:ascii="Times New Roman" w:eastAsia="Times New Roman" w:hAnsi="Times New Roman" w:cs="Times New Roman"/>
          <w:color w:val="000000"/>
        </w:rPr>
        <w:t>Mukunthu</w:t>
      </w:r>
      <w:proofErr w:type="spellEnd"/>
      <w:r w:rsidRPr="007E53A9">
        <w:rPr>
          <w:rFonts w:ascii="Times New Roman" w:eastAsia="Times New Roman" w:hAnsi="Times New Roman" w:cs="Times New Roman"/>
          <w:color w:val="000000"/>
        </w:rPr>
        <w:t xml:space="preserve"> </w:t>
      </w:r>
      <w:proofErr w:type="spellStart"/>
      <w:r w:rsidRPr="007E53A9">
        <w:rPr>
          <w:rFonts w:ascii="Times New Roman" w:eastAsia="Times New Roman" w:hAnsi="Times New Roman" w:cs="Times New Roman"/>
          <w:color w:val="000000"/>
        </w:rPr>
        <w:t>Iyappan</w:t>
      </w:r>
      <w:proofErr w:type="spellEnd"/>
      <w:r w:rsidRPr="007E53A9">
        <w:rPr>
          <w:rFonts w:ascii="Times New Roman" w:eastAsia="Times New Roman" w:hAnsi="Times New Roman" w:cs="Times New Roman"/>
          <w:color w:val="000000"/>
        </w:rPr>
        <w:t xml:space="preserve"> </w:t>
      </w:r>
      <w:proofErr w:type="spellStart"/>
      <w:r w:rsidRPr="007E53A9">
        <w:rPr>
          <w:rFonts w:ascii="Times New Roman" w:eastAsia="Times New Roman" w:hAnsi="Times New Roman" w:cs="Times New Roman"/>
          <w:color w:val="000000"/>
        </w:rPr>
        <w:t>Babu</w:t>
      </w:r>
      <w:proofErr w:type="spellEnd"/>
      <w:r w:rsidRPr="007E53A9">
        <w:rPr>
          <w:rFonts w:ascii="Times New Roman" w:eastAsia="Times New Roman" w:hAnsi="Times New Roman" w:cs="Times New Roman"/>
          <w:color w:val="000000"/>
        </w:rPr>
        <w:t xml:space="preserve">, D., Edwards, J., Lauren, C., Xu, A., &amp; Weimer, M. (2020). Building continuous integration services for machine learning. In Proceedings of the 26th ACM SIGKDD International Conference on Knowledge Discovery &amp; Data Mining. </w:t>
      </w:r>
      <w:hyperlink r:id="rId34" w:history="1">
        <w:r w:rsidRPr="007468C6">
          <w:rPr>
            <w:rStyle w:val="Hyperlink"/>
            <w:rFonts w:ascii="Times New Roman" w:eastAsia="Times New Roman" w:hAnsi="Times New Roman" w:cs="Times New Roman"/>
          </w:rPr>
          <w:t>https://doi.org/10.1145/3394486.3403290</w:t>
        </w:r>
      </w:hyperlink>
      <w:r>
        <w:rPr>
          <w:rFonts w:ascii="Times New Roman" w:eastAsia="Times New Roman" w:hAnsi="Times New Roman" w:cs="Times New Roman"/>
          <w:color w:val="000000"/>
        </w:rPr>
        <w:t xml:space="preserve"> </w:t>
      </w:r>
    </w:p>
    <w:p w14:paraId="3FE9A718" w14:textId="0466C0C8" w:rsidR="003D186C" w:rsidRDefault="009F3ADE">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9F3ADE">
        <w:rPr>
          <w:rFonts w:ascii="Times New Roman" w:eastAsia="Times New Roman" w:hAnsi="Times New Roman" w:cs="Times New Roman"/>
          <w:color w:val="000000"/>
        </w:rPr>
        <w:t>Konovalenko</w:t>
      </w:r>
      <w:proofErr w:type="spellEnd"/>
      <w:r w:rsidRPr="009F3ADE">
        <w:rPr>
          <w:rFonts w:ascii="Times New Roman" w:eastAsia="Times New Roman" w:hAnsi="Times New Roman" w:cs="Times New Roman"/>
          <w:color w:val="000000"/>
        </w:rPr>
        <w:t xml:space="preserve">, I., Ludwig, A., &amp; Leopold, H. (2021). Real-time temperature prediction in a cold supply chain based on Newton's law of cooling. Decision Support Systems. </w:t>
      </w:r>
      <w:hyperlink r:id="rId35" w:history="1">
        <w:r w:rsidRPr="007468C6">
          <w:rPr>
            <w:rStyle w:val="Hyperlink"/>
            <w:rFonts w:ascii="Times New Roman" w:eastAsia="Times New Roman" w:hAnsi="Times New Roman" w:cs="Times New Roman"/>
          </w:rPr>
          <w:t>https://doi.org/10.1016/j.dss.2020.113451</w:t>
        </w:r>
      </w:hyperlink>
      <w:r>
        <w:rPr>
          <w:rFonts w:ascii="Times New Roman" w:eastAsia="Times New Roman" w:hAnsi="Times New Roman" w:cs="Times New Roman"/>
          <w:color w:val="000000"/>
        </w:rPr>
        <w:t xml:space="preserve"> </w:t>
      </w:r>
    </w:p>
    <w:p w14:paraId="01BC0DAD" w14:textId="396E94D7" w:rsidR="003D186C" w:rsidRDefault="00F81154">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F81154">
        <w:rPr>
          <w:rFonts w:ascii="Times New Roman" w:eastAsia="Times New Roman" w:hAnsi="Times New Roman" w:cs="Times New Roman"/>
          <w:color w:val="000000"/>
        </w:rPr>
        <w:t>Kreuzberger</w:t>
      </w:r>
      <w:proofErr w:type="spellEnd"/>
      <w:r w:rsidRPr="00F81154">
        <w:rPr>
          <w:rFonts w:ascii="Times New Roman" w:eastAsia="Times New Roman" w:hAnsi="Times New Roman" w:cs="Times New Roman"/>
          <w:color w:val="000000"/>
        </w:rPr>
        <w:t xml:space="preserve">, D., </w:t>
      </w:r>
      <w:proofErr w:type="spellStart"/>
      <w:r w:rsidRPr="00F81154">
        <w:rPr>
          <w:rFonts w:ascii="Times New Roman" w:eastAsia="Times New Roman" w:hAnsi="Times New Roman" w:cs="Times New Roman"/>
          <w:color w:val="000000"/>
        </w:rPr>
        <w:t>Kühl</w:t>
      </w:r>
      <w:proofErr w:type="spellEnd"/>
      <w:r w:rsidRPr="00F81154">
        <w:rPr>
          <w:rFonts w:ascii="Times New Roman" w:eastAsia="Times New Roman" w:hAnsi="Times New Roman" w:cs="Times New Roman"/>
          <w:color w:val="000000"/>
        </w:rPr>
        <w:t xml:space="preserve">, N., &amp; </w:t>
      </w:r>
      <w:proofErr w:type="spellStart"/>
      <w:r w:rsidRPr="00F81154">
        <w:rPr>
          <w:rFonts w:ascii="Times New Roman" w:eastAsia="Times New Roman" w:hAnsi="Times New Roman" w:cs="Times New Roman"/>
          <w:color w:val="000000"/>
        </w:rPr>
        <w:t>Hirschl</w:t>
      </w:r>
      <w:proofErr w:type="spellEnd"/>
      <w:r w:rsidRPr="00F81154">
        <w:rPr>
          <w:rFonts w:ascii="Times New Roman" w:eastAsia="Times New Roman" w:hAnsi="Times New Roman" w:cs="Times New Roman"/>
          <w:color w:val="000000"/>
        </w:rPr>
        <w:t>, S. (2023). Machine learning operations (</w:t>
      </w:r>
      <w:proofErr w:type="spellStart"/>
      <w:r w:rsidRPr="00F81154">
        <w:rPr>
          <w:rFonts w:ascii="Times New Roman" w:eastAsia="Times New Roman" w:hAnsi="Times New Roman" w:cs="Times New Roman"/>
          <w:color w:val="000000"/>
        </w:rPr>
        <w:t>mlops</w:t>
      </w:r>
      <w:proofErr w:type="spellEnd"/>
      <w:r w:rsidRPr="00F81154">
        <w:rPr>
          <w:rFonts w:ascii="Times New Roman" w:eastAsia="Times New Roman" w:hAnsi="Times New Roman" w:cs="Times New Roman"/>
          <w:color w:val="000000"/>
        </w:rPr>
        <w:t xml:space="preserve">): Overview, definition, and architecture. IEEE access, 11, 31866-31879. </w:t>
      </w:r>
      <w:hyperlink r:id="rId36" w:history="1">
        <w:r w:rsidRPr="007468C6">
          <w:rPr>
            <w:rStyle w:val="Hyperlink"/>
            <w:rFonts w:ascii="Times New Roman" w:eastAsia="Times New Roman" w:hAnsi="Times New Roman" w:cs="Times New Roman"/>
          </w:rPr>
          <w:t>https://doi.org/10.1109/ACCESS.2023.3262138</w:t>
        </w:r>
      </w:hyperlink>
      <w:r>
        <w:rPr>
          <w:rFonts w:ascii="Times New Roman" w:eastAsia="Times New Roman" w:hAnsi="Times New Roman" w:cs="Times New Roman"/>
          <w:color w:val="000000"/>
        </w:rPr>
        <w:t xml:space="preserve"> </w:t>
      </w:r>
    </w:p>
    <w:p w14:paraId="2665640A" w14:textId="105A62B6" w:rsidR="003D186C" w:rsidRDefault="0063158E">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63158E">
        <w:rPr>
          <w:rFonts w:ascii="Times New Roman" w:eastAsia="Times New Roman" w:hAnsi="Times New Roman" w:cs="Times New Roman"/>
          <w:color w:val="000000"/>
        </w:rPr>
        <w:t xml:space="preserve">Lim, B., </w:t>
      </w:r>
      <w:proofErr w:type="spellStart"/>
      <w:r w:rsidRPr="0063158E">
        <w:rPr>
          <w:rFonts w:ascii="Times New Roman" w:eastAsia="Times New Roman" w:hAnsi="Times New Roman" w:cs="Times New Roman"/>
          <w:color w:val="000000"/>
        </w:rPr>
        <w:t>Arık</w:t>
      </w:r>
      <w:proofErr w:type="spellEnd"/>
      <w:r w:rsidRPr="0063158E">
        <w:rPr>
          <w:rFonts w:ascii="Times New Roman" w:eastAsia="Times New Roman" w:hAnsi="Times New Roman" w:cs="Times New Roman"/>
          <w:color w:val="000000"/>
        </w:rPr>
        <w:t xml:space="preserve">, S. Ö., </w:t>
      </w:r>
      <w:proofErr w:type="spellStart"/>
      <w:r w:rsidRPr="0063158E">
        <w:rPr>
          <w:rFonts w:ascii="Times New Roman" w:eastAsia="Times New Roman" w:hAnsi="Times New Roman" w:cs="Times New Roman"/>
          <w:color w:val="000000"/>
        </w:rPr>
        <w:t>Loeff</w:t>
      </w:r>
      <w:proofErr w:type="spellEnd"/>
      <w:r w:rsidRPr="0063158E">
        <w:rPr>
          <w:rFonts w:ascii="Times New Roman" w:eastAsia="Times New Roman" w:hAnsi="Times New Roman" w:cs="Times New Roman"/>
          <w:color w:val="000000"/>
        </w:rPr>
        <w:t xml:space="preserve">, N., &amp; Pfister, T. (2021). Temporal fusion transformers for interpretable multi-horizon time series forecasting. International Journal of Forecasting, 37(4), 1748-1764. </w:t>
      </w:r>
      <w:hyperlink r:id="rId37" w:history="1">
        <w:r w:rsidRPr="007468C6">
          <w:rPr>
            <w:rStyle w:val="Hyperlink"/>
            <w:rFonts w:ascii="Times New Roman" w:eastAsia="Times New Roman" w:hAnsi="Times New Roman" w:cs="Times New Roman"/>
          </w:rPr>
          <w:t>https://doi.org/10.1016/j.ijforecast.2021.03.012</w:t>
        </w:r>
      </w:hyperlink>
      <w:r>
        <w:rPr>
          <w:rFonts w:ascii="Times New Roman" w:eastAsia="Times New Roman" w:hAnsi="Times New Roman" w:cs="Times New Roman"/>
          <w:color w:val="000000"/>
        </w:rPr>
        <w:t xml:space="preserve"> </w:t>
      </w:r>
    </w:p>
    <w:p w14:paraId="1ABBA456" w14:textId="06DDBA39" w:rsidR="003D186C" w:rsidRDefault="009D29E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9D29E1">
        <w:rPr>
          <w:rFonts w:ascii="Times New Roman" w:eastAsia="Times New Roman" w:hAnsi="Times New Roman" w:cs="Times New Roman"/>
          <w:color w:val="000000"/>
        </w:rPr>
        <w:t xml:space="preserve">Lipton, Z., Wang, Y.-X., &amp; </w:t>
      </w:r>
      <w:proofErr w:type="spellStart"/>
      <w:r w:rsidRPr="009D29E1">
        <w:rPr>
          <w:rFonts w:ascii="Times New Roman" w:eastAsia="Times New Roman" w:hAnsi="Times New Roman" w:cs="Times New Roman"/>
          <w:color w:val="000000"/>
        </w:rPr>
        <w:t>Smola</w:t>
      </w:r>
      <w:proofErr w:type="spellEnd"/>
      <w:r w:rsidRPr="009D29E1">
        <w:rPr>
          <w:rFonts w:ascii="Times New Roman" w:eastAsia="Times New Roman" w:hAnsi="Times New Roman" w:cs="Times New Roman"/>
          <w:color w:val="000000"/>
        </w:rPr>
        <w:t xml:space="preserve">, A. (2018). Detecting and correcting for label shift with black box predictors. In Proceedings of the 35th International Conference on Machine Learning (pp. 3122-3130). PMLR. </w:t>
      </w:r>
      <w:hyperlink r:id="rId38" w:history="1">
        <w:r w:rsidRPr="007468C6">
          <w:rPr>
            <w:rStyle w:val="Hyperlink"/>
            <w:rFonts w:ascii="Times New Roman" w:eastAsia="Times New Roman" w:hAnsi="Times New Roman" w:cs="Times New Roman"/>
          </w:rPr>
          <w:t>https://proceedings.mlr.press/v80/lipton18a.html</w:t>
        </w:r>
      </w:hyperlink>
      <w:r>
        <w:rPr>
          <w:rFonts w:ascii="Times New Roman" w:eastAsia="Times New Roman" w:hAnsi="Times New Roman" w:cs="Times New Roman"/>
          <w:color w:val="000000"/>
        </w:rPr>
        <w:t xml:space="preserve"> </w:t>
      </w:r>
    </w:p>
    <w:p w14:paraId="2B9C3369" w14:textId="685F1AC7" w:rsidR="003D186C" w:rsidRDefault="00B1193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B11931">
        <w:rPr>
          <w:rFonts w:ascii="Times New Roman" w:eastAsia="Times New Roman" w:hAnsi="Times New Roman" w:cs="Times New Roman"/>
          <w:color w:val="000000"/>
        </w:rPr>
        <w:t xml:space="preserve">Liu, Q., </w:t>
      </w:r>
      <w:proofErr w:type="spellStart"/>
      <w:r w:rsidRPr="00B11931">
        <w:rPr>
          <w:rFonts w:ascii="Times New Roman" w:eastAsia="Times New Roman" w:hAnsi="Times New Roman" w:cs="Times New Roman"/>
          <w:color w:val="000000"/>
        </w:rPr>
        <w:t>Boniol</w:t>
      </w:r>
      <w:proofErr w:type="spellEnd"/>
      <w:r w:rsidRPr="00B11931">
        <w:rPr>
          <w:rFonts w:ascii="Times New Roman" w:eastAsia="Times New Roman" w:hAnsi="Times New Roman" w:cs="Times New Roman"/>
          <w:color w:val="000000"/>
        </w:rPr>
        <w:t xml:space="preserve">, P., </w:t>
      </w:r>
      <w:proofErr w:type="spellStart"/>
      <w:r w:rsidRPr="00B11931">
        <w:rPr>
          <w:rFonts w:ascii="Times New Roman" w:eastAsia="Times New Roman" w:hAnsi="Times New Roman" w:cs="Times New Roman"/>
          <w:color w:val="000000"/>
        </w:rPr>
        <w:t>Palpanas</w:t>
      </w:r>
      <w:proofErr w:type="spellEnd"/>
      <w:r w:rsidRPr="00B11931">
        <w:rPr>
          <w:rFonts w:ascii="Times New Roman" w:eastAsia="Times New Roman" w:hAnsi="Times New Roman" w:cs="Times New Roman"/>
          <w:color w:val="000000"/>
        </w:rPr>
        <w:t xml:space="preserve">, T., &amp; </w:t>
      </w:r>
      <w:proofErr w:type="spellStart"/>
      <w:r w:rsidRPr="00B11931">
        <w:rPr>
          <w:rFonts w:ascii="Times New Roman" w:eastAsia="Times New Roman" w:hAnsi="Times New Roman" w:cs="Times New Roman"/>
          <w:color w:val="000000"/>
        </w:rPr>
        <w:t>Paparrizos</w:t>
      </w:r>
      <w:proofErr w:type="spellEnd"/>
      <w:r w:rsidRPr="00B11931">
        <w:rPr>
          <w:rFonts w:ascii="Times New Roman" w:eastAsia="Times New Roman" w:hAnsi="Times New Roman" w:cs="Times New Roman"/>
          <w:color w:val="000000"/>
        </w:rPr>
        <w:t xml:space="preserve">, J. (2024). Time-series anomaly detection: Overview and new trends. Proceedings of the VLDB Endowment (PVLDB), 17(12), 4229-4232. </w:t>
      </w:r>
      <w:hyperlink r:id="rId39" w:history="1">
        <w:r w:rsidRPr="007468C6">
          <w:rPr>
            <w:rStyle w:val="Hyperlink"/>
            <w:rFonts w:ascii="Times New Roman" w:eastAsia="Times New Roman" w:hAnsi="Times New Roman" w:cs="Times New Roman"/>
          </w:rPr>
          <w:t>https://doi.org/10.14778/3685800.3685842</w:t>
        </w:r>
      </w:hyperlink>
      <w:r>
        <w:rPr>
          <w:rFonts w:ascii="Times New Roman" w:eastAsia="Times New Roman" w:hAnsi="Times New Roman" w:cs="Times New Roman"/>
          <w:color w:val="000000"/>
        </w:rPr>
        <w:t xml:space="preserve"> </w:t>
      </w:r>
    </w:p>
    <w:p w14:paraId="226D1784" w14:textId="71FB7C7D" w:rsidR="003D186C" w:rsidRDefault="00116A32">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116A32">
        <w:rPr>
          <w:rFonts w:ascii="Times New Roman" w:eastAsia="Times New Roman" w:hAnsi="Times New Roman" w:cs="Times New Roman"/>
          <w:color w:val="000000"/>
        </w:rPr>
        <w:t xml:space="preserve">Liu, R., Park, K., </w:t>
      </w:r>
      <w:proofErr w:type="spellStart"/>
      <w:r w:rsidRPr="00116A32">
        <w:rPr>
          <w:rFonts w:ascii="Times New Roman" w:eastAsia="Times New Roman" w:hAnsi="Times New Roman" w:cs="Times New Roman"/>
          <w:color w:val="000000"/>
        </w:rPr>
        <w:t>Psallidas</w:t>
      </w:r>
      <w:proofErr w:type="spellEnd"/>
      <w:r w:rsidRPr="00116A32">
        <w:rPr>
          <w:rFonts w:ascii="Times New Roman" w:eastAsia="Times New Roman" w:hAnsi="Times New Roman" w:cs="Times New Roman"/>
          <w:color w:val="000000"/>
        </w:rPr>
        <w:t xml:space="preserve">, F., Zhu, X., Mo, J., Sen, R., </w:t>
      </w:r>
      <w:proofErr w:type="spellStart"/>
      <w:r w:rsidRPr="00116A32">
        <w:rPr>
          <w:rFonts w:ascii="Times New Roman" w:eastAsia="Times New Roman" w:hAnsi="Times New Roman" w:cs="Times New Roman"/>
          <w:color w:val="000000"/>
        </w:rPr>
        <w:t>Interlandi</w:t>
      </w:r>
      <w:proofErr w:type="spellEnd"/>
      <w:r w:rsidRPr="00116A32">
        <w:rPr>
          <w:rFonts w:ascii="Times New Roman" w:eastAsia="Times New Roman" w:hAnsi="Times New Roman" w:cs="Times New Roman"/>
          <w:color w:val="000000"/>
        </w:rPr>
        <w:t xml:space="preserve">, M., </w:t>
      </w:r>
      <w:proofErr w:type="spellStart"/>
      <w:r w:rsidRPr="00116A32">
        <w:rPr>
          <w:rFonts w:ascii="Times New Roman" w:eastAsia="Times New Roman" w:hAnsi="Times New Roman" w:cs="Times New Roman"/>
          <w:color w:val="000000"/>
        </w:rPr>
        <w:t>Karanasos</w:t>
      </w:r>
      <w:proofErr w:type="spellEnd"/>
      <w:r w:rsidRPr="00116A32">
        <w:rPr>
          <w:rFonts w:ascii="Times New Roman" w:eastAsia="Times New Roman" w:hAnsi="Times New Roman" w:cs="Times New Roman"/>
          <w:color w:val="000000"/>
        </w:rPr>
        <w:t xml:space="preserve">, K., Tian, Y., &amp; Camacho-Rodríguez, J. (2023). Optimizing Data Pipelines for Machine Learning in Feature Stores. Proceedings of the VLDB Endowment, 16(13), 4230-4239. </w:t>
      </w:r>
      <w:hyperlink r:id="rId40" w:history="1">
        <w:r w:rsidRPr="007468C6">
          <w:rPr>
            <w:rStyle w:val="Hyperlink"/>
            <w:rFonts w:ascii="Times New Roman" w:eastAsia="Times New Roman" w:hAnsi="Times New Roman" w:cs="Times New Roman"/>
          </w:rPr>
          <w:t>https://doi.org/10.14778/3625054.3625060</w:t>
        </w:r>
      </w:hyperlink>
      <w:r>
        <w:rPr>
          <w:rFonts w:ascii="Times New Roman" w:eastAsia="Times New Roman" w:hAnsi="Times New Roman" w:cs="Times New Roman"/>
          <w:color w:val="000000"/>
        </w:rPr>
        <w:t xml:space="preserve"> </w:t>
      </w:r>
    </w:p>
    <w:p w14:paraId="4E2BEAA9" w14:textId="7A4183AE" w:rsidR="003D186C" w:rsidRDefault="00307C75">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307C75">
        <w:rPr>
          <w:rFonts w:ascii="Times New Roman" w:eastAsia="Times New Roman" w:hAnsi="Times New Roman" w:cs="Times New Roman"/>
          <w:color w:val="000000"/>
        </w:rPr>
        <w:lastRenderedPageBreak/>
        <w:t xml:space="preserve">Liu, Y., Wu, F., </w:t>
      </w:r>
      <w:proofErr w:type="spellStart"/>
      <w:r w:rsidRPr="00307C75">
        <w:rPr>
          <w:rFonts w:ascii="Times New Roman" w:eastAsia="Times New Roman" w:hAnsi="Times New Roman" w:cs="Times New Roman"/>
          <w:color w:val="000000"/>
        </w:rPr>
        <w:t>Lyu</w:t>
      </w:r>
      <w:proofErr w:type="spellEnd"/>
      <w:r w:rsidRPr="00307C75">
        <w:rPr>
          <w:rFonts w:ascii="Times New Roman" w:eastAsia="Times New Roman" w:hAnsi="Times New Roman" w:cs="Times New Roman"/>
          <w:color w:val="000000"/>
        </w:rPr>
        <w:t xml:space="preserve">, C., Li, S., Ye, J., &amp; Qu, X. (2022). Deep dispatching: A deep reinforcement learning approach for vehicle dispatching on online ride-hailing platform. Transportation Research Part E: Logistics and Transportation Review, 161, 102694. </w:t>
      </w:r>
      <w:hyperlink r:id="rId41" w:history="1">
        <w:r w:rsidRPr="007468C6">
          <w:rPr>
            <w:rStyle w:val="Hyperlink"/>
            <w:rFonts w:ascii="Times New Roman" w:eastAsia="Times New Roman" w:hAnsi="Times New Roman" w:cs="Times New Roman"/>
          </w:rPr>
          <w:t>https://doi.org/10.1016/j.tre.2022.102694</w:t>
        </w:r>
      </w:hyperlink>
      <w:r>
        <w:rPr>
          <w:rFonts w:ascii="Times New Roman" w:eastAsia="Times New Roman" w:hAnsi="Times New Roman" w:cs="Times New Roman"/>
          <w:color w:val="000000"/>
        </w:rPr>
        <w:t xml:space="preserve"> </w:t>
      </w:r>
    </w:p>
    <w:p w14:paraId="05D628B8" w14:textId="65FF69C0" w:rsidR="003D186C" w:rsidRDefault="00B93387">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B93387">
        <w:rPr>
          <w:rFonts w:ascii="Times New Roman" w:eastAsia="Times New Roman" w:hAnsi="Times New Roman" w:cs="Times New Roman"/>
          <w:color w:val="000000"/>
        </w:rPr>
        <w:t>Madaio</w:t>
      </w:r>
      <w:proofErr w:type="spellEnd"/>
      <w:r w:rsidRPr="00B93387">
        <w:rPr>
          <w:rFonts w:ascii="Times New Roman" w:eastAsia="Times New Roman" w:hAnsi="Times New Roman" w:cs="Times New Roman"/>
          <w:color w:val="000000"/>
        </w:rPr>
        <w:t xml:space="preserve">, M. A., Stark, L., Wortman Vaughan, J., &amp; Wallach, H. (2020). Co-designing checklists to understand organizational challenges and opportunities around fairness in AI. In *Proceedings of the 2020 CHI Conference on Human Factors in Computing Systems*. </w:t>
      </w:r>
      <w:hyperlink r:id="rId42" w:history="1">
        <w:r w:rsidRPr="007468C6">
          <w:rPr>
            <w:rStyle w:val="Hyperlink"/>
            <w:rFonts w:ascii="Times New Roman" w:eastAsia="Times New Roman" w:hAnsi="Times New Roman" w:cs="Times New Roman"/>
          </w:rPr>
          <w:t>https://doi.org/10.1145/3313831.3376445</w:t>
        </w:r>
      </w:hyperlink>
      <w:r>
        <w:rPr>
          <w:rFonts w:ascii="Times New Roman" w:eastAsia="Times New Roman" w:hAnsi="Times New Roman" w:cs="Times New Roman"/>
          <w:color w:val="000000"/>
        </w:rPr>
        <w:t xml:space="preserve"> </w:t>
      </w:r>
    </w:p>
    <w:p w14:paraId="03E4CDB9" w14:textId="0B119E88" w:rsidR="003D186C" w:rsidRDefault="00D372CC">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D372CC">
        <w:rPr>
          <w:rFonts w:ascii="Times New Roman" w:eastAsia="Times New Roman" w:hAnsi="Times New Roman" w:cs="Times New Roman"/>
          <w:color w:val="000000"/>
        </w:rPr>
        <w:t>Makridakis</w:t>
      </w:r>
      <w:proofErr w:type="spellEnd"/>
      <w:r w:rsidRPr="00D372CC">
        <w:rPr>
          <w:rFonts w:ascii="Times New Roman" w:eastAsia="Times New Roman" w:hAnsi="Times New Roman" w:cs="Times New Roman"/>
          <w:color w:val="000000"/>
        </w:rPr>
        <w:t xml:space="preserve">, S., </w:t>
      </w:r>
      <w:proofErr w:type="spellStart"/>
      <w:r w:rsidRPr="00D372CC">
        <w:rPr>
          <w:rFonts w:ascii="Times New Roman" w:eastAsia="Times New Roman" w:hAnsi="Times New Roman" w:cs="Times New Roman"/>
          <w:color w:val="000000"/>
        </w:rPr>
        <w:t>Spiliotis</w:t>
      </w:r>
      <w:proofErr w:type="spellEnd"/>
      <w:r w:rsidRPr="00D372CC">
        <w:rPr>
          <w:rFonts w:ascii="Times New Roman" w:eastAsia="Times New Roman" w:hAnsi="Times New Roman" w:cs="Times New Roman"/>
          <w:color w:val="000000"/>
        </w:rPr>
        <w:t xml:space="preserve">, E., &amp; </w:t>
      </w:r>
      <w:proofErr w:type="spellStart"/>
      <w:r w:rsidRPr="00D372CC">
        <w:rPr>
          <w:rFonts w:ascii="Times New Roman" w:eastAsia="Times New Roman" w:hAnsi="Times New Roman" w:cs="Times New Roman"/>
          <w:color w:val="000000"/>
        </w:rPr>
        <w:t>Assimakopoulos</w:t>
      </w:r>
      <w:proofErr w:type="spellEnd"/>
      <w:r w:rsidRPr="00D372CC">
        <w:rPr>
          <w:rFonts w:ascii="Times New Roman" w:eastAsia="Times New Roman" w:hAnsi="Times New Roman" w:cs="Times New Roman"/>
          <w:color w:val="000000"/>
        </w:rPr>
        <w:t xml:space="preserve">, V. (2022). M5 accuracy competition: Results, findings, and conclusions. International Journal of Forecasting, 38(4), 1346-1364. </w:t>
      </w:r>
      <w:hyperlink r:id="rId43" w:history="1">
        <w:r w:rsidRPr="007468C6">
          <w:rPr>
            <w:rStyle w:val="Hyperlink"/>
            <w:rFonts w:ascii="Times New Roman" w:eastAsia="Times New Roman" w:hAnsi="Times New Roman" w:cs="Times New Roman"/>
          </w:rPr>
          <w:t>https://doi.org/10.1016/j.ijforecast.2021.11.013</w:t>
        </w:r>
      </w:hyperlink>
      <w:r>
        <w:rPr>
          <w:rFonts w:ascii="Times New Roman" w:eastAsia="Times New Roman" w:hAnsi="Times New Roman" w:cs="Times New Roman"/>
          <w:color w:val="000000"/>
        </w:rPr>
        <w:t xml:space="preserve"> </w:t>
      </w:r>
      <w:r w:rsidR="00C00BC0">
        <w:rPr>
          <w:rFonts w:ascii="Times New Roman" w:eastAsia="Times New Roman" w:hAnsi="Times New Roman" w:cs="Times New Roman"/>
          <w:color w:val="000000"/>
        </w:rPr>
        <w:t>.</w:t>
      </w:r>
    </w:p>
    <w:p w14:paraId="7BB4F27E" w14:textId="08EB9F0E" w:rsidR="003D186C" w:rsidRDefault="00FA315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FA3150">
        <w:rPr>
          <w:rFonts w:ascii="Times New Roman" w:eastAsia="Times New Roman" w:hAnsi="Times New Roman" w:cs="Times New Roman"/>
          <w:color w:val="000000"/>
        </w:rPr>
        <w:t>Mesa, J. P., Montoya, A., Ramos-</w:t>
      </w:r>
      <w:proofErr w:type="spellStart"/>
      <w:r w:rsidRPr="00FA3150">
        <w:rPr>
          <w:rFonts w:ascii="Times New Roman" w:eastAsia="Times New Roman" w:hAnsi="Times New Roman" w:cs="Times New Roman"/>
          <w:color w:val="000000"/>
        </w:rPr>
        <w:t>Pollán</w:t>
      </w:r>
      <w:proofErr w:type="spellEnd"/>
      <w:r w:rsidRPr="00FA3150">
        <w:rPr>
          <w:rFonts w:ascii="Times New Roman" w:eastAsia="Times New Roman" w:hAnsi="Times New Roman" w:cs="Times New Roman"/>
          <w:color w:val="000000"/>
        </w:rPr>
        <w:t xml:space="preserve">, R., &amp; Toro, M. (2023). A two-stage data-driven metaheuristic to predict last-mile delivery route sequences. Engineering Applications of Artificial Intelligence. </w:t>
      </w:r>
      <w:hyperlink r:id="rId44" w:history="1">
        <w:r w:rsidRPr="007468C6">
          <w:rPr>
            <w:rStyle w:val="Hyperlink"/>
            <w:rFonts w:ascii="Times New Roman" w:eastAsia="Times New Roman" w:hAnsi="Times New Roman" w:cs="Times New Roman"/>
          </w:rPr>
          <w:t>https://doi.org/10.1016/j.engappai.2023.106653</w:t>
        </w:r>
      </w:hyperlink>
      <w:r>
        <w:rPr>
          <w:rFonts w:ascii="Times New Roman" w:eastAsia="Times New Roman" w:hAnsi="Times New Roman" w:cs="Times New Roman"/>
          <w:color w:val="000000"/>
        </w:rPr>
        <w:t xml:space="preserve"> </w:t>
      </w:r>
    </w:p>
    <w:p w14:paraId="67C7C621" w14:textId="40286B5D" w:rsidR="003D186C" w:rsidRDefault="009D759D">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9D759D">
        <w:rPr>
          <w:rFonts w:ascii="Times New Roman" w:eastAsia="Times New Roman" w:hAnsi="Times New Roman" w:cs="Times New Roman"/>
          <w:color w:val="000000"/>
        </w:rPr>
        <w:t xml:space="preserve">Mitchell, M., Wu, S., </w:t>
      </w:r>
      <w:proofErr w:type="spellStart"/>
      <w:r w:rsidRPr="009D759D">
        <w:rPr>
          <w:rFonts w:ascii="Times New Roman" w:eastAsia="Times New Roman" w:hAnsi="Times New Roman" w:cs="Times New Roman"/>
          <w:color w:val="000000"/>
        </w:rPr>
        <w:t>Zaldivar</w:t>
      </w:r>
      <w:proofErr w:type="spellEnd"/>
      <w:r w:rsidRPr="009D759D">
        <w:rPr>
          <w:rFonts w:ascii="Times New Roman" w:eastAsia="Times New Roman" w:hAnsi="Times New Roman" w:cs="Times New Roman"/>
          <w:color w:val="000000"/>
        </w:rPr>
        <w:t xml:space="preserve">, A., Barnes, P., </w:t>
      </w:r>
      <w:proofErr w:type="spellStart"/>
      <w:r w:rsidRPr="009D759D">
        <w:rPr>
          <w:rFonts w:ascii="Times New Roman" w:eastAsia="Times New Roman" w:hAnsi="Times New Roman" w:cs="Times New Roman"/>
          <w:color w:val="000000"/>
        </w:rPr>
        <w:t>Vasserman</w:t>
      </w:r>
      <w:proofErr w:type="spellEnd"/>
      <w:r w:rsidRPr="009D759D">
        <w:rPr>
          <w:rFonts w:ascii="Times New Roman" w:eastAsia="Times New Roman" w:hAnsi="Times New Roman" w:cs="Times New Roman"/>
          <w:color w:val="000000"/>
        </w:rPr>
        <w:t xml:space="preserve">, L., Hutchinson, B., Spitzer, E., Raji, I. D., &amp; </w:t>
      </w:r>
      <w:proofErr w:type="spellStart"/>
      <w:r w:rsidRPr="009D759D">
        <w:rPr>
          <w:rFonts w:ascii="Times New Roman" w:eastAsia="Times New Roman" w:hAnsi="Times New Roman" w:cs="Times New Roman"/>
          <w:color w:val="000000"/>
        </w:rPr>
        <w:t>Gebru</w:t>
      </w:r>
      <w:proofErr w:type="spellEnd"/>
      <w:r w:rsidRPr="009D759D">
        <w:rPr>
          <w:rFonts w:ascii="Times New Roman" w:eastAsia="Times New Roman" w:hAnsi="Times New Roman" w:cs="Times New Roman"/>
          <w:color w:val="000000"/>
        </w:rPr>
        <w:t xml:space="preserve">, T. (2019). Model cards for model reporting. In *Proceedings of the Conference on Fairness, Accountability, and Transparency* (pp. 220-229). </w:t>
      </w:r>
      <w:hyperlink r:id="rId45" w:history="1">
        <w:r w:rsidRPr="007468C6">
          <w:rPr>
            <w:rStyle w:val="Hyperlink"/>
            <w:rFonts w:ascii="Times New Roman" w:eastAsia="Times New Roman" w:hAnsi="Times New Roman" w:cs="Times New Roman"/>
          </w:rPr>
          <w:t>https://doi.org/10.1145/3287560.3287596</w:t>
        </w:r>
      </w:hyperlink>
      <w:r>
        <w:rPr>
          <w:rFonts w:ascii="Times New Roman" w:eastAsia="Times New Roman" w:hAnsi="Times New Roman" w:cs="Times New Roman"/>
          <w:color w:val="000000"/>
        </w:rPr>
        <w:t xml:space="preserve"> </w:t>
      </w:r>
    </w:p>
    <w:p w14:paraId="7608D1A7" w14:textId="5B9202B8" w:rsidR="003D186C" w:rsidRDefault="00832CD2">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832CD2">
        <w:rPr>
          <w:rFonts w:ascii="Times New Roman" w:eastAsia="Times New Roman" w:hAnsi="Times New Roman" w:cs="Times New Roman"/>
          <w:color w:val="000000"/>
        </w:rPr>
        <w:t xml:space="preserve">Montiel, J., Read, J., </w:t>
      </w:r>
      <w:proofErr w:type="spellStart"/>
      <w:r w:rsidRPr="00832CD2">
        <w:rPr>
          <w:rFonts w:ascii="Times New Roman" w:eastAsia="Times New Roman" w:hAnsi="Times New Roman" w:cs="Times New Roman"/>
          <w:color w:val="000000"/>
        </w:rPr>
        <w:t>Bifet</w:t>
      </w:r>
      <w:proofErr w:type="spellEnd"/>
      <w:r w:rsidRPr="00832CD2">
        <w:rPr>
          <w:rFonts w:ascii="Times New Roman" w:eastAsia="Times New Roman" w:hAnsi="Times New Roman" w:cs="Times New Roman"/>
          <w:color w:val="000000"/>
        </w:rPr>
        <w:t xml:space="preserve">, A., &amp; </w:t>
      </w:r>
      <w:proofErr w:type="spellStart"/>
      <w:r w:rsidRPr="00832CD2">
        <w:rPr>
          <w:rFonts w:ascii="Times New Roman" w:eastAsia="Times New Roman" w:hAnsi="Times New Roman" w:cs="Times New Roman"/>
          <w:color w:val="000000"/>
        </w:rPr>
        <w:t>Abdessalem</w:t>
      </w:r>
      <w:proofErr w:type="spellEnd"/>
      <w:r w:rsidRPr="00832CD2">
        <w:rPr>
          <w:rFonts w:ascii="Times New Roman" w:eastAsia="Times New Roman" w:hAnsi="Times New Roman" w:cs="Times New Roman"/>
          <w:color w:val="000000"/>
        </w:rPr>
        <w:t xml:space="preserve">, T. (2018). </w:t>
      </w:r>
      <w:proofErr w:type="spellStart"/>
      <w:r w:rsidRPr="00832CD2">
        <w:rPr>
          <w:rFonts w:ascii="Times New Roman" w:eastAsia="Times New Roman" w:hAnsi="Times New Roman" w:cs="Times New Roman"/>
          <w:color w:val="000000"/>
        </w:rPr>
        <w:t>Scikit-Multiflow</w:t>
      </w:r>
      <w:proofErr w:type="spellEnd"/>
      <w:r w:rsidRPr="00832CD2">
        <w:rPr>
          <w:rFonts w:ascii="Times New Roman" w:eastAsia="Times New Roman" w:hAnsi="Times New Roman" w:cs="Times New Roman"/>
          <w:color w:val="000000"/>
        </w:rPr>
        <w:t xml:space="preserve">: A Multi-output Streaming Framework. Journal of Machine Learning Research, 19(72), 1-5. </w:t>
      </w:r>
      <w:hyperlink r:id="rId46" w:history="1">
        <w:r w:rsidRPr="007468C6">
          <w:rPr>
            <w:rStyle w:val="Hyperlink"/>
            <w:rFonts w:ascii="Times New Roman" w:eastAsia="Times New Roman" w:hAnsi="Times New Roman" w:cs="Times New Roman"/>
          </w:rPr>
          <w:t>https://doi.org/10.5555/3291125.3309634</w:t>
        </w:r>
      </w:hyperlink>
      <w:r>
        <w:rPr>
          <w:rFonts w:ascii="Times New Roman" w:eastAsia="Times New Roman" w:hAnsi="Times New Roman" w:cs="Times New Roman"/>
          <w:color w:val="000000"/>
        </w:rPr>
        <w:t xml:space="preserve"> </w:t>
      </w:r>
    </w:p>
    <w:p w14:paraId="4B5FE290" w14:textId="133E97B3" w:rsidR="003D186C" w:rsidRDefault="0052131E">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52131E">
        <w:rPr>
          <w:rFonts w:ascii="Times New Roman" w:eastAsia="Times New Roman" w:hAnsi="Times New Roman" w:cs="Times New Roman"/>
          <w:color w:val="000000"/>
        </w:rPr>
        <w:t xml:space="preserve">Montiel, J., Halford, M., </w:t>
      </w:r>
      <w:proofErr w:type="spellStart"/>
      <w:r w:rsidRPr="0052131E">
        <w:rPr>
          <w:rFonts w:ascii="Times New Roman" w:eastAsia="Times New Roman" w:hAnsi="Times New Roman" w:cs="Times New Roman"/>
          <w:color w:val="000000"/>
        </w:rPr>
        <w:t>Mastelini</w:t>
      </w:r>
      <w:proofErr w:type="spellEnd"/>
      <w:r w:rsidRPr="0052131E">
        <w:rPr>
          <w:rFonts w:ascii="Times New Roman" w:eastAsia="Times New Roman" w:hAnsi="Times New Roman" w:cs="Times New Roman"/>
          <w:color w:val="000000"/>
        </w:rPr>
        <w:t xml:space="preserve">, S. M., </w:t>
      </w:r>
      <w:proofErr w:type="spellStart"/>
      <w:r w:rsidRPr="0052131E">
        <w:rPr>
          <w:rFonts w:ascii="Times New Roman" w:eastAsia="Times New Roman" w:hAnsi="Times New Roman" w:cs="Times New Roman"/>
          <w:color w:val="000000"/>
        </w:rPr>
        <w:t>Bolmier</w:t>
      </w:r>
      <w:proofErr w:type="spellEnd"/>
      <w:r w:rsidRPr="0052131E">
        <w:rPr>
          <w:rFonts w:ascii="Times New Roman" w:eastAsia="Times New Roman" w:hAnsi="Times New Roman" w:cs="Times New Roman"/>
          <w:color w:val="000000"/>
        </w:rPr>
        <w:t xml:space="preserve">, G., </w:t>
      </w:r>
      <w:proofErr w:type="spellStart"/>
      <w:r w:rsidRPr="0052131E">
        <w:rPr>
          <w:rFonts w:ascii="Times New Roman" w:eastAsia="Times New Roman" w:hAnsi="Times New Roman" w:cs="Times New Roman"/>
          <w:color w:val="000000"/>
        </w:rPr>
        <w:t>Sourty</w:t>
      </w:r>
      <w:proofErr w:type="spellEnd"/>
      <w:r w:rsidRPr="0052131E">
        <w:rPr>
          <w:rFonts w:ascii="Times New Roman" w:eastAsia="Times New Roman" w:hAnsi="Times New Roman" w:cs="Times New Roman"/>
          <w:color w:val="000000"/>
        </w:rPr>
        <w:t xml:space="preserve">, R., </w:t>
      </w:r>
      <w:proofErr w:type="spellStart"/>
      <w:r w:rsidRPr="0052131E">
        <w:rPr>
          <w:rFonts w:ascii="Times New Roman" w:eastAsia="Times New Roman" w:hAnsi="Times New Roman" w:cs="Times New Roman"/>
          <w:color w:val="000000"/>
        </w:rPr>
        <w:t>Vaysse</w:t>
      </w:r>
      <w:proofErr w:type="spellEnd"/>
      <w:r w:rsidRPr="0052131E">
        <w:rPr>
          <w:rFonts w:ascii="Times New Roman" w:eastAsia="Times New Roman" w:hAnsi="Times New Roman" w:cs="Times New Roman"/>
          <w:color w:val="000000"/>
        </w:rPr>
        <w:t xml:space="preserve">, R., </w:t>
      </w:r>
      <w:proofErr w:type="spellStart"/>
      <w:r w:rsidRPr="0052131E">
        <w:rPr>
          <w:rFonts w:ascii="Times New Roman" w:eastAsia="Times New Roman" w:hAnsi="Times New Roman" w:cs="Times New Roman"/>
          <w:color w:val="000000"/>
        </w:rPr>
        <w:t>Zouitine</w:t>
      </w:r>
      <w:proofErr w:type="spellEnd"/>
      <w:r w:rsidRPr="0052131E">
        <w:rPr>
          <w:rFonts w:ascii="Times New Roman" w:eastAsia="Times New Roman" w:hAnsi="Times New Roman" w:cs="Times New Roman"/>
          <w:color w:val="000000"/>
        </w:rPr>
        <w:t xml:space="preserve">, A., Gomes, H. M., Read, J., </w:t>
      </w:r>
      <w:proofErr w:type="spellStart"/>
      <w:r w:rsidRPr="0052131E">
        <w:rPr>
          <w:rFonts w:ascii="Times New Roman" w:eastAsia="Times New Roman" w:hAnsi="Times New Roman" w:cs="Times New Roman"/>
          <w:color w:val="000000"/>
        </w:rPr>
        <w:t>Abdessalem</w:t>
      </w:r>
      <w:proofErr w:type="spellEnd"/>
      <w:r w:rsidRPr="0052131E">
        <w:rPr>
          <w:rFonts w:ascii="Times New Roman" w:eastAsia="Times New Roman" w:hAnsi="Times New Roman" w:cs="Times New Roman"/>
          <w:color w:val="000000"/>
        </w:rPr>
        <w:t xml:space="preserve">, T., &amp; </w:t>
      </w:r>
      <w:proofErr w:type="spellStart"/>
      <w:r w:rsidRPr="0052131E">
        <w:rPr>
          <w:rFonts w:ascii="Times New Roman" w:eastAsia="Times New Roman" w:hAnsi="Times New Roman" w:cs="Times New Roman"/>
          <w:color w:val="000000"/>
        </w:rPr>
        <w:t>Bifet</w:t>
      </w:r>
      <w:proofErr w:type="spellEnd"/>
      <w:r w:rsidRPr="0052131E">
        <w:rPr>
          <w:rFonts w:ascii="Times New Roman" w:eastAsia="Times New Roman" w:hAnsi="Times New Roman" w:cs="Times New Roman"/>
          <w:color w:val="000000"/>
        </w:rPr>
        <w:t xml:space="preserve">, A. (2021). River: Machine learning for streaming data in Python. Journal of Machine Learning Research, 22(110), 1-8. </w:t>
      </w:r>
      <w:hyperlink r:id="rId47" w:history="1">
        <w:r w:rsidRPr="007468C6">
          <w:rPr>
            <w:rStyle w:val="Hyperlink"/>
            <w:rFonts w:ascii="Times New Roman" w:eastAsia="Times New Roman" w:hAnsi="Times New Roman" w:cs="Times New Roman"/>
          </w:rPr>
          <w:t>http://jmlr.org/papers/v22/20-1380.html</w:t>
        </w:r>
      </w:hyperlink>
      <w:r>
        <w:rPr>
          <w:rFonts w:ascii="Times New Roman" w:eastAsia="Times New Roman" w:hAnsi="Times New Roman" w:cs="Times New Roman"/>
          <w:color w:val="000000"/>
        </w:rPr>
        <w:t xml:space="preserve"> </w:t>
      </w:r>
    </w:p>
    <w:p w14:paraId="3883818F" w14:textId="69F273CB" w:rsidR="003D186C" w:rsidRDefault="007D70C4">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7D70C4">
        <w:rPr>
          <w:rFonts w:ascii="Times New Roman" w:eastAsia="Times New Roman" w:hAnsi="Times New Roman" w:cs="Times New Roman"/>
          <w:color w:val="000000"/>
        </w:rPr>
        <w:t>Paleyes</w:t>
      </w:r>
      <w:proofErr w:type="spellEnd"/>
      <w:r w:rsidRPr="007D70C4">
        <w:rPr>
          <w:rFonts w:ascii="Times New Roman" w:eastAsia="Times New Roman" w:hAnsi="Times New Roman" w:cs="Times New Roman"/>
          <w:color w:val="000000"/>
        </w:rPr>
        <w:t xml:space="preserve">, A., </w:t>
      </w:r>
      <w:proofErr w:type="spellStart"/>
      <w:r w:rsidRPr="007D70C4">
        <w:rPr>
          <w:rFonts w:ascii="Times New Roman" w:eastAsia="Times New Roman" w:hAnsi="Times New Roman" w:cs="Times New Roman"/>
          <w:color w:val="000000"/>
        </w:rPr>
        <w:t>Urma</w:t>
      </w:r>
      <w:proofErr w:type="spellEnd"/>
      <w:r w:rsidRPr="007D70C4">
        <w:rPr>
          <w:rFonts w:ascii="Times New Roman" w:eastAsia="Times New Roman" w:hAnsi="Times New Roman" w:cs="Times New Roman"/>
          <w:color w:val="000000"/>
        </w:rPr>
        <w:t xml:space="preserve">, R. G., &amp; Lawrence, N. D. (2022). Challenges in deploying machine learning: A survey of case studies. ACM Computing Surveys, 55(6), 1-29. </w:t>
      </w:r>
      <w:hyperlink r:id="rId48" w:history="1">
        <w:r w:rsidRPr="007468C6">
          <w:rPr>
            <w:rStyle w:val="Hyperlink"/>
            <w:rFonts w:ascii="Times New Roman" w:eastAsia="Times New Roman" w:hAnsi="Times New Roman" w:cs="Times New Roman"/>
          </w:rPr>
          <w:t>https://doi.org/10.1145/3533378</w:t>
        </w:r>
      </w:hyperlink>
      <w:r>
        <w:rPr>
          <w:rFonts w:ascii="Times New Roman" w:eastAsia="Times New Roman" w:hAnsi="Times New Roman" w:cs="Times New Roman"/>
          <w:color w:val="000000"/>
        </w:rPr>
        <w:t xml:space="preserve"> </w:t>
      </w:r>
    </w:p>
    <w:p w14:paraId="280E1D39" w14:textId="5CF3147D" w:rsidR="003D186C" w:rsidRDefault="009E3D0B">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9E3D0B">
        <w:rPr>
          <w:rFonts w:ascii="Times New Roman" w:eastAsia="Times New Roman" w:hAnsi="Times New Roman" w:cs="Times New Roman"/>
          <w:color w:val="000000"/>
        </w:rPr>
        <w:t>Phumchusri</w:t>
      </w:r>
      <w:proofErr w:type="spellEnd"/>
      <w:r w:rsidRPr="009E3D0B">
        <w:rPr>
          <w:rFonts w:ascii="Times New Roman" w:eastAsia="Times New Roman" w:hAnsi="Times New Roman" w:cs="Times New Roman"/>
          <w:color w:val="000000"/>
        </w:rPr>
        <w:t xml:space="preserve">, N., </w:t>
      </w:r>
      <w:proofErr w:type="spellStart"/>
      <w:r w:rsidRPr="009E3D0B">
        <w:rPr>
          <w:rFonts w:ascii="Times New Roman" w:eastAsia="Times New Roman" w:hAnsi="Times New Roman" w:cs="Times New Roman"/>
          <w:color w:val="000000"/>
        </w:rPr>
        <w:t>Chewcharat</w:t>
      </w:r>
      <w:proofErr w:type="spellEnd"/>
      <w:r w:rsidRPr="009E3D0B">
        <w:rPr>
          <w:rFonts w:ascii="Times New Roman" w:eastAsia="Times New Roman" w:hAnsi="Times New Roman" w:cs="Times New Roman"/>
          <w:color w:val="000000"/>
        </w:rPr>
        <w:t xml:space="preserve">, T., &amp; </w:t>
      </w:r>
      <w:proofErr w:type="spellStart"/>
      <w:r w:rsidRPr="009E3D0B">
        <w:rPr>
          <w:rFonts w:ascii="Times New Roman" w:eastAsia="Times New Roman" w:hAnsi="Times New Roman" w:cs="Times New Roman"/>
          <w:color w:val="000000"/>
        </w:rPr>
        <w:t>Kanokpongsakorn</w:t>
      </w:r>
      <w:proofErr w:type="spellEnd"/>
      <w:r w:rsidRPr="009E3D0B">
        <w:rPr>
          <w:rFonts w:ascii="Times New Roman" w:eastAsia="Times New Roman" w:hAnsi="Times New Roman" w:cs="Times New Roman"/>
          <w:color w:val="000000"/>
        </w:rPr>
        <w:t xml:space="preserve">, S. (2024). Price promotion optimization model for multiperiod planning: a case study of beauty category products sold in a convenience store chain. Journal of Revenue and Pricing Management, 23(2), 164-178. </w:t>
      </w:r>
      <w:hyperlink r:id="rId49" w:history="1">
        <w:r w:rsidRPr="007468C6">
          <w:rPr>
            <w:rStyle w:val="Hyperlink"/>
            <w:rFonts w:ascii="Times New Roman" w:eastAsia="Times New Roman" w:hAnsi="Times New Roman" w:cs="Times New Roman"/>
          </w:rPr>
          <w:t>https://doi.org/10.1057/s41272-023-00438-6</w:t>
        </w:r>
      </w:hyperlink>
      <w:r>
        <w:rPr>
          <w:rFonts w:ascii="Times New Roman" w:eastAsia="Times New Roman" w:hAnsi="Times New Roman" w:cs="Times New Roman"/>
          <w:color w:val="000000"/>
        </w:rPr>
        <w:t xml:space="preserve"> </w:t>
      </w:r>
    </w:p>
    <w:p w14:paraId="4083D81E" w14:textId="089215B6" w:rsidR="003D186C" w:rsidRDefault="000C0DF9">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0C0DF9">
        <w:rPr>
          <w:rFonts w:ascii="Times New Roman" w:eastAsia="Times New Roman" w:hAnsi="Times New Roman" w:cs="Times New Roman"/>
          <w:color w:val="000000"/>
        </w:rPr>
        <w:t>Polyzotis</w:t>
      </w:r>
      <w:proofErr w:type="spellEnd"/>
      <w:r w:rsidRPr="000C0DF9">
        <w:rPr>
          <w:rFonts w:ascii="Times New Roman" w:eastAsia="Times New Roman" w:hAnsi="Times New Roman" w:cs="Times New Roman"/>
          <w:color w:val="000000"/>
        </w:rPr>
        <w:t xml:space="preserve">, N., </w:t>
      </w:r>
      <w:proofErr w:type="spellStart"/>
      <w:r w:rsidRPr="000C0DF9">
        <w:rPr>
          <w:rFonts w:ascii="Times New Roman" w:eastAsia="Times New Roman" w:hAnsi="Times New Roman" w:cs="Times New Roman"/>
          <w:color w:val="000000"/>
        </w:rPr>
        <w:t>Zinkevich</w:t>
      </w:r>
      <w:proofErr w:type="spellEnd"/>
      <w:r w:rsidRPr="000C0DF9">
        <w:rPr>
          <w:rFonts w:ascii="Times New Roman" w:eastAsia="Times New Roman" w:hAnsi="Times New Roman" w:cs="Times New Roman"/>
          <w:color w:val="000000"/>
        </w:rPr>
        <w:t xml:space="preserve">, M., Roy, S., Breck, E., &amp; Whang, S. (2019). Data validation for machine learning. Proceedings of Machine Learning and Systems, 1, 334-347. </w:t>
      </w:r>
      <w:hyperlink r:id="rId50" w:history="1">
        <w:r w:rsidRPr="007468C6">
          <w:rPr>
            <w:rStyle w:val="Hyperlink"/>
            <w:rFonts w:ascii="Times New Roman" w:eastAsia="Times New Roman" w:hAnsi="Times New Roman" w:cs="Times New Roman"/>
          </w:rPr>
          <w:t>https://proceedings.mlsys.org/paper/2019/file/5878a7ab84fb43402106c575658472fa-Paper.pdf</w:t>
        </w:r>
      </w:hyperlink>
      <w:r>
        <w:rPr>
          <w:rFonts w:ascii="Times New Roman" w:eastAsia="Times New Roman" w:hAnsi="Times New Roman" w:cs="Times New Roman"/>
          <w:color w:val="000000"/>
        </w:rPr>
        <w:t xml:space="preserve"> </w:t>
      </w:r>
    </w:p>
    <w:p w14:paraId="1D06CA85" w14:textId="4838E5C1" w:rsidR="003D186C" w:rsidRDefault="0067179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67179A">
        <w:rPr>
          <w:rFonts w:ascii="Times New Roman" w:eastAsia="Times New Roman" w:hAnsi="Times New Roman" w:cs="Times New Roman"/>
          <w:color w:val="000000"/>
        </w:rPr>
        <w:t xml:space="preserve">Qi, M., Shi, Y., Qi, Y., Ma, C., Yuan, R., Wu, D., &amp; Shen, Z. J. (2023). A practical end-to-end inventory management model with deep learning. Management Science, 69(2), 759-773. </w:t>
      </w:r>
      <w:hyperlink r:id="rId51" w:history="1">
        <w:r w:rsidRPr="007468C6">
          <w:rPr>
            <w:rStyle w:val="Hyperlink"/>
            <w:rFonts w:ascii="Times New Roman" w:eastAsia="Times New Roman" w:hAnsi="Times New Roman" w:cs="Times New Roman"/>
          </w:rPr>
          <w:t>https://doi.org/10.1287/mnsc.2022.4564</w:t>
        </w:r>
      </w:hyperlink>
      <w:r>
        <w:rPr>
          <w:rFonts w:ascii="Times New Roman" w:eastAsia="Times New Roman" w:hAnsi="Times New Roman" w:cs="Times New Roman"/>
          <w:color w:val="000000"/>
        </w:rPr>
        <w:t xml:space="preserve"> </w:t>
      </w:r>
    </w:p>
    <w:p w14:paraId="28941F11" w14:textId="192BD63A" w:rsidR="003D186C" w:rsidRDefault="00BF158B">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BF158B">
        <w:rPr>
          <w:rFonts w:ascii="Times New Roman" w:eastAsia="Times New Roman" w:hAnsi="Times New Roman" w:cs="Times New Roman"/>
          <w:color w:val="000000"/>
        </w:rPr>
        <w:t xml:space="preserve">Qin, Z., Tang, X., Jiao, Y., Zhang, F., Xu, Z., Zhu, H., &amp; Ye, J. (2020). Ride-hailing order dispatching at </w:t>
      </w:r>
      <w:proofErr w:type="spellStart"/>
      <w:r w:rsidRPr="00BF158B">
        <w:rPr>
          <w:rFonts w:ascii="Times New Roman" w:eastAsia="Times New Roman" w:hAnsi="Times New Roman" w:cs="Times New Roman"/>
          <w:color w:val="000000"/>
        </w:rPr>
        <w:t>didi</w:t>
      </w:r>
      <w:proofErr w:type="spellEnd"/>
      <w:r w:rsidRPr="00BF158B">
        <w:rPr>
          <w:rFonts w:ascii="Times New Roman" w:eastAsia="Times New Roman" w:hAnsi="Times New Roman" w:cs="Times New Roman"/>
          <w:color w:val="000000"/>
        </w:rPr>
        <w:t xml:space="preserve"> via reinforcement learning. INFORMS Journal on Applied Analytics, 50(5), 272-286. </w:t>
      </w:r>
      <w:hyperlink r:id="rId52" w:history="1">
        <w:r w:rsidRPr="007468C6">
          <w:rPr>
            <w:rStyle w:val="Hyperlink"/>
            <w:rFonts w:ascii="Times New Roman" w:eastAsia="Times New Roman" w:hAnsi="Times New Roman" w:cs="Times New Roman"/>
          </w:rPr>
          <w:t>https://doi.org/10.1287/inte.2020.1047</w:t>
        </w:r>
      </w:hyperlink>
      <w:r>
        <w:rPr>
          <w:rFonts w:ascii="Times New Roman" w:eastAsia="Times New Roman" w:hAnsi="Times New Roman" w:cs="Times New Roman"/>
          <w:color w:val="000000"/>
        </w:rPr>
        <w:t xml:space="preserve"> </w:t>
      </w:r>
    </w:p>
    <w:p w14:paraId="5578A558" w14:textId="1CF9B02A" w:rsidR="003D186C" w:rsidRDefault="00F94E1E">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F94E1E">
        <w:rPr>
          <w:rFonts w:ascii="Times New Roman" w:eastAsia="Times New Roman" w:hAnsi="Times New Roman" w:cs="Times New Roman"/>
          <w:color w:val="000000"/>
        </w:rPr>
        <w:t>Rabanser</w:t>
      </w:r>
      <w:proofErr w:type="spellEnd"/>
      <w:r w:rsidRPr="00F94E1E">
        <w:rPr>
          <w:rFonts w:ascii="Times New Roman" w:eastAsia="Times New Roman" w:hAnsi="Times New Roman" w:cs="Times New Roman"/>
          <w:color w:val="000000"/>
        </w:rPr>
        <w:t xml:space="preserve">, S., </w:t>
      </w:r>
      <w:proofErr w:type="spellStart"/>
      <w:r w:rsidRPr="00F94E1E">
        <w:rPr>
          <w:rFonts w:ascii="Times New Roman" w:eastAsia="Times New Roman" w:hAnsi="Times New Roman" w:cs="Times New Roman"/>
          <w:color w:val="000000"/>
        </w:rPr>
        <w:t>Günnemann</w:t>
      </w:r>
      <w:proofErr w:type="spellEnd"/>
      <w:r w:rsidRPr="00F94E1E">
        <w:rPr>
          <w:rFonts w:ascii="Times New Roman" w:eastAsia="Times New Roman" w:hAnsi="Times New Roman" w:cs="Times New Roman"/>
          <w:color w:val="000000"/>
        </w:rPr>
        <w:t xml:space="preserve">, S., &amp; Lipton, Z. (2019). Failing loudly: An empirical study of methods for detecting dataset shift. Advances in Neural Information Processing Systems, 32. </w:t>
      </w:r>
      <w:hyperlink r:id="rId53" w:history="1">
        <w:r w:rsidRPr="007468C6">
          <w:rPr>
            <w:rStyle w:val="Hyperlink"/>
            <w:rFonts w:ascii="Times New Roman" w:eastAsia="Times New Roman" w:hAnsi="Times New Roman" w:cs="Times New Roman"/>
          </w:rPr>
          <w:t>https://papers.nips.cc/paper_files/paper/2019/hash/f220e2f2a77000ad1748ad92d1750c9a-Abstract.html</w:t>
        </w:r>
      </w:hyperlink>
      <w:r>
        <w:rPr>
          <w:rFonts w:ascii="Times New Roman" w:eastAsia="Times New Roman" w:hAnsi="Times New Roman" w:cs="Times New Roman"/>
          <w:color w:val="000000"/>
        </w:rPr>
        <w:t xml:space="preserve"> </w:t>
      </w:r>
    </w:p>
    <w:p w14:paraId="106BF677" w14:textId="627F03B3" w:rsidR="003D186C" w:rsidRDefault="0084702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84702A">
        <w:rPr>
          <w:rFonts w:ascii="Times New Roman" w:eastAsia="Times New Roman" w:hAnsi="Times New Roman" w:cs="Times New Roman"/>
          <w:color w:val="000000"/>
        </w:rPr>
        <w:t xml:space="preserve">Raji, I. D., Smart, A., White, R. N., Mitchell, M., </w:t>
      </w:r>
      <w:proofErr w:type="spellStart"/>
      <w:r w:rsidRPr="0084702A">
        <w:rPr>
          <w:rFonts w:ascii="Times New Roman" w:eastAsia="Times New Roman" w:hAnsi="Times New Roman" w:cs="Times New Roman"/>
          <w:color w:val="000000"/>
        </w:rPr>
        <w:t>Gebru</w:t>
      </w:r>
      <w:proofErr w:type="spellEnd"/>
      <w:r w:rsidRPr="0084702A">
        <w:rPr>
          <w:rFonts w:ascii="Times New Roman" w:eastAsia="Times New Roman" w:hAnsi="Times New Roman" w:cs="Times New Roman"/>
          <w:color w:val="000000"/>
        </w:rPr>
        <w:t xml:space="preserve">, T., Hutchinson, B., Smith-Loud, J., Theron, D., &amp; Barnes, P. (2020). Closing the AI accountability gap: Defining an end-to-end framework for internal algorithmic auditing. In *Proceedings of the 2020 Conference on Fairness, Accountability, and Transparency* (pp. 33-44). </w:t>
      </w:r>
      <w:hyperlink r:id="rId54" w:history="1">
        <w:r w:rsidRPr="007468C6">
          <w:rPr>
            <w:rStyle w:val="Hyperlink"/>
            <w:rFonts w:ascii="Times New Roman" w:eastAsia="Times New Roman" w:hAnsi="Times New Roman" w:cs="Times New Roman"/>
          </w:rPr>
          <w:t>https://doi.org/10.1145/3351095.3372873</w:t>
        </w:r>
      </w:hyperlink>
      <w:r>
        <w:rPr>
          <w:rFonts w:ascii="Times New Roman" w:eastAsia="Times New Roman" w:hAnsi="Times New Roman" w:cs="Times New Roman"/>
          <w:color w:val="000000"/>
        </w:rPr>
        <w:t xml:space="preserve"> </w:t>
      </w:r>
    </w:p>
    <w:p w14:paraId="18DAF060" w14:textId="50A9B622" w:rsidR="003D186C" w:rsidRDefault="000A0141">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0A0141">
        <w:rPr>
          <w:rFonts w:ascii="Times New Roman" w:eastAsia="Times New Roman" w:hAnsi="Times New Roman" w:cs="Times New Roman"/>
          <w:color w:val="000000"/>
        </w:rPr>
        <w:t xml:space="preserve">Rashidi, H., </w:t>
      </w:r>
      <w:proofErr w:type="spellStart"/>
      <w:r w:rsidRPr="000A0141">
        <w:rPr>
          <w:rFonts w:ascii="Times New Roman" w:eastAsia="Times New Roman" w:hAnsi="Times New Roman" w:cs="Times New Roman"/>
          <w:color w:val="000000"/>
        </w:rPr>
        <w:t>Nourinejad</w:t>
      </w:r>
      <w:proofErr w:type="spellEnd"/>
      <w:r w:rsidRPr="000A0141">
        <w:rPr>
          <w:rFonts w:ascii="Times New Roman" w:eastAsia="Times New Roman" w:hAnsi="Times New Roman" w:cs="Times New Roman"/>
          <w:color w:val="000000"/>
        </w:rPr>
        <w:t xml:space="preserve">, M., &amp; </w:t>
      </w:r>
      <w:proofErr w:type="spellStart"/>
      <w:r w:rsidRPr="000A0141">
        <w:rPr>
          <w:rFonts w:ascii="Times New Roman" w:eastAsia="Times New Roman" w:hAnsi="Times New Roman" w:cs="Times New Roman"/>
          <w:color w:val="000000"/>
        </w:rPr>
        <w:t>Roorda</w:t>
      </w:r>
      <w:proofErr w:type="spellEnd"/>
      <w:r w:rsidRPr="000A0141">
        <w:rPr>
          <w:rFonts w:ascii="Times New Roman" w:eastAsia="Times New Roman" w:hAnsi="Times New Roman" w:cs="Times New Roman"/>
          <w:color w:val="000000"/>
        </w:rPr>
        <w:t xml:space="preserve">, M. J. (2024). Generating practical last-mile delivery routes using a data-informed insertion heuristic. </w:t>
      </w:r>
      <w:hyperlink r:id="rId55" w:history="1">
        <w:r w:rsidRPr="007468C6">
          <w:rPr>
            <w:rStyle w:val="Hyperlink"/>
            <w:rFonts w:ascii="Times New Roman" w:eastAsia="Times New Roman" w:hAnsi="Times New Roman" w:cs="Times New Roman"/>
          </w:rPr>
          <w:t>https://papers.ssrn.com/sol3/papers.cfm?abstract_id=4830661</w:t>
        </w:r>
      </w:hyperlink>
      <w:r>
        <w:rPr>
          <w:rFonts w:ascii="Times New Roman" w:eastAsia="Times New Roman" w:hAnsi="Times New Roman" w:cs="Times New Roman"/>
          <w:color w:val="000000"/>
        </w:rPr>
        <w:t xml:space="preserve"> </w:t>
      </w:r>
    </w:p>
    <w:p w14:paraId="22444EBF" w14:textId="432B2025" w:rsidR="003D186C" w:rsidRDefault="00E027E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E027EA">
        <w:rPr>
          <w:rFonts w:ascii="Times New Roman" w:eastAsia="Times New Roman" w:hAnsi="Times New Roman" w:cs="Times New Roman"/>
          <w:color w:val="000000"/>
        </w:rPr>
        <w:lastRenderedPageBreak/>
        <w:t>Rokoss</w:t>
      </w:r>
      <w:proofErr w:type="spellEnd"/>
      <w:r w:rsidRPr="00E027EA">
        <w:rPr>
          <w:rFonts w:ascii="Times New Roman" w:eastAsia="Times New Roman" w:hAnsi="Times New Roman" w:cs="Times New Roman"/>
          <w:color w:val="000000"/>
        </w:rPr>
        <w:t xml:space="preserve">, A., </w:t>
      </w:r>
      <w:proofErr w:type="spellStart"/>
      <w:r w:rsidRPr="00E027EA">
        <w:rPr>
          <w:rFonts w:ascii="Times New Roman" w:eastAsia="Times New Roman" w:hAnsi="Times New Roman" w:cs="Times New Roman"/>
          <w:color w:val="000000"/>
        </w:rPr>
        <w:t>Syberg</w:t>
      </w:r>
      <w:proofErr w:type="spellEnd"/>
      <w:r w:rsidRPr="00E027EA">
        <w:rPr>
          <w:rFonts w:ascii="Times New Roman" w:eastAsia="Times New Roman" w:hAnsi="Times New Roman" w:cs="Times New Roman"/>
          <w:color w:val="000000"/>
        </w:rPr>
        <w:t xml:space="preserve">, M., </w:t>
      </w:r>
      <w:proofErr w:type="spellStart"/>
      <w:r w:rsidRPr="00E027EA">
        <w:rPr>
          <w:rFonts w:ascii="Times New Roman" w:eastAsia="Times New Roman" w:hAnsi="Times New Roman" w:cs="Times New Roman"/>
          <w:color w:val="000000"/>
        </w:rPr>
        <w:t>Tomidei</w:t>
      </w:r>
      <w:proofErr w:type="spellEnd"/>
      <w:r w:rsidRPr="00E027EA">
        <w:rPr>
          <w:rFonts w:ascii="Times New Roman" w:eastAsia="Times New Roman" w:hAnsi="Times New Roman" w:cs="Times New Roman"/>
          <w:color w:val="000000"/>
        </w:rPr>
        <w:t xml:space="preserve">, L., </w:t>
      </w:r>
      <w:proofErr w:type="spellStart"/>
      <w:r w:rsidRPr="00E027EA">
        <w:rPr>
          <w:rFonts w:ascii="Times New Roman" w:eastAsia="Times New Roman" w:hAnsi="Times New Roman" w:cs="Times New Roman"/>
          <w:color w:val="000000"/>
        </w:rPr>
        <w:t>Hülsing</w:t>
      </w:r>
      <w:proofErr w:type="spellEnd"/>
      <w:r w:rsidRPr="00E027EA">
        <w:rPr>
          <w:rFonts w:ascii="Times New Roman" w:eastAsia="Times New Roman" w:hAnsi="Times New Roman" w:cs="Times New Roman"/>
          <w:color w:val="000000"/>
        </w:rPr>
        <w:t xml:space="preserve">, C., </w:t>
      </w:r>
      <w:proofErr w:type="spellStart"/>
      <w:r w:rsidRPr="00E027EA">
        <w:rPr>
          <w:rFonts w:ascii="Times New Roman" w:eastAsia="Times New Roman" w:hAnsi="Times New Roman" w:cs="Times New Roman"/>
          <w:color w:val="000000"/>
        </w:rPr>
        <w:t>Deuse</w:t>
      </w:r>
      <w:proofErr w:type="spellEnd"/>
      <w:r w:rsidRPr="00E027EA">
        <w:rPr>
          <w:rFonts w:ascii="Times New Roman" w:eastAsia="Times New Roman" w:hAnsi="Times New Roman" w:cs="Times New Roman"/>
          <w:color w:val="000000"/>
        </w:rPr>
        <w:t xml:space="preserve">, J., &amp; Schmidt, M. (2024). Case study on delivery time determination using a machine learning approach in small batch production companies. Journal of Intelligent Manufacturing, 35(8), 3937-3958. </w:t>
      </w:r>
      <w:hyperlink r:id="rId56" w:history="1">
        <w:r w:rsidRPr="007468C6">
          <w:rPr>
            <w:rStyle w:val="Hyperlink"/>
            <w:rFonts w:ascii="Times New Roman" w:eastAsia="Times New Roman" w:hAnsi="Times New Roman" w:cs="Times New Roman"/>
          </w:rPr>
          <w:t>https://doi.org/10.1007/s10845-023-02290-2</w:t>
        </w:r>
      </w:hyperlink>
      <w:r>
        <w:rPr>
          <w:rFonts w:ascii="Times New Roman" w:eastAsia="Times New Roman" w:hAnsi="Times New Roman" w:cs="Times New Roman"/>
          <w:color w:val="000000"/>
        </w:rPr>
        <w:t xml:space="preserve"> </w:t>
      </w:r>
    </w:p>
    <w:p w14:paraId="318DADE2" w14:textId="7050F4FC" w:rsidR="003D186C" w:rsidRDefault="003F6DC8">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3F6DC8">
        <w:rPr>
          <w:rFonts w:ascii="Times New Roman" w:eastAsia="Times New Roman" w:hAnsi="Times New Roman" w:cs="Times New Roman"/>
          <w:color w:val="000000"/>
        </w:rPr>
        <w:t>Rostami-</w:t>
      </w:r>
      <w:proofErr w:type="spellStart"/>
      <w:r w:rsidRPr="003F6DC8">
        <w:rPr>
          <w:rFonts w:ascii="Times New Roman" w:eastAsia="Times New Roman" w:hAnsi="Times New Roman" w:cs="Times New Roman"/>
          <w:color w:val="000000"/>
        </w:rPr>
        <w:t>Tabar</w:t>
      </w:r>
      <w:proofErr w:type="spellEnd"/>
      <w:r w:rsidRPr="003F6DC8">
        <w:rPr>
          <w:rFonts w:ascii="Times New Roman" w:eastAsia="Times New Roman" w:hAnsi="Times New Roman" w:cs="Times New Roman"/>
          <w:color w:val="000000"/>
        </w:rPr>
        <w:t xml:space="preserve">, B., </w:t>
      </w:r>
      <w:proofErr w:type="spellStart"/>
      <w:r w:rsidRPr="003F6DC8">
        <w:rPr>
          <w:rFonts w:ascii="Times New Roman" w:eastAsia="Times New Roman" w:hAnsi="Times New Roman" w:cs="Times New Roman"/>
          <w:color w:val="000000"/>
        </w:rPr>
        <w:t>Babai</w:t>
      </w:r>
      <w:proofErr w:type="spellEnd"/>
      <w:r w:rsidRPr="003F6DC8">
        <w:rPr>
          <w:rFonts w:ascii="Times New Roman" w:eastAsia="Times New Roman" w:hAnsi="Times New Roman" w:cs="Times New Roman"/>
          <w:color w:val="000000"/>
        </w:rPr>
        <w:t xml:space="preserve">, M. Z., </w:t>
      </w:r>
      <w:proofErr w:type="spellStart"/>
      <w:r w:rsidRPr="003F6DC8">
        <w:rPr>
          <w:rFonts w:ascii="Times New Roman" w:eastAsia="Times New Roman" w:hAnsi="Times New Roman" w:cs="Times New Roman"/>
          <w:color w:val="000000"/>
        </w:rPr>
        <w:t>Ducq</w:t>
      </w:r>
      <w:proofErr w:type="spellEnd"/>
      <w:r w:rsidRPr="003F6DC8">
        <w:rPr>
          <w:rFonts w:ascii="Times New Roman" w:eastAsia="Times New Roman" w:hAnsi="Times New Roman" w:cs="Times New Roman"/>
          <w:color w:val="000000"/>
        </w:rPr>
        <w:t xml:space="preserve">, Y., &amp; </w:t>
      </w:r>
      <w:proofErr w:type="spellStart"/>
      <w:r w:rsidRPr="003F6DC8">
        <w:rPr>
          <w:rFonts w:ascii="Times New Roman" w:eastAsia="Times New Roman" w:hAnsi="Times New Roman" w:cs="Times New Roman"/>
          <w:color w:val="000000"/>
        </w:rPr>
        <w:t>Syntetos</w:t>
      </w:r>
      <w:proofErr w:type="spellEnd"/>
      <w:r w:rsidRPr="003F6DC8">
        <w:rPr>
          <w:rFonts w:ascii="Times New Roman" w:eastAsia="Times New Roman" w:hAnsi="Times New Roman" w:cs="Times New Roman"/>
          <w:color w:val="000000"/>
        </w:rPr>
        <w:t xml:space="preserve">, A. (2015). Non-stationary demand forecasting by cross-sectional aggregation. International Journal of Production Economics, 170, 297-309. </w:t>
      </w:r>
      <w:hyperlink r:id="rId57" w:history="1">
        <w:r w:rsidRPr="007468C6">
          <w:rPr>
            <w:rStyle w:val="Hyperlink"/>
            <w:rFonts w:ascii="Times New Roman" w:eastAsia="Times New Roman" w:hAnsi="Times New Roman" w:cs="Times New Roman"/>
          </w:rPr>
          <w:t>https://doi.org/10.1016/j.ijpe.2015.10.001</w:t>
        </w:r>
      </w:hyperlink>
      <w:r>
        <w:rPr>
          <w:rFonts w:ascii="Times New Roman" w:eastAsia="Times New Roman" w:hAnsi="Times New Roman" w:cs="Times New Roman"/>
          <w:color w:val="000000"/>
        </w:rPr>
        <w:t xml:space="preserve"> </w:t>
      </w:r>
    </w:p>
    <w:p w14:paraId="23548F4B" w14:textId="79A78292" w:rsidR="003D186C" w:rsidRDefault="00656A9A">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656A9A">
        <w:rPr>
          <w:rFonts w:ascii="Times New Roman" w:eastAsia="Times New Roman" w:hAnsi="Times New Roman" w:cs="Times New Roman"/>
          <w:color w:val="000000"/>
        </w:rPr>
        <w:t>Sambasivan</w:t>
      </w:r>
      <w:proofErr w:type="spellEnd"/>
      <w:r w:rsidRPr="00656A9A">
        <w:rPr>
          <w:rFonts w:ascii="Times New Roman" w:eastAsia="Times New Roman" w:hAnsi="Times New Roman" w:cs="Times New Roman"/>
          <w:color w:val="000000"/>
        </w:rPr>
        <w:t xml:space="preserve">, N., </w:t>
      </w:r>
      <w:proofErr w:type="spellStart"/>
      <w:r w:rsidRPr="00656A9A">
        <w:rPr>
          <w:rFonts w:ascii="Times New Roman" w:eastAsia="Times New Roman" w:hAnsi="Times New Roman" w:cs="Times New Roman"/>
          <w:color w:val="000000"/>
        </w:rPr>
        <w:t>Kapania</w:t>
      </w:r>
      <w:proofErr w:type="spellEnd"/>
      <w:r w:rsidRPr="00656A9A">
        <w:rPr>
          <w:rFonts w:ascii="Times New Roman" w:eastAsia="Times New Roman" w:hAnsi="Times New Roman" w:cs="Times New Roman"/>
          <w:color w:val="000000"/>
        </w:rPr>
        <w:t xml:space="preserve">, S., </w:t>
      </w:r>
      <w:proofErr w:type="spellStart"/>
      <w:r w:rsidRPr="00656A9A">
        <w:rPr>
          <w:rFonts w:ascii="Times New Roman" w:eastAsia="Times New Roman" w:hAnsi="Times New Roman" w:cs="Times New Roman"/>
          <w:color w:val="000000"/>
        </w:rPr>
        <w:t>Highfill</w:t>
      </w:r>
      <w:proofErr w:type="spellEnd"/>
      <w:r w:rsidRPr="00656A9A">
        <w:rPr>
          <w:rFonts w:ascii="Times New Roman" w:eastAsia="Times New Roman" w:hAnsi="Times New Roman" w:cs="Times New Roman"/>
          <w:color w:val="000000"/>
        </w:rPr>
        <w:t xml:space="preserve">, H., </w:t>
      </w:r>
      <w:proofErr w:type="spellStart"/>
      <w:r w:rsidRPr="00656A9A">
        <w:rPr>
          <w:rFonts w:ascii="Times New Roman" w:eastAsia="Times New Roman" w:hAnsi="Times New Roman" w:cs="Times New Roman"/>
          <w:color w:val="000000"/>
        </w:rPr>
        <w:t>Akrong</w:t>
      </w:r>
      <w:proofErr w:type="spellEnd"/>
      <w:r w:rsidRPr="00656A9A">
        <w:rPr>
          <w:rFonts w:ascii="Times New Roman" w:eastAsia="Times New Roman" w:hAnsi="Times New Roman" w:cs="Times New Roman"/>
          <w:color w:val="000000"/>
        </w:rPr>
        <w:t xml:space="preserve">, D., </w:t>
      </w:r>
      <w:proofErr w:type="spellStart"/>
      <w:r w:rsidRPr="00656A9A">
        <w:rPr>
          <w:rFonts w:ascii="Times New Roman" w:eastAsia="Times New Roman" w:hAnsi="Times New Roman" w:cs="Times New Roman"/>
          <w:color w:val="000000"/>
        </w:rPr>
        <w:t>Paritosh</w:t>
      </w:r>
      <w:proofErr w:type="spellEnd"/>
      <w:r w:rsidRPr="00656A9A">
        <w:rPr>
          <w:rFonts w:ascii="Times New Roman" w:eastAsia="Times New Roman" w:hAnsi="Times New Roman" w:cs="Times New Roman"/>
          <w:color w:val="000000"/>
        </w:rPr>
        <w:t xml:space="preserve">, P., &amp; </w:t>
      </w:r>
      <w:proofErr w:type="spellStart"/>
      <w:r w:rsidRPr="00656A9A">
        <w:rPr>
          <w:rFonts w:ascii="Times New Roman" w:eastAsia="Times New Roman" w:hAnsi="Times New Roman" w:cs="Times New Roman"/>
          <w:color w:val="000000"/>
        </w:rPr>
        <w:t>Aroyo</w:t>
      </w:r>
      <w:proofErr w:type="spellEnd"/>
      <w:r w:rsidRPr="00656A9A">
        <w:rPr>
          <w:rFonts w:ascii="Times New Roman" w:eastAsia="Times New Roman" w:hAnsi="Times New Roman" w:cs="Times New Roman"/>
          <w:color w:val="000000"/>
        </w:rPr>
        <w:t xml:space="preserve">, L. M. (2021). “Everyone wants to do the model work, not the data work”: Data Cascades in High-Stakes AI. In proceedings of the 2021 CHI Conference on Human Factors in Computing Systems (pp. 1-15). </w:t>
      </w:r>
      <w:hyperlink r:id="rId58" w:history="1">
        <w:r w:rsidRPr="007468C6">
          <w:rPr>
            <w:rStyle w:val="Hyperlink"/>
            <w:rFonts w:ascii="Times New Roman" w:eastAsia="Times New Roman" w:hAnsi="Times New Roman" w:cs="Times New Roman"/>
          </w:rPr>
          <w:t>https://doi.org/10.1145/3411764.3445518</w:t>
        </w:r>
      </w:hyperlink>
      <w:r>
        <w:rPr>
          <w:rFonts w:ascii="Times New Roman" w:eastAsia="Times New Roman" w:hAnsi="Times New Roman" w:cs="Times New Roman"/>
          <w:color w:val="000000"/>
        </w:rPr>
        <w:t xml:space="preserve"> </w:t>
      </w:r>
    </w:p>
    <w:p w14:paraId="7E0A0210" w14:textId="5CC024B4" w:rsidR="003D186C" w:rsidRDefault="0051232C">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proofErr w:type="spellStart"/>
      <w:r w:rsidRPr="0051232C">
        <w:rPr>
          <w:rFonts w:ascii="Times New Roman" w:eastAsia="Times New Roman" w:hAnsi="Times New Roman" w:cs="Times New Roman"/>
          <w:color w:val="000000"/>
        </w:rPr>
        <w:t>Schelter</w:t>
      </w:r>
      <w:proofErr w:type="spellEnd"/>
      <w:r w:rsidRPr="0051232C">
        <w:rPr>
          <w:rFonts w:ascii="Times New Roman" w:eastAsia="Times New Roman" w:hAnsi="Times New Roman" w:cs="Times New Roman"/>
          <w:color w:val="000000"/>
        </w:rPr>
        <w:t xml:space="preserve">, S., Lange, D., Schmidt, P., </w:t>
      </w:r>
      <w:proofErr w:type="spellStart"/>
      <w:r w:rsidRPr="0051232C">
        <w:rPr>
          <w:rFonts w:ascii="Times New Roman" w:eastAsia="Times New Roman" w:hAnsi="Times New Roman" w:cs="Times New Roman"/>
          <w:color w:val="000000"/>
        </w:rPr>
        <w:t>Celikel</w:t>
      </w:r>
      <w:proofErr w:type="spellEnd"/>
      <w:r w:rsidRPr="0051232C">
        <w:rPr>
          <w:rFonts w:ascii="Times New Roman" w:eastAsia="Times New Roman" w:hAnsi="Times New Roman" w:cs="Times New Roman"/>
          <w:color w:val="000000"/>
        </w:rPr>
        <w:t xml:space="preserve">, M., </w:t>
      </w:r>
      <w:proofErr w:type="spellStart"/>
      <w:r w:rsidRPr="0051232C">
        <w:rPr>
          <w:rFonts w:ascii="Times New Roman" w:eastAsia="Times New Roman" w:hAnsi="Times New Roman" w:cs="Times New Roman"/>
          <w:color w:val="000000"/>
        </w:rPr>
        <w:t>Biessmann</w:t>
      </w:r>
      <w:proofErr w:type="spellEnd"/>
      <w:r w:rsidRPr="0051232C">
        <w:rPr>
          <w:rFonts w:ascii="Times New Roman" w:eastAsia="Times New Roman" w:hAnsi="Times New Roman" w:cs="Times New Roman"/>
          <w:color w:val="000000"/>
        </w:rPr>
        <w:t xml:space="preserve">, F., &amp; </w:t>
      </w:r>
      <w:proofErr w:type="spellStart"/>
      <w:r w:rsidRPr="0051232C">
        <w:rPr>
          <w:rFonts w:ascii="Times New Roman" w:eastAsia="Times New Roman" w:hAnsi="Times New Roman" w:cs="Times New Roman"/>
          <w:color w:val="000000"/>
        </w:rPr>
        <w:t>Grafberger</w:t>
      </w:r>
      <w:proofErr w:type="spellEnd"/>
      <w:r w:rsidRPr="0051232C">
        <w:rPr>
          <w:rFonts w:ascii="Times New Roman" w:eastAsia="Times New Roman" w:hAnsi="Times New Roman" w:cs="Times New Roman"/>
          <w:color w:val="000000"/>
        </w:rPr>
        <w:t xml:space="preserve">, A. (2018). Automating large-scale data quality verification. Proceedings of the VLDB Endowment, 11(12), 1781-1794. </w:t>
      </w:r>
      <w:hyperlink r:id="rId59" w:history="1">
        <w:r w:rsidRPr="007468C6">
          <w:rPr>
            <w:rStyle w:val="Hyperlink"/>
            <w:rFonts w:ascii="Times New Roman" w:eastAsia="Times New Roman" w:hAnsi="Times New Roman" w:cs="Times New Roman"/>
          </w:rPr>
          <w:t>https://doi.org/10.14778/3229863.3229867</w:t>
        </w:r>
      </w:hyperlink>
      <w:r>
        <w:rPr>
          <w:rFonts w:ascii="Times New Roman" w:eastAsia="Times New Roman" w:hAnsi="Times New Roman" w:cs="Times New Roman"/>
          <w:color w:val="000000"/>
        </w:rPr>
        <w:t xml:space="preserve"> </w:t>
      </w:r>
    </w:p>
    <w:p w14:paraId="60FE2D80" w14:textId="001DA548" w:rsidR="003D186C" w:rsidRDefault="00FA20C6">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FA20C6">
        <w:rPr>
          <w:rFonts w:ascii="Times New Roman" w:eastAsia="Times New Roman" w:hAnsi="Times New Roman" w:cs="Times New Roman"/>
          <w:color w:val="000000"/>
        </w:rPr>
        <w:t xml:space="preserve">Sculley, D., Holt, G., </w:t>
      </w:r>
      <w:proofErr w:type="spellStart"/>
      <w:r w:rsidRPr="00FA20C6">
        <w:rPr>
          <w:rFonts w:ascii="Times New Roman" w:eastAsia="Times New Roman" w:hAnsi="Times New Roman" w:cs="Times New Roman"/>
          <w:color w:val="000000"/>
        </w:rPr>
        <w:t>Golovin</w:t>
      </w:r>
      <w:proofErr w:type="spellEnd"/>
      <w:r w:rsidRPr="00FA20C6">
        <w:rPr>
          <w:rFonts w:ascii="Times New Roman" w:eastAsia="Times New Roman" w:hAnsi="Times New Roman" w:cs="Times New Roman"/>
          <w:color w:val="000000"/>
        </w:rPr>
        <w:t xml:space="preserve">, D., </w:t>
      </w:r>
      <w:proofErr w:type="spellStart"/>
      <w:r w:rsidRPr="00FA20C6">
        <w:rPr>
          <w:rFonts w:ascii="Times New Roman" w:eastAsia="Times New Roman" w:hAnsi="Times New Roman" w:cs="Times New Roman"/>
          <w:color w:val="000000"/>
        </w:rPr>
        <w:t>Davydov</w:t>
      </w:r>
      <w:proofErr w:type="spellEnd"/>
      <w:r w:rsidRPr="00FA20C6">
        <w:rPr>
          <w:rFonts w:ascii="Times New Roman" w:eastAsia="Times New Roman" w:hAnsi="Times New Roman" w:cs="Times New Roman"/>
          <w:color w:val="000000"/>
        </w:rPr>
        <w:t xml:space="preserve">, E., Phillips, T., Ebner, D., Chaudhary, V., Young, M., Crespo, J.-F., &amp; Dennison, D. (2015). Hidden Technical Debt in Machine Learning Systems. Advances in Neural Information Processing Systems. </w:t>
      </w:r>
      <w:hyperlink r:id="rId60" w:history="1">
        <w:r w:rsidRPr="007468C6">
          <w:rPr>
            <w:rStyle w:val="Hyperlink"/>
            <w:rFonts w:ascii="Times New Roman" w:eastAsia="Times New Roman" w:hAnsi="Times New Roman" w:cs="Times New Roman"/>
          </w:rPr>
          <w:t>https://doi.org/10.5591/978-1-57735-738-4/nips2015/5656</w:t>
        </w:r>
      </w:hyperlink>
      <w:r>
        <w:rPr>
          <w:rFonts w:ascii="Times New Roman" w:eastAsia="Times New Roman" w:hAnsi="Times New Roman" w:cs="Times New Roman"/>
          <w:color w:val="000000"/>
        </w:rPr>
        <w:t xml:space="preserve"> </w:t>
      </w:r>
    </w:p>
    <w:p w14:paraId="122473ED" w14:textId="470DD9D8" w:rsidR="003D186C" w:rsidRDefault="00321FF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321FFF">
        <w:rPr>
          <w:rFonts w:ascii="Times New Roman" w:eastAsia="Times New Roman" w:hAnsi="Times New Roman" w:cs="Times New Roman"/>
          <w:color w:val="000000"/>
        </w:rPr>
        <w:t xml:space="preserve">Vijay, A., Thompson, R. G., Nassir, N., &amp; Zhang, J. (2024). Machine Learning Based ETA Prediction for Dock Rescheduling </w:t>
      </w:r>
      <w:proofErr w:type="gramStart"/>
      <w:r w:rsidRPr="00321FFF">
        <w:rPr>
          <w:rFonts w:ascii="Times New Roman" w:eastAsia="Times New Roman" w:hAnsi="Times New Roman" w:cs="Times New Roman"/>
          <w:color w:val="000000"/>
        </w:rPr>
        <w:t>In</w:t>
      </w:r>
      <w:proofErr w:type="gramEnd"/>
      <w:r w:rsidRPr="00321FFF">
        <w:rPr>
          <w:rFonts w:ascii="Times New Roman" w:eastAsia="Times New Roman" w:hAnsi="Times New Roman" w:cs="Times New Roman"/>
          <w:color w:val="000000"/>
        </w:rPr>
        <w:t xml:space="preserve"> Hyperconnected City Logistics Based PI-Hub Facilities. Transportation Research Procedia, 79, 202-209. </w:t>
      </w:r>
      <w:hyperlink r:id="rId61" w:history="1">
        <w:r w:rsidRPr="007468C6">
          <w:rPr>
            <w:rStyle w:val="Hyperlink"/>
            <w:rFonts w:ascii="Times New Roman" w:eastAsia="Times New Roman" w:hAnsi="Times New Roman" w:cs="Times New Roman"/>
          </w:rPr>
          <w:t>https://doi.org/10.1016/j.trpro.2024.03.028</w:t>
        </w:r>
      </w:hyperlink>
      <w:r>
        <w:rPr>
          <w:rFonts w:ascii="Times New Roman" w:eastAsia="Times New Roman" w:hAnsi="Times New Roman" w:cs="Times New Roman"/>
          <w:color w:val="000000"/>
        </w:rPr>
        <w:t xml:space="preserve"> </w:t>
      </w:r>
    </w:p>
    <w:p w14:paraId="1B7FF835" w14:textId="58C6F1E0" w:rsidR="003D186C" w:rsidRDefault="00EA3DFD">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EA3DFD">
        <w:rPr>
          <w:rFonts w:ascii="Times New Roman" w:eastAsia="Times New Roman" w:hAnsi="Times New Roman" w:cs="Times New Roman"/>
          <w:color w:val="000000"/>
        </w:rPr>
        <w:t xml:space="preserve">Wang, L., Zhang, X., </w:t>
      </w:r>
      <w:proofErr w:type="spellStart"/>
      <w:r w:rsidRPr="00EA3DFD">
        <w:rPr>
          <w:rFonts w:ascii="Times New Roman" w:eastAsia="Times New Roman" w:hAnsi="Times New Roman" w:cs="Times New Roman"/>
          <w:color w:val="000000"/>
        </w:rPr>
        <w:t>Su</w:t>
      </w:r>
      <w:proofErr w:type="spellEnd"/>
      <w:r w:rsidRPr="00EA3DFD">
        <w:rPr>
          <w:rFonts w:ascii="Times New Roman" w:eastAsia="Times New Roman" w:hAnsi="Times New Roman" w:cs="Times New Roman"/>
          <w:color w:val="000000"/>
        </w:rPr>
        <w:t xml:space="preserve">, H., &amp; Zhu, J. (2024). A comprehensive survey of continual learning: Theory, method and application. IEEE Transactions on Pattern Analysis and Machine Intelligence, 46(8), 5362-5383. </w:t>
      </w:r>
      <w:hyperlink r:id="rId62" w:history="1">
        <w:r w:rsidRPr="007468C6">
          <w:rPr>
            <w:rStyle w:val="Hyperlink"/>
            <w:rFonts w:ascii="Times New Roman" w:eastAsia="Times New Roman" w:hAnsi="Times New Roman" w:cs="Times New Roman"/>
          </w:rPr>
          <w:t>https://doi.org/10.1109/TPAMI.2024.3367329</w:t>
        </w:r>
      </w:hyperlink>
      <w:r>
        <w:rPr>
          <w:rFonts w:ascii="Times New Roman" w:eastAsia="Times New Roman" w:hAnsi="Times New Roman" w:cs="Times New Roman"/>
          <w:color w:val="000000"/>
        </w:rPr>
        <w:t xml:space="preserve"> </w:t>
      </w:r>
    </w:p>
    <w:p w14:paraId="1761CA12" w14:textId="03070D1B" w:rsidR="003D186C" w:rsidRDefault="00C00BC0">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rPr>
      </w:pPr>
      <w:r w:rsidRPr="00C00BC0">
        <w:rPr>
          <w:rFonts w:ascii="Times New Roman" w:eastAsia="Times New Roman" w:hAnsi="Times New Roman" w:cs="Times New Roman"/>
          <w:color w:val="000000"/>
        </w:rPr>
        <w:t xml:space="preserve">Webb, G. I., Hyde, R., Cao, H., Nguyen, H. L., &amp; </w:t>
      </w:r>
      <w:proofErr w:type="spellStart"/>
      <w:r w:rsidRPr="00C00BC0">
        <w:rPr>
          <w:rFonts w:ascii="Times New Roman" w:eastAsia="Times New Roman" w:hAnsi="Times New Roman" w:cs="Times New Roman"/>
          <w:color w:val="000000"/>
        </w:rPr>
        <w:t>Petitjean</w:t>
      </w:r>
      <w:proofErr w:type="spellEnd"/>
      <w:r w:rsidRPr="00C00BC0">
        <w:rPr>
          <w:rFonts w:ascii="Times New Roman" w:eastAsia="Times New Roman" w:hAnsi="Times New Roman" w:cs="Times New Roman"/>
          <w:color w:val="000000"/>
        </w:rPr>
        <w:t xml:space="preserve">, F. (2016). Characterizing concept drift. Data Mining and Knowledge Discovery, 30(4), 964-994. </w:t>
      </w:r>
      <w:hyperlink r:id="rId63" w:history="1">
        <w:r w:rsidRPr="007468C6">
          <w:rPr>
            <w:rStyle w:val="Hyperlink"/>
            <w:rFonts w:ascii="Times New Roman" w:eastAsia="Times New Roman" w:hAnsi="Times New Roman" w:cs="Times New Roman"/>
          </w:rPr>
          <w:t>https://doi.org/10.1007/s10618-015-0448-4</w:t>
        </w:r>
      </w:hyperlink>
      <w:r>
        <w:rPr>
          <w:rFonts w:ascii="Times New Roman" w:eastAsia="Times New Roman" w:hAnsi="Times New Roman" w:cs="Times New Roman"/>
          <w:color w:val="000000"/>
        </w:rPr>
        <w:t xml:space="preserve"> </w:t>
      </w:r>
    </w:p>
    <w:p w14:paraId="408E64E1" w14:textId="1B3A37B6" w:rsidR="001A4FF6" w:rsidRPr="009419A3" w:rsidRDefault="009D2DC3">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highlight w:val="yellow"/>
        </w:rPr>
      </w:pPr>
      <w:r w:rsidRPr="009419A3">
        <w:rPr>
          <w:rFonts w:ascii="Times New Roman" w:eastAsia="Times New Roman" w:hAnsi="Times New Roman" w:cs="Times New Roman"/>
          <w:color w:val="000000"/>
          <w:highlight w:val="yellow"/>
        </w:rPr>
        <w:t>Lin, H., Lin, J., &amp; Wang, F. (2022). An innovative machine learning model for supply chain management. Journal of Innovation &amp; Knowledge, 7(4), 100276.</w:t>
      </w:r>
    </w:p>
    <w:p w14:paraId="2377F831" w14:textId="1036770F" w:rsidR="009D2DC3" w:rsidRDefault="009419A3">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highlight w:val="yellow"/>
        </w:rPr>
      </w:pPr>
      <w:proofErr w:type="spellStart"/>
      <w:r w:rsidRPr="009419A3">
        <w:rPr>
          <w:rFonts w:ascii="Times New Roman" w:eastAsia="Times New Roman" w:hAnsi="Times New Roman" w:cs="Times New Roman"/>
          <w:color w:val="000000"/>
          <w:highlight w:val="yellow"/>
        </w:rPr>
        <w:t>Jangam</w:t>
      </w:r>
      <w:proofErr w:type="spellEnd"/>
      <w:r w:rsidRPr="009419A3">
        <w:rPr>
          <w:rFonts w:ascii="Times New Roman" w:eastAsia="Times New Roman" w:hAnsi="Times New Roman" w:cs="Times New Roman"/>
          <w:color w:val="000000"/>
          <w:highlight w:val="yellow"/>
        </w:rPr>
        <w:t>, S. K. (2022). Role of AI and ML in Enhancing Self-Healing Capabilities, Including Predictive Analysis and Automated Recovery. International Journal of Artificial Intelligence, Data Science, and Machine Learning, 3(4), 47-56.</w:t>
      </w:r>
    </w:p>
    <w:p w14:paraId="14822469" w14:textId="60690760" w:rsidR="008E16EF" w:rsidRPr="00121584" w:rsidRDefault="008E16EF">
      <w:pPr>
        <w:numPr>
          <w:ilvl w:val="0"/>
          <w:numId w:val="4"/>
        </w:numPr>
        <w:pBdr>
          <w:top w:val="nil"/>
          <w:left w:val="nil"/>
          <w:bottom w:val="nil"/>
          <w:right w:val="nil"/>
          <w:between w:val="nil"/>
        </w:pBdr>
        <w:tabs>
          <w:tab w:val="left" w:pos="1766"/>
        </w:tabs>
        <w:spacing w:after="0"/>
        <w:jc w:val="both"/>
        <w:rPr>
          <w:rFonts w:ascii="Times New Roman" w:eastAsia="Times New Roman" w:hAnsi="Times New Roman" w:cs="Times New Roman"/>
          <w:color w:val="000000"/>
          <w:highlight w:val="yellow"/>
        </w:rPr>
      </w:pPr>
      <w:r w:rsidRPr="00121584">
        <w:rPr>
          <w:rFonts w:ascii="Times New Roman" w:eastAsia="Times New Roman" w:hAnsi="Times New Roman" w:cs="Times New Roman"/>
          <w:color w:val="000000"/>
          <w:highlight w:val="yellow"/>
        </w:rPr>
        <w:t>Yuan, G., Wu, S., &amp; Wang, B. (2023). Supply chain management model based on machine learning. Neural Computing and Applications, 35(6), 4319-4335.</w:t>
      </w:r>
    </w:p>
    <w:p w14:paraId="1D91CC96" w14:textId="77777777" w:rsidR="003D186C" w:rsidRDefault="003D186C">
      <w:pPr>
        <w:tabs>
          <w:tab w:val="left" w:pos="1766"/>
        </w:tabs>
        <w:spacing w:after="0"/>
        <w:jc w:val="both"/>
        <w:rPr>
          <w:rFonts w:ascii="Times New Roman" w:eastAsia="Times New Roman" w:hAnsi="Times New Roman" w:cs="Times New Roman"/>
        </w:rPr>
      </w:pPr>
    </w:p>
    <w:p w14:paraId="7D626B3C" w14:textId="77777777" w:rsidR="003D186C" w:rsidRDefault="003D186C">
      <w:pPr>
        <w:tabs>
          <w:tab w:val="left" w:pos="1766"/>
        </w:tabs>
        <w:spacing w:after="0"/>
        <w:jc w:val="both"/>
        <w:rPr>
          <w:rFonts w:ascii="Times New Roman" w:eastAsia="Times New Roman" w:hAnsi="Times New Roman" w:cs="Times New Roman"/>
        </w:rPr>
      </w:pPr>
    </w:p>
    <w:p w14:paraId="43B8C758" w14:textId="77777777" w:rsidR="003D186C" w:rsidRDefault="003D186C">
      <w:pPr>
        <w:tabs>
          <w:tab w:val="left" w:pos="1766"/>
        </w:tabs>
        <w:spacing w:after="0"/>
        <w:jc w:val="both"/>
        <w:rPr>
          <w:rFonts w:ascii="Times New Roman" w:eastAsia="Times New Roman" w:hAnsi="Times New Roman" w:cs="Times New Roman"/>
        </w:rPr>
      </w:pPr>
    </w:p>
    <w:p w14:paraId="34B12A8C" w14:textId="77777777" w:rsidR="00DB17BF" w:rsidRDefault="00DB17BF">
      <w:pPr>
        <w:tabs>
          <w:tab w:val="left" w:pos="1766"/>
        </w:tabs>
        <w:spacing w:after="0"/>
        <w:jc w:val="both"/>
        <w:rPr>
          <w:rFonts w:ascii="Times New Roman" w:eastAsia="Times New Roman" w:hAnsi="Times New Roman" w:cs="Times New Roman"/>
        </w:rPr>
      </w:pPr>
      <w:bookmarkStart w:id="2" w:name="_GoBack"/>
      <w:bookmarkEnd w:id="2"/>
    </w:p>
    <w:sectPr w:rsidR="00DB17BF">
      <w:pgSz w:w="12240" w:h="15840"/>
      <w:pgMar w:top="1440" w:right="1440" w:bottom="1440"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06399" w14:textId="77777777" w:rsidR="00AC6895" w:rsidRDefault="00AC6895" w:rsidP="00E129D1">
      <w:pPr>
        <w:spacing w:after="0" w:line="240" w:lineRule="auto"/>
      </w:pPr>
      <w:r>
        <w:separator/>
      </w:r>
    </w:p>
  </w:endnote>
  <w:endnote w:type="continuationSeparator" w:id="0">
    <w:p w14:paraId="33C96AA9" w14:textId="77777777" w:rsidR="00AC6895" w:rsidRDefault="00AC6895" w:rsidP="00E12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F153988-7378-4F43-9096-A0752AC536B3}"/>
    <w:embedBold r:id="rId2" w:fontKey="{B8592C8B-6726-4DE1-A3B0-7A9140ACE78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CA28FA2-B252-4E42-8899-38926D06F789}"/>
  </w:font>
  <w:font w:name="Cambria">
    <w:panose1 w:val="02040503050406030204"/>
    <w:charset w:val="00"/>
    <w:family w:val="roman"/>
    <w:pitch w:val="variable"/>
    <w:sig w:usb0="E00006FF" w:usb1="420024FF" w:usb2="02000000" w:usb3="00000000" w:csb0="0000019F" w:csb1="00000000"/>
    <w:embedRegular r:id="rId4" w:fontKey="{60111B6F-0E86-43F8-9EAA-34CC2AAF31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ABBDA" w14:textId="77777777" w:rsidR="00E129D1" w:rsidRDefault="00E129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FF082" w14:textId="77777777" w:rsidR="00E129D1" w:rsidRDefault="00E129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34F8D" w14:textId="77777777" w:rsidR="00E129D1" w:rsidRDefault="00E129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8DBC7" w14:textId="77777777" w:rsidR="00AC6895" w:rsidRDefault="00AC6895" w:rsidP="00E129D1">
      <w:pPr>
        <w:spacing w:after="0" w:line="240" w:lineRule="auto"/>
      </w:pPr>
      <w:r>
        <w:separator/>
      </w:r>
    </w:p>
  </w:footnote>
  <w:footnote w:type="continuationSeparator" w:id="0">
    <w:p w14:paraId="7B82DCD9" w14:textId="77777777" w:rsidR="00AC6895" w:rsidRDefault="00AC6895" w:rsidP="00E12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24388" w14:textId="64A87DE4" w:rsidR="00E129D1" w:rsidRDefault="00AC6895">
    <w:pPr>
      <w:pStyle w:val="Header"/>
    </w:pPr>
    <w:r>
      <w:rPr>
        <w:noProof/>
      </w:rPr>
      <w:pict w14:anchorId="1F92F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3970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C2997" w14:textId="278432BF" w:rsidR="00E129D1" w:rsidRDefault="00AC6895">
    <w:pPr>
      <w:pStyle w:val="Header"/>
    </w:pPr>
    <w:r>
      <w:rPr>
        <w:noProof/>
      </w:rPr>
      <w:pict w14:anchorId="481D4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3970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7B120" w14:textId="5CD6141C" w:rsidR="00E129D1" w:rsidRDefault="00AC6895">
    <w:pPr>
      <w:pStyle w:val="Header"/>
    </w:pPr>
    <w:r>
      <w:rPr>
        <w:noProof/>
      </w:rPr>
      <w:pict w14:anchorId="3A07E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3970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B74E3"/>
    <w:multiLevelType w:val="multilevel"/>
    <w:tmpl w:val="F45272F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4C3A43"/>
    <w:multiLevelType w:val="multilevel"/>
    <w:tmpl w:val="ABD0EAE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4229BC"/>
    <w:multiLevelType w:val="multilevel"/>
    <w:tmpl w:val="B07E4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AD42CF"/>
    <w:multiLevelType w:val="multilevel"/>
    <w:tmpl w:val="885495B6"/>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I0NbIwMDMzNDAxsjBV0lEKTi0uzszPAykwrAUAk+XbJSwAAAA="/>
  </w:docVars>
  <w:rsids>
    <w:rsidRoot w:val="003D186C"/>
    <w:rsid w:val="0002102E"/>
    <w:rsid w:val="000317D3"/>
    <w:rsid w:val="000A0141"/>
    <w:rsid w:val="000C0DF9"/>
    <w:rsid w:val="000D40A6"/>
    <w:rsid w:val="00116A32"/>
    <w:rsid w:val="00121584"/>
    <w:rsid w:val="001520AF"/>
    <w:rsid w:val="00153DFB"/>
    <w:rsid w:val="001A4FF6"/>
    <w:rsid w:val="001B65F5"/>
    <w:rsid w:val="002F4A2A"/>
    <w:rsid w:val="00307C75"/>
    <w:rsid w:val="00321FFF"/>
    <w:rsid w:val="00390467"/>
    <w:rsid w:val="00394F71"/>
    <w:rsid w:val="003A2611"/>
    <w:rsid w:val="003C5F78"/>
    <w:rsid w:val="003D186C"/>
    <w:rsid w:val="003F6DC8"/>
    <w:rsid w:val="0051232C"/>
    <w:rsid w:val="0052131E"/>
    <w:rsid w:val="005C3B71"/>
    <w:rsid w:val="0063158E"/>
    <w:rsid w:val="00656A9A"/>
    <w:rsid w:val="0067179A"/>
    <w:rsid w:val="006A32B6"/>
    <w:rsid w:val="006B0123"/>
    <w:rsid w:val="006F0FD3"/>
    <w:rsid w:val="007340B2"/>
    <w:rsid w:val="00773D97"/>
    <w:rsid w:val="00784979"/>
    <w:rsid w:val="007A5CB7"/>
    <w:rsid w:val="007D70C4"/>
    <w:rsid w:val="007E53A9"/>
    <w:rsid w:val="00824837"/>
    <w:rsid w:val="00832CD2"/>
    <w:rsid w:val="00843A52"/>
    <w:rsid w:val="0084702A"/>
    <w:rsid w:val="0086479D"/>
    <w:rsid w:val="0087313F"/>
    <w:rsid w:val="008E16EF"/>
    <w:rsid w:val="009129F2"/>
    <w:rsid w:val="00935846"/>
    <w:rsid w:val="009419A3"/>
    <w:rsid w:val="009D29E1"/>
    <w:rsid w:val="009D2DC3"/>
    <w:rsid w:val="009D754A"/>
    <w:rsid w:val="009D759D"/>
    <w:rsid w:val="009E3A0D"/>
    <w:rsid w:val="009E3D0B"/>
    <w:rsid w:val="009F3ADE"/>
    <w:rsid w:val="00A06659"/>
    <w:rsid w:val="00A40AAB"/>
    <w:rsid w:val="00A43FE4"/>
    <w:rsid w:val="00AB5DED"/>
    <w:rsid w:val="00AC6895"/>
    <w:rsid w:val="00AF6739"/>
    <w:rsid w:val="00B11931"/>
    <w:rsid w:val="00B14B6F"/>
    <w:rsid w:val="00B92178"/>
    <w:rsid w:val="00B93387"/>
    <w:rsid w:val="00BE406A"/>
    <w:rsid w:val="00BF158B"/>
    <w:rsid w:val="00C00BC0"/>
    <w:rsid w:val="00C60CAA"/>
    <w:rsid w:val="00CA20C9"/>
    <w:rsid w:val="00D372CC"/>
    <w:rsid w:val="00D61335"/>
    <w:rsid w:val="00D75178"/>
    <w:rsid w:val="00D86A17"/>
    <w:rsid w:val="00DA32FE"/>
    <w:rsid w:val="00DB17BF"/>
    <w:rsid w:val="00DE5D97"/>
    <w:rsid w:val="00E000F8"/>
    <w:rsid w:val="00E027EA"/>
    <w:rsid w:val="00E129D1"/>
    <w:rsid w:val="00E2444B"/>
    <w:rsid w:val="00E27E12"/>
    <w:rsid w:val="00E946AC"/>
    <w:rsid w:val="00EA3DFD"/>
    <w:rsid w:val="00EF57D0"/>
    <w:rsid w:val="00F10C5F"/>
    <w:rsid w:val="00F81154"/>
    <w:rsid w:val="00F8698F"/>
    <w:rsid w:val="00F94E1E"/>
    <w:rsid w:val="00FA20C6"/>
    <w:rsid w:val="00FA3150"/>
    <w:rsid w:val="00FC0D6C"/>
    <w:rsid w:val="00FE3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313A76"/>
  <w15:docId w15:val="{EEFC7F99-61DE-4CCB-BF33-D6C0DAEA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C4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79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E946AC"/>
    <w:rPr>
      <w:color w:val="0000FF" w:themeColor="hyperlink"/>
      <w:u w:val="single"/>
    </w:rPr>
  </w:style>
  <w:style w:type="character" w:styleId="UnresolvedMention">
    <w:name w:val="Unresolved Mention"/>
    <w:basedOn w:val="DefaultParagraphFont"/>
    <w:uiPriority w:val="99"/>
    <w:semiHidden/>
    <w:unhideWhenUsed/>
    <w:rsid w:val="00E946AC"/>
    <w:rPr>
      <w:color w:val="605E5C"/>
      <w:shd w:val="clear" w:color="auto" w:fill="E1DFDD"/>
    </w:rPr>
  </w:style>
  <w:style w:type="paragraph" w:styleId="Header">
    <w:name w:val="header"/>
    <w:basedOn w:val="Normal"/>
    <w:link w:val="HeaderChar"/>
    <w:uiPriority w:val="99"/>
    <w:unhideWhenUsed/>
    <w:rsid w:val="00E12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9D1"/>
  </w:style>
  <w:style w:type="paragraph" w:styleId="Footer">
    <w:name w:val="footer"/>
    <w:basedOn w:val="Normal"/>
    <w:link w:val="FooterChar"/>
    <w:uiPriority w:val="99"/>
    <w:unhideWhenUsed/>
    <w:rsid w:val="00E12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3390/app14114688" TargetMode="External"/><Relationship Id="rId21" Type="http://schemas.openxmlformats.org/officeDocument/2006/relationships/hyperlink" Target="https://doi.org/10.1109/TPAMI.2021.3057446" TargetMode="External"/><Relationship Id="rId34" Type="http://schemas.openxmlformats.org/officeDocument/2006/relationships/hyperlink" Target="https://doi.org/10.1145/3394486.3403290" TargetMode="External"/><Relationship Id="rId42" Type="http://schemas.openxmlformats.org/officeDocument/2006/relationships/hyperlink" Target="https://doi.org/10.1145/3313831.3376445" TargetMode="External"/><Relationship Id="rId47" Type="http://schemas.openxmlformats.org/officeDocument/2006/relationships/hyperlink" Target="http://jmlr.org/papers/v22/20-1380.html" TargetMode="External"/><Relationship Id="rId50" Type="http://schemas.openxmlformats.org/officeDocument/2006/relationships/hyperlink" Target="https://proceedings.mlsys.org/paper/2019/file/5878a7ab84fb43402106c575658472fa-Paper.pdf" TargetMode="External"/><Relationship Id="rId55" Type="http://schemas.openxmlformats.org/officeDocument/2006/relationships/hyperlink" Target="https://papers.ssrn.com/sol3/papers.cfm?abstract_id=4830661" TargetMode="External"/><Relationship Id="rId63" Type="http://schemas.openxmlformats.org/officeDocument/2006/relationships/hyperlink" Target="https://doi.org/10.1007/s10618-015-0448-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45/3097983.3098021" TargetMode="External"/><Relationship Id="rId29" Type="http://schemas.openxmlformats.org/officeDocument/2006/relationships/hyperlink" Target="https://doi.org/10.1007/s10994-017-5642-8" TargetMode="External"/><Relationship Id="rId11" Type="http://schemas.openxmlformats.org/officeDocument/2006/relationships/footer" Target="footer2.xml"/><Relationship Id="rId24" Type="http://schemas.openxmlformats.org/officeDocument/2006/relationships/hyperlink" Target="https://neurips.cc/Conferences/2022/Schedule?showEvent=29000" TargetMode="External"/><Relationship Id="rId32" Type="http://schemas.openxmlformats.org/officeDocument/2006/relationships/hyperlink" Target="https://doi.org/10.1145/3290605.3300830" TargetMode="External"/><Relationship Id="rId37" Type="http://schemas.openxmlformats.org/officeDocument/2006/relationships/hyperlink" Target="https://doi.org/10.1016/j.ijforecast.2021.03.012" TargetMode="External"/><Relationship Id="rId40" Type="http://schemas.openxmlformats.org/officeDocument/2006/relationships/hyperlink" Target="https://doi.org/10.14778/3625054.3625060" TargetMode="External"/><Relationship Id="rId45" Type="http://schemas.openxmlformats.org/officeDocument/2006/relationships/hyperlink" Target="https://doi.org/10.1145/3287560.3287596" TargetMode="External"/><Relationship Id="rId53" Type="http://schemas.openxmlformats.org/officeDocument/2006/relationships/hyperlink" Target="https://papers.nips.cc/paper_files/paper/2019/hash/f220e2f2a77000ad1748ad92d1750c9a-Abstract.html" TargetMode="External"/><Relationship Id="rId58" Type="http://schemas.openxmlformats.org/officeDocument/2006/relationships/hyperlink" Target="https://doi.org/10.1145/3411764.3445518" TargetMode="External"/><Relationship Id="rId5" Type="http://schemas.openxmlformats.org/officeDocument/2006/relationships/webSettings" Target="webSettings.xml"/><Relationship Id="rId61" Type="http://schemas.openxmlformats.org/officeDocument/2006/relationships/hyperlink" Target="https://doi.org/10.1016/j.trpro.2024.03.028" TargetMode="External"/><Relationship Id="rId19" Type="http://schemas.openxmlformats.org/officeDocument/2006/relationships/hyperlink" Target="https://doi.org/10.1145/3240323.3240370" TargetMode="External"/><Relationship Id="rId14" Type="http://schemas.openxmlformats.org/officeDocument/2006/relationships/hyperlink" Target="https://doi.org/10.1109/ICSE-SEIP.2019.00042" TargetMode="External"/><Relationship Id="rId22" Type="http://schemas.openxmlformats.org/officeDocument/2006/relationships/hyperlink" Target="https://doi.org/10.1145/3626246.3653389" TargetMode="External"/><Relationship Id="rId27" Type="http://schemas.openxmlformats.org/officeDocument/2006/relationships/hyperlink" Target="https://doi.org/10.1145/3458723" TargetMode="External"/><Relationship Id="rId30" Type="http://schemas.openxmlformats.org/officeDocument/2006/relationships/hyperlink" Target="https://doi.org/10.1145/3580305.3599915" TargetMode="External"/><Relationship Id="rId35" Type="http://schemas.openxmlformats.org/officeDocument/2006/relationships/hyperlink" Target="https://doi.org/10.1016/j.dss.2020.113451" TargetMode="External"/><Relationship Id="rId43" Type="http://schemas.openxmlformats.org/officeDocument/2006/relationships/hyperlink" Target="https://doi.org/10.1016/j.ijforecast.2021.11.013" TargetMode="External"/><Relationship Id="rId48" Type="http://schemas.openxmlformats.org/officeDocument/2006/relationships/hyperlink" Target="https://doi.org/10.1145/3533378" TargetMode="External"/><Relationship Id="rId56" Type="http://schemas.openxmlformats.org/officeDocument/2006/relationships/hyperlink" Target="https://doi.org/10.1007/s10845-023-02290-2"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287/mnsc.2022.456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145/3533382" TargetMode="External"/><Relationship Id="rId25" Type="http://schemas.openxmlformats.org/officeDocument/2006/relationships/hyperlink" Target="https://doi.org/10.5591/0609.2020.1000" TargetMode="External"/><Relationship Id="rId33" Type="http://schemas.openxmlformats.org/officeDocument/2006/relationships/hyperlink" Target="https://doi.org/10.1016/j.ijforecast.2020.02.005" TargetMode="External"/><Relationship Id="rId38" Type="http://schemas.openxmlformats.org/officeDocument/2006/relationships/hyperlink" Target="https://proceedings.mlr.press/v80/lipton18a.html" TargetMode="External"/><Relationship Id="rId46" Type="http://schemas.openxmlformats.org/officeDocument/2006/relationships/hyperlink" Target="https://doi.org/10.5555/3291125.3309634" TargetMode="External"/><Relationship Id="rId59" Type="http://schemas.openxmlformats.org/officeDocument/2006/relationships/hyperlink" Target="https://doi.org/10.14778/3229863.3229867" TargetMode="External"/><Relationship Id="rId20" Type="http://schemas.openxmlformats.org/officeDocument/2006/relationships/hyperlink" Target="https://doi.org/10.5220/0010434406340641" TargetMode="External"/><Relationship Id="rId41" Type="http://schemas.openxmlformats.org/officeDocument/2006/relationships/hyperlink" Target="https://doi.org/10.1016/j.tre.2022.102694" TargetMode="External"/><Relationship Id="rId54" Type="http://schemas.openxmlformats.org/officeDocument/2006/relationships/hyperlink" Target="https://doi.org/10.1145/3351095.3372873" TargetMode="External"/><Relationship Id="rId62" Type="http://schemas.openxmlformats.org/officeDocument/2006/relationships/hyperlink" Target="https://doi.org/10.1109/TPAMI.2024.33673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47/JRD.2019.2942288" TargetMode="External"/><Relationship Id="rId23" Type="http://schemas.openxmlformats.org/officeDocument/2006/relationships/hyperlink" Target="https://doi.org/10.1287/inte.2022.1145" TargetMode="External"/><Relationship Id="rId28" Type="http://schemas.openxmlformats.org/officeDocument/2006/relationships/hyperlink" Target="https://doi.org/10.3390/su15032255" TargetMode="External"/><Relationship Id="rId36" Type="http://schemas.openxmlformats.org/officeDocument/2006/relationships/hyperlink" Target="https://doi.org/10.1109/ACCESS.2023.3262138" TargetMode="External"/><Relationship Id="rId49" Type="http://schemas.openxmlformats.org/officeDocument/2006/relationships/hyperlink" Target="https://doi.org/10.1057/s41272-023-00438-6" TargetMode="External"/><Relationship Id="rId57" Type="http://schemas.openxmlformats.org/officeDocument/2006/relationships/hyperlink" Target="https://doi.org/10.1016/j.ijpe.2015.10.001" TargetMode="External"/><Relationship Id="rId10" Type="http://schemas.openxmlformats.org/officeDocument/2006/relationships/footer" Target="footer1.xml"/><Relationship Id="rId31" Type="http://schemas.openxmlformats.org/officeDocument/2006/relationships/hyperlink" Target="https://doi.org/10.3389/frai.2024.1429602" TargetMode="External"/><Relationship Id="rId44" Type="http://schemas.openxmlformats.org/officeDocument/2006/relationships/hyperlink" Target="https://doi.org/10.1016/j.engappai.2023.106653" TargetMode="External"/><Relationship Id="rId52" Type="http://schemas.openxmlformats.org/officeDocument/2006/relationships/hyperlink" Target="https://doi.org/10.1287/inte.2020.1047" TargetMode="External"/><Relationship Id="rId60" Type="http://schemas.openxmlformats.org/officeDocument/2006/relationships/hyperlink" Target="https://doi.org/10.5591/978-1-57735-738-4/nips2015/5656"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14778/3137765.3137775" TargetMode="External"/><Relationship Id="rId39" Type="http://schemas.openxmlformats.org/officeDocument/2006/relationships/hyperlink" Target="https://doi.org/10.14778/3685800.368584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eD0rjNh9P+oChmSpNA/TMVVkWA==">CgMxLjA4AHIhMVVLWWo5b1UwcC1rQmhWYzZRV1FzMnNxUjNJX0lqdGRq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8257</Words>
  <Characters>47068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c:creator>
  <cp:lastModifiedBy>Editor-1183</cp:lastModifiedBy>
  <cp:revision>89</cp:revision>
  <dcterms:created xsi:type="dcterms:W3CDTF">2025-10-28T22:29:00Z</dcterms:created>
  <dcterms:modified xsi:type="dcterms:W3CDTF">2026-01-24T08:17:00Z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07a2d758-416f-4dc1-b2e6-6ec18dbd8302</vt:lpwstr>
  </property>
</Properties>
</file>