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8797B" w14:textId="77777777" w:rsidR="000A66CA" w:rsidRDefault="000A66CA" w:rsidP="00441B6F">
      <w:pPr>
        <w:pStyle w:val="Title"/>
        <w:spacing w:after="0"/>
        <w:jc w:val="both"/>
        <w:rPr>
          <w:rFonts w:ascii="Arial" w:hAnsi="Arial" w:cs="Arial"/>
        </w:rPr>
      </w:pPr>
    </w:p>
    <w:p w14:paraId="400FCDC1" w14:textId="6419F64D" w:rsidR="00DF4370" w:rsidRDefault="005E571A" w:rsidP="00DF4370">
      <w:pPr>
        <w:jc w:val="right"/>
        <w:rPr>
          <w:rFonts w:ascii="Arial" w:hAnsi="Arial" w:cs="Arial"/>
          <w:b/>
          <w:bCs/>
          <w:sz w:val="36"/>
          <w:szCs w:val="36"/>
        </w:rPr>
      </w:pPr>
      <w:r w:rsidRPr="00DF4370">
        <w:rPr>
          <w:rFonts w:ascii="Arial" w:hAnsi="Arial" w:cs="Arial"/>
          <w:b/>
          <w:bCs/>
          <w:sz w:val="36"/>
          <w:szCs w:val="36"/>
        </w:rPr>
        <w:t xml:space="preserve">Framing </w:t>
      </w:r>
      <w:r>
        <w:rPr>
          <w:rFonts w:ascii="Arial" w:hAnsi="Arial" w:cs="Arial"/>
          <w:b/>
          <w:bCs/>
          <w:sz w:val="36"/>
          <w:szCs w:val="36"/>
        </w:rPr>
        <w:t>t</w:t>
      </w:r>
      <w:r w:rsidRPr="00DF4370">
        <w:rPr>
          <w:rFonts w:ascii="Arial" w:hAnsi="Arial" w:cs="Arial"/>
          <w:b/>
          <w:bCs/>
          <w:sz w:val="36"/>
          <w:szCs w:val="36"/>
        </w:rPr>
        <w:t xml:space="preserve">he Climate Burden: Advertising’s </w:t>
      </w:r>
      <w:bookmarkStart w:id="0" w:name="_Hlk218257716"/>
      <w:r w:rsidRPr="00DF4370">
        <w:rPr>
          <w:rFonts w:ascii="Arial" w:hAnsi="Arial" w:cs="Arial"/>
          <w:b/>
          <w:bCs/>
          <w:sz w:val="36"/>
          <w:szCs w:val="36"/>
        </w:rPr>
        <w:t xml:space="preserve">Role </w:t>
      </w:r>
      <w:r>
        <w:rPr>
          <w:rFonts w:ascii="Arial" w:hAnsi="Arial" w:cs="Arial"/>
          <w:b/>
          <w:bCs/>
          <w:sz w:val="36"/>
          <w:szCs w:val="36"/>
        </w:rPr>
        <w:t>i</w:t>
      </w:r>
      <w:r w:rsidRPr="00DF4370">
        <w:rPr>
          <w:rFonts w:ascii="Arial" w:hAnsi="Arial" w:cs="Arial"/>
          <w:b/>
          <w:bCs/>
          <w:sz w:val="36"/>
          <w:szCs w:val="36"/>
        </w:rPr>
        <w:t>n Shaping Responsibility</w:t>
      </w:r>
      <w:bookmarkEnd w:id="0"/>
      <w:r w:rsidRPr="00DF4370">
        <w:rPr>
          <w:rFonts w:ascii="Arial" w:hAnsi="Arial" w:cs="Arial"/>
          <w:b/>
          <w:bCs/>
          <w:sz w:val="36"/>
          <w:szCs w:val="36"/>
        </w:rPr>
        <w:t xml:space="preserve"> Narratives</w:t>
      </w:r>
    </w:p>
    <w:p w14:paraId="6082F95C" w14:textId="77777777" w:rsidR="000A66CA" w:rsidRPr="00DF4370" w:rsidRDefault="000A66CA" w:rsidP="00DF4370">
      <w:pPr>
        <w:jc w:val="right"/>
        <w:rPr>
          <w:rFonts w:ascii="Arial" w:hAnsi="Arial" w:cs="Arial"/>
          <w:b/>
          <w:bCs/>
          <w:sz w:val="36"/>
          <w:szCs w:val="36"/>
        </w:rPr>
      </w:pPr>
    </w:p>
    <w:p w14:paraId="01023780" w14:textId="77777777" w:rsidR="00B01FCD" w:rsidRPr="00FB3A86" w:rsidRDefault="005B46FF" w:rsidP="00441B6F">
      <w:pPr>
        <w:pStyle w:val="Copyright"/>
        <w:spacing w:after="0" w:line="240" w:lineRule="auto"/>
        <w:jc w:val="both"/>
        <w:rPr>
          <w:rFonts w:ascii="Arial" w:hAnsi="Arial" w:cs="Arial"/>
        </w:rPr>
        <w:sectPr w:rsidR="00B01FCD" w:rsidRPr="00FB3A86" w:rsidSect="003B1D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F1FFD51">
          <v:shapetype id="_x0000_t32" coordsize="21600,21600" o:spt="32" o:oned="t" path="m,l21600,21600e" filled="f">
            <v:path arrowok="t" fillok="f" o:connecttype="none"/>
            <o:lock v:ext="edit" shapetype="t"/>
          </v:shapetype>
          <v:shape id="_x0000_s103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D17D7B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BBFD8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E1E9D35" w14:textId="77777777" w:rsidTr="001E44FE">
        <w:tc>
          <w:tcPr>
            <w:tcW w:w="9576" w:type="dxa"/>
            <w:shd w:val="clear" w:color="auto" w:fill="F2F2F2"/>
          </w:tcPr>
          <w:p w14:paraId="14FAB649" w14:textId="77777777" w:rsidR="00DF4370" w:rsidRPr="00DF4370" w:rsidRDefault="00DF4370" w:rsidP="00DF4370">
            <w:pPr>
              <w:pStyle w:val="Body"/>
              <w:spacing w:after="0"/>
              <w:rPr>
                <w:rFonts w:ascii="Arial" w:eastAsia="Calibri" w:hAnsi="Arial" w:cs="Arial"/>
                <w:b/>
                <w:bCs/>
                <w:szCs w:val="22"/>
              </w:rPr>
            </w:pPr>
            <w:r w:rsidRPr="00DF4370">
              <w:rPr>
                <w:rFonts w:ascii="Arial" w:eastAsia="Calibri" w:hAnsi="Arial" w:cs="Arial"/>
                <w:b/>
                <w:bCs/>
                <w:szCs w:val="22"/>
              </w:rPr>
              <w:t>Background</w:t>
            </w:r>
          </w:p>
          <w:p w14:paraId="712FBA80" w14:textId="77777777" w:rsidR="00DF4370" w:rsidRPr="00DF4370" w:rsidRDefault="00DF4370" w:rsidP="00DF4370">
            <w:pPr>
              <w:pStyle w:val="Body"/>
              <w:spacing w:after="0"/>
              <w:rPr>
                <w:rFonts w:ascii="Arial" w:eastAsia="Calibri" w:hAnsi="Arial" w:cs="Arial"/>
                <w:szCs w:val="22"/>
              </w:rPr>
            </w:pPr>
            <w:r w:rsidRPr="00DF4370">
              <w:rPr>
                <w:rFonts w:ascii="Arial" w:eastAsia="Calibri" w:hAnsi="Arial" w:cs="Arial"/>
                <w:szCs w:val="22"/>
              </w:rPr>
              <w:t>Climate change is one of the most pressing issues of the present era, and corporate sustainable advertising is increasingly presenting itself as one of the solutions to it. Brands across industries such as technology, aviation, and fashion are using sustainability-themed advertising to highlight their climate pledges and meet customer demands. However, critical research has shown that these campaigns frequently shift accountability from systemic participants</w:t>
            </w:r>
            <w:r>
              <w:rPr>
                <w:rFonts w:ascii="Arial" w:eastAsia="Calibri" w:hAnsi="Arial" w:cs="Arial"/>
                <w:szCs w:val="22"/>
              </w:rPr>
              <w:t xml:space="preserve"> </w:t>
            </w:r>
            <w:r w:rsidRPr="00DF4370">
              <w:rPr>
                <w:rFonts w:ascii="Arial" w:eastAsia="Calibri" w:hAnsi="Arial" w:cs="Arial"/>
                <w:szCs w:val="22"/>
              </w:rPr>
              <w:t>such as governments, businesses, and industries—to individual consumers. In certain situations, this individualization of accountability can lead to climate fatalism or public disengagement by fostering feelings of inadequacy.</w:t>
            </w:r>
          </w:p>
          <w:p w14:paraId="4F12B23E" w14:textId="77777777" w:rsidR="00DF4370" w:rsidRPr="00DF4370" w:rsidRDefault="00DF4370" w:rsidP="00DF4370">
            <w:pPr>
              <w:pStyle w:val="Body"/>
              <w:spacing w:after="0"/>
              <w:rPr>
                <w:rFonts w:ascii="Arial" w:eastAsia="Calibri" w:hAnsi="Arial" w:cs="Arial"/>
                <w:b/>
                <w:bCs/>
                <w:szCs w:val="22"/>
              </w:rPr>
            </w:pPr>
            <w:r w:rsidRPr="00DF4370">
              <w:rPr>
                <w:rFonts w:ascii="Arial" w:eastAsia="Calibri" w:hAnsi="Arial" w:cs="Arial"/>
                <w:b/>
                <w:bCs/>
                <w:szCs w:val="22"/>
              </w:rPr>
              <w:t>Objective</w:t>
            </w:r>
          </w:p>
          <w:p w14:paraId="1B4CC42D" w14:textId="77777777" w:rsidR="00DF4370" w:rsidRPr="00DF4370" w:rsidRDefault="00DF4370" w:rsidP="00DF4370">
            <w:pPr>
              <w:pStyle w:val="Body"/>
              <w:spacing w:after="0"/>
              <w:rPr>
                <w:rFonts w:ascii="Arial" w:eastAsia="Calibri" w:hAnsi="Arial" w:cs="Arial"/>
                <w:szCs w:val="22"/>
              </w:rPr>
            </w:pPr>
            <w:r w:rsidRPr="00DF4370">
              <w:rPr>
                <w:rFonts w:ascii="Arial" w:eastAsia="Calibri" w:hAnsi="Arial" w:cs="Arial"/>
                <w:szCs w:val="22"/>
              </w:rPr>
              <w:t>This paper explores the framing of climate responsibility in contemporary corporate advertising, focusing on media and digital campaigns published between 2021 and 2024. It examines how advertisements construct narratives of responsibility, the solutions they highlight, and the emotions</w:t>
            </w:r>
            <w:r>
              <w:rPr>
                <w:rFonts w:ascii="Arial" w:eastAsia="Calibri" w:hAnsi="Arial" w:cs="Arial"/>
                <w:szCs w:val="22"/>
              </w:rPr>
              <w:t xml:space="preserve"> </w:t>
            </w:r>
            <w:r w:rsidRPr="00DF4370">
              <w:rPr>
                <w:rFonts w:ascii="Arial" w:eastAsia="Calibri" w:hAnsi="Arial" w:cs="Arial"/>
                <w:szCs w:val="22"/>
              </w:rPr>
              <w:t>such as guilt, empowerment, or hope—that they mobilize to influence viewers.</w:t>
            </w:r>
          </w:p>
          <w:p w14:paraId="6B0EA90B" w14:textId="77777777" w:rsidR="00DF4370" w:rsidRPr="00DF4370" w:rsidRDefault="00DF4370" w:rsidP="00DF4370">
            <w:pPr>
              <w:pStyle w:val="Body"/>
              <w:spacing w:after="0"/>
              <w:rPr>
                <w:rFonts w:ascii="Arial" w:eastAsia="Calibri" w:hAnsi="Arial" w:cs="Arial"/>
                <w:b/>
                <w:bCs/>
                <w:szCs w:val="22"/>
              </w:rPr>
            </w:pPr>
            <w:r w:rsidRPr="00DF4370">
              <w:rPr>
                <w:rFonts w:ascii="Arial" w:eastAsia="Calibri" w:hAnsi="Arial" w:cs="Arial"/>
                <w:b/>
                <w:bCs/>
                <w:szCs w:val="22"/>
              </w:rPr>
              <w:t>Methodology</w:t>
            </w:r>
          </w:p>
          <w:p w14:paraId="2C77FBC4" w14:textId="75962B23" w:rsidR="00DF4370" w:rsidRPr="00DF4370" w:rsidRDefault="00DF4370" w:rsidP="00DF4370">
            <w:pPr>
              <w:pStyle w:val="Body"/>
              <w:spacing w:after="0"/>
              <w:rPr>
                <w:rFonts w:ascii="Arial" w:eastAsia="Calibri" w:hAnsi="Arial" w:cs="Arial"/>
                <w:szCs w:val="22"/>
              </w:rPr>
            </w:pPr>
            <w:r w:rsidRPr="00DF4370">
              <w:rPr>
                <w:rFonts w:ascii="Arial" w:eastAsia="Calibri" w:hAnsi="Arial" w:cs="Arial"/>
                <w:szCs w:val="22"/>
              </w:rPr>
              <w:t xml:space="preserve">Using qualitative content analysis, the study analyzes </w:t>
            </w:r>
            <w:r w:rsidRPr="00EC1FF4">
              <w:rPr>
                <w:rFonts w:ascii="Arial" w:eastAsia="Calibri" w:hAnsi="Arial" w:cs="Arial"/>
                <w:b/>
                <w:bCs/>
                <w:szCs w:val="22"/>
              </w:rPr>
              <w:t>fifteen</w:t>
            </w:r>
            <w:r w:rsidRPr="00DF4370">
              <w:rPr>
                <w:rFonts w:ascii="Arial" w:eastAsia="Calibri" w:hAnsi="Arial" w:cs="Arial"/>
                <w:szCs w:val="22"/>
              </w:rPr>
              <w:t xml:space="preserve"> well-known campaigns by multinational corporations. The analysis also considers how corporate sustainability pledges and celebrity endorsements may either strengthen or weaken the credibility of these campaigns.</w:t>
            </w:r>
          </w:p>
          <w:p w14:paraId="12024FEB" w14:textId="77777777" w:rsidR="00DF4370" w:rsidRPr="00DF4370" w:rsidRDefault="00DF4370" w:rsidP="00DF4370">
            <w:pPr>
              <w:pStyle w:val="Body"/>
              <w:spacing w:after="0"/>
              <w:rPr>
                <w:rFonts w:ascii="Arial" w:eastAsia="Calibri" w:hAnsi="Arial" w:cs="Arial"/>
                <w:b/>
                <w:bCs/>
                <w:szCs w:val="22"/>
              </w:rPr>
            </w:pPr>
            <w:r w:rsidRPr="00DF4370">
              <w:rPr>
                <w:rFonts w:ascii="Arial" w:eastAsia="Calibri" w:hAnsi="Arial" w:cs="Arial"/>
                <w:b/>
                <w:bCs/>
                <w:szCs w:val="22"/>
              </w:rPr>
              <w:t>Theoretical Framework</w:t>
            </w:r>
          </w:p>
          <w:p w14:paraId="7DC0A94F" w14:textId="37E16EEF" w:rsidR="00DF4370" w:rsidRPr="007655CE" w:rsidRDefault="00DF4370" w:rsidP="007655CE">
            <w:pPr>
              <w:pStyle w:val="Body"/>
              <w:rPr>
                <w:rFonts w:ascii="Arial" w:hAnsi="Arial" w:cs="Arial"/>
                <w:b/>
                <w:bCs/>
              </w:rPr>
            </w:pPr>
            <w:r w:rsidRPr="00DF4370">
              <w:rPr>
                <w:rFonts w:ascii="Arial" w:eastAsia="Calibri" w:hAnsi="Arial" w:cs="Arial"/>
                <w:szCs w:val="22"/>
              </w:rPr>
              <w:t xml:space="preserve">The paper situates its findings within broader discussions of </w:t>
            </w:r>
            <w:r w:rsidRPr="00DF4370">
              <w:rPr>
                <w:rFonts w:ascii="Arial" w:eastAsia="Calibri" w:hAnsi="Arial" w:cs="Arial"/>
                <w:b/>
                <w:bCs/>
                <w:szCs w:val="22"/>
              </w:rPr>
              <w:t>greenwashing</w:t>
            </w:r>
            <w:r w:rsidRPr="00DF4370">
              <w:rPr>
                <w:rFonts w:ascii="Arial" w:eastAsia="Calibri" w:hAnsi="Arial" w:cs="Arial"/>
                <w:szCs w:val="22"/>
              </w:rPr>
              <w:t xml:space="preserve">, </w:t>
            </w:r>
            <w:r w:rsidRPr="00DF4370">
              <w:rPr>
                <w:rFonts w:ascii="Arial" w:eastAsia="Calibri" w:hAnsi="Arial" w:cs="Arial"/>
                <w:b/>
                <w:bCs/>
                <w:szCs w:val="22"/>
              </w:rPr>
              <w:t>framing theory</w:t>
            </w:r>
            <w:r w:rsidRPr="00DF4370">
              <w:rPr>
                <w:rFonts w:ascii="Arial" w:eastAsia="Calibri" w:hAnsi="Arial" w:cs="Arial"/>
                <w:szCs w:val="22"/>
              </w:rPr>
              <w:t xml:space="preserve">, and </w:t>
            </w:r>
            <w:r w:rsidRPr="00DF4370">
              <w:rPr>
                <w:rFonts w:ascii="Arial" w:eastAsia="Calibri" w:hAnsi="Arial" w:cs="Arial"/>
                <w:b/>
                <w:bCs/>
                <w:szCs w:val="22"/>
              </w:rPr>
              <w:t>consumer culture</w:t>
            </w:r>
            <w:r w:rsidR="007655CE">
              <w:rPr>
                <w:rFonts w:ascii="Arial" w:eastAsia="Calibri" w:hAnsi="Arial" w:cs="Arial"/>
                <w:b/>
                <w:bCs/>
                <w:szCs w:val="22"/>
              </w:rPr>
              <w:t xml:space="preserve"> and identified </w:t>
            </w:r>
            <w:r w:rsidR="007655CE">
              <w:rPr>
                <w:rFonts w:ascii="Arial" w:eastAsia="Calibri" w:hAnsi="Arial" w:cs="Arial"/>
                <w:szCs w:val="22"/>
              </w:rPr>
              <w:t>three frames-</w:t>
            </w:r>
            <w:r w:rsidR="007655CE" w:rsidRPr="00942049">
              <w:rPr>
                <w:rFonts w:ascii="Arial" w:hAnsi="Arial" w:cs="Arial"/>
                <w:b/>
                <w:bCs/>
              </w:rPr>
              <w:t xml:space="preserve"> Empowered Individual Action</w:t>
            </w:r>
            <w:r w:rsidR="007655CE">
              <w:rPr>
                <w:rFonts w:ascii="Arial" w:hAnsi="Arial" w:cs="Arial"/>
                <w:b/>
                <w:bCs/>
              </w:rPr>
              <w:t>,</w:t>
            </w:r>
            <w:r w:rsidR="007655CE" w:rsidRPr="00942049">
              <w:rPr>
                <w:rFonts w:ascii="Arial" w:hAnsi="Arial" w:cs="Arial"/>
                <w:b/>
                <w:bCs/>
              </w:rPr>
              <w:t xml:space="preserve"> Redemptive Consumption</w:t>
            </w:r>
            <w:r w:rsidR="007655CE">
              <w:rPr>
                <w:rFonts w:ascii="Arial" w:hAnsi="Arial" w:cs="Arial"/>
                <w:b/>
                <w:bCs/>
              </w:rPr>
              <w:t xml:space="preserve"> and </w:t>
            </w:r>
            <w:r w:rsidR="007655CE" w:rsidRPr="007655CE">
              <w:rPr>
                <w:rFonts w:ascii="Arial" w:hAnsi="Arial" w:cs="Arial"/>
                <w:b/>
                <w:bCs/>
              </w:rPr>
              <w:t>Corporate Allyship</w:t>
            </w:r>
            <w:r w:rsidR="007655CE">
              <w:rPr>
                <w:rFonts w:ascii="Arial" w:hAnsi="Arial" w:cs="Arial"/>
                <w:b/>
                <w:bCs/>
              </w:rPr>
              <w:t xml:space="preserve"> </w:t>
            </w:r>
            <w:r w:rsidRPr="00DF4370">
              <w:rPr>
                <w:rFonts w:ascii="Arial" w:eastAsia="Calibri" w:hAnsi="Arial" w:cs="Arial"/>
                <w:szCs w:val="22"/>
              </w:rPr>
              <w:t>offering both theoretical insights and ethical reflections on how responsibility for climate action is communicated.</w:t>
            </w:r>
          </w:p>
          <w:p w14:paraId="632C2BB7" w14:textId="77777777" w:rsidR="00DF4370" w:rsidRPr="00DF4370" w:rsidRDefault="00DF4370" w:rsidP="00DF4370">
            <w:pPr>
              <w:pStyle w:val="Body"/>
              <w:spacing w:after="0"/>
              <w:rPr>
                <w:rFonts w:ascii="Arial" w:eastAsia="Calibri" w:hAnsi="Arial" w:cs="Arial"/>
                <w:b/>
                <w:bCs/>
                <w:szCs w:val="22"/>
              </w:rPr>
            </w:pPr>
            <w:r w:rsidRPr="00DF4370">
              <w:rPr>
                <w:rFonts w:ascii="Arial" w:eastAsia="Calibri" w:hAnsi="Arial" w:cs="Arial"/>
                <w:b/>
                <w:bCs/>
                <w:szCs w:val="22"/>
              </w:rPr>
              <w:t>Implications</w:t>
            </w:r>
          </w:p>
          <w:p w14:paraId="3095FA9A" w14:textId="77777777" w:rsidR="00DF4370" w:rsidRPr="00DF4370" w:rsidRDefault="00DF4370" w:rsidP="00DF4370">
            <w:pPr>
              <w:pStyle w:val="Body"/>
              <w:spacing w:after="0"/>
              <w:rPr>
                <w:rFonts w:ascii="Arial" w:eastAsia="Calibri" w:hAnsi="Arial" w:cs="Arial"/>
                <w:szCs w:val="22"/>
              </w:rPr>
            </w:pPr>
            <w:r w:rsidRPr="00DF4370">
              <w:rPr>
                <w:rFonts w:ascii="Arial" w:eastAsia="Calibri" w:hAnsi="Arial" w:cs="Arial"/>
                <w:szCs w:val="22"/>
              </w:rPr>
              <w:t>This study aims to advance understanding of how climate communication in marketing shapes public perceptions of systemic versus individual action. It provides practical implications for policymakers, regulators, and marketers while calling for a reconsideration of how advertising frames climate responsibility—to foster collective engagement rather than disengagement.</w:t>
            </w:r>
          </w:p>
          <w:p w14:paraId="04BBA7BC" w14:textId="77777777" w:rsidR="00505F06" w:rsidRPr="00BA1B01" w:rsidRDefault="00505F06" w:rsidP="00441B6F">
            <w:pPr>
              <w:pStyle w:val="Body"/>
              <w:spacing w:after="0"/>
              <w:rPr>
                <w:rFonts w:ascii="Arial" w:eastAsia="Calibri" w:hAnsi="Arial" w:cs="Arial"/>
                <w:szCs w:val="22"/>
              </w:rPr>
            </w:pPr>
          </w:p>
        </w:tc>
      </w:tr>
    </w:tbl>
    <w:p w14:paraId="6781BFC9" w14:textId="77777777" w:rsidR="00636EB2" w:rsidRDefault="00636EB2" w:rsidP="00441B6F">
      <w:pPr>
        <w:pStyle w:val="Body"/>
        <w:spacing w:after="0"/>
        <w:rPr>
          <w:rFonts w:ascii="Arial" w:hAnsi="Arial" w:cs="Arial"/>
          <w:i/>
        </w:rPr>
      </w:pPr>
    </w:p>
    <w:p w14:paraId="77A7716F" w14:textId="77777777" w:rsidR="00790ADA" w:rsidRDefault="00A24E7E" w:rsidP="00441B6F">
      <w:pPr>
        <w:pStyle w:val="Body"/>
        <w:spacing w:after="0"/>
        <w:rPr>
          <w:rFonts w:ascii="Arial" w:hAnsi="Arial" w:cs="Arial"/>
          <w:i/>
        </w:rPr>
      </w:pPr>
      <w:r>
        <w:rPr>
          <w:rFonts w:ascii="Arial" w:hAnsi="Arial" w:cs="Arial"/>
          <w:i/>
        </w:rPr>
        <w:t xml:space="preserve">Keywords: </w:t>
      </w:r>
      <w:r w:rsidR="00DF4370" w:rsidRPr="00DF4370">
        <w:rPr>
          <w:rFonts w:ascii="Arial" w:hAnsi="Arial" w:cs="Arial"/>
          <w:i/>
        </w:rPr>
        <w:t>Climate communication, Responsibility framing, Advertising and marketing, Individual vs. systemic responsibility, Climate change</w:t>
      </w:r>
    </w:p>
    <w:p w14:paraId="6DB7B358" w14:textId="77777777" w:rsidR="00505F06" w:rsidRPr="004539DB" w:rsidRDefault="00505F06" w:rsidP="00441B6F">
      <w:pPr>
        <w:pStyle w:val="Body"/>
        <w:spacing w:after="0"/>
        <w:rPr>
          <w:rFonts w:ascii="Arial" w:hAnsi="Arial" w:cs="Arial"/>
          <w:i/>
          <w:sz w:val="18"/>
        </w:rPr>
      </w:pPr>
    </w:p>
    <w:p w14:paraId="3B683945" w14:textId="77777777" w:rsidR="0024282C" w:rsidRDefault="0024282C" w:rsidP="00441B6F">
      <w:pPr>
        <w:pStyle w:val="Body"/>
        <w:spacing w:after="0"/>
        <w:rPr>
          <w:rFonts w:ascii="Arial" w:hAnsi="Arial" w:cs="Arial"/>
          <w:i/>
          <w:sz w:val="18"/>
        </w:rPr>
      </w:pPr>
    </w:p>
    <w:p w14:paraId="00EDCF3C" w14:textId="77777777" w:rsidR="007F7B32" w:rsidRDefault="00B01FCD" w:rsidP="00FF11B0">
      <w:pPr>
        <w:pStyle w:val="AbstHead"/>
        <w:numPr>
          <w:ilvl w:val="0"/>
          <w:numId w:val="31"/>
        </w:numPr>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3E33DF07"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According to the un, climate change is "the defining crisis of our time," necessitating swift and forceful solutions at all societal levels. The intergovernmental panel on climate change (</w:t>
      </w:r>
      <w:proofErr w:type="spellStart"/>
      <w:r w:rsidRPr="00FF11B0">
        <w:rPr>
          <w:rFonts w:ascii="Arial" w:hAnsi="Arial" w:cs="Arial"/>
          <w:b w:val="0"/>
          <w:bCs/>
          <w:caps w:val="0"/>
          <w:sz w:val="20"/>
        </w:rPr>
        <w:t>ipcc</w:t>
      </w:r>
      <w:proofErr w:type="spellEnd"/>
      <w:r w:rsidRPr="00FF11B0">
        <w:rPr>
          <w:rFonts w:ascii="Arial" w:hAnsi="Arial" w:cs="Arial"/>
          <w:b w:val="0"/>
          <w:bCs/>
          <w:caps w:val="0"/>
          <w:sz w:val="20"/>
        </w:rPr>
        <w:t>) sixth assessment and other recent assessments caution that "the window for effective climate action is closing rapidly" and highlight the necessity of systemic change fueled by business innovation, coordinated policy, and citizen participation. Corporate actors have taken advantage of climate communication as a strategic tool as public concern over environmental issues grows. They use sustainability-themed advertising to position themselves as leaders in climate solutions and encourage customer involvement with their brand activities.</w:t>
      </w:r>
    </w:p>
    <w:p w14:paraId="66FFEC27"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In a variety of industries, such as technology, aviation, and fashion, firms use sustainability promises in their marketing to boost their reputation and satisfy changing consumer demands (</w:t>
      </w:r>
      <w:proofErr w:type="spellStart"/>
      <w:r w:rsidRPr="00FF11B0">
        <w:rPr>
          <w:rFonts w:ascii="Arial" w:hAnsi="Arial" w:cs="Arial"/>
          <w:b w:val="0"/>
          <w:bCs/>
          <w:caps w:val="0"/>
          <w:sz w:val="20"/>
        </w:rPr>
        <w:t>peattie</w:t>
      </w:r>
      <w:proofErr w:type="spellEnd"/>
      <w:r w:rsidRPr="00FF11B0">
        <w:rPr>
          <w:rFonts w:ascii="Arial" w:hAnsi="Arial" w:cs="Arial"/>
          <w:b w:val="0"/>
          <w:bCs/>
          <w:caps w:val="0"/>
          <w:sz w:val="20"/>
        </w:rPr>
        <w:t xml:space="preserve"> &amp; crane, 2005). Between 2021 and 2024, there was a noticeable rise in "purpose-driven" campaigns that emphasize environmental stewardship and climate pledges, according to the world advertising research center (</w:t>
      </w:r>
      <w:proofErr w:type="spellStart"/>
      <w:r w:rsidRPr="00FF11B0">
        <w:rPr>
          <w:rFonts w:ascii="Arial" w:hAnsi="Arial" w:cs="Arial"/>
          <w:b w:val="0"/>
          <w:bCs/>
          <w:caps w:val="0"/>
          <w:sz w:val="20"/>
        </w:rPr>
        <w:t>warc</w:t>
      </w:r>
      <w:proofErr w:type="spellEnd"/>
      <w:r w:rsidRPr="00FF11B0">
        <w:rPr>
          <w:rFonts w:ascii="Arial" w:hAnsi="Arial" w:cs="Arial"/>
          <w:b w:val="0"/>
          <w:bCs/>
          <w:caps w:val="0"/>
          <w:sz w:val="20"/>
        </w:rPr>
        <w:t>). This suggests that the market for climate credibility has become essential to both corporate risk management and competitive differentiation.</w:t>
      </w:r>
    </w:p>
    <w:p w14:paraId="03138CF5"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However, critical scholarship in marketing and consumer studies has highlighted paradoxes inherent in such messaging, where “the invocation of individual choice in climate actions is often a mechanism to deflect attention from collective and institutional responsibility” (</w:t>
      </w:r>
      <w:proofErr w:type="spellStart"/>
      <w:r w:rsidRPr="00FF11B0">
        <w:rPr>
          <w:rFonts w:ascii="Arial" w:hAnsi="Arial" w:cs="Arial"/>
          <w:b w:val="0"/>
          <w:bCs/>
          <w:caps w:val="0"/>
          <w:sz w:val="20"/>
        </w:rPr>
        <w:t>chatzidakis</w:t>
      </w:r>
      <w:proofErr w:type="spellEnd"/>
      <w:r w:rsidRPr="00FF11B0">
        <w:rPr>
          <w:rFonts w:ascii="Arial" w:hAnsi="Arial" w:cs="Arial"/>
          <w:b w:val="0"/>
          <w:bCs/>
          <w:caps w:val="0"/>
          <w:sz w:val="20"/>
        </w:rPr>
        <w:t xml:space="preserve"> et al., 2015, p. 682).</w:t>
      </w:r>
    </w:p>
    <w:p w14:paraId="20133EFD"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Framing theory provides a valuable lens for interrogating how these narratives are constructed. Advertisements frequently shift the locus of accountability from systemic actors—governments, multinational corporations, and industry regulators to the consumer, often by stressing lifestyle changes and eco-friendly purchases as pivotal responses to planetary crisis (</w:t>
      </w:r>
      <w:proofErr w:type="spellStart"/>
      <w:r w:rsidRPr="00FF11B0">
        <w:rPr>
          <w:rFonts w:ascii="Arial" w:hAnsi="Arial" w:cs="Arial"/>
          <w:b w:val="0"/>
          <w:bCs/>
          <w:caps w:val="0"/>
          <w:sz w:val="20"/>
        </w:rPr>
        <w:t>goffman</w:t>
      </w:r>
      <w:proofErr w:type="spellEnd"/>
      <w:r w:rsidRPr="00FF11B0">
        <w:rPr>
          <w:rFonts w:ascii="Arial" w:hAnsi="Arial" w:cs="Arial"/>
          <w:b w:val="0"/>
          <w:bCs/>
          <w:caps w:val="0"/>
          <w:sz w:val="20"/>
        </w:rPr>
        <w:t>, 1974). This strategy, while empowering in appearance, carries the risk of generating what recent meta-analyses term “climate fatalism” a state where audiences perceive collective action as futile and their personal efforts as inadequate relative to the scale of the challenge (</w:t>
      </w:r>
      <w:proofErr w:type="spellStart"/>
      <w:r w:rsidRPr="00FF11B0">
        <w:rPr>
          <w:rFonts w:ascii="Arial" w:hAnsi="Arial" w:cs="Arial"/>
          <w:b w:val="0"/>
          <w:bCs/>
          <w:caps w:val="0"/>
          <w:sz w:val="20"/>
        </w:rPr>
        <w:t>moser</w:t>
      </w:r>
      <w:proofErr w:type="spellEnd"/>
      <w:r w:rsidRPr="00FF11B0">
        <w:rPr>
          <w:rFonts w:ascii="Arial" w:hAnsi="Arial" w:cs="Arial"/>
          <w:b w:val="0"/>
          <w:bCs/>
          <w:caps w:val="0"/>
          <w:sz w:val="20"/>
        </w:rPr>
        <w:t xml:space="preserve"> &amp; </w:t>
      </w:r>
      <w:proofErr w:type="spellStart"/>
      <w:r w:rsidRPr="00FF11B0">
        <w:rPr>
          <w:rFonts w:ascii="Arial" w:hAnsi="Arial" w:cs="Arial"/>
          <w:b w:val="0"/>
          <w:bCs/>
          <w:caps w:val="0"/>
          <w:sz w:val="20"/>
        </w:rPr>
        <w:t>dilling</w:t>
      </w:r>
      <w:proofErr w:type="spellEnd"/>
      <w:r w:rsidRPr="00FF11B0">
        <w:rPr>
          <w:rFonts w:ascii="Arial" w:hAnsi="Arial" w:cs="Arial"/>
          <w:b w:val="0"/>
          <w:bCs/>
          <w:caps w:val="0"/>
          <w:sz w:val="20"/>
        </w:rPr>
        <w:t>, 2017). Behavioral research supports the contention that emotional appeals, including guilt and hope, are selectively mobilized to stimulate engagement; yet, in some cases, these emotions can foster disengagement through overwhelm or skepticism (</w:t>
      </w:r>
      <w:proofErr w:type="spellStart"/>
      <w:r w:rsidRPr="00FF11B0">
        <w:rPr>
          <w:rFonts w:ascii="Arial" w:hAnsi="Arial" w:cs="Arial"/>
          <w:b w:val="0"/>
          <w:bCs/>
          <w:caps w:val="0"/>
          <w:sz w:val="20"/>
        </w:rPr>
        <w:t>vermeir</w:t>
      </w:r>
      <w:proofErr w:type="spellEnd"/>
      <w:r w:rsidRPr="00FF11B0">
        <w:rPr>
          <w:rFonts w:ascii="Arial" w:hAnsi="Arial" w:cs="Arial"/>
          <w:b w:val="0"/>
          <w:bCs/>
          <w:caps w:val="0"/>
          <w:sz w:val="20"/>
        </w:rPr>
        <w:t xml:space="preserve"> &amp; </w:t>
      </w:r>
      <w:proofErr w:type="spellStart"/>
      <w:r w:rsidRPr="00FF11B0">
        <w:rPr>
          <w:rFonts w:ascii="Arial" w:hAnsi="Arial" w:cs="Arial"/>
          <w:b w:val="0"/>
          <w:bCs/>
          <w:caps w:val="0"/>
          <w:sz w:val="20"/>
        </w:rPr>
        <w:t>verbeke</w:t>
      </w:r>
      <w:proofErr w:type="spellEnd"/>
      <w:r w:rsidRPr="00FF11B0">
        <w:rPr>
          <w:rFonts w:ascii="Arial" w:hAnsi="Arial" w:cs="Arial"/>
          <w:b w:val="0"/>
          <w:bCs/>
          <w:caps w:val="0"/>
          <w:sz w:val="20"/>
        </w:rPr>
        <w:t>, 2008).</w:t>
      </w:r>
    </w:p>
    <w:p w14:paraId="1D643B4B"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The credibility of corporate climate communication is further complicated by the prevalence of greenwashing, defined as “misleading claims or selective disclosure about environmental impact that masks unsustainable practices” (</w:t>
      </w:r>
      <w:proofErr w:type="spellStart"/>
      <w:r w:rsidRPr="00FF11B0">
        <w:rPr>
          <w:rFonts w:ascii="Arial" w:hAnsi="Arial" w:cs="Arial"/>
          <w:b w:val="0"/>
          <w:bCs/>
          <w:caps w:val="0"/>
          <w:sz w:val="20"/>
        </w:rPr>
        <w:t>lyon</w:t>
      </w:r>
      <w:proofErr w:type="spellEnd"/>
      <w:r w:rsidRPr="00FF11B0">
        <w:rPr>
          <w:rFonts w:ascii="Arial" w:hAnsi="Arial" w:cs="Arial"/>
          <w:b w:val="0"/>
          <w:bCs/>
          <w:caps w:val="0"/>
          <w:sz w:val="20"/>
        </w:rPr>
        <w:t xml:space="preserve"> &amp; </w:t>
      </w:r>
      <w:proofErr w:type="spellStart"/>
      <w:r w:rsidRPr="00FF11B0">
        <w:rPr>
          <w:rFonts w:ascii="Arial" w:hAnsi="Arial" w:cs="Arial"/>
          <w:b w:val="0"/>
          <w:bCs/>
          <w:caps w:val="0"/>
          <w:sz w:val="20"/>
        </w:rPr>
        <w:t>maxwell</w:t>
      </w:r>
      <w:proofErr w:type="spellEnd"/>
      <w:r w:rsidRPr="00FF11B0">
        <w:rPr>
          <w:rFonts w:ascii="Arial" w:hAnsi="Arial" w:cs="Arial"/>
          <w:b w:val="0"/>
          <w:bCs/>
          <w:caps w:val="0"/>
          <w:sz w:val="20"/>
        </w:rPr>
        <w:t xml:space="preserve">, 2011, p. 4). Celebrity endorsements and high-profile pledges are frequently employed to reinforce legitimacy, but empirical results are mixed regarding their effect on public trust and perceived authenticity. As the </w:t>
      </w:r>
      <w:proofErr w:type="spellStart"/>
      <w:r w:rsidRPr="00FF11B0">
        <w:rPr>
          <w:rFonts w:ascii="Arial" w:hAnsi="Arial" w:cs="Arial"/>
          <w:b w:val="0"/>
          <w:bCs/>
          <w:caps w:val="0"/>
          <w:sz w:val="20"/>
        </w:rPr>
        <w:t>edelman</w:t>
      </w:r>
      <w:proofErr w:type="spellEnd"/>
      <w:r w:rsidRPr="00FF11B0">
        <w:rPr>
          <w:rFonts w:ascii="Arial" w:hAnsi="Arial" w:cs="Arial"/>
          <w:b w:val="0"/>
          <w:bCs/>
          <w:caps w:val="0"/>
          <w:sz w:val="20"/>
        </w:rPr>
        <w:t xml:space="preserve"> trust barometer (2024) reports, “environmental trust hinges on transparent, auditable claims and sincere leadership, not merely on aspirational marketing messages”.</w:t>
      </w:r>
    </w:p>
    <w:p w14:paraId="29436C63"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Despite their importance, sustainability-themed advertisements remain understudied as sites of contested climate narratives, where corporate interests, ethical concerns, and the mobilization of collective versus individual responsibility intersect. There is a pressing need to scrutinize how such campaigns shape public perceptions of agency, foster (or hinder) climate engagement, and contribute to broader consumer culture negotiations around environmental ethics (jones, 2022).</w:t>
      </w:r>
    </w:p>
    <w:p w14:paraId="1AA1D807"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1.1-</w:t>
      </w:r>
      <w:r>
        <w:rPr>
          <w:rFonts w:ascii="Arial" w:hAnsi="Arial" w:cs="Arial"/>
          <w:caps w:val="0"/>
          <w:sz w:val="20"/>
        </w:rPr>
        <w:t>P</w:t>
      </w:r>
      <w:r w:rsidRPr="00FF11B0">
        <w:rPr>
          <w:rFonts w:ascii="Arial" w:hAnsi="Arial" w:cs="Arial"/>
          <w:caps w:val="0"/>
          <w:sz w:val="20"/>
        </w:rPr>
        <w:t>roblem statement-</w:t>
      </w:r>
    </w:p>
    <w:p w14:paraId="4DE931A6"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Corporate advertising has increasingly adopted the language of sustainability, positioning brands as active participants in the global response to climate change. While such campaigns often highlight environmental commitment and innovation, they also risk shifting responsibility for climate action from systemic actors such as corporations, industries, and governments to individual consumers. This individualization of responsibility can obscure the structural causes of environmental degradation, fostering a perception that personal behavior alone determines climate outcomes. Despite growing public discourse on greenwashing and sustainability communication, limited research systematically examines how corporate advertising constructs and communicates narratives of climate responsibility, particularly in the digital media era. Therefore, this study investigates how corporate advertisements between 2021 and 2024 frame climate responsibility and which discursive strategies are employed to encourage or displace accountability.</w:t>
      </w:r>
    </w:p>
    <w:p w14:paraId="0622947C"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 xml:space="preserve">1.2 </w:t>
      </w:r>
      <w:r>
        <w:rPr>
          <w:rFonts w:ascii="Arial" w:hAnsi="Arial" w:cs="Arial"/>
          <w:caps w:val="0"/>
          <w:sz w:val="20"/>
        </w:rPr>
        <w:t>S</w:t>
      </w:r>
      <w:r w:rsidRPr="00FF11B0">
        <w:rPr>
          <w:rFonts w:ascii="Arial" w:hAnsi="Arial" w:cs="Arial"/>
          <w:caps w:val="0"/>
          <w:sz w:val="20"/>
        </w:rPr>
        <w:t xml:space="preserve">ignificance / </w:t>
      </w:r>
      <w:r>
        <w:rPr>
          <w:rFonts w:ascii="Arial" w:hAnsi="Arial" w:cs="Arial"/>
          <w:caps w:val="0"/>
          <w:sz w:val="20"/>
        </w:rPr>
        <w:t>R</w:t>
      </w:r>
      <w:r w:rsidRPr="00FF11B0">
        <w:rPr>
          <w:rFonts w:ascii="Arial" w:hAnsi="Arial" w:cs="Arial"/>
          <w:caps w:val="0"/>
          <w:sz w:val="20"/>
        </w:rPr>
        <w:t>ationale of the study</w:t>
      </w:r>
    </w:p>
    <w:p w14:paraId="77A71117"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Recent scholarship on advertising and sustainability has focused primarily on three streams: corporate social responsibility communication, greenwashing and brand ethics, and consumer engagement with sustainability narratives. However, there remains a gap in understanding how advertising frames and distributes responsibility for climate action through the symbolic and emotional structures of its messaging. Existing research has largely emphasized what </w:t>
      </w:r>
      <w:r w:rsidRPr="00FF11B0">
        <w:rPr>
          <w:rFonts w:ascii="Arial" w:hAnsi="Arial" w:cs="Arial"/>
          <w:b w:val="0"/>
          <w:bCs/>
          <w:caps w:val="0"/>
          <w:sz w:val="20"/>
        </w:rPr>
        <w:lastRenderedPageBreak/>
        <w:t>sustainability messages contain, but less attention has been given to how they shape perceptions of agency and accountability.</w:t>
      </w:r>
    </w:p>
    <w:p w14:paraId="5F479A76"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By applying qualitative content analysis to sustainability-themed campaigns across industries such as technology, aviation, and fashion, this study contributes new insights into the communicative construction of climate responsibility. It is among the first to systematically analyze the interplay between emotional tone (e.g., guilt, hope, empowerment), framing techniques (individual vs. Collective responsibility), and credibility cues (such as celebrity endorsement and corporate pledges). The findings can guide policymakers, advertisers, and communication strategists in designing campaigns that promote collective action and systemic change rather than reinforcing consumer-level burden and disengagement. Moreover, this study extends theoretical debates on greenwashing, framing, and neoliberal consumerism by revealing how these mechanisms manifest in contemporary corporate climate advertising.</w:t>
      </w:r>
    </w:p>
    <w:p w14:paraId="58FD8B7D" w14:textId="77777777" w:rsidR="00FF11B0" w:rsidRPr="00FF11B0" w:rsidRDefault="00FF11B0" w:rsidP="00FF11B0">
      <w:pPr>
        <w:pStyle w:val="AbstHead"/>
        <w:jc w:val="both"/>
        <w:rPr>
          <w:rFonts w:ascii="Arial" w:hAnsi="Arial" w:cs="Arial"/>
          <w:b w:val="0"/>
          <w:bCs/>
          <w:sz w:val="20"/>
        </w:rPr>
      </w:pPr>
      <w:r w:rsidRPr="00FF11B0">
        <w:rPr>
          <w:rFonts w:ascii="Arial" w:hAnsi="Arial" w:cs="Arial"/>
          <w:caps w:val="0"/>
          <w:sz w:val="20"/>
        </w:rPr>
        <w:t>1.3-Research Objectives</w:t>
      </w:r>
    </w:p>
    <w:p w14:paraId="11DD2676"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w:t>
      </w:r>
      <w:r w:rsidRPr="00FF11B0">
        <w:rPr>
          <w:rFonts w:ascii="Arial" w:hAnsi="Arial" w:cs="Arial"/>
          <w:b w:val="0"/>
          <w:bCs/>
          <w:caps w:val="0"/>
          <w:sz w:val="20"/>
        </w:rPr>
        <w:tab/>
      </w:r>
      <w:r>
        <w:rPr>
          <w:rFonts w:ascii="Arial" w:hAnsi="Arial" w:cs="Arial"/>
          <w:b w:val="0"/>
          <w:bCs/>
          <w:caps w:val="0"/>
          <w:sz w:val="20"/>
        </w:rPr>
        <w:t>T</w:t>
      </w:r>
      <w:r w:rsidRPr="00FF11B0">
        <w:rPr>
          <w:rFonts w:ascii="Arial" w:hAnsi="Arial" w:cs="Arial"/>
          <w:b w:val="0"/>
          <w:bCs/>
          <w:caps w:val="0"/>
          <w:sz w:val="20"/>
        </w:rPr>
        <w:t>o analyze how corporate advertising campaigns (2021–2024) frame and communicate climate responsibility through textual, visual, and emotional elements.</w:t>
      </w:r>
    </w:p>
    <w:p w14:paraId="6C192D7E"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w:t>
      </w:r>
      <w:r w:rsidRPr="00FF11B0">
        <w:rPr>
          <w:rFonts w:ascii="Arial" w:hAnsi="Arial" w:cs="Arial"/>
          <w:b w:val="0"/>
          <w:bCs/>
          <w:caps w:val="0"/>
          <w:sz w:val="20"/>
        </w:rPr>
        <w:tab/>
      </w:r>
      <w:r>
        <w:rPr>
          <w:rFonts w:ascii="Arial" w:hAnsi="Arial" w:cs="Arial"/>
          <w:b w:val="0"/>
          <w:bCs/>
          <w:caps w:val="0"/>
          <w:sz w:val="20"/>
        </w:rPr>
        <w:t>T</w:t>
      </w:r>
      <w:r w:rsidRPr="00FF11B0">
        <w:rPr>
          <w:rFonts w:ascii="Arial" w:hAnsi="Arial" w:cs="Arial"/>
          <w:b w:val="0"/>
          <w:bCs/>
          <w:caps w:val="0"/>
          <w:sz w:val="20"/>
        </w:rPr>
        <w:t>o identify the dominant narratives of accountability (individual, corporate, or collective) present in sustainability-themed advertisements.</w:t>
      </w:r>
    </w:p>
    <w:p w14:paraId="1CF3368F"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w:t>
      </w:r>
      <w:r w:rsidRPr="00FF11B0">
        <w:rPr>
          <w:rFonts w:ascii="Arial" w:hAnsi="Arial" w:cs="Arial"/>
          <w:b w:val="0"/>
          <w:bCs/>
          <w:caps w:val="0"/>
          <w:sz w:val="20"/>
        </w:rPr>
        <w:tab/>
      </w:r>
      <w:r>
        <w:rPr>
          <w:rFonts w:ascii="Arial" w:hAnsi="Arial" w:cs="Arial"/>
          <w:b w:val="0"/>
          <w:bCs/>
          <w:caps w:val="0"/>
          <w:sz w:val="20"/>
        </w:rPr>
        <w:t>T</w:t>
      </w:r>
      <w:r w:rsidRPr="00FF11B0">
        <w:rPr>
          <w:rFonts w:ascii="Arial" w:hAnsi="Arial" w:cs="Arial"/>
          <w:b w:val="0"/>
          <w:bCs/>
          <w:caps w:val="0"/>
          <w:sz w:val="20"/>
        </w:rPr>
        <w:t>o examine the emotional and symbolic strategies that influence audience perceptions of climate action.</w:t>
      </w:r>
    </w:p>
    <w:p w14:paraId="3980C220"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1.4- Research Questions</w:t>
      </w:r>
    </w:p>
    <w:p w14:paraId="1BA4059E"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1. How do corporate advertising campaigns frame climate responsibility in their sustainability messages?</w:t>
      </w:r>
    </w:p>
    <w:p w14:paraId="7E783684"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2. What types of narratives and emotional appeals are most commonly used to influence consumer perceptions of environmental action?</w:t>
      </w:r>
    </w:p>
    <w:p w14:paraId="64D06807"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3. To what extent do these campaigns shift responsibility from systemic actors (corporations, governments) to individual consumers?</w:t>
      </w:r>
    </w:p>
    <w:p w14:paraId="2A33BAF9"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2- Review of literature-</w:t>
      </w:r>
    </w:p>
    <w:p w14:paraId="1D98A18D"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2.1-</w:t>
      </w:r>
      <w:r>
        <w:rPr>
          <w:rFonts w:ascii="Arial" w:hAnsi="Arial" w:cs="Arial"/>
          <w:caps w:val="0"/>
          <w:sz w:val="20"/>
        </w:rPr>
        <w:t>F</w:t>
      </w:r>
      <w:r w:rsidRPr="00FF11B0">
        <w:rPr>
          <w:rFonts w:ascii="Arial" w:hAnsi="Arial" w:cs="Arial"/>
          <w:caps w:val="0"/>
          <w:sz w:val="20"/>
        </w:rPr>
        <w:t xml:space="preserve">raming </w:t>
      </w:r>
      <w:r>
        <w:rPr>
          <w:rFonts w:ascii="Arial" w:hAnsi="Arial" w:cs="Arial"/>
          <w:caps w:val="0"/>
          <w:sz w:val="20"/>
        </w:rPr>
        <w:t>C</w:t>
      </w:r>
      <w:r w:rsidRPr="00FF11B0">
        <w:rPr>
          <w:rFonts w:ascii="Arial" w:hAnsi="Arial" w:cs="Arial"/>
          <w:caps w:val="0"/>
          <w:sz w:val="20"/>
        </w:rPr>
        <w:t xml:space="preserve">limate responsibility in </w:t>
      </w:r>
      <w:r>
        <w:rPr>
          <w:rFonts w:ascii="Arial" w:hAnsi="Arial" w:cs="Arial"/>
          <w:caps w:val="0"/>
          <w:sz w:val="20"/>
        </w:rPr>
        <w:t>C</w:t>
      </w:r>
      <w:r w:rsidRPr="00FF11B0">
        <w:rPr>
          <w:rFonts w:ascii="Arial" w:hAnsi="Arial" w:cs="Arial"/>
          <w:caps w:val="0"/>
          <w:sz w:val="20"/>
        </w:rPr>
        <w:t xml:space="preserve">orporate </w:t>
      </w:r>
      <w:r>
        <w:rPr>
          <w:rFonts w:ascii="Arial" w:hAnsi="Arial" w:cs="Arial"/>
          <w:caps w:val="0"/>
          <w:sz w:val="20"/>
        </w:rPr>
        <w:t>A</w:t>
      </w:r>
      <w:r w:rsidRPr="00FF11B0">
        <w:rPr>
          <w:rFonts w:ascii="Arial" w:hAnsi="Arial" w:cs="Arial"/>
          <w:caps w:val="0"/>
          <w:sz w:val="20"/>
        </w:rPr>
        <w:t>dvertising</w:t>
      </w:r>
    </w:p>
    <w:p w14:paraId="037A4F74"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Framing theory demonstrates that the presentation and emphasis of information in advertising can significantly shape consumer attitudes and behavioral intentions toward climate action. Corporate sustainability campaigns often use message framing—such as gain-framing (“adopt green practices for rewards”) or loss-framing (“risk damage by not choosing green”)—to evoke emotions like hope, guilt, or empowerment and influence perceptions of responsibility. According to content analyses, these frameworks often transfer responsibility for climate action from governments and companies to individual customers, which might lead to disengagement and climate fatalism. Meta-analyses verify that, in contrast to the lesser effects of public health or geographic identification frames, economic, environmental, and moral frames are more likely to influence behavioral intentions and support for climate policy. The impact on eco-friendly decisions can be further increased by harmonizing psychological cues (such as time metaphors) with the framing of messages (benefit or loss).</w:t>
      </w:r>
    </w:p>
    <w:p w14:paraId="0646D595"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2.2-The rise of Greenwashing and Campaign Credibility</w:t>
      </w:r>
    </w:p>
    <w:p w14:paraId="667C70B2"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The purposeful exploitation of sustainability claims by businesses to deceive or ostensibly comfort customers about environmental efforts is known as "greenwashing." bold climate commitments and celebrity endorsements are frequently employed more for marketing purposes than for real change in sectors like fashion, aviation, and technology. Such advertising narratives have the potential to erode public trust and credibility if they are not accompanied by clear, significant action, according to critical study. Particularly in the context of digital campaigns, the literature advocates for stricter regulations and more rigorous requirements for communicating real sustainability initiatives.</w:t>
      </w:r>
    </w:p>
    <w:p w14:paraId="4EFC4603" w14:textId="77777777" w:rsidR="00FF11B0" w:rsidRPr="00FF11B0" w:rsidRDefault="00FF11B0" w:rsidP="00FF11B0">
      <w:pPr>
        <w:pStyle w:val="AbstHead"/>
        <w:jc w:val="both"/>
        <w:rPr>
          <w:rFonts w:ascii="Arial" w:hAnsi="Arial" w:cs="Arial"/>
          <w:b w:val="0"/>
          <w:bCs/>
          <w:sz w:val="20"/>
        </w:rPr>
      </w:pPr>
    </w:p>
    <w:p w14:paraId="3F16C9C4"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2.3-</w:t>
      </w:r>
      <w:r>
        <w:rPr>
          <w:rFonts w:ascii="Arial" w:hAnsi="Arial" w:cs="Arial"/>
          <w:caps w:val="0"/>
          <w:sz w:val="20"/>
        </w:rPr>
        <w:t>E</w:t>
      </w:r>
      <w:r w:rsidRPr="00FF11B0">
        <w:rPr>
          <w:rFonts w:ascii="Arial" w:hAnsi="Arial" w:cs="Arial"/>
          <w:caps w:val="0"/>
          <w:sz w:val="20"/>
        </w:rPr>
        <w:t xml:space="preserve">-commerce, </w:t>
      </w:r>
      <w:r>
        <w:rPr>
          <w:rFonts w:ascii="Arial" w:hAnsi="Arial" w:cs="Arial"/>
          <w:caps w:val="0"/>
          <w:sz w:val="20"/>
        </w:rPr>
        <w:t>C</w:t>
      </w:r>
      <w:r w:rsidRPr="00FF11B0">
        <w:rPr>
          <w:rFonts w:ascii="Arial" w:hAnsi="Arial" w:cs="Arial"/>
          <w:caps w:val="0"/>
          <w:sz w:val="20"/>
        </w:rPr>
        <w:t xml:space="preserve">onsumerism, and </w:t>
      </w:r>
      <w:r>
        <w:rPr>
          <w:rFonts w:ascii="Arial" w:hAnsi="Arial" w:cs="Arial"/>
          <w:caps w:val="0"/>
          <w:sz w:val="20"/>
        </w:rPr>
        <w:t>P</w:t>
      </w:r>
      <w:r w:rsidRPr="00FF11B0">
        <w:rPr>
          <w:rFonts w:ascii="Arial" w:hAnsi="Arial" w:cs="Arial"/>
          <w:caps w:val="0"/>
          <w:sz w:val="20"/>
        </w:rPr>
        <w:t xml:space="preserve">lastic </w:t>
      </w:r>
      <w:r>
        <w:rPr>
          <w:rFonts w:ascii="Arial" w:hAnsi="Arial" w:cs="Arial"/>
          <w:caps w:val="0"/>
          <w:sz w:val="20"/>
        </w:rPr>
        <w:t>P</w:t>
      </w:r>
      <w:r w:rsidRPr="00FF11B0">
        <w:rPr>
          <w:rFonts w:ascii="Arial" w:hAnsi="Arial" w:cs="Arial"/>
          <w:caps w:val="0"/>
          <w:sz w:val="20"/>
        </w:rPr>
        <w:t>ollution</w:t>
      </w:r>
    </w:p>
    <w:p w14:paraId="68473486"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lastRenderedPageBreak/>
        <w:t xml:space="preserve">The explosive growth of e-commerce has fueled new patterns of global consumerism, with record numbers of digital buyers especially since covid-19 driving unprecedented demand for packaging and logistics. Massive sales campaigns and “limited-time” discounts encourage frequent, high-volume consumption, increasing the use of single-use plastics and flexible packaging, particularly in </w:t>
      </w:r>
      <w:proofErr w:type="spellStart"/>
      <w:r w:rsidRPr="00FF11B0">
        <w:rPr>
          <w:rFonts w:ascii="Arial" w:hAnsi="Arial" w:cs="Arial"/>
          <w:b w:val="0"/>
          <w:bCs/>
          <w:caps w:val="0"/>
          <w:sz w:val="20"/>
        </w:rPr>
        <w:t>asian</w:t>
      </w:r>
      <w:proofErr w:type="spellEnd"/>
      <w:r w:rsidRPr="00FF11B0">
        <w:rPr>
          <w:rFonts w:ascii="Arial" w:hAnsi="Arial" w:cs="Arial"/>
          <w:b w:val="0"/>
          <w:bCs/>
          <w:caps w:val="0"/>
          <w:sz w:val="20"/>
        </w:rPr>
        <w:t xml:space="preserve"> markets like </w:t>
      </w:r>
      <w:proofErr w:type="spellStart"/>
      <w:r w:rsidRPr="00FF11B0">
        <w:rPr>
          <w:rFonts w:ascii="Arial" w:hAnsi="Arial" w:cs="Arial"/>
          <w:b w:val="0"/>
          <w:bCs/>
          <w:caps w:val="0"/>
          <w:sz w:val="20"/>
        </w:rPr>
        <w:t>india</w:t>
      </w:r>
      <w:proofErr w:type="spellEnd"/>
      <w:r w:rsidRPr="00FF11B0">
        <w:rPr>
          <w:rFonts w:ascii="Arial" w:hAnsi="Arial" w:cs="Arial"/>
          <w:b w:val="0"/>
          <w:bCs/>
          <w:caps w:val="0"/>
          <w:sz w:val="20"/>
        </w:rPr>
        <w:t xml:space="preserve"> and china. India’s high demand for polypropylene and other plastics makes it a global leader in plastic waste generation, with over half of all flexible packaging materials (e.g., delivery bags, containers) tied directly to online shopping. The collection and recycling rates remain low while the environmental impact of delivery logistics such as emissions from growing vehicle fleets continues to rise.</w:t>
      </w:r>
    </w:p>
    <w:p w14:paraId="0EB6EE18" w14:textId="77777777" w:rsidR="00FF11B0" w:rsidRPr="00FF11B0" w:rsidRDefault="00FF11B0" w:rsidP="00FF11B0">
      <w:pPr>
        <w:pStyle w:val="AbstHead"/>
        <w:jc w:val="both"/>
        <w:rPr>
          <w:rFonts w:ascii="Arial" w:hAnsi="Arial" w:cs="Arial"/>
          <w:sz w:val="20"/>
        </w:rPr>
      </w:pPr>
      <w:r w:rsidRPr="00FF11B0">
        <w:rPr>
          <w:rFonts w:ascii="Arial" w:hAnsi="Arial" w:cs="Arial"/>
          <w:caps w:val="0"/>
          <w:sz w:val="20"/>
        </w:rPr>
        <w:t>2.4 Content Analysis in Advertising Research: An overview</w:t>
      </w:r>
    </w:p>
    <w:p w14:paraId="1AD8DA66"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Content analysis has been one of the most widely adopted methods for examining advertising discourse, allowing scholars to interpret patterns of meaning, representation, and ideology in both traditional and digital media. Content analysis is "a systematic, replicable technique for compressing many words of text into fewer content categories based on explicit rules of coding," </w:t>
      </w:r>
      <w:r>
        <w:rPr>
          <w:rFonts w:ascii="Arial" w:hAnsi="Arial" w:cs="Arial"/>
          <w:b w:val="0"/>
          <w:bCs/>
          <w:caps w:val="0"/>
          <w:sz w:val="20"/>
        </w:rPr>
        <w:t>A</w:t>
      </w:r>
      <w:r w:rsidRPr="00FF11B0">
        <w:rPr>
          <w:rFonts w:ascii="Arial" w:hAnsi="Arial" w:cs="Arial"/>
          <w:b w:val="0"/>
          <w:bCs/>
          <w:caps w:val="0"/>
          <w:sz w:val="20"/>
        </w:rPr>
        <w:t xml:space="preserve">ccording to </w:t>
      </w:r>
      <w:r>
        <w:rPr>
          <w:rFonts w:ascii="Arial" w:hAnsi="Arial" w:cs="Arial"/>
          <w:b w:val="0"/>
          <w:bCs/>
          <w:caps w:val="0"/>
          <w:sz w:val="20"/>
        </w:rPr>
        <w:t>K</w:t>
      </w:r>
      <w:r w:rsidRPr="00FF11B0">
        <w:rPr>
          <w:rFonts w:ascii="Arial" w:hAnsi="Arial" w:cs="Arial"/>
          <w:b w:val="0"/>
          <w:bCs/>
          <w:caps w:val="0"/>
          <w:sz w:val="20"/>
        </w:rPr>
        <w:t xml:space="preserve">rippendorff (2019). It makes it possible to identify prominent themes, semiotic clues, and the underlying narratives that firms use to frame ethics, responsibility, and values in advertising study. </w:t>
      </w:r>
    </w:p>
    <w:p w14:paraId="0C3F4011"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The methodological basis was established by classic publications like </w:t>
      </w:r>
      <w:proofErr w:type="spellStart"/>
      <w:r>
        <w:rPr>
          <w:rFonts w:ascii="Arial" w:hAnsi="Arial" w:cs="Arial"/>
          <w:b w:val="0"/>
          <w:bCs/>
          <w:caps w:val="0"/>
          <w:sz w:val="20"/>
        </w:rPr>
        <w:t>H</w:t>
      </w:r>
      <w:r w:rsidRPr="00FF11B0">
        <w:rPr>
          <w:rFonts w:ascii="Arial" w:hAnsi="Arial" w:cs="Arial"/>
          <w:b w:val="0"/>
          <w:bCs/>
          <w:caps w:val="0"/>
          <w:sz w:val="20"/>
        </w:rPr>
        <w:t>olsti</w:t>
      </w:r>
      <w:proofErr w:type="spellEnd"/>
      <w:r w:rsidRPr="00FF11B0">
        <w:rPr>
          <w:rFonts w:ascii="Arial" w:hAnsi="Arial" w:cs="Arial"/>
          <w:b w:val="0"/>
          <w:bCs/>
          <w:caps w:val="0"/>
          <w:sz w:val="20"/>
        </w:rPr>
        <w:t xml:space="preserve"> (1969) and </w:t>
      </w:r>
      <w:proofErr w:type="spellStart"/>
      <w:r>
        <w:rPr>
          <w:rFonts w:ascii="Arial" w:hAnsi="Arial" w:cs="Arial"/>
          <w:b w:val="0"/>
          <w:bCs/>
          <w:caps w:val="0"/>
          <w:sz w:val="20"/>
        </w:rPr>
        <w:t>B</w:t>
      </w:r>
      <w:r w:rsidRPr="00FF11B0">
        <w:rPr>
          <w:rFonts w:ascii="Arial" w:hAnsi="Arial" w:cs="Arial"/>
          <w:b w:val="0"/>
          <w:bCs/>
          <w:caps w:val="0"/>
          <w:sz w:val="20"/>
        </w:rPr>
        <w:t>erelson</w:t>
      </w:r>
      <w:proofErr w:type="spellEnd"/>
      <w:r w:rsidRPr="00FF11B0">
        <w:rPr>
          <w:rFonts w:ascii="Arial" w:hAnsi="Arial" w:cs="Arial"/>
          <w:b w:val="0"/>
          <w:bCs/>
          <w:caps w:val="0"/>
          <w:sz w:val="20"/>
        </w:rPr>
        <w:t xml:space="preserve"> (1952), which emphasized objectivity and the quantification of message qualities. However, later researchers realized the importance of combining interpretive and critical viewpoints, particularly when examining symbolic material in marketing communication (</w:t>
      </w:r>
      <w:r>
        <w:rPr>
          <w:rFonts w:ascii="Arial" w:hAnsi="Arial" w:cs="Arial"/>
          <w:b w:val="0"/>
          <w:bCs/>
          <w:caps w:val="0"/>
          <w:sz w:val="20"/>
        </w:rPr>
        <w:t>N</w:t>
      </w:r>
      <w:r w:rsidRPr="00FF11B0">
        <w:rPr>
          <w:rFonts w:ascii="Arial" w:hAnsi="Arial" w:cs="Arial"/>
          <w:b w:val="0"/>
          <w:bCs/>
          <w:caps w:val="0"/>
          <w:sz w:val="20"/>
        </w:rPr>
        <w:t>euendorf, 2017). As a result, qualitative content analysis developed as a link between positivist and interpretive traditions, enabling researchers to identify ideological subtext, emotional tone, and latent meanings (</w:t>
      </w:r>
      <w:r>
        <w:rPr>
          <w:rFonts w:ascii="Arial" w:hAnsi="Arial" w:cs="Arial"/>
          <w:b w:val="0"/>
          <w:bCs/>
          <w:caps w:val="0"/>
          <w:sz w:val="20"/>
        </w:rPr>
        <w:t>H</w:t>
      </w:r>
      <w:r w:rsidRPr="00FF11B0">
        <w:rPr>
          <w:rFonts w:ascii="Arial" w:hAnsi="Arial" w:cs="Arial"/>
          <w:b w:val="0"/>
          <w:bCs/>
          <w:caps w:val="0"/>
          <w:sz w:val="20"/>
        </w:rPr>
        <w:t xml:space="preserve">sieh &amp; </w:t>
      </w:r>
      <w:r>
        <w:rPr>
          <w:rFonts w:ascii="Arial" w:hAnsi="Arial" w:cs="Arial"/>
          <w:b w:val="0"/>
          <w:bCs/>
          <w:caps w:val="0"/>
          <w:sz w:val="20"/>
        </w:rPr>
        <w:t>S</w:t>
      </w:r>
      <w:r w:rsidRPr="00FF11B0">
        <w:rPr>
          <w:rFonts w:ascii="Arial" w:hAnsi="Arial" w:cs="Arial"/>
          <w:b w:val="0"/>
          <w:bCs/>
          <w:caps w:val="0"/>
          <w:sz w:val="20"/>
        </w:rPr>
        <w:t>hannon, 2005).</w:t>
      </w:r>
    </w:p>
    <w:p w14:paraId="71898AD0"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In the context of environmental advertising, content analysis serves to reveal how sustainability, responsibility, and ethical consumption are framed visually and textually. Studies have shown that environmental appeals often oscillate between informational claims and emotional persuasion (</w:t>
      </w:r>
      <w:r>
        <w:rPr>
          <w:rFonts w:ascii="Arial" w:hAnsi="Arial" w:cs="Arial"/>
          <w:b w:val="0"/>
          <w:bCs/>
          <w:caps w:val="0"/>
          <w:sz w:val="20"/>
        </w:rPr>
        <w:t>H</w:t>
      </w:r>
      <w:r w:rsidRPr="00FF11B0">
        <w:rPr>
          <w:rFonts w:ascii="Arial" w:hAnsi="Arial" w:cs="Arial"/>
          <w:b w:val="0"/>
          <w:bCs/>
          <w:caps w:val="0"/>
          <w:sz w:val="20"/>
        </w:rPr>
        <w:t xml:space="preserve">artmann &amp; </w:t>
      </w:r>
      <w:proofErr w:type="spellStart"/>
      <w:r>
        <w:rPr>
          <w:rFonts w:ascii="Arial" w:hAnsi="Arial" w:cs="Arial"/>
          <w:b w:val="0"/>
          <w:bCs/>
          <w:caps w:val="0"/>
          <w:sz w:val="20"/>
        </w:rPr>
        <w:t>A</w:t>
      </w:r>
      <w:r w:rsidRPr="00FF11B0">
        <w:rPr>
          <w:rFonts w:ascii="Arial" w:hAnsi="Arial" w:cs="Arial"/>
          <w:b w:val="0"/>
          <w:bCs/>
          <w:caps w:val="0"/>
          <w:sz w:val="20"/>
        </w:rPr>
        <w:t>paolaza</w:t>
      </w:r>
      <w:proofErr w:type="spellEnd"/>
      <w:r w:rsidRPr="00FF11B0">
        <w:rPr>
          <w:rFonts w:ascii="Arial" w:hAnsi="Arial" w:cs="Arial"/>
          <w:b w:val="0"/>
          <w:bCs/>
          <w:caps w:val="0"/>
          <w:sz w:val="20"/>
        </w:rPr>
        <w:t>-</w:t>
      </w:r>
      <w:r>
        <w:rPr>
          <w:rFonts w:ascii="Arial" w:hAnsi="Arial" w:cs="Arial"/>
          <w:b w:val="0"/>
          <w:bCs/>
          <w:caps w:val="0"/>
          <w:sz w:val="20"/>
        </w:rPr>
        <w:t>I</w:t>
      </w:r>
      <w:r w:rsidRPr="00FF11B0">
        <w:rPr>
          <w:rFonts w:ascii="Arial" w:hAnsi="Arial" w:cs="Arial"/>
          <w:b w:val="0"/>
          <w:bCs/>
          <w:caps w:val="0"/>
          <w:sz w:val="20"/>
        </w:rPr>
        <w:t>báñez, 2012). These appeals are not merely descriptive but performative, constructing the consumer as a moral subject whose choices bear global ecological consequences (</w:t>
      </w:r>
      <w:proofErr w:type="spellStart"/>
      <w:r>
        <w:rPr>
          <w:rFonts w:ascii="Arial" w:hAnsi="Arial" w:cs="Arial"/>
          <w:b w:val="0"/>
          <w:bCs/>
          <w:caps w:val="0"/>
          <w:sz w:val="20"/>
        </w:rPr>
        <w:t>G</w:t>
      </w:r>
      <w:r w:rsidRPr="00FF11B0">
        <w:rPr>
          <w:rFonts w:ascii="Arial" w:hAnsi="Arial" w:cs="Arial"/>
          <w:b w:val="0"/>
          <w:bCs/>
          <w:caps w:val="0"/>
          <w:sz w:val="20"/>
        </w:rPr>
        <w:t>iesler</w:t>
      </w:r>
      <w:proofErr w:type="spellEnd"/>
      <w:r w:rsidRPr="00FF11B0">
        <w:rPr>
          <w:rFonts w:ascii="Arial" w:hAnsi="Arial" w:cs="Arial"/>
          <w:b w:val="0"/>
          <w:bCs/>
          <w:caps w:val="0"/>
          <w:sz w:val="20"/>
        </w:rPr>
        <w:t xml:space="preserve"> &amp; </w:t>
      </w:r>
      <w:proofErr w:type="spellStart"/>
      <w:r>
        <w:rPr>
          <w:rFonts w:ascii="Arial" w:hAnsi="Arial" w:cs="Arial"/>
          <w:b w:val="0"/>
          <w:bCs/>
          <w:caps w:val="0"/>
          <w:sz w:val="20"/>
        </w:rPr>
        <w:t>V</w:t>
      </w:r>
      <w:r w:rsidRPr="00FF11B0">
        <w:rPr>
          <w:rFonts w:ascii="Arial" w:hAnsi="Arial" w:cs="Arial"/>
          <w:b w:val="0"/>
          <w:bCs/>
          <w:caps w:val="0"/>
          <w:sz w:val="20"/>
        </w:rPr>
        <w:t>eresiu</w:t>
      </w:r>
      <w:proofErr w:type="spellEnd"/>
      <w:r w:rsidRPr="00FF11B0">
        <w:rPr>
          <w:rFonts w:ascii="Arial" w:hAnsi="Arial" w:cs="Arial"/>
          <w:b w:val="0"/>
          <w:bCs/>
          <w:caps w:val="0"/>
          <w:sz w:val="20"/>
        </w:rPr>
        <w:t>, 2014).</w:t>
      </w:r>
    </w:p>
    <w:p w14:paraId="449F4812" w14:textId="77777777" w:rsidR="00FF11B0" w:rsidRPr="00E74F08" w:rsidRDefault="00FF11B0" w:rsidP="00FF11B0">
      <w:pPr>
        <w:pStyle w:val="AbstHead"/>
        <w:jc w:val="both"/>
        <w:rPr>
          <w:rFonts w:ascii="Arial" w:hAnsi="Arial" w:cs="Arial"/>
          <w:sz w:val="20"/>
        </w:rPr>
      </w:pPr>
      <w:r w:rsidRPr="00E74F08">
        <w:rPr>
          <w:rFonts w:ascii="Arial" w:hAnsi="Arial" w:cs="Arial"/>
          <w:caps w:val="0"/>
          <w:sz w:val="20"/>
        </w:rPr>
        <w:t xml:space="preserve">2.5 </w:t>
      </w:r>
      <w:r w:rsidR="00E74F08" w:rsidRPr="00E74F08">
        <w:rPr>
          <w:rFonts w:ascii="Arial" w:hAnsi="Arial" w:cs="Arial"/>
          <w:caps w:val="0"/>
          <w:sz w:val="20"/>
        </w:rPr>
        <w:t>A</w:t>
      </w:r>
      <w:r w:rsidRPr="00E74F08">
        <w:rPr>
          <w:rFonts w:ascii="Arial" w:hAnsi="Arial" w:cs="Arial"/>
          <w:caps w:val="0"/>
          <w:sz w:val="20"/>
        </w:rPr>
        <w:t xml:space="preserve">pplication of </w:t>
      </w:r>
      <w:r w:rsidR="00E74F08" w:rsidRPr="00E74F08">
        <w:rPr>
          <w:rFonts w:ascii="Arial" w:hAnsi="Arial" w:cs="Arial"/>
          <w:caps w:val="0"/>
          <w:sz w:val="20"/>
        </w:rPr>
        <w:t>C</w:t>
      </w:r>
      <w:r w:rsidRPr="00E74F08">
        <w:rPr>
          <w:rFonts w:ascii="Arial" w:hAnsi="Arial" w:cs="Arial"/>
          <w:caps w:val="0"/>
          <w:sz w:val="20"/>
        </w:rPr>
        <w:t xml:space="preserve">ontent </w:t>
      </w:r>
      <w:r w:rsidR="00E74F08" w:rsidRPr="00E74F08">
        <w:rPr>
          <w:rFonts w:ascii="Arial" w:hAnsi="Arial" w:cs="Arial"/>
          <w:caps w:val="0"/>
          <w:sz w:val="20"/>
        </w:rPr>
        <w:t>A</w:t>
      </w:r>
      <w:r w:rsidRPr="00E74F08">
        <w:rPr>
          <w:rFonts w:ascii="Arial" w:hAnsi="Arial" w:cs="Arial"/>
          <w:caps w:val="0"/>
          <w:sz w:val="20"/>
        </w:rPr>
        <w:t xml:space="preserve">nalysis in </w:t>
      </w:r>
      <w:r w:rsidR="00E74F08" w:rsidRPr="00E74F08">
        <w:rPr>
          <w:rFonts w:ascii="Arial" w:hAnsi="Arial" w:cs="Arial"/>
          <w:caps w:val="0"/>
          <w:sz w:val="20"/>
        </w:rPr>
        <w:t>A</w:t>
      </w:r>
      <w:r w:rsidRPr="00E74F08">
        <w:rPr>
          <w:rFonts w:ascii="Arial" w:hAnsi="Arial" w:cs="Arial"/>
          <w:caps w:val="0"/>
          <w:sz w:val="20"/>
        </w:rPr>
        <w:t xml:space="preserve">dvertising: </w:t>
      </w:r>
      <w:r w:rsidR="00E74F08" w:rsidRPr="00E74F08">
        <w:rPr>
          <w:rFonts w:ascii="Arial" w:hAnsi="Arial" w:cs="Arial"/>
          <w:caps w:val="0"/>
          <w:sz w:val="20"/>
        </w:rPr>
        <w:t>O</w:t>
      </w:r>
      <w:r w:rsidRPr="00E74F08">
        <w:rPr>
          <w:rFonts w:ascii="Arial" w:hAnsi="Arial" w:cs="Arial"/>
          <w:caps w:val="0"/>
          <w:sz w:val="20"/>
        </w:rPr>
        <w:t xml:space="preserve">ffline and </w:t>
      </w:r>
      <w:r w:rsidR="00E74F08" w:rsidRPr="00E74F08">
        <w:rPr>
          <w:rFonts w:ascii="Arial" w:hAnsi="Arial" w:cs="Arial"/>
          <w:caps w:val="0"/>
          <w:sz w:val="20"/>
        </w:rPr>
        <w:t>O</w:t>
      </w:r>
      <w:r w:rsidRPr="00E74F08">
        <w:rPr>
          <w:rFonts w:ascii="Arial" w:hAnsi="Arial" w:cs="Arial"/>
          <w:caps w:val="0"/>
          <w:sz w:val="20"/>
        </w:rPr>
        <w:t>nline contexts</w:t>
      </w:r>
    </w:p>
    <w:p w14:paraId="2D9CB3C8" w14:textId="77777777" w:rsidR="00FF11B0" w:rsidRPr="00E74F08" w:rsidRDefault="00FF11B0" w:rsidP="00FF11B0">
      <w:pPr>
        <w:pStyle w:val="AbstHead"/>
        <w:jc w:val="both"/>
        <w:rPr>
          <w:rFonts w:ascii="Arial" w:hAnsi="Arial" w:cs="Arial"/>
          <w:sz w:val="20"/>
        </w:rPr>
      </w:pPr>
      <w:r w:rsidRPr="00E74F08">
        <w:rPr>
          <w:rFonts w:ascii="Arial" w:hAnsi="Arial" w:cs="Arial"/>
          <w:caps w:val="0"/>
          <w:sz w:val="20"/>
        </w:rPr>
        <w:t xml:space="preserve">2.5.1 </w:t>
      </w:r>
      <w:r w:rsidR="00E74F08" w:rsidRPr="00E74F08">
        <w:rPr>
          <w:rFonts w:ascii="Arial" w:hAnsi="Arial" w:cs="Arial"/>
          <w:caps w:val="0"/>
          <w:sz w:val="20"/>
        </w:rPr>
        <w:t>O</w:t>
      </w:r>
      <w:r w:rsidRPr="00E74F08">
        <w:rPr>
          <w:rFonts w:ascii="Arial" w:hAnsi="Arial" w:cs="Arial"/>
          <w:caps w:val="0"/>
          <w:sz w:val="20"/>
        </w:rPr>
        <w:t>ffline (</w:t>
      </w:r>
      <w:r w:rsidR="00E74F08" w:rsidRPr="00E74F08">
        <w:rPr>
          <w:rFonts w:ascii="Arial" w:hAnsi="Arial" w:cs="Arial"/>
          <w:caps w:val="0"/>
          <w:sz w:val="20"/>
        </w:rPr>
        <w:t>P</w:t>
      </w:r>
      <w:r w:rsidRPr="00E74F08">
        <w:rPr>
          <w:rFonts w:ascii="Arial" w:hAnsi="Arial" w:cs="Arial"/>
          <w:caps w:val="0"/>
          <w:sz w:val="20"/>
        </w:rPr>
        <w:t xml:space="preserve">rint, </w:t>
      </w:r>
      <w:r w:rsidR="00E74F08" w:rsidRPr="00E74F08">
        <w:rPr>
          <w:rFonts w:ascii="Arial" w:hAnsi="Arial" w:cs="Arial"/>
          <w:caps w:val="0"/>
          <w:sz w:val="20"/>
        </w:rPr>
        <w:t>T</w:t>
      </w:r>
      <w:r w:rsidRPr="00E74F08">
        <w:rPr>
          <w:rFonts w:ascii="Arial" w:hAnsi="Arial" w:cs="Arial"/>
          <w:caps w:val="0"/>
          <w:sz w:val="20"/>
        </w:rPr>
        <w:t xml:space="preserve">elevision, and </w:t>
      </w:r>
      <w:r w:rsidR="00E74F08" w:rsidRPr="00E74F08">
        <w:rPr>
          <w:rFonts w:ascii="Arial" w:hAnsi="Arial" w:cs="Arial"/>
          <w:caps w:val="0"/>
          <w:sz w:val="20"/>
        </w:rPr>
        <w:t>O</w:t>
      </w:r>
      <w:r w:rsidRPr="00E74F08">
        <w:rPr>
          <w:rFonts w:ascii="Arial" w:hAnsi="Arial" w:cs="Arial"/>
          <w:caps w:val="0"/>
          <w:sz w:val="20"/>
        </w:rPr>
        <w:t xml:space="preserve">utdoor </w:t>
      </w:r>
      <w:r w:rsidR="00E74F08" w:rsidRPr="00E74F08">
        <w:rPr>
          <w:rFonts w:ascii="Arial" w:hAnsi="Arial" w:cs="Arial"/>
          <w:caps w:val="0"/>
          <w:sz w:val="20"/>
        </w:rPr>
        <w:t>A</w:t>
      </w:r>
      <w:r w:rsidRPr="00E74F08">
        <w:rPr>
          <w:rFonts w:ascii="Arial" w:hAnsi="Arial" w:cs="Arial"/>
          <w:caps w:val="0"/>
          <w:sz w:val="20"/>
        </w:rPr>
        <w:t>dvertising)</w:t>
      </w:r>
    </w:p>
    <w:p w14:paraId="6FA9BFF1"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Before the digital revolution, print and television advertisements were the dominant media for environmental messaging. Early studies looked at how frequently ecological statements and images appeared in print ads, especially during the 1980s and 2000s when "green marketing" first became popular (</w:t>
      </w:r>
      <w:r w:rsidR="00E74F08">
        <w:rPr>
          <w:rFonts w:ascii="Arial" w:hAnsi="Arial" w:cs="Arial"/>
          <w:b w:val="0"/>
          <w:bCs/>
          <w:caps w:val="0"/>
          <w:sz w:val="20"/>
        </w:rPr>
        <w:t>B</w:t>
      </w:r>
      <w:r w:rsidRPr="00FF11B0">
        <w:rPr>
          <w:rFonts w:ascii="Arial" w:hAnsi="Arial" w:cs="Arial"/>
          <w:b w:val="0"/>
          <w:bCs/>
          <w:caps w:val="0"/>
          <w:sz w:val="20"/>
        </w:rPr>
        <w:t xml:space="preserve">anerjee, </w:t>
      </w:r>
      <w:r w:rsidR="00E74F08">
        <w:rPr>
          <w:rFonts w:ascii="Arial" w:hAnsi="Arial" w:cs="Arial"/>
          <w:b w:val="0"/>
          <w:bCs/>
          <w:caps w:val="0"/>
          <w:sz w:val="20"/>
        </w:rPr>
        <w:t>G</w:t>
      </w:r>
      <w:r w:rsidRPr="00FF11B0">
        <w:rPr>
          <w:rFonts w:ascii="Arial" w:hAnsi="Arial" w:cs="Arial"/>
          <w:b w:val="0"/>
          <w:bCs/>
          <w:caps w:val="0"/>
          <w:sz w:val="20"/>
        </w:rPr>
        <w:t xml:space="preserve">ulas, &amp; </w:t>
      </w:r>
      <w:r w:rsidR="00E74F08">
        <w:rPr>
          <w:rFonts w:ascii="Arial" w:hAnsi="Arial" w:cs="Arial"/>
          <w:b w:val="0"/>
          <w:bCs/>
          <w:caps w:val="0"/>
          <w:sz w:val="20"/>
        </w:rPr>
        <w:t>I</w:t>
      </w:r>
      <w:r w:rsidRPr="00FF11B0">
        <w:rPr>
          <w:rFonts w:ascii="Arial" w:hAnsi="Arial" w:cs="Arial"/>
          <w:b w:val="0"/>
          <w:bCs/>
          <w:caps w:val="0"/>
          <w:sz w:val="20"/>
        </w:rPr>
        <w:t xml:space="preserve">yer, 1995). They discovered through quantitative content analysis that the majority of advertisements contained ambiguous or unverifiable claims—an early example of what would later be referred to as "greenwashing." </w:t>
      </w:r>
    </w:p>
    <w:p w14:paraId="5E357AE8"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In a similar vein, </w:t>
      </w:r>
      <w:r w:rsidR="00E74F08">
        <w:rPr>
          <w:rFonts w:ascii="Arial" w:hAnsi="Arial" w:cs="Arial"/>
          <w:b w:val="0"/>
          <w:bCs/>
          <w:caps w:val="0"/>
          <w:sz w:val="20"/>
        </w:rPr>
        <w:t>C</w:t>
      </w:r>
      <w:r w:rsidRPr="00FF11B0">
        <w:rPr>
          <w:rFonts w:ascii="Arial" w:hAnsi="Arial" w:cs="Arial"/>
          <w:b w:val="0"/>
          <w:bCs/>
          <w:caps w:val="0"/>
          <w:sz w:val="20"/>
        </w:rPr>
        <w:t xml:space="preserve">arlson, grove, and </w:t>
      </w:r>
      <w:proofErr w:type="spellStart"/>
      <w:r w:rsidR="00E74F08">
        <w:rPr>
          <w:rFonts w:ascii="Arial" w:hAnsi="Arial" w:cs="Arial"/>
          <w:b w:val="0"/>
          <w:bCs/>
          <w:caps w:val="0"/>
          <w:sz w:val="20"/>
        </w:rPr>
        <w:t>K</w:t>
      </w:r>
      <w:r w:rsidRPr="00FF11B0">
        <w:rPr>
          <w:rFonts w:ascii="Arial" w:hAnsi="Arial" w:cs="Arial"/>
          <w:b w:val="0"/>
          <w:bCs/>
          <w:caps w:val="0"/>
          <w:sz w:val="20"/>
        </w:rPr>
        <w:t>angun</w:t>
      </w:r>
      <w:proofErr w:type="spellEnd"/>
      <w:r w:rsidRPr="00FF11B0">
        <w:rPr>
          <w:rFonts w:ascii="Arial" w:hAnsi="Arial" w:cs="Arial"/>
          <w:b w:val="0"/>
          <w:bCs/>
          <w:caps w:val="0"/>
          <w:sz w:val="20"/>
        </w:rPr>
        <w:t xml:space="preserve"> (1993) created one of the earliest typologies of deceptive environmental claims in advertising, classifying them into irrelevance, imprecise assertions, and hidden trade-offs. Even now, this typology is still essential for assessing trustworthiness in environmental advertising.</w:t>
      </w:r>
    </w:p>
    <w:p w14:paraId="44B907F3"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Television advertising further extended the persuasive potential of environmental themes. Belz and </w:t>
      </w:r>
      <w:r w:rsidR="00E74F08">
        <w:rPr>
          <w:rFonts w:ascii="Arial" w:hAnsi="Arial" w:cs="Arial"/>
          <w:b w:val="0"/>
          <w:bCs/>
          <w:caps w:val="0"/>
          <w:sz w:val="20"/>
        </w:rPr>
        <w:t>P</w:t>
      </w:r>
      <w:r w:rsidRPr="00FF11B0">
        <w:rPr>
          <w:rFonts w:ascii="Arial" w:hAnsi="Arial" w:cs="Arial"/>
          <w:b w:val="0"/>
          <w:bCs/>
          <w:caps w:val="0"/>
          <w:sz w:val="20"/>
        </w:rPr>
        <w:t xml:space="preserve">eattie (2012) observed that visual semiotics such as the use of natural landscapes, children, and “green” color palettes became central to the construction of environmental credibility. More recently, </w:t>
      </w:r>
      <w:r w:rsidR="00E74F08">
        <w:rPr>
          <w:rFonts w:ascii="Arial" w:hAnsi="Arial" w:cs="Arial"/>
          <w:b w:val="0"/>
          <w:bCs/>
          <w:caps w:val="0"/>
          <w:sz w:val="20"/>
        </w:rPr>
        <w:t>D</w:t>
      </w:r>
      <w:r w:rsidRPr="00FF11B0">
        <w:rPr>
          <w:rFonts w:ascii="Arial" w:hAnsi="Arial" w:cs="Arial"/>
          <w:b w:val="0"/>
          <w:bCs/>
          <w:caps w:val="0"/>
          <w:sz w:val="20"/>
        </w:rPr>
        <w:t xml:space="preserve">örnyei and </w:t>
      </w:r>
      <w:r w:rsidR="00E74F08">
        <w:rPr>
          <w:rFonts w:ascii="Arial" w:hAnsi="Arial" w:cs="Arial"/>
          <w:b w:val="0"/>
          <w:bCs/>
          <w:caps w:val="0"/>
          <w:sz w:val="20"/>
        </w:rPr>
        <w:t>M</w:t>
      </w:r>
      <w:r w:rsidRPr="00FF11B0">
        <w:rPr>
          <w:rFonts w:ascii="Arial" w:hAnsi="Arial" w:cs="Arial"/>
          <w:b w:val="0"/>
          <w:bCs/>
          <w:caps w:val="0"/>
          <w:sz w:val="20"/>
        </w:rPr>
        <w:t>itev (2020) used critical content analysis to demonstrate how multinational corporations use emotionally charged environmental narratives in tv spots to normalize overconsumption while appearing sustainable.</w:t>
      </w:r>
    </w:p>
    <w:p w14:paraId="0972BDD0"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Outdoor advertising (billboards, transit media) has also been examined for its symbolic power in localizing global sustainability narratives. A study by </w:t>
      </w:r>
      <w:r w:rsidR="00E74F08">
        <w:rPr>
          <w:rFonts w:ascii="Arial" w:hAnsi="Arial" w:cs="Arial"/>
          <w:b w:val="0"/>
          <w:bCs/>
          <w:caps w:val="0"/>
          <w:sz w:val="20"/>
        </w:rPr>
        <w:t>M</w:t>
      </w:r>
      <w:r w:rsidRPr="00FF11B0">
        <w:rPr>
          <w:rFonts w:ascii="Arial" w:hAnsi="Arial" w:cs="Arial"/>
          <w:b w:val="0"/>
          <w:bCs/>
          <w:caps w:val="0"/>
          <w:sz w:val="20"/>
        </w:rPr>
        <w:t>inton et al. (2012) found that eco-themed billboards often rely on anthropomorphic and emotional imagery, such as “the earth crying” or “trees thanking you,” to evoke empathy. Such strategies reinforce moral responsibility at the individual level rather than addressing systemic causes of environmental degradation.</w:t>
      </w:r>
    </w:p>
    <w:p w14:paraId="11E88173" w14:textId="77777777" w:rsidR="00FF11B0" w:rsidRPr="00E74F08" w:rsidRDefault="00FF11B0" w:rsidP="00FF11B0">
      <w:pPr>
        <w:pStyle w:val="AbstHead"/>
        <w:jc w:val="both"/>
        <w:rPr>
          <w:rFonts w:ascii="Arial" w:hAnsi="Arial" w:cs="Arial"/>
          <w:sz w:val="20"/>
        </w:rPr>
      </w:pPr>
      <w:r w:rsidRPr="00E74F08">
        <w:rPr>
          <w:rFonts w:ascii="Arial" w:hAnsi="Arial" w:cs="Arial"/>
          <w:caps w:val="0"/>
          <w:sz w:val="20"/>
        </w:rPr>
        <w:t xml:space="preserve">2.5.2 </w:t>
      </w:r>
      <w:r w:rsidR="00E74F08" w:rsidRPr="00E74F08">
        <w:rPr>
          <w:rFonts w:ascii="Arial" w:hAnsi="Arial" w:cs="Arial"/>
          <w:caps w:val="0"/>
          <w:sz w:val="20"/>
        </w:rPr>
        <w:t>O</w:t>
      </w:r>
      <w:r w:rsidRPr="00E74F08">
        <w:rPr>
          <w:rFonts w:ascii="Arial" w:hAnsi="Arial" w:cs="Arial"/>
          <w:caps w:val="0"/>
          <w:sz w:val="20"/>
        </w:rPr>
        <w:t xml:space="preserve">nline and </w:t>
      </w:r>
      <w:r w:rsidR="00E74F08" w:rsidRPr="00E74F08">
        <w:rPr>
          <w:rFonts w:ascii="Arial" w:hAnsi="Arial" w:cs="Arial"/>
          <w:caps w:val="0"/>
          <w:sz w:val="20"/>
        </w:rPr>
        <w:t>D</w:t>
      </w:r>
      <w:r w:rsidRPr="00E74F08">
        <w:rPr>
          <w:rFonts w:ascii="Arial" w:hAnsi="Arial" w:cs="Arial"/>
          <w:caps w:val="0"/>
          <w:sz w:val="20"/>
        </w:rPr>
        <w:t xml:space="preserve">igital </w:t>
      </w:r>
      <w:r w:rsidR="00E74F08" w:rsidRPr="00E74F08">
        <w:rPr>
          <w:rFonts w:ascii="Arial" w:hAnsi="Arial" w:cs="Arial"/>
          <w:caps w:val="0"/>
          <w:sz w:val="20"/>
        </w:rPr>
        <w:t>A</w:t>
      </w:r>
      <w:r w:rsidRPr="00E74F08">
        <w:rPr>
          <w:rFonts w:ascii="Arial" w:hAnsi="Arial" w:cs="Arial"/>
          <w:caps w:val="0"/>
          <w:sz w:val="20"/>
        </w:rPr>
        <w:t>dvertising</w:t>
      </w:r>
    </w:p>
    <w:p w14:paraId="1FBAC4B0"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In the past decade, the shift toward digital advertising has transformed how sustainability messages circulate and interact with audiences. Social media platforms, influencer marketing, and algorithmic targeting have created new terrains for both green communication and greenwashing.</w:t>
      </w:r>
    </w:p>
    <w:p w14:paraId="5B185859"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lastRenderedPageBreak/>
        <w:t xml:space="preserve">According to smith and </w:t>
      </w:r>
      <w:r w:rsidR="00E74F08">
        <w:rPr>
          <w:rFonts w:ascii="Arial" w:hAnsi="Arial" w:cs="Arial"/>
          <w:b w:val="0"/>
          <w:bCs/>
          <w:caps w:val="0"/>
          <w:sz w:val="20"/>
        </w:rPr>
        <w:t>B</w:t>
      </w:r>
      <w:r w:rsidRPr="00FF11B0">
        <w:rPr>
          <w:rFonts w:ascii="Arial" w:hAnsi="Arial" w:cs="Arial"/>
          <w:b w:val="0"/>
          <w:bCs/>
          <w:caps w:val="0"/>
          <w:sz w:val="20"/>
        </w:rPr>
        <w:t>rower (2012), digital campaigns offer brands unprecedented capacity for interactive storytelling, allowing them to craft personalized narratives of environmental care. However, these same affordances also enable selective disclosure and performative authenticity.</w:t>
      </w:r>
    </w:p>
    <w:p w14:paraId="500221F4"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Recent studies have expanded content analysis to social media and online video platforms. For instance, de </w:t>
      </w:r>
      <w:r w:rsidR="00E74F08">
        <w:rPr>
          <w:rFonts w:ascii="Arial" w:hAnsi="Arial" w:cs="Arial"/>
          <w:b w:val="0"/>
          <w:bCs/>
          <w:caps w:val="0"/>
          <w:sz w:val="20"/>
        </w:rPr>
        <w:t>V</w:t>
      </w:r>
      <w:r w:rsidRPr="00FF11B0">
        <w:rPr>
          <w:rFonts w:ascii="Arial" w:hAnsi="Arial" w:cs="Arial"/>
          <w:b w:val="0"/>
          <w:bCs/>
          <w:caps w:val="0"/>
          <w:sz w:val="20"/>
        </w:rPr>
        <w:t xml:space="preserve">ries et al. (2020) analyzed 300 </w:t>
      </w:r>
      <w:r w:rsidR="00E74F08" w:rsidRPr="00FF11B0">
        <w:rPr>
          <w:rFonts w:ascii="Arial" w:hAnsi="Arial" w:cs="Arial"/>
          <w:b w:val="0"/>
          <w:bCs/>
          <w:caps w:val="0"/>
          <w:sz w:val="20"/>
        </w:rPr>
        <w:t>Instagram</w:t>
      </w:r>
      <w:r w:rsidRPr="00FF11B0">
        <w:rPr>
          <w:rFonts w:ascii="Arial" w:hAnsi="Arial" w:cs="Arial"/>
          <w:b w:val="0"/>
          <w:bCs/>
          <w:caps w:val="0"/>
          <w:sz w:val="20"/>
        </w:rPr>
        <w:t xml:space="preserve"> posts tagged with #sustainablebrand and found that over 60% relied on aesthetic minimalism and natural tones,</w:t>
      </w:r>
      <w:r w:rsidR="00E74F08">
        <w:rPr>
          <w:rFonts w:ascii="Arial" w:hAnsi="Arial" w:cs="Arial"/>
          <w:b w:val="0"/>
          <w:bCs/>
          <w:caps w:val="0"/>
          <w:sz w:val="20"/>
        </w:rPr>
        <w:t xml:space="preserve"> </w:t>
      </w:r>
      <w:r w:rsidRPr="00FF11B0">
        <w:rPr>
          <w:rFonts w:ascii="Arial" w:hAnsi="Arial" w:cs="Arial"/>
          <w:b w:val="0"/>
          <w:bCs/>
          <w:caps w:val="0"/>
          <w:sz w:val="20"/>
        </w:rPr>
        <w:t xml:space="preserve">visual codes that signal eco-friendliness regardless of product impact. Similarly, </w:t>
      </w:r>
      <w:r w:rsidR="00E74F08" w:rsidRPr="00FF11B0">
        <w:rPr>
          <w:rFonts w:ascii="Arial" w:hAnsi="Arial" w:cs="Arial"/>
          <w:b w:val="0"/>
          <w:bCs/>
          <w:caps w:val="0"/>
          <w:sz w:val="20"/>
        </w:rPr>
        <w:t>Testa</w:t>
      </w:r>
      <w:r w:rsidRPr="00FF11B0">
        <w:rPr>
          <w:rFonts w:ascii="Arial" w:hAnsi="Arial" w:cs="Arial"/>
          <w:b w:val="0"/>
          <w:bCs/>
          <w:caps w:val="0"/>
          <w:sz w:val="20"/>
        </w:rPr>
        <w:t xml:space="preserve"> et al. (2021) applied multimodal content analysis to </w:t>
      </w:r>
      <w:r w:rsidR="00E74F08" w:rsidRPr="00FF11B0">
        <w:rPr>
          <w:rFonts w:ascii="Arial" w:hAnsi="Arial" w:cs="Arial"/>
          <w:b w:val="0"/>
          <w:bCs/>
          <w:caps w:val="0"/>
          <w:sz w:val="20"/>
        </w:rPr>
        <w:t>YouTube</w:t>
      </w:r>
      <w:r w:rsidRPr="00FF11B0">
        <w:rPr>
          <w:rFonts w:ascii="Arial" w:hAnsi="Arial" w:cs="Arial"/>
          <w:b w:val="0"/>
          <w:bCs/>
          <w:caps w:val="0"/>
          <w:sz w:val="20"/>
        </w:rPr>
        <w:t xml:space="preserve"> sustainability ads, showing that corporations use emotional sequencing hope → guilt → redemption—to sustain engagement while downplaying systemic accountability.</w:t>
      </w:r>
    </w:p>
    <w:p w14:paraId="7CDD5C63"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Online advertising’s dialogic nature also invites “participatory greenwashing,” where users themselves amplify brand narratives through likes, shares, and user-generated content (</w:t>
      </w:r>
      <w:r w:rsidR="00E74F08" w:rsidRPr="00FF11B0">
        <w:rPr>
          <w:rFonts w:ascii="Arial" w:hAnsi="Arial" w:cs="Arial"/>
          <w:b w:val="0"/>
          <w:bCs/>
          <w:caps w:val="0"/>
          <w:sz w:val="20"/>
        </w:rPr>
        <w:t>Chen</w:t>
      </w:r>
      <w:r w:rsidRPr="00FF11B0">
        <w:rPr>
          <w:rFonts w:ascii="Arial" w:hAnsi="Arial" w:cs="Arial"/>
          <w:b w:val="0"/>
          <w:bCs/>
          <w:caps w:val="0"/>
          <w:sz w:val="20"/>
        </w:rPr>
        <w:t xml:space="preserve">, chang, &amp; </w:t>
      </w:r>
      <w:r w:rsidR="00E74F08" w:rsidRPr="00FF11B0">
        <w:rPr>
          <w:rFonts w:ascii="Arial" w:hAnsi="Arial" w:cs="Arial"/>
          <w:b w:val="0"/>
          <w:bCs/>
          <w:caps w:val="0"/>
          <w:sz w:val="20"/>
        </w:rPr>
        <w:t>Lin</w:t>
      </w:r>
      <w:r w:rsidRPr="00FF11B0">
        <w:rPr>
          <w:rFonts w:ascii="Arial" w:hAnsi="Arial" w:cs="Arial"/>
          <w:b w:val="0"/>
          <w:bCs/>
          <w:caps w:val="0"/>
          <w:sz w:val="20"/>
        </w:rPr>
        <w:t>, 2020). Content analysis of such interactions highlights how the boundaries between persuasion and participation blur in the digital attention economy (</w:t>
      </w:r>
      <w:r w:rsidR="00E74F08" w:rsidRPr="00FF11B0">
        <w:rPr>
          <w:rFonts w:ascii="Arial" w:hAnsi="Arial" w:cs="Arial"/>
          <w:b w:val="0"/>
          <w:bCs/>
          <w:caps w:val="0"/>
          <w:sz w:val="20"/>
        </w:rPr>
        <w:t>Kapitan</w:t>
      </w:r>
      <w:r w:rsidRPr="00FF11B0">
        <w:rPr>
          <w:rFonts w:ascii="Arial" w:hAnsi="Arial" w:cs="Arial"/>
          <w:b w:val="0"/>
          <w:bCs/>
          <w:caps w:val="0"/>
          <w:sz w:val="20"/>
        </w:rPr>
        <w:t xml:space="preserve"> &amp; </w:t>
      </w:r>
      <w:r w:rsidR="00E74F08" w:rsidRPr="00FF11B0">
        <w:rPr>
          <w:rFonts w:ascii="Arial" w:hAnsi="Arial" w:cs="Arial"/>
          <w:b w:val="0"/>
          <w:bCs/>
          <w:caps w:val="0"/>
          <w:sz w:val="20"/>
        </w:rPr>
        <w:t>Silvera</w:t>
      </w:r>
      <w:r w:rsidRPr="00FF11B0">
        <w:rPr>
          <w:rFonts w:ascii="Arial" w:hAnsi="Arial" w:cs="Arial"/>
          <w:b w:val="0"/>
          <w:bCs/>
          <w:caps w:val="0"/>
          <w:sz w:val="20"/>
        </w:rPr>
        <w:t>, 2016).</w:t>
      </w:r>
    </w:p>
    <w:p w14:paraId="532E3E7F" w14:textId="77777777" w:rsidR="00FF11B0" w:rsidRPr="00E74F08" w:rsidRDefault="00FF11B0" w:rsidP="00FF11B0">
      <w:pPr>
        <w:pStyle w:val="AbstHead"/>
        <w:jc w:val="both"/>
        <w:rPr>
          <w:rFonts w:ascii="Arial" w:hAnsi="Arial" w:cs="Arial"/>
          <w:sz w:val="20"/>
        </w:rPr>
      </w:pPr>
      <w:r w:rsidRPr="00E74F08">
        <w:rPr>
          <w:rFonts w:ascii="Arial" w:hAnsi="Arial" w:cs="Arial"/>
          <w:caps w:val="0"/>
          <w:sz w:val="20"/>
        </w:rPr>
        <w:t xml:space="preserve">2.5.3 </w:t>
      </w:r>
      <w:r w:rsidR="00E74F08" w:rsidRPr="00E74F08">
        <w:rPr>
          <w:rFonts w:ascii="Arial" w:hAnsi="Arial" w:cs="Arial"/>
          <w:caps w:val="0"/>
          <w:sz w:val="20"/>
        </w:rPr>
        <w:t>H</w:t>
      </w:r>
      <w:r w:rsidRPr="00E74F08">
        <w:rPr>
          <w:rFonts w:ascii="Arial" w:hAnsi="Arial" w:cs="Arial"/>
          <w:caps w:val="0"/>
          <w:sz w:val="20"/>
        </w:rPr>
        <w:t xml:space="preserve">ybridization of </w:t>
      </w:r>
      <w:r w:rsidR="00E74F08" w:rsidRPr="00E74F08">
        <w:rPr>
          <w:rFonts w:ascii="Arial" w:hAnsi="Arial" w:cs="Arial"/>
          <w:caps w:val="0"/>
          <w:sz w:val="20"/>
        </w:rPr>
        <w:t>M</w:t>
      </w:r>
      <w:r w:rsidRPr="00E74F08">
        <w:rPr>
          <w:rFonts w:ascii="Arial" w:hAnsi="Arial" w:cs="Arial"/>
          <w:caps w:val="0"/>
          <w:sz w:val="20"/>
        </w:rPr>
        <w:t xml:space="preserve">edia and the need for </w:t>
      </w:r>
      <w:r w:rsidR="00E74F08" w:rsidRPr="00E74F08">
        <w:rPr>
          <w:rFonts w:ascii="Arial" w:hAnsi="Arial" w:cs="Arial"/>
          <w:caps w:val="0"/>
          <w:sz w:val="20"/>
        </w:rPr>
        <w:t>C</w:t>
      </w:r>
      <w:r w:rsidRPr="00E74F08">
        <w:rPr>
          <w:rFonts w:ascii="Arial" w:hAnsi="Arial" w:cs="Arial"/>
          <w:caps w:val="0"/>
          <w:sz w:val="20"/>
        </w:rPr>
        <w:t>ross-</w:t>
      </w:r>
      <w:r w:rsidR="00E74F08" w:rsidRPr="00E74F08">
        <w:rPr>
          <w:rFonts w:ascii="Arial" w:hAnsi="Arial" w:cs="Arial"/>
          <w:caps w:val="0"/>
          <w:sz w:val="20"/>
        </w:rPr>
        <w:t>P</w:t>
      </w:r>
      <w:r w:rsidRPr="00E74F08">
        <w:rPr>
          <w:rFonts w:ascii="Arial" w:hAnsi="Arial" w:cs="Arial"/>
          <w:caps w:val="0"/>
          <w:sz w:val="20"/>
        </w:rPr>
        <w:t xml:space="preserve">latform </w:t>
      </w:r>
      <w:r w:rsidR="00E74F08" w:rsidRPr="00E74F08">
        <w:rPr>
          <w:rFonts w:ascii="Arial" w:hAnsi="Arial" w:cs="Arial"/>
          <w:caps w:val="0"/>
          <w:sz w:val="20"/>
        </w:rPr>
        <w:t>A</w:t>
      </w:r>
      <w:r w:rsidRPr="00E74F08">
        <w:rPr>
          <w:rFonts w:ascii="Arial" w:hAnsi="Arial" w:cs="Arial"/>
          <w:caps w:val="0"/>
          <w:sz w:val="20"/>
        </w:rPr>
        <w:t>nalysis</w:t>
      </w:r>
    </w:p>
    <w:p w14:paraId="302063C8"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Recent scholarship calls for integrating analyses of both online and offline advertisements to understand how climate communication operates in an interconnected media ecosystem (</w:t>
      </w:r>
      <w:r w:rsidR="00E74F08">
        <w:rPr>
          <w:rFonts w:ascii="Arial" w:hAnsi="Arial" w:cs="Arial"/>
          <w:b w:val="0"/>
          <w:bCs/>
          <w:caps w:val="0"/>
          <w:sz w:val="20"/>
        </w:rPr>
        <w:t>S</w:t>
      </w:r>
      <w:r w:rsidRPr="00FF11B0">
        <w:rPr>
          <w:rFonts w:ascii="Arial" w:hAnsi="Arial" w:cs="Arial"/>
          <w:b w:val="0"/>
          <w:bCs/>
          <w:caps w:val="0"/>
          <w:sz w:val="20"/>
        </w:rPr>
        <w:t xml:space="preserve">chwarzkopf &amp; </w:t>
      </w:r>
      <w:r w:rsidR="00E74F08">
        <w:rPr>
          <w:rFonts w:ascii="Arial" w:hAnsi="Arial" w:cs="Arial"/>
          <w:b w:val="0"/>
          <w:bCs/>
          <w:caps w:val="0"/>
          <w:sz w:val="20"/>
        </w:rPr>
        <w:t>U</w:t>
      </w:r>
      <w:r w:rsidRPr="00FF11B0">
        <w:rPr>
          <w:rFonts w:ascii="Arial" w:hAnsi="Arial" w:cs="Arial"/>
          <w:b w:val="0"/>
          <w:bCs/>
          <w:caps w:val="0"/>
          <w:sz w:val="20"/>
        </w:rPr>
        <w:t xml:space="preserve">rry, 2021). Offline campaigns often serve as the basis for digital adaptation—e.g., apple’s “mother nature” or </w:t>
      </w:r>
      <w:r w:rsidR="00E74F08">
        <w:rPr>
          <w:rFonts w:ascii="Arial" w:hAnsi="Arial" w:cs="Arial"/>
          <w:b w:val="0"/>
          <w:bCs/>
          <w:caps w:val="0"/>
          <w:sz w:val="20"/>
        </w:rPr>
        <w:t>N</w:t>
      </w:r>
      <w:r w:rsidRPr="00FF11B0">
        <w:rPr>
          <w:rFonts w:ascii="Arial" w:hAnsi="Arial" w:cs="Arial"/>
          <w:b w:val="0"/>
          <w:bCs/>
          <w:caps w:val="0"/>
          <w:sz w:val="20"/>
        </w:rPr>
        <w:t>ike’s “move to zero”—where the same message is recontextualized for social media through micro-stories, behind-the-scenes videos, and influencer endorsements.</w:t>
      </w:r>
    </w:p>
    <w:p w14:paraId="65A0BABC"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Bengtsson and </w:t>
      </w:r>
      <w:r w:rsidR="00E74F08">
        <w:rPr>
          <w:rFonts w:ascii="Arial" w:hAnsi="Arial" w:cs="Arial"/>
          <w:b w:val="0"/>
          <w:bCs/>
          <w:caps w:val="0"/>
          <w:sz w:val="20"/>
        </w:rPr>
        <w:t>O</w:t>
      </w:r>
      <w:r w:rsidRPr="00FF11B0">
        <w:rPr>
          <w:rFonts w:ascii="Arial" w:hAnsi="Arial" w:cs="Arial"/>
          <w:b w:val="0"/>
          <w:bCs/>
          <w:caps w:val="0"/>
          <w:sz w:val="20"/>
        </w:rPr>
        <w:t>stman (2017) emphasize that such cross-platform strategies extend the lifespan of sustainability messages and reinforce their moral authority. Therefore, content analysis in the digital age must account for both textual coherence across channels and contextual variability in audience interpretation.</w:t>
      </w:r>
    </w:p>
    <w:p w14:paraId="62289849"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2.5.4 key methodological insights from content analysis of advertisements</w:t>
      </w:r>
    </w:p>
    <w:p w14:paraId="4A670821"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A growing number of studies highlight the need for multimodal analysis that integrates textual, visual, and auditory dimensions. Barthes’ (1977) theory of semiotics remains influential in decoding the “connotative meanings” of visuals in sustainability advertising—such as the recurrent motifs of leaves, water, or light. Contemporary scholars combine this semiotic lens with computational tools and qualitative interpretation.</w:t>
      </w:r>
    </w:p>
    <w:p w14:paraId="6DAFAB22"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For instance, </w:t>
      </w:r>
      <w:proofErr w:type="spellStart"/>
      <w:r w:rsidR="00E74F08">
        <w:rPr>
          <w:rFonts w:ascii="Arial" w:hAnsi="Arial" w:cs="Arial"/>
          <w:b w:val="0"/>
          <w:bCs/>
          <w:caps w:val="0"/>
          <w:sz w:val="20"/>
        </w:rPr>
        <w:t>M</w:t>
      </w:r>
      <w:r w:rsidRPr="00FF11B0">
        <w:rPr>
          <w:rFonts w:ascii="Arial" w:hAnsi="Arial" w:cs="Arial"/>
          <w:b w:val="0"/>
          <w:bCs/>
          <w:caps w:val="0"/>
          <w:sz w:val="20"/>
        </w:rPr>
        <w:t>atthes</w:t>
      </w:r>
      <w:proofErr w:type="spellEnd"/>
      <w:r w:rsidRPr="00FF11B0">
        <w:rPr>
          <w:rFonts w:ascii="Arial" w:hAnsi="Arial" w:cs="Arial"/>
          <w:b w:val="0"/>
          <w:bCs/>
          <w:caps w:val="0"/>
          <w:sz w:val="20"/>
        </w:rPr>
        <w:t xml:space="preserve">, </w:t>
      </w:r>
      <w:proofErr w:type="spellStart"/>
      <w:r w:rsidR="00E74F08">
        <w:rPr>
          <w:rFonts w:ascii="Arial" w:hAnsi="Arial" w:cs="Arial"/>
          <w:b w:val="0"/>
          <w:bCs/>
          <w:caps w:val="0"/>
          <w:sz w:val="20"/>
        </w:rPr>
        <w:t>W</w:t>
      </w:r>
      <w:r w:rsidRPr="00FF11B0">
        <w:rPr>
          <w:rFonts w:ascii="Arial" w:hAnsi="Arial" w:cs="Arial"/>
          <w:b w:val="0"/>
          <w:bCs/>
          <w:caps w:val="0"/>
          <w:sz w:val="20"/>
        </w:rPr>
        <w:t>onneberger</w:t>
      </w:r>
      <w:proofErr w:type="spellEnd"/>
      <w:r w:rsidRPr="00FF11B0">
        <w:rPr>
          <w:rFonts w:ascii="Arial" w:hAnsi="Arial" w:cs="Arial"/>
          <w:b w:val="0"/>
          <w:bCs/>
          <w:caps w:val="0"/>
          <w:sz w:val="20"/>
        </w:rPr>
        <w:t xml:space="preserve">, and schmuck (2014) conducted a large-scale content analysis of 473 green ads in </w:t>
      </w:r>
      <w:r w:rsidR="00E74F08">
        <w:rPr>
          <w:rFonts w:ascii="Arial" w:hAnsi="Arial" w:cs="Arial"/>
          <w:b w:val="0"/>
          <w:bCs/>
          <w:caps w:val="0"/>
          <w:sz w:val="20"/>
        </w:rPr>
        <w:t>E</w:t>
      </w:r>
      <w:r w:rsidRPr="00FF11B0">
        <w:rPr>
          <w:rFonts w:ascii="Arial" w:hAnsi="Arial" w:cs="Arial"/>
          <w:b w:val="0"/>
          <w:bCs/>
          <w:caps w:val="0"/>
          <w:sz w:val="20"/>
        </w:rPr>
        <w:t>urope and found that the majority emphasize “personal contribution” (60%) over “systemic change” (20%). This aligns closely with the findings of your current paper, which identify “individualization of responsibility” as a dominant rhetorical frame.</w:t>
      </w:r>
    </w:p>
    <w:p w14:paraId="07452CB1"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 xml:space="preserve">Similarly, </w:t>
      </w:r>
      <w:proofErr w:type="spellStart"/>
      <w:r w:rsidR="00E74F08">
        <w:rPr>
          <w:rFonts w:ascii="Arial" w:hAnsi="Arial" w:cs="Arial"/>
          <w:b w:val="0"/>
          <w:bCs/>
          <w:caps w:val="0"/>
          <w:sz w:val="20"/>
        </w:rPr>
        <w:t>N</w:t>
      </w:r>
      <w:r w:rsidRPr="00FF11B0">
        <w:rPr>
          <w:rFonts w:ascii="Arial" w:hAnsi="Arial" w:cs="Arial"/>
          <w:b w:val="0"/>
          <w:bCs/>
          <w:caps w:val="0"/>
          <w:sz w:val="20"/>
        </w:rPr>
        <w:t>yilasy</w:t>
      </w:r>
      <w:proofErr w:type="spellEnd"/>
      <w:r w:rsidRPr="00FF11B0">
        <w:rPr>
          <w:rFonts w:ascii="Arial" w:hAnsi="Arial" w:cs="Arial"/>
          <w:b w:val="0"/>
          <w:bCs/>
          <w:caps w:val="0"/>
          <w:sz w:val="20"/>
        </w:rPr>
        <w:t xml:space="preserve">, </w:t>
      </w:r>
      <w:proofErr w:type="spellStart"/>
      <w:r w:rsidR="00E74F08">
        <w:rPr>
          <w:rFonts w:ascii="Arial" w:hAnsi="Arial" w:cs="Arial"/>
          <w:b w:val="0"/>
          <w:bCs/>
          <w:caps w:val="0"/>
          <w:sz w:val="20"/>
        </w:rPr>
        <w:t>G</w:t>
      </w:r>
      <w:r w:rsidRPr="00FF11B0">
        <w:rPr>
          <w:rFonts w:ascii="Arial" w:hAnsi="Arial" w:cs="Arial"/>
          <w:b w:val="0"/>
          <w:bCs/>
          <w:caps w:val="0"/>
          <w:sz w:val="20"/>
        </w:rPr>
        <w:t>angadharbatla</w:t>
      </w:r>
      <w:proofErr w:type="spellEnd"/>
      <w:r w:rsidRPr="00FF11B0">
        <w:rPr>
          <w:rFonts w:ascii="Arial" w:hAnsi="Arial" w:cs="Arial"/>
          <w:b w:val="0"/>
          <w:bCs/>
          <w:caps w:val="0"/>
          <w:sz w:val="20"/>
        </w:rPr>
        <w:t xml:space="preserve">, and </w:t>
      </w:r>
      <w:r w:rsidR="00E74F08">
        <w:rPr>
          <w:rFonts w:ascii="Arial" w:hAnsi="Arial" w:cs="Arial"/>
          <w:b w:val="0"/>
          <w:bCs/>
          <w:caps w:val="0"/>
          <w:sz w:val="20"/>
        </w:rPr>
        <w:t>P</w:t>
      </w:r>
      <w:r w:rsidRPr="00FF11B0">
        <w:rPr>
          <w:rFonts w:ascii="Arial" w:hAnsi="Arial" w:cs="Arial"/>
          <w:b w:val="0"/>
          <w:bCs/>
          <w:caps w:val="0"/>
          <w:sz w:val="20"/>
        </w:rPr>
        <w:t>aladino (2014) examined consumer responses to greenwashing and found that emotional framing—particularly guilt and pride—plays a stronger role in perceived brand authenticity than factual content. They used a hybrid content analysis design integrating textual coding with affective image mapping, demonstrating how visual emotions shape climate communication.</w:t>
      </w:r>
    </w:p>
    <w:p w14:paraId="03D0472A" w14:textId="77777777" w:rsidR="00FF11B0" w:rsidRPr="00FF11B0" w:rsidRDefault="00FF11B0" w:rsidP="00FF11B0">
      <w:pPr>
        <w:pStyle w:val="AbstHead"/>
        <w:jc w:val="both"/>
        <w:rPr>
          <w:rFonts w:ascii="Arial" w:hAnsi="Arial" w:cs="Arial"/>
          <w:b w:val="0"/>
          <w:bCs/>
          <w:sz w:val="20"/>
        </w:rPr>
      </w:pPr>
      <w:r w:rsidRPr="00FF11B0">
        <w:rPr>
          <w:rFonts w:ascii="Arial" w:hAnsi="Arial" w:cs="Arial"/>
          <w:b w:val="0"/>
          <w:bCs/>
          <w:caps w:val="0"/>
          <w:sz w:val="20"/>
        </w:rPr>
        <w:t>In digital environments, multimodal discourse analysis (</w:t>
      </w:r>
      <w:r w:rsidR="00E74F08">
        <w:rPr>
          <w:rFonts w:ascii="Arial" w:hAnsi="Arial" w:cs="Arial"/>
          <w:b w:val="0"/>
          <w:bCs/>
          <w:caps w:val="0"/>
          <w:sz w:val="20"/>
        </w:rPr>
        <w:t>K</w:t>
      </w:r>
      <w:r w:rsidRPr="00FF11B0">
        <w:rPr>
          <w:rFonts w:ascii="Arial" w:hAnsi="Arial" w:cs="Arial"/>
          <w:b w:val="0"/>
          <w:bCs/>
          <w:caps w:val="0"/>
          <w:sz w:val="20"/>
        </w:rPr>
        <w:t xml:space="preserve">ress &amp; van </w:t>
      </w:r>
      <w:r w:rsidR="00E74F08">
        <w:rPr>
          <w:rFonts w:ascii="Arial" w:hAnsi="Arial" w:cs="Arial"/>
          <w:b w:val="0"/>
          <w:bCs/>
          <w:caps w:val="0"/>
          <w:sz w:val="20"/>
        </w:rPr>
        <w:t>L</w:t>
      </w:r>
      <w:r w:rsidRPr="00FF11B0">
        <w:rPr>
          <w:rFonts w:ascii="Arial" w:hAnsi="Arial" w:cs="Arial"/>
          <w:b w:val="0"/>
          <w:bCs/>
          <w:caps w:val="0"/>
          <w:sz w:val="20"/>
        </w:rPr>
        <w:t>eeuwen, 2006) has complemented traditional content analysis. Through frameworks such as “visual grammar,” researchers have shown how typography, color, and spatial composition subtly convey ecological virtue (</w:t>
      </w:r>
      <w:proofErr w:type="spellStart"/>
      <w:r w:rsidR="00E74F08">
        <w:rPr>
          <w:rFonts w:ascii="Arial" w:hAnsi="Arial" w:cs="Arial"/>
          <w:b w:val="0"/>
          <w:bCs/>
          <w:caps w:val="0"/>
          <w:sz w:val="20"/>
        </w:rPr>
        <w:t>L</w:t>
      </w:r>
      <w:r w:rsidRPr="00FF11B0">
        <w:rPr>
          <w:rFonts w:ascii="Arial" w:hAnsi="Arial" w:cs="Arial"/>
          <w:b w:val="0"/>
          <w:bCs/>
          <w:caps w:val="0"/>
          <w:sz w:val="20"/>
        </w:rPr>
        <w:t>iobikienė</w:t>
      </w:r>
      <w:proofErr w:type="spellEnd"/>
      <w:r w:rsidRPr="00FF11B0">
        <w:rPr>
          <w:rFonts w:ascii="Arial" w:hAnsi="Arial" w:cs="Arial"/>
          <w:b w:val="0"/>
          <w:bCs/>
          <w:caps w:val="0"/>
          <w:sz w:val="20"/>
        </w:rPr>
        <w:t xml:space="preserve"> &amp; </w:t>
      </w:r>
      <w:proofErr w:type="spellStart"/>
      <w:r w:rsidR="00E74F08">
        <w:rPr>
          <w:rFonts w:ascii="Arial" w:hAnsi="Arial" w:cs="Arial"/>
          <w:b w:val="0"/>
          <w:bCs/>
          <w:caps w:val="0"/>
          <w:sz w:val="20"/>
        </w:rPr>
        <w:t>D</w:t>
      </w:r>
      <w:r w:rsidRPr="00FF11B0">
        <w:rPr>
          <w:rFonts w:ascii="Arial" w:hAnsi="Arial" w:cs="Arial"/>
          <w:b w:val="0"/>
          <w:bCs/>
          <w:caps w:val="0"/>
          <w:sz w:val="20"/>
        </w:rPr>
        <w:t>agiliūtė</w:t>
      </w:r>
      <w:proofErr w:type="spellEnd"/>
      <w:r w:rsidRPr="00FF11B0">
        <w:rPr>
          <w:rFonts w:ascii="Arial" w:hAnsi="Arial" w:cs="Arial"/>
          <w:b w:val="0"/>
          <w:bCs/>
          <w:caps w:val="0"/>
          <w:sz w:val="20"/>
        </w:rPr>
        <w:t>, 2021).</w:t>
      </w:r>
    </w:p>
    <w:p w14:paraId="6846C6F6" w14:textId="77777777" w:rsidR="00FF11B0" w:rsidRPr="00FF11B0" w:rsidRDefault="00FF11B0" w:rsidP="00FF11B0">
      <w:pPr>
        <w:pStyle w:val="AbstHead"/>
        <w:spacing w:after="0"/>
        <w:jc w:val="both"/>
        <w:rPr>
          <w:rFonts w:ascii="Arial" w:hAnsi="Arial" w:cs="Arial"/>
          <w:b w:val="0"/>
          <w:bCs/>
          <w:sz w:val="20"/>
        </w:rPr>
      </w:pPr>
      <w:r w:rsidRPr="00FF11B0">
        <w:rPr>
          <w:rFonts w:ascii="Arial" w:hAnsi="Arial" w:cs="Arial"/>
          <w:b w:val="0"/>
          <w:bCs/>
          <w:caps w:val="0"/>
          <w:sz w:val="20"/>
        </w:rPr>
        <w:t xml:space="preserve">Finally, mixed-method approaches combining content analysis with sentiment analysis and audience analytics have emerged. For example, </w:t>
      </w:r>
      <w:proofErr w:type="spellStart"/>
      <w:r w:rsidR="00E74F08">
        <w:rPr>
          <w:rFonts w:ascii="Arial" w:hAnsi="Arial" w:cs="Arial"/>
          <w:b w:val="0"/>
          <w:bCs/>
          <w:caps w:val="0"/>
          <w:sz w:val="20"/>
        </w:rPr>
        <w:t>E</w:t>
      </w:r>
      <w:r w:rsidRPr="00FF11B0">
        <w:rPr>
          <w:rFonts w:ascii="Arial" w:hAnsi="Arial" w:cs="Arial"/>
          <w:b w:val="0"/>
          <w:bCs/>
          <w:caps w:val="0"/>
          <w:sz w:val="20"/>
        </w:rPr>
        <w:t>tikan</w:t>
      </w:r>
      <w:proofErr w:type="spellEnd"/>
      <w:r w:rsidRPr="00FF11B0">
        <w:rPr>
          <w:rFonts w:ascii="Arial" w:hAnsi="Arial" w:cs="Arial"/>
          <w:b w:val="0"/>
          <w:bCs/>
          <w:caps w:val="0"/>
          <w:sz w:val="20"/>
        </w:rPr>
        <w:t xml:space="preserve"> et al. (2022) analyzed 10,000 social media ads on sustainability and discovered that positive sentiment dominated corporate communication (73%), while only 12% of posts mentioned structural reforms—confirming the trend toward emotional optimism over critical accountability.</w:t>
      </w:r>
    </w:p>
    <w:p w14:paraId="7E4BA7C0" w14:textId="77777777" w:rsidR="00790ADA" w:rsidRPr="00FF11B0" w:rsidRDefault="00790ADA" w:rsidP="00441B6F">
      <w:pPr>
        <w:pStyle w:val="AbstHead"/>
        <w:spacing w:after="0"/>
        <w:jc w:val="both"/>
        <w:rPr>
          <w:rFonts w:ascii="Arial" w:hAnsi="Arial" w:cs="Arial"/>
          <w:b w:val="0"/>
          <w:bCs/>
          <w:sz w:val="20"/>
        </w:rPr>
      </w:pPr>
    </w:p>
    <w:p w14:paraId="376F6F88" w14:textId="77777777" w:rsidR="00B01FCD" w:rsidRPr="00FF11B0" w:rsidRDefault="00B01FCD" w:rsidP="00441B6F">
      <w:pPr>
        <w:pStyle w:val="Body"/>
        <w:spacing w:after="0"/>
        <w:rPr>
          <w:rFonts w:ascii="Arial" w:hAnsi="Arial" w:cs="Arial"/>
          <w:bCs/>
        </w:rPr>
      </w:pPr>
    </w:p>
    <w:p w14:paraId="491674C5" w14:textId="77777777" w:rsidR="00790ADA" w:rsidRPr="00FF11B0" w:rsidRDefault="00790ADA" w:rsidP="00441B6F">
      <w:pPr>
        <w:pStyle w:val="Body"/>
        <w:spacing w:after="0"/>
        <w:rPr>
          <w:rFonts w:ascii="Arial" w:hAnsi="Arial" w:cs="Arial"/>
          <w:bCs/>
        </w:rPr>
      </w:pPr>
    </w:p>
    <w:p w14:paraId="7D8A8487" w14:textId="77777777" w:rsidR="007F7B32" w:rsidRDefault="00902823" w:rsidP="00E74F08">
      <w:pPr>
        <w:pStyle w:val="AbstHead"/>
        <w:spacing w:after="0"/>
        <w:rPr>
          <w:rFonts w:ascii="Arial" w:hAnsi="Arial" w:cs="Arial"/>
        </w:rPr>
      </w:pPr>
      <w:r>
        <w:rPr>
          <w:rFonts w:ascii="Arial" w:hAnsi="Arial" w:cs="Arial"/>
        </w:rPr>
        <w:t xml:space="preserve">2. </w:t>
      </w:r>
      <w:r w:rsidR="00E74F08" w:rsidRPr="00E74F08">
        <w:rPr>
          <w:rFonts w:ascii="Arial" w:hAnsi="Arial" w:cs="Arial"/>
          <w:bCs/>
        </w:rPr>
        <w:t>Research Methodology</w:t>
      </w:r>
      <w:r w:rsidR="00E74F08" w:rsidRPr="00E74F08">
        <w:rPr>
          <w:rFonts w:ascii="Arial" w:hAnsi="Arial" w:cs="Arial"/>
        </w:rPr>
        <w:t xml:space="preserve"> </w:t>
      </w:r>
    </w:p>
    <w:p w14:paraId="460B1C83" w14:textId="77777777" w:rsidR="00790ADA" w:rsidRPr="00FB3A86" w:rsidRDefault="00790ADA" w:rsidP="00441B6F">
      <w:pPr>
        <w:pStyle w:val="AbstHead"/>
        <w:spacing w:after="0"/>
        <w:jc w:val="both"/>
        <w:rPr>
          <w:rFonts w:ascii="Arial" w:hAnsi="Arial" w:cs="Arial"/>
        </w:rPr>
      </w:pPr>
    </w:p>
    <w:p w14:paraId="3351B5F7" w14:textId="77777777" w:rsidR="00E74F08" w:rsidRDefault="00E74F08" w:rsidP="00E74F08">
      <w:pPr>
        <w:rPr>
          <w:rFonts w:ascii="Arial" w:hAnsi="Arial" w:cs="Arial"/>
          <w:b/>
          <w:bCs/>
          <w:i/>
          <w:iCs/>
          <w:u w:val="single"/>
        </w:rPr>
      </w:pPr>
      <w:r w:rsidRPr="00E74F08">
        <w:rPr>
          <w:rFonts w:ascii="Arial" w:hAnsi="Arial" w:cs="Arial"/>
          <w:b/>
          <w:bCs/>
          <w:i/>
          <w:iCs/>
          <w:u w:val="single"/>
        </w:rPr>
        <w:t>3.1-Research Design</w:t>
      </w:r>
    </w:p>
    <w:p w14:paraId="60BE9F8B" w14:textId="77777777" w:rsidR="00E74F08" w:rsidRPr="00E74F08" w:rsidRDefault="00E74F08" w:rsidP="00E74F08">
      <w:pPr>
        <w:jc w:val="both"/>
        <w:rPr>
          <w:rFonts w:ascii="Arial" w:hAnsi="Arial" w:cs="Arial"/>
          <w:b/>
          <w:bCs/>
          <w:i/>
          <w:iCs/>
          <w:u w:val="single"/>
        </w:rPr>
      </w:pPr>
    </w:p>
    <w:p w14:paraId="0BFB7708" w14:textId="77777777" w:rsidR="00E74F08" w:rsidRPr="00E74F08" w:rsidRDefault="00E74F08" w:rsidP="00E74F08">
      <w:pPr>
        <w:jc w:val="both"/>
        <w:rPr>
          <w:rFonts w:ascii="Arial" w:hAnsi="Arial" w:cs="Arial"/>
        </w:rPr>
      </w:pPr>
      <w:r w:rsidRPr="00E74F08">
        <w:rPr>
          <w:rFonts w:ascii="Arial" w:hAnsi="Arial" w:cs="Arial"/>
        </w:rPr>
        <w:lastRenderedPageBreak/>
        <w:t>This study employs a qualitative content analysis approach to examine how corporate advertising constructs narratives of climate responsibility. The method allows for a systematic yet interpretive examination of message patterns, visual imagery, and linguistic cues embedded within sustainability-themed advertisements. Content analysis is particularly suited for uncovering how meaning is created through framing — in this case, how corporate advertising assigns responsibility for climate action across different social actors.</w:t>
      </w:r>
    </w:p>
    <w:p w14:paraId="49123816" w14:textId="77777777" w:rsidR="00E74F08" w:rsidRDefault="00E74F08" w:rsidP="00E74F08">
      <w:pPr>
        <w:rPr>
          <w:rFonts w:ascii="Arial" w:hAnsi="Arial" w:cs="Arial"/>
          <w:b/>
          <w:bCs/>
          <w:i/>
          <w:iCs/>
          <w:u w:val="single"/>
        </w:rPr>
      </w:pPr>
      <w:r w:rsidRPr="00E74F08">
        <w:rPr>
          <w:rFonts w:ascii="Arial" w:hAnsi="Arial" w:cs="Arial"/>
          <w:b/>
          <w:bCs/>
          <w:i/>
          <w:iCs/>
          <w:u w:val="single"/>
        </w:rPr>
        <w:t>3.2-Sampling Criteria and Selection of Campaigns</w:t>
      </w:r>
    </w:p>
    <w:p w14:paraId="5AFE7716" w14:textId="77777777" w:rsidR="00E74F08" w:rsidRPr="00E74F08" w:rsidRDefault="00E74F08" w:rsidP="00E74F08">
      <w:pPr>
        <w:jc w:val="both"/>
        <w:rPr>
          <w:rFonts w:ascii="Arial" w:hAnsi="Arial" w:cs="Arial"/>
          <w:b/>
          <w:bCs/>
          <w:i/>
          <w:iCs/>
          <w:u w:val="single"/>
        </w:rPr>
      </w:pPr>
    </w:p>
    <w:p w14:paraId="6F2B71B0" w14:textId="77777777" w:rsidR="00E74F08" w:rsidRPr="00E74F08" w:rsidRDefault="00E74F08" w:rsidP="00E74F08">
      <w:pPr>
        <w:jc w:val="both"/>
        <w:rPr>
          <w:rFonts w:ascii="Arial" w:hAnsi="Arial" w:cs="Arial"/>
        </w:rPr>
      </w:pPr>
      <w:r w:rsidRPr="00E74F08">
        <w:rPr>
          <w:rFonts w:ascii="Arial" w:hAnsi="Arial" w:cs="Arial"/>
        </w:rPr>
        <w:t>The sample for this study consists of fifteen high-profile corporate advertising campaigns released between 2021 and 2024, selected through purposive sampling to ensure thematic and industry diversity. Campaigns were chosen based on the following criteria:</w:t>
      </w:r>
    </w:p>
    <w:p w14:paraId="70B55FF3" w14:textId="77777777" w:rsidR="00E74F08" w:rsidRPr="00E74F08" w:rsidRDefault="00E74F08" w:rsidP="00E74F08">
      <w:pPr>
        <w:jc w:val="both"/>
        <w:rPr>
          <w:rFonts w:ascii="Arial" w:hAnsi="Arial" w:cs="Arial"/>
        </w:rPr>
      </w:pPr>
      <w:r w:rsidRPr="00E74F08">
        <w:rPr>
          <w:rFonts w:ascii="Arial" w:hAnsi="Arial" w:cs="Arial"/>
        </w:rPr>
        <w:t>1. Relevance: The advertisement explicitly referenced climate change, sustainability, or environmental responsibility.</w:t>
      </w:r>
    </w:p>
    <w:p w14:paraId="792EE695" w14:textId="77777777" w:rsidR="00E74F08" w:rsidRPr="00E74F08" w:rsidRDefault="00E74F08" w:rsidP="00E74F08">
      <w:pPr>
        <w:jc w:val="both"/>
        <w:rPr>
          <w:rFonts w:ascii="Arial" w:hAnsi="Arial" w:cs="Arial"/>
        </w:rPr>
      </w:pPr>
      <w:r w:rsidRPr="00E74F08">
        <w:rPr>
          <w:rFonts w:ascii="Arial" w:hAnsi="Arial" w:cs="Arial"/>
        </w:rPr>
        <w:t>2. Visibility: The campaign was distributed through major digital platforms (e.g., YouTube, Instagram, or brand websites) with substantial audience reach.</w:t>
      </w:r>
    </w:p>
    <w:p w14:paraId="1750E555" w14:textId="77777777" w:rsidR="00E74F08" w:rsidRPr="00E74F08" w:rsidRDefault="00E74F08" w:rsidP="00E74F08">
      <w:pPr>
        <w:jc w:val="both"/>
        <w:rPr>
          <w:rFonts w:ascii="Arial" w:hAnsi="Arial" w:cs="Arial"/>
        </w:rPr>
      </w:pPr>
      <w:r w:rsidRPr="00E74F08">
        <w:rPr>
          <w:rFonts w:ascii="Arial" w:hAnsi="Arial" w:cs="Arial"/>
        </w:rPr>
        <w:t>3. Recency: Only campaigns released between January 2021 and December 2024 were included to reflect current trends in post-pandemic sustainability communication.</w:t>
      </w:r>
    </w:p>
    <w:p w14:paraId="157AA375" w14:textId="77777777" w:rsidR="00E74F08" w:rsidRPr="00E74F08" w:rsidRDefault="00E74F08" w:rsidP="00E74F08">
      <w:pPr>
        <w:jc w:val="both"/>
        <w:rPr>
          <w:rFonts w:ascii="Arial" w:hAnsi="Arial" w:cs="Arial"/>
        </w:rPr>
      </w:pPr>
      <w:r w:rsidRPr="00E74F08">
        <w:rPr>
          <w:rFonts w:ascii="Arial" w:hAnsi="Arial" w:cs="Arial"/>
        </w:rPr>
        <w:t>The final sample represented a cross-section of industries including technology,</w:t>
      </w:r>
      <w:r>
        <w:rPr>
          <w:rFonts w:ascii="Arial" w:hAnsi="Arial" w:cs="Arial"/>
        </w:rPr>
        <w:t xml:space="preserve"> </w:t>
      </w:r>
      <w:r w:rsidRPr="00E74F08">
        <w:rPr>
          <w:rFonts w:ascii="Arial" w:hAnsi="Arial" w:cs="Arial"/>
        </w:rPr>
        <w:t>fashion, automotive, and consumer goods to capture varied approaches to climate messaging.</w:t>
      </w:r>
    </w:p>
    <w:p w14:paraId="1CDD6E1D" w14:textId="77777777" w:rsidR="00E74F08" w:rsidRDefault="00E74F08" w:rsidP="00E74F08">
      <w:pPr>
        <w:rPr>
          <w:rFonts w:ascii="Arial" w:hAnsi="Arial" w:cs="Arial"/>
          <w:b/>
          <w:bCs/>
          <w:i/>
          <w:iCs/>
          <w:u w:val="single"/>
        </w:rPr>
      </w:pPr>
      <w:r w:rsidRPr="00E74F08">
        <w:rPr>
          <w:rFonts w:ascii="Arial" w:hAnsi="Arial" w:cs="Arial"/>
          <w:b/>
          <w:bCs/>
          <w:i/>
          <w:iCs/>
          <w:u w:val="single"/>
        </w:rPr>
        <w:t>3.3-Data Collection Procedure-</w:t>
      </w:r>
    </w:p>
    <w:p w14:paraId="75D60142" w14:textId="77777777" w:rsidR="00E74F08" w:rsidRPr="00E74F08" w:rsidRDefault="00E74F08" w:rsidP="00E74F08">
      <w:pPr>
        <w:jc w:val="both"/>
        <w:rPr>
          <w:rFonts w:ascii="Arial" w:hAnsi="Arial" w:cs="Arial"/>
          <w:b/>
          <w:bCs/>
          <w:i/>
          <w:iCs/>
          <w:u w:val="single"/>
        </w:rPr>
      </w:pPr>
    </w:p>
    <w:p w14:paraId="2DFB400E" w14:textId="77777777" w:rsidR="00E74F08" w:rsidRPr="00E74F08" w:rsidRDefault="00E74F08" w:rsidP="00E74F08">
      <w:pPr>
        <w:jc w:val="both"/>
        <w:rPr>
          <w:rFonts w:ascii="Arial" w:hAnsi="Arial" w:cs="Arial"/>
        </w:rPr>
      </w:pPr>
      <w:r w:rsidRPr="00E74F08">
        <w:rPr>
          <w:rFonts w:ascii="Arial" w:hAnsi="Arial" w:cs="Arial"/>
        </w:rPr>
        <w:t>All selected advertisements were retrieved from official corporate digital platforms and archived in their original formats. Both visual and textual components were analyzed, including slogans, voice-overs, taglines, music, and imagery. Metadata (campaign title, year, platform, and region) were documented to contextualize the content. Each advertisement was viewed multiple times to ensure comprehensive interpretation.</w:t>
      </w:r>
    </w:p>
    <w:p w14:paraId="1AD53553" w14:textId="77777777" w:rsidR="00E74F08" w:rsidRDefault="00E74F08" w:rsidP="00E74F08">
      <w:pPr>
        <w:rPr>
          <w:rFonts w:ascii="Arial" w:hAnsi="Arial" w:cs="Arial"/>
          <w:b/>
          <w:bCs/>
          <w:i/>
          <w:iCs/>
          <w:u w:val="single"/>
        </w:rPr>
      </w:pPr>
      <w:r w:rsidRPr="00E74F08">
        <w:rPr>
          <w:rFonts w:ascii="Arial" w:hAnsi="Arial" w:cs="Arial"/>
          <w:b/>
          <w:bCs/>
          <w:i/>
          <w:iCs/>
          <w:u w:val="single"/>
        </w:rPr>
        <w:t>3.4-Analytical Framework-</w:t>
      </w:r>
    </w:p>
    <w:p w14:paraId="006B7BA3" w14:textId="77777777" w:rsidR="00E74F08" w:rsidRPr="00E74F08" w:rsidRDefault="00E74F08" w:rsidP="00E74F08">
      <w:pPr>
        <w:jc w:val="both"/>
        <w:rPr>
          <w:rFonts w:ascii="Arial" w:hAnsi="Arial" w:cs="Arial"/>
          <w:b/>
          <w:bCs/>
          <w:i/>
          <w:iCs/>
          <w:u w:val="single"/>
        </w:rPr>
      </w:pPr>
    </w:p>
    <w:p w14:paraId="3672BE75" w14:textId="77777777" w:rsidR="00E74F08" w:rsidRPr="00E74F08" w:rsidRDefault="00E74F08" w:rsidP="00E74F08">
      <w:pPr>
        <w:jc w:val="both"/>
        <w:rPr>
          <w:rFonts w:ascii="Arial" w:hAnsi="Arial" w:cs="Arial"/>
        </w:rPr>
      </w:pPr>
      <w:r w:rsidRPr="00E74F08">
        <w:rPr>
          <w:rFonts w:ascii="Arial" w:hAnsi="Arial" w:cs="Arial"/>
        </w:rPr>
        <w:t>An inductive thematic content analysis was conducted, following the principles of framing theory (</w:t>
      </w:r>
      <w:proofErr w:type="spellStart"/>
      <w:r w:rsidRPr="00E74F08">
        <w:rPr>
          <w:rFonts w:ascii="Arial" w:hAnsi="Arial" w:cs="Arial"/>
        </w:rPr>
        <w:t>Entman</w:t>
      </w:r>
      <w:proofErr w:type="spellEnd"/>
      <w:r w:rsidRPr="00E74F08">
        <w:rPr>
          <w:rFonts w:ascii="Arial" w:hAnsi="Arial" w:cs="Arial"/>
        </w:rPr>
        <w:t>, 1993) and recent scholarship on greenwashing and neoliberal consumerism. The analysis proceeded in three stages:</w:t>
      </w:r>
    </w:p>
    <w:p w14:paraId="6B0168B7" w14:textId="77777777" w:rsidR="00E74F08" w:rsidRPr="00E74F08" w:rsidRDefault="00E74F08" w:rsidP="00E74F08">
      <w:pPr>
        <w:jc w:val="both"/>
        <w:rPr>
          <w:rFonts w:ascii="Arial" w:hAnsi="Arial" w:cs="Arial"/>
        </w:rPr>
      </w:pPr>
      <w:r w:rsidRPr="00E74F08">
        <w:rPr>
          <w:rFonts w:ascii="Arial" w:hAnsi="Arial" w:cs="Arial"/>
        </w:rPr>
        <w:t>1. Open Coding: Initial descriptive codes were assigned to recurring textual and visual features (e.g., representations of consumers, corporations, and environmental action).</w:t>
      </w:r>
    </w:p>
    <w:p w14:paraId="301B3476" w14:textId="77777777" w:rsidR="00E74F08" w:rsidRDefault="00E74F08" w:rsidP="00E74F08">
      <w:pPr>
        <w:jc w:val="both"/>
        <w:rPr>
          <w:rFonts w:ascii="Arial" w:hAnsi="Arial" w:cs="Arial"/>
        </w:rPr>
      </w:pPr>
      <w:r w:rsidRPr="00E74F08">
        <w:rPr>
          <w:rFonts w:ascii="Arial" w:hAnsi="Arial" w:cs="Arial"/>
        </w:rPr>
        <w:t>2. Axial Coding: Codes were grouped into broader conceptual categories reflecting patterns in responsibility framing and emotional tone.</w:t>
      </w:r>
    </w:p>
    <w:p w14:paraId="0EF04105" w14:textId="299D972A" w:rsidR="002E3251" w:rsidRDefault="002E3251" w:rsidP="00E74F08">
      <w:pPr>
        <w:jc w:val="both"/>
        <w:rPr>
          <w:rFonts w:ascii="Arial" w:hAnsi="Arial" w:cs="Arial"/>
        </w:rPr>
      </w:pPr>
    </w:p>
    <w:p w14:paraId="1DBCFB3B" w14:textId="520FD8AB" w:rsidR="005E571A" w:rsidRDefault="005E571A" w:rsidP="00E74F08">
      <w:pPr>
        <w:jc w:val="both"/>
        <w:rPr>
          <w:rFonts w:ascii="Arial" w:hAnsi="Arial" w:cs="Arial"/>
        </w:rPr>
      </w:pPr>
      <w:r>
        <w:rPr>
          <w:rFonts w:ascii="Arial" w:hAnsi="Arial" w:cs="Arial"/>
        </w:rPr>
        <w:t>List 1: Code Label and Their Interpretation</w:t>
      </w:r>
    </w:p>
    <w:tbl>
      <w:tblPr>
        <w:tblStyle w:val="TableGrid"/>
        <w:tblW w:w="0" w:type="auto"/>
        <w:tblLook w:val="04A0" w:firstRow="1" w:lastRow="0" w:firstColumn="1" w:lastColumn="0" w:noHBand="0" w:noVBand="1"/>
      </w:tblPr>
      <w:tblGrid>
        <w:gridCol w:w="3433"/>
        <w:gridCol w:w="6808"/>
      </w:tblGrid>
      <w:tr w:rsidR="002E3251" w:rsidRPr="002E3251" w14:paraId="1AAB87A1" w14:textId="77777777" w:rsidTr="002E3251">
        <w:tc>
          <w:tcPr>
            <w:tcW w:w="0" w:type="auto"/>
            <w:hideMark/>
          </w:tcPr>
          <w:p w14:paraId="0CD22DB1" w14:textId="77777777" w:rsidR="002E3251" w:rsidRPr="002E3251" w:rsidRDefault="002E3251" w:rsidP="002E3251">
            <w:pPr>
              <w:jc w:val="both"/>
              <w:rPr>
                <w:rFonts w:ascii="Arial" w:hAnsi="Arial" w:cs="Arial"/>
                <w:b/>
                <w:bCs/>
              </w:rPr>
            </w:pPr>
            <w:r w:rsidRPr="002E3251">
              <w:rPr>
                <w:rFonts w:ascii="Arial" w:hAnsi="Arial" w:cs="Arial"/>
                <w:b/>
                <w:bCs/>
              </w:rPr>
              <w:t>Code Label</w:t>
            </w:r>
          </w:p>
        </w:tc>
        <w:tc>
          <w:tcPr>
            <w:tcW w:w="0" w:type="auto"/>
            <w:hideMark/>
          </w:tcPr>
          <w:p w14:paraId="762F9672" w14:textId="6AB71E48" w:rsidR="002E3251" w:rsidRPr="002E3251" w:rsidRDefault="002E3251" w:rsidP="002E3251">
            <w:pPr>
              <w:jc w:val="both"/>
              <w:rPr>
                <w:rFonts w:ascii="Arial" w:hAnsi="Arial" w:cs="Arial"/>
                <w:b/>
                <w:bCs/>
              </w:rPr>
            </w:pPr>
            <w:r>
              <w:rPr>
                <w:rFonts w:ascii="Arial" w:hAnsi="Arial" w:cs="Arial"/>
                <w:b/>
                <w:bCs/>
              </w:rPr>
              <w:t>Interpretation</w:t>
            </w:r>
          </w:p>
        </w:tc>
      </w:tr>
      <w:tr w:rsidR="002E3251" w:rsidRPr="002E3251" w14:paraId="58A8D722" w14:textId="77777777" w:rsidTr="002E3251">
        <w:tc>
          <w:tcPr>
            <w:tcW w:w="0" w:type="auto"/>
            <w:hideMark/>
          </w:tcPr>
          <w:p w14:paraId="417EFAD6" w14:textId="77777777" w:rsidR="002E3251" w:rsidRPr="002E3251" w:rsidRDefault="002E3251" w:rsidP="002E3251">
            <w:pPr>
              <w:jc w:val="both"/>
              <w:rPr>
                <w:rFonts w:ascii="Arial" w:hAnsi="Arial" w:cs="Arial"/>
              </w:rPr>
            </w:pPr>
            <w:r w:rsidRPr="002E3251">
              <w:rPr>
                <w:rFonts w:ascii="Arial" w:hAnsi="Arial" w:cs="Arial"/>
              </w:rPr>
              <w:t>Individual action</w:t>
            </w:r>
          </w:p>
        </w:tc>
        <w:tc>
          <w:tcPr>
            <w:tcW w:w="0" w:type="auto"/>
            <w:hideMark/>
          </w:tcPr>
          <w:p w14:paraId="3F69CB4B" w14:textId="77777777" w:rsidR="002E3251" w:rsidRPr="002E3251" w:rsidRDefault="002E3251" w:rsidP="002E3251">
            <w:pPr>
              <w:jc w:val="both"/>
              <w:rPr>
                <w:rFonts w:ascii="Arial" w:hAnsi="Arial" w:cs="Arial"/>
              </w:rPr>
            </w:pPr>
            <w:r w:rsidRPr="002E3251">
              <w:rPr>
                <w:rFonts w:ascii="Arial" w:hAnsi="Arial" w:cs="Arial"/>
              </w:rPr>
              <w:t>Focus on consumer behavior (e.g., recycle, choose green products)</w:t>
            </w:r>
          </w:p>
        </w:tc>
      </w:tr>
      <w:tr w:rsidR="002E3251" w:rsidRPr="002E3251" w14:paraId="2308FCDF" w14:textId="77777777" w:rsidTr="002E3251">
        <w:tc>
          <w:tcPr>
            <w:tcW w:w="0" w:type="auto"/>
            <w:hideMark/>
          </w:tcPr>
          <w:p w14:paraId="605219DA" w14:textId="77777777" w:rsidR="002E3251" w:rsidRPr="002E3251" w:rsidRDefault="002E3251" w:rsidP="002E3251">
            <w:pPr>
              <w:jc w:val="both"/>
              <w:rPr>
                <w:rFonts w:ascii="Arial" w:hAnsi="Arial" w:cs="Arial"/>
              </w:rPr>
            </w:pPr>
            <w:r w:rsidRPr="002E3251">
              <w:rPr>
                <w:rFonts w:ascii="Arial" w:hAnsi="Arial" w:cs="Arial"/>
              </w:rPr>
              <w:t>Brand as hero</w:t>
            </w:r>
          </w:p>
        </w:tc>
        <w:tc>
          <w:tcPr>
            <w:tcW w:w="0" w:type="auto"/>
            <w:hideMark/>
          </w:tcPr>
          <w:p w14:paraId="48B6AC9E" w14:textId="77777777" w:rsidR="002E3251" w:rsidRPr="002E3251" w:rsidRDefault="002E3251" w:rsidP="002E3251">
            <w:pPr>
              <w:jc w:val="both"/>
              <w:rPr>
                <w:rFonts w:ascii="Arial" w:hAnsi="Arial" w:cs="Arial"/>
              </w:rPr>
            </w:pPr>
            <w:r w:rsidRPr="002E3251">
              <w:rPr>
                <w:rFonts w:ascii="Arial" w:hAnsi="Arial" w:cs="Arial"/>
              </w:rPr>
              <w:t>Brand presented as solution to climate problem</w:t>
            </w:r>
          </w:p>
        </w:tc>
      </w:tr>
      <w:tr w:rsidR="002E3251" w:rsidRPr="002E3251" w14:paraId="7ED2528E" w14:textId="77777777" w:rsidTr="002E3251">
        <w:tc>
          <w:tcPr>
            <w:tcW w:w="0" w:type="auto"/>
            <w:hideMark/>
          </w:tcPr>
          <w:p w14:paraId="2AD9B7D4" w14:textId="77777777" w:rsidR="002E3251" w:rsidRPr="002E3251" w:rsidRDefault="002E3251" w:rsidP="002E3251">
            <w:pPr>
              <w:jc w:val="both"/>
              <w:rPr>
                <w:rFonts w:ascii="Arial" w:hAnsi="Arial" w:cs="Arial"/>
              </w:rPr>
            </w:pPr>
            <w:r w:rsidRPr="002E3251">
              <w:rPr>
                <w:rFonts w:ascii="Arial" w:hAnsi="Arial" w:cs="Arial"/>
              </w:rPr>
              <w:t>Purchase = impact</w:t>
            </w:r>
          </w:p>
        </w:tc>
        <w:tc>
          <w:tcPr>
            <w:tcW w:w="0" w:type="auto"/>
            <w:hideMark/>
          </w:tcPr>
          <w:p w14:paraId="7D6DF80F" w14:textId="77777777" w:rsidR="002E3251" w:rsidRPr="002E3251" w:rsidRDefault="002E3251" w:rsidP="002E3251">
            <w:pPr>
              <w:jc w:val="both"/>
              <w:rPr>
                <w:rFonts w:ascii="Arial" w:hAnsi="Arial" w:cs="Arial"/>
              </w:rPr>
            </w:pPr>
            <w:r w:rsidRPr="002E3251">
              <w:rPr>
                <w:rFonts w:ascii="Arial" w:hAnsi="Arial" w:cs="Arial"/>
              </w:rPr>
              <w:t>Buying product shown as helping the planet</w:t>
            </w:r>
          </w:p>
        </w:tc>
      </w:tr>
      <w:tr w:rsidR="002E3251" w:rsidRPr="002E3251" w14:paraId="456C65D6" w14:textId="77777777" w:rsidTr="002E3251">
        <w:tc>
          <w:tcPr>
            <w:tcW w:w="0" w:type="auto"/>
            <w:hideMark/>
          </w:tcPr>
          <w:p w14:paraId="65B5FC35" w14:textId="77777777" w:rsidR="002E3251" w:rsidRPr="002E3251" w:rsidRDefault="002E3251" w:rsidP="002E3251">
            <w:pPr>
              <w:jc w:val="both"/>
              <w:rPr>
                <w:rFonts w:ascii="Arial" w:hAnsi="Arial" w:cs="Arial"/>
              </w:rPr>
            </w:pPr>
            <w:r w:rsidRPr="002E3251">
              <w:rPr>
                <w:rFonts w:ascii="Arial" w:hAnsi="Arial" w:cs="Arial"/>
              </w:rPr>
              <w:t>Collective action missing</w:t>
            </w:r>
          </w:p>
        </w:tc>
        <w:tc>
          <w:tcPr>
            <w:tcW w:w="0" w:type="auto"/>
            <w:hideMark/>
          </w:tcPr>
          <w:p w14:paraId="11996961" w14:textId="77777777" w:rsidR="002E3251" w:rsidRPr="002E3251" w:rsidRDefault="002E3251" w:rsidP="002E3251">
            <w:pPr>
              <w:jc w:val="both"/>
              <w:rPr>
                <w:rFonts w:ascii="Arial" w:hAnsi="Arial" w:cs="Arial"/>
              </w:rPr>
            </w:pPr>
            <w:r w:rsidRPr="002E3251">
              <w:rPr>
                <w:rFonts w:ascii="Arial" w:hAnsi="Arial" w:cs="Arial"/>
              </w:rPr>
              <w:t>No mention of government/system change</w:t>
            </w:r>
          </w:p>
        </w:tc>
      </w:tr>
      <w:tr w:rsidR="002E3251" w:rsidRPr="002E3251" w14:paraId="30DC5754" w14:textId="77777777" w:rsidTr="002E3251">
        <w:tc>
          <w:tcPr>
            <w:tcW w:w="0" w:type="auto"/>
            <w:hideMark/>
          </w:tcPr>
          <w:p w14:paraId="6A8B940A" w14:textId="77777777" w:rsidR="002E3251" w:rsidRPr="002E3251" w:rsidRDefault="002E3251" w:rsidP="002E3251">
            <w:pPr>
              <w:jc w:val="both"/>
              <w:rPr>
                <w:rFonts w:ascii="Arial" w:hAnsi="Arial" w:cs="Arial"/>
              </w:rPr>
            </w:pPr>
            <w:r w:rsidRPr="002E3251">
              <w:rPr>
                <w:rFonts w:ascii="Arial" w:hAnsi="Arial" w:cs="Arial"/>
              </w:rPr>
              <w:t>Use of nature visuals</w:t>
            </w:r>
          </w:p>
        </w:tc>
        <w:tc>
          <w:tcPr>
            <w:tcW w:w="0" w:type="auto"/>
            <w:hideMark/>
          </w:tcPr>
          <w:p w14:paraId="07BB208C" w14:textId="77777777" w:rsidR="002E3251" w:rsidRPr="002E3251" w:rsidRDefault="002E3251" w:rsidP="002E3251">
            <w:pPr>
              <w:jc w:val="both"/>
              <w:rPr>
                <w:rFonts w:ascii="Arial" w:hAnsi="Arial" w:cs="Arial"/>
              </w:rPr>
            </w:pPr>
            <w:r w:rsidRPr="002E3251">
              <w:rPr>
                <w:rFonts w:ascii="Arial" w:hAnsi="Arial" w:cs="Arial"/>
              </w:rPr>
              <w:t>Trees, oceans, green color, animals shown</w:t>
            </w:r>
          </w:p>
        </w:tc>
      </w:tr>
      <w:tr w:rsidR="002E3251" w:rsidRPr="002E3251" w14:paraId="0C558B9E" w14:textId="77777777" w:rsidTr="002E3251">
        <w:tc>
          <w:tcPr>
            <w:tcW w:w="0" w:type="auto"/>
            <w:hideMark/>
          </w:tcPr>
          <w:p w14:paraId="100EFB66" w14:textId="77777777" w:rsidR="002E3251" w:rsidRPr="002E3251" w:rsidRDefault="002E3251" w:rsidP="002E3251">
            <w:pPr>
              <w:jc w:val="both"/>
              <w:rPr>
                <w:rFonts w:ascii="Arial" w:hAnsi="Arial" w:cs="Arial"/>
              </w:rPr>
            </w:pPr>
            <w:r w:rsidRPr="002E3251">
              <w:rPr>
                <w:rFonts w:ascii="Arial" w:hAnsi="Arial" w:cs="Arial"/>
              </w:rPr>
              <w:t>Emotional appeal: guilt</w:t>
            </w:r>
          </w:p>
        </w:tc>
        <w:tc>
          <w:tcPr>
            <w:tcW w:w="0" w:type="auto"/>
            <w:hideMark/>
          </w:tcPr>
          <w:p w14:paraId="29CF2F47" w14:textId="77777777" w:rsidR="002E3251" w:rsidRPr="002E3251" w:rsidRDefault="002E3251" w:rsidP="002E3251">
            <w:pPr>
              <w:jc w:val="both"/>
              <w:rPr>
                <w:rFonts w:ascii="Arial" w:hAnsi="Arial" w:cs="Arial"/>
              </w:rPr>
            </w:pPr>
            <w:r w:rsidRPr="002E3251">
              <w:rPr>
                <w:rFonts w:ascii="Arial" w:hAnsi="Arial" w:cs="Arial"/>
              </w:rPr>
              <w:t>Makes viewer feel responsible for harm</w:t>
            </w:r>
          </w:p>
        </w:tc>
      </w:tr>
      <w:tr w:rsidR="002E3251" w:rsidRPr="002E3251" w14:paraId="5D64A12D" w14:textId="77777777" w:rsidTr="002E3251">
        <w:tc>
          <w:tcPr>
            <w:tcW w:w="0" w:type="auto"/>
            <w:hideMark/>
          </w:tcPr>
          <w:p w14:paraId="48D9D130" w14:textId="77777777" w:rsidR="002E3251" w:rsidRPr="002E3251" w:rsidRDefault="002E3251" w:rsidP="002E3251">
            <w:pPr>
              <w:jc w:val="both"/>
              <w:rPr>
                <w:rFonts w:ascii="Arial" w:hAnsi="Arial" w:cs="Arial"/>
              </w:rPr>
            </w:pPr>
            <w:r w:rsidRPr="002E3251">
              <w:rPr>
                <w:rFonts w:ascii="Arial" w:hAnsi="Arial" w:cs="Arial"/>
              </w:rPr>
              <w:t>Emotional appeal: hope</w:t>
            </w:r>
          </w:p>
        </w:tc>
        <w:tc>
          <w:tcPr>
            <w:tcW w:w="0" w:type="auto"/>
            <w:hideMark/>
          </w:tcPr>
          <w:p w14:paraId="673AFF65" w14:textId="77777777" w:rsidR="002E3251" w:rsidRPr="002E3251" w:rsidRDefault="002E3251" w:rsidP="002E3251">
            <w:pPr>
              <w:jc w:val="both"/>
              <w:rPr>
                <w:rFonts w:ascii="Arial" w:hAnsi="Arial" w:cs="Arial"/>
              </w:rPr>
            </w:pPr>
            <w:r w:rsidRPr="002E3251">
              <w:rPr>
                <w:rFonts w:ascii="Arial" w:hAnsi="Arial" w:cs="Arial"/>
              </w:rPr>
              <w:t>Positive future shown</w:t>
            </w:r>
          </w:p>
        </w:tc>
      </w:tr>
      <w:tr w:rsidR="002E3251" w:rsidRPr="002E3251" w14:paraId="6B6D7DCA" w14:textId="77777777" w:rsidTr="002E3251">
        <w:tc>
          <w:tcPr>
            <w:tcW w:w="0" w:type="auto"/>
            <w:hideMark/>
          </w:tcPr>
          <w:p w14:paraId="7888333B" w14:textId="77777777" w:rsidR="002E3251" w:rsidRPr="002E3251" w:rsidRDefault="002E3251" w:rsidP="002E3251">
            <w:pPr>
              <w:jc w:val="both"/>
              <w:rPr>
                <w:rFonts w:ascii="Arial" w:hAnsi="Arial" w:cs="Arial"/>
              </w:rPr>
            </w:pPr>
            <w:r w:rsidRPr="002E3251">
              <w:rPr>
                <w:rFonts w:ascii="Arial" w:hAnsi="Arial" w:cs="Arial"/>
              </w:rPr>
              <w:t>Emotional appeal: empowerment</w:t>
            </w:r>
          </w:p>
        </w:tc>
        <w:tc>
          <w:tcPr>
            <w:tcW w:w="0" w:type="auto"/>
            <w:hideMark/>
          </w:tcPr>
          <w:p w14:paraId="1C225041" w14:textId="77777777" w:rsidR="002E3251" w:rsidRPr="002E3251" w:rsidRDefault="002E3251" w:rsidP="002E3251">
            <w:pPr>
              <w:jc w:val="both"/>
              <w:rPr>
                <w:rFonts w:ascii="Arial" w:hAnsi="Arial" w:cs="Arial"/>
              </w:rPr>
            </w:pPr>
            <w:r w:rsidRPr="002E3251">
              <w:rPr>
                <w:rFonts w:ascii="Arial" w:hAnsi="Arial" w:cs="Arial"/>
              </w:rPr>
              <w:t>Viewers shown as change-makers</w:t>
            </w:r>
          </w:p>
        </w:tc>
      </w:tr>
      <w:tr w:rsidR="002E3251" w:rsidRPr="002E3251" w14:paraId="6507AFDE" w14:textId="77777777" w:rsidTr="002E3251">
        <w:tc>
          <w:tcPr>
            <w:tcW w:w="0" w:type="auto"/>
            <w:hideMark/>
          </w:tcPr>
          <w:p w14:paraId="627FA6B7" w14:textId="77777777" w:rsidR="002E3251" w:rsidRPr="002E3251" w:rsidRDefault="002E3251" w:rsidP="002E3251">
            <w:pPr>
              <w:jc w:val="both"/>
              <w:rPr>
                <w:rFonts w:ascii="Arial" w:hAnsi="Arial" w:cs="Arial"/>
              </w:rPr>
            </w:pPr>
            <w:r w:rsidRPr="002E3251">
              <w:rPr>
                <w:rFonts w:ascii="Arial" w:hAnsi="Arial" w:cs="Arial"/>
              </w:rPr>
              <w:t>Celebrity credibility</w:t>
            </w:r>
          </w:p>
        </w:tc>
        <w:tc>
          <w:tcPr>
            <w:tcW w:w="0" w:type="auto"/>
            <w:hideMark/>
          </w:tcPr>
          <w:p w14:paraId="562BAFE4" w14:textId="77777777" w:rsidR="002E3251" w:rsidRPr="002E3251" w:rsidRDefault="002E3251" w:rsidP="002E3251">
            <w:pPr>
              <w:jc w:val="both"/>
              <w:rPr>
                <w:rFonts w:ascii="Arial" w:hAnsi="Arial" w:cs="Arial"/>
              </w:rPr>
            </w:pPr>
            <w:r w:rsidRPr="002E3251">
              <w:rPr>
                <w:rFonts w:ascii="Arial" w:hAnsi="Arial" w:cs="Arial"/>
              </w:rPr>
              <w:t>Use of celebrity/influencer to increase trust</w:t>
            </w:r>
          </w:p>
        </w:tc>
      </w:tr>
      <w:tr w:rsidR="002E3251" w:rsidRPr="002E3251" w14:paraId="6D0AFB6E" w14:textId="77777777" w:rsidTr="002E3251">
        <w:tc>
          <w:tcPr>
            <w:tcW w:w="0" w:type="auto"/>
            <w:hideMark/>
          </w:tcPr>
          <w:p w14:paraId="72F2C305" w14:textId="77777777" w:rsidR="002E3251" w:rsidRPr="002E3251" w:rsidRDefault="002E3251" w:rsidP="002E3251">
            <w:pPr>
              <w:jc w:val="both"/>
              <w:rPr>
                <w:rFonts w:ascii="Arial" w:hAnsi="Arial" w:cs="Arial"/>
              </w:rPr>
            </w:pPr>
            <w:r w:rsidRPr="002E3251">
              <w:rPr>
                <w:rFonts w:ascii="Arial" w:hAnsi="Arial" w:cs="Arial"/>
              </w:rPr>
              <w:t>Sustainability slogan</w:t>
            </w:r>
          </w:p>
        </w:tc>
        <w:tc>
          <w:tcPr>
            <w:tcW w:w="0" w:type="auto"/>
            <w:hideMark/>
          </w:tcPr>
          <w:p w14:paraId="66307BD1" w14:textId="77777777" w:rsidR="002E3251" w:rsidRPr="002E3251" w:rsidRDefault="002E3251" w:rsidP="002E3251">
            <w:pPr>
              <w:jc w:val="both"/>
              <w:rPr>
                <w:rFonts w:ascii="Arial" w:hAnsi="Arial" w:cs="Arial"/>
              </w:rPr>
            </w:pPr>
            <w:r w:rsidRPr="002E3251">
              <w:rPr>
                <w:rFonts w:ascii="Arial" w:hAnsi="Arial" w:cs="Arial"/>
              </w:rPr>
              <w:t>Use of vague words like “eco”, “green”, “planet-friendly”</w:t>
            </w:r>
          </w:p>
        </w:tc>
      </w:tr>
      <w:tr w:rsidR="002E3251" w:rsidRPr="002E3251" w14:paraId="0FD6F994" w14:textId="77777777" w:rsidTr="002E3251">
        <w:tc>
          <w:tcPr>
            <w:tcW w:w="0" w:type="auto"/>
            <w:hideMark/>
          </w:tcPr>
          <w:p w14:paraId="595CAA7D" w14:textId="77777777" w:rsidR="002E3251" w:rsidRPr="002E3251" w:rsidRDefault="002E3251" w:rsidP="002E3251">
            <w:pPr>
              <w:jc w:val="both"/>
              <w:rPr>
                <w:rFonts w:ascii="Arial" w:hAnsi="Arial" w:cs="Arial"/>
              </w:rPr>
            </w:pPr>
            <w:r w:rsidRPr="002E3251">
              <w:rPr>
                <w:rFonts w:ascii="Arial" w:hAnsi="Arial" w:cs="Arial"/>
              </w:rPr>
              <w:t>Lack of data</w:t>
            </w:r>
          </w:p>
        </w:tc>
        <w:tc>
          <w:tcPr>
            <w:tcW w:w="0" w:type="auto"/>
            <w:hideMark/>
          </w:tcPr>
          <w:p w14:paraId="53055D3E" w14:textId="77777777" w:rsidR="002E3251" w:rsidRPr="002E3251" w:rsidRDefault="002E3251" w:rsidP="002E3251">
            <w:pPr>
              <w:jc w:val="both"/>
              <w:rPr>
                <w:rFonts w:ascii="Arial" w:hAnsi="Arial" w:cs="Arial"/>
              </w:rPr>
            </w:pPr>
            <w:r w:rsidRPr="002E3251">
              <w:rPr>
                <w:rFonts w:ascii="Arial" w:hAnsi="Arial" w:cs="Arial"/>
              </w:rPr>
              <w:t>No clear numbers or proof given</w:t>
            </w:r>
          </w:p>
        </w:tc>
      </w:tr>
      <w:tr w:rsidR="002E3251" w:rsidRPr="002E3251" w14:paraId="280E9778" w14:textId="77777777" w:rsidTr="002E3251">
        <w:tc>
          <w:tcPr>
            <w:tcW w:w="0" w:type="auto"/>
            <w:hideMark/>
          </w:tcPr>
          <w:p w14:paraId="45316560" w14:textId="77777777" w:rsidR="002E3251" w:rsidRPr="002E3251" w:rsidRDefault="002E3251" w:rsidP="002E3251">
            <w:pPr>
              <w:jc w:val="both"/>
              <w:rPr>
                <w:rFonts w:ascii="Arial" w:hAnsi="Arial" w:cs="Arial"/>
              </w:rPr>
            </w:pPr>
            <w:r w:rsidRPr="002E3251">
              <w:rPr>
                <w:rFonts w:ascii="Arial" w:hAnsi="Arial" w:cs="Arial"/>
              </w:rPr>
              <w:t>Moral language</w:t>
            </w:r>
          </w:p>
        </w:tc>
        <w:tc>
          <w:tcPr>
            <w:tcW w:w="0" w:type="auto"/>
            <w:hideMark/>
          </w:tcPr>
          <w:p w14:paraId="130B0013" w14:textId="77777777" w:rsidR="002E3251" w:rsidRPr="002E3251" w:rsidRDefault="002E3251" w:rsidP="002E3251">
            <w:pPr>
              <w:jc w:val="both"/>
              <w:rPr>
                <w:rFonts w:ascii="Arial" w:hAnsi="Arial" w:cs="Arial"/>
              </w:rPr>
            </w:pPr>
            <w:r w:rsidRPr="002E3251">
              <w:rPr>
                <w:rFonts w:ascii="Arial" w:hAnsi="Arial" w:cs="Arial"/>
              </w:rPr>
              <w:t>Words like “responsibility”, “duty”, “future generations”</w:t>
            </w:r>
          </w:p>
        </w:tc>
      </w:tr>
      <w:tr w:rsidR="002E3251" w:rsidRPr="002E3251" w14:paraId="24331F82" w14:textId="77777777" w:rsidTr="002E3251">
        <w:tc>
          <w:tcPr>
            <w:tcW w:w="0" w:type="auto"/>
            <w:hideMark/>
          </w:tcPr>
          <w:p w14:paraId="52D5A3C5" w14:textId="77777777" w:rsidR="002E3251" w:rsidRPr="002E3251" w:rsidRDefault="002E3251" w:rsidP="002E3251">
            <w:pPr>
              <w:jc w:val="both"/>
              <w:rPr>
                <w:rFonts w:ascii="Arial" w:hAnsi="Arial" w:cs="Arial"/>
              </w:rPr>
            </w:pPr>
            <w:r w:rsidRPr="002E3251">
              <w:rPr>
                <w:rFonts w:ascii="Arial" w:hAnsi="Arial" w:cs="Arial"/>
              </w:rPr>
              <w:t>Corporate virtue</w:t>
            </w:r>
          </w:p>
        </w:tc>
        <w:tc>
          <w:tcPr>
            <w:tcW w:w="0" w:type="auto"/>
            <w:hideMark/>
          </w:tcPr>
          <w:p w14:paraId="68F899DA" w14:textId="77777777" w:rsidR="002E3251" w:rsidRPr="002E3251" w:rsidRDefault="002E3251" w:rsidP="002E3251">
            <w:pPr>
              <w:jc w:val="both"/>
              <w:rPr>
                <w:rFonts w:ascii="Arial" w:hAnsi="Arial" w:cs="Arial"/>
              </w:rPr>
            </w:pPr>
            <w:r w:rsidRPr="002E3251">
              <w:rPr>
                <w:rFonts w:ascii="Arial" w:hAnsi="Arial" w:cs="Arial"/>
              </w:rPr>
              <w:t>Brand claims to be ethical leader</w:t>
            </w:r>
          </w:p>
        </w:tc>
      </w:tr>
      <w:tr w:rsidR="002E3251" w:rsidRPr="002E3251" w14:paraId="49B1A494" w14:textId="77777777" w:rsidTr="002E3251">
        <w:tc>
          <w:tcPr>
            <w:tcW w:w="0" w:type="auto"/>
            <w:hideMark/>
          </w:tcPr>
          <w:p w14:paraId="584C7380" w14:textId="77777777" w:rsidR="002E3251" w:rsidRPr="002E3251" w:rsidRDefault="002E3251" w:rsidP="002E3251">
            <w:pPr>
              <w:jc w:val="both"/>
              <w:rPr>
                <w:rFonts w:ascii="Arial" w:hAnsi="Arial" w:cs="Arial"/>
              </w:rPr>
            </w:pPr>
            <w:r w:rsidRPr="002E3251">
              <w:rPr>
                <w:rFonts w:ascii="Arial" w:hAnsi="Arial" w:cs="Arial"/>
              </w:rPr>
              <w:t>Lifestyle aesthetic</w:t>
            </w:r>
          </w:p>
        </w:tc>
        <w:tc>
          <w:tcPr>
            <w:tcW w:w="0" w:type="auto"/>
            <w:hideMark/>
          </w:tcPr>
          <w:p w14:paraId="07F7D4F6" w14:textId="77777777" w:rsidR="002E3251" w:rsidRPr="002E3251" w:rsidRDefault="002E3251" w:rsidP="002E3251">
            <w:pPr>
              <w:jc w:val="both"/>
              <w:rPr>
                <w:rFonts w:ascii="Arial" w:hAnsi="Arial" w:cs="Arial"/>
              </w:rPr>
            </w:pPr>
            <w:r w:rsidRPr="002E3251">
              <w:rPr>
                <w:rFonts w:ascii="Arial" w:hAnsi="Arial" w:cs="Arial"/>
              </w:rPr>
              <w:t>Sustainability shown as stylish/luxury</w:t>
            </w:r>
          </w:p>
        </w:tc>
      </w:tr>
    </w:tbl>
    <w:p w14:paraId="09A3F3CB" w14:textId="77777777" w:rsidR="002E3251" w:rsidRDefault="002E3251" w:rsidP="00E74F08">
      <w:pPr>
        <w:jc w:val="both"/>
        <w:rPr>
          <w:rFonts w:ascii="Arial" w:hAnsi="Arial" w:cs="Arial"/>
        </w:rPr>
      </w:pPr>
    </w:p>
    <w:p w14:paraId="470376C4" w14:textId="77777777" w:rsidR="002E3251" w:rsidRPr="00E74F08" w:rsidRDefault="002E3251" w:rsidP="00E74F08">
      <w:pPr>
        <w:jc w:val="both"/>
        <w:rPr>
          <w:rFonts w:ascii="Arial" w:hAnsi="Arial" w:cs="Arial"/>
        </w:rPr>
      </w:pPr>
    </w:p>
    <w:p w14:paraId="1EB84FA3" w14:textId="26EE3639" w:rsidR="00E74F08" w:rsidRDefault="00E74F08" w:rsidP="00E74F08">
      <w:pPr>
        <w:jc w:val="both"/>
        <w:rPr>
          <w:rFonts w:ascii="Arial" w:hAnsi="Arial" w:cs="Arial"/>
        </w:rPr>
      </w:pPr>
      <w:r w:rsidRPr="00E74F08">
        <w:rPr>
          <w:rFonts w:ascii="Arial" w:hAnsi="Arial" w:cs="Arial"/>
        </w:rPr>
        <w:t xml:space="preserve">3. Thematic Abstraction: Through iterative refinement, </w:t>
      </w:r>
      <w:r w:rsidR="002E3251">
        <w:rPr>
          <w:rFonts w:ascii="Arial" w:hAnsi="Arial" w:cs="Arial"/>
        </w:rPr>
        <w:t>t</w:t>
      </w:r>
      <w:r w:rsidR="002E3251" w:rsidRPr="002E3251">
        <w:rPr>
          <w:rFonts w:ascii="Arial" w:hAnsi="Arial" w:cs="Arial"/>
        </w:rPr>
        <w:t>hese initial codes were later grouped into three broader frames: Empowered Individual Action, Redemptive Consumption, and Corporate Allyship.</w:t>
      </w:r>
    </w:p>
    <w:p w14:paraId="1FD3DF9B" w14:textId="77777777" w:rsidR="00E74F08" w:rsidRPr="00E74F08" w:rsidRDefault="00E74F08" w:rsidP="00E74F08">
      <w:pPr>
        <w:jc w:val="both"/>
        <w:rPr>
          <w:rFonts w:ascii="Arial" w:hAnsi="Arial" w:cs="Arial"/>
        </w:rPr>
      </w:pPr>
    </w:p>
    <w:p w14:paraId="1E360A6A" w14:textId="77777777" w:rsidR="00E74F08" w:rsidRDefault="00E74F08" w:rsidP="00E74F08">
      <w:pPr>
        <w:rPr>
          <w:rFonts w:ascii="Times New Roman" w:hAnsi="Times New Roman"/>
          <w:b/>
          <w:bCs/>
          <w:i/>
          <w:iCs/>
        </w:rPr>
      </w:pPr>
      <w:r w:rsidRPr="00E57DD9">
        <w:rPr>
          <w:rFonts w:ascii="Times New Roman" w:hAnsi="Times New Roman"/>
          <w:b/>
          <w:bCs/>
          <w:i/>
          <w:iCs/>
        </w:rPr>
        <w:t>Empowered Individual Action: Frames that position the consumer as a capable change-maker whose choices directly impact the planet.</w:t>
      </w:r>
    </w:p>
    <w:p w14:paraId="1A3A3477" w14:textId="77777777" w:rsidR="00E74F08" w:rsidRPr="00E57DD9" w:rsidRDefault="00E74F08" w:rsidP="00E74F08">
      <w:pPr>
        <w:rPr>
          <w:rFonts w:ascii="Times New Roman" w:hAnsi="Times New Roman"/>
          <w:b/>
          <w:bCs/>
          <w:i/>
          <w:iCs/>
        </w:rPr>
      </w:pPr>
    </w:p>
    <w:p w14:paraId="45FB764C" w14:textId="77777777" w:rsidR="00E74F08" w:rsidRDefault="00E74F08" w:rsidP="00E74F08">
      <w:pPr>
        <w:rPr>
          <w:rFonts w:ascii="Times New Roman" w:hAnsi="Times New Roman"/>
          <w:b/>
          <w:bCs/>
          <w:i/>
          <w:iCs/>
        </w:rPr>
      </w:pPr>
      <w:r w:rsidRPr="00E57DD9">
        <w:rPr>
          <w:rFonts w:ascii="Times New Roman" w:hAnsi="Times New Roman"/>
          <w:b/>
          <w:bCs/>
          <w:i/>
          <w:iCs/>
        </w:rPr>
        <w:t>Redemptive Consumption: Narratives that equate purchasing or brand loyalty with moral redemption and environmental contribution.</w:t>
      </w:r>
    </w:p>
    <w:p w14:paraId="5AF61CDF" w14:textId="77777777" w:rsidR="00E74F08" w:rsidRPr="00E57DD9" w:rsidRDefault="00E74F08" w:rsidP="00E74F08">
      <w:pPr>
        <w:rPr>
          <w:rFonts w:ascii="Times New Roman" w:hAnsi="Times New Roman"/>
          <w:b/>
          <w:bCs/>
          <w:i/>
          <w:iCs/>
        </w:rPr>
      </w:pPr>
    </w:p>
    <w:p w14:paraId="2EBE79FE" w14:textId="77777777" w:rsidR="00E74F08" w:rsidRPr="00E57DD9" w:rsidRDefault="00E74F08" w:rsidP="00E74F08">
      <w:pPr>
        <w:rPr>
          <w:rFonts w:ascii="Times New Roman" w:hAnsi="Times New Roman"/>
          <w:b/>
          <w:bCs/>
          <w:i/>
          <w:iCs/>
        </w:rPr>
      </w:pPr>
      <w:r w:rsidRPr="00E57DD9">
        <w:rPr>
          <w:rFonts w:ascii="Times New Roman" w:hAnsi="Times New Roman"/>
          <w:b/>
          <w:bCs/>
          <w:i/>
          <w:iCs/>
        </w:rPr>
        <w:t xml:space="preserve">Corporate </w:t>
      </w:r>
      <w:proofErr w:type="spellStart"/>
      <w:r w:rsidRPr="00E57DD9">
        <w:rPr>
          <w:rFonts w:ascii="Times New Roman" w:hAnsi="Times New Roman"/>
          <w:b/>
          <w:bCs/>
          <w:i/>
          <w:iCs/>
        </w:rPr>
        <w:t>Allyship</w:t>
      </w:r>
      <w:proofErr w:type="spellEnd"/>
      <w:r w:rsidRPr="00E57DD9">
        <w:rPr>
          <w:rFonts w:ascii="Times New Roman" w:hAnsi="Times New Roman"/>
          <w:b/>
          <w:bCs/>
          <w:i/>
          <w:iCs/>
        </w:rPr>
        <w:t xml:space="preserve"> and Virtue </w:t>
      </w:r>
      <w:proofErr w:type="spellStart"/>
      <w:r w:rsidRPr="00E57DD9">
        <w:rPr>
          <w:rFonts w:ascii="Times New Roman" w:hAnsi="Times New Roman"/>
          <w:b/>
          <w:bCs/>
          <w:i/>
          <w:iCs/>
        </w:rPr>
        <w:t>Signalling</w:t>
      </w:r>
      <w:proofErr w:type="spellEnd"/>
      <w:r w:rsidRPr="00E57DD9">
        <w:rPr>
          <w:rFonts w:ascii="Times New Roman" w:hAnsi="Times New Roman"/>
          <w:b/>
          <w:bCs/>
          <w:i/>
          <w:iCs/>
        </w:rPr>
        <w:t>: Frames that present the corporation as a socially conscious ally or moral leader while subtly promoting brand image.</w:t>
      </w:r>
    </w:p>
    <w:p w14:paraId="5C5ADD17" w14:textId="77777777" w:rsidR="00E74F08" w:rsidRDefault="00E74F08" w:rsidP="00E74F08">
      <w:pPr>
        <w:rPr>
          <w:rFonts w:ascii="Times New Roman" w:hAnsi="Times New Roman"/>
          <w:b/>
          <w:bCs/>
          <w:sz w:val="28"/>
          <w:szCs w:val="28"/>
          <w:u w:val="single"/>
        </w:rPr>
      </w:pPr>
    </w:p>
    <w:p w14:paraId="24E090B3" w14:textId="77777777" w:rsidR="009A50FB" w:rsidRDefault="009A50FB" w:rsidP="009A50FB">
      <w:pPr>
        <w:pStyle w:val="Head1"/>
        <w:spacing w:after="0"/>
        <w:jc w:val="both"/>
        <w:rPr>
          <w:rFonts w:ascii="Arial" w:hAnsi="Arial" w:cs="Arial"/>
        </w:rPr>
      </w:pPr>
      <w:r>
        <w:rPr>
          <w:rFonts w:ascii="Arial" w:hAnsi="Arial" w:cs="Arial"/>
        </w:rPr>
        <w:t>3. results and discussion</w:t>
      </w:r>
    </w:p>
    <w:p w14:paraId="561BF898" w14:textId="77777777" w:rsidR="009A50FB" w:rsidRPr="00FB3A86" w:rsidRDefault="009A50FB" w:rsidP="009A50FB">
      <w:pPr>
        <w:pStyle w:val="Head1"/>
        <w:spacing w:after="0"/>
        <w:jc w:val="both"/>
        <w:rPr>
          <w:rFonts w:ascii="Arial" w:hAnsi="Arial" w:cs="Arial"/>
        </w:rPr>
      </w:pPr>
    </w:p>
    <w:p w14:paraId="0A1CC9B2" w14:textId="77777777" w:rsidR="009A50FB" w:rsidRDefault="009A50FB" w:rsidP="009A50FB">
      <w:pPr>
        <w:rPr>
          <w:rFonts w:ascii="Arial" w:hAnsi="Arial" w:cs="Arial"/>
        </w:rPr>
      </w:pPr>
      <w:r w:rsidRPr="009A50FB">
        <w:rPr>
          <w:rFonts w:ascii="Arial" w:hAnsi="Arial" w:cs="Arial"/>
          <w:b/>
          <w:bCs/>
          <w:i/>
          <w:iCs/>
        </w:rPr>
        <w:t xml:space="preserve">4.1- Overview of Content Analysis </w:t>
      </w:r>
      <w:r w:rsidRPr="009A50FB">
        <w:rPr>
          <w:rFonts w:ascii="Arial" w:hAnsi="Arial" w:cs="Arial"/>
        </w:rPr>
        <w:t>–</w:t>
      </w:r>
    </w:p>
    <w:p w14:paraId="484E90D9" w14:textId="75948CD9" w:rsidR="008A3626" w:rsidRPr="009A50FB" w:rsidRDefault="008A3626" w:rsidP="009A50FB">
      <w:pPr>
        <w:rPr>
          <w:rFonts w:ascii="Arial" w:hAnsi="Arial" w:cs="Arial"/>
        </w:rPr>
      </w:pPr>
      <w:bookmarkStart w:id="1" w:name="_Hlk218258289"/>
      <w:r>
        <w:rPr>
          <w:rFonts w:ascii="Arial" w:hAnsi="Arial" w:cs="Arial"/>
        </w:rPr>
        <w:t>Table 1</w:t>
      </w:r>
      <w:r w:rsidR="005E571A">
        <w:rPr>
          <w:rFonts w:ascii="Arial" w:hAnsi="Arial" w:cs="Arial"/>
        </w:rPr>
        <w:t>.</w:t>
      </w:r>
      <w:r w:rsidR="00877D5E">
        <w:rPr>
          <w:rFonts w:ascii="Arial" w:hAnsi="Arial" w:cs="Arial"/>
        </w:rPr>
        <w:t xml:space="preserve"> </w:t>
      </w:r>
      <w:r w:rsidR="00862175">
        <w:rPr>
          <w:rFonts w:ascii="Arial" w:hAnsi="Arial" w:cs="Arial"/>
        </w:rPr>
        <w:t>C</w:t>
      </w:r>
      <w:r w:rsidR="00877D5E">
        <w:rPr>
          <w:rFonts w:ascii="Arial" w:hAnsi="Arial" w:cs="Arial"/>
        </w:rPr>
        <w:t>ontent analysis</w:t>
      </w:r>
      <w:r w:rsidR="007812CB">
        <w:rPr>
          <w:rFonts w:ascii="Arial" w:hAnsi="Arial" w:cs="Arial"/>
        </w:rPr>
        <w:t xml:space="preserve"> of C</w:t>
      </w:r>
      <w:r w:rsidR="007812CB" w:rsidRPr="00877D5E">
        <w:rPr>
          <w:rFonts w:ascii="Arial" w:hAnsi="Arial" w:cs="Arial"/>
        </w:rPr>
        <w:t xml:space="preserve">orporate advertising campaigns </w:t>
      </w:r>
    </w:p>
    <w:bookmarkEnd w:id="1"/>
    <w:p w14:paraId="0D72696A" w14:textId="77777777" w:rsidR="00E66E10" w:rsidRDefault="00E66E10" w:rsidP="00441B6F">
      <w:pPr>
        <w:pStyle w:val="Body"/>
        <w:spacing w:after="0"/>
        <w:rPr>
          <w:rFonts w:ascii="Arial" w:hAnsi="Arial" w:cs="Arial"/>
        </w:rPr>
      </w:pPr>
    </w:p>
    <w:tbl>
      <w:tblPr>
        <w:tblStyle w:val="ListTable1Light"/>
        <w:tblpPr w:leftFromText="180" w:rightFromText="180" w:vertAnchor="text" w:horzAnchor="page" w:tblpX="1237" w:tblpY="52"/>
        <w:tblW w:w="10710" w:type="dxa"/>
        <w:tblLook w:val="04A0" w:firstRow="1" w:lastRow="0" w:firstColumn="1" w:lastColumn="0" w:noHBand="0" w:noVBand="1"/>
      </w:tblPr>
      <w:tblGrid>
        <w:gridCol w:w="585"/>
        <w:gridCol w:w="2030"/>
        <w:gridCol w:w="661"/>
        <w:gridCol w:w="1250"/>
        <w:gridCol w:w="1164"/>
        <w:gridCol w:w="1500"/>
        <w:gridCol w:w="1520"/>
        <w:gridCol w:w="2000"/>
      </w:tblGrid>
      <w:tr w:rsidR="009A50FB" w:rsidRPr="00D979AB" w14:paraId="54AD1EA9" w14:textId="77777777" w:rsidTr="009A5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7942C060" w14:textId="77777777" w:rsidR="009A50FB" w:rsidRPr="009A50FB" w:rsidRDefault="009A50FB" w:rsidP="009A50FB">
            <w:pPr>
              <w:spacing w:line="276" w:lineRule="auto"/>
              <w:jc w:val="center"/>
              <w:rPr>
                <w:rFonts w:ascii="Arial" w:hAnsi="Arial" w:cs="Arial"/>
                <w:b w:val="0"/>
                <w:bCs w:val="0"/>
              </w:rPr>
            </w:pPr>
            <w:r w:rsidRPr="009A50FB">
              <w:rPr>
                <w:rFonts w:ascii="Arial" w:hAnsi="Arial" w:cs="Arial"/>
              </w:rPr>
              <w:t>No.</w:t>
            </w:r>
          </w:p>
        </w:tc>
        <w:tc>
          <w:tcPr>
            <w:tcW w:w="2030" w:type="dxa"/>
            <w:hideMark/>
          </w:tcPr>
          <w:p w14:paraId="10DB1DE9"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Brand / Campaign Title</w:t>
            </w:r>
          </w:p>
        </w:tc>
        <w:tc>
          <w:tcPr>
            <w:tcW w:w="638" w:type="dxa"/>
            <w:hideMark/>
          </w:tcPr>
          <w:p w14:paraId="41173103"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Year</w:t>
            </w:r>
          </w:p>
        </w:tc>
        <w:tc>
          <w:tcPr>
            <w:tcW w:w="1213" w:type="dxa"/>
            <w:hideMark/>
          </w:tcPr>
          <w:p w14:paraId="31C010DD"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Industry</w:t>
            </w:r>
          </w:p>
        </w:tc>
        <w:tc>
          <w:tcPr>
            <w:tcW w:w="0" w:type="auto"/>
            <w:hideMark/>
          </w:tcPr>
          <w:p w14:paraId="3053C0C8"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Platform (Online / Offline)</w:t>
            </w:r>
          </w:p>
        </w:tc>
        <w:tc>
          <w:tcPr>
            <w:tcW w:w="0" w:type="auto"/>
            <w:hideMark/>
          </w:tcPr>
          <w:p w14:paraId="181791F9"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Primary Theme</w:t>
            </w:r>
          </w:p>
        </w:tc>
        <w:tc>
          <w:tcPr>
            <w:tcW w:w="0" w:type="auto"/>
            <w:hideMark/>
          </w:tcPr>
          <w:p w14:paraId="5B47C4B6"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Emotional Appeal</w:t>
            </w:r>
          </w:p>
        </w:tc>
        <w:tc>
          <w:tcPr>
            <w:tcW w:w="2000" w:type="dxa"/>
            <w:hideMark/>
          </w:tcPr>
          <w:p w14:paraId="6B52705A"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Geographic Focus</w:t>
            </w:r>
          </w:p>
        </w:tc>
      </w:tr>
      <w:tr w:rsidR="009A50FB" w:rsidRPr="00D979AB" w14:paraId="24F2F474"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107E1DE0" w14:textId="77777777" w:rsidR="009A50FB" w:rsidRPr="009A50FB" w:rsidRDefault="009A50FB" w:rsidP="009A50FB">
            <w:pPr>
              <w:spacing w:line="276" w:lineRule="auto"/>
              <w:rPr>
                <w:rFonts w:ascii="Arial" w:hAnsi="Arial" w:cs="Arial"/>
              </w:rPr>
            </w:pPr>
            <w:r w:rsidRPr="009A50FB">
              <w:rPr>
                <w:rFonts w:ascii="Arial" w:hAnsi="Arial" w:cs="Arial"/>
              </w:rPr>
              <w:t>1</w:t>
            </w:r>
          </w:p>
        </w:tc>
        <w:tc>
          <w:tcPr>
            <w:tcW w:w="2030" w:type="dxa"/>
            <w:hideMark/>
          </w:tcPr>
          <w:p w14:paraId="514CE41B"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Levi’s – “Buy Better, Wear Longer”</w:t>
            </w:r>
          </w:p>
        </w:tc>
        <w:tc>
          <w:tcPr>
            <w:tcW w:w="638" w:type="dxa"/>
            <w:hideMark/>
          </w:tcPr>
          <w:p w14:paraId="0DD7AF76"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2021</w:t>
            </w:r>
          </w:p>
        </w:tc>
        <w:tc>
          <w:tcPr>
            <w:tcW w:w="1213" w:type="dxa"/>
            <w:hideMark/>
          </w:tcPr>
          <w:p w14:paraId="2672F891"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Fashion</w:t>
            </w:r>
          </w:p>
        </w:tc>
        <w:tc>
          <w:tcPr>
            <w:tcW w:w="0" w:type="auto"/>
            <w:hideMark/>
          </w:tcPr>
          <w:p w14:paraId="23B69D15"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Online &amp; TV</w:t>
            </w:r>
          </w:p>
        </w:tc>
        <w:tc>
          <w:tcPr>
            <w:tcW w:w="0" w:type="auto"/>
            <w:hideMark/>
          </w:tcPr>
          <w:p w14:paraId="2FB4F044"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Responsible consumption</w:t>
            </w:r>
          </w:p>
        </w:tc>
        <w:tc>
          <w:tcPr>
            <w:tcW w:w="0" w:type="auto"/>
            <w:hideMark/>
          </w:tcPr>
          <w:p w14:paraId="4B723F0A"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Empowerment</w:t>
            </w:r>
          </w:p>
        </w:tc>
        <w:tc>
          <w:tcPr>
            <w:tcW w:w="2000" w:type="dxa"/>
            <w:hideMark/>
          </w:tcPr>
          <w:p w14:paraId="78E93068"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30A0BF25" w14:textId="77777777" w:rsidTr="009A50FB">
        <w:tc>
          <w:tcPr>
            <w:cnfStyle w:val="001000000000" w:firstRow="0" w:lastRow="0" w:firstColumn="1" w:lastColumn="0" w:oddVBand="0" w:evenVBand="0" w:oddHBand="0" w:evenHBand="0" w:firstRowFirstColumn="0" w:firstRowLastColumn="0" w:lastRowFirstColumn="0" w:lastRowLastColumn="0"/>
            <w:tcW w:w="585" w:type="dxa"/>
            <w:hideMark/>
          </w:tcPr>
          <w:p w14:paraId="1798C48F" w14:textId="77777777" w:rsidR="009A50FB" w:rsidRPr="009A50FB" w:rsidRDefault="009A50FB" w:rsidP="009A50FB">
            <w:pPr>
              <w:spacing w:line="276" w:lineRule="auto"/>
              <w:rPr>
                <w:rFonts w:ascii="Arial" w:hAnsi="Arial" w:cs="Arial"/>
              </w:rPr>
            </w:pPr>
            <w:r w:rsidRPr="009A50FB">
              <w:rPr>
                <w:rFonts w:ascii="Arial" w:hAnsi="Arial" w:cs="Arial"/>
              </w:rPr>
              <w:t>2</w:t>
            </w:r>
          </w:p>
        </w:tc>
        <w:tc>
          <w:tcPr>
            <w:tcW w:w="2030" w:type="dxa"/>
            <w:hideMark/>
          </w:tcPr>
          <w:p w14:paraId="5AB9613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b/>
                <w:bCs/>
              </w:rPr>
              <w:t>Nike – “Move to Zero”</w:t>
            </w:r>
          </w:p>
        </w:tc>
        <w:tc>
          <w:tcPr>
            <w:tcW w:w="638" w:type="dxa"/>
            <w:hideMark/>
          </w:tcPr>
          <w:p w14:paraId="14D253F8"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2022</w:t>
            </w:r>
          </w:p>
        </w:tc>
        <w:tc>
          <w:tcPr>
            <w:tcW w:w="1213" w:type="dxa"/>
            <w:hideMark/>
          </w:tcPr>
          <w:p w14:paraId="63EC094A"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Sportswear</w:t>
            </w:r>
          </w:p>
        </w:tc>
        <w:tc>
          <w:tcPr>
            <w:tcW w:w="0" w:type="auto"/>
            <w:hideMark/>
          </w:tcPr>
          <w:p w14:paraId="712D3E9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Digital / Print</w:t>
            </w:r>
          </w:p>
        </w:tc>
        <w:tc>
          <w:tcPr>
            <w:tcW w:w="0" w:type="auto"/>
            <w:hideMark/>
          </w:tcPr>
          <w:p w14:paraId="6FC5FC9E"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Carbon neutrality &amp; circularity</w:t>
            </w:r>
          </w:p>
        </w:tc>
        <w:tc>
          <w:tcPr>
            <w:tcW w:w="0" w:type="auto"/>
            <w:hideMark/>
          </w:tcPr>
          <w:p w14:paraId="19791F3B"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Hope</w:t>
            </w:r>
          </w:p>
        </w:tc>
        <w:tc>
          <w:tcPr>
            <w:tcW w:w="2000" w:type="dxa"/>
            <w:hideMark/>
          </w:tcPr>
          <w:p w14:paraId="56AFC837"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794C7DEF"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21D1CE21" w14:textId="77777777" w:rsidR="009A50FB" w:rsidRPr="009A50FB" w:rsidRDefault="009A50FB" w:rsidP="009A50FB">
            <w:pPr>
              <w:spacing w:line="276" w:lineRule="auto"/>
              <w:rPr>
                <w:rFonts w:ascii="Arial" w:hAnsi="Arial" w:cs="Arial"/>
              </w:rPr>
            </w:pPr>
            <w:r w:rsidRPr="009A50FB">
              <w:rPr>
                <w:rFonts w:ascii="Arial" w:hAnsi="Arial" w:cs="Arial"/>
              </w:rPr>
              <w:t>3</w:t>
            </w:r>
          </w:p>
        </w:tc>
        <w:tc>
          <w:tcPr>
            <w:tcW w:w="2030" w:type="dxa"/>
            <w:hideMark/>
          </w:tcPr>
          <w:p w14:paraId="08DD79BF"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Apple – “Mother Nature”</w:t>
            </w:r>
          </w:p>
        </w:tc>
        <w:tc>
          <w:tcPr>
            <w:tcW w:w="638" w:type="dxa"/>
            <w:hideMark/>
          </w:tcPr>
          <w:p w14:paraId="339438E1"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2023</w:t>
            </w:r>
          </w:p>
        </w:tc>
        <w:tc>
          <w:tcPr>
            <w:tcW w:w="1213" w:type="dxa"/>
            <w:hideMark/>
          </w:tcPr>
          <w:p w14:paraId="5856D4D2"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Technology</w:t>
            </w:r>
          </w:p>
        </w:tc>
        <w:tc>
          <w:tcPr>
            <w:tcW w:w="0" w:type="auto"/>
            <w:hideMark/>
          </w:tcPr>
          <w:p w14:paraId="162F6843"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Online / YouTube</w:t>
            </w:r>
          </w:p>
        </w:tc>
        <w:tc>
          <w:tcPr>
            <w:tcW w:w="0" w:type="auto"/>
            <w:hideMark/>
          </w:tcPr>
          <w:p w14:paraId="33BFA25D"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Corporate climate accountability</w:t>
            </w:r>
          </w:p>
        </w:tc>
        <w:tc>
          <w:tcPr>
            <w:tcW w:w="0" w:type="auto"/>
            <w:hideMark/>
          </w:tcPr>
          <w:p w14:paraId="59C4A353"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Humor</w:t>
            </w:r>
          </w:p>
        </w:tc>
        <w:tc>
          <w:tcPr>
            <w:tcW w:w="2000" w:type="dxa"/>
            <w:hideMark/>
          </w:tcPr>
          <w:p w14:paraId="67BA8350"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589B1435" w14:textId="77777777" w:rsidTr="009A50FB">
        <w:tc>
          <w:tcPr>
            <w:cnfStyle w:val="001000000000" w:firstRow="0" w:lastRow="0" w:firstColumn="1" w:lastColumn="0" w:oddVBand="0" w:evenVBand="0" w:oddHBand="0" w:evenHBand="0" w:firstRowFirstColumn="0" w:firstRowLastColumn="0" w:lastRowFirstColumn="0" w:lastRowLastColumn="0"/>
            <w:tcW w:w="585" w:type="dxa"/>
            <w:hideMark/>
          </w:tcPr>
          <w:p w14:paraId="06882CEB" w14:textId="77777777" w:rsidR="009A50FB" w:rsidRPr="009A50FB" w:rsidRDefault="009A50FB" w:rsidP="009A50FB">
            <w:pPr>
              <w:spacing w:line="276" w:lineRule="auto"/>
              <w:rPr>
                <w:rFonts w:ascii="Arial" w:hAnsi="Arial" w:cs="Arial"/>
              </w:rPr>
            </w:pPr>
            <w:r w:rsidRPr="009A50FB">
              <w:rPr>
                <w:rFonts w:ascii="Arial" w:hAnsi="Arial" w:cs="Arial"/>
              </w:rPr>
              <w:t>4</w:t>
            </w:r>
          </w:p>
        </w:tc>
        <w:tc>
          <w:tcPr>
            <w:tcW w:w="2030" w:type="dxa"/>
            <w:hideMark/>
          </w:tcPr>
          <w:p w14:paraId="312FE6D9"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b/>
                <w:bCs/>
              </w:rPr>
              <w:t>H&amp;M – “Conscious Collection”</w:t>
            </w:r>
          </w:p>
        </w:tc>
        <w:tc>
          <w:tcPr>
            <w:tcW w:w="638" w:type="dxa"/>
            <w:hideMark/>
          </w:tcPr>
          <w:p w14:paraId="15B7E482"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2022</w:t>
            </w:r>
          </w:p>
        </w:tc>
        <w:tc>
          <w:tcPr>
            <w:tcW w:w="1213" w:type="dxa"/>
            <w:hideMark/>
          </w:tcPr>
          <w:p w14:paraId="4AC60241"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Fashion</w:t>
            </w:r>
          </w:p>
        </w:tc>
        <w:tc>
          <w:tcPr>
            <w:tcW w:w="0" w:type="auto"/>
            <w:hideMark/>
          </w:tcPr>
          <w:p w14:paraId="295145D7"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Digital / Print</w:t>
            </w:r>
          </w:p>
        </w:tc>
        <w:tc>
          <w:tcPr>
            <w:tcW w:w="0" w:type="auto"/>
            <w:hideMark/>
          </w:tcPr>
          <w:p w14:paraId="2DF114DC"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Ethical fashion</w:t>
            </w:r>
          </w:p>
        </w:tc>
        <w:tc>
          <w:tcPr>
            <w:tcW w:w="0" w:type="auto"/>
            <w:hideMark/>
          </w:tcPr>
          <w:p w14:paraId="14BA07E7"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Guilt</w:t>
            </w:r>
          </w:p>
        </w:tc>
        <w:tc>
          <w:tcPr>
            <w:tcW w:w="2000" w:type="dxa"/>
            <w:hideMark/>
          </w:tcPr>
          <w:p w14:paraId="3FCDE37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56FB841F"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50630AE5" w14:textId="77777777" w:rsidR="009A50FB" w:rsidRPr="009A50FB" w:rsidRDefault="009A50FB" w:rsidP="009A50FB">
            <w:pPr>
              <w:spacing w:line="276" w:lineRule="auto"/>
              <w:rPr>
                <w:rFonts w:ascii="Arial" w:hAnsi="Arial" w:cs="Arial"/>
              </w:rPr>
            </w:pPr>
            <w:r w:rsidRPr="009A50FB">
              <w:rPr>
                <w:rFonts w:ascii="Arial" w:hAnsi="Arial" w:cs="Arial"/>
              </w:rPr>
              <w:t>5</w:t>
            </w:r>
          </w:p>
        </w:tc>
        <w:tc>
          <w:tcPr>
            <w:tcW w:w="2030" w:type="dxa"/>
            <w:hideMark/>
          </w:tcPr>
          <w:p w14:paraId="02A5E4A3"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Zara – “Join Life”</w:t>
            </w:r>
          </w:p>
        </w:tc>
        <w:tc>
          <w:tcPr>
            <w:tcW w:w="638" w:type="dxa"/>
            <w:hideMark/>
          </w:tcPr>
          <w:p w14:paraId="3140F4D7"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2023</w:t>
            </w:r>
          </w:p>
        </w:tc>
        <w:tc>
          <w:tcPr>
            <w:tcW w:w="1213" w:type="dxa"/>
            <w:hideMark/>
          </w:tcPr>
          <w:p w14:paraId="23FDBBB8"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Fashion</w:t>
            </w:r>
          </w:p>
        </w:tc>
        <w:tc>
          <w:tcPr>
            <w:tcW w:w="0" w:type="auto"/>
            <w:hideMark/>
          </w:tcPr>
          <w:p w14:paraId="581743A1"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Social Media / Store displays</w:t>
            </w:r>
          </w:p>
        </w:tc>
        <w:tc>
          <w:tcPr>
            <w:tcW w:w="0" w:type="auto"/>
            <w:hideMark/>
          </w:tcPr>
          <w:p w14:paraId="0F8A63C3"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Recycling &amp; minimalism</w:t>
            </w:r>
          </w:p>
        </w:tc>
        <w:tc>
          <w:tcPr>
            <w:tcW w:w="0" w:type="auto"/>
            <w:hideMark/>
          </w:tcPr>
          <w:p w14:paraId="4B21F55F"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Relief</w:t>
            </w:r>
          </w:p>
        </w:tc>
        <w:tc>
          <w:tcPr>
            <w:tcW w:w="2000" w:type="dxa"/>
            <w:hideMark/>
          </w:tcPr>
          <w:p w14:paraId="70CF2CED"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Europe/Asia</w:t>
            </w:r>
          </w:p>
        </w:tc>
      </w:tr>
      <w:tr w:rsidR="009A50FB" w:rsidRPr="00D979AB" w14:paraId="28CCF193" w14:textId="77777777" w:rsidTr="009A50FB">
        <w:tc>
          <w:tcPr>
            <w:cnfStyle w:val="001000000000" w:firstRow="0" w:lastRow="0" w:firstColumn="1" w:lastColumn="0" w:oddVBand="0" w:evenVBand="0" w:oddHBand="0" w:evenHBand="0" w:firstRowFirstColumn="0" w:firstRowLastColumn="0" w:lastRowFirstColumn="0" w:lastRowLastColumn="0"/>
            <w:tcW w:w="585" w:type="dxa"/>
            <w:hideMark/>
          </w:tcPr>
          <w:p w14:paraId="0A087534" w14:textId="77777777" w:rsidR="009A50FB" w:rsidRPr="009A50FB" w:rsidRDefault="009A50FB" w:rsidP="009A50FB">
            <w:pPr>
              <w:spacing w:line="276" w:lineRule="auto"/>
              <w:rPr>
                <w:rFonts w:ascii="Arial" w:hAnsi="Arial" w:cs="Arial"/>
              </w:rPr>
            </w:pPr>
            <w:r w:rsidRPr="009A50FB">
              <w:rPr>
                <w:rFonts w:ascii="Arial" w:hAnsi="Arial" w:cs="Arial"/>
              </w:rPr>
              <w:t>6</w:t>
            </w:r>
          </w:p>
        </w:tc>
        <w:tc>
          <w:tcPr>
            <w:tcW w:w="2030" w:type="dxa"/>
            <w:hideMark/>
          </w:tcPr>
          <w:p w14:paraId="0184FA8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b/>
                <w:bCs/>
              </w:rPr>
              <w:t>IKEA – “Buy Back &amp; Resell”</w:t>
            </w:r>
          </w:p>
        </w:tc>
        <w:tc>
          <w:tcPr>
            <w:tcW w:w="638" w:type="dxa"/>
            <w:hideMark/>
          </w:tcPr>
          <w:p w14:paraId="658AB339"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2023</w:t>
            </w:r>
          </w:p>
        </w:tc>
        <w:tc>
          <w:tcPr>
            <w:tcW w:w="1213" w:type="dxa"/>
            <w:hideMark/>
          </w:tcPr>
          <w:p w14:paraId="150A90CA"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Retail</w:t>
            </w:r>
          </w:p>
        </w:tc>
        <w:tc>
          <w:tcPr>
            <w:tcW w:w="0" w:type="auto"/>
            <w:hideMark/>
          </w:tcPr>
          <w:p w14:paraId="516156B8"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TV / Digital</w:t>
            </w:r>
          </w:p>
        </w:tc>
        <w:tc>
          <w:tcPr>
            <w:tcW w:w="0" w:type="auto"/>
            <w:hideMark/>
          </w:tcPr>
          <w:p w14:paraId="1E48B9AC"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Furniture reuse &amp; repair</w:t>
            </w:r>
          </w:p>
        </w:tc>
        <w:tc>
          <w:tcPr>
            <w:tcW w:w="0" w:type="auto"/>
            <w:hideMark/>
          </w:tcPr>
          <w:p w14:paraId="6707B361"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Redemption</w:t>
            </w:r>
          </w:p>
        </w:tc>
        <w:tc>
          <w:tcPr>
            <w:tcW w:w="2000" w:type="dxa"/>
            <w:hideMark/>
          </w:tcPr>
          <w:p w14:paraId="2D797D69"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0CC35C80"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595C525E" w14:textId="77777777" w:rsidR="009A50FB" w:rsidRPr="009A50FB" w:rsidRDefault="009A50FB" w:rsidP="009A50FB">
            <w:pPr>
              <w:spacing w:line="276" w:lineRule="auto"/>
              <w:rPr>
                <w:rFonts w:ascii="Arial" w:hAnsi="Arial" w:cs="Arial"/>
              </w:rPr>
            </w:pPr>
            <w:r w:rsidRPr="009A50FB">
              <w:rPr>
                <w:rFonts w:ascii="Arial" w:hAnsi="Arial" w:cs="Arial"/>
              </w:rPr>
              <w:t>7</w:t>
            </w:r>
          </w:p>
        </w:tc>
        <w:tc>
          <w:tcPr>
            <w:tcW w:w="2030" w:type="dxa"/>
            <w:hideMark/>
          </w:tcPr>
          <w:p w14:paraId="45D0C24E"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Coca-Cola – “COP27 Partnership”</w:t>
            </w:r>
          </w:p>
        </w:tc>
        <w:tc>
          <w:tcPr>
            <w:tcW w:w="638" w:type="dxa"/>
            <w:hideMark/>
          </w:tcPr>
          <w:p w14:paraId="74BB0239"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2023</w:t>
            </w:r>
          </w:p>
        </w:tc>
        <w:tc>
          <w:tcPr>
            <w:tcW w:w="1213" w:type="dxa"/>
            <w:hideMark/>
          </w:tcPr>
          <w:p w14:paraId="45514762"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Beverages</w:t>
            </w:r>
          </w:p>
        </w:tc>
        <w:tc>
          <w:tcPr>
            <w:tcW w:w="0" w:type="auto"/>
            <w:hideMark/>
          </w:tcPr>
          <w:p w14:paraId="5A2C4C0C"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TV / Outdoor</w:t>
            </w:r>
          </w:p>
        </w:tc>
        <w:tc>
          <w:tcPr>
            <w:tcW w:w="0" w:type="auto"/>
            <w:hideMark/>
          </w:tcPr>
          <w:p w14:paraId="706E5334"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Climate partnership narrative</w:t>
            </w:r>
          </w:p>
        </w:tc>
        <w:tc>
          <w:tcPr>
            <w:tcW w:w="0" w:type="auto"/>
            <w:hideMark/>
          </w:tcPr>
          <w:p w14:paraId="537AF2D7"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Moral appeal</w:t>
            </w:r>
          </w:p>
        </w:tc>
        <w:tc>
          <w:tcPr>
            <w:tcW w:w="2000" w:type="dxa"/>
            <w:hideMark/>
          </w:tcPr>
          <w:p w14:paraId="2EC3132C"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0A30D2A7" w14:textId="77777777" w:rsidTr="009A50FB">
        <w:tc>
          <w:tcPr>
            <w:cnfStyle w:val="001000000000" w:firstRow="0" w:lastRow="0" w:firstColumn="1" w:lastColumn="0" w:oddVBand="0" w:evenVBand="0" w:oddHBand="0" w:evenHBand="0" w:firstRowFirstColumn="0" w:firstRowLastColumn="0" w:lastRowFirstColumn="0" w:lastRowLastColumn="0"/>
            <w:tcW w:w="585" w:type="dxa"/>
            <w:hideMark/>
          </w:tcPr>
          <w:p w14:paraId="3DC041FD" w14:textId="77777777" w:rsidR="009A50FB" w:rsidRPr="009A50FB" w:rsidRDefault="009A50FB" w:rsidP="009A50FB">
            <w:pPr>
              <w:spacing w:line="276" w:lineRule="auto"/>
              <w:rPr>
                <w:rFonts w:ascii="Arial" w:hAnsi="Arial" w:cs="Arial"/>
              </w:rPr>
            </w:pPr>
            <w:r w:rsidRPr="009A50FB">
              <w:rPr>
                <w:rFonts w:ascii="Arial" w:hAnsi="Arial" w:cs="Arial"/>
              </w:rPr>
              <w:t>8</w:t>
            </w:r>
          </w:p>
        </w:tc>
        <w:tc>
          <w:tcPr>
            <w:tcW w:w="2030" w:type="dxa"/>
            <w:hideMark/>
          </w:tcPr>
          <w:p w14:paraId="13B0563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b/>
                <w:bCs/>
              </w:rPr>
              <w:t>Unilever – “Sustainable Living Plan”</w:t>
            </w:r>
          </w:p>
        </w:tc>
        <w:tc>
          <w:tcPr>
            <w:tcW w:w="638" w:type="dxa"/>
            <w:hideMark/>
          </w:tcPr>
          <w:p w14:paraId="6EE729A7"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2022</w:t>
            </w:r>
          </w:p>
        </w:tc>
        <w:tc>
          <w:tcPr>
            <w:tcW w:w="1213" w:type="dxa"/>
            <w:hideMark/>
          </w:tcPr>
          <w:p w14:paraId="3535F10B"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FMCG</w:t>
            </w:r>
          </w:p>
        </w:tc>
        <w:tc>
          <w:tcPr>
            <w:tcW w:w="0" w:type="auto"/>
            <w:hideMark/>
          </w:tcPr>
          <w:p w14:paraId="716CF2C2"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TV / Digital</w:t>
            </w:r>
          </w:p>
        </w:tc>
        <w:tc>
          <w:tcPr>
            <w:tcW w:w="0" w:type="auto"/>
            <w:hideMark/>
          </w:tcPr>
          <w:p w14:paraId="7BA9EC6B"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Corporate leadership in sustainability</w:t>
            </w:r>
          </w:p>
        </w:tc>
        <w:tc>
          <w:tcPr>
            <w:tcW w:w="0" w:type="auto"/>
            <w:hideMark/>
          </w:tcPr>
          <w:p w14:paraId="40DFAD19"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Hope</w:t>
            </w:r>
          </w:p>
        </w:tc>
        <w:tc>
          <w:tcPr>
            <w:tcW w:w="2000" w:type="dxa"/>
            <w:hideMark/>
          </w:tcPr>
          <w:p w14:paraId="60006508"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2A953BBB"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0E0E15FB" w14:textId="77777777" w:rsidR="009A50FB" w:rsidRPr="009A50FB" w:rsidRDefault="009A50FB" w:rsidP="009A50FB">
            <w:pPr>
              <w:spacing w:line="276" w:lineRule="auto"/>
              <w:rPr>
                <w:rFonts w:ascii="Arial" w:hAnsi="Arial" w:cs="Arial"/>
              </w:rPr>
            </w:pPr>
            <w:r w:rsidRPr="009A50FB">
              <w:rPr>
                <w:rFonts w:ascii="Arial" w:hAnsi="Arial" w:cs="Arial"/>
              </w:rPr>
              <w:t>9</w:t>
            </w:r>
          </w:p>
        </w:tc>
        <w:tc>
          <w:tcPr>
            <w:tcW w:w="2030" w:type="dxa"/>
            <w:hideMark/>
          </w:tcPr>
          <w:p w14:paraId="4D6DF255"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SKIMS – “Eco Soft Collection” (Kim Kardashian)</w:t>
            </w:r>
          </w:p>
        </w:tc>
        <w:tc>
          <w:tcPr>
            <w:tcW w:w="638" w:type="dxa"/>
            <w:hideMark/>
          </w:tcPr>
          <w:p w14:paraId="0DF690E8"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2022</w:t>
            </w:r>
          </w:p>
        </w:tc>
        <w:tc>
          <w:tcPr>
            <w:tcW w:w="1213" w:type="dxa"/>
            <w:hideMark/>
          </w:tcPr>
          <w:p w14:paraId="4721C895"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Apparel</w:t>
            </w:r>
          </w:p>
        </w:tc>
        <w:tc>
          <w:tcPr>
            <w:tcW w:w="0" w:type="auto"/>
            <w:hideMark/>
          </w:tcPr>
          <w:p w14:paraId="7618CDB9"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Instagram / Web</w:t>
            </w:r>
          </w:p>
        </w:tc>
        <w:tc>
          <w:tcPr>
            <w:tcW w:w="0" w:type="auto"/>
            <w:hideMark/>
          </w:tcPr>
          <w:p w14:paraId="30992AFE"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Luxury eco-lifestyle</w:t>
            </w:r>
          </w:p>
        </w:tc>
        <w:tc>
          <w:tcPr>
            <w:tcW w:w="0" w:type="auto"/>
            <w:hideMark/>
          </w:tcPr>
          <w:p w14:paraId="7F13249E"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Aspiration</w:t>
            </w:r>
          </w:p>
        </w:tc>
        <w:tc>
          <w:tcPr>
            <w:tcW w:w="2000" w:type="dxa"/>
            <w:hideMark/>
          </w:tcPr>
          <w:p w14:paraId="1C70B324"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U.S.</w:t>
            </w:r>
          </w:p>
        </w:tc>
      </w:tr>
      <w:tr w:rsidR="009A50FB" w:rsidRPr="00D979AB" w14:paraId="52195FC4" w14:textId="77777777" w:rsidTr="009A50FB">
        <w:tc>
          <w:tcPr>
            <w:cnfStyle w:val="001000000000" w:firstRow="0" w:lastRow="0" w:firstColumn="1" w:lastColumn="0" w:oddVBand="0" w:evenVBand="0" w:oddHBand="0" w:evenHBand="0" w:firstRowFirstColumn="0" w:firstRowLastColumn="0" w:lastRowFirstColumn="0" w:lastRowLastColumn="0"/>
            <w:tcW w:w="585" w:type="dxa"/>
            <w:hideMark/>
          </w:tcPr>
          <w:p w14:paraId="3A212BA2" w14:textId="77777777" w:rsidR="009A50FB" w:rsidRPr="009A50FB" w:rsidRDefault="009A50FB" w:rsidP="009A50FB">
            <w:pPr>
              <w:spacing w:line="276" w:lineRule="auto"/>
              <w:rPr>
                <w:rFonts w:ascii="Arial" w:hAnsi="Arial" w:cs="Arial"/>
              </w:rPr>
            </w:pPr>
            <w:r w:rsidRPr="009A50FB">
              <w:rPr>
                <w:rFonts w:ascii="Arial" w:hAnsi="Arial" w:cs="Arial"/>
              </w:rPr>
              <w:t>10</w:t>
            </w:r>
          </w:p>
        </w:tc>
        <w:tc>
          <w:tcPr>
            <w:tcW w:w="2030" w:type="dxa"/>
            <w:hideMark/>
          </w:tcPr>
          <w:p w14:paraId="2593B042"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b/>
                <w:bCs/>
              </w:rPr>
              <w:t>Patagonia – “Don’t Buy This Jacket” (Reissued Campaign)</w:t>
            </w:r>
          </w:p>
        </w:tc>
        <w:tc>
          <w:tcPr>
            <w:tcW w:w="638" w:type="dxa"/>
            <w:hideMark/>
          </w:tcPr>
          <w:p w14:paraId="2DDD959D"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2021</w:t>
            </w:r>
          </w:p>
        </w:tc>
        <w:tc>
          <w:tcPr>
            <w:tcW w:w="1213" w:type="dxa"/>
            <w:hideMark/>
          </w:tcPr>
          <w:p w14:paraId="28C1865F"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Outdoor apparel</w:t>
            </w:r>
          </w:p>
        </w:tc>
        <w:tc>
          <w:tcPr>
            <w:tcW w:w="0" w:type="auto"/>
            <w:hideMark/>
          </w:tcPr>
          <w:p w14:paraId="234CB84A"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Print / Digital</w:t>
            </w:r>
          </w:p>
        </w:tc>
        <w:tc>
          <w:tcPr>
            <w:tcW w:w="0" w:type="auto"/>
            <w:hideMark/>
          </w:tcPr>
          <w:p w14:paraId="5146B73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Anti-consumption activism</w:t>
            </w:r>
          </w:p>
        </w:tc>
        <w:tc>
          <w:tcPr>
            <w:tcW w:w="0" w:type="auto"/>
            <w:hideMark/>
          </w:tcPr>
          <w:p w14:paraId="20EE9125"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Moral reflection</w:t>
            </w:r>
          </w:p>
        </w:tc>
        <w:tc>
          <w:tcPr>
            <w:tcW w:w="2000" w:type="dxa"/>
            <w:hideMark/>
          </w:tcPr>
          <w:p w14:paraId="7B42F0B6"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7F1E2B35"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327BC08A" w14:textId="77777777" w:rsidR="009A50FB" w:rsidRPr="009A50FB" w:rsidRDefault="009A50FB" w:rsidP="009A50FB">
            <w:pPr>
              <w:spacing w:line="276" w:lineRule="auto"/>
              <w:rPr>
                <w:rFonts w:ascii="Arial" w:hAnsi="Arial" w:cs="Arial"/>
              </w:rPr>
            </w:pPr>
            <w:r w:rsidRPr="009A50FB">
              <w:rPr>
                <w:rFonts w:ascii="Arial" w:hAnsi="Arial" w:cs="Arial"/>
              </w:rPr>
              <w:t>11</w:t>
            </w:r>
          </w:p>
        </w:tc>
        <w:tc>
          <w:tcPr>
            <w:tcW w:w="2030" w:type="dxa"/>
            <w:hideMark/>
          </w:tcPr>
          <w:p w14:paraId="50963BE8"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L’Oréal – “Because Our Planet Is Worth It”</w:t>
            </w:r>
          </w:p>
        </w:tc>
        <w:tc>
          <w:tcPr>
            <w:tcW w:w="638" w:type="dxa"/>
            <w:hideMark/>
          </w:tcPr>
          <w:p w14:paraId="2E8521F4"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2023</w:t>
            </w:r>
          </w:p>
        </w:tc>
        <w:tc>
          <w:tcPr>
            <w:tcW w:w="1213" w:type="dxa"/>
            <w:hideMark/>
          </w:tcPr>
          <w:p w14:paraId="44744BFB"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Cosmetics</w:t>
            </w:r>
          </w:p>
        </w:tc>
        <w:tc>
          <w:tcPr>
            <w:tcW w:w="0" w:type="auto"/>
            <w:hideMark/>
          </w:tcPr>
          <w:p w14:paraId="3C93BAD2"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Digital / YouTube</w:t>
            </w:r>
          </w:p>
        </w:tc>
        <w:tc>
          <w:tcPr>
            <w:tcW w:w="0" w:type="auto"/>
            <w:hideMark/>
          </w:tcPr>
          <w:p w14:paraId="0A72CD94"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Sustainable beauty</w:t>
            </w:r>
          </w:p>
        </w:tc>
        <w:tc>
          <w:tcPr>
            <w:tcW w:w="0" w:type="auto"/>
            <w:hideMark/>
          </w:tcPr>
          <w:p w14:paraId="71455E96"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Empowerment</w:t>
            </w:r>
          </w:p>
        </w:tc>
        <w:tc>
          <w:tcPr>
            <w:tcW w:w="2000" w:type="dxa"/>
            <w:hideMark/>
          </w:tcPr>
          <w:p w14:paraId="0D4A86B3"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41FDDE8F" w14:textId="77777777" w:rsidTr="009A50FB">
        <w:tc>
          <w:tcPr>
            <w:cnfStyle w:val="001000000000" w:firstRow="0" w:lastRow="0" w:firstColumn="1" w:lastColumn="0" w:oddVBand="0" w:evenVBand="0" w:oddHBand="0" w:evenHBand="0" w:firstRowFirstColumn="0" w:firstRowLastColumn="0" w:lastRowFirstColumn="0" w:lastRowLastColumn="0"/>
            <w:tcW w:w="585" w:type="dxa"/>
            <w:hideMark/>
          </w:tcPr>
          <w:p w14:paraId="436C9A92" w14:textId="77777777" w:rsidR="009A50FB" w:rsidRPr="009A50FB" w:rsidRDefault="009A50FB" w:rsidP="009A50FB">
            <w:pPr>
              <w:spacing w:line="276" w:lineRule="auto"/>
              <w:rPr>
                <w:rFonts w:ascii="Arial" w:hAnsi="Arial" w:cs="Arial"/>
              </w:rPr>
            </w:pPr>
            <w:r w:rsidRPr="009A50FB">
              <w:rPr>
                <w:rFonts w:ascii="Arial" w:hAnsi="Arial" w:cs="Arial"/>
              </w:rPr>
              <w:t>12</w:t>
            </w:r>
          </w:p>
        </w:tc>
        <w:tc>
          <w:tcPr>
            <w:tcW w:w="2030" w:type="dxa"/>
            <w:hideMark/>
          </w:tcPr>
          <w:p w14:paraId="3872B8DE"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b/>
                <w:bCs/>
              </w:rPr>
              <w:t>Amazon – “The Climate Pledge”</w:t>
            </w:r>
          </w:p>
        </w:tc>
        <w:tc>
          <w:tcPr>
            <w:tcW w:w="638" w:type="dxa"/>
            <w:hideMark/>
          </w:tcPr>
          <w:p w14:paraId="242AF0B8"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2023</w:t>
            </w:r>
          </w:p>
        </w:tc>
        <w:tc>
          <w:tcPr>
            <w:tcW w:w="1213" w:type="dxa"/>
            <w:hideMark/>
          </w:tcPr>
          <w:p w14:paraId="1E61950B"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E-commerce</w:t>
            </w:r>
          </w:p>
        </w:tc>
        <w:tc>
          <w:tcPr>
            <w:tcW w:w="0" w:type="auto"/>
            <w:hideMark/>
          </w:tcPr>
          <w:p w14:paraId="209F8471"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YouTube / Web</w:t>
            </w:r>
          </w:p>
        </w:tc>
        <w:tc>
          <w:tcPr>
            <w:tcW w:w="0" w:type="auto"/>
            <w:hideMark/>
          </w:tcPr>
          <w:p w14:paraId="22A8946E"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Net-zero commitment</w:t>
            </w:r>
          </w:p>
        </w:tc>
        <w:tc>
          <w:tcPr>
            <w:tcW w:w="0" w:type="auto"/>
            <w:hideMark/>
          </w:tcPr>
          <w:p w14:paraId="38530E56"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Confidence</w:t>
            </w:r>
          </w:p>
        </w:tc>
        <w:tc>
          <w:tcPr>
            <w:tcW w:w="2000" w:type="dxa"/>
            <w:hideMark/>
          </w:tcPr>
          <w:p w14:paraId="6559D2EE"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Global</w:t>
            </w:r>
          </w:p>
        </w:tc>
      </w:tr>
      <w:tr w:rsidR="009A50FB" w:rsidRPr="00D979AB" w14:paraId="7195C83B"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434FF595" w14:textId="77777777" w:rsidR="009A50FB" w:rsidRPr="009A50FB" w:rsidRDefault="009A50FB" w:rsidP="009A50FB">
            <w:pPr>
              <w:spacing w:line="276" w:lineRule="auto"/>
              <w:rPr>
                <w:rFonts w:ascii="Arial" w:hAnsi="Arial" w:cs="Arial"/>
              </w:rPr>
            </w:pPr>
            <w:r w:rsidRPr="009A50FB">
              <w:rPr>
                <w:rFonts w:ascii="Arial" w:hAnsi="Arial" w:cs="Arial"/>
              </w:rPr>
              <w:t>13</w:t>
            </w:r>
          </w:p>
        </w:tc>
        <w:tc>
          <w:tcPr>
            <w:tcW w:w="2030" w:type="dxa"/>
            <w:hideMark/>
          </w:tcPr>
          <w:p w14:paraId="6D8D229A"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Tata Motors – “Go Beyond Mobility”</w:t>
            </w:r>
          </w:p>
        </w:tc>
        <w:tc>
          <w:tcPr>
            <w:tcW w:w="638" w:type="dxa"/>
            <w:hideMark/>
          </w:tcPr>
          <w:p w14:paraId="5A75671A"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2022</w:t>
            </w:r>
          </w:p>
        </w:tc>
        <w:tc>
          <w:tcPr>
            <w:tcW w:w="1213" w:type="dxa"/>
            <w:hideMark/>
          </w:tcPr>
          <w:p w14:paraId="650145B5"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Automotive</w:t>
            </w:r>
          </w:p>
        </w:tc>
        <w:tc>
          <w:tcPr>
            <w:tcW w:w="0" w:type="auto"/>
            <w:hideMark/>
          </w:tcPr>
          <w:p w14:paraId="7CDC14DB"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TV / Online</w:t>
            </w:r>
          </w:p>
        </w:tc>
        <w:tc>
          <w:tcPr>
            <w:tcW w:w="0" w:type="auto"/>
            <w:hideMark/>
          </w:tcPr>
          <w:p w14:paraId="2219092D"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Electric mobility &amp; innovation</w:t>
            </w:r>
          </w:p>
        </w:tc>
        <w:tc>
          <w:tcPr>
            <w:tcW w:w="0" w:type="auto"/>
            <w:hideMark/>
          </w:tcPr>
          <w:p w14:paraId="3581C150"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Pride</w:t>
            </w:r>
          </w:p>
        </w:tc>
        <w:tc>
          <w:tcPr>
            <w:tcW w:w="2000" w:type="dxa"/>
            <w:hideMark/>
          </w:tcPr>
          <w:p w14:paraId="4DE1FC38"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India</w:t>
            </w:r>
          </w:p>
        </w:tc>
      </w:tr>
      <w:tr w:rsidR="009A50FB" w:rsidRPr="00D979AB" w14:paraId="3A45F102" w14:textId="77777777" w:rsidTr="009A50FB">
        <w:tc>
          <w:tcPr>
            <w:cnfStyle w:val="001000000000" w:firstRow="0" w:lastRow="0" w:firstColumn="1" w:lastColumn="0" w:oddVBand="0" w:evenVBand="0" w:oddHBand="0" w:evenHBand="0" w:firstRowFirstColumn="0" w:firstRowLastColumn="0" w:lastRowFirstColumn="0" w:lastRowLastColumn="0"/>
            <w:tcW w:w="585" w:type="dxa"/>
            <w:hideMark/>
          </w:tcPr>
          <w:p w14:paraId="1A2F821C" w14:textId="77777777" w:rsidR="009A50FB" w:rsidRPr="009A50FB" w:rsidRDefault="009A50FB" w:rsidP="009A50FB">
            <w:pPr>
              <w:spacing w:line="276" w:lineRule="auto"/>
              <w:rPr>
                <w:rFonts w:ascii="Arial" w:hAnsi="Arial" w:cs="Arial"/>
              </w:rPr>
            </w:pPr>
            <w:r w:rsidRPr="009A50FB">
              <w:rPr>
                <w:rFonts w:ascii="Arial" w:hAnsi="Arial" w:cs="Arial"/>
              </w:rPr>
              <w:t>14</w:t>
            </w:r>
          </w:p>
        </w:tc>
        <w:tc>
          <w:tcPr>
            <w:tcW w:w="2030" w:type="dxa"/>
            <w:hideMark/>
          </w:tcPr>
          <w:p w14:paraId="2B9F3D9F"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b/>
                <w:bCs/>
              </w:rPr>
              <w:t>Samsung – “Galaxy for the Planet”</w:t>
            </w:r>
          </w:p>
        </w:tc>
        <w:tc>
          <w:tcPr>
            <w:tcW w:w="638" w:type="dxa"/>
            <w:hideMark/>
          </w:tcPr>
          <w:p w14:paraId="170BC14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2023</w:t>
            </w:r>
          </w:p>
        </w:tc>
        <w:tc>
          <w:tcPr>
            <w:tcW w:w="1213" w:type="dxa"/>
            <w:hideMark/>
          </w:tcPr>
          <w:p w14:paraId="3901687A"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Technology</w:t>
            </w:r>
          </w:p>
        </w:tc>
        <w:tc>
          <w:tcPr>
            <w:tcW w:w="0" w:type="auto"/>
            <w:hideMark/>
          </w:tcPr>
          <w:p w14:paraId="0611DAF4"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Digital / YouTube</w:t>
            </w:r>
          </w:p>
        </w:tc>
        <w:tc>
          <w:tcPr>
            <w:tcW w:w="0" w:type="auto"/>
            <w:hideMark/>
          </w:tcPr>
          <w:p w14:paraId="760972D1"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Sustainable design &amp; recycling</w:t>
            </w:r>
          </w:p>
        </w:tc>
        <w:tc>
          <w:tcPr>
            <w:tcW w:w="0" w:type="auto"/>
            <w:hideMark/>
          </w:tcPr>
          <w:p w14:paraId="6386B442"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Optimism</w:t>
            </w:r>
          </w:p>
        </w:tc>
        <w:tc>
          <w:tcPr>
            <w:tcW w:w="2000" w:type="dxa"/>
            <w:hideMark/>
          </w:tcPr>
          <w:p w14:paraId="41BE3D64"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Asia-Pacific</w:t>
            </w:r>
          </w:p>
        </w:tc>
      </w:tr>
      <w:tr w:rsidR="009A50FB" w:rsidRPr="00D979AB" w14:paraId="25ECCF06"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283B9EBD" w14:textId="77777777" w:rsidR="009A50FB" w:rsidRPr="009A50FB" w:rsidRDefault="009A50FB" w:rsidP="009A50FB">
            <w:pPr>
              <w:spacing w:line="276" w:lineRule="auto"/>
              <w:rPr>
                <w:rFonts w:ascii="Arial" w:hAnsi="Arial" w:cs="Arial"/>
              </w:rPr>
            </w:pPr>
            <w:r w:rsidRPr="009A50FB">
              <w:rPr>
                <w:rFonts w:ascii="Arial" w:hAnsi="Arial" w:cs="Arial"/>
              </w:rPr>
              <w:lastRenderedPageBreak/>
              <w:t>15</w:t>
            </w:r>
          </w:p>
        </w:tc>
        <w:tc>
          <w:tcPr>
            <w:tcW w:w="2030" w:type="dxa"/>
            <w:hideMark/>
          </w:tcPr>
          <w:p w14:paraId="1245774E"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b/>
                <w:bCs/>
              </w:rPr>
              <w:t>Adidas – “End Plastic Waste”</w:t>
            </w:r>
          </w:p>
        </w:tc>
        <w:tc>
          <w:tcPr>
            <w:tcW w:w="638" w:type="dxa"/>
            <w:hideMark/>
          </w:tcPr>
          <w:p w14:paraId="0DFE991F"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2021</w:t>
            </w:r>
          </w:p>
        </w:tc>
        <w:tc>
          <w:tcPr>
            <w:tcW w:w="1213" w:type="dxa"/>
            <w:hideMark/>
          </w:tcPr>
          <w:p w14:paraId="7B44ED0F"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Sportswear</w:t>
            </w:r>
          </w:p>
        </w:tc>
        <w:tc>
          <w:tcPr>
            <w:tcW w:w="0" w:type="auto"/>
            <w:hideMark/>
          </w:tcPr>
          <w:p w14:paraId="1E475E80"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TV / Digital</w:t>
            </w:r>
          </w:p>
        </w:tc>
        <w:tc>
          <w:tcPr>
            <w:tcW w:w="0" w:type="auto"/>
            <w:hideMark/>
          </w:tcPr>
          <w:p w14:paraId="33010654"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Ocean conservation</w:t>
            </w:r>
          </w:p>
        </w:tc>
        <w:tc>
          <w:tcPr>
            <w:tcW w:w="0" w:type="auto"/>
            <w:hideMark/>
          </w:tcPr>
          <w:p w14:paraId="495C9656"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Hope &amp; Activism</w:t>
            </w:r>
          </w:p>
        </w:tc>
        <w:tc>
          <w:tcPr>
            <w:tcW w:w="2000" w:type="dxa"/>
            <w:hideMark/>
          </w:tcPr>
          <w:p w14:paraId="00004893"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Global</w:t>
            </w:r>
          </w:p>
        </w:tc>
      </w:tr>
    </w:tbl>
    <w:p w14:paraId="08CEE5B0" w14:textId="77777777" w:rsidR="00790ADA" w:rsidRPr="00FB3A86" w:rsidRDefault="00790ADA" w:rsidP="00441B6F">
      <w:pPr>
        <w:pStyle w:val="Body"/>
        <w:spacing w:after="0"/>
        <w:rPr>
          <w:rFonts w:ascii="Arial" w:hAnsi="Arial" w:cs="Arial"/>
        </w:rPr>
      </w:pPr>
    </w:p>
    <w:p w14:paraId="044E3D4D" w14:textId="77777777" w:rsidR="009A50FB" w:rsidRDefault="009A50FB" w:rsidP="00441B6F">
      <w:pPr>
        <w:pStyle w:val="Body"/>
        <w:spacing w:after="0"/>
        <w:rPr>
          <w:rFonts w:ascii="Arial" w:hAnsi="Arial" w:cs="Arial"/>
          <w:b/>
          <w:i/>
          <w:iCs/>
          <w:sz w:val="18"/>
          <w:szCs w:val="18"/>
        </w:rPr>
      </w:pPr>
      <w:r>
        <w:rPr>
          <w:rFonts w:ascii="Arial" w:hAnsi="Arial" w:cs="Arial"/>
          <w:b/>
          <w:caps/>
          <w:sz w:val="22"/>
        </w:rPr>
        <w:t xml:space="preserve">* </w:t>
      </w:r>
      <w:r w:rsidRPr="009A50FB">
        <w:rPr>
          <w:rFonts w:ascii="Arial" w:hAnsi="Arial" w:cs="Arial"/>
          <w:b/>
          <w:i/>
          <w:iCs/>
          <w:sz w:val="18"/>
          <w:szCs w:val="18"/>
        </w:rPr>
        <w:t>Content Analysis Table Of 15 Companies</w:t>
      </w:r>
    </w:p>
    <w:p w14:paraId="48925477" w14:textId="77777777" w:rsidR="00740CAD" w:rsidRDefault="00740CAD" w:rsidP="00441B6F">
      <w:pPr>
        <w:pStyle w:val="Body"/>
        <w:spacing w:after="0"/>
        <w:rPr>
          <w:rFonts w:ascii="Arial" w:hAnsi="Arial" w:cs="Arial"/>
          <w:b/>
          <w:caps/>
          <w:sz w:val="22"/>
        </w:rPr>
      </w:pPr>
    </w:p>
    <w:p w14:paraId="30BF3A7D" w14:textId="77777777" w:rsidR="009A50FB" w:rsidRPr="009A50FB" w:rsidRDefault="009A50FB" w:rsidP="009A50FB">
      <w:pPr>
        <w:pStyle w:val="Body"/>
        <w:rPr>
          <w:rFonts w:ascii="Arial" w:hAnsi="Arial" w:cs="Arial"/>
          <w:b/>
          <w:bCs/>
          <w:sz w:val="22"/>
          <w:szCs w:val="22"/>
          <w:u w:val="single"/>
        </w:rPr>
      </w:pPr>
      <w:r w:rsidRPr="009A50FB">
        <w:rPr>
          <w:rFonts w:ascii="Arial" w:hAnsi="Arial" w:cs="Arial"/>
          <w:b/>
          <w:bCs/>
          <w:sz w:val="22"/>
          <w:szCs w:val="22"/>
          <w:u w:val="single"/>
        </w:rPr>
        <w:t>4.2. Overview of Thematic Findings</w:t>
      </w:r>
    </w:p>
    <w:p w14:paraId="33339E69" w14:textId="77777777" w:rsidR="009A50FB" w:rsidRPr="009A50FB" w:rsidRDefault="009A50FB" w:rsidP="009A50FB">
      <w:pPr>
        <w:pStyle w:val="Body"/>
        <w:rPr>
          <w:rFonts w:ascii="Arial" w:hAnsi="Arial" w:cs="Arial"/>
        </w:rPr>
      </w:pPr>
      <w:r w:rsidRPr="009A50FB">
        <w:rPr>
          <w:rFonts w:ascii="Arial" w:hAnsi="Arial" w:cs="Arial"/>
        </w:rPr>
        <w:t>The qualitative content analysis of fifteen sustainability-themed advertisements from global corporations and celebrity-led brands (2021–2024) reveals a recurring rhetorical pattern: the individualization of climate responsibility. Across sectors fashion, technology, aviation, food, and e-commerce—advertising messages consistently locate environmental solutions in consumer choice rather than systemic transformation.</w:t>
      </w:r>
    </w:p>
    <w:p w14:paraId="5E50E32E" w14:textId="77777777" w:rsidR="009A50FB" w:rsidRPr="009A50FB" w:rsidRDefault="009A50FB" w:rsidP="009A50FB">
      <w:pPr>
        <w:pStyle w:val="Body"/>
        <w:rPr>
          <w:rFonts w:ascii="Arial" w:hAnsi="Arial" w:cs="Arial"/>
        </w:rPr>
      </w:pPr>
      <w:r w:rsidRPr="009A50FB">
        <w:rPr>
          <w:rFonts w:ascii="Arial" w:hAnsi="Arial" w:cs="Arial"/>
        </w:rPr>
        <w:t>Three central frames emerged:</w:t>
      </w:r>
    </w:p>
    <w:p w14:paraId="60284F06" w14:textId="77777777" w:rsidR="009A50FB" w:rsidRPr="009A50FB" w:rsidRDefault="009A50FB" w:rsidP="009A50FB">
      <w:pPr>
        <w:pStyle w:val="Body"/>
        <w:rPr>
          <w:rFonts w:ascii="Arial" w:hAnsi="Arial" w:cs="Arial"/>
        </w:rPr>
      </w:pPr>
      <w:r w:rsidRPr="009A50FB">
        <w:rPr>
          <w:rFonts w:ascii="Arial" w:hAnsi="Arial" w:cs="Arial"/>
        </w:rPr>
        <w:t>1. Empowered Individual Action</w:t>
      </w:r>
    </w:p>
    <w:p w14:paraId="056C87ED" w14:textId="77777777" w:rsidR="009A50FB" w:rsidRPr="009A50FB" w:rsidRDefault="009A50FB" w:rsidP="009A50FB">
      <w:pPr>
        <w:pStyle w:val="Body"/>
        <w:rPr>
          <w:rFonts w:ascii="Arial" w:hAnsi="Arial" w:cs="Arial"/>
        </w:rPr>
      </w:pPr>
      <w:r w:rsidRPr="009A50FB">
        <w:rPr>
          <w:rFonts w:ascii="Arial" w:hAnsi="Arial" w:cs="Arial"/>
        </w:rPr>
        <w:t>2. Redemptive Consumption</w:t>
      </w:r>
    </w:p>
    <w:p w14:paraId="2FA75468" w14:textId="77777777" w:rsidR="009A50FB" w:rsidRPr="009A50FB" w:rsidRDefault="009A50FB" w:rsidP="009A50FB">
      <w:pPr>
        <w:pStyle w:val="Body"/>
        <w:rPr>
          <w:rFonts w:ascii="Arial" w:hAnsi="Arial" w:cs="Arial"/>
        </w:rPr>
      </w:pPr>
      <w:r w:rsidRPr="009A50FB">
        <w:rPr>
          <w:rFonts w:ascii="Arial" w:hAnsi="Arial" w:cs="Arial"/>
        </w:rPr>
        <w:t>3. Corporate Allyship and Virtue Signaling</w:t>
      </w:r>
    </w:p>
    <w:p w14:paraId="415DF44B" w14:textId="77777777" w:rsidR="009A50FB" w:rsidRDefault="009A50FB" w:rsidP="009A50FB">
      <w:pPr>
        <w:pStyle w:val="Body"/>
        <w:spacing w:after="0"/>
        <w:rPr>
          <w:rFonts w:ascii="Arial" w:hAnsi="Arial" w:cs="Arial"/>
        </w:rPr>
      </w:pPr>
      <w:r w:rsidRPr="009A50FB">
        <w:rPr>
          <w:rFonts w:ascii="Arial" w:hAnsi="Arial" w:cs="Arial"/>
        </w:rPr>
        <w:t>Each frame functions discursively to transfer responsibility for climate mitigation from producers and industries to consumers, while positioning the brand as an ethical facilitator of change (</w:t>
      </w:r>
      <w:proofErr w:type="spellStart"/>
      <w:r w:rsidRPr="009A50FB">
        <w:rPr>
          <w:rFonts w:ascii="Arial" w:hAnsi="Arial" w:cs="Arial"/>
        </w:rPr>
        <w:t>Giesler</w:t>
      </w:r>
      <w:proofErr w:type="spellEnd"/>
      <w:r w:rsidRPr="009A50FB">
        <w:rPr>
          <w:rFonts w:ascii="Arial" w:hAnsi="Arial" w:cs="Arial"/>
        </w:rPr>
        <w:t xml:space="preserve"> &amp; </w:t>
      </w:r>
      <w:proofErr w:type="spellStart"/>
      <w:r w:rsidRPr="009A50FB">
        <w:rPr>
          <w:rFonts w:ascii="Arial" w:hAnsi="Arial" w:cs="Arial"/>
        </w:rPr>
        <w:t>Veresiu</w:t>
      </w:r>
      <w:proofErr w:type="spellEnd"/>
      <w:r w:rsidRPr="009A50FB">
        <w:rPr>
          <w:rFonts w:ascii="Arial" w:hAnsi="Arial" w:cs="Arial"/>
        </w:rPr>
        <w:t xml:space="preserve">, 2014; </w:t>
      </w:r>
      <w:proofErr w:type="spellStart"/>
      <w:r w:rsidRPr="009A50FB">
        <w:rPr>
          <w:rFonts w:ascii="Arial" w:hAnsi="Arial" w:cs="Arial"/>
        </w:rPr>
        <w:t>Maniates</w:t>
      </w:r>
      <w:proofErr w:type="spellEnd"/>
      <w:r w:rsidRPr="009A50FB">
        <w:rPr>
          <w:rFonts w:ascii="Arial" w:hAnsi="Arial" w:cs="Arial"/>
        </w:rPr>
        <w:t>, 2001).</w:t>
      </w:r>
    </w:p>
    <w:p w14:paraId="4C71CB45" w14:textId="77777777" w:rsidR="00790ADA" w:rsidRPr="00FB3A86" w:rsidRDefault="00790ADA" w:rsidP="00441B6F">
      <w:pPr>
        <w:pStyle w:val="Body"/>
        <w:spacing w:after="0"/>
        <w:rPr>
          <w:rFonts w:ascii="Arial" w:hAnsi="Arial" w:cs="Arial"/>
        </w:rPr>
      </w:pPr>
    </w:p>
    <w:p w14:paraId="448FF0BB" w14:textId="77777777" w:rsidR="00E053D0" w:rsidRDefault="00E053D0" w:rsidP="00441B6F">
      <w:pPr>
        <w:pStyle w:val="Body"/>
        <w:spacing w:after="0"/>
        <w:rPr>
          <w:rFonts w:ascii="Arial" w:hAnsi="Arial" w:cs="Arial"/>
        </w:rPr>
      </w:pPr>
    </w:p>
    <w:p w14:paraId="61130787" w14:textId="77777777" w:rsidR="00790ADA" w:rsidRDefault="00790ADA" w:rsidP="00441B6F">
      <w:pPr>
        <w:pStyle w:val="Body"/>
        <w:spacing w:after="0"/>
        <w:rPr>
          <w:rFonts w:ascii="Arial" w:hAnsi="Arial" w:cs="Arial"/>
        </w:rPr>
      </w:pPr>
    </w:p>
    <w:p w14:paraId="3214BED4"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60E99D5C" w14:textId="77777777" w:rsidR="009A50FB" w:rsidRPr="00942049" w:rsidRDefault="009A50FB" w:rsidP="009A50FB">
      <w:pPr>
        <w:pStyle w:val="Body"/>
        <w:rPr>
          <w:rFonts w:ascii="Arial" w:hAnsi="Arial" w:cs="Arial"/>
          <w:b/>
          <w:bCs/>
        </w:rPr>
      </w:pPr>
      <w:r w:rsidRPr="00942049">
        <w:rPr>
          <w:rFonts w:ascii="Arial" w:hAnsi="Arial" w:cs="Arial"/>
          <w:b/>
          <w:bCs/>
        </w:rPr>
        <w:t>4.2. Frame 1: Empowered Individual Action</w:t>
      </w:r>
    </w:p>
    <w:p w14:paraId="7D46C429" w14:textId="77777777" w:rsidR="009A50FB" w:rsidRPr="009A50FB" w:rsidRDefault="009A50FB" w:rsidP="009A50FB">
      <w:pPr>
        <w:pStyle w:val="Body"/>
        <w:rPr>
          <w:rFonts w:ascii="Arial" w:hAnsi="Arial" w:cs="Arial"/>
        </w:rPr>
      </w:pPr>
      <w:r w:rsidRPr="009A50FB">
        <w:rPr>
          <w:rFonts w:ascii="Arial" w:hAnsi="Arial" w:cs="Arial"/>
        </w:rPr>
        <w:t>Campaigns such as Levi’s “Buy Better, Wear Longer” (2021), Nike’s “Move to Zero” (2022), and Apple’s “Carbon Neutral iPhone” (2023) position the environmentally conscious consumer as a heroic actor.</w:t>
      </w:r>
    </w:p>
    <w:p w14:paraId="1EE04EC2" w14:textId="77777777" w:rsidR="009A50FB" w:rsidRPr="009A50FB" w:rsidRDefault="009A50FB" w:rsidP="009A50FB">
      <w:pPr>
        <w:pStyle w:val="Body"/>
        <w:rPr>
          <w:rFonts w:ascii="Arial" w:hAnsi="Arial" w:cs="Arial"/>
        </w:rPr>
      </w:pPr>
      <w:r w:rsidRPr="009A50FB">
        <w:rPr>
          <w:rFonts w:ascii="Arial" w:hAnsi="Arial" w:cs="Arial"/>
        </w:rPr>
        <w:t>These ads deploy motivational narratives “buy better,” “move to zero”—and emotionally charged visual semiotics emphasizing youth, agency, and optimism. This aligns with the responsible citizen frame in sustainability discourse, where climate solutions are reframed as moralized personal conduct rather than systemic reform (</w:t>
      </w:r>
      <w:proofErr w:type="spellStart"/>
      <w:r w:rsidRPr="009A50FB">
        <w:rPr>
          <w:rFonts w:ascii="Arial" w:hAnsi="Arial" w:cs="Arial"/>
        </w:rPr>
        <w:t>Giesler</w:t>
      </w:r>
      <w:proofErr w:type="spellEnd"/>
      <w:r w:rsidRPr="009A50FB">
        <w:rPr>
          <w:rFonts w:ascii="Arial" w:hAnsi="Arial" w:cs="Arial"/>
        </w:rPr>
        <w:t xml:space="preserve"> &amp; </w:t>
      </w:r>
      <w:proofErr w:type="spellStart"/>
      <w:r w:rsidRPr="009A50FB">
        <w:rPr>
          <w:rFonts w:ascii="Arial" w:hAnsi="Arial" w:cs="Arial"/>
        </w:rPr>
        <w:t>Veresiu</w:t>
      </w:r>
      <w:proofErr w:type="spellEnd"/>
      <w:r w:rsidRPr="009A50FB">
        <w:rPr>
          <w:rFonts w:ascii="Arial" w:hAnsi="Arial" w:cs="Arial"/>
        </w:rPr>
        <w:t>, 2014; Haider, 2021).</w:t>
      </w:r>
    </w:p>
    <w:p w14:paraId="1E3A37AE" w14:textId="77777777" w:rsidR="009A50FB" w:rsidRPr="009A50FB" w:rsidRDefault="009A50FB" w:rsidP="009A50FB">
      <w:pPr>
        <w:pStyle w:val="Body"/>
        <w:rPr>
          <w:rFonts w:ascii="Arial" w:hAnsi="Arial" w:cs="Arial"/>
        </w:rPr>
      </w:pPr>
      <w:r w:rsidRPr="009A50FB">
        <w:rPr>
          <w:rFonts w:ascii="Arial" w:hAnsi="Arial" w:cs="Arial"/>
        </w:rPr>
        <w:t>The imagery of individual action against natural backdrops erases industrial and political contexts, producing what scholars call ecological individualism—a cultural form that privileges personal virtue over structural accountability (Maniates, 2001).</w:t>
      </w:r>
    </w:p>
    <w:p w14:paraId="3A76C176" w14:textId="77777777" w:rsidR="009A50FB" w:rsidRPr="00942049" w:rsidRDefault="009A50FB" w:rsidP="009A50FB">
      <w:pPr>
        <w:pStyle w:val="Body"/>
        <w:rPr>
          <w:rFonts w:ascii="Arial" w:hAnsi="Arial" w:cs="Arial"/>
          <w:b/>
          <w:bCs/>
        </w:rPr>
      </w:pPr>
      <w:r w:rsidRPr="00942049">
        <w:rPr>
          <w:rFonts w:ascii="Arial" w:hAnsi="Arial" w:cs="Arial"/>
          <w:b/>
          <w:bCs/>
        </w:rPr>
        <w:t>4.2. Frame 2: Redemptive Consumption</w:t>
      </w:r>
    </w:p>
    <w:p w14:paraId="78E8AEFF" w14:textId="77777777" w:rsidR="009A50FB" w:rsidRPr="009A50FB" w:rsidRDefault="009A50FB" w:rsidP="009A50FB">
      <w:pPr>
        <w:pStyle w:val="Body"/>
        <w:rPr>
          <w:rFonts w:ascii="Arial" w:hAnsi="Arial" w:cs="Arial"/>
        </w:rPr>
      </w:pPr>
      <w:r w:rsidRPr="009A50FB">
        <w:rPr>
          <w:rFonts w:ascii="Arial" w:hAnsi="Arial" w:cs="Arial"/>
        </w:rPr>
        <w:t>A second major frame was redemptive consumption, seen in Zara’s “Join Life”, H&amp;M’s “Conscious Collection”, and IKEA’s “Buy Back &amp; Resell” campaigns. These ads construct sustainability as a cycle of moral debt and redemption: consumers acknowledge guilt, then absolve it through purchase or recycling.</w:t>
      </w:r>
    </w:p>
    <w:p w14:paraId="118E5264" w14:textId="77777777" w:rsidR="009A50FB" w:rsidRPr="009A50FB" w:rsidRDefault="009A50FB" w:rsidP="009A50FB">
      <w:pPr>
        <w:pStyle w:val="Body"/>
        <w:rPr>
          <w:rFonts w:ascii="Arial" w:hAnsi="Arial" w:cs="Arial"/>
        </w:rPr>
      </w:pPr>
      <w:r w:rsidRPr="009A50FB">
        <w:rPr>
          <w:rFonts w:ascii="Arial" w:hAnsi="Arial" w:cs="Arial"/>
        </w:rPr>
        <w:t>Such emotional framing resonates with commodity activism (Banet-Weiser, 2018), where ethical participation occurs through market transactions. Through slogans like “Join Life” and “Give your furniture a second life,” brands transform consumption into a spiritualized environmental ritual.</w:t>
      </w:r>
    </w:p>
    <w:p w14:paraId="1BFB9395" w14:textId="77777777" w:rsidR="009A50FB" w:rsidRPr="009A50FB" w:rsidRDefault="009A50FB" w:rsidP="009A50FB">
      <w:pPr>
        <w:pStyle w:val="Body"/>
        <w:rPr>
          <w:rFonts w:ascii="Arial" w:hAnsi="Arial" w:cs="Arial"/>
        </w:rPr>
      </w:pPr>
      <w:r w:rsidRPr="009A50FB">
        <w:rPr>
          <w:rFonts w:ascii="Arial" w:hAnsi="Arial" w:cs="Arial"/>
        </w:rPr>
        <w:t>This supports Connolly and Prothero’s (2008) concept of the “green consumer subjectivity,” in which ethical satisfaction substitutes for systemic change. By offering redemption through branded action, these companies maintain consumer loyalty while appearing socially conscious.</w:t>
      </w:r>
    </w:p>
    <w:p w14:paraId="1D597906" w14:textId="77777777" w:rsidR="009A50FB" w:rsidRPr="00942049" w:rsidRDefault="009A50FB" w:rsidP="009A50FB">
      <w:pPr>
        <w:pStyle w:val="Body"/>
        <w:rPr>
          <w:rFonts w:ascii="Arial" w:hAnsi="Arial" w:cs="Arial"/>
          <w:b/>
          <w:bCs/>
        </w:rPr>
      </w:pPr>
      <w:r w:rsidRPr="00942049">
        <w:rPr>
          <w:rFonts w:ascii="Arial" w:hAnsi="Arial" w:cs="Arial"/>
          <w:b/>
          <w:bCs/>
        </w:rPr>
        <w:t>4.2-Frame 3: Corporate Allyship and Virtue Signaling</w:t>
      </w:r>
    </w:p>
    <w:p w14:paraId="0C849002" w14:textId="77777777" w:rsidR="009A50FB" w:rsidRPr="009A50FB" w:rsidRDefault="009A50FB" w:rsidP="009A50FB">
      <w:pPr>
        <w:pStyle w:val="Body"/>
        <w:rPr>
          <w:rFonts w:ascii="Arial" w:hAnsi="Arial" w:cs="Arial"/>
        </w:rPr>
      </w:pPr>
      <w:r w:rsidRPr="009A50FB">
        <w:rPr>
          <w:rFonts w:ascii="Arial" w:hAnsi="Arial" w:cs="Arial"/>
        </w:rPr>
        <w:t>Campaigns like Apple’s “Mother Nature” film (2023), Unilever’s “Sustainable Living” projects, and Coca-Cola’s COP27 sponsorship typify the corporate allyship frame. They use humor, institutional alignment, and moral language to humanize corporations as environmental partners.</w:t>
      </w:r>
    </w:p>
    <w:p w14:paraId="54955260" w14:textId="77777777" w:rsidR="009A50FB" w:rsidRPr="009A50FB" w:rsidRDefault="009A50FB" w:rsidP="009A50FB">
      <w:pPr>
        <w:pStyle w:val="Body"/>
        <w:rPr>
          <w:rFonts w:ascii="Arial" w:hAnsi="Arial" w:cs="Arial"/>
        </w:rPr>
      </w:pPr>
      <w:r w:rsidRPr="009A50FB">
        <w:rPr>
          <w:rFonts w:ascii="Arial" w:hAnsi="Arial" w:cs="Arial"/>
        </w:rPr>
        <w:lastRenderedPageBreak/>
        <w:t>However, analyses reveal contradictions: Apple’s “carbon-neutral” claims depend on offset credits rather than verified emission reduction (Bloomberg, 2023). Similarly, Coca-Cola and Unilever have faced criticism for greenwashing due to continued plastic use and fossil-fuel-based logistics (The Guardian, 2023; Reuters, 2023).</w:t>
      </w:r>
    </w:p>
    <w:p w14:paraId="7F8608CF" w14:textId="77777777" w:rsidR="00376BBE" w:rsidRDefault="009A50FB" w:rsidP="009A50FB">
      <w:pPr>
        <w:pStyle w:val="Body"/>
        <w:spacing w:after="0"/>
        <w:rPr>
          <w:rFonts w:ascii="Arial" w:hAnsi="Arial" w:cs="Arial"/>
        </w:rPr>
      </w:pPr>
      <w:r w:rsidRPr="009A50FB">
        <w:rPr>
          <w:rFonts w:ascii="Arial" w:hAnsi="Arial" w:cs="Arial"/>
        </w:rPr>
        <w:t>These contradictions exemplify symbolic neutrality—a communicative strategy where environmental responsibility is expressed linguistically but not materially (Delmas &amp; Burbano, 2011).</w:t>
      </w:r>
    </w:p>
    <w:p w14:paraId="44570AC0" w14:textId="1B51978B" w:rsidR="008A3626" w:rsidRDefault="008A3626" w:rsidP="009A50FB">
      <w:pPr>
        <w:pStyle w:val="Body"/>
        <w:spacing w:after="0"/>
        <w:rPr>
          <w:rFonts w:ascii="Arial" w:hAnsi="Arial" w:cs="Arial"/>
        </w:rPr>
      </w:pPr>
    </w:p>
    <w:tbl>
      <w:tblPr>
        <w:tblStyle w:val="PlainTable3"/>
        <w:tblW w:w="0" w:type="auto"/>
        <w:tblLook w:val="04A0" w:firstRow="1" w:lastRow="0" w:firstColumn="1" w:lastColumn="0" w:noHBand="0" w:noVBand="1"/>
      </w:tblPr>
      <w:tblGrid>
        <w:gridCol w:w="2636"/>
        <w:gridCol w:w="2375"/>
        <w:gridCol w:w="1739"/>
        <w:gridCol w:w="1859"/>
        <w:gridCol w:w="2407"/>
      </w:tblGrid>
      <w:tr w:rsidR="009A50FB" w:rsidRPr="009A50FB" w14:paraId="59F82A2E" w14:textId="77777777" w:rsidTr="009A50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40CE888" w14:textId="77777777" w:rsidR="009A50FB" w:rsidRPr="009A50FB" w:rsidRDefault="009A50FB" w:rsidP="009A50FB">
            <w:pPr>
              <w:spacing w:line="276" w:lineRule="auto"/>
              <w:jc w:val="center"/>
              <w:rPr>
                <w:rFonts w:ascii="Arial" w:hAnsi="Arial" w:cs="Arial"/>
                <w:b w:val="0"/>
                <w:bCs w:val="0"/>
              </w:rPr>
            </w:pPr>
            <w:r w:rsidRPr="009A50FB">
              <w:rPr>
                <w:rFonts w:ascii="Arial" w:hAnsi="Arial" w:cs="Arial"/>
              </w:rPr>
              <w:t>Frame Type</w:t>
            </w:r>
          </w:p>
        </w:tc>
        <w:tc>
          <w:tcPr>
            <w:tcW w:w="0" w:type="auto"/>
            <w:hideMark/>
          </w:tcPr>
          <w:p w14:paraId="0E4182A6"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Key Characteristics</w:t>
            </w:r>
          </w:p>
        </w:tc>
        <w:tc>
          <w:tcPr>
            <w:tcW w:w="0" w:type="auto"/>
            <w:hideMark/>
          </w:tcPr>
          <w:p w14:paraId="023DDA99"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Emotional Appeals</w:t>
            </w:r>
          </w:p>
        </w:tc>
        <w:tc>
          <w:tcPr>
            <w:tcW w:w="0" w:type="auto"/>
            <w:hideMark/>
          </w:tcPr>
          <w:p w14:paraId="19F7CD37"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Example Campaigns</w:t>
            </w:r>
          </w:p>
        </w:tc>
        <w:tc>
          <w:tcPr>
            <w:tcW w:w="0" w:type="auto"/>
            <w:hideMark/>
          </w:tcPr>
          <w:p w14:paraId="52888236" w14:textId="77777777" w:rsidR="009A50FB" w:rsidRPr="009A50FB" w:rsidRDefault="009A50FB" w:rsidP="009A50F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Critical Interpretation</w:t>
            </w:r>
          </w:p>
        </w:tc>
      </w:tr>
      <w:tr w:rsidR="009A50FB" w:rsidRPr="009A50FB" w14:paraId="3BC6940C"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771B60" w14:textId="77777777" w:rsidR="009A50FB" w:rsidRPr="009A50FB" w:rsidRDefault="009A50FB" w:rsidP="009A50FB">
            <w:pPr>
              <w:spacing w:line="276" w:lineRule="auto"/>
              <w:rPr>
                <w:rFonts w:ascii="Arial" w:hAnsi="Arial" w:cs="Arial"/>
              </w:rPr>
            </w:pPr>
            <w:r w:rsidRPr="009A50FB">
              <w:rPr>
                <w:rFonts w:ascii="Arial" w:hAnsi="Arial" w:cs="Arial"/>
              </w:rPr>
              <w:t>Empowered Individual Action</w:t>
            </w:r>
          </w:p>
        </w:tc>
        <w:tc>
          <w:tcPr>
            <w:tcW w:w="0" w:type="auto"/>
            <w:hideMark/>
          </w:tcPr>
          <w:p w14:paraId="14620499"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Consumers as agents of change</w:t>
            </w:r>
          </w:p>
        </w:tc>
        <w:tc>
          <w:tcPr>
            <w:tcW w:w="0" w:type="auto"/>
            <w:hideMark/>
          </w:tcPr>
          <w:p w14:paraId="0F572971"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Hope, Empowerment</w:t>
            </w:r>
          </w:p>
        </w:tc>
        <w:tc>
          <w:tcPr>
            <w:tcW w:w="0" w:type="auto"/>
            <w:hideMark/>
          </w:tcPr>
          <w:p w14:paraId="1DDD8EF2"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Nike, Levi’s, L’Oréal, Samsung</w:t>
            </w:r>
          </w:p>
        </w:tc>
        <w:tc>
          <w:tcPr>
            <w:tcW w:w="0" w:type="auto"/>
            <w:hideMark/>
          </w:tcPr>
          <w:p w14:paraId="57C1AAE9"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Reinforces moralized consumerism</w:t>
            </w:r>
          </w:p>
        </w:tc>
      </w:tr>
      <w:tr w:rsidR="009A50FB" w:rsidRPr="009A50FB" w14:paraId="0392C651" w14:textId="77777777" w:rsidTr="009A50FB">
        <w:tc>
          <w:tcPr>
            <w:cnfStyle w:val="001000000000" w:firstRow="0" w:lastRow="0" w:firstColumn="1" w:lastColumn="0" w:oddVBand="0" w:evenVBand="0" w:oddHBand="0" w:evenHBand="0" w:firstRowFirstColumn="0" w:firstRowLastColumn="0" w:lastRowFirstColumn="0" w:lastRowLastColumn="0"/>
            <w:tcW w:w="0" w:type="auto"/>
            <w:hideMark/>
          </w:tcPr>
          <w:p w14:paraId="4C2A5D4F" w14:textId="77777777" w:rsidR="009A50FB" w:rsidRPr="009A50FB" w:rsidRDefault="009A50FB" w:rsidP="009A50FB">
            <w:pPr>
              <w:spacing w:line="276" w:lineRule="auto"/>
              <w:rPr>
                <w:rFonts w:ascii="Arial" w:hAnsi="Arial" w:cs="Arial"/>
              </w:rPr>
            </w:pPr>
            <w:r w:rsidRPr="009A50FB">
              <w:rPr>
                <w:rFonts w:ascii="Arial" w:hAnsi="Arial" w:cs="Arial"/>
              </w:rPr>
              <w:t>Redemptive Consumption</w:t>
            </w:r>
          </w:p>
        </w:tc>
        <w:tc>
          <w:tcPr>
            <w:tcW w:w="0" w:type="auto"/>
            <w:hideMark/>
          </w:tcPr>
          <w:p w14:paraId="104A8E72"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Guilt-redeeming purchases</w:t>
            </w:r>
          </w:p>
        </w:tc>
        <w:tc>
          <w:tcPr>
            <w:tcW w:w="0" w:type="auto"/>
            <w:hideMark/>
          </w:tcPr>
          <w:p w14:paraId="174770BA"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Guilt, Relief</w:t>
            </w:r>
          </w:p>
        </w:tc>
        <w:tc>
          <w:tcPr>
            <w:tcW w:w="0" w:type="auto"/>
            <w:hideMark/>
          </w:tcPr>
          <w:p w14:paraId="2ABC43B9"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H&amp;M, Zara, IKEA</w:t>
            </w:r>
          </w:p>
        </w:tc>
        <w:tc>
          <w:tcPr>
            <w:tcW w:w="0" w:type="auto"/>
            <w:hideMark/>
          </w:tcPr>
          <w:p w14:paraId="137ED3DF"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Converts ethics into purchase behavior</w:t>
            </w:r>
          </w:p>
        </w:tc>
      </w:tr>
      <w:tr w:rsidR="009A50FB" w:rsidRPr="009A50FB" w14:paraId="45732327"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CEBCA9" w14:textId="77777777" w:rsidR="009A50FB" w:rsidRPr="009A50FB" w:rsidRDefault="009A50FB" w:rsidP="009A50FB">
            <w:pPr>
              <w:spacing w:line="276" w:lineRule="auto"/>
              <w:rPr>
                <w:rFonts w:ascii="Arial" w:hAnsi="Arial" w:cs="Arial"/>
              </w:rPr>
            </w:pPr>
            <w:r w:rsidRPr="009A50FB">
              <w:rPr>
                <w:rFonts w:ascii="Arial" w:hAnsi="Arial" w:cs="Arial"/>
              </w:rPr>
              <w:t>Corporate Allyship / Virtue Signaling</w:t>
            </w:r>
          </w:p>
        </w:tc>
        <w:tc>
          <w:tcPr>
            <w:tcW w:w="0" w:type="auto"/>
            <w:hideMark/>
          </w:tcPr>
          <w:p w14:paraId="062871D2"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Brands as moral leaders</w:t>
            </w:r>
          </w:p>
        </w:tc>
        <w:tc>
          <w:tcPr>
            <w:tcW w:w="0" w:type="auto"/>
            <w:hideMark/>
          </w:tcPr>
          <w:p w14:paraId="58A33145"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Humor, Pride</w:t>
            </w:r>
          </w:p>
        </w:tc>
        <w:tc>
          <w:tcPr>
            <w:tcW w:w="0" w:type="auto"/>
            <w:hideMark/>
          </w:tcPr>
          <w:p w14:paraId="07A615D0"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Apple, Unilever, Coca-Cola</w:t>
            </w:r>
          </w:p>
        </w:tc>
        <w:tc>
          <w:tcPr>
            <w:tcW w:w="0" w:type="auto"/>
            <w:hideMark/>
          </w:tcPr>
          <w:p w14:paraId="099F75B4"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Symbolic, rarely systemic</w:t>
            </w:r>
          </w:p>
        </w:tc>
      </w:tr>
      <w:tr w:rsidR="009A50FB" w:rsidRPr="009A50FB" w14:paraId="0BAE2D52" w14:textId="77777777" w:rsidTr="009A50FB">
        <w:tc>
          <w:tcPr>
            <w:cnfStyle w:val="001000000000" w:firstRow="0" w:lastRow="0" w:firstColumn="1" w:lastColumn="0" w:oddVBand="0" w:evenVBand="0" w:oddHBand="0" w:evenHBand="0" w:firstRowFirstColumn="0" w:firstRowLastColumn="0" w:lastRowFirstColumn="0" w:lastRowLastColumn="0"/>
            <w:tcW w:w="0" w:type="auto"/>
            <w:hideMark/>
          </w:tcPr>
          <w:p w14:paraId="6D1861D0" w14:textId="77777777" w:rsidR="009A50FB" w:rsidRPr="009A50FB" w:rsidRDefault="009A50FB" w:rsidP="009A50FB">
            <w:pPr>
              <w:spacing w:line="276" w:lineRule="auto"/>
              <w:rPr>
                <w:rFonts w:ascii="Arial" w:hAnsi="Arial" w:cs="Arial"/>
              </w:rPr>
            </w:pPr>
            <w:r w:rsidRPr="009A50FB">
              <w:rPr>
                <w:rFonts w:ascii="Arial" w:hAnsi="Arial" w:cs="Arial"/>
              </w:rPr>
              <w:t>Eco-Luxury and Lifestyle</w:t>
            </w:r>
          </w:p>
        </w:tc>
        <w:tc>
          <w:tcPr>
            <w:tcW w:w="0" w:type="auto"/>
            <w:hideMark/>
          </w:tcPr>
          <w:p w14:paraId="5B6D4FD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Sustainability as aspirational</w:t>
            </w:r>
          </w:p>
        </w:tc>
        <w:tc>
          <w:tcPr>
            <w:tcW w:w="0" w:type="auto"/>
            <w:hideMark/>
          </w:tcPr>
          <w:p w14:paraId="0B9BC418"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Aspiration, Pride</w:t>
            </w:r>
          </w:p>
        </w:tc>
        <w:tc>
          <w:tcPr>
            <w:tcW w:w="0" w:type="auto"/>
            <w:hideMark/>
          </w:tcPr>
          <w:p w14:paraId="71BE84EA"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SKIMS, Patagonia</w:t>
            </w:r>
          </w:p>
        </w:tc>
        <w:tc>
          <w:tcPr>
            <w:tcW w:w="0" w:type="auto"/>
            <w:hideMark/>
          </w:tcPr>
          <w:p w14:paraId="34FDE7B0" w14:textId="77777777" w:rsidR="009A50FB" w:rsidRPr="009A50FB" w:rsidRDefault="009A50FB" w:rsidP="009A50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Rebrands sustainability as style</w:t>
            </w:r>
          </w:p>
        </w:tc>
      </w:tr>
      <w:tr w:rsidR="009A50FB" w:rsidRPr="009A50FB" w14:paraId="4E0EAD80"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0D6939" w14:textId="77777777" w:rsidR="009A50FB" w:rsidRPr="009A50FB" w:rsidRDefault="009A50FB" w:rsidP="009A50FB">
            <w:pPr>
              <w:spacing w:line="276" w:lineRule="auto"/>
              <w:rPr>
                <w:rFonts w:ascii="Arial" w:hAnsi="Arial" w:cs="Arial"/>
              </w:rPr>
            </w:pPr>
            <w:r w:rsidRPr="009A50FB">
              <w:rPr>
                <w:rFonts w:ascii="Arial" w:hAnsi="Arial" w:cs="Arial"/>
              </w:rPr>
              <w:t>Technological Optimism</w:t>
            </w:r>
          </w:p>
        </w:tc>
        <w:tc>
          <w:tcPr>
            <w:tcW w:w="0" w:type="auto"/>
            <w:hideMark/>
          </w:tcPr>
          <w:p w14:paraId="018A7FA9"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Innovation as climate solution</w:t>
            </w:r>
          </w:p>
        </w:tc>
        <w:tc>
          <w:tcPr>
            <w:tcW w:w="0" w:type="auto"/>
            <w:hideMark/>
          </w:tcPr>
          <w:p w14:paraId="3950229A"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Hope, Optimism</w:t>
            </w:r>
          </w:p>
        </w:tc>
        <w:tc>
          <w:tcPr>
            <w:tcW w:w="0" w:type="auto"/>
            <w:hideMark/>
          </w:tcPr>
          <w:p w14:paraId="524C4E3B"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Tata Motors, Samsung, Amazon</w:t>
            </w:r>
          </w:p>
        </w:tc>
        <w:tc>
          <w:tcPr>
            <w:tcW w:w="0" w:type="auto"/>
            <w:hideMark/>
          </w:tcPr>
          <w:p w14:paraId="5461FC08" w14:textId="77777777" w:rsidR="009A50FB" w:rsidRPr="009A50FB" w:rsidRDefault="009A50FB" w:rsidP="009A50F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Frames tech as moral progress</w:t>
            </w:r>
          </w:p>
        </w:tc>
      </w:tr>
    </w:tbl>
    <w:p w14:paraId="2422E53D" w14:textId="77777777" w:rsidR="009A50FB" w:rsidRDefault="009A50FB" w:rsidP="009A50FB">
      <w:pPr>
        <w:pStyle w:val="Body"/>
        <w:spacing w:after="0"/>
        <w:rPr>
          <w:rFonts w:ascii="Arial" w:hAnsi="Arial" w:cs="Arial"/>
        </w:rPr>
      </w:pPr>
    </w:p>
    <w:p w14:paraId="69C1118D" w14:textId="77777777" w:rsidR="009A50FB" w:rsidRPr="009A50FB" w:rsidRDefault="009A50FB" w:rsidP="009A50FB">
      <w:pPr>
        <w:pStyle w:val="Body"/>
        <w:rPr>
          <w:rFonts w:ascii="Arial" w:hAnsi="Arial" w:cs="Arial"/>
        </w:rPr>
      </w:pPr>
      <w:r w:rsidRPr="009A50FB">
        <w:rPr>
          <w:rFonts w:ascii="Arial" w:hAnsi="Arial" w:cs="Arial"/>
        </w:rPr>
        <w:t xml:space="preserve">Table </w:t>
      </w:r>
      <w:r>
        <w:rPr>
          <w:rFonts w:ascii="Arial" w:hAnsi="Arial" w:cs="Arial"/>
        </w:rPr>
        <w:t>2</w:t>
      </w:r>
      <w:r w:rsidRPr="009A50FB">
        <w:rPr>
          <w:rFonts w:ascii="Arial" w:hAnsi="Arial" w:cs="Arial"/>
        </w:rPr>
        <w:t>. Summary of Thematic Frames in Corporate Sustainability Advertising (2021–2024)</w:t>
      </w:r>
    </w:p>
    <w:p w14:paraId="2ECB3780" w14:textId="77777777" w:rsidR="009A50FB" w:rsidRPr="009A50FB" w:rsidRDefault="009A50FB" w:rsidP="009A50FB">
      <w:pPr>
        <w:pStyle w:val="Body"/>
        <w:jc w:val="left"/>
        <w:rPr>
          <w:rFonts w:ascii="Arial" w:hAnsi="Arial" w:cs="Arial"/>
          <w:b/>
          <w:bCs/>
          <w:u w:val="single"/>
        </w:rPr>
      </w:pPr>
      <w:r w:rsidRPr="009A50FB">
        <w:rPr>
          <w:rFonts w:ascii="Arial" w:hAnsi="Arial" w:cs="Arial"/>
          <w:b/>
          <w:bCs/>
          <w:u w:val="single"/>
        </w:rPr>
        <w:t>4.3. Emotional and Semiotic Patterns</w:t>
      </w:r>
    </w:p>
    <w:p w14:paraId="451CE4D8" w14:textId="77777777" w:rsidR="009A50FB" w:rsidRPr="009A50FB" w:rsidRDefault="009A50FB" w:rsidP="009A50FB">
      <w:pPr>
        <w:pStyle w:val="Body"/>
        <w:rPr>
          <w:rFonts w:ascii="Arial" w:hAnsi="Arial" w:cs="Arial"/>
        </w:rPr>
      </w:pPr>
      <w:r w:rsidRPr="009A50FB">
        <w:rPr>
          <w:rFonts w:ascii="Arial" w:hAnsi="Arial" w:cs="Arial"/>
        </w:rPr>
        <w:t>Emotionally, five dominant appeals were coded: hope, empowerment, guilt, aspiration, and humor. These emotions regulate the moral economy of the ads, aligning with Ahmed’s (2010) politics of emotion, where affect organizes ethical relations.</w:t>
      </w:r>
    </w:p>
    <w:p w14:paraId="008406EB" w14:textId="77777777" w:rsidR="009A50FB" w:rsidRPr="009A50FB" w:rsidRDefault="009A50FB" w:rsidP="009A50FB">
      <w:pPr>
        <w:pStyle w:val="Body"/>
        <w:rPr>
          <w:rFonts w:ascii="Arial" w:hAnsi="Arial" w:cs="Arial"/>
        </w:rPr>
      </w:pPr>
      <w:r w:rsidRPr="009A50FB">
        <w:rPr>
          <w:rFonts w:ascii="Arial" w:hAnsi="Arial" w:cs="Arial"/>
        </w:rPr>
        <w:t>Positive affect (hope, empowerment) motivates consumer participation, while negative affect (guilt) is quickly resolved through purchasing the “right” products. Semiotic analysis shows consistent use of nature imagery, pastel or “earth tone” color palettes, and minimalist aesthetics—all designed to signal purity and ecological authenticity (Bailey et al., 2016).</w:t>
      </w:r>
    </w:p>
    <w:p w14:paraId="640A0DAE" w14:textId="77777777" w:rsidR="00376BBE" w:rsidRDefault="009A50FB" w:rsidP="009A50FB">
      <w:pPr>
        <w:pStyle w:val="Body"/>
        <w:spacing w:after="0"/>
        <w:rPr>
          <w:rFonts w:ascii="Arial" w:hAnsi="Arial" w:cs="Arial"/>
        </w:rPr>
      </w:pPr>
      <w:r w:rsidRPr="009A50FB">
        <w:rPr>
          <w:rFonts w:ascii="Arial" w:hAnsi="Arial" w:cs="Arial"/>
        </w:rPr>
        <w:t>However, this repetition creates what Lury (2020) calls “aesthetic saturation”—a visual sameness that empties sustainability of political meaning, transforming it into a branding aesthetic.</w:t>
      </w:r>
    </w:p>
    <w:p w14:paraId="6D752167" w14:textId="62240DCC" w:rsidR="007812CB" w:rsidRPr="007812CB" w:rsidRDefault="008A3626" w:rsidP="007812CB">
      <w:pPr>
        <w:pStyle w:val="Body"/>
        <w:spacing w:after="0"/>
        <w:rPr>
          <w:rFonts w:ascii="Arial" w:hAnsi="Arial" w:cs="Arial"/>
          <w:bCs/>
          <w:u w:val="single"/>
        </w:rPr>
      </w:pPr>
      <w:r>
        <w:rPr>
          <w:rFonts w:ascii="Arial" w:hAnsi="Arial" w:cs="Arial"/>
        </w:rPr>
        <w:t>Table 3</w:t>
      </w:r>
      <w:r w:rsidR="005E571A">
        <w:rPr>
          <w:rFonts w:ascii="Arial" w:hAnsi="Arial" w:cs="Arial"/>
        </w:rPr>
        <w:t xml:space="preserve">. </w:t>
      </w:r>
      <w:r w:rsidR="007812CB" w:rsidRPr="007812CB">
        <w:rPr>
          <w:rFonts w:ascii="Arial" w:hAnsi="Arial" w:cs="Arial"/>
          <w:bCs/>
        </w:rPr>
        <w:t>Emotional and Semiotic</w:t>
      </w:r>
      <w:r w:rsidR="007812CB">
        <w:rPr>
          <w:rFonts w:ascii="Arial" w:hAnsi="Arial" w:cs="Arial"/>
          <w:bCs/>
        </w:rPr>
        <w:t xml:space="preserve"> </w:t>
      </w:r>
      <w:r w:rsidR="007812CB" w:rsidRPr="007812CB">
        <w:rPr>
          <w:rFonts w:ascii="Arial" w:hAnsi="Arial" w:cs="Arial"/>
          <w:bCs/>
        </w:rPr>
        <w:t xml:space="preserve">analysis </w:t>
      </w:r>
    </w:p>
    <w:p w14:paraId="10E20B69" w14:textId="418F6008" w:rsidR="008A3626" w:rsidRDefault="008A3626" w:rsidP="009A50FB">
      <w:pPr>
        <w:pStyle w:val="Body"/>
        <w:spacing w:after="0"/>
        <w:rPr>
          <w:rFonts w:ascii="Arial" w:hAnsi="Arial" w:cs="Arial"/>
        </w:rPr>
      </w:pPr>
    </w:p>
    <w:tbl>
      <w:tblPr>
        <w:tblStyle w:val="PlainTable3"/>
        <w:tblW w:w="9586" w:type="dxa"/>
        <w:tblLook w:val="04A0" w:firstRow="1" w:lastRow="0" w:firstColumn="1" w:lastColumn="0" w:noHBand="0" w:noVBand="1"/>
      </w:tblPr>
      <w:tblGrid>
        <w:gridCol w:w="1839"/>
        <w:gridCol w:w="2848"/>
        <w:gridCol w:w="2408"/>
        <w:gridCol w:w="2491"/>
      </w:tblGrid>
      <w:tr w:rsidR="009A50FB" w:rsidRPr="009A50FB" w14:paraId="24D299B3" w14:textId="77777777" w:rsidTr="009A50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0BBC1C6" w14:textId="77777777" w:rsidR="009A50FB" w:rsidRPr="009A50FB" w:rsidRDefault="009A50FB" w:rsidP="009A50FB">
            <w:pPr>
              <w:spacing w:after="160" w:line="276" w:lineRule="auto"/>
              <w:jc w:val="both"/>
              <w:rPr>
                <w:rFonts w:ascii="Arial" w:hAnsi="Arial" w:cs="Arial"/>
                <w:b w:val="0"/>
                <w:bCs w:val="0"/>
              </w:rPr>
            </w:pPr>
            <w:r w:rsidRPr="009A50FB">
              <w:rPr>
                <w:rFonts w:ascii="Arial" w:hAnsi="Arial" w:cs="Arial"/>
              </w:rPr>
              <w:t>Emotion</w:t>
            </w:r>
          </w:p>
        </w:tc>
        <w:tc>
          <w:tcPr>
            <w:tcW w:w="0" w:type="auto"/>
            <w:hideMark/>
          </w:tcPr>
          <w:p w14:paraId="6E05AE01" w14:textId="77777777" w:rsidR="009A50FB" w:rsidRPr="009A50FB" w:rsidRDefault="009A50FB" w:rsidP="009A50FB">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Common Representation</w:t>
            </w:r>
          </w:p>
        </w:tc>
        <w:tc>
          <w:tcPr>
            <w:tcW w:w="0" w:type="auto"/>
            <w:hideMark/>
          </w:tcPr>
          <w:p w14:paraId="6AF15DE9" w14:textId="77777777" w:rsidR="009A50FB" w:rsidRPr="009A50FB" w:rsidRDefault="009A50FB" w:rsidP="009A50FB">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Psychological Impact</w:t>
            </w:r>
          </w:p>
        </w:tc>
        <w:tc>
          <w:tcPr>
            <w:tcW w:w="2491" w:type="dxa"/>
            <w:hideMark/>
          </w:tcPr>
          <w:p w14:paraId="48ACB618" w14:textId="77777777" w:rsidR="009A50FB" w:rsidRPr="009A50FB" w:rsidRDefault="009A50FB" w:rsidP="009A50FB">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50FB">
              <w:rPr>
                <w:rFonts w:ascii="Arial" w:hAnsi="Arial" w:cs="Arial"/>
              </w:rPr>
              <w:t>Example from Campaigns</w:t>
            </w:r>
          </w:p>
        </w:tc>
      </w:tr>
      <w:tr w:rsidR="009A50FB" w:rsidRPr="009A50FB" w14:paraId="2762B00E"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5F3FD8" w14:textId="77777777" w:rsidR="009A50FB" w:rsidRPr="009A50FB" w:rsidRDefault="009A50FB" w:rsidP="009A50FB">
            <w:pPr>
              <w:spacing w:after="160" w:line="276" w:lineRule="auto"/>
              <w:jc w:val="both"/>
              <w:rPr>
                <w:rFonts w:ascii="Arial" w:hAnsi="Arial" w:cs="Arial"/>
              </w:rPr>
            </w:pPr>
            <w:r w:rsidRPr="009A50FB">
              <w:rPr>
                <w:rFonts w:ascii="Arial" w:hAnsi="Arial" w:cs="Arial"/>
              </w:rPr>
              <w:t>Hope</w:t>
            </w:r>
          </w:p>
        </w:tc>
        <w:tc>
          <w:tcPr>
            <w:tcW w:w="0" w:type="auto"/>
            <w:hideMark/>
          </w:tcPr>
          <w:p w14:paraId="672116CF"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Future-oriented imagery, green landscapes</w:t>
            </w:r>
          </w:p>
        </w:tc>
        <w:tc>
          <w:tcPr>
            <w:tcW w:w="0" w:type="auto"/>
            <w:hideMark/>
          </w:tcPr>
          <w:p w14:paraId="7B74FF21"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Inspires optimism</w:t>
            </w:r>
          </w:p>
        </w:tc>
        <w:tc>
          <w:tcPr>
            <w:tcW w:w="2491" w:type="dxa"/>
            <w:hideMark/>
          </w:tcPr>
          <w:p w14:paraId="526C7F76"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Apple “Mother Nature” (2023)</w:t>
            </w:r>
          </w:p>
        </w:tc>
      </w:tr>
      <w:tr w:rsidR="009A50FB" w:rsidRPr="009A50FB" w14:paraId="5AFF0038" w14:textId="77777777" w:rsidTr="009A50FB">
        <w:tc>
          <w:tcPr>
            <w:cnfStyle w:val="001000000000" w:firstRow="0" w:lastRow="0" w:firstColumn="1" w:lastColumn="0" w:oddVBand="0" w:evenVBand="0" w:oddHBand="0" w:evenHBand="0" w:firstRowFirstColumn="0" w:firstRowLastColumn="0" w:lastRowFirstColumn="0" w:lastRowLastColumn="0"/>
            <w:tcW w:w="0" w:type="auto"/>
            <w:hideMark/>
          </w:tcPr>
          <w:p w14:paraId="1008C8EE" w14:textId="77777777" w:rsidR="009A50FB" w:rsidRPr="009A50FB" w:rsidRDefault="009A50FB" w:rsidP="009A50FB">
            <w:pPr>
              <w:spacing w:after="160" w:line="276" w:lineRule="auto"/>
              <w:jc w:val="both"/>
              <w:rPr>
                <w:rFonts w:ascii="Arial" w:hAnsi="Arial" w:cs="Arial"/>
              </w:rPr>
            </w:pPr>
            <w:r w:rsidRPr="009A50FB">
              <w:rPr>
                <w:rFonts w:ascii="Arial" w:hAnsi="Arial" w:cs="Arial"/>
              </w:rPr>
              <w:t>Guilt</w:t>
            </w:r>
          </w:p>
        </w:tc>
        <w:tc>
          <w:tcPr>
            <w:tcW w:w="0" w:type="auto"/>
            <w:hideMark/>
          </w:tcPr>
          <w:p w14:paraId="3C10FCA5" w14:textId="77777777" w:rsidR="009A50FB" w:rsidRPr="009A50FB" w:rsidRDefault="009A50FB" w:rsidP="009A50F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Environmental harm due to inaction</w:t>
            </w:r>
          </w:p>
        </w:tc>
        <w:tc>
          <w:tcPr>
            <w:tcW w:w="0" w:type="auto"/>
            <w:hideMark/>
          </w:tcPr>
          <w:p w14:paraId="72B929E5" w14:textId="77777777" w:rsidR="009A50FB" w:rsidRPr="009A50FB" w:rsidRDefault="009A50FB" w:rsidP="009A50F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Triggers compensatory behavior</w:t>
            </w:r>
          </w:p>
        </w:tc>
        <w:tc>
          <w:tcPr>
            <w:tcW w:w="2491" w:type="dxa"/>
            <w:hideMark/>
          </w:tcPr>
          <w:p w14:paraId="44891BDF" w14:textId="77777777" w:rsidR="009A50FB" w:rsidRPr="009A50FB" w:rsidRDefault="009A50FB" w:rsidP="009A50F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H&amp;M “Conscious Collection”</w:t>
            </w:r>
          </w:p>
        </w:tc>
      </w:tr>
      <w:tr w:rsidR="009A50FB" w:rsidRPr="009A50FB" w14:paraId="2D98F457"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B845C1" w14:textId="77777777" w:rsidR="009A50FB" w:rsidRPr="009A50FB" w:rsidRDefault="009A50FB" w:rsidP="009A50FB">
            <w:pPr>
              <w:spacing w:after="160" w:line="276" w:lineRule="auto"/>
              <w:jc w:val="both"/>
              <w:rPr>
                <w:rFonts w:ascii="Arial" w:hAnsi="Arial" w:cs="Arial"/>
              </w:rPr>
            </w:pPr>
            <w:r w:rsidRPr="009A50FB">
              <w:rPr>
                <w:rFonts w:ascii="Arial" w:hAnsi="Arial" w:cs="Arial"/>
              </w:rPr>
              <w:t>Empowerment</w:t>
            </w:r>
          </w:p>
        </w:tc>
        <w:tc>
          <w:tcPr>
            <w:tcW w:w="0" w:type="auto"/>
            <w:hideMark/>
          </w:tcPr>
          <w:p w14:paraId="4F58B5AF"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Youth activism, personal agency</w:t>
            </w:r>
          </w:p>
        </w:tc>
        <w:tc>
          <w:tcPr>
            <w:tcW w:w="0" w:type="auto"/>
            <w:hideMark/>
          </w:tcPr>
          <w:p w14:paraId="193ED9BC"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Builds identity-driven action</w:t>
            </w:r>
          </w:p>
        </w:tc>
        <w:tc>
          <w:tcPr>
            <w:tcW w:w="2491" w:type="dxa"/>
            <w:hideMark/>
          </w:tcPr>
          <w:p w14:paraId="1B33CF00"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Nike “Move to Zero”</w:t>
            </w:r>
          </w:p>
        </w:tc>
      </w:tr>
      <w:tr w:rsidR="009A50FB" w:rsidRPr="009A50FB" w14:paraId="4FFD45A4" w14:textId="77777777" w:rsidTr="009A50FB">
        <w:tc>
          <w:tcPr>
            <w:cnfStyle w:val="001000000000" w:firstRow="0" w:lastRow="0" w:firstColumn="1" w:lastColumn="0" w:oddVBand="0" w:evenVBand="0" w:oddHBand="0" w:evenHBand="0" w:firstRowFirstColumn="0" w:firstRowLastColumn="0" w:lastRowFirstColumn="0" w:lastRowLastColumn="0"/>
            <w:tcW w:w="0" w:type="auto"/>
            <w:hideMark/>
          </w:tcPr>
          <w:p w14:paraId="5FE27011" w14:textId="77777777" w:rsidR="009A50FB" w:rsidRPr="009A50FB" w:rsidRDefault="009A50FB" w:rsidP="009A50FB">
            <w:pPr>
              <w:spacing w:after="160" w:line="276" w:lineRule="auto"/>
              <w:jc w:val="both"/>
              <w:rPr>
                <w:rFonts w:ascii="Arial" w:hAnsi="Arial" w:cs="Arial"/>
              </w:rPr>
            </w:pPr>
            <w:r w:rsidRPr="009A50FB">
              <w:rPr>
                <w:rFonts w:ascii="Arial" w:hAnsi="Arial" w:cs="Arial"/>
              </w:rPr>
              <w:t>Aspiration</w:t>
            </w:r>
          </w:p>
        </w:tc>
        <w:tc>
          <w:tcPr>
            <w:tcW w:w="0" w:type="auto"/>
            <w:hideMark/>
          </w:tcPr>
          <w:p w14:paraId="0CF21A70" w14:textId="77777777" w:rsidR="009A50FB" w:rsidRPr="009A50FB" w:rsidRDefault="009A50FB" w:rsidP="009A50F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Luxury lifestyle and eco-status</w:t>
            </w:r>
          </w:p>
        </w:tc>
        <w:tc>
          <w:tcPr>
            <w:tcW w:w="0" w:type="auto"/>
            <w:hideMark/>
          </w:tcPr>
          <w:p w14:paraId="3EED017F" w14:textId="77777777" w:rsidR="009A50FB" w:rsidRPr="009A50FB" w:rsidRDefault="009A50FB" w:rsidP="009A50F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Converts ethics into aesthetics</w:t>
            </w:r>
          </w:p>
        </w:tc>
        <w:tc>
          <w:tcPr>
            <w:tcW w:w="2491" w:type="dxa"/>
            <w:hideMark/>
          </w:tcPr>
          <w:p w14:paraId="255F3191" w14:textId="77777777" w:rsidR="009A50FB" w:rsidRPr="009A50FB" w:rsidRDefault="009A50FB" w:rsidP="009A50F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50FB">
              <w:rPr>
                <w:rFonts w:ascii="Arial" w:hAnsi="Arial" w:cs="Arial"/>
              </w:rPr>
              <w:t>SKIMS “Eco Soft”</w:t>
            </w:r>
          </w:p>
        </w:tc>
      </w:tr>
      <w:tr w:rsidR="009A50FB" w:rsidRPr="009A50FB" w14:paraId="15AAF304" w14:textId="77777777" w:rsidTr="009A5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6586BC" w14:textId="77777777" w:rsidR="009A50FB" w:rsidRPr="009A50FB" w:rsidRDefault="009A50FB" w:rsidP="009A50FB">
            <w:pPr>
              <w:spacing w:after="160" w:line="276" w:lineRule="auto"/>
              <w:jc w:val="both"/>
              <w:rPr>
                <w:rFonts w:ascii="Arial" w:hAnsi="Arial" w:cs="Arial"/>
              </w:rPr>
            </w:pPr>
            <w:r w:rsidRPr="009A50FB">
              <w:rPr>
                <w:rFonts w:ascii="Arial" w:hAnsi="Arial" w:cs="Arial"/>
              </w:rPr>
              <w:t>Humor</w:t>
            </w:r>
          </w:p>
        </w:tc>
        <w:tc>
          <w:tcPr>
            <w:tcW w:w="0" w:type="auto"/>
            <w:hideMark/>
          </w:tcPr>
          <w:p w14:paraId="4BEEB230"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Self-aware irony</w:t>
            </w:r>
          </w:p>
        </w:tc>
        <w:tc>
          <w:tcPr>
            <w:tcW w:w="0" w:type="auto"/>
            <w:hideMark/>
          </w:tcPr>
          <w:p w14:paraId="1F36B7C0"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Humanizes corporate voice</w:t>
            </w:r>
          </w:p>
        </w:tc>
        <w:tc>
          <w:tcPr>
            <w:tcW w:w="2491" w:type="dxa"/>
            <w:hideMark/>
          </w:tcPr>
          <w:p w14:paraId="11341233" w14:textId="77777777" w:rsidR="009A50FB" w:rsidRPr="009A50FB" w:rsidRDefault="009A50FB" w:rsidP="009A50F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50FB">
              <w:rPr>
                <w:rFonts w:ascii="Arial" w:hAnsi="Arial" w:cs="Arial"/>
              </w:rPr>
              <w:t>Unilever “Sustainable Living”</w:t>
            </w:r>
          </w:p>
        </w:tc>
      </w:tr>
    </w:tbl>
    <w:p w14:paraId="5A3994AD" w14:textId="77777777" w:rsidR="009A50FB" w:rsidRDefault="009A50FB" w:rsidP="009A50FB">
      <w:pPr>
        <w:pStyle w:val="Body"/>
        <w:spacing w:after="0"/>
        <w:rPr>
          <w:rFonts w:ascii="Arial" w:hAnsi="Arial" w:cs="Arial"/>
        </w:rPr>
      </w:pPr>
    </w:p>
    <w:p w14:paraId="6E09A1D6" w14:textId="77777777" w:rsidR="00254DC6" w:rsidRPr="00942049" w:rsidRDefault="00254DC6" w:rsidP="00254DC6">
      <w:pPr>
        <w:autoSpaceDE w:val="0"/>
        <w:autoSpaceDN w:val="0"/>
        <w:adjustRightInd w:val="0"/>
        <w:jc w:val="both"/>
        <w:rPr>
          <w:rFonts w:ascii="Arial" w:hAnsi="Arial" w:cs="Arial"/>
          <w:b/>
          <w:bCs/>
          <w:sz w:val="22"/>
          <w:szCs w:val="22"/>
          <w:u w:val="single"/>
        </w:rPr>
      </w:pPr>
      <w:r w:rsidRPr="00942049">
        <w:rPr>
          <w:rFonts w:ascii="Arial" w:hAnsi="Arial" w:cs="Arial"/>
          <w:b/>
          <w:bCs/>
          <w:sz w:val="22"/>
          <w:szCs w:val="22"/>
          <w:u w:val="single"/>
        </w:rPr>
        <w:t>4.4. Celebrity and Influencer Mediation</w:t>
      </w:r>
    </w:p>
    <w:p w14:paraId="02928BA7" w14:textId="77777777" w:rsidR="00942049" w:rsidRPr="00254DC6" w:rsidRDefault="00942049" w:rsidP="00942049">
      <w:pPr>
        <w:autoSpaceDE w:val="0"/>
        <w:autoSpaceDN w:val="0"/>
        <w:adjustRightInd w:val="0"/>
        <w:jc w:val="both"/>
        <w:rPr>
          <w:rFonts w:ascii="Arial" w:hAnsi="Arial" w:cs="Arial"/>
        </w:rPr>
      </w:pPr>
      <w:r w:rsidRPr="00254DC6">
        <w:rPr>
          <w:rFonts w:ascii="Arial" w:hAnsi="Arial" w:cs="Arial"/>
        </w:rPr>
        <w:lastRenderedPageBreak/>
        <w:t>Celebrity-led eco-branding—such as Kim Kardashian’s SKIMS “Eco Soft”, Gwyneth Paltrow’s Goop, or Leonardo DiCaprio’s environmental ventures—extends sustainability discourse into aspirational lifestyle domains.</w:t>
      </w:r>
    </w:p>
    <w:p w14:paraId="4B04315A" w14:textId="77777777" w:rsidR="00942049" w:rsidRPr="00254DC6" w:rsidRDefault="00942049" w:rsidP="00942049">
      <w:pPr>
        <w:autoSpaceDE w:val="0"/>
        <w:autoSpaceDN w:val="0"/>
        <w:adjustRightInd w:val="0"/>
        <w:jc w:val="both"/>
        <w:rPr>
          <w:rFonts w:ascii="Arial" w:hAnsi="Arial" w:cs="Arial"/>
        </w:rPr>
      </w:pPr>
      <w:r w:rsidRPr="00254DC6">
        <w:rPr>
          <w:rFonts w:ascii="Arial" w:hAnsi="Arial" w:cs="Arial"/>
        </w:rPr>
        <w:t>These figures lend moral credibility through celebrity capital (</w:t>
      </w:r>
      <w:proofErr w:type="spellStart"/>
      <w:r w:rsidRPr="00254DC6">
        <w:rPr>
          <w:rFonts w:ascii="Arial" w:hAnsi="Arial" w:cs="Arial"/>
        </w:rPr>
        <w:t>Driessens</w:t>
      </w:r>
      <w:proofErr w:type="spellEnd"/>
      <w:r w:rsidRPr="00254DC6">
        <w:rPr>
          <w:rFonts w:ascii="Arial" w:hAnsi="Arial" w:cs="Arial"/>
        </w:rPr>
        <w:t>, 2013), translating environmental care into personal branding. Yet, such performances often aestheticize sustainability as a form of luxury consumption rather than collective responsibility (Hearn, 2008).</w:t>
      </w:r>
    </w:p>
    <w:p w14:paraId="7AE61F90" w14:textId="77777777" w:rsidR="00942049" w:rsidRPr="00254DC6" w:rsidRDefault="00942049" w:rsidP="00942049">
      <w:pPr>
        <w:autoSpaceDE w:val="0"/>
        <w:autoSpaceDN w:val="0"/>
        <w:adjustRightInd w:val="0"/>
        <w:jc w:val="both"/>
        <w:rPr>
          <w:rFonts w:ascii="Arial" w:hAnsi="Arial" w:cs="Arial"/>
        </w:rPr>
      </w:pPr>
      <w:r w:rsidRPr="00254DC6">
        <w:rPr>
          <w:rFonts w:ascii="Arial" w:hAnsi="Arial" w:cs="Arial"/>
        </w:rPr>
        <w:t>For example, SKIMS’ “eco” collection markets comfort and sensuality rather than material transparency about sourcing or emissions. This aligns with Klein’s (2019) critique of green capitalism, where ecological awareness becomes a marketing differentiator instead of a moral imperative.</w:t>
      </w:r>
    </w:p>
    <w:p w14:paraId="6955CE4C" w14:textId="77777777" w:rsidR="00942049" w:rsidRDefault="00942049" w:rsidP="00942049">
      <w:pPr>
        <w:autoSpaceDE w:val="0"/>
        <w:autoSpaceDN w:val="0"/>
        <w:adjustRightInd w:val="0"/>
        <w:rPr>
          <w:rFonts w:ascii="Arial" w:hAnsi="Arial" w:cs="Arial"/>
          <w:b/>
          <w:bCs/>
          <w:u w:val="single"/>
        </w:rPr>
      </w:pPr>
      <w:r w:rsidRPr="00254DC6">
        <w:rPr>
          <w:rFonts w:ascii="Arial" w:hAnsi="Arial" w:cs="Arial"/>
          <w:b/>
          <w:bCs/>
          <w:u w:val="single"/>
        </w:rPr>
        <w:t>4.5. Displacement and Systemic Silence</w:t>
      </w:r>
    </w:p>
    <w:p w14:paraId="1BD82489" w14:textId="77777777" w:rsidR="00942049" w:rsidRPr="00254DC6" w:rsidRDefault="00942049" w:rsidP="00942049">
      <w:pPr>
        <w:autoSpaceDE w:val="0"/>
        <w:autoSpaceDN w:val="0"/>
        <w:adjustRightInd w:val="0"/>
        <w:rPr>
          <w:rFonts w:ascii="Arial" w:hAnsi="Arial" w:cs="Arial"/>
          <w:b/>
          <w:bCs/>
          <w:u w:val="single"/>
        </w:rPr>
      </w:pPr>
    </w:p>
    <w:p w14:paraId="4DFE56F6" w14:textId="77777777" w:rsidR="00942049" w:rsidRPr="00254DC6" w:rsidRDefault="00942049" w:rsidP="00942049">
      <w:pPr>
        <w:autoSpaceDE w:val="0"/>
        <w:autoSpaceDN w:val="0"/>
        <w:adjustRightInd w:val="0"/>
        <w:jc w:val="both"/>
        <w:rPr>
          <w:rFonts w:ascii="Arial" w:hAnsi="Arial" w:cs="Arial"/>
        </w:rPr>
      </w:pPr>
      <w:r w:rsidRPr="00254DC6">
        <w:rPr>
          <w:rFonts w:ascii="Arial" w:hAnsi="Arial" w:cs="Arial"/>
        </w:rPr>
        <w:t>Across the dataset, a consistent absence of structural references was evident—no ad directly addressed supply chains, industrial emissions, or lobbying practices. This systemic silence (Fairclough, 2010) represents a crucial ideological mechanism: environmental harm is symbolically resolved through imagery and slogans rather than substantive acknowledgment.</w:t>
      </w:r>
    </w:p>
    <w:p w14:paraId="1DF12F8E" w14:textId="77777777" w:rsidR="008A3626" w:rsidRDefault="00942049" w:rsidP="00942049">
      <w:pPr>
        <w:autoSpaceDE w:val="0"/>
        <w:autoSpaceDN w:val="0"/>
        <w:adjustRightInd w:val="0"/>
        <w:jc w:val="both"/>
        <w:rPr>
          <w:rFonts w:ascii="Arial" w:hAnsi="Arial" w:cs="Arial"/>
        </w:rPr>
      </w:pPr>
      <w:r w:rsidRPr="00254DC6">
        <w:rPr>
          <w:rFonts w:ascii="Arial" w:hAnsi="Arial" w:cs="Arial"/>
        </w:rPr>
        <w:t xml:space="preserve">Apple, H&amp;M, and Amazon exemplify this pattern. Their sustainability ads use symbols like leaves, cycles, or carbon-neutral badges, but omit quantitative data or third-party verification. </w:t>
      </w:r>
    </w:p>
    <w:p w14:paraId="315B083D" w14:textId="69B03E6B" w:rsidR="00942049" w:rsidRDefault="00942049" w:rsidP="00942049">
      <w:pPr>
        <w:autoSpaceDE w:val="0"/>
        <w:autoSpaceDN w:val="0"/>
        <w:adjustRightInd w:val="0"/>
        <w:jc w:val="both"/>
        <w:rPr>
          <w:rFonts w:ascii="Arial" w:hAnsi="Arial" w:cs="Arial"/>
        </w:rPr>
      </w:pPr>
      <w:r w:rsidRPr="00254DC6">
        <w:rPr>
          <w:rFonts w:ascii="Arial" w:hAnsi="Arial" w:cs="Arial"/>
        </w:rPr>
        <w:t>This visual and linguistic omission maintains corporate authority while minimizing public scrutiny (Lyon &amp; Montgomery, 2015).</w:t>
      </w:r>
    </w:p>
    <w:p w14:paraId="491A0A52" w14:textId="7C627424" w:rsidR="008A3626" w:rsidRDefault="008A3626" w:rsidP="00942049">
      <w:pPr>
        <w:autoSpaceDE w:val="0"/>
        <w:autoSpaceDN w:val="0"/>
        <w:adjustRightInd w:val="0"/>
        <w:jc w:val="both"/>
        <w:rPr>
          <w:rFonts w:ascii="Arial" w:hAnsi="Arial" w:cs="Arial"/>
        </w:rPr>
      </w:pPr>
      <w:r w:rsidRPr="008A3626">
        <w:rPr>
          <w:rFonts w:ascii="Arial" w:hAnsi="Arial" w:cs="Arial"/>
        </w:rPr>
        <w:t>Table 4</w:t>
      </w:r>
      <w:r w:rsidR="005E571A">
        <w:rPr>
          <w:rFonts w:ascii="Arial" w:hAnsi="Arial" w:cs="Arial"/>
        </w:rPr>
        <w:t xml:space="preserve">. </w:t>
      </w:r>
      <w:r w:rsidR="00AE077D">
        <w:rPr>
          <w:rFonts w:ascii="Arial" w:hAnsi="Arial" w:cs="Arial"/>
        </w:rPr>
        <w:t>Types</w:t>
      </w:r>
      <w:r w:rsidR="00AE077D" w:rsidRPr="00AE077D">
        <w:rPr>
          <w:rFonts w:ascii="Arial" w:hAnsi="Arial" w:cs="Arial"/>
        </w:rPr>
        <w:t xml:space="preserve"> of Greenwashing </w:t>
      </w:r>
      <w:r w:rsidR="00AE077D">
        <w:rPr>
          <w:rFonts w:ascii="Arial" w:hAnsi="Arial" w:cs="Arial"/>
        </w:rPr>
        <w:t>and its r</w:t>
      </w:r>
      <w:r w:rsidR="00AE077D" w:rsidRPr="00AE077D">
        <w:rPr>
          <w:rFonts w:ascii="Arial" w:hAnsi="Arial" w:cs="Arial"/>
        </w:rPr>
        <w:t>isk for Credibility</w:t>
      </w:r>
    </w:p>
    <w:p w14:paraId="0C57E315" w14:textId="77777777" w:rsidR="00942049" w:rsidRPr="00254DC6" w:rsidRDefault="00942049" w:rsidP="00942049">
      <w:pPr>
        <w:autoSpaceDE w:val="0"/>
        <w:autoSpaceDN w:val="0"/>
        <w:adjustRightInd w:val="0"/>
        <w:rPr>
          <w:rFonts w:ascii="Arial" w:hAnsi="Arial" w:cs="Arial"/>
          <w:b/>
          <w:bCs/>
          <w:sz w:val="22"/>
          <w:szCs w:val="22"/>
          <w:u w:val="single"/>
        </w:rPr>
      </w:pPr>
    </w:p>
    <w:tbl>
      <w:tblPr>
        <w:tblStyle w:val="GridTable6Colorful"/>
        <w:tblW w:w="0" w:type="auto"/>
        <w:jc w:val="center"/>
        <w:tblLook w:val="04A0" w:firstRow="1" w:lastRow="0" w:firstColumn="1" w:lastColumn="0" w:noHBand="0" w:noVBand="1"/>
      </w:tblPr>
      <w:tblGrid>
        <w:gridCol w:w="3645"/>
        <w:gridCol w:w="3494"/>
        <w:gridCol w:w="2177"/>
        <w:gridCol w:w="1700"/>
      </w:tblGrid>
      <w:tr w:rsidR="00AE077D" w:rsidRPr="00254DC6" w14:paraId="240FB1A8" w14:textId="77777777" w:rsidTr="008A36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AF44B8" w14:textId="72BEC797" w:rsidR="00942049" w:rsidRPr="00254DC6" w:rsidRDefault="00942049" w:rsidP="008A3626">
            <w:pPr>
              <w:spacing w:after="160" w:line="276" w:lineRule="auto"/>
              <w:jc w:val="both"/>
              <w:rPr>
                <w:rFonts w:ascii="Arial" w:hAnsi="Arial" w:cs="Arial"/>
                <w:b w:val="0"/>
                <w:bCs w:val="0"/>
              </w:rPr>
            </w:pPr>
            <w:r w:rsidRPr="00254DC6">
              <w:rPr>
                <w:rFonts w:ascii="Arial" w:hAnsi="Arial" w:cs="Arial"/>
              </w:rPr>
              <w:t>Type of Greenwashing (Delmas &amp; Burbano</w:t>
            </w:r>
            <w:r w:rsidRPr="00254DC6">
              <w:rPr>
                <w:rFonts w:ascii="Arial" w:hAnsi="Arial" w:cs="Arial"/>
                <w:b w:val="0"/>
                <w:bCs w:val="0"/>
              </w:rPr>
              <w:t xml:space="preserve"> </w:t>
            </w:r>
            <w:r w:rsidRPr="00254DC6">
              <w:rPr>
                <w:rFonts w:ascii="Arial" w:hAnsi="Arial" w:cs="Arial"/>
              </w:rPr>
              <w:t>2011)</w:t>
            </w:r>
          </w:p>
        </w:tc>
        <w:tc>
          <w:tcPr>
            <w:tcW w:w="0" w:type="auto"/>
            <w:hideMark/>
          </w:tcPr>
          <w:p w14:paraId="38EC0124" w14:textId="77777777" w:rsidR="00942049" w:rsidRPr="00254DC6" w:rsidRDefault="00942049" w:rsidP="008A3626">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54DC6">
              <w:rPr>
                <w:rFonts w:ascii="Arial" w:hAnsi="Arial" w:cs="Arial"/>
              </w:rPr>
              <w:t>Description</w:t>
            </w:r>
          </w:p>
        </w:tc>
        <w:tc>
          <w:tcPr>
            <w:tcW w:w="0" w:type="auto"/>
            <w:hideMark/>
          </w:tcPr>
          <w:p w14:paraId="50F481B1" w14:textId="77777777" w:rsidR="00942049" w:rsidRPr="00254DC6" w:rsidRDefault="00942049" w:rsidP="008A3626">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54DC6">
              <w:rPr>
                <w:rFonts w:ascii="Arial" w:hAnsi="Arial" w:cs="Arial"/>
              </w:rPr>
              <w:t>Example</w:t>
            </w:r>
          </w:p>
        </w:tc>
        <w:tc>
          <w:tcPr>
            <w:tcW w:w="0" w:type="auto"/>
            <w:hideMark/>
          </w:tcPr>
          <w:p w14:paraId="4F20454E" w14:textId="77777777" w:rsidR="00942049" w:rsidRPr="00254DC6" w:rsidRDefault="00942049" w:rsidP="008A3626">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54DC6">
              <w:rPr>
                <w:rFonts w:ascii="Arial" w:hAnsi="Arial" w:cs="Arial"/>
              </w:rPr>
              <w:t>Risk for Credibility</w:t>
            </w:r>
          </w:p>
        </w:tc>
      </w:tr>
      <w:tr w:rsidR="00AE077D" w:rsidRPr="00254DC6" w14:paraId="73301198" w14:textId="77777777" w:rsidTr="008A36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1F383A" w14:textId="77777777" w:rsidR="00942049" w:rsidRPr="00254DC6" w:rsidRDefault="00942049" w:rsidP="008A3626">
            <w:pPr>
              <w:spacing w:after="160" w:line="276" w:lineRule="auto"/>
              <w:jc w:val="both"/>
              <w:rPr>
                <w:rFonts w:ascii="Arial" w:hAnsi="Arial" w:cs="Arial"/>
              </w:rPr>
            </w:pPr>
            <w:r w:rsidRPr="00254DC6">
              <w:rPr>
                <w:rFonts w:ascii="Arial" w:hAnsi="Arial" w:cs="Arial"/>
              </w:rPr>
              <w:t>Selective Disclosure</w:t>
            </w:r>
          </w:p>
        </w:tc>
        <w:tc>
          <w:tcPr>
            <w:tcW w:w="0" w:type="auto"/>
            <w:hideMark/>
          </w:tcPr>
          <w:p w14:paraId="0DBCB368" w14:textId="77777777" w:rsidR="00942049" w:rsidRPr="00254DC6" w:rsidRDefault="00942049" w:rsidP="008A3626">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4DC6">
              <w:rPr>
                <w:rFonts w:ascii="Arial" w:hAnsi="Arial" w:cs="Arial"/>
              </w:rPr>
              <w:t>Highlighting one positive metric while hiding others</w:t>
            </w:r>
          </w:p>
        </w:tc>
        <w:tc>
          <w:tcPr>
            <w:tcW w:w="0" w:type="auto"/>
            <w:hideMark/>
          </w:tcPr>
          <w:p w14:paraId="1B3B6850" w14:textId="77777777" w:rsidR="00942049" w:rsidRPr="00254DC6" w:rsidRDefault="00942049" w:rsidP="008A3626">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4DC6">
              <w:rPr>
                <w:rFonts w:ascii="Arial" w:hAnsi="Arial" w:cs="Arial"/>
              </w:rPr>
              <w:t>Apple’s carbon-neutral claims</w:t>
            </w:r>
          </w:p>
        </w:tc>
        <w:tc>
          <w:tcPr>
            <w:tcW w:w="0" w:type="auto"/>
            <w:hideMark/>
          </w:tcPr>
          <w:p w14:paraId="511D7C22" w14:textId="77777777" w:rsidR="00942049" w:rsidRPr="00254DC6" w:rsidRDefault="00942049" w:rsidP="008A3626">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4DC6">
              <w:rPr>
                <w:rFonts w:ascii="Arial" w:hAnsi="Arial" w:cs="Arial"/>
              </w:rPr>
              <w:t>Medium–High</w:t>
            </w:r>
          </w:p>
        </w:tc>
      </w:tr>
      <w:tr w:rsidR="00AE077D" w:rsidRPr="00254DC6" w14:paraId="38864557" w14:textId="77777777" w:rsidTr="008A362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1FEDFB" w14:textId="77777777" w:rsidR="00942049" w:rsidRPr="00254DC6" w:rsidRDefault="00942049" w:rsidP="008A3626">
            <w:pPr>
              <w:spacing w:after="160" w:line="276" w:lineRule="auto"/>
              <w:jc w:val="both"/>
              <w:rPr>
                <w:rFonts w:ascii="Arial" w:hAnsi="Arial" w:cs="Arial"/>
              </w:rPr>
            </w:pPr>
            <w:r w:rsidRPr="00254DC6">
              <w:rPr>
                <w:rFonts w:ascii="Arial" w:hAnsi="Arial" w:cs="Arial"/>
              </w:rPr>
              <w:t>Symbolic Actions</w:t>
            </w:r>
          </w:p>
        </w:tc>
        <w:tc>
          <w:tcPr>
            <w:tcW w:w="0" w:type="auto"/>
            <w:hideMark/>
          </w:tcPr>
          <w:p w14:paraId="61F9701A" w14:textId="77777777" w:rsidR="00942049" w:rsidRPr="00254DC6" w:rsidRDefault="00942049" w:rsidP="008A3626">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54DC6">
              <w:rPr>
                <w:rFonts w:ascii="Arial" w:hAnsi="Arial" w:cs="Arial"/>
              </w:rPr>
              <w:t>Sponsorships and PR without structural change</w:t>
            </w:r>
          </w:p>
        </w:tc>
        <w:tc>
          <w:tcPr>
            <w:tcW w:w="0" w:type="auto"/>
            <w:hideMark/>
          </w:tcPr>
          <w:p w14:paraId="394E7EF2" w14:textId="77777777" w:rsidR="00942049" w:rsidRPr="00254DC6" w:rsidRDefault="00942049" w:rsidP="008A3626">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54DC6">
              <w:rPr>
                <w:rFonts w:ascii="Arial" w:hAnsi="Arial" w:cs="Arial"/>
              </w:rPr>
              <w:t>Coca-Cola COP27</w:t>
            </w:r>
          </w:p>
        </w:tc>
        <w:tc>
          <w:tcPr>
            <w:tcW w:w="0" w:type="auto"/>
            <w:hideMark/>
          </w:tcPr>
          <w:p w14:paraId="1368DA2A" w14:textId="77777777" w:rsidR="00942049" w:rsidRPr="00254DC6" w:rsidRDefault="00942049" w:rsidP="008A3626">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54DC6">
              <w:rPr>
                <w:rFonts w:ascii="Arial" w:hAnsi="Arial" w:cs="Arial"/>
              </w:rPr>
              <w:t>High</w:t>
            </w:r>
          </w:p>
        </w:tc>
      </w:tr>
      <w:tr w:rsidR="00AE077D" w:rsidRPr="00254DC6" w14:paraId="5F030252" w14:textId="77777777" w:rsidTr="008A36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1EEA68" w14:textId="77777777" w:rsidR="00942049" w:rsidRPr="00254DC6" w:rsidRDefault="00942049" w:rsidP="008A3626">
            <w:pPr>
              <w:spacing w:after="160" w:line="276" w:lineRule="auto"/>
              <w:jc w:val="both"/>
              <w:rPr>
                <w:rFonts w:ascii="Arial" w:hAnsi="Arial" w:cs="Arial"/>
              </w:rPr>
            </w:pPr>
            <w:r w:rsidRPr="00254DC6">
              <w:rPr>
                <w:rFonts w:ascii="Arial" w:hAnsi="Arial" w:cs="Arial"/>
              </w:rPr>
              <w:t>Vague Language (“eco,” “green”)</w:t>
            </w:r>
          </w:p>
        </w:tc>
        <w:tc>
          <w:tcPr>
            <w:tcW w:w="0" w:type="auto"/>
            <w:hideMark/>
          </w:tcPr>
          <w:p w14:paraId="47135C6A" w14:textId="77777777" w:rsidR="00942049" w:rsidRPr="00254DC6" w:rsidRDefault="00942049" w:rsidP="008A3626">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4DC6">
              <w:rPr>
                <w:rFonts w:ascii="Arial" w:hAnsi="Arial" w:cs="Arial"/>
              </w:rPr>
              <w:t>Ambiguous phrasing without verification</w:t>
            </w:r>
          </w:p>
        </w:tc>
        <w:tc>
          <w:tcPr>
            <w:tcW w:w="0" w:type="auto"/>
            <w:hideMark/>
          </w:tcPr>
          <w:p w14:paraId="4CCD3708" w14:textId="77777777" w:rsidR="00942049" w:rsidRPr="00254DC6" w:rsidRDefault="00942049" w:rsidP="008A3626">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4DC6">
              <w:rPr>
                <w:rFonts w:ascii="Arial" w:hAnsi="Arial" w:cs="Arial"/>
              </w:rPr>
              <w:t>H&amp;M “Join Life”</w:t>
            </w:r>
          </w:p>
        </w:tc>
        <w:tc>
          <w:tcPr>
            <w:tcW w:w="0" w:type="auto"/>
            <w:hideMark/>
          </w:tcPr>
          <w:p w14:paraId="77C516A7" w14:textId="77777777" w:rsidR="00942049" w:rsidRPr="00254DC6" w:rsidRDefault="00942049" w:rsidP="008A3626">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4DC6">
              <w:rPr>
                <w:rFonts w:ascii="Arial" w:hAnsi="Arial" w:cs="Arial"/>
              </w:rPr>
              <w:t>High</w:t>
            </w:r>
          </w:p>
        </w:tc>
      </w:tr>
      <w:tr w:rsidR="00AE077D" w:rsidRPr="00254DC6" w14:paraId="62594700" w14:textId="77777777" w:rsidTr="008A362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7CF529" w14:textId="77777777" w:rsidR="00942049" w:rsidRPr="00254DC6" w:rsidRDefault="00942049" w:rsidP="008A3626">
            <w:pPr>
              <w:spacing w:after="160" w:line="276" w:lineRule="auto"/>
              <w:jc w:val="both"/>
              <w:rPr>
                <w:rFonts w:ascii="Arial" w:hAnsi="Arial" w:cs="Arial"/>
              </w:rPr>
            </w:pPr>
            <w:r w:rsidRPr="00254DC6">
              <w:rPr>
                <w:rFonts w:ascii="Arial" w:hAnsi="Arial" w:cs="Arial"/>
              </w:rPr>
              <w:t>Third-Party Partnerships</w:t>
            </w:r>
          </w:p>
        </w:tc>
        <w:tc>
          <w:tcPr>
            <w:tcW w:w="0" w:type="auto"/>
            <w:hideMark/>
          </w:tcPr>
          <w:p w14:paraId="01D5D28E" w14:textId="77777777" w:rsidR="00942049" w:rsidRPr="00254DC6" w:rsidRDefault="00942049" w:rsidP="008A3626">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54DC6">
              <w:rPr>
                <w:rFonts w:ascii="Arial" w:hAnsi="Arial" w:cs="Arial"/>
              </w:rPr>
              <w:t>Misuse of NGO alignment</w:t>
            </w:r>
          </w:p>
        </w:tc>
        <w:tc>
          <w:tcPr>
            <w:tcW w:w="0" w:type="auto"/>
            <w:hideMark/>
          </w:tcPr>
          <w:p w14:paraId="02FB4EF5" w14:textId="77777777" w:rsidR="00942049" w:rsidRPr="00254DC6" w:rsidRDefault="00942049" w:rsidP="008A3626">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54DC6">
              <w:rPr>
                <w:rFonts w:ascii="Arial" w:hAnsi="Arial" w:cs="Arial"/>
              </w:rPr>
              <w:t>Unilever &amp; WWF tie-ins</w:t>
            </w:r>
          </w:p>
        </w:tc>
        <w:tc>
          <w:tcPr>
            <w:tcW w:w="0" w:type="auto"/>
            <w:hideMark/>
          </w:tcPr>
          <w:p w14:paraId="7E10B76A" w14:textId="77777777" w:rsidR="00942049" w:rsidRPr="00254DC6" w:rsidRDefault="00942049" w:rsidP="008A3626">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54DC6">
              <w:rPr>
                <w:rFonts w:ascii="Arial" w:hAnsi="Arial" w:cs="Arial"/>
              </w:rPr>
              <w:t>Medium</w:t>
            </w:r>
          </w:p>
        </w:tc>
      </w:tr>
    </w:tbl>
    <w:p w14:paraId="1605BA1F" w14:textId="77777777" w:rsidR="00942049" w:rsidRPr="00942049" w:rsidRDefault="00942049" w:rsidP="00942049">
      <w:pPr>
        <w:autoSpaceDE w:val="0"/>
        <w:autoSpaceDN w:val="0"/>
        <w:adjustRightInd w:val="0"/>
        <w:rPr>
          <w:rFonts w:ascii="Arial" w:hAnsi="Arial" w:cs="Arial"/>
          <w:b/>
          <w:bCs/>
          <w:sz w:val="22"/>
          <w:szCs w:val="22"/>
          <w:u w:val="single"/>
        </w:rPr>
      </w:pPr>
    </w:p>
    <w:p w14:paraId="74C1F90C" w14:textId="77777777" w:rsidR="00942049" w:rsidRDefault="00942049" w:rsidP="00942049">
      <w:pPr>
        <w:autoSpaceDE w:val="0"/>
        <w:autoSpaceDN w:val="0"/>
        <w:adjustRightInd w:val="0"/>
        <w:jc w:val="both"/>
        <w:rPr>
          <w:rFonts w:ascii="Arial" w:hAnsi="Arial" w:cs="Arial"/>
        </w:rPr>
      </w:pPr>
    </w:p>
    <w:p w14:paraId="507C2DA1" w14:textId="77777777" w:rsidR="00942049" w:rsidRDefault="00942049" w:rsidP="00942049">
      <w:pPr>
        <w:autoSpaceDE w:val="0"/>
        <w:autoSpaceDN w:val="0"/>
        <w:adjustRightInd w:val="0"/>
        <w:jc w:val="both"/>
        <w:rPr>
          <w:rFonts w:ascii="Arial" w:hAnsi="Arial" w:cs="Arial"/>
        </w:rPr>
      </w:pPr>
    </w:p>
    <w:p w14:paraId="46EF6576" w14:textId="77777777" w:rsidR="00942049" w:rsidRDefault="00942049" w:rsidP="00942049">
      <w:pPr>
        <w:autoSpaceDE w:val="0"/>
        <w:autoSpaceDN w:val="0"/>
        <w:adjustRightInd w:val="0"/>
        <w:rPr>
          <w:rFonts w:ascii="Arial" w:hAnsi="Arial" w:cs="Arial"/>
          <w:b/>
          <w:bCs/>
        </w:rPr>
      </w:pPr>
      <w:r w:rsidRPr="00942049">
        <w:rPr>
          <w:rFonts w:ascii="Arial" w:hAnsi="Arial" w:cs="Arial"/>
          <w:b/>
          <w:bCs/>
        </w:rPr>
        <w:t>4.6. Implications for Climate Communication</w:t>
      </w:r>
    </w:p>
    <w:p w14:paraId="69142FE3" w14:textId="77777777" w:rsidR="00942049" w:rsidRPr="00942049" w:rsidRDefault="00942049" w:rsidP="00942049">
      <w:pPr>
        <w:autoSpaceDE w:val="0"/>
        <w:autoSpaceDN w:val="0"/>
        <w:adjustRightInd w:val="0"/>
        <w:rPr>
          <w:rFonts w:ascii="Arial" w:hAnsi="Arial" w:cs="Arial"/>
          <w:b/>
          <w:bCs/>
        </w:rPr>
      </w:pPr>
    </w:p>
    <w:p w14:paraId="467E175E" w14:textId="77777777" w:rsidR="00942049" w:rsidRPr="00254DC6" w:rsidRDefault="00942049" w:rsidP="00942049">
      <w:pPr>
        <w:autoSpaceDE w:val="0"/>
        <w:autoSpaceDN w:val="0"/>
        <w:adjustRightInd w:val="0"/>
        <w:jc w:val="both"/>
        <w:rPr>
          <w:rFonts w:ascii="Arial" w:hAnsi="Arial" w:cs="Arial"/>
        </w:rPr>
      </w:pPr>
      <w:r w:rsidRPr="00254DC6">
        <w:rPr>
          <w:rFonts w:ascii="Arial" w:hAnsi="Arial" w:cs="Arial"/>
        </w:rPr>
        <w:t>The findings suggest that sustainability advertising functions as a legitimizing discourse. Through aestheticized virtue and emotional framing, corporations manage public perception while stabilizing consumption-based economies.</w:t>
      </w:r>
    </w:p>
    <w:p w14:paraId="6E534D4F" w14:textId="77777777" w:rsidR="00942049" w:rsidRDefault="00942049" w:rsidP="00942049">
      <w:pPr>
        <w:autoSpaceDE w:val="0"/>
        <w:autoSpaceDN w:val="0"/>
        <w:adjustRightInd w:val="0"/>
        <w:jc w:val="both"/>
        <w:rPr>
          <w:rFonts w:ascii="Arial" w:hAnsi="Arial" w:cs="Arial"/>
        </w:rPr>
      </w:pPr>
      <w:r w:rsidRPr="00254DC6">
        <w:rPr>
          <w:rFonts w:ascii="Arial" w:hAnsi="Arial" w:cs="Arial"/>
        </w:rPr>
        <w:t>This poses ethical challenges for environmental communication. As research shows, the greenwashing gap—between symbolic commitment and material change—erodes public trust and may provoke climate cynicism (de Freitas Netto et al., 2020). Regulatory agencies such as the EU and ASA have begun tightening advertising standards on “carbon neutral” and “eco-friendly” claims, yet enforcement remains uneven (European Commission, 2023).</w:t>
      </w:r>
    </w:p>
    <w:p w14:paraId="0CC9B994" w14:textId="77777777" w:rsidR="00942049" w:rsidRDefault="00942049" w:rsidP="00254DC6">
      <w:pPr>
        <w:autoSpaceDE w:val="0"/>
        <w:autoSpaceDN w:val="0"/>
        <w:adjustRightInd w:val="0"/>
        <w:jc w:val="both"/>
        <w:rPr>
          <w:rFonts w:ascii="Arial" w:hAnsi="Arial" w:cs="Arial"/>
        </w:rPr>
      </w:pPr>
    </w:p>
    <w:p w14:paraId="31E10934" w14:textId="77777777" w:rsidR="00254DC6" w:rsidRDefault="00254DC6" w:rsidP="00254DC6">
      <w:pPr>
        <w:autoSpaceDE w:val="0"/>
        <w:autoSpaceDN w:val="0"/>
        <w:adjustRightInd w:val="0"/>
        <w:jc w:val="both"/>
        <w:rPr>
          <w:rFonts w:ascii="Times New Roman" w:hAnsi="Times New Roman"/>
        </w:rPr>
      </w:pPr>
      <w:r w:rsidRPr="00254DC6">
        <w:rPr>
          <w:rFonts w:ascii="Arial" w:hAnsi="Arial" w:cs="Arial"/>
        </w:rPr>
        <w:t>Future communication strategies must therefore reframe sustainability not as individual virtue, but as collective accountability, emphasizing production transparency, policy advocacy, and systemic metrics of change</w:t>
      </w:r>
      <w:r>
        <w:rPr>
          <w:rFonts w:ascii="Times New Roman" w:hAnsi="Times New Roman"/>
        </w:rPr>
        <w:t>.</w:t>
      </w:r>
    </w:p>
    <w:p w14:paraId="212AF0B3" w14:textId="77777777" w:rsidR="00476299" w:rsidRDefault="00476299" w:rsidP="00254DC6">
      <w:pPr>
        <w:autoSpaceDE w:val="0"/>
        <w:autoSpaceDN w:val="0"/>
        <w:adjustRightInd w:val="0"/>
        <w:jc w:val="both"/>
        <w:rPr>
          <w:rFonts w:ascii="Times New Roman" w:hAnsi="Times New Roman"/>
        </w:rPr>
      </w:pPr>
    </w:p>
    <w:p w14:paraId="0760D095" w14:textId="77777777" w:rsidR="00254DC6" w:rsidRPr="00254DC6" w:rsidRDefault="00254DC6" w:rsidP="00254DC6">
      <w:pPr>
        <w:autoSpaceDE w:val="0"/>
        <w:autoSpaceDN w:val="0"/>
        <w:adjustRightInd w:val="0"/>
        <w:rPr>
          <w:rFonts w:ascii="Arial" w:hAnsi="Arial" w:cs="Arial"/>
          <w:b/>
          <w:bCs/>
          <w:u w:val="single"/>
        </w:rPr>
      </w:pPr>
      <w:r w:rsidRPr="00254DC6">
        <w:rPr>
          <w:rFonts w:ascii="Arial" w:hAnsi="Arial" w:cs="Arial"/>
          <w:b/>
          <w:bCs/>
          <w:u w:val="single"/>
        </w:rPr>
        <w:t>4.7- Theoretical Integration</w:t>
      </w:r>
    </w:p>
    <w:p w14:paraId="282E9788" w14:textId="7A0A6440" w:rsidR="00476299" w:rsidRDefault="00254DC6" w:rsidP="00254DC6">
      <w:pPr>
        <w:autoSpaceDE w:val="0"/>
        <w:autoSpaceDN w:val="0"/>
        <w:adjustRightInd w:val="0"/>
        <w:jc w:val="both"/>
        <w:rPr>
          <w:rFonts w:ascii="Arial" w:hAnsi="Arial" w:cs="Arial"/>
        </w:rPr>
      </w:pPr>
      <w:r w:rsidRPr="00254DC6">
        <w:rPr>
          <w:rFonts w:ascii="Arial" w:hAnsi="Arial" w:cs="Arial"/>
        </w:rPr>
        <w:t>These results align with framing theory (</w:t>
      </w:r>
      <w:proofErr w:type="spellStart"/>
      <w:r w:rsidRPr="00254DC6">
        <w:rPr>
          <w:rFonts w:ascii="Arial" w:hAnsi="Arial" w:cs="Arial"/>
        </w:rPr>
        <w:t>Entman</w:t>
      </w:r>
      <w:proofErr w:type="spellEnd"/>
      <w:r w:rsidRPr="00254DC6">
        <w:rPr>
          <w:rFonts w:ascii="Arial" w:hAnsi="Arial" w:cs="Arial"/>
        </w:rPr>
        <w:t xml:space="preserve">, 1993) and consumer culture theory (Arnould &amp; Thompson, 2005), demonstrating how advertising constructs shared cognitive schemas around climate responsibility. The “green consumer” frame redefines civic responsibility as market participation, reflecting neoliberal governance models of </w:t>
      </w:r>
      <w:proofErr w:type="spellStart"/>
      <w:r w:rsidRPr="00254DC6">
        <w:rPr>
          <w:rFonts w:ascii="Arial" w:hAnsi="Arial" w:cs="Arial"/>
        </w:rPr>
        <w:t>responsibilization</w:t>
      </w:r>
      <w:proofErr w:type="spellEnd"/>
      <w:r w:rsidRPr="00254DC6">
        <w:rPr>
          <w:rFonts w:ascii="Arial" w:hAnsi="Arial" w:cs="Arial"/>
        </w:rPr>
        <w:t xml:space="preserve"> (Shamir, 2008; Foucault, 2008</w:t>
      </w:r>
      <w:proofErr w:type="gramStart"/>
      <w:r w:rsidRPr="00254DC6">
        <w:rPr>
          <w:rFonts w:ascii="Arial" w:hAnsi="Arial" w:cs="Arial"/>
        </w:rPr>
        <w:t>).</w:t>
      </w:r>
      <w:r w:rsidR="00476299" w:rsidRPr="00476299">
        <w:rPr>
          <w:rFonts w:ascii="Arial" w:hAnsi="Arial" w:cs="Arial"/>
        </w:rPr>
        <w:t>transforming</w:t>
      </w:r>
      <w:proofErr w:type="gramEnd"/>
      <w:r w:rsidR="00476299" w:rsidRPr="00476299">
        <w:rPr>
          <w:rFonts w:ascii="Arial" w:hAnsi="Arial" w:cs="Arial"/>
        </w:rPr>
        <w:t xml:space="preserve"> environmental ethics into consumer identity, sustainability campaigns sustain capitalism’s moral legitimacy while masking its ecological contradictions. As Klein (2019) argues, this represents capitalism’s adaptive capacity absorbing critique and rebranding it as virtue.</w:t>
      </w:r>
    </w:p>
    <w:p w14:paraId="1E78071D" w14:textId="40F67AAC" w:rsidR="00F8608B" w:rsidRDefault="00F8608B" w:rsidP="00254DC6">
      <w:pPr>
        <w:autoSpaceDE w:val="0"/>
        <w:autoSpaceDN w:val="0"/>
        <w:adjustRightInd w:val="0"/>
        <w:jc w:val="both"/>
        <w:rPr>
          <w:rFonts w:ascii="Arial" w:hAnsi="Arial" w:cs="Arial"/>
        </w:rPr>
      </w:pPr>
    </w:p>
    <w:p w14:paraId="7DB59AAE" w14:textId="135356F6" w:rsidR="00476299" w:rsidRDefault="005B46FF" w:rsidP="00254DC6">
      <w:pPr>
        <w:autoSpaceDE w:val="0"/>
        <w:autoSpaceDN w:val="0"/>
        <w:adjustRightInd w:val="0"/>
        <w:jc w:val="both"/>
        <w:rPr>
          <w:rFonts w:ascii="Arial" w:hAnsi="Arial" w:cs="Arial"/>
        </w:rPr>
      </w:pPr>
      <w:r>
        <w:rPr>
          <w:noProof/>
        </w:rPr>
        <w:pict w14:anchorId="2E93D928">
          <v:shapetype id="_x0000_t202" coordsize="21600,21600" o:spt="202" path="m,l,21600r21600,l21600,xe">
            <v:stroke joinstyle="miter"/>
            <v:path gradientshapeok="t" o:connecttype="rect"/>
          </v:shapetype>
          <v:shape id="_x0000_s1029" type="#_x0000_t202" style="position:absolute;left:0;text-align:left;margin-left:346.55pt;margin-top:4.3pt;width:140.25pt;height:19.45pt;z-index:-251653120;visibility:visible;mso-height-percent:200;mso-wrap-distance-top:3.6pt;mso-wrap-distance-bottom:3.6pt;mso-height-percent:200;mso-width-relative:margin;mso-height-relative:margin" wrapcoords="-99 -831 -99 21600 21699 21600 21699 -831 -99 -831">
            <v:textbox style="mso-next-textbox:#_x0000_s1029;mso-fit-shape-to-text:t">
              <w:txbxContent>
                <w:p w14:paraId="6F6EDCD9" w14:textId="77777777" w:rsidR="00F8608B" w:rsidRDefault="00F8608B" w:rsidP="00F8608B">
                  <w:pPr>
                    <w:jc w:val="center"/>
                  </w:pPr>
                  <w:r>
                    <w:t>EMPOWERMENT(Identity)</w:t>
                  </w:r>
                </w:p>
              </w:txbxContent>
            </v:textbox>
            <w10:wrap type="through"/>
          </v:shape>
        </w:pict>
      </w:r>
      <w:r>
        <w:rPr>
          <w:noProof/>
        </w:rPr>
        <w:pict w14:anchorId="7945CA3D">
          <v:shape id="_x0000_s1028" type="#_x0000_t202" style="position:absolute;left:0;text-align:left;margin-left:162.35pt;margin-top:4.3pt;width:142.65pt;height:19.45pt;z-index:-251655168;visibility:visible;mso-height-percent:200;mso-wrap-distance-top:3.6pt;mso-wrap-distance-bottom:3.6pt;mso-height-percent:200;mso-width-relative:margin;mso-height-relative:margin" wrapcoords="-99 -831 -99 21600 21699 21600 21699 -831 -99 -831">
            <v:textbox style="mso-next-textbox:#_x0000_s1028;mso-fit-shape-to-text:t">
              <w:txbxContent>
                <w:p w14:paraId="2287BA0A" w14:textId="77777777" w:rsidR="00F8608B" w:rsidRDefault="00F8608B" w:rsidP="00F8608B">
                  <w:pPr>
                    <w:jc w:val="center"/>
                  </w:pPr>
                  <w:r>
                    <w:t>REDEMPTION</w:t>
                  </w:r>
                  <w:r w:rsidR="00687B9C">
                    <w:t xml:space="preserve"> </w:t>
                  </w:r>
                  <w:r>
                    <w:t>(purchase)</w:t>
                  </w:r>
                </w:p>
              </w:txbxContent>
            </v:textbox>
            <w10:wrap type="through"/>
          </v:shape>
        </w:pict>
      </w:r>
      <w:r>
        <w:rPr>
          <w:rFonts w:ascii="Arial" w:hAnsi="Arial" w:cs="Arial"/>
          <w:noProof/>
        </w:rPr>
        <w:pict w14:anchorId="78FEAF17">
          <v:shape id="_x0000_s1033" type="#_x0000_t32" style="position:absolute;left:0;text-align:left;margin-left:-10.45pt;margin-top:17.7pt;width:34.95pt;height:0;z-index:251669504" o:connectortype="straight" strokecolor="black [3213]" strokeweight="3pt">
            <v:stroke endarrow="block"/>
            <v:shadow type="perspective" color="#7f7f7f [1601]" opacity=".5" offset="1pt" offset2="-1pt"/>
          </v:shape>
        </w:pict>
      </w:r>
      <w:r>
        <w:rPr>
          <w:noProof/>
        </w:rPr>
        <w:pict w14:anchorId="056C80BF">
          <v:shape id="Text Box 2" o:spid="_x0000_s1027" type="#_x0000_t202" style="position:absolute;left:0;text-align:left;margin-left:1.95pt;margin-top:4.3pt;width:122.85pt;height:19.45pt;z-index:-251657216;visibility:visible;mso-height-percent:200;mso-wrap-distance-top:3.6pt;mso-wrap-distance-bottom:3.6pt;mso-height-percent:200;mso-width-relative:margin;mso-height-relative:margin" wrapcoords="-99 -831 -99 21600 21699 21600 21699 -831 -99 -831">
            <v:textbox style="mso-next-textbox:#Text Box 2;mso-fit-shape-to-text:t">
              <w:txbxContent>
                <w:p w14:paraId="221BCFEE" w14:textId="77777777" w:rsidR="00F8608B" w:rsidRDefault="00F8608B" w:rsidP="00F8608B">
                  <w:pPr>
                    <w:jc w:val="center"/>
                  </w:pPr>
                  <w:r>
                    <w:t>GUILT</w:t>
                  </w:r>
                </w:p>
              </w:txbxContent>
            </v:textbox>
            <w10:wrap type="through"/>
          </v:shape>
        </w:pict>
      </w:r>
    </w:p>
    <w:p w14:paraId="3AFBF96D" w14:textId="77777777" w:rsidR="00F8608B" w:rsidRDefault="005B46FF" w:rsidP="00476299">
      <w:pPr>
        <w:autoSpaceDE w:val="0"/>
        <w:autoSpaceDN w:val="0"/>
        <w:adjustRightInd w:val="0"/>
        <w:jc w:val="both"/>
        <w:rPr>
          <w:rFonts w:ascii="Arial" w:hAnsi="Arial" w:cs="Arial"/>
          <w:b/>
          <w:bCs/>
          <w:sz w:val="22"/>
          <w:szCs w:val="22"/>
          <w:u w:val="single"/>
        </w:rPr>
      </w:pPr>
      <w:r>
        <w:rPr>
          <w:rFonts w:ascii="Arial" w:hAnsi="Arial" w:cs="Arial"/>
          <w:b/>
          <w:bCs/>
          <w:noProof/>
          <w:sz w:val="22"/>
          <w:szCs w:val="22"/>
          <w:u w:val="single"/>
        </w:rPr>
        <w:lastRenderedPageBreak/>
        <w:pict w14:anchorId="78FE5305">
          <v:shape id="_x0000_s1034" type="#_x0000_t32" style="position:absolute;left:0;text-align:left;margin-left:170.15pt;margin-top:2.75pt;width:41.55pt;height:0;z-index:251670528" o:connectortype="straight" strokecolor="black [3213]" strokeweight="3pt">
            <v:stroke endarrow="block"/>
            <v:shadow type="perspective" color="#7f7f7f [1601]" opacity=".5" offset="1pt" offset2="-1pt"/>
          </v:shape>
        </w:pict>
      </w:r>
    </w:p>
    <w:p w14:paraId="6F9C99F2" w14:textId="397D4FA4" w:rsidR="00F8608B" w:rsidRDefault="005B46FF" w:rsidP="00476299">
      <w:pPr>
        <w:autoSpaceDE w:val="0"/>
        <w:autoSpaceDN w:val="0"/>
        <w:adjustRightInd w:val="0"/>
        <w:jc w:val="both"/>
        <w:rPr>
          <w:rFonts w:ascii="Arial" w:hAnsi="Arial" w:cs="Arial"/>
          <w:b/>
          <w:bCs/>
          <w:sz w:val="22"/>
          <w:szCs w:val="22"/>
          <w:u w:val="single"/>
        </w:rPr>
      </w:pPr>
      <w:r>
        <w:rPr>
          <w:rFonts w:ascii="Arial" w:hAnsi="Arial" w:cs="Arial"/>
          <w:noProof/>
        </w:rPr>
        <w:pict w14:anchorId="5D900435">
          <v:shape id="_x0000_s1032" type="#_x0000_t32" style="position:absolute;left:0;text-align:left;margin-left:287pt;margin-top:.5pt;width:6.6pt;height:22.25pt;flip:x;z-index:251668480" o:connectortype="straight" strokecolor="black [3213]" strokeweight="3pt">
            <v:stroke endarrow="block"/>
            <v:shadow type="perspective" color="#7f7f7f [1601]" opacity=".5" offset="1pt" offset2="-1pt"/>
          </v:shape>
        </w:pict>
      </w:r>
    </w:p>
    <w:p w14:paraId="65CAC077" w14:textId="77777777" w:rsidR="00F8608B" w:rsidRDefault="005B46FF" w:rsidP="00476299">
      <w:pPr>
        <w:autoSpaceDE w:val="0"/>
        <w:autoSpaceDN w:val="0"/>
        <w:adjustRightInd w:val="0"/>
        <w:jc w:val="both"/>
        <w:rPr>
          <w:rFonts w:ascii="Arial" w:hAnsi="Arial" w:cs="Arial"/>
          <w:b/>
          <w:bCs/>
          <w:sz w:val="22"/>
          <w:szCs w:val="22"/>
          <w:u w:val="single"/>
        </w:rPr>
      </w:pPr>
      <w:r>
        <w:rPr>
          <w:noProof/>
        </w:rPr>
        <w:pict w14:anchorId="4FC3EAFD">
          <v:shape id="_x0000_s1031" type="#_x0000_t202" style="position:absolute;left:0;text-align:left;margin-left:346.5pt;margin-top:9.65pt;width:140.15pt;height:30.95pt;z-index:-251649024;visibility:visible;mso-height-percent:200;mso-wrap-distance-top:3.6pt;mso-wrap-distance-bottom:3.6pt;mso-height-percent:200;mso-width-relative:margin;mso-height-relative:margin" wrapcoords="-100 -831 -100 21600 21700 21600 21700 -831 -100 -831">
            <v:textbox style="mso-fit-shape-to-text:t">
              <w:txbxContent>
                <w:p w14:paraId="37A0EE72" w14:textId="77777777" w:rsidR="00F8608B" w:rsidRDefault="00F8608B" w:rsidP="00F8608B">
                  <w:pPr>
                    <w:jc w:val="center"/>
                  </w:pPr>
                  <w:proofErr w:type="gramStart"/>
                  <w:r>
                    <w:t>SATURATION(</w:t>
                  </w:r>
                  <w:proofErr w:type="gramEnd"/>
                  <w:r w:rsidR="00687B9C">
                    <w:t>Aesthetic fatigue</w:t>
                  </w:r>
                </w:p>
              </w:txbxContent>
            </v:textbox>
            <w10:wrap type="through"/>
          </v:shape>
        </w:pict>
      </w:r>
      <w:r>
        <w:rPr>
          <w:noProof/>
        </w:rPr>
        <w:pict w14:anchorId="2A1AD5A3">
          <v:shape id="_x0000_s1030" type="#_x0000_t202" style="position:absolute;left:0;text-align:left;margin-left:-4.05pt;margin-top:4.25pt;width:122.45pt;height:19.45pt;z-index:-251651072;visibility:visible;mso-height-percent:200;mso-wrap-distance-top:3.6pt;mso-wrap-distance-bottom:3.6pt;mso-height-percent:200;mso-width-relative:margin;mso-height-relative:margin" wrapcoords="-99 -831 -99 21600 21699 21600 21699 -831 -99 -831">
            <v:textbox style="mso-fit-shape-to-text:t">
              <w:txbxContent>
                <w:p w14:paraId="76C611AB" w14:textId="77777777" w:rsidR="00F8608B" w:rsidRDefault="00F8608B" w:rsidP="00F8608B">
                  <w:pPr>
                    <w:jc w:val="center"/>
                  </w:pPr>
                  <w:proofErr w:type="gramStart"/>
                  <w:r>
                    <w:t>REBRANDING</w:t>
                  </w:r>
                  <w:r w:rsidR="00687B9C">
                    <w:t>(</w:t>
                  </w:r>
                  <w:proofErr w:type="gramEnd"/>
                  <w:r w:rsidR="00687B9C">
                    <w:t>New Campaign)</w:t>
                  </w:r>
                </w:p>
              </w:txbxContent>
            </v:textbox>
            <w10:wrap type="through"/>
          </v:shape>
        </w:pict>
      </w:r>
    </w:p>
    <w:p w14:paraId="2E467045" w14:textId="77777777" w:rsidR="00F8608B" w:rsidRDefault="005B46FF" w:rsidP="00476299">
      <w:pPr>
        <w:autoSpaceDE w:val="0"/>
        <w:autoSpaceDN w:val="0"/>
        <w:adjustRightInd w:val="0"/>
        <w:jc w:val="both"/>
        <w:rPr>
          <w:rFonts w:ascii="Arial" w:hAnsi="Arial" w:cs="Arial"/>
          <w:b/>
          <w:bCs/>
          <w:sz w:val="22"/>
          <w:szCs w:val="22"/>
          <w:u w:val="single"/>
        </w:rPr>
      </w:pPr>
      <w:r>
        <w:rPr>
          <w:rFonts w:ascii="Arial" w:hAnsi="Arial" w:cs="Arial"/>
          <w:b/>
          <w:bCs/>
          <w:noProof/>
          <w:sz w:val="22"/>
          <w:szCs w:val="22"/>
          <w:u w:val="single"/>
        </w:rPr>
        <w:pict w14:anchorId="62828D01">
          <v:shape id="_x0000_s1035" type="#_x0000_t32" style="position:absolute;left:0;text-align:left;margin-left:-9.55pt;margin-top:4.05pt;width:228.1pt;height:0;flip:x;z-index:251671552" o:connectortype="straight" strokecolor="black [3213]" strokeweight="3pt">
            <v:stroke endarrow="block"/>
            <v:shadow type="perspective" color="#7f7f7f [1601]" opacity=".5" offset="1pt" offset2="-1pt"/>
          </v:shape>
        </w:pict>
      </w:r>
    </w:p>
    <w:p w14:paraId="5F4DD524" w14:textId="76F53EF6" w:rsidR="00F8608B" w:rsidRDefault="00F8608B" w:rsidP="00476299">
      <w:pPr>
        <w:autoSpaceDE w:val="0"/>
        <w:autoSpaceDN w:val="0"/>
        <w:adjustRightInd w:val="0"/>
        <w:jc w:val="both"/>
        <w:rPr>
          <w:rFonts w:ascii="Arial" w:hAnsi="Arial" w:cs="Arial"/>
          <w:b/>
          <w:bCs/>
          <w:sz w:val="22"/>
          <w:szCs w:val="22"/>
          <w:u w:val="single"/>
        </w:rPr>
      </w:pPr>
    </w:p>
    <w:p w14:paraId="47F6AA42" w14:textId="77777777" w:rsidR="00687B9C" w:rsidRDefault="00687B9C" w:rsidP="00476299">
      <w:pPr>
        <w:autoSpaceDE w:val="0"/>
        <w:autoSpaceDN w:val="0"/>
        <w:adjustRightInd w:val="0"/>
        <w:jc w:val="both"/>
        <w:rPr>
          <w:rFonts w:ascii="Arial" w:hAnsi="Arial" w:cs="Arial"/>
          <w:b/>
          <w:bCs/>
          <w:sz w:val="22"/>
          <w:szCs w:val="22"/>
          <w:u w:val="single"/>
        </w:rPr>
      </w:pPr>
    </w:p>
    <w:p w14:paraId="5CEE7A32" w14:textId="77777777" w:rsidR="00687B9C" w:rsidRPr="00687B9C" w:rsidRDefault="00687B9C" w:rsidP="00687B9C">
      <w:pPr>
        <w:autoSpaceDE w:val="0"/>
        <w:autoSpaceDN w:val="0"/>
        <w:adjustRightInd w:val="0"/>
        <w:jc w:val="center"/>
        <w:rPr>
          <w:rFonts w:ascii="Arial" w:hAnsi="Arial" w:cs="Arial"/>
          <w:b/>
          <w:bCs/>
          <w:u w:val="single"/>
        </w:rPr>
      </w:pPr>
      <w:r w:rsidRPr="00687B9C">
        <w:rPr>
          <w:rFonts w:ascii="Arial" w:hAnsi="Arial" w:cs="Arial"/>
          <w:b/>
          <w:bCs/>
          <w:u w:val="single"/>
        </w:rPr>
        <w:t>Figure 1- Cycle of Guilt induced Sustainability Advertising Communication by Brands</w:t>
      </w:r>
    </w:p>
    <w:p w14:paraId="43D2B04C" w14:textId="77777777" w:rsidR="00687B9C" w:rsidRDefault="00687B9C" w:rsidP="00476299">
      <w:pPr>
        <w:autoSpaceDE w:val="0"/>
        <w:autoSpaceDN w:val="0"/>
        <w:adjustRightInd w:val="0"/>
        <w:jc w:val="both"/>
        <w:rPr>
          <w:rFonts w:ascii="Arial" w:hAnsi="Arial" w:cs="Arial"/>
          <w:b/>
          <w:bCs/>
          <w:sz w:val="22"/>
          <w:szCs w:val="22"/>
          <w:u w:val="single"/>
        </w:rPr>
      </w:pPr>
    </w:p>
    <w:p w14:paraId="04C22F2D" w14:textId="77777777" w:rsidR="00476299" w:rsidRDefault="00F8608B" w:rsidP="00476299">
      <w:pPr>
        <w:autoSpaceDE w:val="0"/>
        <w:autoSpaceDN w:val="0"/>
        <w:adjustRightInd w:val="0"/>
        <w:jc w:val="both"/>
        <w:rPr>
          <w:rFonts w:ascii="Arial" w:hAnsi="Arial" w:cs="Arial"/>
          <w:b/>
          <w:bCs/>
          <w:sz w:val="22"/>
          <w:szCs w:val="22"/>
          <w:u w:val="single"/>
        </w:rPr>
      </w:pPr>
      <w:r>
        <w:rPr>
          <w:rFonts w:ascii="Arial" w:hAnsi="Arial" w:cs="Arial"/>
          <w:b/>
          <w:bCs/>
          <w:sz w:val="22"/>
          <w:szCs w:val="22"/>
          <w:u w:val="single"/>
        </w:rPr>
        <w:t>5</w:t>
      </w:r>
      <w:r w:rsidR="00476299" w:rsidRPr="00476299">
        <w:rPr>
          <w:rFonts w:ascii="Arial" w:hAnsi="Arial" w:cs="Arial"/>
          <w:b/>
          <w:bCs/>
          <w:sz w:val="22"/>
          <w:szCs w:val="22"/>
          <w:u w:val="single"/>
        </w:rPr>
        <w:t>.Conclusion &amp; Implications-</w:t>
      </w:r>
    </w:p>
    <w:p w14:paraId="2898837A" w14:textId="77777777" w:rsidR="00476299" w:rsidRPr="00476299" w:rsidRDefault="00476299" w:rsidP="00476299">
      <w:pPr>
        <w:autoSpaceDE w:val="0"/>
        <w:autoSpaceDN w:val="0"/>
        <w:adjustRightInd w:val="0"/>
        <w:jc w:val="both"/>
        <w:rPr>
          <w:rFonts w:ascii="Arial" w:hAnsi="Arial" w:cs="Arial"/>
          <w:b/>
          <w:bCs/>
          <w:sz w:val="22"/>
          <w:szCs w:val="22"/>
          <w:u w:val="single"/>
        </w:rPr>
      </w:pPr>
    </w:p>
    <w:p w14:paraId="7DF8A6A6" w14:textId="77777777" w:rsidR="00476299" w:rsidRPr="00476299" w:rsidRDefault="00476299" w:rsidP="00476299">
      <w:pPr>
        <w:autoSpaceDE w:val="0"/>
        <w:autoSpaceDN w:val="0"/>
        <w:adjustRightInd w:val="0"/>
        <w:jc w:val="both"/>
        <w:rPr>
          <w:rFonts w:ascii="Arial" w:hAnsi="Arial" w:cs="Arial"/>
        </w:rPr>
      </w:pPr>
      <w:r w:rsidRPr="00476299">
        <w:rPr>
          <w:rFonts w:ascii="Arial" w:hAnsi="Arial" w:cs="Arial"/>
        </w:rPr>
        <w:t>This qualitative content analysis reveals that sustainability advertising by consumer-facing corporations and celebrities operates as a discursive technology of legitimation. Through affective storytelling, symbolic neutrality, and selective visibility, these campaigns redefine climate responsibility as a purchasable identity.</w:t>
      </w:r>
    </w:p>
    <w:p w14:paraId="471E2B82" w14:textId="77777777" w:rsidR="00476299" w:rsidRPr="00476299" w:rsidRDefault="00476299" w:rsidP="00476299">
      <w:pPr>
        <w:autoSpaceDE w:val="0"/>
        <w:autoSpaceDN w:val="0"/>
        <w:adjustRightInd w:val="0"/>
        <w:jc w:val="both"/>
        <w:rPr>
          <w:rFonts w:ascii="Arial" w:hAnsi="Arial" w:cs="Arial"/>
        </w:rPr>
      </w:pPr>
      <w:r w:rsidRPr="00476299">
        <w:rPr>
          <w:rFonts w:ascii="Arial" w:hAnsi="Arial" w:cs="Arial"/>
        </w:rPr>
        <w:t xml:space="preserve">These narratives limit collective agency and conceal the systemic causes of environmental deterioration while simultaneously promoting awareness and positive mood. Therefore, paradigms that emphasize institutional accountability, transparency, and material impact should take precedence over performative empowerment in ethical climate communication. </w:t>
      </w:r>
    </w:p>
    <w:p w14:paraId="6B780825" w14:textId="77777777" w:rsidR="00476299" w:rsidRPr="00476299" w:rsidRDefault="00476299" w:rsidP="00476299">
      <w:pPr>
        <w:autoSpaceDE w:val="0"/>
        <w:autoSpaceDN w:val="0"/>
        <w:adjustRightInd w:val="0"/>
        <w:jc w:val="both"/>
        <w:rPr>
          <w:rFonts w:ascii="Arial" w:hAnsi="Arial" w:cs="Arial"/>
        </w:rPr>
      </w:pPr>
      <w:r w:rsidRPr="00476299">
        <w:rPr>
          <w:rFonts w:ascii="Arial" w:hAnsi="Arial" w:cs="Arial"/>
        </w:rPr>
        <w:t>Advertisers create a moral economy that both normalizes excessive buying and promotes behavioral participation through framing and emotional appeals like hope, guilt, empowerment, and aspiration. The study draws attention to the paradox in corporate climate communication: rather than being a corporate ethic, sustainability is commodified as a brand asset. Consequently, these campaigns contribute to what scholars identify as “symbolic neutrality” (Delmas &amp; Burbano, 2011) the linguistic and visual expression of virtue without substantive material change.</w:t>
      </w:r>
    </w:p>
    <w:p w14:paraId="76DD5F2F" w14:textId="77777777" w:rsidR="00476299" w:rsidRPr="00476299" w:rsidRDefault="00476299" w:rsidP="00476299">
      <w:pPr>
        <w:autoSpaceDE w:val="0"/>
        <w:autoSpaceDN w:val="0"/>
        <w:adjustRightInd w:val="0"/>
        <w:jc w:val="both"/>
        <w:rPr>
          <w:rFonts w:ascii="Arial" w:hAnsi="Arial" w:cs="Arial"/>
        </w:rPr>
      </w:pPr>
      <w:r w:rsidRPr="00476299">
        <w:rPr>
          <w:rFonts w:ascii="Arial" w:hAnsi="Arial" w:cs="Arial"/>
        </w:rPr>
        <w:t xml:space="preserve">By revealing how persuasive narratives influence public views of climate agency, this study adds to the expanding corpus of knowledge on greenwashing and environmental communication ethics. It shows that advertising continues to be a potent venue for the conflict between environmental ethics and market logic, as climate discourse is reframed to uphold corporate legitimacy rather than structural change. </w:t>
      </w:r>
    </w:p>
    <w:p w14:paraId="25999612" w14:textId="77777777" w:rsidR="00476299" w:rsidRDefault="00476299" w:rsidP="00476299">
      <w:pPr>
        <w:autoSpaceDE w:val="0"/>
        <w:autoSpaceDN w:val="0"/>
        <w:adjustRightInd w:val="0"/>
        <w:jc w:val="both"/>
        <w:rPr>
          <w:rFonts w:ascii="Arial" w:hAnsi="Arial" w:cs="Arial"/>
        </w:rPr>
      </w:pPr>
      <w:r w:rsidRPr="00476299">
        <w:rPr>
          <w:rFonts w:ascii="Arial" w:hAnsi="Arial" w:cs="Arial"/>
        </w:rPr>
        <w:t>The report also emphasizes how using social media and online advertising efforts has spread responsibility while expanding the reach of sustainability narratives. In order for brands to align climate communication with real progress toward global sustainability goals and the United Nations Sustainable Development Agenda (SDG 12 and SDG 13), practitioners must create campaigns that minimize the moral burden on consumers while fostering collective, institutional action.</w:t>
      </w:r>
    </w:p>
    <w:p w14:paraId="101EFE18" w14:textId="77777777" w:rsidR="00476299" w:rsidRPr="00476299" w:rsidRDefault="00476299" w:rsidP="00476299">
      <w:pPr>
        <w:autoSpaceDE w:val="0"/>
        <w:autoSpaceDN w:val="0"/>
        <w:adjustRightInd w:val="0"/>
        <w:jc w:val="both"/>
        <w:rPr>
          <w:rFonts w:ascii="Arial" w:hAnsi="Arial" w:cs="Arial"/>
        </w:rPr>
      </w:pPr>
    </w:p>
    <w:p w14:paraId="1006921F" w14:textId="77777777" w:rsidR="00476299" w:rsidRDefault="00F8608B" w:rsidP="00476299">
      <w:pPr>
        <w:autoSpaceDE w:val="0"/>
        <w:autoSpaceDN w:val="0"/>
        <w:adjustRightInd w:val="0"/>
        <w:rPr>
          <w:rFonts w:ascii="Arial" w:hAnsi="Arial" w:cs="Arial"/>
          <w:b/>
          <w:bCs/>
          <w:u w:val="single"/>
        </w:rPr>
      </w:pPr>
      <w:r>
        <w:rPr>
          <w:rFonts w:ascii="Arial" w:hAnsi="Arial" w:cs="Arial"/>
          <w:b/>
          <w:bCs/>
          <w:u w:val="single"/>
        </w:rPr>
        <w:t>6</w:t>
      </w:r>
      <w:r w:rsidR="00476299" w:rsidRPr="00476299">
        <w:rPr>
          <w:rFonts w:ascii="Arial" w:hAnsi="Arial" w:cs="Arial"/>
          <w:b/>
          <w:bCs/>
          <w:u w:val="single"/>
        </w:rPr>
        <w:t>- Limitations of the Study-</w:t>
      </w:r>
    </w:p>
    <w:p w14:paraId="672079F7" w14:textId="77777777" w:rsidR="00476299" w:rsidRPr="00476299" w:rsidRDefault="00476299" w:rsidP="00476299">
      <w:pPr>
        <w:autoSpaceDE w:val="0"/>
        <w:autoSpaceDN w:val="0"/>
        <w:adjustRightInd w:val="0"/>
        <w:rPr>
          <w:rFonts w:ascii="Arial" w:hAnsi="Arial" w:cs="Arial"/>
          <w:b/>
          <w:bCs/>
          <w:u w:val="single"/>
        </w:rPr>
      </w:pPr>
    </w:p>
    <w:p w14:paraId="63F3D63D" w14:textId="24A54745" w:rsidR="00476299" w:rsidRPr="00476299" w:rsidRDefault="00476299" w:rsidP="00476299">
      <w:pPr>
        <w:autoSpaceDE w:val="0"/>
        <w:autoSpaceDN w:val="0"/>
        <w:adjustRightInd w:val="0"/>
        <w:jc w:val="both"/>
        <w:rPr>
          <w:rFonts w:ascii="Arial" w:hAnsi="Arial" w:cs="Arial"/>
        </w:rPr>
      </w:pPr>
      <w:r w:rsidRPr="00476299">
        <w:rPr>
          <w:rFonts w:ascii="Arial" w:hAnsi="Arial" w:cs="Arial"/>
        </w:rPr>
        <w:t xml:space="preserve">This study also has certain limitations, </w:t>
      </w:r>
      <w:r w:rsidR="009E4987">
        <w:rPr>
          <w:rFonts w:ascii="Arial" w:hAnsi="Arial" w:cs="Arial"/>
        </w:rPr>
        <w:t>f</w:t>
      </w:r>
      <w:r w:rsidR="009E4987" w:rsidRPr="009E4987">
        <w:rPr>
          <w:rFonts w:ascii="Arial" w:hAnsi="Arial" w:cs="Arial"/>
        </w:rPr>
        <w:t xml:space="preserve">irst, the sample consists of only fifteen high-profile corporate advertising campaigns, which limits the generalizability of the findings to smaller brands or local </w:t>
      </w:r>
      <w:proofErr w:type="gramStart"/>
      <w:r w:rsidR="009E4987" w:rsidRPr="009E4987">
        <w:rPr>
          <w:rFonts w:ascii="Arial" w:hAnsi="Arial" w:cs="Arial"/>
        </w:rPr>
        <w:t xml:space="preserve">contexts </w:t>
      </w:r>
      <w:r w:rsidR="009E4987">
        <w:rPr>
          <w:rFonts w:ascii="Arial" w:hAnsi="Arial" w:cs="Arial"/>
        </w:rPr>
        <w:t>,</w:t>
      </w:r>
      <w:proofErr w:type="gramEnd"/>
      <w:r w:rsidR="009E4987">
        <w:rPr>
          <w:rFonts w:ascii="Arial" w:hAnsi="Arial" w:cs="Arial"/>
        </w:rPr>
        <w:t xml:space="preserve"> second t</w:t>
      </w:r>
      <w:r w:rsidRPr="00476299">
        <w:rPr>
          <w:rFonts w:ascii="Arial" w:hAnsi="Arial" w:cs="Arial"/>
        </w:rPr>
        <w:t>he study prioritizes interpretive depth above statistical breadth because it is a qualitative content analysis, and audience perceptions were not tested objectively. Furthermore, only commercials issued by corporations were analyzed; user-generated or influencer content, which frequently influences online sustainability narratives were not covered. To improve the relationship between climate communication and tangible company impact, future study should use quantitative techniques, cross-cultural comparisons, and alignment with sustainability reporting.</w:t>
      </w:r>
    </w:p>
    <w:p w14:paraId="1C6ED660" w14:textId="77777777" w:rsidR="00927834" w:rsidRDefault="00927834" w:rsidP="00441B6F">
      <w:pPr>
        <w:autoSpaceDE w:val="0"/>
        <w:autoSpaceDN w:val="0"/>
        <w:adjustRightInd w:val="0"/>
        <w:jc w:val="both"/>
        <w:rPr>
          <w:rFonts w:ascii="Arial" w:hAnsi="Arial" w:cs="Arial"/>
          <w:b/>
          <w:bCs/>
          <w:szCs w:val="22"/>
        </w:rPr>
      </w:pPr>
    </w:p>
    <w:p w14:paraId="6322F026" w14:textId="77777777" w:rsidR="00790ADA" w:rsidRPr="00FB3A86" w:rsidRDefault="00790ADA" w:rsidP="00441B6F">
      <w:pPr>
        <w:pStyle w:val="Body"/>
        <w:spacing w:after="0"/>
        <w:rPr>
          <w:rFonts w:ascii="Arial" w:hAnsi="Arial" w:cs="Arial"/>
        </w:rPr>
      </w:pPr>
    </w:p>
    <w:p w14:paraId="568C0012" w14:textId="77777777" w:rsidR="00315186" w:rsidRPr="00315186" w:rsidRDefault="00315186" w:rsidP="00441B6F"/>
    <w:p w14:paraId="53EB9A9D" w14:textId="77777777" w:rsidR="00315186" w:rsidRPr="00315186" w:rsidRDefault="00315186" w:rsidP="00441B6F"/>
    <w:p w14:paraId="75FB94E9" w14:textId="77777777" w:rsidR="00201915" w:rsidRDefault="00201915" w:rsidP="00441B6F">
      <w:pPr>
        <w:pStyle w:val="ReferHead"/>
        <w:spacing w:after="0"/>
        <w:jc w:val="both"/>
        <w:rPr>
          <w:rFonts w:ascii="Arial" w:hAnsi="Arial" w:cs="Arial"/>
          <w:b w:val="0"/>
          <w:caps w:val="0"/>
          <w:sz w:val="20"/>
        </w:rPr>
      </w:pPr>
    </w:p>
    <w:p w14:paraId="60891C97" w14:textId="77777777" w:rsidR="001639BD" w:rsidRPr="005E571A" w:rsidRDefault="001639BD" w:rsidP="001639BD">
      <w:pPr>
        <w:spacing w:after="200" w:line="276" w:lineRule="auto"/>
        <w:rPr>
          <w:rFonts w:ascii="Calibri" w:eastAsia="Calibri" w:hAnsi="Calibri"/>
          <w:b/>
          <w:kern w:val="2"/>
          <w:sz w:val="22"/>
          <w:szCs w:val="22"/>
          <w:highlight w:val="yellow"/>
        </w:rPr>
      </w:pPr>
      <w:bookmarkStart w:id="2" w:name="_Hlk197682619"/>
      <w:bookmarkStart w:id="3" w:name="_Hlk180402183"/>
      <w:bookmarkStart w:id="4" w:name="_Hlk183680988"/>
      <w:bookmarkStart w:id="5" w:name="_Hlk197351200"/>
      <w:bookmarkStart w:id="6" w:name="_Hlk213410455"/>
      <w:r w:rsidRPr="005E571A">
        <w:rPr>
          <w:rFonts w:ascii="Calibri" w:eastAsia="Calibri" w:hAnsi="Calibri"/>
          <w:b/>
          <w:kern w:val="2"/>
          <w:sz w:val="22"/>
          <w:szCs w:val="22"/>
          <w:highlight w:val="yellow"/>
        </w:rPr>
        <w:t>Disclaimer (Artificial intelligence)</w:t>
      </w:r>
    </w:p>
    <w:p w14:paraId="6F145BD7" w14:textId="09C0EE59" w:rsidR="00632FE2" w:rsidRDefault="00632FE2" w:rsidP="001639BD">
      <w:pPr>
        <w:spacing w:after="200" w:line="276" w:lineRule="auto"/>
        <w:rPr>
          <w:rFonts w:ascii="Calibri" w:eastAsia="Calibri" w:hAnsi="Calibri"/>
          <w:kern w:val="2"/>
          <w:sz w:val="22"/>
          <w:szCs w:val="22"/>
          <w:highlight w:val="yellow"/>
        </w:rPr>
      </w:pPr>
      <w:r w:rsidRPr="00632FE2">
        <w:rPr>
          <w:rFonts w:ascii="Calibri" w:eastAsia="Calibri" w:hAnsi="Calibri"/>
          <w:kern w:val="2"/>
          <w:sz w:val="22"/>
          <w:szCs w:val="22"/>
          <w:highlight w:val="yellow"/>
        </w:rPr>
        <w:t xml:space="preserve">The author declares that generative AI technology was used only for language editing, grammar polishing, and reference formatting support. Specifically, ChatGPT (latest available version by OpenAI, accessed via </w:t>
      </w:r>
      <w:hyperlink r:id="rId14" w:tgtFrame="_new" w:history="1">
        <w:r w:rsidRPr="00632FE2">
          <w:rPr>
            <w:rStyle w:val="Hyperlink"/>
            <w:rFonts w:ascii="Calibri" w:eastAsia="Calibri" w:hAnsi="Calibri"/>
            <w:kern w:val="2"/>
            <w:sz w:val="22"/>
            <w:szCs w:val="22"/>
            <w:highlight w:val="yellow"/>
          </w:rPr>
          <w:t>https://chat.openai.com</w:t>
        </w:r>
      </w:hyperlink>
      <w:r w:rsidRPr="00632FE2">
        <w:rPr>
          <w:rFonts w:ascii="Calibri" w:eastAsia="Calibri" w:hAnsi="Calibri"/>
          <w:kern w:val="2"/>
          <w:sz w:val="22"/>
          <w:szCs w:val="22"/>
          <w:highlight w:val="yellow"/>
        </w:rPr>
        <w:t>) was used to improve clarity, sentence structure, and consistency of academic writing.</w:t>
      </w:r>
    </w:p>
    <w:p w14:paraId="3424983A" w14:textId="77777777" w:rsidR="00632FE2" w:rsidRPr="00632FE2" w:rsidRDefault="00632FE2" w:rsidP="00632FE2">
      <w:pPr>
        <w:spacing w:after="200" w:line="276" w:lineRule="auto"/>
        <w:rPr>
          <w:rFonts w:ascii="Calibri" w:eastAsia="Calibri" w:hAnsi="Calibri"/>
          <w:kern w:val="2"/>
          <w:sz w:val="22"/>
          <w:szCs w:val="22"/>
          <w:highlight w:val="yellow"/>
        </w:rPr>
      </w:pPr>
      <w:r w:rsidRPr="00632FE2">
        <w:rPr>
          <w:rFonts w:ascii="Calibri" w:eastAsia="Calibri" w:hAnsi="Calibri"/>
          <w:b/>
          <w:bCs/>
          <w:kern w:val="2"/>
          <w:sz w:val="22"/>
          <w:szCs w:val="22"/>
          <w:highlight w:val="yellow"/>
        </w:rPr>
        <w:t>Details of AI usage:</w:t>
      </w:r>
    </w:p>
    <w:p w14:paraId="7AF0C873" w14:textId="77777777" w:rsidR="00632FE2" w:rsidRPr="00632FE2" w:rsidRDefault="00632FE2" w:rsidP="00632FE2">
      <w:pPr>
        <w:numPr>
          <w:ilvl w:val="0"/>
          <w:numId w:val="35"/>
        </w:numPr>
        <w:spacing w:after="200" w:line="276" w:lineRule="auto"/>
        <w:rPr>
          <w:rFonts w:ascii="Calibri" w:eastAsia="Calibri" w:hAnsi="Calibri"/>
          <w:kern w:val="2"/>
          <w:sz w:val="22"/>
          <w:szCs w:val="22"/>
          <w:highlight w:val="yellow"/>
        </w:rPr>
      </w:pPr>
      <w:r w:rsidRPr="00632FE2">
        <w:rPr>
          <w:rFonts w:ascii="Calibri" w:eastAsia="Calibri" w:hAnsi="Calibri"/>
          <w:kern w:val="2"/>
          <w:sz w:val="22"/>
          <w:szCs w:val="22"/>
          <w:highlight w:val="yellow"/>
        </w:rPr>
        <w:t>Language editing and grammar refinement</w:t>
      </w:r>
    </w:p>
    <w:p w14:paraId="0246ECC0" w14:textId="77777777" w:rsidR="00632FE2" w:rsidRPr="00632FE2" w:rsidRDefault="00632FE2" w:rsidP="00632FE2">
      <w:pPr>
        <w:numPr>
          <w:ilvl w:val="0"/>
          <w:numId w:val="35"/>
        </w:numPr>
        <w:spacing w:after="200" w:line="276" w:lineRule="auto"/>
        <w:rPr>
          <w:rFonts w:ascii="Calibri" w:eastAsia="Calibri" w:hAnsi="Calibri"/>
          <w:kern w:val="2"/>
          <w:sz w:val="22"/>
          <w:szCs w:val="22"/>
          <w:highlight w:val="yellow"/>
        </w:rPr>
      </w:pPr>
      <w:r w:rsidRPr="00632FE2">
        <w:rPr>
          <w:rFonts w:ascii="Calibri" w:eastAsia="Calibri" w:hAnsi="Calibri"/>
          <w:kern w:val="2"/>
          <w:sz w:val="22"/>
          <w:szCs w:val="22"/>
          <w:highlight w:val="yellow"/>
        </w:rPr>
        <w:t>Reference arrangement and formatting</w:t>
      </w:r>
    </w:p>
    <w:p w14:paraId="75F536B9" w14:textId="77777777" w:rsidR="00632FE2" w:rsidRPr="00632FE2" w:rsidRDefault="00632FE2" w:rsidP="00632FE2">
      <w:pPr>
        <w:numPr>
          <w:ilvl w:val="0"/>
          <w:numId w:val="35"/>
        </w:numPr>
        <w:spacing w:after="200" w:line="276" w:lineRule="auto"/>
        <w:rPr>
          <w:rFonts w:ascii="Calibri" w:eastAsia="Calibri" w:hAnsi="Calibri"/>
          <w:kern w:val="2"/>
          <w:sz w:val="22"/>
          <w:szCs w:val="22"/>
          <w:highlight w:val="yellow"/>
        </w:rPr>
      </w:pPr>
      <w:r w:rsidRPr="00632FE2">
        <w:rPr>
          <w:rFonts w:ascii="Calibri" w:eastAsia="Calibri" w:hAnsi="Calibri"/>
          <w:kern w:val="2"/>
          <w:sz w:val="22"/>
          <w:szCs w:val="22"/>
          <w:highlight w:val="yellow"/>
        </w:rPr>
        <w:lastRenderedPageBreak/>
        <w:t>Improving clarity and academic tone</w:t>
      </w:r>
    </w:p>
    <w:p w14:paraId="020F427D" w14:textId="77777777" w:rsidR="00632FE2" w:rsidRPr="001639BD" w:rsidRDefault="00632FE2" w:rsidP="001639BD">
      <w:pPr>
        <w:spacing w:after="200" w:line="276" w:lineRule="auto"/>
        <w:rPr>
          <w:rFonts w:ascii="Calibri" w:eastAsia="Calibri" w:hAnsi="Calibri"/>
          <w:kern w:val="2"/>
          <w:sz w:val="22"/>
          <w:szCs w:val="22"/>
          <w:highlight w:val="yellow"/>
        </w:rPr>
      </w:pPr>
    </w:p>
    <w:bookmarkEnd w:id="2"/>
    <w:bookmarkEnd w:id="3"/>
    <w:bookmarkEnd w:id="4"/>
    <w:bookmarkEnd w:id="5"/>
    <w:bookmarkEnd w:id="6"/>
    <w:p w14:paraId="7D51DCF5" w14:textId="77777777" w:rsidR="00201915" w:rsidRPr="00201915" w:rsidRDefault="00201915" w:rsidP="00201915">
      <w:pPr>
        <w:pStyle w:val="ReferHead"/>
        <w:jc w:val="both"/>
        <w:rPr>
          <w:rFonts w:ascii="Arial" w:hAnsi="Arial" w:cs="Arial"/>
          <w:b w:val="0"/>
          <w:caps w:val="0"/>
          <w:sz w:val="20"/>
        </w:rPr>
      </w:pPr>
    </w:p>
    <w:p w14:paraId="69E36EF9" w14:textId="77777777" w:rsidR="00201915" w:rsidRDefault="00201915" w:rsidP="00441B6F">
      <w:pPr>
        <w:pStyle w:val="ReferHead"/>
        <w:spacing w:after="0"/>
        <w:jc w:val="both"/>
        <w:rPr>
          <w:rFonts w:ascii="Arial" w:hAnsi="Arial" w:cs="Arial"/>
          <w:b w:val="0"/>
          <w:caps w:val="0"/>
          <w:sz w:val="20"/>
        </w:rPr>
      </w:pPr>
    </w:p>
    <w:p w14:paraId="1596F558" w14:textId="77777777" w:rsidR="0041027F" w:rsidRDefault="0041027F" w:rsidP="00441B6F">
      <w:pPr>
        <w:pStyle w:val="ReferHead"/>
        <w:spacing w:after="0"/>
        <w:jc w:val="both"/>
        <w:rPr>
          <w:rFonts w:ascii="Arial" w:hAnsi="Arial" w:cs="Arial"/>
          <w:b w:val="0"/>
          <w:caps w:val="0"/>
          <w:sz w:val="20"/>
        </w:rPr>
      </w:pPr>
    </w:p>
    <w:p w14:paraId="5B4F003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C92B1C" w14:textId="77777777" w:rsidR="00790ADA" w:rsidRDefault="00790ADA" w:rsidP="00441B6F">
      <w:pPr>
        <w:pStyle w:val="ReferHead"/>
        <w:spacing w:after="0"/>
        <w:jc w:val="both"/>
        <w:rPr>
          <w:rFonts w:ascii="Arial" w:hAnsi="Arial" w:cs="Arial"/>
        </w:rPr>
      </w:pPr>
    </w:p>
    <w:p w14:paraId="0F21C448"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Intergovernmental Panel on Climate Change. (2023). </w:t>
      </w:r>
      <w:r w:rsidRPr="00632FE2">
        <w:rPr>
          <w:rFonts w:ascii="Arial" w:hAnsi="Arial" w:cs="Arial"/>
          <w:b w:val="0"/>
          <w:bCs/>
          <w:i/>
          <w:iCs/>
        </w:rPr>
        <w:t>Climate change 2023: Synthesis report. Contribution of Working Groups I, II and III to the Sixth Assessment Report of the Intergovernmental Panel on Climate Change</w:t>
      </w:r>
      <w:r w:rsidRPr="00632FE2">
        <w:rPr>
          <w:rFonts w:ascii="Arial" w:hAnsi="Arial" w:cs="Arial"/>
          <w:b w:val="0"/>
          <w:bCs/>
        </w:rPr>
        <w:t xml:space="preserve">. IPCC. </w:t>
      </w:r>
      <w:hyperlink r:id="rId15" w:tgtFrame="_new" w:history="1">
        <w:r w:rsidRPr="00632FE2">
          <w:rPr>
            <w:rStyle w:val="Hyperlink"/>
            <w:rFonts w:ascii="Arial" w:hAnsi="Arial" w:cs="Arial"/>
            <w:b w:val="0"/>
            <w:bCs/>
          </w:rPr>
          <w:t>https://doi.org/10.59327/IPCC/AR6-9789291691647</w:t>
        </w:r>
      </w:hyperlink>
    </w:p>
    <w:p w14:paraId="1D73A87E"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Intergovernmental Panel on Climate Change. (2023). </w:t>
      </w:r>
      <w:r w:rsidRPr="00632FE2">
        <w:rPr>
          <w:rFonts w:ascii="Arial" w:hAnsi="Arial" w:cs="Arial"/>
          <w:b w:val="0"/>
          <w:bCs/>
          <w:i/>
          <w:iCs/>
        </w:rPr>
        <w:t>Climate change 2023: Synthesis report. Summary for policymakers</w:t>
      </w:r>
      <w:r w:rsidRPr="00632FE2">
        <w:rPr>
          <w:rFonts w:ascii="Arial" w:hAnsi="Arial" w:cs="Arial"/>
          <w:b w:val="0"/>
          <w:bCs/>
        </w:rPr>
        <w:t xml:space="preserve">. In </w:t>
      </w:r>
      <w:r w:rsidRPr="00632FE2">
        <w:rPr>
          <w:rFonts w:ascii="Arial" w:hAnsi="Arial" w:cs="Arial"/>
          <w:b w:val="0"/>
          <w:bCs/>
          <w:i/>
          <w:iCs/>
        </w:rPr>
        <w:t>Climate change 2023: Synthesis report. Contribution of Working Groups I, II and III to the Sixth Assessment Report of the Intergovernmental Panel on Climate Change</w:t>
      </w:r>
      <w:r w:rsidRPr="00632FE2">
        <w:rPr>
          <w:rFonts w:ascii="Arial" w:hAnsi="Arial" w:cs="Arial"/>
          <w:b w:val="0"/>
          <w:bCs/>
        </w:rPr>
        <w:t xml:space="preserve">. IPCC. </w:t>
      </w:r>
      <w:hyperlink r:id="rId16" w:tgtFrame="_new" w:history="1">
        <w:r w:rsidRPr="00632FE2">
          <w:rPr>
            <w:rStyle w:val="Hyperlink"/>
            <w:rFonts w:ascii="Arial" w:hAnsi="Arial" w:cs="Arial"/>
            <w:b w:val="0"/>
            <w:bCs/>
          </w:rPr>
          <w:t>https://doi.org/10.59327/IPCC/AR6-9789291691647.001</w:t>
        </w:r>
      </w:hyperlink>
    </w:p>
    <w:p w14:paraId="7913B54C"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Peattie, K., &amp; Crane, A. (2005). Green marketing: Legend, myth, farce or prophecy? </w:t>
      </w:r>
      <w:r w:rsidRPr="00632FE2">
        <w:rPr>
          <w:rFonts w:ascii="Arial" w:hAnsi="Arial" w:cs="Arial"/>
          <w:b w:val="0"/>
          <w:bCs/>
          <w:i/>
          <w:iCs/>
        </w:rPr>
        <w:t>Qualitative Market Research: An International Journal, 8</w:t>
      </w:r>
      <w:r w:rsidRPr="00632FE2">
        <w:rPr>
          <w:rFonts w:ascii="Arial" w:hAnsi="Arial" w:cs="Arial"/>
          <w:b w:val="0"/>
          <w:bCs/>
        </w:rPr>
        <w:t xml:space="preserve">(4), 357–370. </w:t>
      </w:r>
      <w:hyperlink r:id="rId17" w:tgtFrame="_new" w:history="1">
        <w:r w:rsidRPr="00632FE2">
          <w:rPr>
            <w:rStyle w:val="Hyperlink"/>
            <w:rFonts w:ascii="Arial" w:hAnsi="Arial" w:cs="Arial"/>
            <w:b w:val="0"/>
            <w:bCs/>
          </w:rPr>
          <w:t>https://doi.org/10.1108/13522750510619733</w:t>
        </w:r>
      </w:hyperlink>
    </w:p>
    <w:p w14:paraId="041F286A"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WARC. (2024). </w:t>
      </w:r>
      <w:r w:rsidRPr="00632FE2">
        <w:rPr>
          <w:rFonts w:ascii="Arial" w:hAnsi="Arial" w:cs="Arial"/>
          <w:b w:val="0"/>
          <w:bCs/>
          <w:i/>
          <w:iCs/>
        </w:rPr>
        <w:t>The marketer’s toolkit 2024</w:t>
      </w:r>
      <w:r w:rsidRPr="00632FE2">
        <w:rPr>
          <w:rFonts w:ascii="Arial" w:hAnsi="Arial" w:cs="Arial"/>
          <w:b w:val="0"/>
          <w:bCs/>
        </w:rPr>
        <w:t xml:space="preserve">. </w:t>
      </w:r>
      <w:hyperlink r:id="rId18" w:tgtFrame="_new" w:history="1">
        <w:r w:rsidRPr="00632FE2">
          <w:rPr>
            <w:rStyle w:val="Hyperlink"/>
            <w:rFonts w:ascii="Arial" w:hAnsi="Arial" w:cs="Arial"/>
            <w:b w:val="0"/>
            <w:bCs/>
          </w:rPr>
          <w:t>https://www.warc.com/content/article/marketers-toolkit/the-marketers-toolkit-2024/157900</w:t>
        </w:r>
      </w:hyperlink>
    </w:p>
    <w:p w14:paraId="3A5E0B1A"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Chatzidakis, A., Hibbert, S., Mittusis, D., &amp; Smith, A. (2015). Consumer agency and responsibility: Conceptualizing ethical consumption. </w:t>
      </w:r>
      <w:r w:rsidRPr="00632FE2">
        <w:rPr>
          <w:rFonts w:ascii="Arial" w:hAnsi="Arial" w:cs="Arial"/>
          <w:b w:val="0"/>
          <w:bCs/>
          <w:i/>
          <w:iCs/>
        </w:rPr>
        <w:t>Journal of Marketing Management, 31</w:t>
      </w:r>
      <w:r w:rsidRPr="00632FE2">
        <w:rPr>
          <w:rFonts w:ascii="Arial" w:hAnsi="Arial" w:cs="Arial"/>
          <w:b w:val="0"/>
          <w:bCs/>
        </w:rPr>
        <w:t>(7–8), 678–704.</w:t>
      </w:r>
    </w:p>
    <w:p w14:paraId="44DCBECF"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Goffman, E. (1974). </w:t>
      </w:r>
      <w:r w:rsidRPr="00632FE2">
        <w:rPr>
          <w:rFonts w:ascii="Arial" w:hAnsi="Arial" w:cs="Arial"/>
          <w:b w:val="0"/>
          <w:bCs/>
          <w:i/>
          <w:iCs/>
        </w:rPr>
        <w:t>Frame analysis: An essay on the organization of experience</w:t>
      </w:r>
      <w:r w:rsidRPr="00632FE2">
        <w:rPr>
          <w:rFonts w:ascii="Arial" w:hAnsi="Arial" w:cs="Arial"/>
          <w:b w:val="0"/>
          <w:bCs/>
        </w:rPr>
        <w:t>. Harvard University Press.</w:t>
      </w:r>
    </w:p>
    <w:p w14:paraId="6390E749"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Moser, S. C., &amp; Dilling, L. (2012). Communicating climate change: Closing the science</w:t>
      </w:r>
      <w:r w:rsidRPr="00632FE2">
        <w:rPr>
          <w:rFonts w:ascii="Cambria Math" w:hAnsi="Cambria Math" w:cs="Cambria Math"/>
          <w:b w:val="0"/>
          <w:bCs/>
        </w:rPr>
        <w:t>‐</w:t>
      </w:r>
      <w:r w:rsidRPr="00632FE2">
        <w:rPr>
          <w:rFonts w:ascii="Arial" w:hAnsi="Arial" w:cs="Arial"/>
          <w:b w:val="0"/>
          <w:bCs/>
        </w:rPr>
        <w:t xml:space="preserve">action gap. In J. S. Dryzek, R. B. Norgaard, &amp; D. Schlosberg (Eds.), </w:t>
      </w:r>
      <w:r w:rsidRPr="00632FE2">
        <w:rPr>
          <w:rFonts w:ascii="Arial" w:hAnsi="Arial" w:cs="Arial"/>
          <w:b w:val="0"/>
          <w:bCs/>
          <w:i/>
          <w:iCs/>
        </w:rPr>
        <w:t>The Oxford handbook of climate change and society</w:t>
      </w:r>
      <w:r w:rsidRPr="00632FE2">
        <w:rPr>
          <w:rFonts w:ascii="Arial" w:hAnsi="Arial" w:cs="Arial"/>
          <w:b w:val="0"/>
          <w:bCs/>
        </w:rPr>
        <w:t xml:space="preserve"> (pp. 161–174). Oxford University Press. </w:t>
      </w:r>
      <w:hyperlink r:id="rId19" w:tgtFrame="_new" w:history="1">
        <w:r w:rsidRPr="00632FE2">
          <w:rPr>
            <w:rStyle w:val="Hyperlink"/>
            <w:rFonts w:ascii="Arial" w:hAnsi="Arial" w:cs="Arial"/>
            <w:b w:val="0"/>
            <w:bCs/>
          </w:rPr>
          <w:t>https://doi.org/10.1093/oxfordhb/9780199566600.003.0011</w:t>
        </w:r>
      </w:hyperlink>
    </w:p>
    <w:p w14:paraId="4905BE6D"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Vermeir, I., &amp; Verbeke, W. (2008). Sustainable food consumption among young adults in Belgium: Theory of planned behaviour and the role of confidence and values. </w:t>
      </w:r>
      <w:r w:rsidRPr="00632FE2">
        <w:rPr>
          <w:rFonts w:ascii="Arial" w:hAnsi="Arial" w:cs="Arial"/>
          <w:b w:val="0"/>
          <w:bCs/>
          <w:i/>
          <w:iCs/>
        </w:rPr>
        <w:t>Ecological Economics, 64</w:t>
      </w:r>
      <w:r w:rsidRPr="00632FE2">
        <w:rPr>
          <w:rFonts w:ascii="Arial" w:hAnsi="Arial" w:cs="Arial"/>
          <w:b w:val="0"/>
          <w:bCs/>
        </w:rPr>
        <w:t xml:space="preserve">(3), 542–553. </w:t>
      </w:r>
      <w:hyperlink r:id="rId20" w:tgtFrame="_new" w:history="1">
        <w:r w:rsidRPr="00632FE2">
          <w:rPr>
            <w:rStyle w:val="Hyperlink"/>
            <w:rFonts w:ascii="Arial" w:hAnsi="Arial" w:cs="Arial"/>
            <w:b w:val="0"/>
            <w:bCs/>
          </w:rPr>
          <w:t>https://doi.org/10.1016/j.ecolecon.2007.03.007</w:t>
        </w:r>
      </w:hyperlink>
    </w:p>
    <w:p w14:paraId="7C672C71"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Lyon, T. P., &amp; Maxwell, J. W. (2011). Greenwash: Corporate environmental disclosure under threat of audit. </w:t>
      </w:r>
      <w:r w:rsidRPr="00632FE2">
        <w:rPr>
          <w:rFonts w:ascii="Arial" w:hAnsi="Arial" w:cs="Arial"/>
          <w:b w:val="0"/>
          <w:bCs/>
          <w:i/>
          <w:iCs/>
        </w:rPr>
        <w:t>Journal of Economics &amp; Management Strategy, 20</w:t>
      </w:r>
      <w:r w:rsidRPr="00632FE2">
        <w:rPr>
          <w:rFonts w:ascii="Arial" w:hAnsi="Arial" w:cs="Arial"/>
          <w:b w:val="0"/>
          <w:bCs/>
        </w:rPr>
        <w:t xml:space="preserve">(1), 3–41. </w:t>
      </w:r>
      <w:hyperlink r:id="rId21" w:tgtFrame="_new" w:history="1">
        <w:r w:rsidRPr="00632FE2">
          <w:rPr>
            <w:rStyle w:val="Hyperlink"/>
            <w:rFonts w:ascii="Arial" w:hAnsi="Arial" w:cs="Arial"/>
            <w:b w:val="0"/>
            <w:bCs/>
          </w:rPr>
          <w:t>https://doi.org/10.1111/j.1530-9134.2010.00282.x</w:t>
        </w:r>
      </w:hyperlink>
    </w:p>
    <w:p w14:paraId="1D20EAE2"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Edelman. (2024). </w:t>
      </w:r>
      <w:r w:rsidRPr="00632FE2">
        <w:rPr>
          <w:rFonts w:ascii="Arial" w:hAnsi="Arial" w:cs="Arial"/>
          <w:b w:val="0"/>
          <w:bCs/>
          <w:i/>
          <w:iCs/>
        </w:rPr>
        <w:t>Edelman trust barometer: Special report – Climate leadership and public trust</w:t>
      </w:r>
      <w:r w:rsidRPr="00632FE2">
        <w:rPr>
          <w:rFonts w:ascii="Arial" w:hAnsi="Arial" w:cs="Arial"/>
          <w:b w:val="0"/>
          <w:bCs/>
        </w:rPr>
        <w:t>.</w:t>
      </w:r>
    </w:p>
    <w:p w14:paraId="12DF8F16"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Jones, C. A. (2022). Greenwashing, trust, and climate communication: A consumer culture critique. </w:t>
      </w:r>
      <w:r w:rsidRPr="00632FE2">
        <w:rPr>
          <w:rFonts w:ascii="Arial" w:hAnsi="Arial" w:cs="Arial"/>
          <w:b w:val="0"/>
          <w:bCs/>
          <w:i/>
          <w:iCs/>
        </w:rPr>
        <w:t>Journal of Business Ethics, 178</w:t>
      </w:r>
      <w:r w:rsidRPr="00632FE2">
        <w:rPr>
          <w:rFonts w:ascii="Arial" w:hAnsi="Arial" w:cs="Arial"/>
          <w:b w:val="0"/>
          <w:bCs/>
        </w:rPr>
        <w:t>(2), 365–380.</w:t>
      </w:r>
    </w:p>
    <w:p w14:paraId="2580EE33"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Krippendorff, K. (2019). </w:t>
      </w:r>
      <w:r w:rsidRPr="00632FE2">
        <w:rPr>
          <w:rFonts w:ascii="Arial" w:hAnsi="Arial" w:cs="Arial"/>
          <w:b w:val="0"/>
          <w:bCs/>
          <w:i/>
          <w:iCs/>
        </w:rPr>
        <w:t>Content analysis: An introduction to its methodology</w:t>
      </w:r>
      <w:r w:rsidRPr="00632FE2">
        <w:rPr>
          <w:rFonts w:ascii="Arial" w:hAnsi="Arial" w:cs="Arial"/>
          <w:b w:val="0"/>
          <w:bCs/>
        </w:rPr>
        <w:t xml:space="preserve"> (4th ed.). Sage. </w:t>
      </w:r>
      <w:hyperlink r:id="rId22" w:tgtFrame="_new" w:history="1">
        <w:r w:rsidRPr="00632FE2">
          <w:rPr>
            <w:rStyle w:val="Hyperlink"/>
            <w:rFonts w:ascii="Arial" w:hAnsi="Arial" w:cs="Arial"/>
            <w:b w:val="0"/>
            <w:bCs/>
          </w:rPr>
          <w:t>https://doi.org/10.4135/9781071878781</w:t>
        </w:r>
      </w:hyperlink>
    </w:p>
    <w:p w14:paraId="5E3EDEA3"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Holsti, O. R. (1969). </w:t>
      </w:r>
      <w:r w:rsidRPr="00632FE2">
        <w:rPr>
          <w:rFonts w:ascii="Arial" w:hAnsi="Arial" w:cs="Arial"/>
          <w:b w:val="0"/>
          <w:bCs/>
          <w:i/>
          <w:iCs/>
        </w:rPr>
        <w:t>Content analysis for the social sciences and humanities</w:t>
      </w:r>
      <w:r w:rsidRPr="00632FE2">
        <w:rPr>
          <w:rFonts w:ascii="Arial" w:hAnsi="Arial" w:cs="Arial"/>
          <w:b w:val="0"/>
          <w:bCs/>
        </w:rPr>
        <w:t>. Addison-Wesley.</w:t>
      </w:r>
    </w:p>
    <w:p w14:paraId="2CEFF154"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Berelson, B. (1952). </w:t>
      </w:r>
      <w:r w:rsidRPr="00632FE2">
        <w:rPr>
          <w:rFonts w:ascii="Arial" w:hAnsi="Arial" w:cs="Arial"/>
          <w:b w:val="0"/>
          <w:bCs/>
          <w:i/>
          <w:iCs/>
        </w:rPr>
        <w:t>Content analysis in communication research</w:t>
      </w:r>
      <w:r w:rsidRPr="00632FE2">
        <w:rPr>
          <w:rFonts w:ascii="Arial" w:hAnsi="Arial" w:cs="Arial"/>
          <w:b w:val="0"/>
          <w:bCs/>
        </w:rPr>
        <w:t>. Free Press.</w:t>
      </w:r>
    </w:p>
    <w:p w14:paraId="0C09DC64"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Neuendorf, K. A. (2017). </w:t>
      </w:r>
      <w:r w:rsidRPr="00632FE2">
        <w:rPr>
          <w:rFonts w:ascii="Arial" w:hAnsi="Arial" w:cs="Arial"/>
          <w:b w:val="0"/>
          <w:bCs/>
          <w:i/>
          <w:iCs/>
        </w:rPr>
        <w:t>The content analysis guidebook</w:t>
      </w:r>
      <w:r w:rsidRPr="00632FE2">
        <w:rPr>
          <w:rFonts w:ascii="Arial" w:hAnsi="Arial" w:cs="Arial"/>
          <w:b w:val="0"/>
          <w:bCs/>
        </w:rPr>
        <w:t xml:space="preserve"> (2nd ed.). Sage. </w:t>
      </w:r>
      <w:hyperlink r:id="rId23" w:tgtFrame="_new" w:history="1">
        <w:r w:rsidRPr="00632FE2">
          <w:rPr>
            <w:rStyle w:val="Hyperlink"/>
            <w:rFonts w:ascii="Arial" w:hAnsi="Arial" w:cs="Arial"/>
            <w:b w:val="0"/>
            <w:bCs/>
          </w:rPr>
          <w:t>https://doi.org/10.4135/9781071873045</w:t>
        </w:r>
      </w:hyperlink>
    </w:p>
    <w:p w14:paraId="715896A2"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Hsieh, H.-F., &amp; Shannon, S. E. (2005). Three approaches to qualitative content analysis. </w:t>
      </w:r>
      <w:r w:rsidRPr="00632FE2">
        <w:rPr>
          <w:rFonts w:ascii="Arial" w:hAnsi="Arial" w:cs="Arial"/>
          <w:b w:val="0"/>
          <w:bCs/>
          <w:i/>
          <w:iCs/>
        </w:rPr>
        <w:t>Qualitative Health Research, 15</w:t>
      </w:r>
      <w:r w:rsidRPr="00632FE2">
        <w:rPr>
          <w:rFonts w:ascii="Arial" w:hAnsi="Arial" w:cs="Arial"/>
          <w:b w:val="0"/>
          <w:bCs/>
        </w:rPr>
        <w:t xml:space="preserve">(9), 1277–1288. </w:t>
      </w:r>
      <w:hyperlink r:id="rId24" w:tgtFrame="_new" w:history="1">
        <w:r w:rsidRPr="00632FE2">
          <w:rPr>
            <w:rStyle w:val="Hyperlink"/>
            <w:rFonts w:ascii="Arial" w:hAnsi="Arial" w:cs="Arial"/>
            <w:b w:val="0"/>
            <w:bCs/>
          </w:rPr>
          <w:t>https://doi.org/10.1177/1049732305276687</w:t>
        </w:r>
      </w:hyperlink>
    </w:p>
    <w:p w14:paraId="6E97A86E"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Hartmann, P., &amp; Apaolaza-Ibáñez, V. (2009). Green advertising revisited: Conditioning virtual nature experiences. </w:t>
      </w:r>
      <w:r w:rsidRPr="00632FE2">
        <w:rPr>
          <w:rFonts w:ascii="Arial" w:hAnsi="Arial" w:cs="Arial"/>
          <w:b w:val="0"/>
          <w:bCs/>
          <w:i/>
          <w:iCs/>
        </w:rPr>
        <w:t>International Journal of Advertising, 28</w:t>
      </w:r>
      <w:r w:rsidRPr="00632FE2">
        <w:rPr>
          <w:rFonts w:ascii="Arial" w:hAnsi="Arial" w:cs="Arial"/>
          <w:b w:val="0"/>
          <w:bCs/>
        </w:rPr>
        <w:t xml:space="preserve">(4), 715–739. </w:t>
      </w:r>
      <w:hyperlink r:id="rId25" w:tgtFrame="_new" w:history="1">
        <w:r w:rsidRPr="00632FE2">
          <w:rPr>
            <w:rStyle w:val="Hyperlink"/>
            <w:rFonts w:ascii="Arial" w:hAnsi="Arial" w:cs="Arial"/>
            <w:b w:val="0"/>
            <w:bCs/>
          </w:rPr>
          <w:t>https://doi.org/10.2501/S0265048709200837</w:t>
        </w:r>
      </w:hyperlink>
    </w:p>
    <w:p w14:paraId="4B256D3C"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lastRenderedPageBreak/>
        <w:t xml:space="preserve">Giesler, M., &amp; Veresiu, E. (2014). Creating the responsible consumer: Moralistic governance regimes and consumer subjectivity. </w:t>
      </w:r>
      <w:r w:rsidRPr="00632FE2">
        <w:rPr>
          <w:rFonts w:ascii="Arial" w:hAnsi="Arial" w:cs="Arial"/>
          <w:b w:val="0"/>
          <w:bCs/>
          <w:i/>
          <w:iCs/>
        </w:rPr>
        <w:t>Journal of Consumer Research, 41</w:t>
      </w:r>
      <w:r w:rsidRPr="00632FE2">
        <w:rPr>
          <w:rFonts w:ascii="Arial" w:hAnsi="Arial" w:cs="Arial"/>
          <w:b w:val="0"/>
          <w:bCs/>
        </w:rPr>
        <w:t xml:space="preserve">(3), 840–857. </w:t>
      </w:r>
      <w:hyperlink r:id="rId26" w:tgtFrame="_new" w:history="1">
        <w:r w:rsidRPr="00632FE2">
          <w:rPr>
            <w:rStyle w:val="Hyperlink"/>
            <w:rFonts w:ascii="Arial" w:hAnsi="Arial" w:cs="Arial"/>
            <w:b w:val="0"/>
            <w:bCs/>
          </w:rPr>
          <w:t>https://doi.org/10.1086/677842</w:t>
        </w:r>
      </w:hyperlink>
    </w:p>
    <w:p w14:paraId="75DC7893"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Banerjee, S. B., Gulas, C. S., &amp; Iyer, E. (1995). Shades of green: A multidimensional analysis of environmental advertising. </w:t>
      </w:r>
      <w:r w:rsidRPr="00632FE2">
        <w:rPr>
          <w:rFonts w:ascii="Arial" w:hAnsi="Arial" w:cs="Arial"/>
          <w:b w:val="0"/>
          <w:bCs/>
          <w:i/>
          <w:iCs/>
        </w:rPr>
        <w:t>Journal of Advertising, 24</w:t>
      </w:r>
      <w:r w:rsidRPr="00632FE2">
        <w:rPr>
          <w:rFonts w:ascii="Arial" w:hAnsi="Arial" w:cs="Arial"/>
          <w:b w:val="0"/>
          <w:bCs/>
        </w:rPr>
        <w:t xml:space="preserve">(2), 21–31. </w:t>
      </w:r>
      <w:hyperlink r:id="rId27" w:tgtFrame="_new" w:history="1">
        <w:r w:rsidRPr="00632FE2">
          <w:rPr>
            <w:rStyle w:val="Hyperlink"/>
            <w:rFonts w:ascii="Arial" w:hAnsi="Arial" w:cs="Arial"/>
            <w:b w:val="0"/>
            <w:bCs/>
          </w:rPr>
          <w:t>https://doi.org/10.1080/00913367.1995.10673473</w:t>
        </w:r>
      </w:hyperlink>
    </w:p>
    <w:p w14:paraId="260AA12E"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Carlson, L., Grove, S. J., &amp; Kangun, N. (1993). A content analysis of environmental advertising claims: A matrix method approach. </w:t>
      </w:r>
      <w:r w:rsidRPr="00632FE2">
        <w:rPr>
          <w:rFonts w:ascii="Arial" w:hAnsi="Arial" w:cs="Arial"/>
          <w:b w:val="0"/>
          <w:bCs/>
          <w:i/>
          <w:iCs/>
        </w:rPr>
        <w:t>Journal of Advertising, 22</w:t>
      </w:r>
      <w:r w:rsidRPr="00632FE2">
        <w:rPr>
          <w:rFonts w:ascii="Arial" w:hAnsi="Arial" w:cs="Arial"/>
          <w:b w:val="0"/>
          <w:bCs/>
        </w:rPr>
        <w:t xml:space="preserve">(3), 27–39. </w:t>
      </w:r>
      <w:hyperlink r:id="rId28" w:tgtFrame="_new" w:history="1">
        <w:r w:rsidRPr="00632FE2">
          <w:rPr>
            <w:rStyle w:val="Hyperlink"/>
            <w:rFonts w:ascii="Arial" w:hAnsi="Arial" w:cs="Arial"/>
            <w:b w:val="0"/>
            <w:bCs/>
          </w:rPr>
          <w:t>https://doi.org/10.1080/00913367.1993.10673409</w:t>
        </w:r>
      </w:hyperlink>
    </w:p>
    <w:p w14:paraId="00D62C45"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Belz, F.-M., &amp; Peattie, K. (2012). </w:t>
      </w:r>
      <w:r w:rsidRPr="00632FE2">
        <w:rPr>
          <w:rFonts w:ascii="Arial" w:hAnsi="Arial" w:cs="Arial"/>
          <w:b w:val="0"/>
          <w:bCs/>
          <w:i/>
          <w:iCs/>
        </w:rPr>
        <w:t>Sustainability marketing: A global perspective</w:t>
      </w:r>
      <w:r w:rsidRPr="00632FE2">
        <w:rPr>
          <w:rFonts w:ascii="Arial" w:hAnsi="Arial" w:cs="Arial"/>
          <w:b w:val="0"/>
          <w:bCs/>
        </w:rPr>
        <w:t xml:space="preserve"> (2nd ed.). Wiley.</w:t>
      </w:r>
    </w:p>
    <w:p w14:paraId="336CFC47"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Dörnyei, K., &amp; Mitev, A. (2020). Green consumerism and the illusion of sustainability in television advertising. </w:t>
      </w:r>
      <w:r w:rsidRPr="00632FE2">
        <w:rPr>
          <w:rFonts w:ascii="Arial" w:hAnsi="Arial" w:cs="Arial"/>
          <w:b w:val="0"/>
          <w:bCs/>
          <w:i/>
          <w:iCs/>
        </w:rPr>
        <w:t>Society and Business Review, 15</w:t>
      </w:r>
      <w:r w:rsidRPr="00632FE2">
        <w:rPr>
          <w:rFonts w:ascii="Arial" w:hAnsi="Arial" w:cs="Arial"/>
          <w:b w:val="0"/>
          <w:bCs/>
        </w:rPr>
        <w:t>(3), 247–263.</w:t>
      </w:r>
    </w:p>
    <w:p w14:paraId="771705E2"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Minton, E. A., et al. (2012). Sustainable marketing and social media: An analysis of green outdoor advertising. </w:t>
      </w:r>
      <w:r w:rsidRPr="00632FE2">
        <w:rPr>
          <w:rFonts w:ascii="Arial" w:hAnsi="Arial" w:cs="Arial"/>
          <w:b w:val="0"/>
          <w:bCs/>
          <w:i/>
          <w:iCs/>
        </w:rPr>
        <w:t>Journal of Advertising Research, 52</w:t>
      </w:r>
      <w:r w:rsidRPr="00632FE2">
        <w:rPr>
          <w:rFonts w:ascii="Arial" w:hAnsi="Arial" w:cs="Arial"/>
          <w:b w:val="0"/>
          <w:bCs/>
        </w:rPr>
        <w:t>(1), 102–116.</w:t>
      </w:r>
    </w:p>
    <w:p w14:paraId="4949AF7E"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Smith, I., &amp; Brower, T. (2012). Longitudinal effects of green advertising on consumer perceptions. </w:t>
      </w:r>
      <w:r w:rsidRPr="00632FE2">
        <w:rPr>
          <w:rFonts w:ascii="Arial" w:hAnsi="Arial" w:cs="Arial"/>
          <w:b w:val="0"/>
          <w:bCs/>
          <w:i/>
          <w:iCs/>
        </w:rPr>
        <w:t>Journal of Business Ethics, 104</w:t>
      </w:r>
      <w:r w:rsidRPr="00632FE2">
        <w:rPr>
          <w:rFonts w:ascii="Arial" w:hAnsi="Arial" w:cs="Arial"/>
          <w:b w:val="0"/>
          <w:bCs/>
        </w:rPr>
        <w:t>(4), 619–634.</w:t>
      </w:r>
    </w:p>
    <w:p w14:paraId="2ADE44B9"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De Vries, L., et al. (2020). Green marketing on Instagram: Visual storytelling and eco-aesthetics. </w:t>
      </w:r>
      <w:r w:rsidRPr="00632FE2">
        <w:rPr>
          <w:rFonts w:ascii="Arial" w:hAnsi="Arial" w:cs="Arial"/>
          <w:b w:val="0"/>
          <w:bCs/>
          <w:i/>
          <w:iCs/>
        </w:rPr>
        <w:t>Journal of Interactive Marketing, 52</w:t>
      </w:r>
      <w:r w:rsidRPr="00632FE2">
        <w:rPr>
          <w:rFonts w:ascii="Arial" w:hAnsi="Arial" w:cs="Arial"/>
          <w:b w:val="0"/>
          <w:bCs/>
        </w:rPr>
        <w:t>, 80–98.</w:t>
      </w:r>
    </w:p>
    <w:p w14:paraId="2BFF3FC8"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Testa, F., Iraldo, F., &amp; Daddi, T. (2021). The power of online environmental advertising: A content analysis of YouTube campaigns. </w:t>
      </w:r>
      <w:r w:rsidRPr="00632FE2">
        <w:rPr>
          <w:rFonts w:ascii="Arial" w:hAnsi="Arial" w:cs="Arial"/>
          <w:b w:val="0"/>
          <w:bCs/>
          <w:i/>
          <w:iCs/>
        </w:rPr>
        <w:t>Corporate Social Responsibility and Environmental Management, 28</w:t>
      </w:r>
      <w:r w:rsidRPr="00632FE2">
        <w:rPr>
          <w:rFonts w:ascii="Arial" w:hAnsi="Arial" w:cs="Arial"/>
          <w:b w:val="0"/>
          <w:bCs/>
        </w:rPr>
        <w:t>(3), 939–952.</w:t>
      </w:r>
    </w:p>
    <w:p w14:paraId="7A3E9593"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Chen, Y.-S., Chang, C.-H., &amp; Lin, Y.-H. (2020). Social media eco-branding and participatory greenwashing: A content analysis. </w:t>
      </w:r>
      <w:r w:rsidRPr="00632FE2">
        <w:rPr>
          <w:rFonts w:ascii="Arial" w:hAnsi="Arial" w:cs="Arial"/>
          <w:b w:val="0"/>
          <w:bCs/>
          <w:i/>
          <w:iCs/>
        </w:rPr>
        <w:t>Journal of Business Ethics, 162</w:t>
      </w:r>
      <w:r w:rsidRPr="00632FE2">
        <w:rPr>
          <w:rFonts w:ascii="Arial" w:hAnsi="Arial" w:cs="Arial"/>
          <w:b w:val="0"/>
          <w:bCs/>
        </w:rPr>
        <w:t>(3), 589–603.</w:t>
      </w:r>
    </w:p>
    <w:p w14:paraId="4DFD11E7"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Kapitan, S., &amp; Silvera, D. H. (2016). From digital media influencers to consumer activism: The evolving role of the online audience. </w:t>
      </w:r>
      <w:r w:rsidRPr="00632FE2">
        <w:rPr>
          <w:rFonts w:ascii="Arial" w:hAnsi="Arial" w:cs="Arial"/>
          <w:b w:val="0"/>
          <w:bCs/>
          <w:i/>
          <w:iCs/>
        </w:rPr>
        <w:t>Journal of Interactive Advertising, 16</w:t>
      </w:r>
      <w:r w:rsidRPr="00632FE2">
        <w:rPr>
          <w:rFonts w:ascii="Arial" w:hAnsi="Arial" w:cs="Arial"/>
          <w:b w:val="0"/>
          <w:bCs/>
        </w:rPr>
        <w:t>(2), 76–90.</w:t>
      </w:r>
    </w:p>
    <w:p w14:paraId="00A49B2C"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Schwarzkopf, S., &amp; Urry, J. (2021). </w:t>
      </w:r>
      <w:r w:rsidRPr="00632FE2">
        <w:rPr>
          <w:rFonts w:ascii="Arial" w:hAnsi="Arial" w:cs="Arial"/>
          <w:b w:val="0"/>
          <w:bCs/>
          <w:i/>
          <w:iCs/>
        </w:rPr>
        <w:t>The economy of icons: Cross-media climate communication</w:t>
      </w:r>
      <w:r w:rsidRPr="00632FE2">
        <w:rPr>
          <w:rFonts w:ascii="Arial" w:hAnsi="Arial" w:cs="Arial"/>
          <w:b w:val="0"/>
          <w:bCs/>
        </w:rPr>
        <w:t>. Polity Press.</w:t>
      </w:r>
    </w:p>
    <w:p w14:paraId="45E188B4"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Bengtsson, A., &amp; Östman, J. (2017). The marketing of environmental concern: Cross-media framing of climate responsibility. </w:t>
      </w:r>
      <w:r w:rsidRPr="00632FE2">
        <w:rPr>
          <w:rFonts w:ascii="Arial" w:hAnsi="Arial" w:cs="Arial"/>
          <w:b w:val="0"/>
          <w:bCs/>
          <w:i/>
          <w:iCs/>
        </w:rPr>
        <w:t>Environmental Communication, 11</w:t>
      </w:r>
      <w:r w:rsidRPr="00632FE2">
        <w:rPr>
          <w:rFonts w:ascii="Arial" w:hAnsi="Arial" w:cs="Arial"/>
          <w:b w:val="0"/>
          <w:bCs/>
        </w:rPr>
        <w:t>(5), 603–619.</w:t>
      </w:r>
    </w:p>
    <w:p w14:paraId="78463130"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Barthes, R. (1977). </w:t>
      </w:r>
      <w:r w:rsidRPr="00632FE2">
        <w:rPr>
          <w:rFonts w:ascii="Arial" w:hAnsi="Arial" w:cs="Arial"/>
          <w:b w:val="0"/>
          <w:bCs/>
          <w:i/>
          <w:iCs/>
        </w:rPr>
        <w:t>Image, music, text</w:t>
      </w:r>
      <w:r w:rsidRPr="00632FE2">
        <w:rPr>
          <w:rFonts w:ascii="Arial" w:hAnsi="Arial" w:cs="Arial"/>
          <w:b w:val="0"/>
          <w:bCs/>
        </w:rPr>
        <w:t>. Fontana Press.</w:t>
      </w:r>
    </w:p>
    <w:p w14:paraId="37D9F4E6"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Matthes, J., Wonneberger, A., &amp; Schmuck, D. (2014). Consumers’ green responses to environmental advertising in Europe. </w:t>
      </w:r>
      <w:r w:rsidRPr="00632FE2">
        <w:rPr>
          <w:rFonts w:ascii="Arial" w:hAnsi="Arial" w:cs="Arial"/>
          <w:b w:val="0"/>
          <w:bCs/>
          <w:i/>
          <w:iCs/>
        </w:rPr>
        <w:t>Journal of Marketing Communications, 20</w:t>
      </w:r>
      <w:r w:rsidRPr="00632FE2">
        <w:rPr>
          <w:rFonts w:ascii="Arial" w:hAnsi="Arial" w:cs="Arial"/>
          <w:b w:val="0"/>
          <w:bCs/>
        </w:rPr>
        <w:t>(6), 1–16.</w:t>
      </w:r>
    </w:p>
    <w:p w14:paraId="3F94FC23"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Nyilasy, G., Gangadharbatla, H., &amp; Paladino, A. (2014). Perceived greenwashing: The interactive effects of green advertising and corporate environmental performance on consumer reactions. </w:t>
      </w:r>
      <w:r w:rsidRPr="00632FE2">
        <w:rPr>
          <w:rFonts w:ascii="Arial" w:hAnsi="Arial" w:cs="Arial"/>
          <w:b w:val="0"/>
          <w:bCs/>
          <w:i/>
          <w:iCs/>
        </w:rPr>
        <w:t>Journal of Business Ethics, 125</w:t>
      </w:r>
      <w:r w:rsidRPr="00632FE2">
        <w:rPr>
          <w:rFonts w:ascii="Arial" w:hAnsi="Arial" w:cs="Arial"/>
          <w:b w:val="0"/>
          <w:bCs/>
        </w:rPr>
        <w:t xml:space="preserve">(4), 693–707. </w:t>
      </w:r>
      <w:hyperlink r:id="rId29" w:tgtFrame="_new" w:history="1">
        <w:r w:rsidRPr="00632FE2">
          <w:rPr>
            <w:rStyle w:val="Hyperlink"/>
            <w:rFonts w:ascii="Arial" w:hAnsi="Arial" w:cs="Arial"/>
            <w:b w:val="0"/>
            <w:bCs/>
          </w:rPr>
          <w:t>https://doi.org/10.1007/s10551-013-1944-3</w:t>
        </w:r>
      </w:hyperlink>
    </w:p>
    <w:p w14:paraId="5199A9B9"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Kress, G., &amp; van Leeuwen, T. (2006). </w:t>
      </w:r>
      <w:r w:rsidRPr="00632FE2">
        <w:rPr>
          <w:rFonts w:ascii="Arial" w:hAnsi="Arial" w:cs="Arial"/>
          <w:b w:val="0"/>
          <w:bCs/>
          <w:i/>
          <w:iCs/>
        </w:rPr>
        <w:t>Reading images: The grammar of visual design</w:t>
      </w:r>
      <w:r w:rsidRPr="00632FE2">
        <w:rPr>
          <w:rFonts w:ascii="Arial" w:hAnsi="Arial" w:cs="Arial"/>
          <w:b w:val="0"/>
          <w:bCs/>
        </w:rPr>
        <w:t xml:space="preserve"> (2nd ed.). Routledge.</w:t>
      </w:r>
    </w:p>
    <w:p w14:paraId="0F110456"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Liobikienė, G., &amp; Dagiliūtė, R. (2021). The symbolic representation of sustainability in online advertising: A semiotic analysis. </w:t>
      </w:r>
      <w:r w:rsidRPr="00632FE2">
        <w:rPr>
          <w:rFonts w:ascii="Arial" w:hAnsi="Arial" w:cs="Arial"/>
          <w:b w:val="0"/>
          <w:bCs/>
          <w:i/>
          <w:iCs/>
        </w:rPr>
        <w:t>Environmental Communication, 15</w:t>
      </w:r>
      <w:r w:rsidRPr="00632FE2">
        <w:rPr>
          <w:rFonts w:ascii="Arial" w:hAnsi="Arial" w:cs="Arial"/>
          <w:b w:val="0"/>
          <w:bCs/>
        </w:rPr>
        <w:t>(7), 921–940.</w:t>
      </w:r>
    </w:p>
    <w:p w14:paraId="1AE020D3"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Etikan, A., Rahman, H., &amp; Chowdhury, M. (2022). Corporate sustainability communication on social media: A global content analysis. </w:t>
      </w:r>
      <w:r w:rsidRPr="00632FE2">
        <w:rPr>
          <w:rFonts w:ascii="Arial" w:hAnsi="Arial" w:cs="Arial"/>
          <w:b w:val="0"/>
          <w:bCs/>
          <w:i/>
          <w:iCs/>
        </w:rPr>
        <w:t>Sustainability, 14</w:t>
      </w:r>
      <w:r w:rsidRPr="00632FE2">
        <w:rPr>
          <w:rFonts w:ascii="Arial" w:hAnsi="Arial" w:cs="Arial"/>
          <w:b w:val="0"/>
          <w:bCs/>
        </w:rPr>
        <w:t>(12), 7054.</w:t>
      </w:r>
    </w:p>
    <w:p w14:paraId="2358005E"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Entman, R. M. (1993). Framing: Toward clarification of a fractured paradigm. </w:t>
      </w:r>
      <w:r w:rsidRPr="00632FE2">
        <w:rPr>
          <w:rFonts w:ascii="Arial" w:hAnsi="Arial" w:cs="Arial"/>
          <w:b w:val="0"/>
          <w:bCs/>
          <w:i/>
          <w:iCs/>
        </w:rPr>
        <w:t>Journal of Communication, 43</w:t>
      </w:r>
      <w:r w:rsidRPr="00632FE2">
        <w:rPr>
          <w:rFonts w:ascii="Arial" w:hAnsi="Arial" w:cs="Arial"/>
          <w:b w:val="0"/>
          <w:bCs/>
        </w:rPr>
        <w:t xml:space="preserve">(4), 51–58. </w:t>
      </w:r>
      <w:hyperlink r:id="rId30" w:tgtFrame="_new" w:history="1">
        <w:r w:rsidRPr="00632FE2">
          <w:rPr>
            <w:rStyle w:val="Hyperlink"/>
            <w:rFonts w:ascii="Arial" w:hAnsi="Arial" w:cs="Arial"/>
            <w:b w:val="0"/>
            <w:bCs/>
          </w:rPr>
          <w:t>https://doi.org/10.1111/j.1460-2466.1993.tb01304.x</w:t>
        </w:r>
      </w:hyperlink>
    </w:p>
    <w:p w14:paraId="0212D518"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Banet-Weiser, S. (2018). </w:t>
      </w:r>
      <w:r w:rsidRPr="00632FE2">
        <w:rPr>
          <w:rFonts w:ascii="Arial" w:hAnsi="Arial" w:cs="Arial"/>
          <w:b w:val="0"/>
          <w:bCs/>
          <w:i/>
          <w:iCs/>
        </w:rPr>
        <w:t>Empowered: Popular feminism and popular misogyny</w:t>
      </w:r>
      <w:r w:rsidRPr="00632FE2">
        <w:rPr>
          <w:rFonts w:ascii="Arial" w:hAnsi="Arial" w:cs="Arial"/>
          <w:b w:val="0"/>
          <w:bCs/>
        </w:rPr>
        <w:t xml:space="preserve">. Duke University Press. </w:t>
      </w:r>
      <w:hyperlink r:id="rId31" w:tgtFrame="_new" w:history="1">
        <w:r w:rsidRPr="00632FE2">
          <w:rPr>
            <w:rStyle w:val="Hyperlink"/>
            <w:rFonts w:ascii="Arial" w:hAnsi="Arial" w:cs="Arial"/>
            <w:b w:val="0"/>
            <w:bCs/>
          </w:rPr>
          <w:t>https://doi.org/10.1215/9781478002772</w:t>
        </w:r>
      </w:hyperlink>
    </w:p>
    <w:p w14:paraId="27859D03"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lastRenderedPageBreak/>
        <w:t xml:space="preserve">Connolly, J., &amp; Prothero, A. (2008). Green consumption: Life-politics, risk and contradictions. </w:t>
      </w:r>
      <w:r w:rsidRPr="00632FE2">
        <w:rPr>
          <w:rFonts w:ascii="Arial" w:hAnsi="Arial" w:cs="Arial"/>
          <w:b w:val="0"/>
          <w:bCs/>
          <w:i/>
          <w:iCs/>
        </w:rPr>
        <w:t>Journal of Consumer Culture, 8</w:t>
      </w:r>
      <w:r w:rsidRPr="00632FE2">
        <w:rPr>
          <w:rFonts w:ascii="Arial" w:hAnsi="Arial" w:cs="Arial"/>
          <w:b w:val="0"/>
          <w:bCs/>
        </w:rPr>
        <w:t xml:space="preserve">(1), 117–145. </w:t>
      </w:r>
      <w:hyperlink r:id="rId32" w:tgtFrame="_new" w:history="1">
        <w:r w:rsidRPr="00632FE2">
          <w:rPr>
            <w:rStyle w:val="Hyperlink"/>
            <w:rFonts w:ascii="Arial" w:hAnsi="Arial" w:cs="Arial"/>
            <w:b w:val="0"/>
            <w:bCs/>
          </w:rPr>
          <w:t>https://doi.org/10.1177/1469540507086422</w:t>
        </w:r>
      </w:hyperlink>
    </w:p>
    <w:p w14:paraId="4BE544C6"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Gongloff, M. (2023, September 13). Apple’s climate claims deserve scrutiny. </w:t>
      </w:r>
      <w:r w:rsidRPr="00632FE2">
        <w:rPr>
          <w:rFonts w:ascii="Arial" w:hAnsi="Arial" w:cs="Arial"/>
          <w:b w:val="0"/>
          <w:bCs/>
          <w:i/>
          <w:iCs/>
        </w:rPr>
        <w:t>Bloomberg Law</w:t>
      </w:r>
      <w:r w:rsidRPr="00632FE2">
        <w:rPr>
          <w:rFonts w:ascii="Arial" w:hAnsi="Arial" w:cs="Arial"/>
          <w:b w:val="0"/>
          <w:bCs/>
        </w:rPr>
        <w:t>.</w:t>
      </w:r>
    </w:p>
    <w:p w14:paraId="358C31C1"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The Guardian. (2023, June 22). Amazon’s emissions rise despite climate pledges. </w:t>
      </w:r>
      <w:r w:rsidRPr="00632FE2">
        <w:rPr>
          <w:rFonts w:ascii="Arial" w:hAnsi="Arial" w:cs="Arial"/>
          <w:b w:val="0"/>
          <w:bCs/>
          <w:i/>
          <w:iCs/>
        </w:rPr>
        <w:t>The Guardian</w:t>
      </w:r>
      <w:r w:rsidRPr="00632FE2">
        <w:rPr>
          <w:rFonts w:ascii="Arial" w:hAnsi="Arial" w:cs="Arial"/>
          <w:b w:val="0"/>
          <w:bCs/>
        </w:rPr>
        <w:t>.</w:t>
      </w:r>
    </w:p>
    <w:p w14:paraId="5E5D7A13"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Reuters. (2023, July 10). Unilever’s “sustainable living” plan under scrutiny for lack of measurable progress. </w:t>
      </w:r>
      <w:r w:rsidRPr="00632FE2">
        <w:rPr>
          <w:rFonts w:ascii="Arial" w:hAnsi="Arial" w:cs="Arial"/>
          <w:b w:val="0"/>
          <w:bCs/>
          <w:i/>
          <w:iCs/>
        </w:rPr>
        <w:t>Reuters</w:t>
      </w:r>
      <w:r w:rsidRPr="00632FE2">
        <w:rPr>
          <w:rFonts w:ascii="Arial" w:hAnsi="Arial" w:cs="Arial"/>
          <w:b w:val="0"/>
          <w:bCs/>
        </w:rPr>
        <w:t>.</w:t>
      </w:r>
    </w:p>
    <w:p w14:paraId="43211740"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Delmas, M. A., &amp; Burbano, V. C. (2011). The drivers of greenwashing. </w:t>
      </w:r>
      <w:r w:rsidRPr="00632FE2">
        <w:rPr>
          <w:rFonts w:ascii="Arial" w:hAnsi="Arial" w:cs="Arial"/>
          <w:b w:val="0"/>
          <w:bCs/>
          <w:i/>
          <w:iCs/>
        </w:rPr>
        <w:t>California Management Review, 54</w:t>
      </w:r>
      <w:r w:rsidRPr="00632FE2">
        <w:rPr>
          <w:rFonts w:ascii="Arial" w:hAnsi="Arial" w:cs="Arial"/>
          <w:b w:val="0"/>
          <w:bCs/>
        </w:rPr>
        <w:t xml:space="preserve">(1), 64–87. </w:t>
      </w:r>
      <w:hyperlink r:id="rId33" w:tgtFrame="_new" w:history="1">
        <w:r w:rsidRPr="00632FE2">
          <w:rPr>
            <w:rStyle w:val="Hyperlink"/>
            <w:rFonts w:ascii="Arial" w:hAnsi="Arial" w:cs="Arial"/>
            <w:b w:val="0"/>
            <w:bCs/>
          </w:rPr>
          <w:t>https://doi.org/10.1525/cmr.2011.54.1.64</w:t>
        </w:r>
      </w:hyperlink>
    </w:p>
    <w:p w14:paraId="6785BEC0"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Ahmed, S. (2010). </w:t>
      </w:r>
      <w:r w:rsidRPr="00632FE2">
        <w:rPr>
          <w:rFonts w:ascii="Arial" w:hAnsi="Arial" w:cs="Arial"/>
          <w:b w:val="0"/>
          <w:bCs/>
          <w:i/>
          <w:iCs/>
        </w:rPr>
        <w:t>The promise of happiness</w:t>
      </w:r>
      <w:r w:rsidRPr="00632FE2">
        <w:rPr>
          <w:rFonts w:ascii="Arial" w:hAnsi="Arial" w:cs="Arial"/>
          <w:b w:val="0"/>
          <w:bCs/>
        </w:rPr>
        <w:t xml:space="preserve">. Duke University Press. </w:t>
      </w:r>
      <w:hyperlink r:id="rId34" w:tgtFrame="_new" w:history="1">
        <w:r w:rsidRPr="00632FE2">
          <w:rPr>
            <w:rStyle w:val="Hyperlink"/>
            <w:rFonts w:ascii="Arial" w:hAnsi="Arial" w:cs="Arial"/>
            <w:b w:val="0"/>
            <w:bCs/>
          </w:rPr>
          <w:t>https://doi.org/10.1215/9780822392781</w:t>
        </w:r>
      </w:hyperlink>
    </w:p>
    <w:p w14:paraId="10F3B70D"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Bailey, A., Mishra, A., &amp; Tiamiyu, M. F. (2016). Green advertising appeals and consumer purchase intentions: An exploratory study. </w:t>
      </w:r>
      <w:r w:rsidRPr="00632FE2">
        <w:rPr>
          <w:rFonts w:ascii="Arial" w:hAnsi="Arial" w:cs="Arial"/>
          <w:b w:val="0"/>
          <w:bCs/>
          <w:i/>
          <w:iCs/>
        </w:rPr>
        <w:t>Journal of Promotion Management, 22</w:t>
      </w:r>
      <w:r w:rsidRPr="00632FE2">
        <w:rPr>
          <w:rFonts w:ascii="Arial" w:hAnsi="Arial" w:cs="Arial"/>
          <w:b w:val="0"/>
          <w:bCs/>
        </w:rPr>
        <w:t>(6), 798–812.</w:t>
      </w:r>
    </w:p>
    <w:p w14:paraId="70C22564"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Lury, C. (2020). </w:t>
      </w:r>
      <w:r w:rsidRPr="00632FE2">
        <w:rPr>
          <w:rFonts w:ascii="Arial" w:hAnsi="Arial" w:cs="Arial"/>
          <w:b w:val="0"/>
          <w:bCs/>
          <w:i/>
          <w:iCs/>
        </w:rPr>
        <w:t>Problem spaces: How and why methodology matters</w:t>
      </w:r>
      <w:r w:rsidRPr="00632FE2">
        <w:rPr>
          <w:rFonts w:ascii="Arial" w:hAnsi="Arial" w:cs="Arial"/>
          <w:b w:val="0"/>
          <w:bCs/>
        </w:rPr>
        <w:t>. Polity Press.</w:t>
      </w:r>
    </w:p>
    <w:p w14:paraId="63216BF5"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Driessens, O. (2013). Celebrity capital: Redefining celebrity using field theory. </w:t>
      </w:r>
      <w:r w:rsidRPr="00632FE2">
        <w:rPr>
          <w:rFonts w:ascii="Arial" w:hAnsi="Arial" w:cs="Arial"/>
          <w:b w:val="0"/>
          <w:bCs/>
          <w:i/>
          <w:iCs/>
        </w:rPr>
        <w:t>Theory and Society, 42</w:t>
      </w:r>
      <w:r w:rsidRPr="00632FE2">
        <w:rPr>
          <w:rFonts w:ascii="Arial" w:hAnsi="Arial" w:cs="Arial"/>
          <w:b w:val="0"/>
          <w:bCs/>
        </w:rPr>
        <w:t xml:space="preserve">(5), 543–560. </w:t>
      </w:r>
      <w:hyperlink r:id="rId35" w:tgtFrame="_new" w:history="1">
        <w:r w:rsidRPr="00632FE2">
          <w:rPr>
            <w:rStyle w:val="Hyperlink"/>
            <w:rFonts w:ascii="Arial" w:hAnsi="Arial" w:cs="Arial"/>
            <w:b w:val="0"/>
            <w:bCs/>
          </w:rPr>
          <w:t>https://doi.org/10.1007/s11186-013-9202-3</w:t>
        </w:r>
      </w:hyperlink>
    </w:p>
    <w:p w14:paraId="14376EF2"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Hearn, A. (2008). “Meat, mask, burden”: Probing the contours of the branded self. </w:t>
      </w:r>
      <w:r w:rsidRPr="00632FE2">
        <w:rPr>
          <w:rFonts w:ascii="Arial" w:hAnsi="Arial" w:cs="Arial"/>
          <w:b w:val="0"/>
          <w:bCs/>
          <w:i/>
          <w:iCs/>
        </w:rPr>
        <w:t>Journal of Consumer Culture</w:t>
      </w:r>
      <w:r w:rsidRPr="00632FE2">
        <w:rPr>
          <w:rFonts w:ascii="Arial" w:hAnsi="Arial" w:cs="Arial"/>
          <w:b w:val="0"/>
          <w:bCs/>
        </w:rPr>
        <w:t xml:space="preserve">. </w:t>
      </w:r>
      <w:hyperlink r:id="rId36" w:tgtFrame="_new" w:history="1">
        <w:r w:rsidRPr="00632FE2">
          <w:rPr>
            <w:rStyle w:val="Hyperlink"/>
            <w:rFonts w:ascii="Arial" w:hAnsi="Arial" w:cs="Arial"/>
            <w:b w:val="0"/>
            <w:bCs/>
          </w:rPr>
          <w:t>https://doi.org/10.1177/1469540508090086</w:t>
        </w:r>
      </w:hyperlink>
    </w:p>
    <w:p w14:paraId="2DA804B2"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Klein, N. (2019). </w:t>
      </w:r>
      <w:r w:rsidRPr="00632FE2">
        <w:rPr>
          <w:rFonts w:ascii="Arial" w:hAnsi="Arial" w:cs="Arial"/>
          <w:b w:val="0"/>
          <w:bCs/>
          <w:i/>
          <w:iCs/>
        </w:rPr>
        <w:t>On fire: The (burning) case for a Green New Deal</w:t>
      </w:r>
      <w:r w:rsidRPr="00632FE2">
        <w:rPr>
          <w:rFonts w:ascii="Arial" w:hAnsi="Arial" w:cs="Arial"/>
          <w:b w:val="0"/>
          <w:bCs/>
        </w:rPr>
        <w:t>. Simon &amp; Schuster.</w:t>
      </w:r>
    </w:p>
    <w:p w14:paraId="21C8DEC8"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Fairclough, N. (2010). </w:t>
      </w:r>
      <w:r w:rsidRPr="00632FE2">
        <w:rPr>
          <w:rFonts w:ascii="Arial" w:hAnsi="Arial" w:cs="Arial"/>
          <w:b w:val="0"/>
          <w:bCs/>
          <w:i/>
          <w:iCs/>
        </w:rPr>
        <w:t>Critical discourse analysis: The critical study of language</w:t>
      </w:r>
      <w:r w:rsidRPr="00632FE2">
        <w:rPr>
          <w:rFonts w:ascii="Arial" w:hAnsi="Arial" w:cs="Arial"/>
          <w:b w:val="0"/>
          <w:bCs/>
        </w:rPr>
        <w:t xml:space="preserve"> (2nd ed.). Routledge. </w:t>
      </w:r>
      <w:hyperlink r:id="rId37" w:tgtFrame="_new" w:history="1">
        <w:r w:rsidRPr="00632FE2">
          <w:rPr>
            <w:rStyle w:val="Hyperlink"/>
            <w:rFonts w:ascii="Arial" w:hAnsi="Arial" w:cs="Arial"/>
            <w:b w:val="0"/>
            <w:bCs/>
          </w:rPr>
          <w:t>https://doi.org/10.4324/9781315834368</w:t>
        </w:r>
      </w:hyperlink>
    </w:p>
    <w:p w14:paraId="32176863"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Lyon, T. P., &amp; Montgomery, A. W. (2015). The means and end of greenwash. </w:t>
      </w:r>
      <w:r w:rsidRPr="00632FE2">
        <w:rPr>
          <w:rFonts w:ascii="Arial" w:hAnsi="Arial" w:cs="Arial"/>
          <w:b w:val="0"/>
          <w:bCs/>
          <w:i/>
          <w:iCs/>
        </w:rPr>
        <w:t>Organization &amp; Environment, 28</w:t>
      </w:r>
      <w:r w:rsidRPr="00632FE2">
        <w:rPr>
          <w:rFonts w:ascii="Arial" w:hAnsi="Arial" w:cs="Arial"/>
          <w:b w:val="0"/>
          <w:bCs/>
        </w:rPr>
        <w:t xml:space="preserve">(2), 223–249. </w:t>
      </w:r>
      <w:hyperlink r:id="rId38" w:tgtFrame="_new" w:history="1">
        <w:r w:rsidRPr="00632FE2">
          <w:rPr>
            <w:rStyle w:val="Hyperlink"/>
            <w:rFonts w:ascii="Arial" w:hAnsi="Arial" w:cs="Arial"/>
            <w:b w:val="0"/>
            <w:bCs/>
          </w:rPr>
          <w:t>https://doi.org/10.1177/1086026615575332</w:t>
        </w:r>
      </w:hyperlink>
    </w:p>
    <w:p w14:paraId="470C6D9D"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De Freitas Netto, S. V., Sobral, M. F. F., Ribeiro, A. R. B., &amp; Soares, G. R. L. (2020). Concepts and forms of greenwashing: A systematic review. </w:t>
      </w:r>
      <w:r w:rsidRPr="00632FE2">
        <w:rPr>
          <w:rFonts w:ascii="Arial" w:hAnsi="Arial" w:cs="Arial"/>
          <w:b w:val="0"/>
          <w:bCs/>
          <w:i/>
          <w:iCs/>
        </w:rPr>
        <w:t>Environmental Sciences Europe, 32</w:t>
      </w:r>
      <w:r w:rsidRPr="00632FE2">
        <w:rPr>
          <w:rFonts w:ascii="Arial" w:hAnsi="Arial" w:cs="Arial"/>
          <w:b w:val="0"/>
          <w:bCs/>
        </w:rPr>
        <w:t xml:space="preserve">(1), 19. </w:t>
      </w:r>
      <w:hyperlink r:id="rId39" w:tgtFrame="_new" w:history="1">
        <w:r w:rsidRPr="00632FE2">
          <w:rPr>
            <w:rStyle w:val="Hyperlink"/>
            <w:rFonts w:ascii="Arial" w:hAnsi="Arial" w:cs="Arial"/>
            <w:b w:val="0"/>
            <w:bCs/>
          </w:rPr>
          <w:t>https://doi.org/10.1186/s12302-020-0300-3</w:t>
        </w:r>
      </w:hyperlink>
    </w:p>
    <w:p w14:paraId="42D5FD19"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European Commission. (2023). </w:t>
      </w:r>
      <w:r w:rsidRPr="00632FE2">
        <w:rPr>
          <w:rFonts w:ascii="Arial" w:hAnsi="Arial" w:cs="Arial"/>
          <w:b w:val="0"/>
          <w:bCs/>
          <w:i/>
          <w:iCs/>
        </w:rPr>
        <w:t>Enabling sustainable choices and ending greenwashing</w:t>
      </w:r>
      <w:r w:rsidRPr="00632FE2">
        <w:rPr>
          <w:rFonts w:ascii="Arial" w:hAnsi="Arial" w:cs="Arial"/>
          <w:b w:val="0"/>
          <w:bCs/>
        </w:rPr>
        <w:t>.</w:t>
      </w:r>
    </w:p>
    <w:p w14:paraId="265B727D"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Arnould, E. J., &amp; Thompson, C. J. (2005). Consumer culture theory (CCT): Twenty years of research. </w:t>
      </w:r>
      <w:r w:rsidRPr="00632FE2">
        <w:rPr>
          <w:rFonts w:ascii="Arial" w:hAnsi="Arial" w:cs="Arial"/>
          <w:b w:val="0"/>
          <w:bCs/>
          <w:i/>
          <w:iCs/>
        </w:rPr>
        <w:t>Journal of Consumer Research, 31</w:t>
      </w:r>
      <w:r w:rsidRPr="00632FE2">
        <w:rPr>
          <w:rFonts w:ascii="Arial" w:hAnsi="Arial" w:cs="Arial"/>
          <w:b w:val="0"/>
          <w:bCs/>
        </w:rPr>
        <w:t xml:space="preserve">(4), 868–882. </w:t>
      </w:r>
      <w:hyperlink r:id="rId40" w:tgtFrame="_new" w:history="1">
        <w:r w:rsidRPr="00632FE2">
          <w:rPr>
            <w:rStyle w:val="Hyperlink"/>
            <w:rFonts w:ascii="Arial" w:hAnsi="Arial" w:cs="Arial"/>
            <w:b w:val="0"/>
            <w:bCs/>
          </w:rPr>
          <w:t>https://doi.org/10.1086/426626</w:t>
        </w:r>
      </w:hyperlink>
    </w:p>
    <w:p w14:paraId="1D43E70D"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Shamir, R. (2008). The age of responsibilization: On market-embedded morality. </w:t>
      </w:r>
      <w:r w:rsidRPr="00632FE2">
        <w:rPr>
          <w:rFonts w:ascii="Arial" w:hAnsi="Arial" w:cs="Arial"/>
          <w:b w:val="0"/>
          <w:bCs/>
          <w:i/>
          <w:iCs/>
        </w:rPr>
        <w:t>Economy and Society, 37</w:t>
      </w:r>
      <w:r w:rsidRPr="00632FE2">
        <w:rPr>
          <w:rFonts w:ascii="Arial" w:hAnsi="Arial" w:cs="Arial"/>
          <w:b w:val="0"/>
          <w:bCs/>
        </w:rPr>
        <w:t xml:space="preserve">(1), 1–19. </w:t>
      </w:r>
      <w:hyperlink r:id="rId41" w:tgtFrame="_new" w:history="1">
        <w:r w:rsidRPr="00632FE2">
          <w:rPr>
            <w:rStyle w:val="Hyperlink"/>
            <w:rFonts w:ascii="Arial" w:hAnsi="Arial" w:cs="Arial"/>
            <w:b w:val="0"/>
            <w:bCs/>
          </w:rPr>
          <w:t>https://doi.org/10.1080/03085140701760833</w:t>
        </w:r>
      </w:hyperlink>
    </w:p>
    <w:p w14:paraId="510395B2"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Foucault, M. (2008). </w:t>
      </w:r>
      <w:r w:rsidRPr="00632FE2">
        <w:rPr>
          <w:rFonts w:ascii="Arial" w:hAnsi="Arial" w:cs="Arial"/>
          <w:b w:val="0"/>
          <w:bCs/>
          <w:i/>
          <w:iCs/>
        </w:rPr>
        <w:t>The birth of biopolitics: Lectures at the Collège de France, 1978–1979</w:t>
      </w:r>
      <w:r w:rsidRPr="00632FE2">
        <w:rPr>
          <w:rFonts w:ascii="Arial" w:hAnsi="Arial" w:cs="Arial"/>
          <w:b w:val="0"/>
          <w:bCs/>
        </w:rPr>
        <w:t>. Palgrave Macmillan.</w:t>
      </w:r>
    </w:p>
    <w:p w14:paraId="11929B71" w14:textId="77777777" w:rsidR="00632FE2" w:rsidRPr="00632FE2" w:rsidRDefault="00632FE2" w:rsidP="00632FE2">
      <w:pPr>
        <w:pStyle w:val="Appendix"/>
        <w:numPr>
          <w:ilvl w:val="0"/>
          <w:numId w:val="36"/>
        </w:numPr>
        <w:spacing w:after="0"/>
        <w:jc w:val="both"/>
        <w:rPr>
          <w:rFonts w:ascii="Arial" w:hAnsi="Arial" w:cs="Arial"/>
          <w:b w:val="0"/>
          <w:bCs/>
        </w:rPr>
      </w:pPr>
      <w:r w:rsidRPr="00632FE2">
        <w:rPr>
          <w:rFonts w:ascii="Arial" w:hAnsi="Arial" w:cs="Arial"/>
          <w:b w:val="0"/>
          <w:bCs/>
        </w:rPr>
        <w:t xml:space="preserve">Maniates, M. F. (2001). Individualization: Plant a tree, buy a bike, save the world? </w:t>
      </w:r>
      <w:r w:rsidRPr="00632FE2">
        <w:rPr>
          <w:rFonts w:ascii="Arial" w:hAnsi="Arial" w:cs="Arial"/>
          <w:b w:val="0"/>
          <w:bCs/>
          <w:i/>
          <w:iCs/>
        </w:rPr>
        <w:t>Global Environmental Politics, 1</w:t>
      </w:r>
      <w:r w:rsidRPr="00632FE2">
        <w:rPr>
          <w:rFonts w:ascii="Arial" w:hAnsi="Arial" w:cs="Arial"/>
          <w:b w:val="0"/>
          <w:bCs/>
        </w:rPr>
        <w:t xml:space="preserve">(3), 31–52. </w:t>
      </w:r>
      <w:hyperlink r:id="rId42" w:tgtFrame="_new" w:history="1">
        <w:r w:rsidRPr="00632FE2">
          <w:rPr>
            <w:rStyle w:val="Hyperlink"/>
            <w:rFonts w:ascii="Arial" w:hAnsi="Arial" w:cs="Arial"/>
            <w:b w:val="0"/>
            <w:bCs/>
          </w:rPr>
          <w:t>https://doi.org/10.1162/152638001316881395</w:t>
        </w:r>
      </w:hyperlink>
    </w:p>
    <w:p w14:paraId="25A04D44" w14:textId="638289EE" w:rsidR="00134A76" w:rsidRPr="00632FE2" w:rsidRDefault="00134A76" w:rsidP="00441B6F">
      <w:pPr>
        <w:pStyle w:val="Appendix"/>
        <w:spacing w:after="0"/>
        <w:jc w:val="both"/>
        <w:rPr>
          <w:rFonts w:ascii="Arial" w:hAnsi="Arial" w:cs="Arial"/>
          <w:b w:val="0"/>
          <w:bCs/>
        </w:rPr>
      </w:pPr>
      <w:bookmarkStart w:id="7" w:name="_GoBack"/>
      <w:bookmarkEnd w:id="7"/>
    </w:p>
    <w:sectPr w:rsidR="00134A76" w:rsidRPr="00632FE2" w:rsidSect="003B1D24">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11928" w14:textId="77777777" w:rsidR="005B46FF" w:rsidRDefault="005B46FF" w:rsidP="00C37E61">
      <w:r>
        <w:separator/>
      </w:r>
    </w:p>
  </w:endnote>
  <w:endnote w:type="continuationSeparator" w:id="0">
    <w:p w14:paraId="3F948FD9" w14:textId="77777777" w:rsidR="005B46FF" w:rsidRDefault="005B46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B76F" w14:textId="77777777" w:rsidR="003B1D24" w:rsidRDefault="003B1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5CCC" w14:textId="77777777" w:rsidR="003B1D24" w:rsidRDefault="003B1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C3F68" w14:textId="77777777" w:rsidR="009E048A" w:rsidRDefault="009E048A">
    <w:pPr>
      <w:pStyle w:val="Footer"/>
      <w:rPr>
        <w:rFonts w:ascii="Arial" w:hAnsi="Arial" w:cs="Arial"/>
        <w:sz w:val="16"/>
      </w:rPr>
    </w:pPr>
  </w:p>
  <w:p w14:paraId="7B895F8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021D930" w14:textId="77777777" w:rsidR="009E048A" w:rsidRDefault="009E048A">
    <w:pPr>
      <w:pStyle w:val="Footer"/>
      <w:rPr>
        <w:rFonts w:ascii="Arial" w:hAnsi="Arial" w:cs="Arial"/>
        <w:sz w:val="16"/>
      </w:rPr>
    </w:pPr>
  </w:p>
  <w:p w14:paraId="0D95F41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42C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8A73C" w14:textId="77777777" w:rsidR="005B46FF" w:rsidRDefault="005B46FF" w:rsidP="00C37E61">
      <w:r>
        <w:separator/>
      </w:r>
    </w:p>
  </w:footnote>
  <w:footnote w:type="continuationSeparator" w:id="0">
    <w:p w14:paraId="65E94EAC" w14:textId="77777777" w:rsidR="005B46FF" w:rsidRDefault="005B46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6F7E6" w14:textId="1582FA42" w:rsidR="003B1D24" w:rsidRDefault="005B46FF">
    <w:pPr>
      <w:pStyle w:val="Header"/>
    </w:pPr>
    <w:r>
      <w:rPr>
        <w:noProof/>
      </w:rPr>
      <w:pict w14:anchorId="4339A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788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3FB2" w14:textId="564D91A1" w:rsidR="003B1D24" w:rsidRDefault="005B46FF">
    <w:pPr>
      <w:pStyle w:val="Header"/>
    </w:pPr>
    <w:r>
      <w:rPr>
        <w:noProof/>
      </w:rPr>
      <w:pict w14:anchorId="2388E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788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2D4E" w14:textId="05C7984C" w:rsidR="00296529" w:rsidRPr="00296529" w:rsidRDefault="005B46FF" w:rsidP="00296529">
    <w:pPr>
      <w:ind w:left="2160"/>
      <w:jc w:val="center"/>
      <w:rPr>
        <w:rFonts w:ascii="Times New Roman" w:eastAsia="Calibri" w:hAnsi="Times New Roman"/>
        <w:i/>
        <w:sz w:val="18"/>
        <w:szCs w:val="22"/>
      </w:rPr>
    </w:pPr>
    <w:r>
      <w:rPr>
        <w:noProof/>
      </w:rPr>
      <w:pict w14:anchorId="6A5CD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788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73EAA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FE7A1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9E81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D227C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4C02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0274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A38F" w14:textId="74D84785" w:rsidR="003B1D24" w:rsidRDefault="005B46FF">
    <w:pPr>
      <w:pStyle w:val="Header"/>
    </w:pPr>
    <w:r>
      <w:rPr>
        <w:noProof/>
      </w:rPr>
      <w:pict w14:anchorId="0F48B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7889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F0ED" w14:textId="2F3C3780" w:rsidR="003B1D24" w:rsidRDefault="005B46FF">
    <w:pPr>
      <w:pStyle w:val="Header"/>
    </w:pPr>
    <w:r>
      <w:rPr>
        <w:noProof/>
      </w:rPr>
      <w:pict w14:anchorId="69AD0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7889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68759" w14:textId="7DFD5ADA" w:rsidR="003B1D24" w:rsidRDefault="005B46FF">
    <w:pPr>
      <w:pStyle w:val="Header"/>
    </w:pPr>
    <w:r>
      <w:rPr>
        <w:noProof/>
      </w:rPr>
      <w:pict w14:anchorId="51C7E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7889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3081E"/>
    <w:multiLevelType w:val="multilevel"/>
    <w:tmpl w:val="3D069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5135043"/>
    <w:multiLevelType w:val="hybridMultilevel"/>
    <w:tmpl w:val="BAEA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F41B67"/>
    <w:multiLevelType w:val="hybridMultilevel"/>
    <w:tmpl w:val="F03A6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B1C6949"/>
    <w:multiLevelType w:val="hybridMultilevel"/>
    <w:tmpl w:val="C15C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2146A"/>
    <w:multiLevelType w:val="hybridMultilevel"/>
    <w:tmpl w:val="BA446CF4"/>
    <w:lvl w:ilvl="0" w:tplc="7CF8C9C8">
      <w:numFmt w:val="bullet"/>
      <w:lvlText w:val=""/>
      <w:lvlJc w:val="left"/>
      <w:pPr>
        <w:ind w:left="720" w:hanging="360"/>
      </w:pPr>
      <w:rPr>
        <w:rFonts w:ascii="Arial" w:eastAsia="Times New Roman" w:hAnsi="Arial" w:cs="Arial"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5B4C28"/>
    <w:multiLevelType w:val="hybridMultilevel"/>
    <w:tmpl w:val="B9BE3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1"/>
  </w:num>
  <w:num w:numId="12">
    <w:abstractNumId w:val="3"/>
  </w:num>
  <w:num w:numId="13">
    <w:abstractNumId w:val="18"/>
  </w:num>
  <w:num w:numId="14">
    <w:abstractNumId w:val="8"/>
  </w:num>
  <w:num w:numId="15">
    <w:abstractNumId w:val="26"/>
  </w:num>
  <w:num w:numId="16">
    <w:abstractNumId w:val="5"/>
  </w:num>
  <w:num w:numId="17">
    <w:abstractNumId w:val="27"/>
  </w:num>
  <w:num w:numId="18">
    <w:abstractNumId w:val="14"/>
  </w:num>
  <w:num w:numId="19">
    <w:abstractNumId w:val="34"/>
  </w:num>
  <w:num w:numId="20">
    <w:abstractNumId w:val="11"/>
  </w:num>
  <w:num w:numId="21">
    <w:abstractNumId w:val="9"/>
  </w:num>
  <w:num w:numId="22">
    <w:abstractNumId w:val="13"/>
  </w:num>
  <w:num w:numId="23">
    <w:abstractNumId w:val="24"/>
  </w:num>
  <w:num w:numId="24">
    <w:abstractNumId w:val="31"/>
  </w:num>
  <w:num w:numId="25">
    <w:abstractNumId w:val="4"/>
  </w:num>
  <w:num w:numId="26">
    <w:abstractNumId w:val="16"/>
  </w:num>
  <w:num w:numId="27">
    <w:abstractNumId w:val="25"/>
  </w:num>
  <w:num w:numId="28">
    <w:abstractNumId w:val="32"/>
  </w:num>
  <w:num w:numId="29">
    <w:abstractNumId w:val="29"/>
  </w:num>
  <w:num w:numId="30">
    <w:abstractNumId w:val="10"/>
  </w:num>
  <w:num w:numId="31">
    <w:abstractNumId w:val="33"/>
  </w:num>
  <w:num w:numId="32">
    <w:abstractNumId w:val="19"/>
  </w:num>
  <w:num w:numId="33">
    <w:abstractNumId w:val="23"/>
  </w:num>
  <w:num w:numId="34">
    <w:abstractNumId w:val="22"/>
  </w:num>
  <w:num w:numId="35">
    <w:abstractNumId w:val="1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QwMrIwNTOxNLI0MjZW0lEKTi0uzszPAykwrAUAVgbhBCwAAAA="/>
  </w:docVars>
  <w:rsids>
    <w:rsidRoot w:val="00AA6219"/>
    <w:rsid w:val="00000F8F"/>
    <w:rsid w:val="00030174"/>
    <w:rsid w:val="0004579C"/>
    <w:rsid w:val="000A47FA"/>
    <w:rsid w:val="000A65D3"/>
    <w:rsid w:val="000A66CA"/>
    <w:rsid w:val="000B1E33"/>
    <w:rsid w:val="000B71F4"/>
    <w:rsid w:val="000D689F"/>
    <w:rsid w:val="000E7B7B"/>
    <w:rsid w:val="000E7D62"/>
    <w:rsid w:val="00103357"/>
    <w:rsid w:val="00123C9F"/>
    <w:rsid w:val="00126190"/>
    <w:rsid w:val="00130F17"/>
    <w:rsid w:val="001320BF"/>
    <w:rsid w:val="00134A76"/>
    <w:rsid w:val="001639BD"/>
    <w:rsid w:val="00163BC4"/>
    <w:rsid w:val="00191062"/>
    <w:rsid w:val="00192B72"/>
    <w:rsid w:val="001A29D8"/>
    <w:rsid w:val="001A5CAA"/>
    <w:rsid w:val="001B0427"/>
    <w:rsid w:val="001D3A51"/>
    <w:rsid w:val="001E10D2"/>
    <w:rsid w:val="001E25B4"/>
    <w:rsid w:val="001E44FE"/>
    <w:rsid w:val="00200595"/>
    <w:rsid w:val="00201915"/>
    <w:rsid w:val="00204835"/>
    <w:rsid w:val="00231920"/>
    <w:rsid w:val="0023195C"/>
    <w:rsid w:val="0024282C"/>
    <w:rsid w:val="002460DC"/>
    <w:rsid w:val="00250985"/>
    <w:rsid w:val="00254DC6"/>
    <w:rsid w:val="002556F6"/>
    <w:rsid w:val="00283105"/>
    <w:rsid w:val="00284C4C"/>
    <w:rsid w:val="00287E68"/>
    <w:rsid w:val="00296529"/>
    <w:rsid w:val="002A2A8F"/>
    <w:rsid w:val="002B27FB"/>
    <w:rsid w:val="002B685A"/>
    <w:rsid w:val="002C57D2"/>
    <w:rsid w:val="002E0D56"/>
    <w:rsid w:val="002E3251"/>
    <w:rsid w:val="002E50FD"/>
    <w:rsid w:val="002F4429"/>
    <w:rsid w:val="00315186"/>
    <w:rsid w:val="0033343E"/>
    <w:rsid w:val="003512C2"/>
    <w:rsid w:val="00371FB6"/>
    <w:rsid w:val="003763C1"/>
    <w:rsid w:val="00376BBE"/>
    <w:rsid w:val="0039224F"/>
    <w:rsid w:val="003A43A4"/>
    <w:rsid w:val="003A7E18"/>
    <w:rsid w:val="003B1D24"/>
    <w:rsid w:val="003C3C66"/>
    <w:rsid w:val="003C4C86"/>
    <w:rsid w:val="003C6258"/>
    <w:rsid w:val="003E2904"/>
    <w:rsid w:val="00401927"/>
    <w:rsid w:val="0041027F"/>
    <w:rsid w:val="00412475"/>
    <w:rsid w:val="00423789"/>
    <w:rsid w:val="00440F43"/>
    <w:rsid w:val="00441B6F"/>
    <w:rsid w:val="00446221"/>
    <w:rsid w:val="00450E62"/>
    <w:rsid w:val="004539DB"/>
    <w:rsid w:val="00471A80"/>
    <w:rsid w:val="00476299"/>
    <w:rsid w:val="00493DF3"/>
    <w:rsid w:val="00497489"/>
    <w:rsid w:val="004D305E"/>
    <w:rsid w:val="004D4277"/>
    <w:rsid w:val="00502516"/>
    <w:rsid w:val="00505F06"/>
    <w:rsid w:val="00506828"/>
    <w:rsid w:val="0052720B"/>
    <w:rsid w:val="0053056E"/>
    <w:rsid w:val="00554FDA"/>
    <w:rsid w:val="005B46FF"/>
    <w:rsid w:val="005C784C"/>
    <w:rsid w:val="005D17F6"/>
    <w:rsid w:val="005E5539"/>
    <w:rsid w:val="005E571A"/>
    <w:rsid w:val="005F20AF"/>
    <w:rsid w:val="00602BF5"/>
    <w:rsid w:val="00617FDD"/>
    <w:rsid w:val="00632FE2"/>
    <w:rsid w:val="00633614"/>
    <w:rsid w:val="00633F68"/>
    <w:rsid w:val="00636EB2"/>
    <w:rsid w:val="006375B8"/>
    <w:rsid w:val="00642AC6"/>
    <w:rsid w:val="0066510A"/>
    <w:rsid w:val="00671289"/>
    <w:rsid w:val="00673F9F"/>
    <w:rsid w:val="00686953"/>
    <w:rsid w:val="00687B9C"/>
    <w:rsid w:val="00687DEA"/>
    <w:rsid w:val="00687E67"/>
    <w:rsid w:val="006967F7"/>
    <w:rsid w:val="006A250C"/>
    <w:rsid w:val="006A7BFF"/>
    <w:rsid w:val="006B21D3"/>
    <w:rsid w:val="006B57D0"/>
    <w:rsid w:val="006C4A7D"/>
    <w:rsid w:val="006D30FF"/>
    <w:rsid w:val="006D6940"/>
    <w:rsid w:val="006F11EC"/>
    <w:rsid w:val="0070082C"/>
    <w:rsid w:val="007369E6"/>
    <w:rsid w:val="00740CAD"/>
    <w:rsid w:val="00746E59"/>
    <w:rsid w:val="00754C9A"/>
    <w:rsid w:val="0075599A"/>
    <w:rsid w:val="00761D52"/>
    <w:rsid w:val="007655CE"/>
    <w:rsid w:val="0077749E"/>
    <w:rsid w:val="007812CB"/>
    <w:rsid w:val="00790ADA"/>
    <w:rsid w:val="007A7429"/>
    <w:rsid w:val="007D0ED7"/>
    <w:rsid w:val="007D2288"/>
    <w:rsid w:val="007E088F"/>
    <w:rsid w:val="007F7B32"/>
    <w:rsid w:val="00804BC2"/>
    <w:rsid w:val="0081431A"/>
    <w:rsid w:val="0083216F"/>
    <w:rsid w:val="00860000"/>
    <w:rsid w:val="00862175"/>
    <w:rsid w:val="00863BD3"/>
    <w:rsid w:val="008641ED"/>
    <w:rsid w:val="00864472"/>
    <w:rsid w:val="00864C11"/>
    <w:rsid w:val="00866D66"/>
    <w:rsid w:val="008671C6"/>
    <w:rsid w:val="00875803"/>
    <w:rsid w:val="00877D5E"/>
    <w:rsid w:val="008A3626"/>
    <w:rsid w:val="008B459E"/>
    <w:rsid w:val="008E13AE"/>
    <w:rsid w:val="008E1506"/>
    <w:rsid w:val="008E710C"/>
    <w:rsid w:val="008F2E64"/>
    <w:rsid w:val="008F69D6"/>
    <w:rsid w:val="00902823"/>
    <w:rsid w:val="00912D07"/>
    <w:rsid w:val="00915CA6"/>
    <w:rsid w:val="00927834"/>
    <w:rsid w:val="00942049"/>
    <w:rsid w:val="009500A6"/>
    <w:rsid w:val="00957C18"/>
    <w:rsid w:val="00963CA7"/>
    <w:rsid w:val="009659BA"/>
    <w:rsid w:val="00983040"/>
    <w:rsid w:val="00991EF3"/>
    <w:rsid w:val="009A50FB"/>
    <w:rsid w:val="009B3FB9"/>
    <w:rsid w:val="009C2465"/>
    <w:rsid w:val="009D35A0"/>
    <w:rsid w:val="009D7EB7"/>
    <w:rsid w:val="009E048A"/>
    <w:rsid w:val="009E08E9"/>
    <w:rsid w:val="009E3DB9"/>
    <w:rsid w:val="009E4987"/>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077D"/>
    <w:rsid w:val="00B01FCD"/>
    <w:rsid w:val="00B1776C"/>
    <w:rsid w:val="00B47DA3"/>
    <w:rsid w:val="00B52583"/>
    <w:rsid w:val="00B52896"/>
    <w:rsid w:val="00B81D64"/>
    <w:rsid w:val="00B95236"/>
    <w:rsid w:val="00B96BD9"/>
    <w:rsid w:val="00BA1B01"/>
    <w:rsid w:val="00BA2641"/>
    <w:rsid w:val="00BB37AA"/>
    <w:rsid w:val="00BC53A0"/>
    <w:rsid w:val="00BE62AD"/>
    <w:rsid w:val="00BF121F"/>
    <w:rsid w:val="00BF1F80"/>
    <w:rsid w:val="00C05D27"/>
    <w:rsid w:val="00C166EF"/>
    <w:rsid w:val="00C17EB0"/>
    <w:rsid w:val="00C27F5F"/>
    <w:rsid w:val="00C30A0F"/>
    <w:rsid w:val="00C37E61"/>
    <w:rsid w:val="00C5521B"/>
    <w:rsid w:val="00C70F1B"/>
    <w:rsid w:val="00C71A47"/>
    <w:rsid w:val="00C7464C"/>
    <w:rsid w:val="00C85588"/>
    <w:rsid w:val="00C865ED"/>
    <w:rsid w:val="00CA6033"/>
    <w:rsid w:val="00CB1A8E"/>
    <w:rsid w:val="00CD6755"/>
    <w:rsid w:val="00CD6856"/>
    <w:rsid w:val="00CE0089"/>
    <w:rsid w:val="00CE793C"/>
    <w:rsid w:val="00CF193C"/>
    <w:rsid w:val="00CF6175"/>
    <w:rsid w:val="00D173F1"/>
    <w:rsid w:val="00D74CB0"/>
    <w:rsid w:val="00D8295D"/>
    <w:rsid w:val="00D8621E"/>
    <w:rsid w:val="00DC2A65"/>
    <w:rsid w:val="00DD0B22"/>
    <w:rsid w:val="00DE15F0"/>
    <w:rsid w:val="00DE5663"/>
    <w:rsid w:val="00DE78AA"/>
    <w:rsid w:val="00DF4370"/>
    <w:rsid w:val="00E053D0"/>
    <w:rsid w:val="00E15994"/>
    <w:rsid w:val="00E3114E"/>
    <w:rsid w:val="00E31A70"/>
    <w:rsid w:val="00E35B02"/>
    <w:rsid w:val="00E66496"/>
    <w:rsid w:val="00E66B35"/>
    <w:rsid w:val="00E66E10"/>
    <w:rsid w:val="00E74F08"/>
    <w:rsid w:val="00E769F6"/>
    <w:rsid w:val="00E8407C"/>
    <w:rsid w:val="00E84F3C"/>
    <w:rsid w:val="00EA012C"/>
    <w:rsid w:val="00EB4357"/>
    <w:rsid w:val="00EC1FF4"/>
    <w:rsid w:val="00EC6A55"/>
    <w:rsid w:val="00ED0288"/>
    <w:rsid w:val="00EE52CB"/>
    <w:rsid w:val="00EF581D"/>
    <w:rsid w:val="00EF7FD8"/>
    <w:rsid w:val="00F06F59"/>
    <w:rsid w:val="00F17988"/>
    <w:rsid w:val="00F469F0"/>
    <w:rsid w:val="00F53273"/>
    <w:rsid w:val="00F755E4"/>
    <w:rsid w:val="00F77D02"/>
    <w:rsid w:val="00F8608B"/>
    <w:rsid w:val="00FB3A86"/>
    <w:rsid w:val="00FD36C8"/>
    <w:rsid w:val="00FF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6"/>
        <o:r id="V:Rule2" type="connector" idref="#_x0000_s1032"/>
        <o:r id="V:Rule3" type="connector" idref="#_x0000_s1033"/>
        <o:r id="V:Rule4" type="connector" idref="#_x0000_s1034"/>
        <o:r id="V:Rule5" type="connector" idref="#_x0000_s1035"/>
      </o:rules>
    </o:shapelayout>
  </w:shapeDefaults>
  <w:decimalSymbol w:val="."/>
  <w:listSeparator w:val=","/>
  <w14:docId w14:val="0BEC8DCA"/>
  <w15:docId w15:val="{BDB6A46D-B2CB-4DA3-9D23-B29C47E6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F43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F4370"/>
    <w:rPr>
      <w:rFonts w:asciiTheme="majorHAnsi" w:eastAsiaTheme="majorEastAsia" w:hAnsiTheme="majorHAnsi" w:cstheme="majorBidi"/>
      <w:color w:val="243F60" w:themeColor="accent1" w:themeShade="7F"/>
      <w:sz w:val="24"/>
      <w:szCs w:val="24"/>
    </w:rPr>
  </w:style>
  <w:style w:type="table" w:styleId="ListTable1Light">
    <w:name w:val="List Table 1 Light"/>
    <w:basedOn w:val="TableNormal"/>
    <w:uiPriority w:val="46"/>
    <w:rsid w:val="009A50F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9A50F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
    <w:name w:val="Grid Table 6 Colorful"/>
    <w:basedOn w:val="TableNormal"/>
    <w:uiPriority w:val="51"/>
    <w:rsid w:val="009420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warc.com/content/article/marketers-toolkit/the-marketers-toolkit-2024/157900" TargetMode="External"/><Relationship Id="rId26" Type="http://schemas.openxmlformats.org/officeDocument/2006/relationships/hyperlink" Target="https://doi.org/10.1086/677842" TargetMode="External"/><Relationship Id="rId39" Type="http://schemas.openxmlformats.org/officeDocument/2006/relationships/hyperlink" Target="https://doi.org/10.1186/s12302-020-0300-3" TargetMode="External"/><Relationship Id="rId21" Type="http://schemas.openxmlformats.org/officeDocument/2006/relationships/hyperlink" Target="https://doi.org/10.1111/j.1530-9134.2010.00282.x" TargetMode="External"/><Relationship Id="rId34" Type="http://schemas.openxmlformats.org/officeDocument/2006/relationships/hyperlink" Target="https://doi.org/10.1215/9780822392781" TargetMode="External"/><Relationship Id="rId42" Type="http://schemas.openxmlformats.org/officeDocument/2006/relationships/hyperlink" Target="https://doi.org/10.1162/152638001316881395"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9327/IPCC/AR6-9789291691647.001" TargetMode="External"/><Relationship Id="rId29" Type="http://schemas.openxmlformats.org/officeDocument/2006/relationships/hyperlink" Target="https://doi.org/10.1007/s10551-013-194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1049732305276687" TargetMode="External"/><Relationship Id="rId32" Type="http://schemas.openxmlformats.org/officeDocument/2006/relationships/hyperlink" Target="https://doi.org/10.1177/1469540507086422" TargetMode="External"/><Relationship Id="rId37" Type="http://schemas.openxmlformats.org/officeDocument/2006/relationships/hyperlink" Target="https://doi.org/10.4324/9781315834368" TargetMode="External"/><Relationship Id="rId40" Type="http://schemas.openxmlformats.org/officeDocument/2006/relationships/hyperlink" Target="https://doi.org/10.1086/426626"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59327/IPCC/AR6-9789291691647" TargetMode="External"/><Relationship Id="rId23" Type="http://schemas.openxmlformats.org/officeDocument/2006/relationships/hyperlink" Target="https://doi.org/10.4135/9781071873045" TargetMode="External"/><Relationship Id="rId28" Type="http://schemas.openxmlformats.org/officeDocument/2006/relationships/hyperlink" Target="https://doi.org/10.1080/00913367.1993.10673409" TargetMode="External"/><Relationship Id="rId36" Type="http://schemas.openxmlformats.org/officeDocument/2006/relationships/hyperlink" Target="https://doi.org/10.1177/1469540508090086" TargetMode="External"/><Relationship Id="rId10" Type="http://schemas.openxmlformats.org/officeDocument/2006/relationships/footer" Target="footer1.xml"/><Relationship Id="rId19" Type="http://schemas.openxmlformats.org/officeDocument/2006/relationships/hyperlink" Target="https://doi.org/10.1093/oxfordhb/9780199566600.003.0011" TargetMode="External"/><Relationship Id="rId31" Type="http://schemas.openxmlformats.org/officeDocument/2006/relationships/hyperlink" Target="https://doi.org/10.1215/9781478002772"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hat.openai.com" TargetMode="External"/><Relationship Id="rId22" Type="http://schemas.openxmlformats.org/officeDocument/2006/relationships/hyperlink" Target="https://doi.org/10.4135/9781071878781" TargetMode="External"/><Relationship Id="rId27" Type="http://schemas.openxmlformats.org/officeDocument/2006/relationships/hyperlink" Target="https://doi.org/10.1080/00913367.1995.10673473" TargetMode="External"/><Relationship Id="rId30" Type="http://schemas.openxmlformats.org/officeDocument/2006/relationships/hyperlink" Target="https://doi.org/10.1111/j.1460-2466.1993.tb01304.x" TargetMode="External"/><Relationship Id="rId35" Type="http://schemas.openxmlformats.org/officeDocument/2006/relationships/hyperlink" Target="https://doi.org/10.1007/s11186-013-9202-3"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08/13522750510619733" TargetMode="External"/><Relationship Id="rId25" Type="http://schemas.openxmlformats.org/officeDocument/2006/relationships/hyperlink" Target="https://doi.org/10.2501/S0265048709200837" TargetMode="External"/><Relationship Id="rId33" Type="http://schemas.openxmlformats.org/officeDocument/2006/relationships/hyperlink" Target="https://doi.org/10.1525/cmr.2011.54.1.64" TargetMode="External"/><Relationship Id="rId38" Type="http://schemas.openxmlformats.org/officeDocument/2006/relationships/hyperlink" Target="https://doi.org/10.1177/1086026615575332" TargetMode="External"/><Relationship Id="rId46" Type="http://schemas.openxmlformats.org/officeDocument/2006/relationships/header" Target="header6.xml"/><Relationship Id="rId20" Type="http://schemas.openxmlformats.org/officeDocument/2006/relationships/hyperlink" Target="https://doi.org/10.1016/j.ecolecon.2007.03.007" TargetMode="External"/><Relationship Id="rId41" Type="http://schemas.openxmlformats.org/officeDocument/2006/relationships/hyperlink" Target="https://doi.org/10.1080/030851407017608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ECC8E-8B20-47A4-97FE-9528331E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TotalTime>
  <Pages>15</Pages>
  <Words>7529</Words>
  <Characters>42918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50347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Editor-1183</cp:lastModifiedBy>
  <cp:revision>23</cp:revision>
  <cp:lastPrinted>1999-07-06T11:00:00Z</cp:lastPrinted>
  <dcterms:created xsi:type="dcterms:W3CDTF">2014-10-25T14:34:00Z</dcterms:created>
  <dcterms:modified xsi:type="dcterms:W3CDTF">2026-01-22T12:45:00Z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61ffc853-919b-41a9-b894-4791ea1e566e</vt:lpwstr>
  </property>
</Properties>
</file>