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07620" w14:textId="35FFE238" w:rsidR="00DA34A8" w:rsidRPr="00493E5A" w:rsidRDefault="00EF1079" w:rsidP="00493E5A">
      <w:pPr>
        <w:spacing w:line="36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n-IN"/>
        </w:rPr>
      </w:pPr>
      <w:bookmarkStart w:id="0" w:name="_gjdgxs" w:colFirst="0" w:colLast="0"/>
      <w:bookmarkEnd w:id="0"/>
      <w:r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Governance of i</w:t>
      </w:r>
      <w:r w:rsidR="00142FF6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nsecticidal effect </w:t>
      </w:r>
      <w:r w:rsidR="006C610C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by</w:t>
      </w:r>
      <w:r w:rsidR="00142FF6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attapulgite clay</w:t>
      </w:r>
      <w:r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the </w:t>
      </w:r>
      <w:proofErr w:type="spellStart"/>
      <w:r w:rsidRPr="00493E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Callosobruchus</w:t>
      </w:r>
      <w:proofErr w:type="spellEnd"/>
      <w:r w:rsidRPr="00493E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493E5A" w:rsidRPr="00493E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chinensis</w:t>
      </w:r>
      <w:proofErr w:type="spellEnd"/>
      <w:r w:rsidR="00493E5A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pulse</w:t>
      </w:r>
      <w:r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be</w:t>
      </w:r>
      <w:r w:rsidR="00493E5A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tle</w:t>
      </w:r>
    </w:p>
    <w:p w14:paraId="30FE133F" w14:textId="77777777" w:rsidR="00215E24" w:rsidRDefault="00215E24" w:rsidP="00D33C1C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40E03A40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ABSTRACT</w:t>
      </w:r>
    </w:p>
    <w:p w14:paraId="7527899B" w14:textId="45B97163" w:rsidR="00DA34A8" w:rsidRDefault="007E7B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recent</w:t>
      </w:r>
      <w:r w:rsidR="006831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decades</w:t>
      </w:r>
      <w:r w:rsidR="003E0A4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E4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292C">
        <w:rPr>
          <w:rFonts w:ascii="Times New Roman" w:eastAsia="Times New Roman" w:hAnsi="Times New Roman" w:cs="Times New Roman"/>
          <w:color w:val="000000"/>
          <w:sz w:val="20"/>
          <w:szCs w:val="20"/>
        </w:rPr>
        <w:t>agricul</w:t>
      </w:r>
      <w:r w:rsidR="00D22AC3">
        <w:rPr>
          <w:rFonts w:ascii="Times New Roman" w:eastAsia="Times New Roman" w:hAnsi="Times New Roman" w:cs="Times New Roman"/>
          <w:color w:val="000000"/>
          <w:sz w:val="20"/>
          <w:szCs w:val="20"/>
        </w:rPr>
        <w:t>tural pests</w:t>
      </w:r>
      <w:r w:rsidR="000E4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have caused</w:t>
      </w:r>
      <w:r w:rsidR="004215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77B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30-60% </w:t>
      </w:r>
      <w:r w:rsidR="000E7A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losses </w:t>
      </w:r>
      <w:r w:rsidR="008C6606">
        <w:rPr>
          <w:rFonts w:ascii="Times New Roman" w:eastAsia="Times New Roman" w:hAnsi="Times New Roman" w:cs="Times New Roman"/>
          <w:color w:val="000000"/>
          <w:sz w:val="20"/>
          <w:szCs w:val="20"/>
        </w:rPr>
        <w:t>by Bruchids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6057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>which</w:t>
      </w:r>
      <w:r w:rsidR="008C66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</w:t>
      </w:r>
      <w:r w:rsidR="006057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E10CC6">
        <w:rPr>
          <w:rFonts w:ascii="Times New Roman" w:eastAsia="Times New Roman" w:hAnsi="Times New Roman" w:cs="Times New Roman"/>
          <w:color w:val="000000"/>
          <w:sz w:val="20"/>
          <w:szCs w:val="20"/>
        </w:rPr>
        <w:t>most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primary</w:t>
      </w:r>
      <w:r w:rsidR="008C660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destructive, cosmopolitan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polyphagous pests of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post-harvest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legume commodities in godowns, warehouses, farmers’ traditional bulk seeds storage units and also in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field. It is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multiplying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very rapidly and cause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tremendous quality deterioration and d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eterioration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pulses stored in the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semi-arid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areas.  </w:t>
      </w:r>
      <w:r w:rsidR="00F8731B" w:rsidRPr="00AB3E37">
        <w:t xml:space="preserve">The current study aimed to replace synthetic insecticides with acetone botanical powder extracts and attapulgite clay dust against </w:t>
      </w:r>
      <w:proofErr w:type="spellStart"/>
      <w:r w:rsidR="00F8731B" w:rsidRPr="008C6606">
        <w:rPr>
          <w:i/>
          <w:iCs/>
        </w:rPr>
        <w:t>Callosobruchus</w:t>
      </w:r>
      <w:proofErr w:type="spellEnd"/>
      <w:r w:rsidR="00F8731B" w:rsidRPr="008C6606">
        <w:rPr>
          <w:i/>
          <w:iCs/>
        </w:rPr>
        <w:t xml:space="preserve"> </w:t>
      </w:r>
      <w:proofErr w:type="spellStart"/>
      <w:r w:rsidR="00F8731B" w:rsidRPr="008C6606">
        <w:rPr>
          <w:i/>
          <w:iCs/>
        </w:rPr>
        <w:t>chinensis</w:t>
      </w:r>
      <w:proofErr w:type="spellEnd"/>
      <w:r w:rsidR="00F8731B" w:rsidRPr="00AB3E37">
        <w:t xml:space="preserve"> (L.) on stored pigeon peas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. The powders were extracted with solvent acetone and concentrated t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two percent</w:t>
      </w:r>
      <w:r w:rsidR="00AB3E3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used for insect bioassays in the Entomology, ICRISAT. The data was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assessed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24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hours </w:t>
      </w:r>
      <w:r w:rsidR="00696417">
        <w:rPr>
          <w:rFonts w:ascii="Times New Roman" w:eastAsia="Times New Roman" w:hAnsi="Times New Roman" w:cs="Times New Roman"/>
          <w:color w:val="000000"/>
          <w:sz w:val="20"/>
          <w:szCs w:val="20"/>
        </w:rPr>
        <w:t>with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48 and 72 hours after treatment application. The results revealed that attapulgite clay dust significantly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increased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adult mortality (86.67 %), followed by </w:t>
      </w:r>
      <w:r w:rsidR="00AB3E37">
        <w:rPr>
          <w:rFonts w:ascii="Times New Roman" w:eastAsia="Times New Roman" w:hAnsi="Times New Roman" w:cs="Times New Roman"/>
          <w:color w:val="000000"/>
          <w:sz w:val="20"/>
          <w:szCs w:val="20"/>
        </w:rPr>
        <w:t>sweet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flag (76.67 %), zero mortality 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control. The lowest adult emergence was recorded on attapulgite clay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17.32 %)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followed by sweet flag (22.57 %)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compared to the controls (33.14 %). This study demonstrated that the plant powders and attapulgite clay dust are safe, </w:t>
      </w:r>
      <w:r w:rsidR="00AB3E37">
        <w:rPr>
          <w:rFonts w:ascii="Times New Roman" w:eastAsia="Times New Roman" w:hAnsi="Times New Roman" w:cs="Times New Roman"/>
          <w:color w:val="000000"/>
          <w:sz w:val="20"/>
          <w:szCs w:val="20"/>
        </w:rPr>
        <w:t>eco-friendly,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effective alternatives to the hazardous chemical insecticides. </w:t>
      </w:r>
    </w:p>
    <w:p w14:paraId="08D6EFC8" w14:textId="568263C3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Keywords: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Adult emergence, Attapulgite clay dust, Botanicals, Bruchids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Mortality.</w:t>
      </w:r>
    </w:p>
    <w:p w14:paraId="38B9717F" w14:textId="77777777" w:rsidR="00DA34A8" w:rsidRDefault="00DA34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D43E490" w14:textId="77777777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INTRODUCTION</w:t>
      </w:r>
    </w:p>
    <w:p w14:paraId="2D97EEFD" w14:textId="504E86F9" w:rsidR="003D2320" w:rsidRPr="000F7703" w:rsidRDefault="00142FF6">
      <w:pPr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Bruchids cause huge economic losses to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post-harvest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legume commodities in godowns, warehouses and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farmers'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traditional bulk seeds storage units. Apart from bruchids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other insects like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Tribolium castaneum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Sitophilus oryzae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Sitophilus zeamais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Sitotroga cerealella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also damage the stored grains. </w:t>
      </w:r>
      <w:r w:rsidR="008832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There was an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enormous</w:t>
      </w:r>
      <w:r w:rsidR="008832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65975">
        <w:rPr>
          <w:rFonts w:ascii="Times New Roman" w:eastAsia="Times New Roman" w:hAnsi="Times New Roman" w:cs="Times New Roman"/>
          <w:color w:val="000000"/>
          <w:sz w:val="20"/>
          <w:szCs w:val="20"/>
        </w:rPr>
        <w:t>drop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659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the range </w:t>
      </w:r>
      <w:r w:rsidR="00493E5A">
        <w:rPr>
          <w:rFonts w:ascii="Times New Roman" w:eastAsia="Times New Roman" w:hAnsi="Times New Roman" w:cs="Times New Roman"/>
          <w:color w:val="000000"/>
          <w:sz w:val="20"/>
          <w:szCs w:val="20"/>
        </w:rPr>
        <w:t>of between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 to 50 % have been re</w:t>
      </w:r>
      <w:r w:rsidR="003B26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vealed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</w:t>
      </w:r>
      <w:r w:rsidR="003B6D1A">
        <w:rPr>
          <w:rFonts w:ascii="Times New Roman" w:eastAsia="Times New Roman" w:hAnsi="Times New Roman" w:cs="Times New Roman"/>
          <w:color w:val="000000"/>
          <w:sz w:val="20"/>
          <w:szCs w:val="20"/>
        </w:rPr>
        <w:t>grains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</w:t>
      </w:r>
      <w:r w:rsidR="00B810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</w:t>
      </w:r>
      <w:r w:rsidR="0033576B">
        <w:rPr>
          <w:rFonts w:ascii="Times New Roman" w:eastAsia="Times New Roman" w:hAnsi="Times New Roman" w:cs="Times New Roman"/>
          <w:color w:val="000000"/>
          <w:sz w:val="20"/>
          <w:szCs w:val="20"/>
        </w:rPr>
        <w:t>stored in storage units</w:t>
      </w:r>
      <w:r w:rsidR="0093250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due to</w:t>
      </w:r>
      <w:r w:rsidR="00F051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vigorous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attack </w:t>
      </w:r>
      <w:r w:rsidR="00F05194"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cowpea beetle,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Callosobruchus maculatus</w:t>
      </w:r>
      <w:r w:rsidR="005E6A5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r w:rsidR="00703C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once in a while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losses may</w:t>
      </w:r>
      <w:r w:rsidR="002C68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 charged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up 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100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F83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Harry, G.I. and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Udo I.O. (2013). Azuki bean beetle,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 w:rsidR="005F054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seed damage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chickpea ranged from 8.33-77.40 and 19.15-85.56 under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multi-choice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no-choice conditions</w:t>
      </w:r>
      <w:r w:rsidR="005F054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respectively (Sathish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 2020</w:t>
      </w:r>
      <w:r w:rsidR="00A622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="00A62216" w:rsidRPr="00A62216">
        <w:rPr>
          <w:rFonts w:ascii="Times New Roman" w:eastAsia="Times New Roman" w:hAnsi="Times New Roman" w:cs="Times New Roman"/>
          <w:color w:val="000000"/>
          <w:sz w:val="20"/>
          <w:szCs w:val="20"/>
        </w:rPr>
        <w:t>Sathish</w:t>
      </w:r>
      <w:r w:rsidR="00A622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et al.,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</w:t>
      </w:r>
      <w:r w:rsidR="00B31776" w:rsidRPr="00B317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317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Tuda </w:t>
      </w:r>
      <w:r w:rsidR="00B317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 w:rsidR="00B3177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B31776">
        <w:rPr>
          <w:rFonts w:ascii="Times New Roman" w:eastAsia="Times New Roman" w:hAnsi="Times New Roman" w:cs="Times New Roman"/>
          <w:color w:val="000000"/>
          <w:sz w:val="20"/>
          <w:szCs w:val="20"/>
        </w:rPr>
        <w:t>2005 reported that</w:t>
      </w:r>
      <w:r w:rsidR="00D21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 </w:t>
      </w:r>
      <w:r w:rsidR="00D21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prominent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genus of </w:t>
      </w:r>
      <w:r w:rsidR="00DD3588" w:rsidRPr="00DD3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Callosobruchus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represents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least</w:t>
      </w:r>
      <w:r w:rsidR="00D21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65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 species </w:t>
      </w:r>
      <w:r w:rsidR="00B46B4C">
        <w:rPr>
          <w:rFonts w:ascii="Times New Roman" w:eastAsia="Times New Roman" w:hAnsi="Times New Roman" w:cs="Times New Roman"/>
          <w:color w:val="000000"/>
          <w:sz w:val="20"/>
          <w:szCs w:val="20"/>
        </w:rPr>
        <w:t>as these are present mostly all over the region in the world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B46B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like tropical and subtropical areas</w:t>
      </w:r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>but most of them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originate from </w:t>
      </w:r>
      <w:r w:rsidR="00F873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>African and Asian con</w:t>
      </w:r>
      <w:r w:rsidR="00986C8D">
        <w:rPr>
          <w:rFonts w:ascii="Times New Roman" w:eastAsia="Times New Roman" w:hAnsi="Times New Roman" w:cs="Times New Roman"/>
          <w:color w:val="000000"/>
          <w:sz w:val="20"/>
          <w:szCs w:val="20"/>
        </w:rPr>
        <w:t>tinents.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Bruchids are one of the </w:t>
      </w:r>
      <w:r w:rsidR="00CD650C">
        <w:rPr>
          <w:rFonts w:ascii="Times New Roman" w:eastAsia="Times New Roman" w:hAnsi="Times New Roman" w:cs="Times New Roman"/>
          <w:color w:val="000000"/>
          <w:sz w:val="20"/>
          <w:szCs w:val="20"/>
        </w:rPr>
        <w:t>prominent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CD65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primar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CD650C">
        <w:rPr>
          <w:rFonts w:ascii="Times New Roman" w:eastAsia="Times New Roman" w:hAnsi="Times New Roman" w:cs="Times New Roman"/>
          <w:color w:val="000000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destructive, cosmopolitan</w:t>
      </w:r>
      <w:r w:rsidR="007022B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polyphagous pests of stored pulses. The primary source of infestation starts from field-to-store, which leads 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</w:t>
      </w:r>
      <w:r w:rsidR="00986C8D"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 w:rsidR="001F38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reduction of both seed germination and commercial value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. P</w:t>
      </w:r>
      <w:r w:rsidR="00623422">
        <w:rPr>
          <w:rFonts w:ascii="Times New Roman" w:eastAsia="Times New Roman" w:hAnsi="Times New Roman" w:cs="Times New Roman"/>
          <w:color w:val="000000"/>
          <w:sz w:val="20"/>
          <w:szCs w:val="20"/>
        </w:rPr>
        <w:t>rior</w:t>
      </w:r>
      <w:r w:rsidR="00787F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that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787F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human consumption of grains 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is </w:t>
      </w:r>
      <w:r w:rsidR="00131445">
        <w:t>becomes</w:t>
      </w:r>
      <w:r w:rsidR="00787F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vulnerable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131445">
        <w:t>Even though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chemical insecticides </w:t>
      </w:r>
      <w:r w:rsidR="004509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the present days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like fumigants </w:t>
      </w:r>
      <w:r w:rsidR="00F75333">
        <w:rPr>
          <w:rFonts w:ascii="Times New Roman" w:eastAsia="Times New Roman" w:hAnsi="Times New Roman" w:cs="Times New Roman"/>
          <w:color w:val="000000"/>
          <w:sz w:val="20"/>
          <w:szCs w:val="20"/>
        </w:rPr>
        <w:t>along with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dusts are </w:t>
      </w:r>
      <w:r w:rsidR="00747F93">
        <w:rPr>
          <w:rFonts w:ascii="Times New Roman" w:eastAsia="Times New Roman" w:hAnsi="Times New Roman" w:cs="Times New Roman"/>
          <w:color w:val="000000"/>
          <w:sz w:val="20"/>
          <w:szCs w:val="20"/>
        </w:rPr>
        <w:t>showing effectiv</w:t>
      </w:r>
      <w:r w:rsidR="009D5249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747F93">
        <w:rPr>
          <w:rFonts w:ascii="Times New Roman" w:eastAsia="Times New Roman" w:hAnsi="Times New Roman" w:cs="Times New Roman"/>
          <w:color w:val="000000"/>
          <w:sz w:val="20"/>
          <w:szCs w:val="20"/>
        </w:rPr>
        <w:t>ness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controlling Bruchids, </w:t>
      </w:r>
      <w:r w:rsidR="005756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but to certain point the application at the farm level </w:t>
      </w:r>
      <w:r w:rsidR="009D5249">
        <w:rPr>
          <w:rFonts w:ascii="Times New Roman" w:eastAsia="Times New Roman" w:hAnsi="Times New Roman" w:cs="Times New Roman"/>
          <w:color w:val="000000"/>
          <w:sz w:val="20"/>
          <w:szCs w:val="20"/>
        </w:rPr>
        <w:t>usage</w:t>
      </w:r>
      <w:r w:rsidR="005756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de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creased </w:t>
      </w:r>
      <w:r w:rsidR="004E2515">
        <w:rPr>
          <w:rFonts w:ascii="Times New Roman" w:eastAsia="Times New Roman" w:hAnsi="Times New Roman" w:cs="Times New Roman"/>
          <w:color w:val="000000"/>
          <w:sz w:val="20"/>
          <w:szCs w:val="20"/>
        </w:rPr>
        <w:t>as one of the main reason is the storage structures at the farmer</w:t>
      </w:r>
      <w:r w:rsidR="009D5249">
        <w:rPr>
          <w:rFonts w:ascii="Times New Roman" w:eastAsia="Times New Roman" w:hAnsi="Times New Roman" w:cs="Times New Roman"/>
          <w:color w:val="000000"/>
          <w:sz w:val="20"/>
          <w:szCs w:val="20"/>
        </w:rPr>
        <w:t>’s site was not an air tight conditions</w:t>
      </w:r>
      <w:r w:rsidR="00EF3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mixing of the food grains with the insecticides to protect or get rid of them against insects is also a not safe procedure(Bekele </w:t>
      </w:r>
      <w:r w:rsidR="00EF3D4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 w:rsidR="00EF3D4E">
        <w:rPr>
          <w:rFonts w:ascii="Times New Roman" w:eastAsia="Times New Roman" w:hAnsi="Times New Roman" w:cs="Times New Roman"/>
          <w:color w:val="000000"/>
          <w:sz w:val="20"/>
          <w:szCs w:val="20"/>
        </w:rPr>
        <w:t>., 1995).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indiscriminate use of broad-spectrum</w:t>
      </w:r>
      <w:r w:rsidR="004A2A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bug-spray </w:t>
      </w:r>
      <w:r w:rsidR="007000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various insecticides has </w:t>
      </w:r>
      <w:proofErr w:type="spellStart"/>
      <w:proofErr w:type="gramStart"/>
      <w:r w:rsidR="001D1638">
        <w:rPr>
          <w:rFonts w:ascii="Times New Roman" w:eastAsia="Times New Roman" w:hAnsi="Times New Roman" w:cs="Times New Roman"/>
          <w:color w:val="000000"/>
          <w:sz w:val="20"/>
          <w:szCs w:val="20"/>
        </w:rPr>
        <w:t>build</w:t>
      </w:r>
      <w:proofErr w:type="spellEnd"/>
      <w:proofErr w:type="gramEnd"/>
      <w:r w:rsidR="001D16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new problems than resolving them </w:t>
      </w:r>
      <w:r w:rsidR="00F76C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that point 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</w:t>
      </w:r>
      <w:r w:rsidR="00F76CDA">
        <w:rPr>
          <w:rFonts w:ascii="Times New Roman" w:eastAsia="Times New Roman" w:hAnsi="Times New Roman" w:cs="Times New Roman"/>
          <w:color w:val="000000"/>
          <w:sz w:val="20"/>
          <w:szCs w:val="20"/>
        </w:rPr>
        <w:t>time.</w:t>
      </w:r>
      <w:r w:rsidR="000668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Even though the </w:t>
      </w:r>
      <w:r w:rsidR="00412D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harmful 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usage</w:t>
      </w:r>
      <w:r w:rsidR="000668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insecti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ci</w:t>
      </w:r>
      <w:r w:rsidR="000668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 are well aware by the farmers during the 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post-harvest</w:t>
      </w:r>
      <w:r w:rsidR="000668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storage times</w:t>
      </w:r>
      <w:r w:rsidR="00412DF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6E79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12DF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some of the reasons are leading them to go along with the </w:t>
      </w:r>
      <w:r w:rsidR="006B24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insecticides like vast increase in 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resistance</w:t>
      </w:r>
      <w:r w:rsidR="006B24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pests</w:t>
      </w:r>
      <w:r w:rsidR="00B525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the pesticides,</w:t>
      </w:r>
      <w:r w:rsidR="005222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ruination of the </w:t>
      </w:r>
      <w:r w:rsidR="005B68B2">
        <w:rPr>
          <w:rFonts w:ascii="Times New Roman" w:eastAsia="Times New Roman" w:hAnsi="Times New Roman" w:cs="Times New Roman"/>
          <w:color w:val="000000"/>
          <w:sz w:val="20"/>
          <w:szCs w:val="20"/>
        </w:rPr>
        <w:t>advantageous organisms,</w:t>
      </w:r>
      <w:r w:rsidR="00F402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toxic residual matter from the pesticides in the food</w:t>
      </w:r>
      <w:r w:rsidR="000F6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consequential health hazards,</w:t>
      </w:r>
      <w:r w:rsidR="002F7D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51006">
        <w:rPr>
          <w:rFonts w:ascii="Times New Roman" w:eastAsia="Times New Roman" w:hAnsi="Times New Roman" w:cs="Times New Roman"/>
          <w:color w:val="000000"/>
          <w:sz w:val="20"/>
          <w:szCs w:val="20"/>
        </w:rPr>
        <w:t>pollution in the environment which is undesirable</w:t>
      </w:r>
      <w:r w:rsidR="00672B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rapid rejuvenation of the </w:t>
      </w:r>
      <w:r w:rsidR="00A33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target pest population </w:t>
      </w:r>
      <w:r w:rsidR="001F6D66">
        <w:rPr>
          <w:rFonts w:ascii="Times New Roman" w:eastAsia="Times New Roman" w:hAnsi="Times New Roman" w:cs="Times New Roman"/>
          <w:color w:val="000000"/>
          <w:sz w:val="20"/>
          <w:szCs w:val="20"/>
        </w:rPr>
        <w:t>etc.,</w:t>
      </w:r>
      <w:r w:rsidR="00C57D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critical dr</w:t>
      </w:r>
      <w:r w:rsidR="00B839DC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C57D46">
        <w:rPr>
          <w:rFonts w:ascii="Times New Roman" w:eastAsia="Times New Roman" w:hAnsi="Times New Roman" w:cs="Times New Roman"/>
          <w:color w:val="000000"/>
          <w:sz w:val="20"/>
          <w:szCs w:val="20"/>
        </w:rPr>
        <w:t>wback</w:t>
      </w:r>
      <w:r w:rsidR="00B839DC">
        <w:rPr>
          <w:rFonts w:ascii="Times New Roman" w:eastAsia="Times New Roman" w:hAnsi="Times New Roman" w:cs="Times New Roman"/>
          <w:color w:val="000000"/>
          <w:sz w:val="20"/>
          <w:szCs w:val="20"/>
        </w:rPr>
        <w:t>s that have</w:t>
      </w:r>
      <w:r w:rsidR="009D26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jump into the</w:t>
      </w:r>
      <w:r w:rsidR="00E028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undiscriminating usage of insecticides 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>every time</w:t>
      </w:r>
      <w:r w:rsidR="00E028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the storage units.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So,</w:t>
      </w:r>
      <w:r w:rsidR="00DD67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research is going on to over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>come</w:t>
      </w:r>
      <w:r w:rsidR="00DD67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those problems</w:t>
      </w:r>
      <w:r w:rsidR="00B67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the 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>ongoing</w:t>
      </w:r>
      <w:r w:rsidR="00B67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use </w:t>
      </w:r>
      <w:r w:rsidR="00B67D1B">
        <w:rPr>
          <w:rFonts w:ascii="Times New Roman" w:eastAsia="Times New Roman" w:hAnsi="Times New Roman" w:cs="Times New Roman"/>
          <w:color w:val="000000"/>
          <w:sz w:val="20"/>
          <w:szCs w:val="20"/>
        </w:rPr>
        <w:t>of substituent methods by edible oil</w:t>
      </w:r>
      <w:r w:rsidR="008F1D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spraying, inert dust</w:t>
      </w:r>
      <w:r w:rsidR="006E799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8F1D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plant products as 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>extracts</w:t>
      </w:r>
      <w:r w:rsidR="006E799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C731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these products can be easily affordable and used by the farmers without a second thought</w:t>
      </w:r>
      <w:r w:rsidR="00C74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process</w:t>
      </w:r>
      <w:r w:rsidR="00C731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(Isman, 2008).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F3A70">
        <w:rPr>
          <w:rFonts w:ascii="Times New Roman" w:eastAsia="Times New Roman" w:hAnsi="Times New Roman" w:cs="Times New Roman"/>
          <w:color w:val="000000"/>
          <w:sz w:val="20"/>
          <w:szCs w:val="20"/>
        </w:rPr>
        <w:t>Therefore,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F3A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present investigation </w:t>
      </w:r>
      <w:r w:rsidR="00981A6E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conducted</w:t>
      </w:r>
      <w:r w:rsidR="009340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assess</w:t>
      </w:r>
      <w:r w:rsidR="00B23C9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selected botanicals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'</w:t>
      </w:r>
      <w:r w:rsidR="00B23C9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efficac</w:t>
      </w:r>
      <w:r w:rsidR="000F7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by acetone extraction under ambient conditions against </w:t>
      </w:r>
      <w:r w:rsidR="000F770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Callosobruchus chinensis</w:t>
      </w:r>
      <w:r w:rsidR="000F7703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.</w:t>
      </w:r>
      <w:r w:rsidR="000F7703" w:rsidRPr="000F7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5663"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 w:rsidR="000F7703">
        <w:rPr>
          <w:rFonts w:ascii="Times New Roman" w:eastAsia="Times New Roman" w:hAnsi="Times New Roman" w:cs="Times New Roman"/>
          <w:sz w:val="20"/>
          <w:szCs w:val="20"/>
        </w:rPr>
        <w:t xml:space="preserve">has been </w:t>
      </w:r>
      <w:r w:rsidR="00C42663">
        <w:rPr>
          <w:rFonts w:ascii="Times New Roman" w:eastAsia="Times New Roman" w:hAnsi="Times New Roman" w:cs="Times New Roman"/>
          <w:sz w:val="20"/>
          <w:szCs w:val="20"/>
        </w:rPr>
        <w:t xml:space="preserve">concluded with the reports that the pesticides which are derived from the plant as </w:t>
      </w:r>
      <w:r w:rsidR="00BE502C">
        <w:rPr>
          <w:rFonts w:ascii="Times New Roman" w:eastAsia="Times New Roman" w:hAnsi="Times New Roman" w:cs="Times New Roman"/>
          <w:sz w:val="20"/>
          <w:szCs w:val="20"/>
        </w:rPr>
        <w:t>plant-based</w:t>
      </w:r>
      <w:r w:rsidR="00C42663">
        <w:rPr>
          <w:rFonts w:ascii="Times New Roman" w:eastAsia="Times New Roman" w:hAnsi="Times New Roman" w:cs="Times New Roman"/>
          <w:sz w:val="20"/>
          <w:szCs w:val="20"/>
        </w:rPr>
        <w:t xml:space="preserve"> material are always shows the renewable</w:t>
      </w:r>
      <w:r w:rsidR="00AB600B">
        <w:rPr>
          <w:rFonts w:ascii="Times New Roman" w:eastAsia="Times New Roman" w:hAnsi="Times New Roman" w:cs="Times New Roman"/>
          <w:sz w:val="20"/>
          <w:szCs w:val="20"/>
        </w:rPr>
        <w:t xml:space="preserve"> nature, eco</w:t>
      </w:r>
      <w:r w:rsidR="00430102">
        <w:rPr>
          <w:rFonts w:ascii="Times New Roman" w:eastAsia="Times New Roman" w:hAnsi="Times New Roman" w:cs="Times New Roman"/>
          <w:sz w:val="20"/>
          <w:szCs w:val="20"/>
        </w:rPr>
        <w:t>-</w:t>
      </w:r>
      <w:r w:rsidR="00AB600B">
        <w:rPr>
          <w:rFonts w:ascii="Times New Roman" w:eastAsia="Times New Roman" w:hAnsi="Times New Roman" w:cs="Times New Roman"/>
          <w:sz w:val="20"/>
          <w:szCs w:val="20"/>
        </w:rPr>
        <w:t>friendly,</w:t>
      </w:r>
      <w:r w:rsidR="00ED07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600B">
        <w:rPr>
          <w:rFonts w:ascii="Times New Roman" w:eastAsia="Times New Roman" w:hAnsi="Times New Roman" w:cs="Times New Roman"/>
          <w:sz w:val="20"/>
          <w:szCs w:val="20"/>
        </w:rPr>
        <w:t xml:space="preserve">cheaper and development of </w:t>
      </w:r>
      <w:r w:rsidR="00ED071C">
        <w:rPr>
          <w:rFonts w:ascii="Times New Roman" w:eastAsia="Times New Roman" w:hAnsi="Times New Roman" w:cs="Times New Roman"/>
          <w:sz w:val="20"/>
          <w:szCs w:val="20"/>
        </w:rPr>
        <w:t>resistance</w:t>
      </w:r>
      <w:r w:rsidR="00AB600B">
        <w:rPr>
          <w:rFonts w:ascii="Times New Roman" w:eastAsia="Times New Roman" w:hAnsi="Times New Roman" w:cs="Times New Roman"/>
          <w:sz w:val="20"/>
          <w:szCs w:val="20"/>
        </w:rPr>
        <w:t xml:space="preserve"> by the insect pests in</w:t>
      </w:r>
      <w:r w:rsidR="00ED071C">
        <w:rPr>
          <w:rFonts w:ascii="Times New Roman" w:eastAsia="Times New Roman" w:hAnsi="Times New Roman" w:cs="Times New Roman"/>
          <w:sz w:val="20"/>
          <w:szCs w:val="20"/>
        </w:rPr>
        <w:t xml:space="preserve"> their generations is also liked to be less.</w:t>
      </w:r>
    </w:p>
    <w:p w14:paraId="65E4425C" w14:textId="7F8B3EB0" w:rsidR="00DA34A8" w:rsidRPr="00ED071C" w:rsidRDefault="009340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MATERIALS AND METHODS</w:t>
      </w:r>
    </w:p>
    <w:p w14:paraId="00D2AA74" w14:textId="027CF69B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Collection and preparation of samples: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Seven botanical leaf powders viz., Datura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Datura stramonium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L.), Eucalyptus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Eucalyptus globules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Labill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suaveolens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Jacq.), Lantana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Lantana camara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L.), Sweet flag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Acorus calamus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Nishinda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Vitex negundo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 and Neem seeds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Azadirachta indica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 were co</w:t>
      </w:r>
      <w:r w:rsidR="00943737">
        <w:rPr>
          <w:rFonts w:ascii="Times New Roman" w:eastAsia="Times New Roman" w:hAnsi="Times New Roman" w:cs="Times New Roman"/>
          <w:color w:val="000000"/>
          <w:sz w:val="20"/>
          <w:szCs w:val="20"/>
        </w:rPr>
        <w:t>llected from the ICRISAT campus. These botanicals were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washed and</w:t>
      </w:r>
      <w:r w:rsidR="00943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allowed to dr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43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shade.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43737">
        <w:rPr>
          <w:rFonts w:ascii="Times New Roman" w:eastAsia="Times New Roman" w:hAnsi="Times New Roman" w:cs="Times New Roman"/>
          <w:color w:val="000000"/>
          <w:sz w:val="20"/>
          <w:szCs w:val="20"/>
        </w:rPr>
        <w:t>In the further step by using an electric grinder, these dried leaves and seeds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were ground into fine mix of powder.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powdered compounds were passed through 20 mesh size sieves and stored at 2-8 °C until use. Other chemicals like attapulgite (ABC) clay (Naturally mined clay composed of magnesium–aluminum silicate), and acetone were procured locally for bioassay studies. </w:t>
      </w:r>
    </w:p>
    <w:p w14:paraId="2CE1CE40" w14:textId="06422557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Solvent extraction of test powders: </w:t>
      </w:r>
      <w:r w:rsidR="00A275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>By using 250 mL of acetone as a constituent solvent,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100 grams of each test powder 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>were mixed separately on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stirrer for 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total</w:t>
      </w:r>
      <w:r w:rsidR="008C66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>of 30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>min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>utes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>continuously</w:t>
      </w:r>
      <w:r w:rsidR="001337E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next 24 hours the mixture was allowed to stand without any disturbance. To extract a suitable sample, the mixture is allowed to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filter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31445">
        <w:t>through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>the Whatman No.1 paper. The filtrates were pooled</w:t>
      </w:r>
      <w:r w:rsidR="001337E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by using 30mL of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acetone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residual matter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was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extracted again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get more extraction from the extracts. By using the water bath with the required temperature of 65°C, the solvent extraction from the pooled solution after filtration was evaporated. The crude final extracts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were </w:t>
      </w:r>
      <w:r w:rsidR="00131445">
        <w:t>weighed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the complete solvent evaporation and a 2 % per cent (w/v) extract was prepared. The preservation can be done at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5°C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</w:t>
      </w:r>
      <w:r w:rsidR="008C66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refrigerator by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>sing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sealed bottles for insect bioassays.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concentration of plant and attapulgite dust extracts at 2 mL/kg of grains was used for the experiments. The solvents were evaporated</w:t>
      </w:r>
      <w:r w:rsidR="001337E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extracts were mixed with the grains thoroughly and placed in petri plates. </w:t>
      </w:r>
      <w:r w:rsidR="001337E1">
        <w:rPr>
          <w:rFonts w:ascii="Times New Roman" w:eastAsia="Times New Roman" w:hAnsi="Times New Roman" w:cs="Times New Roman"/>
          <w:color w:val="000000"/>
          <w:sz w:val="20"/>
          <w:szCs w:val="20"/>
        </w:rPr>
        <w:t>Water-sprayed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grains (without extract) served as </w:t>
      </w:r>
      <w:r w:rsidR="00131445">
        <w:t>the control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DB24A3C" w14:textId="2AA1EB41" w:rsidR="00434662" w:rsidRPr="00A574BC" w:rsidRDefault="00142FF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Insect culture: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Pure cultures of test insects used in the present studies were obtained from the Entomology laboratory, International Crops Research Institute for the Semi-Arid Tropics (ICRISAT)</w:t>
      </w:r>
      <w:r w:rsidR="006D3BFA">
        <w:rPr>
          <w:rFonts w:ascii="Times New Roman" w:eastAsia="Times New Roman" w:hAnsi="Times New Roman" w:cs="Times New Roman"/>
          <w:color w:val="000000"/>
          <w:sz w:val="20"/>
          <w:szCs w:val="20"/>
        </w:rPr>
        <w:t>, India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Callosobruchus chinensis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were reared on seeds of chickpea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during the overall study course period. In general practice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determination of sex among female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male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was done by using standard 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characters (</w:t>
      </w:r>
      <w:r w:rsidR="00434662">
        <w:rPr>
          <w:rFonts w:ascii="Times New Roman" w:eastAsia="Times New Roman" w:hAnsi="Times New Roman" w:cs="Times New Roman"/>
          <w:sz w:val="20"/>
          <w:szCs w:val="20"/>
        </w:rPr>
        <w:t>Arora, 1977)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As a root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in the study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base of the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experiment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can be done by allowing the adults 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>that a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re emerged freshly of ten pairs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oviposit for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whole one day on the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healthy 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grains which are healthy to gain adults 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age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which shows uniformity 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and this is helpful for future ongoing studies. These cultures are maintained in the specifically designed Bio-Oxygen 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Demand (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BOD) incubator 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with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temperature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28 ± 2 °C and relative humidity of 70 ± 5 % in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>Entomology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Department located in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ICRISAT. Adult</w:t>
      </w:r>
      <w:r w:rsidR="00A574B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C. </w:t>
      </w:r>
      <w:proofErr w:type="spellStart"/>
      <w:r w:rsidR="00A574B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chinensis</w:t>
      </w:r>
      <w:proofErr w:type="spellEnd"/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can be 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sub-cultur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9C18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using chickpea seeds of one kg as a diet in a plastic jar of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containing capacity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five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liters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before start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any experiment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>minimum of about 4-5 generations of bruchids were reared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>ry time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6BD6D518" w14:textId="393DE23D" w:rsidR="00DA34A8" w:rsidRDefault="00142FF6" w:rsidP="0037196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Acetone extra</w:t>
      </w:r>
      <w:r w:rsidR="0037196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cts containing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test powders as grain protectant against bruchids: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Five pairs of (Male and Female)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adults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which are newly emerged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were released through treated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grains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in each petri dish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and these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covered with a lid. The number of 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adults emerged, egg laying,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 of weight loss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 of adult inhibition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number of holes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mortality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percent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were recorded at 12, 24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72 hours after treatment using the formulae:</w:t>
      </w:r>
    </w:p>
    <w:p w14:paraId="2BB9F487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1.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cent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age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weight loss = 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vertAlign w:val="subscript"/>
        </w:rPr>
        <w:object w:dxaOrig="737" w:dyaOrig="432" w14:anchorId="6F4CF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1.75pt" o:ole="">
            <v:imagedata r:id="rId8" o:title=""/>
          </v:shape>
          <o:OLEObject Type="Embed" ProgID="Equation.3" ShapeID="_x0000_i1025" DrawAspect="Content" ObjectID="_1829490430" r:id="rId9"/>
        </w:objec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× 100</w:t>
      </w:r>
    </w:p>
    <w:p w14:paraId="17E6ADCC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Where, OW = Original weight of grains on dry weight basis</w:t>
      </w:r>
    </w:p>
    <w:p w14:paraId="07A61AEB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FW = Final weight of grains on dry weight basis</w:t>
      </w:r>
    </w:p>
    <w:p w14:paraId="0A635881" w14:textId="1C52AE9D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Mortality percent= 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vertAlign w:val="subscript"/>
        </w:rPr>
        <w:object w:dxaOrig="2241" w:dyaOrig="432" w14:anchorId="775D59D9">
          <v:shape id="_x0000_i1026" type="#_x0000_t75" style="width:111.7pt;height:21.75pt" o:ole="">
            <v:imagedata r:id="rId10" o:title=""/>
          </v:shape>
          <o:OLEObject Type="Embed" ProgID="Equation.3" ShapeID="_x0000_i1026" DrawAspect="Content" ObjectID="_1829490431" r:id="rId11"/>
        </w:objec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× 100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20470A02" w14:textId="757EF2A2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Adult inhibition </w:t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vertAlign w:val="subscript"/>
        </w:rPr>
        <w:object w:dxaOrig="368" w:dyaOrig="432" w14:anchorId="534CD371">
          <v:shape id="_x0000_i1027" type="#_x0000_t75" style="width:18.75pt;height:21.75pt" o:ole="">
            <v:imagedata r:id="rId12" o:title=""/>
          </v:shape>
          <o:OLEObject Type="Embed" ProgID="Equation.3" ShapeID="_x0000_i1027" DrawAspect="Content" ObjectID="_1829490432" r:id="rId13"/>
        </w:objec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× 100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6057AA98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Where, C = Number of adults emerged from control</w:t>
      </w:r>
    </w:p>
    <w:p w14:paraId="1E386815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 = Number of adults emerged from treatment</w:t>
      </w:r>
    </w:p>
    <w:p w14:paraId="74FD9F74" w14:textId="77777777" w:rsidR="00EC5C00" w:rsidRDefault="00142F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Statistical analysis: </w:t>
      </w:r>
    </w:p>
    <w:p w14:paraId="40DB1D53" w14:textId="4FA38928" w:rsidR="00DA34A8" w:rsidRDefault="00EC5C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 using a standard method like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Completely Randomized Design (CRD), considering five replicates in each treatment is considered. The testing of significant differences of test genotypes can be done by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F-test</w:t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>and further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data 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>by using the GenStat 14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edition is subjected to</w:t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>the analysis of variance (ANOVA).</w:t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>Most observational records say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>that the comparison of the genotypic studies means at P ≤ 0.05 by using the least significa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differences (LSD).</w:t>
      </w:r>
    </w:p>
    <w:p w14:paraId="3100E07B" w14:textId="77777777" w:rsidR="00DA34A8" w:rsidRDefault="00DA3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B094AC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RESULTS AND DISCUSSION</w:t>
      </w:r>
    </w:p>
    <w:p w14:paraId="110A2F10" w14:textId="454A16C7" w:rsidR="007478E2" w:rsidRPr="00705056" w:rsidRDefault="007153FD" w:rsidP="007153FD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142F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ttapulgite clay dust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and leaf powders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 w:rsidR="00142F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grain protectant against </w:t>
      </w:r>
      <w:r w:rsidR="00142F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C. chinensi</w:t>
      </w:r>
      <w:r w:rsidR="00CE63A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</w:t>
      </w:r>
      <w:r w:rsidR="00142F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: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In the present in vitro studies</w:t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figure 1 reveals 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>that attapulgite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clay dust,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sweet flag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neem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powdered extracts </w:t>
      </w:r>
      <w:r w:rsidR="005A2D7C">
        <w:rPr>
          <w:rFonts w:ascii="Times New Roman" w:eastAsia="Times New Roman" w:hAnsi="Times New Roman" w:cs="Times New Roman"/>
          <w:color w:val="000000"/>
          <w:sz w:val="20"/>
          <w:szCs w:val="20"/>
        </w:rPr>
        <w:t>were found to be unalterable having unbelievable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nature</w:t>
      </w:r>
      <w:r w:rsidR="005A2D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insecticidal activity within the short span of duration as compared with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untr</w:t>
      </w:r>
      <w:r w:rsidR="005A2D7C">
        <w:rPr>
          <w:rFonts w:ascii="Times New Roman" w:eastAsia="Times New Roman" w:hAnsi="Times New Roman" w:cs="Times New Roman"/>
          <w:color w:val="000000"/>
          <w:sz w:val="20"/>
          <w:szCs w:val="20"/>
        </w:rPr>
        <w:t>eated controls and gives a transparent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picture of the </w:t>
      </w:r>
      <w:r w:rsidR="005A2D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effectiveness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a product to be used as grain protectant. Significantly high mortality was recorded in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adults exposed to attapulgite and botanical extracts for thr</w:t>
      </w:r>
      <w:r w:rsidR="00CE63A1">
        <w:rPr>
          <w:rFonts w:ascii="Times New Roman" w:eastAsia="Times New Roman" w:hAnsi="Times New Roman" w:cs="Times New Roman"/>
          <w:color w:val="000000"/>
          <w:sz w:val="20"/>
          <w:szCs w:val="20"/>
        </w:rPr>
        <w:t>ee days.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mortality ranged from 6.67 to 86.67 % across treatments. Highest mortality was recorded in attapulgite clay dust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(80.03 %)</w:t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followed by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sweet flag (76.67 %), neem seed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kernel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extract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(73.33 %). While the lowest was recorded on Datura acetone extract (6.67 %) followed by Eucalyptus (16.67 %), </w:t>
      </w:r>
      <w:proofErr w:type="spellStart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(20.00 %),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lastRenderedPageBreak/>
        <w:t xml:space="preserve">Vitex </w:t>
      </w:r>
      <w:proofErr w:type="spellStart"/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(23.33 %)</w:t>
      </w:r>
      <w:r w:rsidR="00786BB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Lantana (36.67%) compared to 0.0 % in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control. The result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>s of the present study on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toxicity effects of plant extracts 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directly on pests causing effects on the stored </w:t>
      </w:r>
      <w:r w:rsidR="00CE63A1">
        <w:rPr>
          <w:rFonts w:ascii="Times New Roman" w:eastAsia="Times New Roman" w:hAnsi="Times New Roman" w:cs="Times New Roman"/>
          <w:color w:val="000000"/>
          <w:sz w:val="20"/>
          <w:szCs w:val="20"/>
        </w:rPr>
        <w:t>grains are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corroboration with many of the per cent previous reports. Saxena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al.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(1992a) reported that extracts of methanol and petroleum ether (1.5 % concentration) from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aerial parts of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Lantana camara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induced 10-43 % mortality in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Lawati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., (2002) reported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mortality rate of 100% in beetles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>exposure to extracts of methanol for 24hours by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local plants of Oman 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>in eight extracts and the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478E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squamosal 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>seeds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Kim 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et al.,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 (2003) demonstrated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dominant activity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,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such as after treatment by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insecticid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es</w:t>
      </w:r>
      <w:r w:rsidR="00786BB8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,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within one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day against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C. </w:t>
      </w:r>
      <w:r w:rsidR="00233D5F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chinensis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is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shown from the extracts such as oils and bark of </w:t>
      </w:r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Cinnamomum cassia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(cinnamon), oil from </w:t>
      </w:r>
      <w:proofErr w:type="spellStart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Cocholeria</w:t>
      </w:r>
      <w:proofErr w:type="spellEnd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aroracia</w:t>
      </w:r>
      <w:proofErr w:type="spellEnd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(horseradish) and oil from</w:t>
      </w:r>
      <w:r w:rsidR="00705056" w:rsidRP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Brassica juncea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(mustard).</w:t>
      </w:r>
      <w:r w:rsidR="00705056" w:rsidRPr="00705056">
        <w:rPr>
          <w:highlight w:val="white"/>
        </w:rPr>
        <w:t xml:space="preserve"> </w:t>
      </w:r>
      <w:r w:rsidR="00705056" w:rsidRP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Okoye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and </w:t>
      </w:r>
      <w:r w:rsidR="00705056" w:rsidRP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Okonkwo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in 1996 announce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d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that within 24hours</w:t>
      </w:r>
      <w:r w:rsidR="00786BB8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,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the adults of </w:t>
      </w:r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C. maculatus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show 100%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mor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tality by using the essential oils of </w:t>
      </w:r>
      <w:r w:rsidR="00705056" w:rsidRPr="00CE63A1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Piper </w:t>
      </w:r>
      <w:proofErr w:type="spellStart"/>
      <w:r w:rsidR="00705056" w:rsidRPr="00CE63A1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guineense</w:t>
      </w:r>
      <w:proofErr w:type="spellEnd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(brown pepper) and </w:t>
      </w:r>
      <w:proofErr w:type="spellStart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Dennettia</w:t>
      </w:r>
      <w:proofErr w:type="spellEnd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tripetela</w:t>
      </w:r>
      <w:proofErr w:type="spellEnd"/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. </w:t>
      </w:r>
      <w:r w:rsidR="00145B03" w:rsidRP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Gebremedhin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and </w:t>
      </w:r>
      <w:r w:rsidR="00145B03" w:rsidRP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Mulatu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hyperlink r:id="rId14" w:anchor="i1536-2442-6-3-1-b20">
        <w:r w:rsidR="00145B03">
          <w:rPr>
            <w:rFonts w:ascii="Times New Roman" w:eastAsia="Times New Roman" w:hAnsi="Times New Roman" w:cs="Times New Roman"/>
            <w:color w:val="000000"/>
            <w:sz w:val="20"/>
            <w:szCs w:val="20"/>
            <w:highlight w:val="white"/>
          </w:rPr>
          <w:t xml:space="preserve"> (2000)</w:t>
        </w:r>
      </w:hyperlink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 gave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an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outline that the </w:t>
      </w:r>
      <w:r w:rsidR="00145B03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C. chinensis 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adults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that 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are newly emerged have fatal effects by the seed powder of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Eucalyptus</w:t>
      </w:r>
      <w:r w:rsidR="005F5C77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</w:t>
      </w:r>
    </w:p>
    <w:p w14:paraId="14237467" w14:textId="538C2020" w:rsidR="00697A09" w:rsidRDefault="00142FF6" w:rsidP="00C7496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Effect of </w:t>
      </w:r>
      <w:r w:rsid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attapulgite clay dust and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botanicals on </w:t>
      </w:r>
      <w:r w:rsid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adult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emergence and inhibition: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per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>centage of</w:t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figure 2 exhibit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>emergence of adults 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the grains</w:t>
      </w:r>
      <w:r w:rsidR="00144A6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which 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admixed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different plant powder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residues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varie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significantly across treatments as compared to the control. The 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emergence of adults with the highest percentage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was observed on the untreated seeds (33.14 %).  Attapulgite clay and botanicals like sweet flag and NSKE powders exhibited statistically significant differences among the treatments. Attapulgite clay 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17.32 %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shows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most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effectiveness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controlling the 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emergence of adults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protecting the seeds from bruchid infestation. The sweet flag extract exhibited minimum adult emergence per cent age (22.57) followed by neem seed kernel extract, per cent Lantana,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Eucalyptus and Datura (26.30, 28.05, 28.72, 29.00, 29.57 and 30.25, respectively).</w:t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highest rate of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C. chinensis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inhibition was observed in ABC clay dust (92.40 %) and datura treated seeds recorded the lowest inhibition (40.35 %), followed by sweet flag (74.26 %), NSKE (67.25 %), Lantana (59.65 %),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(52.63 %),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(49.12 %) and Eucalyptus (40.35 %) as compared 0.0 % in the untreated control. The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pr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ceeding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results were in 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consensus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the 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uncovering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Kumari and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Dwivedi (2000)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Venugopalan</w:t>
      </w:r>
      <w:proofErr w:type="spellEnd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and Dwivedi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(2001) who 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gave the conclusion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that botanical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extract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with  acetone</w:t>
      </w:r>
      <w:proofErr w:type="gramEnd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solvent during the extraction shows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remarkable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reduc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tion 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174C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adult population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the reports of Sathyaseelan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al.,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(2008)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significant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extracts of botanicals with the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usage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ethanol shows the higher reduction in the emergence of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C. chinensis </w:t>
      </w:r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adults in green gram seeds.</w:t>
      </w:r>
      <w:r w:rsidR="00697A09" w:rsidRP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Tapondjou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al.,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(2000) gave a base with the findings such that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Chenopodium ambrosioides </w:t>
      </w:r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can inhibit both progeny of 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 xml:space="preserve">1 </w:t>
      </w:r>
      <w:r w:rsidR="00697A0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and</w:t>
      </w:r>
      <w:r w:rsidR="00B83F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 the</w:t>
      </w:r>
      <w:r w:rsidR="00697A0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="00233D5F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emergence</w:t>
      </w:r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of adults like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maculatus</w:t>
      </w:r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and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C. chinensis</w:t>
      </w:r>
      <w:r w:rsidR="00FB0E4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by using the extracts as in dry leaf powdered forms. </w:t>
      </w:r>
      <w:proofErr w:type="spellStart"/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>Kestenholzetal</w:t>
      </w:r>
      <w:proofErr w:type="spellEnd"/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B0E4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al.,</w:t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(2007) distinguished that </w:t>
      </w:r>
      <w:r w:rsidR="003B39A4">
        <w:rPr>
          <w:rFonts w:ascii="Times New Roman" w:eastAsia="Times New Roman" w:hAnsi="Times New Roman" w:cs="Times New Roman"/>
          <w:color w:val="000000"/>
          <w:sz w:val="20"/>
          <w:szCs w:val="20"/>
        </w:rPr>
        <w:t>effectiveness</w:t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r w:rsidR="00FB0E4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maculatus</w:t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adult emergence and infestation can be reduced with the </w:t>
      </w:r>
      <w:r w:rsidR="00FB0E4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Cassia </w:t>
      </w:r>
      <w:proofErr w:type="spellStart"/>
      <w:r w:rsidR="00FB0E4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sophera</w:t>
      </w:r>
      <w:proofErr w:type="spellEnd"/>
      <w:r w:rsidR="00FB0E4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as extracts in </w:t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>1 % and 5 % w/w proportions. The further proceedings state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>that either reduced egg hatching or larval mortality can lead to inhibition in adult emergence.</w:t>
      </w:r>
    </w:p>
    <w:p w14:paraId="272B8420" w14:textId="5FD9E7A2" w:rsidR="00DA34A8" w:rsidRDefault="00142FF6" w:rsidP="00C474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Oviposition inhibition: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egg laying was significantly reduced on grains treated with different powders as compared to the untreated checks</w:t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(Figure 3)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Lowest egg laying (25.00 eggs) was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distinguished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the grains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treatment of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attapulgite clay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followed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sweet flag, NSKE, Lantana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(65.00, 71.00, 82.00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94.00 eggs respectively). The mean fecundity recorded on the grains treated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was 100.00 eggs, followed by Eucalyptus (115.00 eggs), Datura (119.00 eggs). All the treatments differed statistically from the control (172.00 eggs). </w:t>
      </w:r>
      <w:r w:rsidR="008E56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Several </w:t>
      </w:r>
      <w:proofErr w:type="gramStart"/>
      <w:r w:rsidR="008E5663">
        <w:rPr>
          <w:rFonts w:ascii="Times New Roman" w:eastAsia="Times New Roman" w:hAnsi="Times New Roman" w:cs="Times New Roman"/>
          <w:color w:val="000000"/>
          <w:sz w:val="20"/>
          <w:szCs w:val="20"/>
        </w:rPr>
        <w:t>researcher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gave a report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sweet flag extracts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all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levels of dosage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0.5,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1.5, 2.5 g/50 g of seed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reduced the egg laying considerably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where these findings gave massive support to the present study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Gebremedhin and </w:t>
      </w:r>
      <w:r w:rsidR="003B39A4">
        <w:rPr>
          <w:rFonts w:ascii="Times New Roman" w:eastAsia="Times New Roman" w:hAnsi="Times New Roman" w:cs="Times New Roman"/>
          <w:color w:val="000000"/>
          <w:sz w:val="20"/>
          <w:szCs w:val="20"/>
        </w:rPr>
        <w:t>Mulatu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2000) reported that the oils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4744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Chrysanthemum </w:t>
      </w:r>
      <w:proofErr w:type="spellStart"/>
      <w:r w:rsidR="00C4744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cineraraefolium</w:t>
      </w:r>
      <w:proofErr w:type="spellEnd"/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B39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Azadirachta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indica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  <w:r w:rsidR="003B39A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Milletiaie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ferruginea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were most effective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ly productive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partial or complete inhibition of egg laying, and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B39A4">
        <w:rPr>
          <w:rFonts w:ascii="Times New Roman" w:eastAsia="Times New Roman" w:hAnsi="Times New Roman" w:cs="Times New Roman"/>
          <w:color w:val="000000"/>
          <w:sz w:val="20"/>
          <w:szCs w:val="20"/>
        </w:rPr>
        <w:t>emergence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adults from the eggs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The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outcome 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>of t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 present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studies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shows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effect of botanicals on oviposition of the pulse beetle </w:t>
      </w:r>
      <w:proofErr w:type="gramStart"/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agreement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the literature cited above. </w:t>
      </w:r>
    </w:p>
    <w:p w14:paraId="4B78792B" w14:textId="669F2F02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Weight loss per cent and adult exit holes: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statistical 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discloses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</w:t>
      </w:r>
      <w:r w:rsidR="00DB4E13">
        <w:rPr>
          <w:rFonts w:ascii="Times New Roman" w:eastAsia="Times New Roman" w:hAnsi="Times New Roman" w:cs="Times New Roman"/>
          <w:color w:val="000000"/>
          <w:sz w:val="20"/>
          <w:szCs w:val="20"/>
        </w:rPr>
        <w:t>effectiveness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shown with all treatments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controlling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C. chinensis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terms of per cent weight</w:t>
      </w:r>
      <w:r w:rsidR="00FF3D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loss. </w:t>
      </w:r>
      <w:r w:rsidR="00B83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</w:t>
      </w:r>
      <w:r w:rsidR="00FF3DED">
        <w:rPr>
          <w:rFonts w:ascii="Times New Roman" w:eastAsia="Times New Roman" w:hAnsi="Times New Roman" w:cs="Times New Roman"/>
          <w:color w:val="000000"/>
          <w:sz w:val="20"/>
          <w:szCs w:val="20"/>
        </w:rPr>
        <w:t>igure 4 show</w:t>
      </w:r>
      <w:r w:rsidR="008621EF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FF3D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</w:t>
      </w:r>
      <w:r w:rsidR="008621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FF3D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mean percent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age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weight loss 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</w:t>
      </w:r>
      <w:r w:rsidR="00CE21BB" w:rsidRPr="00CE21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chinensis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different treatments</w:t>
      </w:r>
      <w:r w:rsidR="008621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ranged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from 2.10 to 13.37 as compared to 19.83 in 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control. The minimum per cent weight loss (2.10) was recorded in attapulgite clay powder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followed by sweet flag (3.67) and NSKE (5.40). </w:t>
      </w:r>
      <w:r w:rsidR="008621EF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ight loss on Lantana powder was on par with NSKE (5.70) followed by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Eucalyptus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Datura (8.38, 9.65, 9.98</w:t>
      </w:r>
      <w:r w:rsidR="002F684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13.37 per cent, respectively). These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outcomes 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corroboration with the findings of Saxena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(1992), who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disclose with his reports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various plant products (powders,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oils and extracts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were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efficacious</w:t>
      </w:r>
      <w:r w:rsidR="006019E6" w:rsidRP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terms of weight loss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against pulse beetle.</w:t>
      </w:r>
    </w:p>
    <w:p w14:paraId="67CD53A4" w14:textId="1101EA63" w:rsidR="00DA34A8" w:rsidRDefault="006019E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number of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Maximum and minimum holes </w:t>
      </w:r>
      <w:r w:rsidR="008621EF">
        <w:rPr>
          <w:rFonts w:ascii="Times New Roman" w:eastAsia="Times New Roman" w:hAnsi="Times New Roman" w:cs="Times New Roman"/>
          <w:color w:val="000000"/>
          <w:sz w:val="20"/>
          <w:szCs w:val="20"/>
        </w:rPr>
        <w:t>was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observed in </w:t>
      </w:r>
      <w:r w:rsidR="008621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seed</w:t>
      </w:r>
      <w:r w:rsidR="002F684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which </w:t>
      </w:r>
      <w:r w:rsidR="001314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were </w:t>
      </w:r>
      <w:r w:rsidR="009A5F0D">
        <w:rPr>
          <w:rFonts w:ascii="Times New Roman" w:eastAsia="Times New Roman" w:hAnsi="Times New Roman" w:cs="Times New Roman"/>
          <w:color w:val="000000"/>
          <w:sz w:val="20"/>
          <w:szCs w:val="20"/>
        </w:rPr>
        <w:t>served with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Datura powder (7.33) and attapulgite clay (1.33)</w:t>
      </w:r>
      <w:r w:rsidR="002F684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respectively. The number of exit holes in other treatments </w:t>
      </w:r>
      <w:r w:rsidR="008621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was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3.33 in sweet flag followed by NSKE (3.67), Lantana (4.33),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(5.00), </w:t>
      </w:r>
      <w:proofErr w:type="spellStart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(6.00) and Eucalyptus (6.00). All the treatments were statistically significant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mpared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the control (9.00).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>figure</w:t>
      </w:r>
      <w:r w:rsidR="008621EF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5a and 5b principal component analysis clearly indicate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the 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>grains of pigeon pea could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 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eserved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C. chinensis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by treating the grains with attapulgite clay and botanicals.</w:t>
      </w:r>
    </w:p>
    <w:p w14:paraId="4B0E9F6E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CONCLUSION</w:t>
      </w:r>
    </w:p>
    <w:p w14:paraId="0B072B89" w14:textId="10E9CF7C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In the present study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overall consequences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have proved that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both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plant powder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attapulgite clay dust extracts were effective in controlling the damage caused by bruchids under storage conditions. Therefore, they may be recommended for storage pest management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as these are eco-friendly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can also be included in 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food security 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non-phytotoxic and safe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substitu</w:t>
      </w:r>
      <w:r w:rsidR="00C64067"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synthetic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al produced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pesticides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market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The plant products will help the farmers to reduce the losses caused by the bruchids under storage conditions without resorting to harmful and non-affordable chemicals.</w:t>
      </w:r>
    </w:p>
    <w:p w14:paraId="0CE460C8" w14:textId="77777777" w:rsidR="007A7BB2" w:rsidRDefault="007A7B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546FA4" w14:textId="77777777" w:rsidR="00425B9B" w:rsidRPr="00A62216" w:rsidRDefault="00425B9B" w:rsidP="00425B9B">
      <w:pPr>
        <w:rPr>
          <w:b/>
        </w:rPr>
      </w:pPr>
      <w:r w:rsidRPr="00A62216">
        <w:rPr>
          <w:b/>
        </w:rPr>
        <w:t>Disclaimer (Artificial intelligence)</w:t>
      </w:r>
    </w:p>
    <w:p w14:paraId="653ABD88" w14:textId="645A0BF8" w:rsidR="000A1EEB" w:rsidRPr="000A1EEB" w:rsidRDefault="000A1E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EEB"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author (s) hereby declare that no generative AI technologies</w:t>
      </w:r>
      <w:r w:rsidRPr="000A1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such as Large Language Models (ChatGPT, COPILOT, etc.) and text-to-image generators have been used during the writing or editing of this manuscript.</w:t>
      </w:r>
    </w:p>
    <w:p w14:paraId="2C505D71" w14:textId="77777777" w:rsidR="00DA34A8" w:rsidRDefault="00DA34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1D8544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REFERENCES</w:t>
      </w:r>
    </w:p>
    <w:p w14:paraId="00ED3635" w14:textId="596E55A7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Arora, G. L. (1977). Taxonomy of the Bruchidae (Coleoptera) of Northwest India. Part I. Adults. Oriental Insects, 11, 1–132. </w:t>
      </w:r>
      <w:hyperlink r:id="rId15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https://doi.org/10.1080/00305316.1977.11745229</w:t>
        </w:r>
      </w:hyperlink>
    </w:p>
    <w:p w14:paraId="1466709E" w14:textId="09461928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B9B">
        <w:rPr>
          <w:rFonts w:ascii="Times New Roman" w:eastAsia="Times New Roman" w:hAnsi="Times New Roman" w:cs="Times New Roman"/>
          <w:sz w:val="20"/>
          <w:szCs w:val="20"/>
          <w:lang w:val="nl-BE"/>
        </w:rPr>
        <w:t xml:space="preserve">Bekele, A. J., Obeng-Ofori, D., &amp; Hassanali, A. (1995). </w:t>
      </w: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Products derived from the leaves of 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Ocimum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kilimandscharicum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 (Labiatae) as post-harvest grain protectants against the infestation of three major stored product insect pests. Bulletin of Entomological Research, 85(3), 361–367. </w:t>
      </w:r>
      <w:hyperlink r:id="rId16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https://doi.org/10.1017/S0007485300036099</w:t>
        </w:r>
      </w:hyperlink>
    </w:p>
    <w:p w14:paraId="5684488D" w14:textId="77777777" w:rsidR="00711C10" w:rsidRPr="00711C10" w:rsidRDefault="00711C10" w:rsidP="00711C1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 w:rsidRPr="00711C10">
        <w:rPr>
          <w:rFonts w:ascii="Times New Roman" w:hAnsi="Times New Roman" w:cs="Times New Roman"/>
          <w:sz w:val="20"/>
          <w:szCs w:val="20"/>
          <w:lang w:val="nl-BE"/>
        </w:rPr>
        <w:lastRenderedPageBreak/>
        <w:t xml:space="preserve">Esen, A., Sari, H., Erler, F., Adak, A., Sari, D., Eker, T., ... </w:t>
      </w:r>
      <w:r w:rsidRPr="00711C10">
        <w:rPr>
          <w:rFonts w:ascii="Times New Roman" w:hAnsi="Times New Roman" w:cs="Times New Roman"/>
          <w:sz w:val="20"/>
          <w:szCs w:val="20"/>
          <w:lang w:val="en-GB"/>
        </w:rPr>
        <w:t>&amp; Toker, C. (2019). Screening and selection of accessions in the genus Pisum L. for resistance to pulse beetle (</w:t>
      </w:r>
      <w:proofErr w:type="spellStart"/>
      <w:r w:rsidRPr="00711C10">
        <w:rPr>
          <w:rFonts w:ascii="Times New Roman" w:hAnsi="Times New Roman" w:cs="Times New Roman"/>
          <w:i/>
          <w:iCs/>
          <w:sz w:val="20"/>
          <w:szCs w:val="20"/>
          <w:lang w:val="en-GB"/>
        </w:rPr>
        <w:t>Callosobruchus</w:t>
      </w:r>
      <w:proofErr w:type="spellEnd"/>
      <w:r w:rsidRPr="00711C10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711C10">
        <w:rPr>
          <w:rFonts w:ascii="Times New Roman" w:hAnsi="Times New Roman" w:cs="Times New Roman"/>
          <w:i/>
          <w:iCs/>
          <w:sz w:val="20"/>
          <w:szCs w:val="20"/>
          <w:lang w:val="en-GB"/>
        </w:rPr>
        <w:t>chinensis</w:t>
      </w:r>
      <w:proofErr w:type="spellEnd"/>
      <w:r w:rsidRPr="00711C10">
        <w:rPr>
          <w:rFonts w:ascii="Times New Roman" w:hAnsi="Times New Roman" w:cs="Times New Roman"/>
          <w:sz w:val="20"/>
          <w:szCs w:val="20"/>
          <w:lang w:val="en-GB"/>
        </w:rPr>
        <w:t xml:space="preserve"> L.). </w:t>
      </w:r>
      <w:proofErr w:type="spellStart"/>
      <w:r w:rsidRPr="00711C10">
        <w:rPr>
          <w:rFonts w:ascii="Times New Roman" w:hAnsi="Times New Roman" w:cs="Times New Roman"/>
          <w:sz w:val="20"/>
          <w:szCs w:val="20"/>
          <w:lang w:val="en-GB"/>
        </w:rPr>
        <w:t>Euphytica</w:t>
      </w:r>
      <w:proofErr w:type="spellEnd"/>
      <w:r w:rsidRPr="00711C10">
        <w:rPr>
          <w:rFonts w:ascii="Times New Roman" w:hAnsi="Times New Roman" w:cs="Times New Roman"/>
          <w:sz w:val="20"/>
          <w:szCs w:val="20"/>
          <w:lang w:val="en-GB"/>
        </w:rPr>
        <w:t>, 215(4), 82</w:t>
      </w:r>
      <w:r w:rsidRPr="00711C10">
        <w:rPr>
          <w:sz w:val="20"/>
          <w:szCs w:val="20"/>
          <w:lang w:val="en-GB"/>
        </w:rPr>
        <w:t>.</w:t>
      </w:r>
    </w:p>
    <w:p w14:paraId="2A9A44BC" w14:textId="32577179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Isman, M. B. (2008). Botanical insecticides: for richer, and for poorer. Pest Management Science, 64, 8-11. </w:t>
      </w:r>
      <w:hyperlink r:id="rId17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https://doi.org/10.1002/ps.1470</w:t>
        </w:r>
      </w:hyperlink>
    </w:p>
    <w:p w14:paraId="0938748A" w14:textId="76900CED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B9B">
        <w:rPr>
          <w:rFonts w:ascii="Times New Roman" w:eastAsia="Times New Roman" w:hAnsi="Times New Roman" w:cs="Times New Roman"/>
          <w:sz w:val="20"/>
          <w:szCs w:val="20"/>
          <w:lang w:val="nl-BE"/>
        </w:rPr>
        <w:t xml:space="preserve">Kestenholz, C., Stevenson, P. C., &amp; Belmain, S. R. (2007). </w:t>
      </w: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Comparative study of field and laboratory evaluations of the ethnobotanical Cassia 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sophera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 L. (Leguminosae) for bioactivity against the storage pests Callosobruchus maculatus (F.) (Coleoptera: Bruchidae) and Sitophilus oryzae (L.) (Coleoptera: Curculionidae). Journal of Stored Products Research, 43(1), 79-86. </w:t>
      </w:r>
      <w:hyperlink r:id="rId18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https://doi.org/10.1016/j.jspr.2006.11.001</w:t>
        </w:r>
      </w:hyperlink>
    </w:p>
    <w:p w14:paraId="6FB9A389" w14:textId="1E4582EC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Kim, S. I., Roh, J. Y., Kim, D. H., Lee, H. S., &amp; Ahn, Y. J. (2003). Insecticidal activities of aromatic plant extracts and essential oils against Sitophilus oryzae and Callosobruchus chinensis. Journal of Stored Products Research, 39(3), 293-303. </w:t>
      </w:r>
      <w:hyperlink r:id="rId19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https://doi.org/10.1016/S0022-474X(02)00017-6</w:t>
        </w:r>
      </w:hyperlink>
    </w:p>
    <w:p w14:paraId="0B29E411" w14:textId="2D9F0BB7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>Al-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Lawati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, H. T., Azam, K. M., &amp; Deadman, M. L. (2002). Insecticidal and repellent properties of subtropical plant extracts against pulse beetle, Callosobruchus chinensis. Journal of Agricultural and Marine Sciences, 7(1), 37-45. </w:t>
      </w:r>
      <w:hyperlink r:id="rId20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https://doi.org/10.24200/jams.vol7iss1pp37-45</w:t>
        </w:r>
      </w:hyperlink>
    </w:p>
    <w:p w14:paraId="5D53A3B4" w14:textId="730C7361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Gebremedhin, </w:t>
      </w:r>
      <w:r w:rsidR="008E5663">
        <w:rPr>
          <w:rFonts w:ascii="Times New Roman" w:eastAsia="Times New Roman" w:hAnsi="Times New Roman" w:cs="Times New Roman"/>
          <w:sz w:val="20"/>
          <w:szCs w:val="20"/>
        </w:rPr>
        <w:t xml:space="preserve">&amp; </w:t>
      </w:r>
      <w:proofErr w:type="spellStart"/>
      <w:r w:rsidR="008E5663" w:rsidRPr="00D87A68">
        <w:rPr>
          <w:rFonts w:ascii="Times New Roman" w:eastAsia="Times New Roman" w:hAnsi="Times New Roman" w:cs="Times New Roman"/>
          <w:sz w:val="20"/>
          <w:szCs w:val="20"/>
        </w:rPr>
        <w:t>Mulatu</w:t>
      </w:r>
      <w:proofErr w:type="spellEnd"/>
      <w:r w:rsidR="008E56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(2000). Oviposition-deterrent and toxic effects of various botanicals on the Adzuki bean beetle, Callosobruchus chinensis L. Insect Science and its Application, 20(1), 33-38. </w:t>
      </w:r>
      <w:hyperlink r:id="rId21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https://doi.org/10.1017/S174275840001780X</w:t>
        </w:r>
      </w:hyperlink>
    </w:p>
    <w:p w14:paraId="6062DC38" w14:textId="1B69861A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Okonkwo, E. U., &amp; Okoye, W. I. (1996). The efficacy of four seed powders and the essential oils as protectants of cowpea and maize grains against infestation by Callosobruchus maculatus (Fabricius) (Coleoptera: Bruchidae) and Sitophilus zeamais (Motschulsky) (Coleoptera: Curculionidae) in Nigeria. International Journal of Pest Management, 42(3), 143–146. </w:t>
      </w:r>
      <w:hyperlink r:id="rId22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https://doi.org/10.1080/09670879609371985</w:t>
        </w:r>
      </w:hyperlink>
    </w:p>
    <w:p w14:paraId="067A696B" w14:textId="535A798D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Sathish, K., Jaba, J., 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Katlam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, B. P., Mishra, S. P., &amp; Rana, D. K. (2020). Evaluation of chickpea, Cicer arietinum, genotypes for resistance to the pulse beetle, Callosobruchus chinensis (L.). Journal of Entomology and Zoology Studies, 8(3), 1002-1006. </w:t>
      </w:r>
      <w:hyperlink r:id="rId23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http://www.entomoljournal.com/archives/2020/vol8issue3/PartB/8-3-10-706.pdf</w:t>
        </w:r>
      </w:hyperlink>
    </w:p>
    <w:p w14:paraId="5F8B4D65" w14:textId="594046C7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Sathyaseelan, V., Baskaran, V., &amp; Mohan, S. (2008). Efficacy of some indigenous pesticidal plants against pulse beetle, Callosobruchus chinensis (L.) on green gram. Journal of Entomology, 5(2), 128-132. </w:t>
      </w:r>
      <w:hyperlink r:id="rId24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https://doi.org/10.3923/je.2008.128.132</w:t>
        </w:r>
      </w:hyperlink>
    </w:p>
    <w:p w14:paraId="3341A405" w14:textId="08197F0B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Saxena, R. C., Dixit, O. P., &amp; Harshan, V. (1992). Insecticidal action of Lantana camara against Callosobruchus chinensis (Coleoptera: Bruchidae). *Journal of Stored Products Research*, *28*(4), 279-281. </w:t>
      </w:r>
      <w:hyperlink r:id="rId25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https://doi.org/10.1016/0022-474X(92)90009-F</w:t>
        </w:r>
      </w:hyperlink>
    </w:p>
    <w:p w14:paraId="07A330B2" w14:textId="43C88349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Saxena, R. C., Dixit, O. P., &amp; Harshan, V. (1992). Insecticidal action of Lantana camara against Callosobruchus chinensis (Coleoptera: Bruchidae). Journal of Stored Product Research, 28, 279-281. </w:t>
      </w:r>
      <w:hyperlink r:id="rId26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https://doi.org/10.1016/0022-474X(92)90009-F</w:t>
        </w:r>
      </w:hyperlink>
    </w:p>
    <w:p w14:paraId="62F63B4D" w14:textId="44A9D37D" w:rsidR="00D87A68" w:rsidRP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color w:val="131413"/>
          <w:sz w:val="20"/>
          <w:szCs w:val="20"/>
        </w:rPr>
      </w:pPr>
      <w:bookmarkStart w:id="1" w:name="_GoBack"/>
      <w:bookmarkEnd w:id="1"/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lastRenderedPageBreak/>
        <w:t>Tapondjou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, L. A., Adler, C., Bouda, H., &amp; Fontem, D. A. (2002). Efficacy of powder and essential oil from Chenopodium ambrosioides leaves as post-harvest grain protectants against six-stored product beetles. Journal of Stored Products Research, 38(4), 395–402. </w:t>
      </w:r>
      <w:hyperlink r:id="rId27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https://doi.org/10.1016/S0022-474X(01)00044-3</w:t>
        </w:r>
      </w:hyperlink>
    </w:p>
    <w:p w14:paraId="575A84C7" w14:textId="30046AA0" w:rsidR="00D87A68" w:rsidRPr="00D87A68" w:rsidRDefault="00D87A68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 xml:space="preserve">Tuda, M., Chou, L. Y., </w:t>
      </w:r>
      <w:proofErr w:type="spellStart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>Niyomdham</w:t>
      </w:r>
      <w:proofErr w:type="spellEnd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 xml:space="preserve">, C., </w:t>
      </w:r>
      <w:proofErr w:type="spellStart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>Buranapanichpan</w:t>
      </w:r>
      <w:proofErr w:type="spellEnd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 xml:space="preserve">, S., &amp; Tateishi, Y. (2005). Ecological factors associated with pest status in Callosobruchus (Coleoptera: Bruchidae): High host specificity of non-pests to </w:t>
      </w:r>
      <w:proofErr w:type="spellStart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>Cajaninae</w:t>
      </w:r>
      <w:proofErr w:type="spellEnd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 xml:space="preserve"> (Fabaceae). Journal of Stored Products Research, 41(1), 31–45. </w:t>
      </w:r>
      <w:hyperlink r:id="rId28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https://doi.org/10.1016/j.jspr.2003.09.003</w:t>
        </w:r>
      </w:hyperlink>
    </w:p>
    <w:p w14:paraId="6B5D0F3E" w14:textId="77777777" w:rsidR="00A62216" w:rsidRDefault="00D87A68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Udo, I. O., &amp; Harry, G. I. (2013). Effect of groundnut oil in protecting stored cowpea (Vigna unguiculata) from attack by cowpea weevil (Callosobruchus maculatus). Journal of Biology, Agriculture and Healthcare, 3(1), 89-92. </w:t>
      </w:r>
      <w:hyperlink r:id="rId29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http://www.iiste.org/Journals/index.php/JBAH/article/view/3989/4046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77F97FE" w14:textId="72FA62CC" w:rsidR="00DA34A8" w:rsidRDefault="00A62216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2216">
        <w:rPr>
          <w:rFonts w:ascii="Times New Roman" w:eastAsia="Times New Roman" w:hAnsi="Times New Roman" w:cs="Times New Roman"/>
          <w:sz w:val="20"/>
          <w:szCs w:val="20"/>
        </w:rPr>
        <w:t xml:space="preserve">Sathish, K., </w:t>
      </w:r>
      <w:proofErr w:type="spellStart"/>
      <w:r w:rsidRPr="00A62216">
        <w:rPr>
          <w:rFonts w:ascii="Times New Roman" w:eastAsia="Times New Roman" w:hAnsi="Times New Roman" w:cs="Times New Roman"/>
          <w:sz w:val="20"/>
          <w:szCs w:val="20"/>
        </w:rPr>
        <w:t>Jaba</w:t>
      </w:r>
      <w:proofErr w:type="spellEnd"/>
      <w:r w:rsidRPr="00A62216">
        <w:rPr>
          <w:rFonts w:ascii="Times New Roman" w:eastAsia="Times New Roman" w:hAnsi="Times New Roman" w:cs="Times New Roman"/>
          <w:sz w:val="20"/>
          <w:szCs w:val="20"/>
        </w:rPr>
        <w:t xml:space="preserve">, J., </w:t>
      </w:r>
      <w:proofErr w:type="spellStart"/>
      <w:r w:rsidRPr="00A62216">
        <w:rPr>
          <w:rFonts w:ascii="Times New Roman" w:eastAsia="Times New Roman" w:hAnsi="Times New Roman" w:cs="Times New Roman"/>
          <w:sz w:val="20"/>
          <w:szCs w:val="20"/>
        </w:rPr>
        <w:t>Katlam</w:t>
      </w:r>
      <w:proofErr w:type="spellEnd"/>
      <w:r w:rsidRPr="00A62216">
        <w:rPr>
          <w:rFonts w:ascii="Times New Roman" w:eastAsia="Times New Roman" w:hAnsi="Times New Roman" w:cs="Times New Roman"/>
          <w:sz w:val="20"/>
          <w:szCs w:val="20"/>
        </w:rPr>
        <w:t xml:space="preserve">, B. P., Vishal, A., Mishra, S. P., &amp; Rana, D. K. (2020). Biology and Morphometrics of Pulse Beetle, </w:t>
      </w:r>
      <w:proofErr w:type="spellStart"/>
      <w:r w:rsidRPr="00A62216">
        <w:rPr>
          <w:rFonts w:ascii="Times New Roman" w:eastAsia="Times New Roman" w:hAnsi="Times New Roman" w:cs="Times New Roman"/>
          <w:sz w:val="20"/>
          <w:szCs w:val="20"/>
        </w:rPr>
        <w:t>Callosobruchus</w:t>
      </w:r>
      <w:proofErr w:type="spellEnd"/>
      <w:r w:rsidRPr="00A622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62216">
        <w:rPr>
          <w:rFonts w:ascii="Times New Roman" w:eastAsia="Times New Roman" w:hAnsi="Times New Roman" w:cs="Times New Roman"/>
          <w:sz w:val="20"/>
          <w:szCs w:val="20"/>
        </w:rPr>
        <w:t>chinensis</w:t>
      </w:r>
      <w:proofErr w:type="spellEnd"/>
      <w:r w:rsidRPr="00A62216">
        <w:rPr>
          <w:rFonts w:ascii="Times New Roman" w:eastAsia="Times New Roman" w:hAnsi="Times New Roman" w:cs="Times New Roman"/>
          <w:sz w:val="20"/>
          <w:szCs w:val="20"/>
        </w:rPr>
        <w:t xml:space="preserve"> (L.) on Chickpea. International Research Journal of Pure and Applied Chemistry, 21(23), 161–165. https://doi.org/10.9734/irjpac/2020/v21i2330314</w:t>
      </w:r>
      <w:r w:rsidR="00142FF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4F6B899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14B0C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CFA5E6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1C6B4E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4D67D3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A94F759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FE1E82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94CDD5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FA922C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A8AB5A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FC25ADC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E24887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A94B95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980717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7BB190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7861D71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BE2B1FB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87AE596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0F675E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D05D42E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F88B034" w14:textId="41E73110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drawing>
          <wp:inline distT="0" distB="0" distL="0" distR="0" wp14:anchorId="5D51FB0B" wp14:editId="63F06EBD">
            <wp:extent cx="5419725" cy="4849936"/>
            <wp:effectExtent l="0" t="0" r="0" b="0"/>
            <wp:docPr id="16632198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849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51A8FF" w14:textId="140159E4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Figure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</w:t>
      </w: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Direct toxicity effect (by dipping method) of </w:t>
      </w:r>
      <w:r w:rsidR="00FF3D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attapulgite </w:t>
      </w:r>
      <w:r w:rsidR="00FF3DED"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clay </w:t>
      </w:r>
      <w:r w:rsidR="00FF3D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and </w:t>
      </w: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different plant </w:t>
      </w:r>
      <w:r w:rsidR="00FF3D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powders</w:t>
      </w: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acetone extracts on pulse beetle, </w:t>
      </w:r>
      <w:r w:rsidRPr="00CE63A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C. chinensis</w:t>
      </w: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after 24, 48 and 72 hours of treatment. (HAT - Hours after treatment).</w:t>
      </w:r>
    </w:p>
    <w:p w14:paraId="402D443B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3C11BF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31AC7A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37216C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B10109C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7E6E080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9BE9AE4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574861C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20D0FC8" w14:textId="72189E34" w:rsidR="00CE63A1" w:rsidRDefault="007153FD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57A1705" wp14:editId="27D1E479">
            <wp:extent cx="5594350" cy="4319270"/>
            <wp:effectExtent l="5080" t="4445" r="20320" b="196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182209C" w14:textId="0571946A" w:rsidR="00CE63A1" w:rsidRDefault="00C74965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Figure 2 </w:t>
      </w:r>
      <w:r w:rsidR="007153F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Surface protectant effect of </w:t>
      </w:r>
      <w:r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attapulgite </w:t>
      </w:r>
      <w:r w:rsidR="00FF3DE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clay</w:t>
      </w:r>
      <w:r w:rsidR="00FF3D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FF3DE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different</w:t>
      </w:r>
      <w:r w:rsidR="007153F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plant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powders</w:t>
      </w:r>
      <w:r w:rsidR="007153F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acetone extracts on adult inhibition and adult emergence percentages of pulse beetle</w:t>
      </w:r>
    </w:p>
    <w:p w14:paraId="3A45F307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0B604C0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0F04E17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EFC54F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53C6DAD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235FB04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EDF8DD1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9E2BBB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A37B8AE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2D5546A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622090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D21730E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FCEA12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154E32E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09C5624" w14:textId="77777777" w:rsidR="00DA34A8" w:rsidRDefault="00142FF6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5586866" wp14:editId="33EEF9F3">
            <wp:extent cx="5769610" cy="4855210"/>
            <wp:effectExtent l="0" t="0" r="2540" b="25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8A19BC9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AE25FC3" w14:textId="6674F65B" w:rsidR="00DA34A8" w:rsidRDefault="00142FF6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Figure</w:t>
      </w:r>
      <w:r w:rsidR="00CE63A1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</w:t>
      </w:r>
      <w:r w:rsidR="007153FD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. Surface protectant effect of </w:t>
      </w:r>
      <w:r w:rsidR="00C74965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attapulgite clay and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different plant</w:t>
      </w:r>
      <w:r w:rsidR="00C74965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powders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acetone extracts on pulse beetle,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vertAlign w:val="superscript"/>
        </w:rPr>
        <w:t>Callosobruchus chinensis</w:t>
      </w:r>
    </w:p>
    <w:p w14:paraId="79808B56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6E57B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B287394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9E6DC04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936AD4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A763E01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53570E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39EF4B" w14:textId="77777777" w:rsidR="00DA34A8" w:rsidRDefault="00142FF6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lastRenderedPageBreak/>
        <w:drawing>
          <wp:inline distT="0" distB="0" distL="0" distR="0" wp14:anchorId="6E7A5DD2" wp14:editId="676E36D9">
            <wp:extent cx="5602605" cy="4894035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4894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9DD6C1" w14:textId="26E051AE" w:rsidR="00DA34A8" w:rsidRDefault="00142FF6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Figure </w:t>
      </w:r>
      <w:r w:rsidR="007153FD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Effect of different extracts on per cent weight loss caused by pulse beetle</w:t>
      </w:r>
    </w:p>
    <w:p w14:paraId="75448107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016DE5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85D29CA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9191754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2A0CF67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E416CBF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EF5BC6C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44A3755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E395EE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9FB2932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3685C79" w14:textId="7440F8E2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BFAE9B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E5C9C7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7ADA7E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11CEFB5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E24EE15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260D29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B18F8D1" w14:textId="4124F014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inline distT="0" distB="0" distL="0" distR="0" wp14:anchorId="411B1565" wp14:editId="115E5F7C">
            <wp:extent cx="4723765" cy="4723765"/>
            <wp:effectExtent l="0" t="0" r="635" b="635"/>
            <wp:docPr id="2029934250" name="Picture 2029934250" descr="C:\Users\Entomology\Downloads\Unname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tomology\Downloads\Unnamed 1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765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05AB5" w14:textId="77777777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</w:p>
    <w:p w14:paraId="35A10BB2" w14:textId="66924F58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493E5A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Fig.5a Principal Component Analysis (PCA) based on efficacy of attapulgite clay and different plant extracts against C. chinensis</w:t>
      </w:r>
    </w:p>
    <w:p w14:paraId="09A0522E" w14:textId="667D66AE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73D91559" wp14:editId="3C07524C">
            <wp:extent cx="5733415" cy="5733415"/>
            <wp:effectExtent l="0" t="0" r="635" b="635"/>
            <wp:docPr id="545037211" name="Picture 545037211" descr="C:\Users\Entomology\Downloads\Principal components biplot (99.6%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tomology\Downloads\Principal components biplot (99.6%)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B003D" w14:textId="4892D7A9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493E5A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Fig.5b Principal Component Analysis (PCA)</w:t>
      </w:r>
      <w:r w:rsidR="00A62216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biplot</w:t>
      </w:r>
      <w:r w:rsidRPr="00493E5A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based on efficacy of attapulgite clay and different plant extracts against </w:t>
      </w:r>
      <w:r w:rsidRPr="00C74965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vertAlign w:val="superscript"/>
        </w:rPr>
        <w:t>C. chinensis</w:t>
      </w:r>
    </w:p>
    <w:sectPr w:rsidR="00493E5A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9" w:h="16834"/>
      <w:pgMar w:top="1440" w:right="1440" w:bottom="1440" w:left="1440" w:header="720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19804" w14:textId="77777777" w:rsidR="00D23973" w:rsidRDefault="00D23973">
      <w:pPr>
        <w:spacing w:after="0" w:line="240" w:lineRule="auto"/>
      </w:pPr>
      <w:r>
        <w:separator/>
      </w:r>
    </w:p>
  </w:endnote>
  <w:endnote w:type="continuationSeparator" w:id="0">
    <w:p w14:paraId="5EC5E035" w14:textId="77777777" w:rsidR="00D23973" w:rsidRDefault="00D2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29088" w14:textId="77777777" w:rsidR="007A7BB2" w:rsidRDefault="007A7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7199E" w14:textId="77777777" w:rsidR="00DA34A8" w:rsidRDefault="00142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97D109" wp14:editId="613B25BA">
              <wp:simplePos x="0" y="0"/>
              <wp:positionH relativeFrom="column">
                <wp:posOffset>1952307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A3B5B" w14:textId="77777777" w:rsidR="00DA34A8" w:rsidRDefault="00142FF6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F5C7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7D1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3.7pt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" filled="f" stroked="f" strokeweight=".5pt">
              <v:textbox style="mso-fit-shape-to-text:t" inset="0,0,0,0">
                <w:txbxContent>
                  <w:p w14:paraId="2BDA3B5B" w14:textId="77777777" w:rsidR="00DA34A8" w:rsidRDefault="00142FF6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F5C7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EB40D" w14:textId="77777777" w:rsidR="00DA34A8" w:rsidRDefault="00DA34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BCE538E" w14:textId="77777777" w:rsidR="00DA34A8" w:rsidRDefault="00DA34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40C27" w14:textId="77777777" w:rsidR="00D23973" w:rsidRDefault="00D23973">
      <w:pPr>
        <w:spacing w:after="0" w:line="240" w:lineRule="auto"/>
      </w:pPr>
      <w:r>
        <w:separator/>
      </w:r>
    </w:p>
  </w:footnote>
  <w:footnote w:type="continuationSeparator" w:id="0">
    <w:p w14:paraId="0CC6AD90" w14:textId="77777777" w:rsidR="00D23973" w:rsidRDefault="00D2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9A4EB" w14:textId="66A3A15D" w:rsidR="007A7BB2" w:rsidRDefault="008E5663">
    <w:pPr>
      <w:pStyle w:val="Header"/>
    </w:pPr>
    <w:r>
      <w:rPr>
        <w:noProof/>
      </w:rPr>
      <w:pict w14:anchorId="3C280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4078876" o:spid="_x0000_s2050" type="#_x0000_t136" style="position:absolute;margin-left:0;margin-top:0;width:535.45pt;height:100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5BC2C" w14:textId="71CA3C16" w:rsidR="007A7BB2" w:rsidRDefault="008E5663">
    <w:pPr>
      <w:pStyle w:val="Header"/>
    </w:pPr>
    <w:r>
      <w:rPr>
        <w:noProof/>
      </w:rPr>
      <w:pict w14:anchorId="57F87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4078877" o:spid="_x0000_s2051" type="#_x0000_t136" style="position:absolute;margin-left:0;margin-top:0;width:535.45pt;height:100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1681" w14:textId="4E161202" w:rsidR="007A7BB2" w:rsidRDefault="008E5663">
    <w:pPr>
      <w:pStyle w:val="Header"/>
    </w:pPr>
    <w:r>
      <w:rPr>
        <w:noProof/>
      </w:rPr>
      <w:pict w14:anchorId="1BD4CF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4078875" o:spid="_x0000_s2049" type="#_x0000_t136" style="position:absolute;margin-left:0;margin-top:0;width:535.45pt;height:10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E4BB0"/>
    <w:multiLevelType w:val="multilevel"/>
    <w:tmpl w:val="CE344C1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xtjA3NDO3sDA0tDBT0lEKTi0uzszPAykwrAUARh+FRiwAAAA="/>
  </w:docVars>
  <w:rsids>
    <w:rsidRoot w:val="00DA34A8"/>
    <w:rsid w:val="0006189F"/>
    <w:rsid w:val="000630DB"/>
    <w:rsid w:val="000659A1"/>
    <w:rsid w:val="0006680F"/>
    <w:rsid w:val="00090752"/>
    <w:rsid w:val="00097E6F"/>
    <w:rsid w:val="000A1EEB"/>
    <w:rsid w:val="000E4F48"/>
    <w:rsid w:val="000E7A2C"/>
    <w:rsid w:val="000F6558"/>
    <w:rsid w:val="000F7703"/>
    <w:rsid w:val="001166C9"/>
    <w:rsid w:val="00123024"/>
    <w:rsid w:val="0012769B"/>
    <w:rsid w:val="00131445"/>
    <w:rsid w:val="001337E1"/>
    <w:rsid w:val="00142FF6"/>
    <w:rsid w:val="00144A65"/>
    <w:rsid w:val="00145B03"/>
    <w:rsid w:val="001B67C4"/>
    <w:rsid w:val="001D1638"/>
    <w:rsid w:val="001F3814"/>
    <w:rsid w:val="001F6D66"/>
    <w:rsid w:val="00200D78"/>
    <w:rsid w:val="00203BD2"/>
    <w:rsid w:val="00215E24"/>
    <w:rsid w:val="00233D5F"/>
    <w:rsid w:val="0024713B"/>
    <w:rsid w:val="00251006"/>
    <w:rsid w:val="00271DA1"/>
    <w:rsid w:val="002C681C"/>
    <w:rsid w:val="002F684A"/>
    <w:rsid w:val="002F7D5C"/>
    <w:rsid w:val="003356B3"/>
    <w:rsid w:val="0033576B"/>
    <w:rsid w:val="00361615"/>
    <w:rsid w:val="00371966"/>
    <w:rsid w:val="00372B62"/>
    <w:rsid w:val="0038422A"/>
    <w:rsid w:val="003A48A8"/>
    <w:rsid w:val="003B2650"/>
    <w:rsid w:val="003B39A4"/>
    <w:rsid w:val="003B6D1A"/>
    <w:rsid w:val="003D2320"/>
    <w:rsid w:val="003E0A42"/>
    <w:rsid w:val="00412DF0"/>
    <w:rsid w:val="004174CE"/>
    <w:rsid w:val="00421570"/>
    <w:rsid w:val="00425B9B"/>
    <w:rsid w:val="00430102"/>
    <w:rsid w:val="00434662"/>
    <w:rsid w:val="00450991"/>
    <w:rsid w:val="00451945"/>
    <w:rsid w:val="00465975"/>
    <w:rsid w:val="00493E5A"/>
    <w:rsid w:val="00495ACB"/>
    <w:rsid w:val="00495B6F"/>
    <w:rsid w:val="004A2A45"/>
    <w:rsid w:val="004B17CF"/>
    <w:rsid w:val="004E0CB7"/>
    <w:rsid w:val="004E2515"/>
    <w:rsid w:val="00504938"/>
    <w:rsid w:val="0052229B"/>
    <w:rsid w:val="00575634"/>
    <w:rsid w:val="005A2D7C"/>
    <w:rsid w:val="005B68B2"/>
    <w:rsid w:val="005E6A57"/>
    <w:rsid w:val="005F054E"/>
    <w:rsid w:val="005F5C77"/>
    <w:rsid w:val="006019E6"/>
    <w:rsid w:val="00602E91"/>
    <w:rsid w:val="006057D4"/>
    <w:rsid w:val="00623422"/>
    <w:rsid w:val="00646786"/>
    <w:rsid w:val="00672BED"/>
    <w:rsid w:val="00677B30"/>
    <w:rsid w:val="00683175"/>
    <w:rsid w:val="00694FA5"/>
    <w:rsid w:val="00696417"/>
    <w:rsid w:val="00697A09"/>
    <w:rsid w:val="006B2443"/>
    <w:rsid w:val="006B6367"/>
    <w:rsid w:val="006C610C"/>
    <w:rsid w:val="006D3BFA"/>
    <w:rsid w:val="006E799C"/>
    <w:rsid w:val="0070002A"/>
    <w:rsid w:val="007022BF"/>
    <w:rsid w:val="00703C26"/>
    <w:rsid w:val="00705056"/>
    <w:rsid w:val="00711C10"/>
    <w:rsid w:val="007153FD"/>
    <w:rsid w:val="007478E2"/>
    <w:rsid w:val="00747F93"/>
    <w:rsid w:val="00765D6C"/>
    <w:rsid w:val="00786BB8"/>
    <w:rsid w:val="00787FF5"/>
    <w:rsid w:val="007922DE"/>
    <w:rsid w:val="007A7BB2"/>
    <w:rsid w:val="007E7BBC"/>
    <w:rsid w:val="008621EF"/>
    <w:rsid w:val="00870612"/>
    <w:rsid w:val="00883235"/>
    <w:rsid w:val="008B0F62"/>
    <w:rsid w:val="008B72A3"/>
    <w:rsid w:val="008C60E8"/>
    <w:rsid w:val="008C6606"/>
    <w:rsid w:val="008E5663"/>
    <w:rsid w:val="008F1DAB"/>
    <w:rsid w:val="00932504"/>
    <w:rsid w:val="009340C9"/>
    <w:rsid w:val="00943737"/>
    <w:rsid w:val="00943939"/>
    <w:rsid w:val="00981A6E"/>
    <w:rsid w:val="00986C8D"/>
    <w:rsid w:val="009A5F0D"/>
    <w:rsid w:val="009C1886"/>
    <w:rsid w:val="009D2655"/>
    <w:rsid w:val="009D5249"/>
    <w:rsid w:val="00A275D9"/>
    <w:rsid w:val="00A33146"/>
    <w:rsid w:val="00A574BC"/>
    <w:rsid w:val="00A62216"/>
    <w:rsid w:val="00A83498"/>
    <w:rsid w:val="00AA0D19"/>
    <w:rsid w:val="00AB3E37"/>
    <w:rsid w:val="00AB600B"/>
    <w:rsid w:val="00AC5C88"/>
    <w:rsid w:val="00B23C9E"/>
    <w:rsid w:val="00B31776"/>
    <w:rsid w:val="00B31EF3"/>
    <w:rsid w:val="00B46B4C"/>
    <w:rsid w:val="00B5250D"/>
    <w:rsid w:val="00B65B66"/>
    <w:rsid w:val="00B67D1B"/>
    <w:rsid w:val="00B80DA8"/>
    <w:rsid w:val="00B81044"/>
    <w:rsid w:val="00B839DC"/>
    <w:rsid w:val="00B83F20"/>
    <w:rsid w:val="00BC6E66"/>
    <w:rsid w:val="00BE502C"/>
    <w:rsid w:val="00C3001E"/>
    <w:rsid w:val="00C42663"/>
    <w:rsid w:val="00C47446"/>
    <w:rsid w:val="00C504D1"/>
    <w:rsid w:val="00C57D46"/>
    <w:rsid w:val="00C64067"/>
    <w:rsid w:val="00C731F0"/>
    <w:rsid w:val="00C74965"/>
    <w:rsid w:val="00C74D96"/>
    <w:rsid w:val="00C8292C"/>
    <w:rsid w:val="00CB47F2"/>
    <w:rsid w:val="00CD18C4"/>
    <w:rsid w:val="00CD650C"/>
    <w:rsid w:val="00CE21BB"/>
    <w:rsid w:val="00CE63A1"/>
    <w:rsid w:val="00CF3A70"/>
    <w:rsid w:val="00CF65BA"/>
    <w:rsid w:val="00D2185F"/>
    <w:rsid w:val="00D22AC3"/>
    <w:rsid w:val="00D23973"/>
    <w:rsid w:val="00D33C1C"/>
    <w:rsid w:val="00D36614"/>
    <w:rsid w:val="00D87A68"/>
    <w:rsid w:val="00D90A0E"/>
    <w:rsid w:val="00DA34A8"/>
    <w:rsid w:val="00DB4E13"/>
    <w:rsid w:val="00DC3BC8"/>
    <w:rsid w:val="00DD3588"/>
    <w:rsid w:val="00DD675C"/>
    <w:rsid w:val="00E02850"/>
    <w:rsid w:val="00E10CC6"/>
    <w:rsid w:val="00E13CA2"/>
    <w:rsid w:val="00E30865"/>
    <w:rsid w:val="00E31F1E"/>
    <w:rsid w:val="00E62FB2"/>
    <w:rsid w:val="00E76F60"/>
    <w:rsid w:val="00EC03B3"/>
    <w:rsid w:val="00EC5C00"/>
    <w:rsid w:val="00ED071C"/>
    <w:rsid w:val="00ED4C62"/>
    <w:rsid w:val="00EF1079"/>
    <w:rsid w:val="00EF3D4E"/>
    <w:rsid w:val="00EF5E47"/>
    <w:rsid w:val="00F05194"/>
    <w:rsid w:val="00F4028E"/>
    <w:rsid w:val="00F75333"/>
    <w:rsid w:val="00F76CDA"/>
    <w:rsid w:val="00F83F25"/>
    <w:rsid w:val="00F8731B"/>
    <w:rsid w:val="00FA5709"/>
    <w:rsid w:val="00FB0E4D"/>
    <w:rsid w:val="00FD6DCF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185A84"/>
  <w15:docId w15:val="{C27E232D-C8A9-46B9-9394-0A05038C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4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65"/>
  </w:style>
  <w:style w:type="paragraph" w:styleId="Footer">
    <w:name w:val="footer"/>
    <w:basedOn w:val="Normal"/>
    <w:link w:val="FooterChar"/>
    <w:uiPriority w:val="99"/>
    <w:unhideWhenUsed/>
    <w:rsid w:val="00C74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65"/>
  </w:style>
  <w:style w:type="character" w:styleId="Hyperlink">
    <w:name w:val="Hyperlink"/>
    <w:basedOn w:val="DefaultParagraphFont"/>
    <w:uiPriority w:val="99"/>
    <w:unhideWhenUsed/>
    <w:rsid w:val="00D33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C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3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9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1C10"/>
    <w:pPr>
      <w:ind w:left="720"/>
      <w:contextualSpacing/>
    </w:pPr>
  </w:style>
  <w:style w:type="paragraph" w:styleId="Revision">
    <w:name w:val="Revision"/>
    <w:hidden/>
    <w:uiPriority w:val="99"/>
    <w:semiHidden/>
    <w:rsid w:val="00425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https://doi.org/10.1016/j.jspr.2006.11.001" TargetMode="External"/><Relationship Id="rId26" Type="http://schemas.openxmlformats.org/officeDocument/2006/relationships/hyperlink" Target="https://doi.org/10.1016/0022-474X(92)90009-F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oi.org/10.1017/S174275840001780X" TargetMode="External"/><Relationship Id="rId34" Type="http://schemas.openxmlformats.org/officeDocument/2006/relationships/image" Target="media/image6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7/S0007485300036099" TargetMode="External"/><Relationship Id="rId20" Type="http://schemas.openxmlformats.org/officeDocument/2006/relationships/hyperlink" Target="https://doi.org/10.24200/jams.vol7iss1pp37-45" TargetMode="External"/><Relationship Id="rId29" Type="http://schemas.openxmlformats.org/officeDocument/2006/relationships/hyperlink" Target="http://www.iiste.org/Journals/index.php/JBAH/article/view/3989/4046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doi.org/10.3923/je.2008.128.132" TargetMode="External"/><Relationship Id="rId32" Type="http://schemas.openxmlformats.org/officeDocument/2006/relationships/chart" Target="charts/chart2.xm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00305316.1977.11745229" TargetMode="External"/><Relationship Id="rId23" Type="http://schemas.openxmlformats.org/officeDocument/2006/relationships/hyperlink" Target="http://www.entomoljournal.com/archives/2020/vol8issue3/PartB/8-3-10-706.pdf" TargetMode="External"/><Relationship Id="rId28" Type="http://schemas.openxmlformats.org/officeDocument/2006/relationships/hyperlink" Target="https://doi.org/10.1016/j.jspr.2003.09.003" TargetMode="External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yperlink" Target="https://doi.org/10.1016/S0022-474X(02)00017-6" TargetMode="Externa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ncbi.nlm.nih.gov/pmc/articles/PMC2990289/" TargetMode="External"/><Relationship Id="rId22" Type="http://schemas.openxmlformats.org/officeDocument/2006/relationships/hyperlink" Target="https://doi.org/10.1080/09670879609371985" TargetMode="External"/><Relationship Id="rId27" Type="http://schemas.openxmlformats.org/officeDocument/2006/relationships/hyperlink" Target="https://doi.org/10.1016/S0022-474X(01)00044-3" TargetMode="External"/><Relationship Id="rId30" Type="http://schemas.openxmlformats.org/officeDocument/2006/relationships/image" Target="media/image4.png"/><Relationship Id="rId35" Type="http://schemas.openxmlformats.org/officeDocument/2006/relationships/image" Target="media/image7.jpeg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hyperlink" Target="https://doi.org/10.1002/ps.1470" TargetMode="External"/><Relationship Id="rId25" Type="http://schemas.openxmlformats.org/officeDocument/2006/relationships/hyperlink" Target="https://doi.org/10.1016/0022-474X(92)90009-F" TargetMode="External"/><Relationship Id="rId33" Type="http://schemas.openxmlformats.org/officeDocument/2006/relationships/image" Target="media/image5.png"/><Relationship Id="rId38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tomology\Desktop\New%20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7493906670261"/>
          <c:y val="0.20957271506622999"/>
          <c:w val="0.77245167641152801"/>
          <c:h val="0.414188481085406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Sheet1!$J$8</c:f>
              <c:strCache>
                <c:ptCount val="1"/>
                <c:pt idx="0">
                  <c:v>Adult emergence (%)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Sheet1!$I$9:$I$17</c:f>
              <c:strCache>
                <c:ptCount val="9"/>
                <c:pt idx="0">
                  <c:v>Sweet flag</c:v>
                </c:pt>
                <c:pt idx="1">
                  <c:v>ABC clay</c:v>
                </c:pt>
                <c:pt idx="2">
                  <c:v>Eucalyptus</c:v>
                </c:pt>
                <c:pt idx="3">
                  <c:v>Vitex nugundo</c:v>
                </c:pt>
                <c:pt idx="4">
                  <c:v>NSKE</c:v>
                </c:pt>
                <c:pt idx="5">
                  <c:v>Datura</c:v>
                </c:pt>
                <c:pt idx="6">
                  <c:v>Lantana</c:v>
                </c:pt>
                <c:pt idx="7">
                  <c:v>Hyptis</c:v>
                </c:pt>
                <c:pt idx="8">
                  <c:v>Control</c:v>
                </c:pt>
              </c:strCache>
            </c:strRef>
          </c:cat>
          <c:val>
            <c:numRef>
              <c:f>Sheet1!$J$9:$J$17</c:f>
              <c:numCache>
                <c:formatCode>General</c:formatCode>
                <c:ptCount val="9"/>
                <c:pt idx="0">
                  <c:v>22.57</c:v>
                </c:pt>
                <c:pt idx="1">
                  <c:v>17.32</c:v>
                </c:pt>
                <c:pt idx="2">
                  <c:v>29.57</c:v>
                </c:pt>
                <c:pt idx="3">
                  <c:v>28.72</c:v>
                </c:pt>
                <c:pt idx="4">
                  <c:v>26.3</c:v>
                </c:pt>
                <c:pt idx="5">
                  <c:v>30.25</c:v>
                </c:pt>
                <c:pt idx="6">
                  <c:v>28.05</c:v>
                </c:pt>
                <c:pt idx="7">
                  <c:v>29</c:v>
                </c:pt>
                <c:pt idx="8">
                  <c:v>33.14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6B-4412-8CD0-ADE04CC0E5E9}"/>
            </c:ext>
          </c:extLst>
        </c:ser>
        <c:ser>
          <c:idx val="1"/>
          <c:order val="1"/>
          <c:tx>
            <c:strRef>
              <c:f>Sheet1!$K$8</c:f>
              <c:strCache>
                <c:ptCount val="1"/>
                <c:pt idx="0">
                  <c:v>Adult Inhibition Rate (%)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Sheet1!$I$9:$I$17</c:f>
              <c:strCache>
                <c:ptCount val="9"/>
                <c:pt idx="0">
                  <c:v>Sweet flag</c:v>
                </c:pt>
                <c:pt idx="1">
                  <c:v>ABC clay</c:v>
                </c:pt>
                <c:pt idx="2">
                  <c:v>Eucalyptus</c:v>
                </c:pt>
                <c:pt idx="3">
                  <c:v>Vitex nugundo</c:v>
                </c:pt>
                <c:pt idx="4">
                  <c:v>NSKE</c:v>
                </c:pt>
                <c:pt idx="5">
                  <c:v>Datura</c:v>
                </c:pt>
                <c:pt idx="6">
                  <c:v>Lantana</c:v>
                </c:pt>
                <c:pt idx="7">
                  <c:v>Hyptis</c:v>
                </c:pt>
                <c:pt idx="8">
                  <c:v>Control</c:v>
                </c:pt>
              </c:strCache>
            </c:strRef>
          </c:cat>
          <c:val>
            <c:numRef>
              <c:f>Sheet1!$K$9:$K$17</c:f>
              <c:numCache>
                <c:formatCode>General</c:formatCode>
                <c:ptCount val="9"/>
                <c:pt idx="0">
                  <c:v>74.260000000000005</c:v>
                </c:pt>
                <c:pt idx="1">
                  <c:v>92.4</c:v>
                </c:pt>
                <c:pt idx="2">
                  <c:v>40.35</c:v>
                </c:pt>
                <c:pt idx="3">
                  <c:v>52.63</c:v>
                </c:pt>
                <c:pt idx="4">
                  <c:v>67.25</c:v>
                </c:pt>
                <c:pt idx="5">
                  <c:v>36.840000000000003</c:v>
                </c:pt>
                <c:pt idx="6">
                  <c:v>59.65</c:v>
                </c:pt>
                <c:pt idx="7">
                  <c:v>49.12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6B-4412-8CD0-ADE04CC0E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180672"/>
        <c:axId val="137182592"/>
      </c:barChart>
      <c:catAx>
        <c:axId val="13718067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2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sz="1200">
                    <a:latin typeface="Times New Roman" panose="02020603050405020304" charset="0"/>
                    <a:cs typeface="Times New Roman" panose="02020603050405020304" charset="0"/>
                  </a:rPr>
                  <a:t>Treatments </a:t>
                </a:r>
              </a:p>
            </c:rich>
          </c:tx>
          <c:layout>
            <c:manualLayout>
              <c:xMode val="edge"/>
              <c:yMode val="edge"/>
              <c:x val="0.43280993227967601"/>
              <c:y val="0.88824263117552804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137182592"/>
        <c:crosses val="autoZero"/>
        <c:auto val="1"/>
        <c:lblAlgn val="ctr"/>
        <c:lblOffset val="100"/>
        <c:noMultiLvlLbl val="0"/>
      </c:catAx>
      <c:valAx>
        <c:axId val="13718259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2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sz="1200">
                    <a:latin typeface="Times New Roman" panose="02020603050405020304" charset="0"/>
                    <a:cs typeface="Times New Roman" panose="02020603050405020304" charset="0"/>
                  </a:rPr>
                  <a:t>Per cent </a:t>
                </a:r>
              </a:p>
            </c:rich>
          </c:tx>
          <c:layout>
            <c:manualLayout>
              <c:xMode val="edge"/>
              <c:yMode val="edge"/>
              <c:x val="7.3888575248848606E-2"/>
              <c:y val="0.3464486706603540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1806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5.5096418732782398E-2"/>
          <c:y val="2.9688556971615699E-2"/>
          <c:w val="0.89141996919806499"/>
          <c:h val="0.1384092323511109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Sheet1!$E$8</c:f>
              <c:strCache>
                <c:ptCount val="1"/>
                <c:pt idx="0">
                  <c:v>Number of eggs laid</c:v>
                </c:pt>
              </c:strCache>
            </c:strRef>
          </c:tx>
          <c:cat>
            <c:strRef>
              <c:f>Sheet1!$D$9:$D$17</c:f>
              <c:strCache>
                <c:ptCount val="9"/>
                <c:pt idx="0">
                  <c:v>Sweet flag</c:v>
                </c:pt>
                <c:pt idx="1">
                  <c:v>ABC clay</c:v>
                </c:pt>
                <c:pt idx="2">
                  <c:v>Eucalyptus</c:v>
                </c:pt>
                <c:pt idx="3">
                  <c:v>Vitex nugundo</c:v>
                </c:pt>
                <c:pt idx="4">
                  <c:v>NSKE</c:v>
                </c:pt>
                <c:pt idx="5">
                  <c:v>Datura</c:v>
                </c:pt>
                <c:pt idx="6">
                  <c:v>Lantana</c:v>
                </c:pt>
                <c:pt idx="7">
                  <c:v>Hyptis</c:v>
                </c:pt>
                <c:pt idx="8">
                  <c:v>Control</c:v>
                </c:pt>
              </c:strCache>
            </c:strRef>
          </c:cat>
          <c:val>
            <c:numRef>
              <c:f>Sheet1!$E$9:$E$17</c:f>
              <c:numCache>
                <c:formatCode>General</c:formatCode>
                <c:ptCount val="9"/>
                <c:pt idx="0">
                  <c:v>65</c:v>
                </c:pt>
                <c:pt idx="1">
                  <c:v>25</c:v>
                </c:pt>
                <c:pt idx="2">
                  <c:v>115</c:v>
                </c:pt>
                <c:pt idx="3">
                  <c:v>94</c:v>
                </c:pt>
                <c:pt idx="4">
                  <c:v>71</c:v>
                </c:pt>
                <c:pt idx="5">
                  <c:v>119</c:v>
                </c:pt>
                <c:pt idx="6">
                  <c:v>82</c:v>
                </c:pt>
                <c:pt idx="7">
                  <c:v>100</c:v>
                </c:pt>
                <c:pt idx="8">
                  <c:v>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53-4A56-B5BF-9F47987FE59B}"/>
            </c:ext>
          </c:extLst>
        </c:ser>
        <c:ser>
          <c:idx val="1"/>
          <c:order val="1"/>
          <c:tx>
            <c:strRef>
              <c:f>Sheet1!$F$8</c:f>
              <c:strCache>
                <c:ptCount val="1"/>
                <c:pt idx="0">
                  <c:v>Numbers of holes</c:v>
                </c:pt>
              </c:strCache>
            </c:strRef>
          </c:tx>
          <c:cat>
            <c:strRef>
              <c:f>Sheet1!$D$9:$D$17</c:f>
              <c:strCache>
                <c:ptCount val="9"/>
                <c:pt idx="0">
                  <c:v>Sweet flag</c:v>
                </c:pt>
                <c:pt idx="1">
                  <c:v>ABC clay</c:v>
                </c:pt>
                <c:pt idx="2">
                  <c:v>Eucalyptus</c:v>
                </c:pt>
                <c:pt idx="3">
                  <c:v>Vitex nugundo</c:v>
                </c:pt>
                <c:pt idx="4">
                  <c:v>NSKE</c:v>
                </c:pt>
                <c:pt idx="5">
                  <c:v>Datura</c:v>
                </c:pt>
                <c:pt idx="6">
                  <c:v>Lantana</c:v>
                </c:pt>
                <c:pt idx="7">
                  <c:v>Hyptis</c:v>
                </c:pt>
                <c:pt idx="8">
                  <c:v>Control</c:v>
                </c:pt>
              </c:strCache>
            </c:strRef>
          </c:cat>
          <c:val>
            <c:numRef>
              <c:f>Sheet1!$F$9:$F$17</c:f>
              <c:numCache>
                <c:formatCode>General</c:formatCode>
                <c:ptCount val="9"/>
                <c:pt idx="0">
                  <c:v>3.33</c:v>
                </c:pt>
                <c:pt idx="1">
                  <c:v>1.33</c:v>
                </c:pt>
                <c:pt idx="2">
                  <c:v>6</c:v>
                </c:pt>
                <c:pt idx="3">
                  <c:v>5</c:v>
                </c:pt>
                <c:pt idx="4">
                  <c:v>3.67</c:v>
                </c:pt>
                <c:pt idx="5">
                  <c:v>7.33</c:v>
                </c:pt>
                <c:pt idx="6">
                  <c:v>4.33</c:v>
                </c:pt>
                <c:pt idx="7">
                  <c:v>6</c:v>
                </c:pt>
                <c:pt idx="8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53-4A56-B5BF-9F47987FE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308928"/>
        <c:axId val="129311488"/>
      </c:lineChart>
      <c:catAx>
        <c:axId val="1293089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Treatments </a:t>
                </a:r>
              </a:p>
            </c:rich>
          </c:tx>
          <c:layout>
            <c:manualLayout>
              <c:xMode val="edge"/>
              <c:yMode val="edge"/>
              <c:x val="0.424589026092274"/>
              <c:y val="0.91531039441970496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311488"/>
        <c:crosses val="autoZero"/>
        <c:auto val="1"/>
        <c:lblAlgn val="ctr"/>
        <c:lblOffset val="100"/>
        <c:noMultiLvlLbl val="0"/>
      </c:catAx>
      <c:valAx>
        <c:axId val="129311488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eggs and holes </a:t>
                </a:r>
              </a:p>
            </c:rich>
          </c:tx>
          <c:layout>
            <c:manualLayout>
              <c:xMode val="edge"/>
              <c:yMode val="edge"/>
              <c:x val="2.735072214586428E-2"/>
              <c:y val="0.3854374990989061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308928"/>
        <c:crosses val="autoZero"/>
        <c:crossBetween val="between"/>
      </c:valAx>
    </c:plotArea>
    <c:legend>
      <c:legendPos val="t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DD9A-751E-4A18-8871-BC5BF878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3602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SDI PC New 16</cp:lastModifiedBy>
  <cp:revision>23</cp:revision>
  <dcterms:created xsi:type="dcterms:W3CDTF">2026-01-06T09:27:00Z</dcterms:created>
  <dcterms:modified xsi:type="dcterms:W3CDTF">2026-01-09T13:31:00Z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f92b339f-842c-4b91-a749-5e4e29f582c5</vt:lpwstr>
  </property>
</Properties>
</file>