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94C49" w14:textId="77777777" w:rsidR="002826AE" w:rsidRDefault="002826AE" w:rsidP="00441B6F">
      <w:pPr>
        <w:pStyle w:val="Title"/>
        <w:spacing w:after="0"/>
        <w:jc w:val="both"/>
        <w:rPr>
          <w:rFonts w:ascii="Arial" w:hAnsi="Arial" w:cs="Arial"/>
        </w:rPr>
      </w:pPr>
    </w:p>
    <w:p w14:paraId="554F1239" w14:textId="4A63A088" w:rsidR="00224852" w:rsidRPr="00EC401A" w:rsidRDefault="00224852" w:rsidP="00224852">
      <w:pPr>
        <w:pStyle w:val="Author"/>
        <w:spacing w:line="240" w:lineRule="auto"/>
        <w:rPr>
          <w:rFonts w:ascii="Arial" w:hAnsi="Arial" w:cs="Arial"/>
          <w:bCs/>
          <w:iCs/>
          <w:kern w:val="28"/>
          <w:sz w:val="36"/>
        </w:rPr>
      </w:pPr>
      <w:r w:rsidRPr="00EC401A">
        <w:rPr>
          <w:rFonts w:ascii="Arial" w:hAnsi="Arial" w:cs="Arial"/>
          <w:bCs/>
          <w:iCs/>
          <w:kern w:val="28"/>
          <w:sz w:val="36"/>
        </w:rPr>
        <w:t xml:space="preserve">Biological and economic impact of </w:t>
      </w:r>
      <w:r w:rsidR="0016025A">
        <w:rPr>
          <w:rFonts w:ascii="Arial" w:hAnsi="Arial" w:cs="Arial"/>
          <w:bCs/>
          <w:iCs/>
          <w:kern w:val="28"/>
          <w:sz w:val="36"/>
        </w:rPr>
        <w:t xml:space="preserve">zero-energy </w:t>
      </w:r>
      <w:r w:rsidRPr="00EC401A">
        <w:rPr>
          <w:rFonts w:ascii="Arial" w:hAnsi="Arial" w:cs="Arial"/>
          <w:bCs/>
          <w:iCs/>
          <w:kern w:val="28"/>
          <w:sz w:val="36"/>
        </w:rPr>
        <w:t xml:space="preserve">composting technology developed for </w:t>
      </w:r>
      <w:r w:rsidRPr="00EC401A">
        <w:rPr>
          <w:rFonts w:ascii="Arial" w:hAnsi="Arial" w:cs="Arial"/>
          <w:bCs/>
          <w:i/>
          <w:iCs/>
          <w:kern w:val="28"/>
          <w:sz w:val="36"/>
        </w:rPr>
        <w:t>Agaricus bisporus</w:t>
      </w:r>
      <w:r w:rsidRPr="00EC401A">
        <w:rPr>
          <w:rFonts w:ascii="Arial" w:hAnsi="Arial" w:cs="Arial"/>
          <w:bCs/>
          <w:iCs/>
          <w:kern w:val="28"/>
          <w:sz w:val="36"/>
        </w:rPr>
        <w:t>: a case study of Northern India mushroom growers</w:t>
      </w:r>
    </w:p>
    <w:p w14:paraId="557AF6C0" w14:textId="77777777" w:rsidR="00224852" w:rsidRPr="00790ADA" w:rsidRDefault="00224852" w:rsidP="00224852">
      <w:pPr>
        <w:pStyle w:val="Author"/>
        <w:spacing w:line="240" w:lineRule="auto"/>
        <w:jc w:val="both"/>
        <w:rPr>
          <w:rFonts w:ascii="Arial" w:hAnsi="Arial" w:cs="Arial"/>
          <w:sz w:val="36"/>
        </w:rPr>
      </w:pPr>
    </w:p>
    <w:p w14:paraId="718FA68D" w14:textId="24768809" w:rsidR="002C57D2" w:rsidRDefault="002C57D2" w:rsidP="00441B6F">
      <w:pPr>
        <w:pStyle w:val="Affiliation"/>
        <w:spacing w:after="0" w:line="240" w:lineRule="auto"/>
        <w:jc w:val="both"/>
        <w:rPr>
          <w:rFonts w:ascii="Arial" w:hAnsi="Arial" w:cs="Arial"/>
        </w:rPr>
      </w:pPr>
    </w:p>
    <w:p w14:paraId="724D7DF5" w14:textId="77777777" w:rsidR="00191797" w:rsidRPr="00FB3A86" w:rsidRDefault="00191797" w:rsidP="00441B6F">
      <w:pPr>
        <w:pStyle w:val="Affiliation"/>
        <w:spacing w:after="0" w:line="240" w:lineRule="auto"/>
        <w:jc w:val="both"/>
        <w:rPr>
          <w:rFonts w:ascii="Arial" w:hAnsi="Arial" w:cs="Arial"/>
        </w:rPr>
      </w:pPr>
    </w:p>
    <w:p w14:paraId="2EF56649" w14:textId="77777777" w:rsidR="00B01FCD" w:rsidRPr="00FB3A86" w:rsidRDefault="00262C90" w:rsidP="00441B6F">
      <w:pPr>
        <w:pStyle w:val="Copyright"/>
        <w:spacing w:after="0" w:line="240" w:lineRule="auto"/>
        <w:jc w:val="both"/>
        <w:rPr>
          <w:rFonts w:ascii="Arial" w:hAnsi="Arial" w:cs="Arial"/>
        </w:rPr>
        <w:sectPr w:rsidR="00B01FCD" w:rsidRPr="00FB3A86" w:rsidSect="00F952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7180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761CA20" w14:textId="77777777" w:rsidR="00B01FCD" w:rsidRDefault="00B01FCD" w:rsidP="006A28F8">
      <w:pPr>
        <w:pStyle w:val="AbstHead"/>
        <w:tabs>
          <w:tab w:val="left" w:pos="7294"/>
        </w:tabs>
        <w:spacing w:after="0"/>
        <w:jc w:val="both"/>
        <w:rPr>
          <w:rFonts w:ascii="Arial" w:hAnsi="Arial" w:cs="Arial"/>
        </w:rPr>
      </w:pPr>
      <w:r w:rsidRPr="00FB3A86">
        <w:rPr>
          <w:rFonts w:ascii="Arial" w:hAnsi="Arial" w:cs="Arial"/>
        </w:rPr>
        <w:t>ABSTRACT</w:t>
      </w:r>
      <w:r w:rsidR="006A28F8">
        <w:rPr>
          <w:rFonts w:ascii="Arial" w:hAnsi="Arial" w:cs="Arial"/>
        </w:rPr>
        <w:t xml:space="preserve"> </w:t>
      </w:r>
    </w:p>
    <w:p w14:paraId="1D93EB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7738E5" w14:textId="77777777" w:rsidTr="001E44FE">
        <w:tc>
          <w:tcPr>
            <w:tcW w:w="9576" w:type="dxa"/>
            <w:shd w:val="clear" w:color="auto" w:fill="F2F2F2"/>
          </w:tcPr>
          <w:p w14:paraId="195F6375" w14:textId="5863F44B" w:rsidR="00505F06" w:rsidRPr="00D25FD0" w:rsidRDefault="006A28F8" w:rsidP="00CA3F52">
            <w:pPr>
              <w:pStyle w:val="Body"/>
              <w:spacing w:after="0"/>
              <w:rPr>
                <w:rFonts w:ascii="Arial" w:eastAsia="Calibri" w:hAnsi="Arial" w:cs="Arial"/>
                <w:b/>
                <w:bCs/>
                <w:szCs w:val="22"/>
              </w:rPr>
            </w:pPr>
            <w:r w:rsidRPr="00CD501F">
              <w:rPr>
                <w:rFonts w:ascii="Arial" w:eastAsia="Calibri" w:hAnsi="Arial" w:cs="Arial"/>
                <w:szCs w:val="22"/>
              </w:rPr>
              <w:t>The study aims to evaluate the impact of the Zero Energy Poly Tunnel (ZEPT) composting technology for button mushroom cultivation and to identify the socio-economic factors influencing its adoption among mushroom growers in India</w:t>
            </w:r>
            <w:r w:rsidR="00D25FD0">
              <w:rPr>
                <w:rFonts w:ascii="Arial" w:eastAsia="Calibri" w:hAnsi="Arial" w:cs="Arial"/>
                <w:szCs w:val="22"/>
              </w:rPr>
              <w:t xml:space="preserve">. </w:t>
            </w:r>
            <w:r w:rsidR="00CA3F52">
              <w:rPr>
                <w:rFonts w:ascii="Arial" w:eastAsia="Calibri" w:hAnsi="Arial" w:cs="Arial"/>
                <w:szCs w:val="22"/>
              </w:rPr>
              <w:t>It</w:t>
            </w:r>
            <w:r w:rsidRPr="00CD501F">
              <w:rPr>
                <w:rFonts w:ascii="Arial" w:eastAsia="Calibri" w:hAnsi="Arial" w:cs="Arial"/>
                <w:szCs w:val="22"/>
              </w:rPr>
              <w:t xml:space="preserve"> was conducted in Bihar and Haryana</w:t>
            </w:r>
            <w:r w:rsidR="00CA3F52">
              <w:rPr>
                <w:rFonts w:ascii="Arial" w:eastAsia="Calibri" w:hAnsi="Arial" w:cs="Arial"/>
                <w:szCs w:val="22"/>
              </w:rPr>
              <w:t xml:space="preserve"> </w:t>
            </w:r>
            <w:r w:rsidRPr="00CD501F">
              <w:rPr>
                <w:rFonts w:ascii="Arial" w:eastAsia="Calibri" w:hAnsi="Arial" w:cs="Arial"/>
                <w:szCs w:val="22"/>
              </w:rPr>
              <w:t>among button mushroom growers, covering one complete production cycle from September to March.</w:t>
            </w:r>
            <w:r w:rsidR="00D25FD0">
              <w:rPr>
                <w:rFonts w:ascii="Arial" w:eastAsia="Calibri" w:hAnsi="Arial" w:cs="Arial"/>
                <w:b/>
                <w:bCs/>
                <w:szCs w:val="22"/>
              </w:rPr>
              <w:t xml:space="preserve"> </w:t>
            </w:r>
            <w:r w:rsidRPr="00CD501F">
              <w:rPr>
                <w:rFonts w:ascii="Arial" w:eastAsia="Calibri" w:hAnsi="Arial" w:cs="Arial"/>
                <w:szCs w:val="22"/>
              </w:rPr>
              <w:t>Primary data were collected from 40 mushroom growers, comprising 20 ZEPT adopters and 20 non-adopters following the conventional long composting method. Detailed information on compost preparation costs, biological efficiency (BE), compost conversion rate, and socio-economic characteristics was collected using structured schedules. The impact of ZEPT adoption was assessed using two-sample t-tests assuming unequal variances. Determinants of technology adoption were analyzed using a Linear Probability Model with adoption status as a binary dependent variable.</w:t>
            </w:r>
            <w:r w:rsidR="00D25FD0">
              <w:rPr>
                <w:rFonts w:ascii="Arial" w:eastAsia="Calibri" w:hAnsi="Arial" w:cs="Arial"/>
                <w:b/>
                <w:bCs/>
                <w:szCs w:val="22"/>
              </w:rPr>
              <w:t xml:space="preserve"> </w:t>
            </w:r>
            <w:r w:rsidRPr="00CD501F">
              <w:rPr>
                <w:rFonts w:ascii="Arial" w:eastAsia="Calibri" w:hAnsi="Arial" w:cs="Arial"/>
                <w:szCs w:val="22"/>
              </w:rPr>
              <w:t>ZEPT adopters achieved significantly higher biological efficiency (19.69%) compared to non-adopters (17.04%) and a higher compost con</w:t>
            </w:r>
            <w:r>
              <w:rPr>
                <w:rFonts w:ascii="Arial" w:eastAsia="Calibri" w:hAnsi="Arial" w:cs="Arial"/>
                <w:szCs w:val="22"/>
              </w:rPr>
              <w:t>version rate (2.50 vs. 2.01)</w:t>
            </w:r>
            <w:r w:rsidRPr="00CD501F">
              <w:rPr>
                <w:rFonts w:ascii="Arial" w:eastAsia="Calibri" w:hAnsi="Arial" w:cs="Arial"/>
                <w:szCs w:val="22"/>
              </w:rPr>
              <w:t>. The average variable cost of compost preparation was significantly lower for ZEPT adopters (₹</w:t>
            </w:r>
            <w:r w:rsidR="00CA3F52">
              <w:rPr>
                <w:rFonts w:ascii="Arial" w:eastAsia="Calibri" w:hAnsi="Arial" w:cs="Arial"/>
                <w:szCs w:val="22"/>
              </w:rPr>
              <w:t>5.97</w:t>
            </w:r>
            <w:r w:rsidRPr="00CD501F">
              <w:rPr>
                <w:rFonts w:ascii="Arial" w:eastAsia="Calibri" w:hAnsi="Arial" w:cs="Arial"/>
                <w:szCs w:val="22"/>
              </w:rPr>
              <w:t xml:space="preserve"> per kg) than for </w:t>
            </w:r>
            <w:r>
              <w:rPr>
                <w:rFonts w:ascii="Arial" w:eastAsia="Calibri" w:hAnsi="Arial" w:cs="Arial"/>
                <w:szCs w:val="22"/>
              </w:rPr>
              <w:t>non-adopters (₹8.20 per kg)</w:t>
            </w:r>
            <w:r w:rsidRPr="00CD501F">
              <w:rPr>
                <w:rFonts w:ascii="Arial" w:eastAsia="Calibri" w:hAnsi="Arial" w:cs="Arial"/>
                <w:szCs w:val="22"/>
              </w:rPr>
              <w:t>. Regression results showed that female growers were 0.27 time</w:t>
            </w:r>
            <w:r>
              <w:rPr>
                <w:rFonts w:ascii="Arial" w:eastAsia="Calibri" w:hAnsi="Arial" w:cs="Arial"/>
                <w:szCs w:val="22"/>
              </w:rPr>
              <w:t>s more likely to adopt ZEPT than male growers (P = 0.05). Education (β = 0.054, P</w:t>
            </w:r>
            <w:r w:rsidRPr="00CD501F">
              <w:rPr>
                <w:rFonts w:ascii="Arial" w:eastAsia="Calibri" w:hAnsi="Arial" w:cs="Arial"/>
                <w:szCs w:val="22"/>
              </w:rPr>
              <w:t xml:space="preserve"> &lt; 0.01), reliance on mushroom farming as the main occupation (β = 0</w:t>
            </w:r>
            <w:r>
              <w:rPr>
                <w:rFonts w:ascii="Arial" w:eastAsia="Calibri" w:hAnsi="Arial" w:cs="Arial"/>
                <w:szCs w:val="22"/>
              </w:rPr>
              <w:t>.344, P =</w:t>
            </w:r>
            <w:r w:rsidRPr="00CD501F">
              <w:rPr>
                <w:rFonts w:ascii="Arial" w:eastAsia="Calibri" w:hAnsi="Arial" w:cs="Arial"/>
                <w:szCs w:val="22"/>
              </w:rPr>
              <w:t xml:space="preserve"> 0.05), and prior training in mush</w:t>
            </w:r>
            <w:r>
              <w:rPr>
                <w:rFonts w:ascii="Arial" w:eastAsia="Calibri" w:hAnsi="Arial" w:cs="Arial"/>
                <w:szCs w:val="22"/>
              </w:rPr>
              <w:t>room cultivation (β = 0.278, P =</w:t>
            </w:r>
            <w:r w:rsidRPr="00CD501F">
              <w:rPr>
                <w:rFonts w:ascii="Arial" w:eastAsia="Calibri" w:hAnsi="Arial" w:cs="Arial"/>
                <w:szCs w:val="22"/>
              </w:rPr>
              <w:t xml:space="preserve"> 0.05) significantly increased the probability of adoption.</w:t>
            </w:r>
            <w:r w:rsidR="00D25FD0">
              <w:rPr>
                <w:rFonts w:ascii="Arial" w:eastAsia="Calibri" w:hAnsi="Arial" w:cs="Arial"/>
                <w:b/>
                <w:bCs/>
                <w:szCs w:val="22"/>
              </w:rPr>
              <w:t xml:space="preserve"> </w:t>
            </w:r>
          </w:p>
        </w:tc>
      </w:tr>
    </w:tbl>
    <w:p w14:paraId="27CEAEA4" w14:textId="77777777" w:rsidR="00636EB2" w:rsidRDefault="00636EB2" w:rsidP="00441B6F">
      <w:pPr>
        <w:pStyle w:val="Body"/>
        <w:spacing w:after="0"/>
        <w:rPr>
          <w:rFonts w:ascii="Arial" w:hAnsi="Arial" w:cs="Arial"/>
          <w:i/>
        </w:rPr>
      </w:pPr>
    </w:p>
    <w:p w14:paraId="3F0E9063" w14:textId="1495A012" w:rsidR="00A24E7E" w:rsidRDefault="00E724E8" w:rsidP="00441B6F">
      <w:pPr>
        <w:pStyle w:val="Body"/>
        <w:spacing w:after="0"/>
        <w:rPr>
          <w:rFonts w:ascii="Arial" w:hAnsi="Arial" w:cs="Arial"/>
          <w:i/>
        </w:rPr>
      </w:pPr>
      <w:r>
        <w:rPr>
          <w:rFonts w:ascii="Arial" w:hAnsi="Arial" w:cs="Arial"/>
          <w:i/>
        </w:rPr>
        <w:t>Keywords:</w:t>
      </w:r>
      <w:r w:rsidRPr="00E724E8">
        <w:t xml:space="preserve"> </w:t>
      </w:r>
      <w:r w:rsidRPr="00E724E8">
        <w:rPr>
          <w:rFonts w:ascii="Arial" w:hAnsi="Arial" w:cs="Arial"/>
          <w:i/>
        </w:rPr>
        <w:t>impact, ZEPT</w:t>
      </w:r>
      <w:r w:rsidR="00EB437A">
        <w:rPr>
          <w:rFonts w:ascii="Arial" w:hAnsi="Arial" w:cs="Arial"/>
          <w:i/>
        </w:rPr>
        <w:t xml:space="preserve"> composting</w:t>
      </w:r>
      <w:r w:rsidRPr="00E724E8">
        <w:rPr>
          <w:rFonts w:ascii="Arial" w:hAnsi="Arial" w:cs="Arial"/>
          <w:i/>
        </w:rPr>
        <w:t xml:space="preserve">, button mushroom, </w:t>
      </w:r>
      <w:r w:rsidR="001A0FD9">
        <w:rPr>
          <w:rFonts w:ascii="Arial" w:hAnsi="Arial" w:cs="Arial"/>
          <w:i/>
        </w:rPr>
        <w:t xml:space="preserve">Linear Probability Model, </w:t>
      </w:r>
      <w:r w:rsidRPr="00E724E8">
        <w:rPr>
          <w:rFonts w:ascii="Arial" w:hAnsi="Arial" w:cs="Arial"/>
          <w:i/>
        </w:rPr>
        <w:t>determinants, constraints, technology adoption</w:t>
      </w:r>
    </w:p>
    <w:p w14:paraId="2CC5F265" w14:textId="77777777" w:rsidR="00BE7BAF" w:rsidRDefault="00BE7BAF" w:rsidP="008B57C9">
      <w:pPr>
        <w:pStyle w:val="AbstHead"/>
        <w:spacing w:after="0"/>
        <w:jc w:val="both"/>
        <w:rPr>
          <w:rFonts w:ascii="Arial" w:hAnsi="Arial" w:cs="Arial"/>
        </w:rPr>
      </w:pPr>
    </w:p>
    <w:p w14:paraId="40F0CAA8" w14:textId="77777777" w:rsidR="00790ADA" w:rsidRPr="00FB3A86" w:rsidRDefault="00902823" w:rsidP="008B57C9">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BE7BAF">
        <w:rPr>
          <w:rFonts w:ascii="Arial" w:hAnsi="Arial" w:cs="Arial"/>
        </w:rPr>
        <w:t xml:space="preserve"> </w:t>
      </w:r>
    </w:p>
    <w:p w14:paraId="709B712F" w14:textId="0BEB642E" w:rsidR="00406C1D" w:rsidRPr="00406C1D" w:rsidRDefault="00406C1D" w:rsidP="00923B01">
      <w:pPr>
        <w:pStyle w:val="Body"/>
        <w:rPr>
          <w:rFonts w:ascii="Arial" w:hAnsi="Arial" w:cs="Arial"/>
        </w:rPr>
      </w:pPr>
      <w:r w:rsidRPr="00406C1D">
        <w:rPr>
          <w:rFonts w:ascii="Arial" w:hAnsi="Arial" w:cs="Arial"/>
        </w:rPr>
        <w:t>Despite a significant decrease in its contribution to Gross Value Added (</w:t>
      </w:r>
      <w:r w:rsidR="00E90363">
        <w:rPr>
          <w:rFonts w:ascii="Arial" w:hAnsi="Arial" w:cs="Arial"/>
        </w:rPr>
        <w:t>GVA) from 29% in 1990-91 to 17</w:t>
      </w:r>
      <w:r w:rsidR="00323052">
        <w:rPr>
          <w:rFonts w:ascii="Arial" w:hAnsi="Arial" w:cs="Arial"/>
        </w:rPr>
        <w:t>.7</w:t>
      </w:r>
      <w:r w:rsidR="00E90363">
        <w:rPr>
          <w:rFonts w:ascii="Arial" w:hAnsi="Arial" w:cs="Arial"/>
        </w:rPr>
        <w:t>% in 202</w:t>
      </w:r>
      <w:r w:rsidR="00323052">
        <w:rPr>
          <w:rFonts w:ascii="Arial" w:hAnsi="Arial" w:cs="Arial"/>
        </w:rPr>
        <w:t>3-24</w:t>
      </w:r>
      <w:r w:rsidRPr="00406C1D">
        <w:rPr>
          <w:rFonts w:ascii="Arial" w:hAnsi="Arial" w:cs="Arial"/>
        </w:rPr>
        <w:t>, agriculture remains a vital livelihood for India, receiving considerable attention from policymakers</w:t>
      </w:r>
      <w:r w:rsidR="00323052">
        <w:rPr>
          <w:rFonts w:ascii="Arial" w:hAnsi="Arial" w:cs="Arial"/>
        </w:rPr>
        <w:t xml:space="preserve"> (GoI, 2025)</w:t>
      </w:r>
      <w:r w:rsidRPr="00406C1D">
        <w:rPr>
          <w:rFonts w:ascii="Arial" w:hAnsi="Arial" w:cs="Arial"/>
        </w:rPr>
        <w:t>. Approximately 54% of rural residents rely on farming and related activities for their sustenance</w:t>
      </w:r>
      <w:r w:rsidR="007250EC">
        <w:rPr>
          <w:rFonts w:ascii="Arial" w:hAnsi="Arial" w:cs="Arial"/>
        </w:rPr>
        <w:t xml:space="preserve"> (GoI, 2025)</w:t>
      </w:r>
      <w:r w:rsidRPr="00406C1D">
        <w:rPr>
          <w:rFonts w:ascii="Arial" w:hAnsi="Arial" w:cs="Arial"/>
        </w:rPr>
        <w:t xml:space="preserve">. However, agricultural livelihood options are diminishing due to factors such as reliance on traditional methods, vulnerability to weather and fragmented land holdings. Moreover, inadequate investment and technology development further constrain the performance of Indian agriculture. The country's net sown area has stabilized at approximately 139 million hectares with little </w:t>
      </w:r>
      <w:r w:rsidR="00025A52">
        <w:rPr>
          <w:rFonts w:ascii="Arial" w:hAnsi="Arial" w:cs="Arial"/>
        </w:rPr>
        <w:t>scope</w:t>
      </w:r>
      <w:r w:rsidR="00025A52" w:rsidRPr="00406C1D">
        <w:rPr>
          <w:rFonts w:ascii="Arial" w:hAnsi="Arial" w:cs="Arial"/>
        </w:rPr>
        <w:t xml:space="preserve"> </w:t>
      </w:r>
      <w:r w:rsidRPr="00406C1D">
        <w:rPr>
          <w:rFonts w:ascii="Arial" w:hAnsi="Arial" w:cs="Arial"/>
        </w:rPr>
        <w:t>for further expansion</w:t>
      </w:r>
      <w:r w:rsidR="00207348">
        <w:rPr>
          <w:rFonts w:ascii="Arial" w:hAnsi="Arial" w:cs="Arial"/>
        </w:rPr>
        <w:t xml:space="preserve"> (GoI, 2020)</w:t>
      </w:r>
      <w:r w:rsidRPr="00406C1D">
        <w:rPr>
          <w:rFonts w:ascii="Arial" w:hAnsi="Arial" w:cs="Arial"/>
        </w:rPr>
        <w:t>. Landholding sizes are small, averaging 1.08 hectares and declining, with around 85% of farm households operating on two hectares of land or less, averaging 0.50 hectares</w:t>
      </w:r>
      <w:r w:rsidR="000C1BFA">
        <w:rPr>
          <w:rFonts w:ascii="Arial" w:hAnsi="Arial" w:cs="Arial"/>
        </w:rPr>
        <w:t xml:space="preserve"> (GoI, 2020)</w:t>
      </w:r>
      <w:r w:rsidRPr="00406C1D">
        <w:rPr>
          <w:rFonts w:ascii="Arial" w:hAnsi="Arial" w:cs="Arial"/>
        </w:rPr>
        <w:t xml:space="preserve">. These farmers, typically engaged in low-wage activities, are resource-poor. It is important to diversify the income source with allied </w:t>
      </w:r>
      <w:r w:rsidRPr="00406C1D">
        <w:rPr>
          <w:rFonts w:ascii="Arial" w:hAnsi="Arial" w:cs="Arial"/>
        </w:rPr>
        <w:lastRenderedPageBreak/>
        <w:t xml:space="preserve">activities like mushroom farming. To address this, it's crucial to educate farmers on diversifying their livelihood sources and adopting advanced agricultural technologies. This would enhance efficiency, reduce costs, and increase earnings. </w:t>
      </w:r>
    </w:p>
    <w:p w14:paraId="16521655" w14:textId="77777777" w:rsidR="00406C1D" w:rsidRPr="00406C1D" w:rsidRDefault="00406C1D" w:rsidP="00923B01">
      <w:pPr>
        <w:pStyle w:val="Body"/>
        <w:rPr>
          <w:rFonts w:ascii="Arial" w:hAnsi="Arial" w:cs="Arial"/>
          <w:b/>
          <w:bCs/>
        </w:rPr>
      </w:pPr>
      <w:r w:rsidRPr="00406C1D">
        <w:rPr>
          <w:rFonts w:ascii="Arial" w:hAnsi="Arial" w:cs="Arial"/>
        </w:rPr>
        <w:t xml:space="preserve">Technological advancements have significantly boosted agricultural productivity. Mechanization has reduced the need for manual labor, while the development of high-yielding crop varieties resistant to pests and diseases has further increased productivity. Judicious resource use under scarcity and the need to validate their use necessitates the impact assessment of agricultural research. The economic impact assesses the value of the scientific technologies to the society and draw conclusions about the use of scarce resources for research and technology development (Alston et al. 1995). It helps in justifying the monetary and other investments in agricultural research. The </w:t>
      </w:r>
      <w:r w:rsidR="00E90363">
        <w:rPr>
          <w:rFonts w:ascii="Arial" w:hAnsi="Arial" w:cs="Arial"/>
        </w:rPr>
        <w:t>global mushroom production is 50</w:t>
      </w:r>
      <w:r w:rsidRPr="00406C1D">
        <w:rPr>
          <w:rFonts w:ascii="Arial" w:hAnsi="Arial" w:cs="Arial"/>
        </w:rPr>
        <w:t xml:space="preserve"> million tons (MT) in which India is at third position with 0.3 </w:t>
      </w:r>
      <w:r w:rsidR="00E90363">
        <w:rPr>
          <w:rFonts w:ascii="Arial" w:hAnsi="Arial" w:cs="Arial"/>
        </w:rPr>
        <w:t>MT (3.98</w:t>
      </w:r>
      <w:r w:rsidRPr="00406C1D">
        <w:rPr>
          <w:rFonts w:ascii="Arial" w:hAnsi="Arial" w:cs="Arial"/>
        </w:rPr>
        <w:t xml:space="preserve"> lakh tons) production. Mushroom is considered as next-gen health food. It is one of the most promising and viable commodities of Indian agriculture sector and nutritional security owing to their properties like short duration, healthy compounds, commercial enterprise, functional food etc. It has high protein (35-40%), carbohydrates (40-60%), vitamin B complex, vitamin C, and </w:t>
      </w:r>
      <w:proofErr w:type="spellStart"/>
      <w:r w:rsidRPr="00406C1D">
        <w:rPr>
          <w:rFonts w:ascii="Arial" w:hAnsi="Arial" w:cs="Arial"/>
        </w:rPr>
        <w:t>fibre</w:t>
      </w:r>
      <w:proofErr w:type="spellEnd"/>
      <w:r w:rsidRPr="00406C1D">
        <w:rPr>
          <w:rFonts w:ascii="Arial" w:hAnsi="Arial" w:cs="Arial"/>
        </w:rPr>
        <w:t xml:space="preserve"> (8-10%). Mushrooms are sole source of vitamin D</w:t>
      </w:r>
      <w:r w:rsidRPr="00406C1D">
        <w:rPr>
          <w:rFonts w:ascii="Arial" w:hAnsi="Arial" w:cs="Arial"/>
          <w:vertAlign w:val="subscript"/>
        </w:rPr>
        <w:t>2</w:t>
      </w:r>
      <w:r w:rsidRPr="00406C1D">
        <w:rPr>
          <w:rFonts w:ascii="Arial" w:hAnsi="Arial" w:cs="Arial"/>
        </w:rPr>
        <w:t xml:space="preserve"> for vegans. Mushrooms have very low fat (&lt;1%) which are considered heart-healthy fats (Pérez-Palacios </w:t>
      </w:r>
      <w:r w:rsidRPr="00406C1D">
        <w:rPr>
          <w:rFonts w:ascii="Arial" w:hAnsi="Arial" w:cs="Arial"/>
          <w:i/>
          <w:iCs/>
        </w:rPr>
        <w:t>et al</w:t>
      </w:r>
      <w:r w:rsidRPr="00406C1D">
        <w:rPr>
          <w:rFonts w:ascii="Arial" w:hAnsi="Arial" w:cs="Arial"/>
        </w:rPr>
        <w:t>., 2019</w:t>
      </w:r>
      <w:r w:rsidR="00311F58">
        <w:rPr>
          <w:rFonts w:ascii="Arial" w:hAnsi="Arial" w:cs="Arial"/>
        </w:rPr>
        <w:t>; Wasser, 2017</w:t>
      </w:r>
      <w:r w:rsidRPr="00406C1D">
        <w:rPr>
          <w:rFonts w:ascii="Arial" w:hAnsi="Arial" w:cs="Arial"/>
        </w:rPr>
        <w:t>). Mushrooms have no cholesterol, low glycemic index and calorific value making them suitable for diabetic and obese people. Recently, the consumption pattern is shifting from traditional foods to functional foods which align with the SDG2 of improving nutrition.</w:t>
      </w:r>
    </w:p>
    <w:p w14:paraId="662F70E6" w14:textId="77777777" w:rsidR="00406C1D" w:rsidRPr="00406C1D" w:rsidRDefault="00406C1D" w:rsidP="00406C1D">
      <w:pPr>
        <w:pStyle w:val="Body"/>
        <w:rPr>
          <w:rFonts w:ascii="Arial" w:hAnsi="Arial" w:cs="Arial"/>
        </w:rPr>
      </w:pPr>
      <w:r w:rsidRPr="00406C1D">
        <w:rPr>
          <w:rFonts w:ascii="Arial" w:hAnsi="Arial" w:cs="Arial"/>
        </w:rPr>
        <w:t>Adopting modern agricultural technology is widely recognized as a promising strategy to increase farmer incomes by cutting costs and enhancing agricultural productivity. However, various factors such as lack of awareness, limited access to credit, inherent risk, and insufficient proficiency hinder the adoption process, particularly in developing nations. While significant literature on the adoption of improved crop varieties, agricultural inputs, and management practices exists, research on the adoption of technology related to mushroom composting is negligible or non-existent in India. India currently produces 0.3</w:t>
      </w:r>
      <w:r w:rsidR="00923B01">
        <w:rPr>
          <w:rFonts w:ascii="Arial" w:hAnsi="Arial" w:cs="Arial"/>
        </w:rPr>
        <w:t>9</w:t>
      </w:r>
      <w:r w:rsidRPr="00406C1D">
        <w:rPr>
          <w:rFonts w:ascii="Arial" w:hAnsi="Arial" w:cs="Arial"/>
        </w:rPr>
        <w:t xml:space="preserve"> million tonnes of mushrooms and the production has been growing at a Compound Annual Growth Rate (CAGR) of 8% over the last decade. Species-wise, Button mushroom has the most share (73%) followed by oyster and paddy straw mushrooms (12% each)</w:t>
      </w:r>
      <w:r w:rsidR="00CA55AB">
        <w:rPr>
          <w:rFonts w:ascii="Arial" w:hAnsi="Arial" w:cs="Arial"/>
        </w:rPr>
        <w:t xml:space="preserve"> (Bijla and Sharma, 2023)</w:t>
      </w:r>
      <w:r w:rsidRPr="00406C1D">
        <w:rPr>
          <w:rFonts w:ascii="Arial" w:hAnsi="Arial" w:cs="Arial"/>
        </w:rPr>
        <w:t xml:space="preserve">. </w:t>
      </w:r>
    </w:p>
    <w:p w14:paraId="450B2655" w14:textId="77777777" w:rsidR="00406C1D" w:rsidRPr="00406C1D" w:rsidRDefault="00406C1D" w:rsidP="00406C1D">
      <w:pPr>
        <w:pStyle w:val="Body"/>
        <w:rPr>
          <w:rFonts w:ascii="Arial" w:hAnsi="Arial" w:cs="Arial"/>
        </w:rPr>
      </w:pPr>
      <w:r w:rsidRPr="00406C1D">
        <w:rPr>
          <w:rFonts w:ascii="Arial" w:hAnsi="Arial" w:cs="Arial"/>
        </w:rPr>
        <w:t>The paper mainly addresses the impact of the adoption of improved button mushroom composting technology (Zero Energy Poly Tunnel), the factors determining the adoption and the constraints faced by the button mushroom farmers in adoption. There are four key steps in the cultivation of White button mushroom: composting, conditioning, spawning, and casing (</w:t>
      </w:r>
      <w:proofErr w:type="spellStart"/>
      <w:r w:rsidRPr="00406C1D">
        <w:rPr>
          <w:rFonts w:ascii="Arial" w:hAnsi="Arial" w:cs="Arial"/>
        </w:rPr>
        <w:t>Kariaga</w:t>
      </w:r>
      <w:proofErr w:type="spellEnd"/>
      <w:r w:rsidRPr="00406C1D">
        <w:rPr>
          <w:rFonts w:ascii="Arial" w:hAnsi="Arial" w:cs="Arial"/>
        </w:rPr>
        <w:t xml:space="preserve"> et al., 2012). Compost serves as the growth medium for mushrooms by creating an environment conducive to mushroom growth (</w:t>
      </w:r>
      <w:proofErr w:type="spellStart"/>
      <w:r w:rsidRPr="00406C1D">
        <w:rPr>
          <w:rFonts w:ascii="Arial" w:hAnsi="Arial" w:cs="Arial"/>
        </w:rPr>
        <w:t>Femor</w:t>
      </w:r>
      <w:proofErr w:type="spellEnd"/>
      <w:r w:rsidRPr="00406C1D">
        <w:rPr>
          <w:rFonts w:ascii="Arial" w:hAnsi="Arial" w:cs="Arial"/>
        </w:rPr>
        <w:t xml:space="preserve"> et al., 1985). Composting for button mushroom production relies on a solid-state fermentation process driven by a succession of thermophilic microbes and substrate self-heating (Van Lier et al., 1994).</w:t>
      </w:r>
    </w:p>
    <w:p w14:paraId="57CA719B" w14:textId="606EDE8C" w:rsidR="00406C1D" w:rsidRDefault="00406C1D" w:rsidP="00406C1D">
      <w:pPr>
        <w:pStyle w:val="Body"/>
        <w:spacing w:after="0"/>
        <w:rPr>
          <w:rFonts w:ascii="Arial" w:hAnsi="Arial" w:cs="Arial"/>
        </w:rPr>
      </w:pPr>
      <w:r w:rsidRPr="00406C1D">
        <w:rPr>
          <w:rFonts w:ascii="Arial" w:hAnsi="Arial" w:cs="Arial"/>
        </w:rPr>
        <w:t xml:space="preserve">In the seasonal cultivation of button mushroom, the traditional composting method </w:t>
      </w:r>
      <w:r w:rsidRPr="00406C1D">
        <w:rPr>
          <w:rFonts w:ascii="Arial" w:hAnsi="Arial" w:cs="Arial"/>
          <w:i/>
          <w:iCs/>
        </w:rPr>
        <w:t xml:space="preserve">i.e. </w:t>
      </w:r>
      <w:r w:rsidRPr="00406C1D">
        <w:rPr>
          <w:rFonts w:ascii="Arial" w:hAnsi="Arial" w:cs="Arial"/>
        </w:rPr>
        <w:t xml:space="preserve">long method is commonly used for compost preparation (Pathak et al., 2013). This method involves multiple turnings over four to six weeks to create aerobic conditions (Suman and Sharma, 2007), but it poses issues like difficulty in temperature control and huge labor requirements (Hernandez et al., 2003). </w:t>
      </w:r>
      <w:proofErr w:type="spellStart"/>
      <w:r w:rsidRPr="00406C1D">
        <w:rPr>
          <w:rFonts w:ascii="Arial" w:hAnsi="Arial" w:cs="Arial"/>
        </w:rPr>
        <w:t>Wakchaure</w:t>
      </w:r>
      <w:proofErr w:type="spellEnd"/>
      <w:r w:rsidRPr="00406C1D">
        <w:rPr>
          <w:rFonts w:ascii="Arial" w:hAnsi="Arial" w:cs="Arial"/>
        </w:rPr>
        <w:t xml:space="preserve"> </w:t>
      </w:r>
      <w:r w:rsidR="008F243F">
        <w:rPr>
          <w:rFonts w:ascii="Arial" w:hAnsi="Arial" w:cs="Arial"/>
        </w:rPr>
        <w:t>and</w:t>
      </w:r>
      <w:r w:rsidRPr="00406C1D">
        <w:rPr>
          <w:rFonts w:ascii="Arial" w:hAnsi="Arial" w:cs="Arial"/>
        </w:rPr>
        <w:t xml:space="preserve"> Singh (2013) introduced Zero Energy Poly tunnel (ZEPT) composting to address these challenges by incorporating perforated HDPE pipes for aeration, thus shortening the composting process and improving efficiency.</w:t>
      </w:r>
    </w:p>
    <w:p w14:paraId="0251EEC1" w14:textId="77777777" w:rsidR="00F5717A" w:rsidRDefault="00F5717A" w:rsidP="00406C1D">
      <w:pPr>
        <w:pStyle w:val="Body"/>
        <w:spacing w:after="0"/>
        <w:rPr>
          <w:rFonts w:ascii="Arial" w:hAnsi="Arial" w:cs="Arial"/>
        </w:rPr>
      </w:pPr>
    </w:p>
    <w:p w14:paraId="1C411CA3" w14:textId="1A6AF8FE" w:rsidR="00F5717A" w:rsidRPr="004C69E4" w:rsidRDefault="00F5717A" w:rsidP="00406C1D">
      <w:pPr>
        <w:pStyle w:val="Body"/>
        <w:spacing w:after="0"/>
        <w:rPr>
          <w:rFonts w:ascii="Arial" w:hAnsi="Arial" w:cs="Arial"/>
          <w:b/>
        </w:rPr>
      </w:pPr>
      <w:r w:rsidRPr="004C69E4">
        <w:rPr>
          <w:rFonts w:ascii="Arial" w:hAnsi="Arial" w:cs="Arial"/>
          <w:b/>
        </w:rPr>
        <w:t xml:space="preserve">Table 1. Raw material </w:t>
      </w:r>
      <w:r w:rsidR="007E7939" w:rsidRPr="004C69E4">
        <w:rPr>
          <w:rFonts w:ascii="Arial" w:hAnsi="Arial" w:cs="Arial"/>
          <w:b/>
        </w:rPr>
        <w:t>composition</w:t>
      </w:r>
      <w:r w:rsidRPr="004C69E4">
        <w:rPr>
          <w:rFonts w:ascii="Arial" w:hAnsi="Arial" w:cs="Arial"/>
          <w:b/>
        </w:rPr>
        <w:t>: ZEPT method</w:t>
      </w:r>
      <w:r w:rsidR="00DE7166" w:rsidRPr="004C69E4">
        <w:rPr>
          <w:rFonts w:ascii="Arial" w:hAnsi="Arial" w:cs="Arial"/>
          <w:b/>
        </w:rPr>
        <w:t xml:space="preserve"> of composting</w:t>
      </w:r>
    </w:p>
    <w:p w14:paraId="67DF3C29" w14:textId="77777777" w:rsidR="00F5717A" w:rsidRDefault="00F5717A" w:rsidP="00406C1D">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2"/>
        <w:gridCol w:w="2038"/>
        <w:gridCol w:w="3466"/>
      </w:tblGrid>
      <w:tr w:rsidR="007E7939" w:rsidRPr="00F5717A" w14:paraId="7814A662" w14:textId="77777777" w:rsidTr="00F5717A">
        <w:trPr>
          <w:tblHeader/>
          <w:tblCellSpacing w:w="15" w:type="dxa"/>
        </w:trPr>
        <w:tc>
          <w:tcPr>
            <w:tcW w:w="0" w:type="auto"/>
            <w:vAlign w:val="center"/>
            <w:hideMark/>
          </w:tcPr>
          <w:p w14:paraId="1BCF79FA" w14:textId="77777777" w:rsidR="007E7939" w:rsidRPr="00F5717A" w:rsidRDefault="007E7939" w:rsidP="00F5717A">
            <w:pPr>
              <w:pStyle w:val="Body"/>
              <w:spacing w:after="0"/>
              <w:rPr>
                <w:rFonts w:ascii="Arial" w:hAnsi="Arial" w:cs="Arial"/>
                <w:b/>
                <w:bCs/>
              </w:rPr>
            </w:pPr>
            <w:r w:rsidRPr="00F5717A">
              <w:rPr>
                <w:rFonts w:ascii="Arial" w:hAnsi="Arial" w:cs="Arial"/>
                <w:b/>
                <w:bCs/>
              </w:rPr>
              <w:t>Component</w:t>
            </w:r>
          </w:p>
        </w:tc>
        <w:tc>
          <w:tcPr>
            <w:tcW w:w="0" w:type="auto"/>
            <w:vAlign w:val="center"/>
            <w:hideMark/>
          </w:tcPr>
          <w:p w14:paraId="39435DD4" w14:textId="77777777" w:rsidR="007E7939" w:rsidRDefault="007E7939" w:rsidP="00F5717A">
            <w:pPr>
              <w:pStyle w:val="Body"/>
              <w:spacing w:after="0"/>
              <w:rPr>
                <w:rFonts w:ascii="Arial" w:hAnsi="Arial" w:cs="Arial"/>
                <w:b/>
                <w:bCs/>
              </w:rPr>
            </w:pPr>
            <w:r w:rsidRPr="00F5717A">
              <w:rPr>
                <w:rFonts w:ascii="Arial" w:hAnsi="Arial" w:cs="Arial"/>
                <w:b/>
                <w:bCs/>
              </w:rPr>
              <w:t>Proportion</w:t>
            </w:r>
          </w:p>
          <w:p w14:paraId="01872059" w14:textId="687367DA" w:rsidR="007E7939" w:rsidRPr="00F5717A" w:rsidRDefault="007E7939" w:rsidP="00F5717A">
            <w:pPr>
              <w:pStyle w:val="Body"/>
              <w:spacing w:after="0"/>
              <w:rPr>
                <w:rFonts w:ascii="Arial" w:hAnsi="Arial" w:cs="Arial"/>
                <w:b/>
                <w:bCs/>
              </w:rPr>
            </w:pPr>
            <w:r w:rsidRPr="00F5717A">
              <w:rPr>
                <w:rFonts w:ascii="Arial" w:hAnsi="Arial" w:cs="Arial"/>
                <w:b/>
                <w:bCs/>
              </w:rPr>
              <w:t xml:space="preserve"> (% of total compost)</w:t>
            </w:r>
          </w:p>
        </w:tc>
        <w:tc>
          <w:tcPr>
            <w:tcW w:w="0" w:type="auto"/>
            <w:vAlign w:val="center"/>
            <w:hideMark/>
          </w:tcPr>
          <w:p w14:paraId="28950605" w14:textId="77777777" w:rsidR="007E7939" w:rsidRPr="00F5717A" w:rsidRDefault="007E7939" w:rsidP="00F5717A">
            <w:pPr>
              <w:pStyle w:val="Body"/>
              <w:spacing w:after="0"/>
              <w:rPr>
                <w:rFonts w:ascii="Arial" w:hAnsi="Arial" w:cs="Arial"/>
                <w:b/>
                <w:bCs/>
              </w:rPr>
            </w:pPr>
            <w:r w:rsidRPr="00F5717A">
              <w:rPr>
                <w:rFonts w:ascii="Arial" w:hAnsi="Arial" w:cs="Arial"/>
                <w:b/>
                <w:bCs/>
              </w:rPr>
              <w:t>Purpose</w:t>
            </w:r>
          </w:p>
        </w:tc>
      </w:tr>
      <w:tr w:rsidR="007E7939" w:rsidRPr="00F5717A" w14:paraId="1CAA813A" w14:textId="77777777" w:rsidTr="00F5717A">
        <w:trPr>
          <w:tblCellSpacing w:w="15" w:type="dxa"/>
        </w:trPr>
        <w:tc>
          <w:tcPr>
            <w:tcW w:w="0" w:type="auto"/>
            <w:vAlign w:val="center"/>
            <w:hideMark/>
          </w:tcPr>
          <w:p w14:paraId="4B400320" w14:textId="77777777" w:rsidR="007E7939" w:rsidRPr="00F5717A" w:rsidRDefault="007E7939" w:rsidP="00F5717A">
            <w:pPr>
              <w:pStyle w:val="Body"/>
              <w:spacing w:after="0"/>
              <w:rPr>
                <w:rFonts w:ascii="Arial" w:hAnsi="Arial" w:cs="Arial"/>
              </w:rPr>
            </w:pPr>
            <w:r w:rsidRPr="00F5717A">
              <w:rPr>
                <w:rFonts w:ascii="Arial" w:hAnsi="Arial" w:cs="Arial"/>
              </w:rPr>
              <w:t>Dry wheat straw</w:t>
            </w:r>
          </w:p>
        </w:tc>
        <w:tc>
          <w:tcPr>
            <w:tcW w:w="0" w:type="auto"/>
            <w:vAlign w:val="center"/>
            <w:hideMark/>
          </w:tcPr>
          <w:p w14:paraId="71C4B079" w14:textId="7BF538FB" w:rsidR="007E7939" w:rsidRPr="00F5717A" w:rsidRDefault="007E7939" w:rsidP="00F5717A">
            <w:pPr>
              <w:pStyle w:val="Body"/>
              <w:spacing w:after="0"/>
              <w:rPr>
                <w:rFonts w:ascii="Arial" w:hAnsi="Arial" w:cs="Arial"/>
              </w:rPr>
            </w:pPr>
            <w:r w:rsidRPr="00F5717A">
              <w:rPr>
                <w:rFonts w:ascii="Arial" w:hAnsi="Arial" w:cs="Arial"/>
              </w:rPr>
              <w:t>60.0</w:t>
            </w:r>
            <w:r>
              <w:rPr>
                <w:rFonts w:ascii="Arial" w:hAnsi="Arial" w:cs="Arial"/>
              </w:rPr>
              <w:t>0</w:t>
            </w:r>
          </w:p>
        </w:tc>
        <w:tc>
          <w:tcPr>
            <w:tcW w:w="0" w:type="auto"/>
            <w:vAlign w:val="center"/>
            <w:hideMark/>
          </w:tcPr>
          <w:p w14:paraId="6C3732F3" w14:textId="77777777" w:rsidR="007E7939" w:rsidRPr="00F5717A" w:rsidRDefault="007E7939" w:rsidP="00F5717A">
            <w:pPr>
              <w:pStyle w:val="Body"/>
              <w:spacing w:after="0"/>
              <w:rPr>
                <w:rFonts w:ascii="Arial" w:hAnsi="Arial" w:cs="Arial"/>
              </w:rPr>
            </w:pPr>
            <w:r w:rsidRPr="00F5717A">
              <w:rPr>
                <w:rFonts w:ascii="Arial" w:hAnsi="Arial" w:cs="Arial"/>
              </w:rPr>
              <w:t>Primary lignocellulosic substrate</w:t>
            </w:r>
          </w:p>
        </w:tc>
      </w:tr>
      <w:tr w:rsidR="007E7939" w:rsidRPr="00F5717A" w14:paraId="318442A9" w14:textId="77777777" w:rsidTr="00F5717A">
        <w:trPr>
          <w:tblCellSpacing w:w="15" w:type="dxa"/>
        </w:trPr>
        <w:tc>
          <w:tcPr>
            <w:tcW w:w="0" w:type="auto"/>
            <w:vAlign w:val="center"/>
            <w:hideMark/>
          </w:tcPr>
          <w:p w14:paraId="542C45BE" w14:textId="77777777" w:rsidR="007E7939" w:rsidRPr="00F5717A" w:rsidRDefault="007E7939" w:rsidP="00F5717A">
            <w:pPr>
              <w:pStyle w:val="Body"/>
              <w:spacing w:after="0"/>
              <w:rPr>
                <w:rFonts w:ascii="Arial" w:hAnsi="Arial" w:cs="Arial"/>
              </w:rPr>
            </w:pPr>
            <w:r w:rsidRPr="00F5717A">
              <w:rPr>
                <w:rFonts w:ascii="Arial" w:hAnsi="Arial" w:cs="Arial"/>
              </w:rPr>
              <w:t>Wheat bran</w:t>
            </w:r>
          </w:p>
        </w:tc>
        <w:tc>
          <w:tcPr>
            <w:tcW w:w="0" w:type="auto"/>
            <w:vAlign w:val="center"/>
            <w:hideMark/>
          </w:tcPr>
          <w:p w14:paraId="417C624A" w14:textId="0997F1B8" w:rsidR="007E7939" w:rsidRPr="00F5717A" w:rsidRDefault="007E7939" w:rsidP="00F5717A">
            <w:pPr>
              <w:pStyle w:val="Body"/>
              <w:spacing w:after="0"/>
              <w:rPr>
                <w:rFonts w:ascii="Arial" w:hAnsi="Arial" w:cs="Arial"/>
              </w:rPr>
            </w:pPr>
            <w:r w:rsidRPr="00F5717A">
              <w:rPr>
                <w:rFonts w:ascii="Arial" w:hAnsi="Arial" w:cs="Arial"/>
              </w:rPr>
              <w:t>5.5</w:t>
            </w:r>
            <w:r>
              <w:rPr>
                <w:rFonts w:ascii="Arial" w:hAnsi="Arial" w:cs="Arial"/>
              </w:rPr>
              <w:t>0</w:t>
            </w:r>
          </w:p>
        </w:tc>
        <w:tc>
          <w:tcPr>
            <w:tcW w:w="0" w:type="auto"/>
            <w:vAlign w:val="center"/>
            <w:hideMark/>
          </w:tcPr>
          <w:p w14:paraId="5D556EB0" w14:textId="77777777" w:rsidR="007E7939" w:rsidRPr="00F5717A" w:rsidRDefault="007E7939" w:rsidP="00F5717A">
            <w:pPr>
              <w:pStyle w:val="Body"/>
              <w:spacing w:after="0"/>
              <w:rPr>
                <w:rFonts w:ascii="Arial" w:hAnsi="Arial" w:cs="Arial"/>
              </w:rPr>
            </w:pPr>
            <w:r w:rsidRPr="00F5717A">
              <w:rPr>
                <w:rFonts w:ascii="Arial" w:hAnsi="Arial" w:cs="Arial"/>
              </w:rPr>
              <w:t>Readily available carbohydrate source</w:t>
            </w:r>
          </w:p>
        </w:tc>
      </w:tr>
      <w:tr w:rsidR="007E7939" w:rsidRPr="00F5717A" w14:paraId="0CBE30A9" w14:textId="77777777" w:rsidTr="00F5717A">
        <w:trPr>
          <w:tblCellSpacing w:w="15" w:type="dxa"/>
        </w:trPr>
        <w:tc>
          <w:tcPr>
            <w:tcW w:w="0" w:type="auto"/>
            <w:vAlign w:val="center"/>
            <w:hideMark/>
          </w:tcPr>
          <w:p w14:paraId="39FE1660" w14:textId="77777777" w:rsidR="007E7939" w:rsidRPr="00F5717A" w:rsidRDefault="007E7939" w:rsidP="00F5717A">
            <w:pPr>
              <w:pStyle w:val="Body"/>
              <w:spacing w:after="0"/>
              <w:rPr>
                <w:rFonts w:ascii="Arial" w:hAnsi="Arial" w:cs="Arial"/>
              </w:rPr>
            </w:pPr>
            <w:r w:rsidRPr="00F5717A">
              <w:rPr>
                <w:rFonts w:ascii="Arial" w:hAnsi="Arial" w:cs="Arial"/>
              </w:rPr>
              <w:t>Chicken manure</w:t>
            </w:r>
          </w:p>
        </w:tc>
        <w:tc>
          <w:tcPr>
            <w:tcW w:w="0" w:type="auto"/>
            <w:vAlign w:val="center"/>
            <w:hideMark/>
          </w:tcPr>
          <w:p w14:paraId="63AD3791" w14:textId="2520CF20" w:rsidR="007E7939" w:rsidRPr="00F5717A" w:rsidRDefault="007E7939" w:rsidP="00F5717A">
            <w:pPr>
              <w:pStyle w:val="Body"/>
              <w:spacing w:after="0"/>
              <w:rPr>
                <w:rFonts w:ascii="Arial" w:hAnsi="Arial" w:cs="Arial"/>
              </w:rPr>
            </w:pPr>
            <w:r w:rsidRPr="00F5717A">
              <w:rPr>
                <w:rFonts w:ascii="Arial" w:hAnsi="Arial" w:cs="Arial"/>
              </w:rPr>
              <w:t>31.0</w:t>
            </w:r>
            <w:r>
              <w:rPr>
                <w:rFonts w:ascii="Arial" w:hAnsi="Arial" w:cs="Arial"/>
              </w:rPr>
              <w:t>0</w:t>
            </w:r>
          </w:p>
        </w:tc>
        <w:tc>
          <w:tcPr>
            <w:tcW w:w="0" w:type="auto"/>
            <w:vAlign w:val="center"/>
            <w:hideMark/>
          </w:tcPr>
          <w:p w14:paraId="472C6226" w14:textId="77777777" w:rsidR="007E7939" w:rsidRPr="00F5717A" w:rsidRDefault="007E7939" w:rsidP="00F5717A">
            <w:pPr>
              <w:pStyle w:val="Body"/>
              <w:spacing w:after="0"/>
              <w:rPr>
                <w:rFonts w:ascii="Arial" w:hAnsi="Arial" w:cs="Arial"/>
              </w:rPr>
            </w:pPr>
            <w:r w:rsidRPr="00F5717A">
              <w:rPr>
                <w:rFonts w:ascii="Arial" w:hAnsi="Arial" w:cs="Arial"/>
              </w:rPr>
              <w:t>Nitrogen and microbial inoculum</w:t>
            </w:r>
          </w:p>
        </w:tc>
      </w:tr>
      <w:tr w:rsidR="007E7939" w:rsidRPr="00F5717A" w14:paraId="5AE86601" w14:textId="77777777" w:rsidTr="00F5717A">
        <w:trPr>
          <w:tblCellSpacing w:w="15" w:type="dxa"/>
        </w:trPr>
        <w:tc>
          <w:tcPr>
            <w:tcW w:w="0" w:type="auto"/>
            <w:vAlign w:val="center"/>
            <w:hideMark/>
          </w:tcPr>
          <w:p w14:paraId="775D8999" w14:textId="77777777" w:rsidR="007E7939" w:rsidRPr="00F5717A" w:rsidRDefault="007E7939" w:rsidP="00F5717A">
            <w:pPr>
              <w:pStyle w:val="Body"/>
              <w:spacing w:after="0"/>
              <w:rPr>
                <w:rFonts w:ascii="Arial" w:hAnsi="Arial" w:cs="Arial"/>
              </w:rPr>
            </w:pPr>
            <w:r w:rsidRPr="00F5717A">
              <w:rPr>
                <w:rFonts w:ascii="Arial" w:hAnsi="Arial" w:cs="Arial"/>
              </w:rPr>
              <w:t>Urea</w:t>
            </w:r>
          </w:p>
        </w:tc>
        <w:tc>
          <w:tcPr>
            <w:tcW w:w="0" w:type="auto"/>
            <w:vAlign w:val="center"/>
            <w:hideMark/>
          </w:tcPr>
          <w:p w14:paraId="5A74BA5A" w14:textId="77777777" w:rsidR="007E7939" w:rsidRPr="00F5717A" w:rsidRDefault="007E7939" w:rsidP="00F5717A">
            <w:pPr>
              <w:pStyle w:val="Body"/>
              <w:spacing w:after="0"/>
              <w:rPr>
                <w:rFonts w:ascii="Arial" w:hAnsi="Arial" w:cs="Arial"/>
              </w:rPr>
            </w:pPr>
            <w:r w:rsidRPr="00F5717A">
              <w:rPr>
                <w:rFonts w:ascii="Arial" w:hAnsi="Arial" w:cs="Arial"/>
              </w:rPr>
              <w:t>0.5</w:t>
            </w:r>
          </w:p>
        </w:tc>
        <w:tc>
          <w:tcPr>
            <w:tcW w:w="0" w:type="auto"/>
            <w:vAlign w:val="center"/>
            <w:hideMark/>
          </w:tcPr>
          <w:p w14:paraId="563218A5" w14:textId="77777777" w:rsidR="007E7939" w:rsidRPr="00F5717A" w:rsidRDefault="007E7939" w:rsidP="00F5717A">
            <w:pPr>
              <w:pStyle w:val="Body"/>
              <w:spacing w:after="0"/>
              <w:rPr>
                <w:rFonts w:ascii="Arial" w:hAnsi="Arial" w:cs="Arial"/>
              </w:rPr>
            </w:pPr>
            <w:r w:rsidRPr="00F5717A">
              <w:rPr>
                <w:rFonts w:ascii="Arial" w:hAnsi="Arial" w:cs="Arial"/>
              </w:rPr>
              <w:t>Supplementary nitrogen source</w:t>
            </w:r>
          </w:p>
        </w:tc>
      </w:tr>
      <w:tr w:rsidR="007E7939" w:rsidRPr="00F5717A" w14:paraId="7A00628B" w14:textId="77777777" w:rsidTr="00F5717A">
        <w:trPr>
          <w:tblCellSpacing w:w="15" w:type="dxa"/>
        </w:trPr>
        <w:tc>
          <w:tcPr>
            <w:tcW w:w="0" w:type="auto"/>
            <w:vAlign w:val="center"/>
            <w:hideMark/>
          </w:tcPr>
          <w:p w14:paraId="2BEB5891" w14:textId="77777777" w:rsidR="007E7939" w:rsidRPr="00F5717A" w:rsidRDefault="007E7939" w:rsidP="00F5717A">
            <w:pPr>
              <w:pStyle w:val="Body"/>
              <w:spacing w:after="0"/>
              <w:rPr>
                <w:rFonts w:ascii="Arial" w:hAnsi="Arial" w:cs="Arial"/>
              </w:rPr>
            </w:pPr>
            <w:r w:rsidRPr="00F5717A">
              <w:rPr>
                <w:rFonts w:ascii="Arial" w:hAnsi="Arial" w:cs="Arial"/>
              </w:rPr>
              <w:t>Gypsum</w:t>
            </w:r>
          </w:p>
        </w:tc>
        <w:tc>
          <w:tcPr>
            <w:tcW w:w="0" w:type="auto"/>
            <w:vAlign w:val="center"/>
            <w:hideMark/>
          </w:tcPr>
          <w:p w14:paraId="7EB17210" w14:textId="77777777" w:rsidR="007E7939" w:rsidRPr="00F5717A" w:rsidRDefault="007E7939" w:rsidP="00F5717A">
            <w:pPr>
              <w:pStyle w:val="Body"/>
              <w:spacing w:after="0"/>
              <w:rPr>
                <w:rFonts w:ascii="Arial" w:hAnsi="Arial" w:cs="Arial"/>
              </w:rPr>
            </w:pPr>
            <w:r w:rsidRPr="00F5717A">
              <w:rPr>
                <w:rFonts w:ascii="Arial" w:hAnsi="Arial" w:cs="Arial"/>
              </w:rPr>
              <w:t>As standardized</w:t>
            </w:r>
          </w:p>
        </w:tc>
        <w:tc>
          <w:tcPr>
            <w:tcW w:w="0" w:type="auto"/>
            <w:vAlign w:val="center"/>
            <w:hideMark/>
          </w:tcPr>
          <w:p w14:paraId="3F5D5130" w14:textId="77777777" w:rsidR="007E7939" w:rsidRPr="00F5717A" w:rsidRDefault="007E7939" w:rsidP="00F5717A">
            <w:pPr>
              <w:pStyle w:val="Body"/>
              <w:spacing w:after="0"/>
              <w:rPr>
                <w:rFonts w:ascii="Arial" w:hAnsi="Arial" w:cs="Arial"/>
              </w:rPr>
            </w:pPr>
            <w:r w:rsidRPr="00F5717A">
              <w:rPr>
                <w:rFonts w:ascii="Arial" w:hAnsi="Arial" w:cs="Arial"/>
              </w:rPr>
              <w:t>pH buffering, structure improvement</w:t>
            </w:r>
          </w:p>
        </w:tc>
      </w:tr>
    </w:tbl>
    <w:p w14:paraId="673C8F1E" w14:textId="77777777" w:rsidR="00F5717A" w:rsidRDefault="00F5717A" w:rsidP="00406C1D">
      <w:pPr>
        <w:pStyle w:val="Body"/>
        <w:spacing w:after="0"/>
        <w:rPr>
          <w:rFonts w:ascii="Arial" w:hAnsi="Arial" w:cs="Arial"/>
        </w:rPr>
      </w:pPr>
    </w:p>
    <w:p w14:paraId="7A13D96B" w14:textId="7B564FE1" w:rsidR="00F5717A" w:rsidRDefault="00F5717A" w:rsidP="00406C1D">
      <w:pPr>
        <w:pStyle w:val="Body"/>
        <w:spacing w:after="0"/>
        <w:rPr>
          <w:rFonts w:ascii="Arial" w:hAnsi="Arial" w:cs="Arial"/>
        </w:rPr>
      </w:pPr>
      <w:r>
        <w:rPr>
          <w:rFonts w:ascii="Arial" w:hAnsi="Arial" w:cs="Arial"/>
        </w:rPr>
        <w:t xml:space="preserve">Source: </w:t>
      </w:r>
      <w:proofErr w:type="spellStart"/>
      <w:r w:rsidRPr="00406C1D">
        <w:rPr>
          <w:rFonts w:ascii="Arial" w:hAnsi="Arial" w:cs="Arial"/>
        </w:rPr>
        <w:t>Wakchaure</w:t>
      </w:r>
      <w:proofErr w:type="spellEnd"/>
      <w:r w:rsidRPr="00406C1D">
        <w:rPr>
          <w:rFonts w:ascii="Arial" w:hAnsi="Arial" w:cs="Arial"/>
        </w:rPr>
        <w:t xml:space="preserve"> &amp; Singh (2013)</w:t>
      </w:r>
    </w:p>
    <w:p w14:paraId="67125AE0" w14:textId="77777777" w:rsidR="00F5717A" w:rsidRDefault="00F5717A" w:rsidP="00406C1D">
      <w:pPr>
        <w:pStyle w:val="Body"/>
        <w:spacing w:after="0"/>
        <w:rPr>
          <w:rFonts w:ascii="Arial" w:hAnsi="Arial" w:cs="Arial"/>
        </w:rPr>
      </w:pPr>
    </w:p>
    <w:p w14:paraId="4635357E" w14:textId="2EC4E3E0" w:rsidR="00F5717A" w:rsidRDefault="008F243F" w:rsidP="00406C1D">
      <w:pPr>
        <w:pStyle w:val="Body"/>
        <w:spacing w:after="0"/>
        <w:rPr>
          <w:rFonts w:ascii="Arial" w:hAnsi="Arial" w:cs="Arial"/>
        </w:rPr>
      </w:pPr>
      <w:r w:rsidRPr="008F243F">
        <w:rPr>
          <w:rFonts w:ascii="Arial" w:hAnsi="Arial" w:cs="Arial"/>
        </w:rPr>
        <w:t xml:space="preserve">The compost </w:t>
      </w:r>
      <w:r>
        <w:rPr>
          <w:rFonts w:ascii="Arial" w:hAnsi="Arial" w:cs="Arial"/>
        </w:rPr>
        <w:t>formulation presented in Table 1</w:t>
      </w:r>
      <w:r w:rsidRPr="008F243F">
        <w:rPr>
          <w:rFonts w:ascii="Arial" w:hAnsi="Arial" w:cs="Arial"/>
        </w:rPr>
        <w:t xml:space="preserve"> uses a combination of carbon-rich substrate and nitrogenous supplements commonly recommended for button mushroom composting. Dry wheat straw forms the bulk component, while wheat bran, chicken manure, and urea are added to improve nutrient balance and microbial activity. Moisture is adjusted through controlled water application, and gypsum is incorporated at a standardized stage to regulate pH and improve compost structure. Details of the subsequent composting operations, including pile management, turning schedule, and gypsum application, follow the standard procedure described by </w:t>
      </w:r>
      <w:proofErr w:type="spellStart"/>
      <w:r w:rsidRPr="008F243F">
        <w:rPr>
          <w:rFonts w:ascii="Arial" w:hAnsi="Arial" w:cs="Arial"/>
        </w:rPr>
        <w:t>Wakchaure</w:t>
      </w:r>
      <w:proofErr w:type="spellEnd"/>
      <w:r w:rsidRPr="008F243F">
        <w:rPr>
          <w:rFonts w:ascii="Arial" w:hAnsi="Arial" w:cs="Arial"/>
        </w:rPr>
        <w:t xml:space="preserve"> and Singh (2013).</w:t>
      </w:r>
      <w:r w:rsidR="00033468">
        <w:rPr>
          <w:rFonts w:ascii="Arial" w:hAnsi="Arial" w:cs="Arial"/>
        </w:rPr>
        <w:t xml:space="preserve"> </w:t>
      </w:r>
      <w:proofErr w:type="spellStart"/>
      <w:r w:rsidR="00033468">
        <w:t>Rangnamei</w:t>
      </w:r>
      <w:proofErr w:type="spellEnd"/>
      <w:r w:rsidR="00033468">
        <w:t xml:space="preserve"> </w:t>
      </w:r>
      <w:r w:rsidR="00033468">
        <w:rPr>
          <w:rStyle w:val="Emphasis"/>
        </w:rPr>
        <w:t>et al.</w:t>
      </w:r>
      <w:r w:rsidR="00033468">
        <w:t xml:space="preserve"> (2024) evaluate the zero-energy polytunnel (ZEPT) method of composting for </w:t>
      </w:r>
      <w:r w:rsidR="00033468">
        <w:rPr>
          <w:rStyle w:val="Emphasis"/>
        </w:rPr>
        <w:t>Agaricus bisporus</w:t>
      </w:r>
      <w:r w:rsidR="00033468">
        <w:t xml:space="preserve"> under North-Eastern Indian conditions and demonstrate its suitability as a low-cost alternative to conventional composting systems. Their study shows that passive aeration through perforated HDPE pipes ensures adequate oxygen supply and temperature regulation within the compost pile, thereby eliminating the need for energy-intensive infrastructure. Based</w:t>
      </w:r>
      <w:r w:rsidR="009874F5">
        <w:t xml:space="preserve"> on their on-station trials</w:t>
      </w:r>
      <w:r w:rsidR="00033468">
        <w:t xml:space="preserve">, the </w:t>
      </w:r>
      <w:r w:rsidR="00BC2792">
        <w:t xml:space="preserve">study reports </w:t>
      </w:r>
      <w:r w:rsidR="00033468">
        <w:t xml:space="preserve">satisfactory mushroom yields and </w:t>
      </w:r>
      <w:proofErr w:type="spellStart"/>
      <w:r w:rsidR="00033468">
        <w:t>favourable</w:t>
      </w:r>
      <w:proofErr w:type="spellEnd"/>
      <w:r w:rsidR="00033468">
        <w:t xml:space="preserve"> economic returns, with a benefit–cost ratio of 2.55, highlighting the economic viability of the technology.</w:t>
      </w:r>
    </w:p>
    <w:p w14:paraId="12496800" w14:textId="77777777" w:rsidR="00F13842" w:rsidRPr="00F13842" w:rsidRDefault="00F13842" w:rsidP="00F13842">
      <w:pPr>
        <w:pStyle w:val="Body"/>
        <w:spacing w:after="0"/>
        <w:rPr>
          <w:rFonts w:ascii="Arial" w:hAnsi="Arial" w:cs="Arial"/>
        </w:rPr>
      </w:pPr>
      <w:r w:rsidRPr="00F13842">
        <w:rPr>
          <w:rFonts w:ascii="Arial" w:hAnsi="Arial" w:cs="Arial"/>
        </w:rPr>
        <w:t>Existing studies largely emphasize yield performance, cost economics, and demonstrative benefits of ZEPT at the farm level, with limited attention to rigorous impact evaluation and the socio-economic drivers governing technology adoption. Moreover, empirical evidence comparing adopters and non-adopters within a common analytical framework, particularly across major button mushroom–producing states, is scarce.</w:t>
      </w:r>
    </w:p>
    <w:p w14:paraId="0C752246" w14:textId="330C2676" w:rsidR="00406C1D" w:rsidRPr="00406C1D" w:rsidRDefault="00F13842" w:rsidP="00406C1D">
      <w:pPr>
        <w:pStyle w:val="Body"/>
        <w:spacing w:after="0"/>
        <w:rPr>
          <w:rFonts w:ascii="Arial" w:hAnsi="Arial" w:cs="Arial"/>
        </w:rPr>
      </w:pPr>
      <w:r w:rsidRPr="00F13842">
        <w:rPr>
          <w:rFonts w:ascii="Arial" w:hAnsi="Arial" w:cs="Arial"/>
        </w:rPr>
        <w:t>Against this backdrop, the present study extends the literature by simultaneously assessing the biological and economic impacts of ZEPT adoption and identifying the socio-economic determinants influencing its uptake among mushroom growers in India. By conducting a comparative analysis of ZEPT adopters and conventional long-method users in Bihar and Haryana over a complete production cycle, the study provides regionally relevant an</w:t>
      </w:r>
      <w:r>
        <w:rPr>
          <w:rFonts w:ascii="Arial" w:hAnsi="Arial" w:cs="Arial"/>
        </w:rPr>
        <w:t>d statistically robust insights</w:t>
      </w:r>
      <w:r w:rsidR="00406C1D" w:rsidRPr="00406C1D">
        <w:rPr>
          <w:rFonts w:ascii="Arial" w:hAnsi="Arial" w:cs="Arial"/>
        </w:rPr>
        <w:t>. Further the factors which affect the adoption of mushroom related technologies are also not found in the extant literature. Hence, the study will answer following research questions:</w:t>
      </w:r>
    </w:p>
    <w:p w14:paraId="04B09E8A" w14:textId="77777777" w:rsidR="000B379C" w:rsidRPr="00F02AF7" w:rsidRDefault="000B379C" w:rsidP="000B379C">
      <w:pPr>
        <w:pStyle w:val="Body"/>
        <w:numPr>
          <w:ilvl w:val="0"/>
          <w:numId w:val="31"/>
        </w:numPr>
        <w:spacing w:after="0"/>
        <w:ind w:left="1080"/>
        <w:rPr>
          <w:rFonts w:ascii="Arial" w:hAnsi="Arial" w:cs="Arial"/>
        </w:rPr>
      </w:pPr>
      <w:r w:rsidRPr="00F02AF7">
        <w:rPr>
          <w:rFonts w:ascii="Arial" w:hAnsi="Arial" w:cs="Arial"/>
        </w:rPr>
        <w:t xml:space="preserve">How ZEPT composting affects </w:t>
      </w:r>
      <w:r w:rsidR="00F01372">
        <w:rPr>
          <w:rFonts w:ascii="Arial" w:hAnsi="Arial" w:cs="Arial"/>
        </w:rPr>
        <w:t>yield</w:t>
      </w:r>
      <w:r w:rsidRPr="00F02AF7">
        <w:rPr>
          <w:rFonts w:ascii="Arial" w:hAnsi="Arial" w:cs="Arial"/>
        </w:rPr>
        <w:t xml:space="preserve">, </w:t>
      </w:r>
      <w:r w:rsidR="00F01372">
        <w:rPr>
          <w:rFonts w:ascii="Arial" w:hAnsi="Arial" w:cs="Arial"/>
        </w:rPr>
        <w:t>cost</w:t>
      </w:r>
      <w:r w:rsidRPr="00F02AF7">
        <w:rPr>
          <w:rFonts w:ascii="Arial" w:hAnsi="Arial" w:cs="Arial"/>
        </w:rPr>
        <w:t xml:space="preserve">, </w:t>
      </w:r>
      <w:r>
        <w:rPr>
          <w:rFonts w:ascii="Arial" w:hAnsi="Arial" w:cs="Arial"/>
        </w:rPr>
        <w:t>and</w:t>
      </w:r>
      <w:r w:rsidR="00C17635">
        <w:rPr>
          <w:rFonts w:ascii="Arial" w:hAnsi="Arial" w:cs="Arial"/>
        </w:rPr>
        <w:t xml:space="preserve"> c</w:t>
      </w:r>
      <w:r w:rsidRPr="00F02AF7">
        <w:rPr>
          <w:rFonts w:ascii="Arial" w:hAnsi="Arial" w:cs="Arial"/>
        </w:rPr>
        <w:t>onversion rate of compost?</w:t>
      </w:r>
    </w:p>
    <w:p w14:paraId="06BED613" w14:textId="77777777" w:rsidR="000B379C" w:rsidRPr="00F02AF7" w:rsidRDefault="000B379C" w:rsidP="000B379C">
      <w:pPr>
        <w:pStyle w:val="Body"/>
        <w:numPr>
          <w:ilvl w:val="0"/>
          <w:numId w:val="31"/>
        </w:numPr>
        <w:spacing w:after="0"/>
        <w:ind w:left="1080"/>
        <w:rPr>
          <w:rFonts w:ascii="Arial" w:hAnsi="Arial" w:cs="Arial"/>
        </w:rPr>
      </w:pPr>
      <w:r w:rsidRPr="00F02AF7">
        <w:rPr>
          <w:rFonts w:ascii="Arial" w:hAnsi="Arial" w:cs="Arial"/>
        </w:rPr>
        <w:t>What are the factors which affect the adoption of new composting technology among mushroom growers?</w:t>
      </w:r>
    </w:p>
    <w:p w14:paraId="62274462" w14:textId="77777777" w:rsidR="00790ADA" w:rsidRPr="00FB3A86" w:rsidRDefault="00790ADA" w:rsidP="00441B6F">
      <w:pPr>
        <w:pStyle w:val="Body"/>
        <w:spacing w:after="0"/>
        <w:rPr>
          <w:rFonts w:ascii="Arial" w:hAnsi="Arial" w:cs="Arial"/>
        </w:rPr>
      </w:pPr>
    </w:p>
    <w:p w14:paraId="1777474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0553F8">
        <w:rPr>
          <w:rFonts w:ascii="Arial" w:hAnsi="Arial" w:cs="Arial"/>
        </w:rPr>
        <w:t xml:space="preserve"> </w:t>
      </w:r>
    </w:p>
    <w:p w14:paraId="55F578C8" w14:textId="77777777" w:rsidR="00790ADA" w:rsidRPr="00FB3A86" w:rsidRDefault="00790ADA" w:rsidP="00441B6F">
      <w:pPr>
        <w:pStyle w:val="AbstHead"/>
        <w:spacing w:after="0"/>
        <w:jc w:val="both"/>
        <w:rPr>
          <w:rFonts w:ascii="Arial" w:hAnsi="Arial" w:cs="Arial"/>
        </w:rPr>
      </w:pPr>
    </w:p>
    <w:p w14:paraId="45276746" w14:textId="77777777" w:rsidR="000553F8" w:rsidRPr="00FB3A86" w:rsidRDefault="000553F8" w:rsidP="00CC1B01">
      <w:pPr>
        <w:pStyle w:val="Body"/>
        <w:rPr>
          <w:rFonts w:ascii="Arial" w:hAnsi="Arial" w:cs="Arial"/>
        </w:rPr>
      </w:pPr>
      <w:r w:rsidRPr="00930F59">
        <w:rPr>
          <w:rFonts w:ascii="Arial" w:hAnsi="Arial" w:cs="Arial"/>
        </w:rPr>
        <w:t xml:space="preserve">In the study, the data pertains to the states of Bihar and Haryana. These states are among the top six states in terms of mushroom production and also leading in the seasonal cultivation of button mushrooms. As mushroom growers are sparsely located in the country, </w:t>
      </w:r>
      <w:r w:rsidRPr="00930F59">
        <w:rPr>
          <w:rFonts w:ascii="Arial" w:hAnsi="Arial" w:cs="Arial"/>
        </w:rPr>
        <w:lastRenderedPageBreak/>
        <w:t xml:space="preserve">purposively, 20 growers each of the ZEPT method and Long method were selected. The data was taken for one seasonal crop of button mushroom starting from September (Hut preparation and initiation of compost production) till the middle of March (harvesting). The detailed information on various parameters such as infrastructure, machinery and equipment, raw materials used related to composting materials, spawn, bags, labor, miscellaneous expenses, energy and fuel expenses, produce quantity sold, market price, asset availability, training attended, etc. have been collected from the respondents. </w:t>
      </w:r>
    </w:p>
    <w:p w14:paraId="13B1C15F" w14:textId="77777777" w:rsidR="000553F8" w:rsidRPr="00CC1B01" w:rsidRDefault="000553F8" w:rsidP="00CC1B01">
      <w:pPr>
        <w:pStyle w:val="Body"/>
        <w:numPr>
          <w:ilvl w:val="1"/>
          <w:numId w:val="31"/>
        </w:numPr>
        <w:spacing w:after="0"/>
        <w:ind w:left="360"/>
        <w:rPr>
          <w:rFonts w:ascii="Arial" w:hAnsi="Arial" w:cs="Arial"/>
        </w:rPr>
      </w:pPr>
      <w:r>
        <w:rPr>
          <w:rFonts w:ascii="Arial" w:hAnsi="Arial" w:cs="Arial"/>
          <w:b/>
          <w:sz w:val="22"/>
        </w:rPr>
        <w:t>Impact assessment</w:t>
      </w:r>
      <w:r w:rsidRPr="00C30A0F">
        <w:rPr>
          <w:rFonts w:ascii="Arial" w:hAnsi="Arial" w:cs="Arial"/>
          <w:b/>
          <w:sz w:val="22"/>
        </w:rPr>
        <w:t xml:space="preserve"> </w:t>
      </w:r>
      <w:r w:rsidRPr="00FB3A86">
        <w:rPr>
          <w:rFonts w:ascii="Arial" w:hAnsi="Arial" w:cs="Arial"/>
        </w:rPr>
        <w:t xml:space="preserve"> </w:t>
      </w:r>
    </w:p>
    <w:p w14:paraId="2554244B" w14:textId="77777777" w:rsidR="000553F8" w:rsidRPr="00930F59" w:rsidRDefault="000553F8" w:rsidP="000553F8">
      <w:pPr>
        <w:pStyle w:val="Body"/>
        <w:spacing w:after="0"/>
        <w:rPr>
          <w:rFonts w:ascii="Arial" w:hAnsi="Arial" w:cs="Arial"/>
          <w:bCs/>
        </w:rPr>
      </w:pPr>
      <w:r w:rsidRPr="00930F59">
        <w:rPr>
          <w:rFonts w:ascii="Arial" w:hAnsi="Arial" w:cs="Arial"/>
          <w:bCs/>
        </w:rPr>
        <w:t>The impact has been studied</w:t>
      </w:r>
      <w:r w:rsidRPr="00930F59">
        <w:rPr>
          <w:rFonts w:ascii="Arial" w:hAnsi="Arial" w:cs="Arial"/>
          <w:bCs/>
          <w:iCs/>
        </w:rPr>
        <w:t xml:space="preserve"> as the difference between Biological Efficiency (BE), Compost conversion rate (CR), and average variable cost (AVC) of compost preparation with the help of </w:t>
      </w:r>
      <w:r w:rsidRPr="00930F59">
        <w:rPr>
          <w:rFonts w:ascii="Arial" w:hAnsi="Arial" w:cs="Arial"/>
          <w:bCs/>
        </w:rPr>
        <w:t xml:space="preserve">t-Test (Two-Sample Assuming Unequal Variances) for ZEPT adopters vs non-adopters (long method). </w:t>
      </w:r>
    </w:p>
    <w:p w14:paraId="28010F5D" w14:textId="77777777" w:rsidR="000553F8" w:rsidRPr="006B3B43" w:rsidRDefault="00262C90" w:rsidP="000553F8">
      <w:pPr>
        <w:pStyle w:val="Body"/>
        <w:ind w:left="360"/>
        <w:rPr>
          <w:rFonts w:ascii="Arial" w:hAnsi="Arial" w:cs="Arial"/>
          <w:bCs/>
          <w:sz w:val="22"/>
          <w:szCs w:val="22"/>
        </w:rPr>
      </w:pPr>
      <m:oMathPara>
        <m:oMath>
          <m:sSub>
            <m:sSubPr>
              <m:ctrlPr>
                <w:rPr>
                  <w:rFonts w:ascii="Cambria Math" w:hAnsi="Cambria Math" w:cs="Arial"/>
                  <w:bCs/>
                  <w:sz w:val="22"/>
                  <w:szCs w:val="22"/>
                </w:rPr>
              </m:ctrlPr>
            </m:sSubPr>
            <m:e>
              <m:r>
                <m:rPr>
                  <m:sty m:val="p"/>
                </m:rPr>
                <w:rPr>
                  <w:rFonts w:ascii="Cambria Math" w:hAnsi="Cambria Math" w:cs="Arial"/>
                  <w:sz w:val="22"/>
                  <w:szCs w:val="22"/>
                </w:rPr>
                <m:t>t</m:t>
              </m:r>
            </m:e>
            <m:sub>
              <m:r>
                <w:rPr>
                  <w:rFonts w:ascii="Cambria Math" w:hAnsi="Cambria Math" w:cs="Arial"/>
                  <w:sz w:val="22"/>
                  <w:szCs w:val="22"/>
                </w:rPr>
                <m:t>cal</m:t>
              </m:r>
            </m:sub>
          </m:sSub>
          <m:r>
            <w:rPr>
              <w:rFonts w:ascii="Cambria Math" w:hAnsi="Cambria Math" w:cs="Arial"/>
              <w:sz w:val="22"/>
              <w:szCs w:val="22"/>
            </w:rPr>
            <m:t>=</m:t>
          </m:r>
          <m:f>
            <m:fPr>
              <m:ctrlPr>
                <w:rPr>
                  <w:rFonts w:ascii="Cambria Math" w:hAnsi="Cambria Math" w:cs="Arial"/>
                  <w:bCs/>
                  <w:sz w:val="22"/>
                  <w:szCs w:val="22"/>
                </w:rPr>
              </m:ctrlPr>
            </m:fPr>
            <m:num>
              <m:sSub>
                <m:sSubPr>
                  <m:ctrlPr>
                    <w:rPr>
                      <w:rFonts w:ascii="Cambria Math" w:hAnsi="Cambria Math" w:cs="Arial"/>
                      <w:bCs/>
                      <w:i/>
                      <w:sz w:val="22"/>
                      <w:szCs w:val="22"/>
                    </w:rPr>
                  </m:ctrlPr>
                </m:sSubPr>
                <m:e>
                  <m:r>
                    <w:rPr>
                      <w:rFonts w:ascii="Cambria Math" w:hAnsi="Cambria Math" w:cs="Arial"/>
                      <w:sz w:val="22"/>
                      <w:szCs w:val="22"/>
                    </w:rPr>
                    <m:t>μ</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bCs/>
                      <w:i/>
                      <w:sz w:val="22"/>
                      <w:szCs w:val="22"/>
                    </w:rPr>
                  </m:ctrlPr>
                </m:sSubPr>
                <m:e>
                  <m:r>
                    <w:rPr>
                      <w:rFonts w:ascii="Cambria Math" w:hAnsi="Cambria Math" w:cs="Arial"/>
                      <w:sz w:val="22"/>
                      <w:szCs w:val="22"/>
                    </w:rPr>
                    <m:t>μ</m:t>
                  </m:r>
                </m:e>
                <m:sub>
                  <m:r>
                    <w:rPr>
                      <w:rFonts w:ascii="Cambria Math" w:hAnsi="Cambria Math" w:cs="Arial"/>
                      <w:sz w:val="22"/>
                      <w:szCs w:val="22"/>
                    </w:rPr>
                    <m:t>2</m:t>
                  </m:r>
                </m:sub>
              </m:sSub>
            </m:num>
            <m:den>
              <m:rad>
                <m:radPr>
                  <m:degHide m:val="1"/>
                  <m:ctrlPr>
                    <w:rPr>
                      <w:rFonts w:ascii="Cambria Math" w:hAnsi="Cambria Math" w:cs="Arial"/>
                      <w:bCs/>
                      <w:i/>
                      <w:sz w:val="22"/>
                      <w:szCs w:val="22"/>
                    </w:rPr>
                  </m:ctrlPr>
                </m:radPr>
                <m:deg/>
                <m:e>
                  <m:f>
                    <m:fPr>
                      <m:ctrlPr>
                        <w:rPr>
                          <w:rFonts w:ascii="Cambria Math" w:hAnsi="Cambria Math" w:cs="Arial"/>
                          <w:bCs/>
                          <w:i/>
                          <w:sz w:val="22"/>
                          <w:szCs w:val="22"/>
                        </w:rPr>
                      </m:ctrlPr>
                    </m:fPr>
                    <m:num>
                      <m:sSup>
                        <m:sSupPr>
                          <m:ctrlPr>
                            <w:rPr>
                              <w:rFonts w:ascii="Cambria Math" w:hAnsi="Cambria Math" w:cs="Arial"/>
                              <w:bCs/>
                              <w:i/>
                              <w:sz w:val="22"/>
                              <w:szCs w:val="22"/>
                            </w:rPr>
                          </m:ctrlPr>
                        </m:sSupPr>
                        <m:e>
                          <m:sSub>
                            <m:sSubPr>
                              <m:ctrlPr>
                                <w:rPr>
                                  <w:rFonts w:ascii="Cambria Math" w:hAnsi="Cambria Math" w:cs="Arial"/>
                                  <w:bCs/>
                                  <w:i/>
                                  <w:sz w:val="22"/>
                                  <w:szCs w:val="22"/>
                                </w:rPr>
                              </m:ctrlPr>
                            </m:sSubPr>
                            <m:e>
                              <m:r>
                                <w:rPr>
                                  <w:rFonts w:ascii="Cambria Math" w:hAnsi="Cambria Math" w:cs="Arial"/>
                                  <w:sz w:val="22"/>
                                  <w:szCs w:val="22"/>
                                </w:rPr>
                                <m:t>s</m:t>
                              </m:r>
                            </m:e>
                            <m:sub>
                              <m:r>
                                <w:rPr>
                                  <w:rFonts w:ascii="Cambria Math" w:hAnsi="Cambria Math" w:cs="Arial"/>
                                  <w:sz w:val="22"/>
                                  <w:szCs w:val="22"/>
                                </w:rPr>
                                <m:t>1</m:t>
                              </m:r>
                            </m:sub>
                          </m:sSub>
                        </m:e>
                        <m:sup>
                          <m:r>
                            <w:rPr>
                              <w:rFonts w:ascii="Cambria Math" w:hAnsi="Cambria Math" w:cs="Arial"/>
                              <w:sz w:val="22"/>
                              <w:szCs w:val="22"/>
                            </w:rPr>
                            <m:t>2</m:t>
                          </m:r>
                        </m:sup>
                      </m:sSup>
                    </m:num>
                    <m:den>
                      <m:sSub>
                        <m:sSubPr>
                          <m:ctrlPr>
                            <w:rPr>
                              <w:rFonts w:ascii="Cambria Math" w:hAnsi="Cambria Math" w:cs="Arial"/>
                              <w:bCs/>
                              <w:i/>
                              <w:sz w:val="22"/>
                              <w:szCs w:val="22"/>
                            </w:rPr>
                          </m:ctrlPr>
                        </m:sSubPr>
                        <m:e>
                          <m:r>
                            <w:rPr>
                              <w:rFonts w:ascii="Cambria Math" w:hAnsi="Cambria Math" w:cs="Arial"/>
                              <w:sz w:val="22"/>
                              <w:szCs w:val="22"/>
                            </w:rPr>
                            <m:t>n</m:t>
                          </m:r>
                        </m:e>
                        <m:sub>
                          <m:r>
                            <w:rPr>
                              <w:rFonts w:ascii="Cambria Math" w:hAnsi="Cambria Math" w:cs="Arial"/>
                              <w:sz w:val="22"/>
                              <w:szCs w:val="22"/>
                            </w:rPr>
                            <m:t>1</m:t>
                          </m:r>
                        </m:sub>
                      </m:sSub>
                    </m:den>
                  </m:f>
                  <m:r>
                    <w:rPr>
                      <w:rFonts w:ascii="Cambria Math" w:hAnsi="Cambria Math" w:cs="Arial"/>
                      <w:sz w:val="22"/>
                      <w:szCs w:val="22"/>
                    </w:rPr>
                    <m:t>+</m:t>
                  </m:r>
                  <m:f>
                    <m:fPr>
                      <m:ctrlPr>
                        <w:rPr>
                          <w:rFonts w:ascii="Cambria Math" w:hAnsi="Cambria Math" w:cs="Arial"/>
                          <w:bCs/>
                          <w:i/>
                          <w:sz w:val="22"/>
                          <w:szCs w:val="22"/>
                        </w:rPr>
                      </m:ctrlPr>
                    </m:fPr>
                    <m:num>
                      <m:sSup>
                        <m:sSupPr>
                          <m:ctrlPr>
                            <w:rPr>
                              <w:rFonts w:ascii="Cambria Math" w:hAnsi="Cambria Math" w:cs="Arial"/>
                              <w:bCs/>
                              <w:i/>
                              <w:sz w:val="22"/>
                              <w:szCs w:val="22"/>
                            </w:rPr>
                          </m:ctrlPr>
                        </m:sSupPr>
                        <m:e>
                          <m:sSub>
                            <m:sSubPr>
                              <m:ctrlPr>
                                <w:rPr>
                                  <w:rFonts w:ascii="Cambria Math" w:hAnsi="Cambria Math" w:cs="Arial"/>
                                  <w:bCs/>
                                  <w:i/>
                                  <w:sz w:val="22"/>
                                  <w:szCs w:val="22"/>
                                </w:rPr>
                              </m:ctrlPr>
                            </m:sSubPr>
                            <m:e>
                              <m:r>
                                <w:rPr>
                                  <w:rFonts w:ascii="Cambria Math" w:hAnsi="Cambria Math" w:cs="Arial"/>
                                  <w:sz w:val="22"/>
                                  <w:szCs w:val="22"/>
                                </w:rPr>
                                <m:t>s</m:t>
                              </m:r>
                            </m:e>
                            <m:sub>
                              <m:r>
                                <w:rPr>
                                  <w:rFonts w:ascii="Cambria Math" w:hAnsi="Cambria Math" w:cs="Arial"/>
                                  <w:sz w:val="22"/>
                                  <w:szCs w:val="22"/>
                                </w:rPr>
                                <m:t>2</m:t>
                              </m:r>
                            </m:sub>
                          </m:sSub>
                        </m:e>
                        <m:sup>
                          <m:r>
                            <w:rPr>
                              <w:rFonts w:ascii="Cambria Math" w:hAnsi="Cambria Math" w:cs="Arial"/>
                              <w:sz w:val="22"/>
                              <w:szCs w:val="22"/>
                            </w:rPr>
                            <m:t>2</m:t>
                          </m:r>
                        </m:sup>
                      </m:sSup>
                    </m:num>
                    <m:den>
                      <m:sSub>
                        <m:sSubPr>
                          <m:ctrlPr>
                            <w:rPr>
                              <w:rFonts w:ascii="Cambria Math" w:hAnsi="Cambria Math" w:cs="Arial"/>
                              <w:bCs/>
                              <w:i/>
                              <w:sz w:val="22"/>
                              <w:szCs w:val="22"/>
                            </w:rPr>
                          </m:ctrlPr>
                        </m:sSubPr>
                        <m:e>
                          <m:r>
                            <w:rPr>
                              <w:rFonts w:ascii="Cambria Math" w:hAnsi="Cambria Math" w:cs="Arial"/>
                              <w:sz w:val="22"/>
                              <w:szCs w:val="22"/>
                            </w:rPr>
                            <m:t>n</m:t>
                          </m:r>
                        </m:e>
                        <m:sub>
                          <m:r>
                            <w:rPr>
                              <w:rFonts w:ascii="Cambria Math" w:hAnsi="Cambria Math" w:cs="Arial"/>
                              <w:sz w:val="22"/>
                              <w:szCs w:val="22"/>
                            </w:rPr>
                            <m:t>2</m:t>
                          </m:r>
                        </m:sub>
                      </m:sSub>
                    </m:den>
                  </m:f>
                </m:e>
              </m:rad>
            </m:den>
          </m:f>
        </m:oMath>
      </m:oMathPara>
    </w:p>
    <w:p w14:paraId="4BB72C84" w14:textId="77777777" w:rsidR="000553F8" w:rsidRPr="006B3B43" w:rsidRDefault="000553F8" w:rsidP="000553F8">
      <w:pPr>
        <w:pStyle w:val="Body"/>
        <w:spacing w:after="0"/>
        <w:ind w:left="360"/>
        <w:rPr>
          <w:rFonts w:ascii="Arial" w:hAnsi="Arial" w:cs="Arial"/>
          <w:bCs/>
        </w:rPr>
      </w:pPr>
      <w:r w:rsidRPr="006B3B43">
        <w:rPr>
          <w:rFonts w:ascii="Arial" w:hAnsi="Arial" w:cs="Arial"/>
          <w:bCs/>
        </w:rPr>
        <w:t xml:space="preserve">where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632"/>
        <w:gridCol w:w="5940"/>
      </w:tblGrid>
      <w:tr w:rsidR="000553F8" w:rsidRPr="00930F59" w14:paraId="7D3C4CFC" w14:textId="77777777" w:rsidTr="00EB437A">
        <w:tc>
          <w:tcPr>
            <w:tcW w:w="648" w:type="dxa"/>
          </w:tcPr>
          <w:p w14:paraId="4D33939A" w14:textId="77777777" w:rsidR="000553F8" w:rsidRPr="00930F59" w:rsidRDefault="000553F8" w:rsidP="00EB437A">
            <w:pPr>
              <w:pStyle w:val="Body"/>
              <w:spacing w:after="0"/>
              <w:ind w:left="360"/>
              <w:rPr>
                <w:rFonts w:ascii="Arial" w:hAnsi="Arial" w:cs="Arial"/>
                <w:sz w:val="20"/>
                <w:szCs w:val="20"/>
                <w:vertAlign w:val="subscript"/>
              </w:rPr>
            </w:pPr>
            <w:proofErr w:type="spellStart"/>
            <w:r w:rsidRPr="00930F59">
              <w:rPr>
                <w:rFonts w:ascii="Arial" w:hAnsi="Arial" w:cs="Arial"/>
                <w:sz w:val="20"/>
                <w:szCs w:val="20"/>
              </w:rPr>
              <w:t>t</w:t>
            </w:r>
            <w:r w:rsidRPr="00930F59">
              <w:rPr>
                <w:rFonts w:ascii="Arial" w:hAnsi="Arial" w:cs="Arial"/>
                <w:sz w:val="20"/>
                <w:szCs w:val="20"/>
                <w:vertAlign w:val="subscript"/>
              </w:rPr>
              <w:t>cal</w:t>
            </w:r>
            <w:proofErr w:type="spellEnd"/>
          </w:p>
        </w:tc>
        <w:tc>
          <w:tcPr>
            <w:tcW w:w="360" w:type="dxa"/>
          </w:tcPr>
          <w:p w14:paraId="4EB25801"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2AE70F22"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calculated t value</w:t>
            </w:r>
          </w:p>
        </w:tc>
      </w:tr>
      <w:tr w:rsidR="000553F8" w:rsidRPr="00930F59" w14:paraId="13505069" w14:textId="77777777" w:rsidTr="00EB437A">
        <w:tc>
          <w:tcPr>
            <w:tcW w:w="648" w:type="dxa"/>
          </w:tcPr>
          <w:p w14:paraId="0D626440" w14:textId="77777777" w:rsidR="000553F8" w:rsidRPr="00930F59" w:rsidRDefault="000553F8" w:rsidP="00EB437A">
            <w:pPr>
              <w:pStyle w:val="Body"/>
              <w:spacing w:after="0"/>
              <w:ind w:left="360"/>
              <w:rPr>
                <w:rFonts w:ascii="Arial" w:hAnsi="Arial" w:cs="Arial"/>
                <w:sz w:val="20"/>
                <w:szCs w:val="20"/>
                <w:vertAlign w:val="subscript"/>
              </w:rPr>
            </w:pPr>
            <w:r w:rsidRPr="00930F59">
              <w:rPr>
                <w:rFonts w:ascii="Arial" w:hAnsi="Arial" w:cs="Arial"/>
                <w:sz w:val="20"/>
                <w:szCs w:val="20"/>
              </w:rPr>
              <w:t>μ</w:t>
            </w:r>
            <w:r w:rsidRPr="00930F59">
              <w:rPr>
                <w:rFonts w:ascii="Arial" w:hAnsi="Arial" w:cs="Arial"/>
                <w:sz w:val="20"/>
                <w:szCs w:val="20"/>
                <w:vertAlign w:val="subscript"/>
              </w:rPr>
              <w:t>1</w:t>
            </w:r>
          </w:p>
        </w:tc>
        <w:tc>
          <w:tcPr>
            <w:tcW w:w="360" w:type="dxa"/>
          </w:tcPr>
          <w:p w14:paraId="12AC92BE"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01862BF0"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Pooled mean (BE, AVC and CR) of adopters</w:t>
            </w:r>
          </w:p>
        </w:tc>
      </w:tr>
      <w:tr w:rsidR="000553F8" w:rsidRPr="00930F59" w14:paraId="20880DE1" w14:textId="77777777" w:rsidTr="00EB437A">
        <w:tc>
          <w:tcPr>
            <w:tcW w:w="648" w:type="dxa"/>
          </w:tcPr>
          <w:p w14:paraId="0B2984CC"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μ</w:t>
            </w:r>
            <w:r w:rsidRPr="00930F59">
              <w:rPr>
                <w:rFonts w:ascii="Arial" w:hAnsi="Arial" w:cs="Arial"/>
                <w:sz w:val="20"/>
                <w:szCs w:val="20"/>
                <w:vertAlign w:val="subscript"/>
              </w:rPr>
              <w:t>1</w:t>
            </w:r>
          </w:p>
        </w:tc>
        <w:tc>
          <w:tcPr>
            <w:tcW w:w="360" w:type="dxa"/>
          </w:tcPr>
          <w:p w14:paraId="52D82B03"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49F6EA51" w14:textId="77777777" w:rsidR="000553F8" w:rsidRPr="00930F59" w:rsidRDefault="000553F8" w:rsidP="00EB437A">
            <w:pPr>
              <w:pStyle w:val="Body"/>
              <w:spacing w:after="0"/>
              <w:ind w:left="360"/>
              <w:rPr>
                <w:rFonts w:ascii="Arial" w:hAnsi="Arial" w:cs="Arial"/>
                <w:b/>
                <w:bCs/>
                <w:sz w:val="20"/>
                <w:szCs w:val="20"/>
              </w:rPr>
            </w:pPr>
            <w:r w:rsidRPr="00930F59">
              <w:rPr>
                <w:rFonts w:ascii="Arial" w:hAnsi="Arial" w:cs="Arial"/>
                <w:sz w:val="20"/>
                <w:szCs w:val="20"/>
              </w:rPr>
              <w:t>Pooled mean (BE, AVC and CR) non-adopters</w:t>
            </w:r>
          </w:p>
        </w:tc>
      </w:tr>
      <w:tr w:rsidR="000553F8" w:rsidRPr="00930F59" w14:paraId="5E141E2B" w14:textId="77777777" w:rsidTr="00EB437A">
        <w:tc>
          <w:tcPr>
            <w:tcW w:w="648" w:type="dxa"/>
          </w:tcPr>
          <w:p w14:paraId="1E892C29"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s</w:t>
            </w:r>
            <w:r w:rsidRPr="00930F59">
              <w:rPr>
                <w:rFonts w:ascii="Arial" w:hAnsi="Arial" w:cs="Arial"/>
                <w:sz w:val="20"/>
                <w:szCs w:val="20"/>
                <w:vertAlign w:val="subscript"/>
              </w:rPr>
              <w:t>1</w:t>
            </w:r>
          </w:p>
        </w:tc>
        <w:tc>
          <w:tcPr>
            <w:tcW w:w="360" w:type="dxa"/>
          </w:tcPr>
          <w:p w14:paraId="0F6FD5F2"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506F6F78"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Standard deviation of adopters</w:t>
            </w:r>
          </w:p>
        </w:tc>
      </w:tr>
      <w:tr w:rsidR="000553F8" w:rsidRPr="00930F59" w14:paraId="2C5AB8C5" w14:textId="77777777" w:rsidTr="00EB437A">
        <w:tc>
          <w:tcPr>
            <w:tcW w:w="648" w:type="dxa"/>
          </w:tcPr>
          <w:p w14:paraId="44D62DB7"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s</w:t>
            </w:r>
            <w:r w:rsidRPr="00930F59">
              <w:rPr>
                <w:rFonts w:ascii="Arial" w:hAnsi="Arial" w:cs="Arial"/>
                <w:sz w:val="20"/>
                <w:szCs w:val="20"/>
                <w:vertAlign w:val="subscript"/>
              </w:rPr>
              <w:t>2</w:t>
            </w:r>
          </w:p>
        </w:tc>
        <w:tc>
          <w:tcPr>
            <w:tcW w:w="360" w:type="dxa"/>
          </w:tcPr>
          <w:p w14:paraId="67A49401"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2FCED1FE"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Standard deviation of non-adopters</w:t>
            </w:r>
          </w:p>
        </w:tc>
      </w:tr>
      <w:tr w:rsidR="000553F8" w:rsidRPr="00930F59" w14:paraId="10B5DFEF" w14:textId="77777777" w:rsidTr="00EB437A">
        <w:tc>
          <w:tcPr>
            <w:tcW w:w="648" w:type="dxa"/>
          </w:tcPr>
          <w:p w14:paraId="2F6F1996" w14:textId="77777777" w:rsidR="000553F8" w:rsidRPr="00930F59" w:rsidRDefault="000553F8" w:rsidP="00EB437A">
            <w:pPr>
              <w:pStyle w:val="Body"/>
              <w:spacing w:after="0"/>
              <w:ind w:left="360"/>
              <w:rPr>
                <w:rFonts w:ascii="Arial" w:hAnsi="Arial" w:cs="Arial"/>
                <w:sz w:val="20"/>
                <w:szCs w:val="20"/>
                <w:vertAlign w:val="subscript"/>
              </w:rPr>
            </w:pPr>
            <w:r w:rsidRPr="00930F59">
              <w:rPr>
                <w:rFonts w:ascii="Arial" w:hAnsi="Arial" w:cs="Arial"/>
                <w:sz w:val="20"/>
                <w:szCs w:val="20"/>
              </w:rPr>
              <w:t>n</w:t>
            </w:r>
            <w:r w:rsidRPr="00930F59">
              <w:rPr>
                <w:rFonts w:ascii="Arial" w:hAnsi="Arial" w:cs="Arial"/>
                <w:sz w:val="20"/>
                <w:szCs w:val="20"/>
                <w:vertAlign w:val="subscript"/>
              </w:rPr>
              <w:t>1</w:t>
            </w:r>
          </w:p>
        </w:tc>
        <w:tc>
          <w:tcPr>
            <w:tcW w:w="360" w:type="dxa"/>
          </w:tcPr>
          <w:p w14:paraId="543555ED"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1D2E350C"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Number of observation (adopters)</w:t>
            </w:r>
          </w:p>
        </w:tc>
      </w:tr>
      <w:tr w:rsidR="000553F8" w:rsidRPr="00930F59" w14:paraId="39C9F99E" w14:textId="77777777" w:rsidTr="00EB437A">
        <w:tc>
          <w:tcPr>
            <w:tcW w:w="648" w:type="dxa"/>
          </w:tcPr>
          <w:p w14:paraId="2C5C8DBF"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n</w:t>
            </w:r>
            <w:r w:rsidRPr="00930F59">
              <w:rPr>
                <w:rFonts w:ascii="Arial" w:hAnsi="Arial" w:cs="Arial"/>
                <w:sz w:val="20"/>
                <w:szCs w:val="20"/>
                <w:vertAlign w:val="subscript"/>
              </w:rPr>
              <w:t>1</w:t>
            </w:r>
          </w:p>
        </w:tc>
        <w:tc>
          <w:tcPr>
            <w:tcW w:w="360" w:type="dxa"/>
          </w:tcPr>
          <w:p w14:paraId="75B69B85"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797933ED" w14:textId="77777777" w:rsidR="000553F8" w:rsidRPr="00930F59" w:rsidRDefault="000553F8" w:rsidP="00EB437A">
            <w:pPr>
              <w:pStyle w:val="Body"/>
              <w:spacing w:after="0"/>
              <w:ind w:left="360"/>
              <w:rPr>
                <w:rFonts w:ascii="Arial" w:hAnsi="Arial" w:cs="Arial"/>
                <w:sz w:val="20"/>
                <w:szCs w:val="20"/>
              </w:rPr>
            </w:pPr>
            <w:r w:rsidRPr="00930F59">
              <w:rPr>
                <w:rFonts w:ascii="Arial" w:hAnsi="Arial" w:cs="Arial"/>
                <w:sz w:val="20"/>
                <w:szCs w:val="20"/>
              </w:rPr>
              <w:t>Number of observation (non-adopters)</w:t>
            </w:r>
          </w:p>
        </w:tc>
      </w:tr>
    </w:tbl>
    <w:p w14:paraId="1479F93E" w14:textId="77777777" w:rsidR="000553F8" w:rsidRDefault="000553F8" w:rsidP="000553F8">
      <w:pPr>
        <w:pStyle w:val="Body"/>
        <w:spacing w:after="0"/>
        <w:ind w:left="360"/>
        <w:rPr>
          <w:rFonts w:ascii="Arial" w:hAnsi="Arial" w:cs="Arial"/>
          <w:b/>
          <w:sz w:val="22"/>
        </w:rPr>
      </w:pPr>
    </w:p>
    <w:p w14:paraId="265B8702" w14:textId="77777777" w:rsidR="000553F8" w:rsidRDefault="000553F8" w:rsidP="000553F8">
      <w:pPr>
        <w:pStyle w:val="Body"/>
        <w:spacing w:after="0"/>
        <w:rPr>
          <w:rFonts w:ascii="Arial" w:hAnsi="Arial" w:cs="Arial"/>
        </w:rPr>
      </w:pPr>
    </w:p>
    <w:p w14:paraId="20571625" w14:textId="77777777" w:rsidR="000553F8" w:rsidRPr="00CC1B01" w:rsidRDefault="000553F8" w:rsidP="000553F8">
      <w:pPr>
        <w:pStyle w:val="Body"/>
        <w:numPr>
          <w:ilvl w:val="1"/>
          <w:numId w:val="31"/>
        </w:numPr>
        <w:spacing w:after="0"/>
        <w:ind w:left="360"/>
        <w:rPr>
          <w:rFonts w:ascii="Arial" w:hAnsi="Arial" w:cs="Arial"/>
          <w:sz w:val="22"/>
          <w:szCs w:val="22"/>
        </w:rPr>
      </w:pPr>
      <w:r>
        <w:rPr>
          <w:rFonts w:ascii="Arial" w:hAnsi="Arial" w:cs="Arial"/>
        </w:rPr>
        <w:t xml:space="preserve"> </w:t>
      </w:r>
      <w:r w:rsidRPr="00CC1B01">
        <w:rPr>
          <w:rFonts w:ascii="Arial" w:hAnsi="Arial" w:cs="Arial"/>
          <w:b/>
          <w:bCs/>
          <w:sz w:val="22"/>
          <w:szCs w:val="22"/>
        </w:rPr>
        <w:t>Adoption factors</w:t>
      </w:r>
    </w:p>
    <w:p w14:paraId="47F948AE" w14:textId="77777777" w:rsidR="000553F8" w:rsidRDefault="000553F8" w:rsidP="000553F8">
      <w:pPr>
        <w:pStyle w:val="NormalWeb"/>
        <w:shd w:val="clear" w:color="auto" w:fill="FFFFFF"/>
        <w:spacing w:before="0" w:beforeAutospacing="0" w:after="0" w:afterAutospacing="0"/>
        <w:jc w:val="both"/>
        <w:rPr>
          <w:rFonts w:ascii="Arial" w:hAnsi="Arial" w:cs="Arial"/>
          <w:color w:val="333333"/>
          <w:spacing w:val="3"/>
          <w:sz w:val="20"/>
          <w:szCs w:val="20"/>
        </w:rPr>
      </w:pPr>
      <w:r w:rsidRPr="00930F59">
        <w:rPr>
          <w:rFonts w:ascii="Arial" w:hAnsi="Arial" w:cs="Arial"/>
          <w:sz w:val="20"/>
          <w:szCs w:val="20"/>
        </w:rPr>
        <w:t xml:space="preserve">For the determination of the adoption factor, a linear probability model (LPM) has been used which </w:t>
      </w:r>
      <w:r w:rsidRPr="00930F59">
        <w:rPr>
          <w:rFonts w:ascii="Arial" w:hAnsi="Arial" w:cs="Arial"/>
          <w:color w:val="333333"/>
          <w:spacing w:val="3"/>
          <w:sz w:val="20"/>
          <w:szCs w:val="20"/>
        </w:rPr>
        <w:t xml:space="preserve">is based on a normal Ordinary Least Square (OLS) linear regression with a binary outcome </w:t>
      </w:r>
      <w:r w:rsidRPr="00930F59">
        <w:rPr>
          <w:rFonts w:ascii="Arial" w:hAnsi="Arial" w:cs="Arial"/>
          <w:i/>
          <w:iCs/>
          <w:color w:val="333333"/>
          <w:spacing w:val="3"/>
          <w:sz w:val="20"/>
          <w:szCs w:val="20"/>
        </w:rPr>
        <w:t xml:space="preserve">i.e. </w:t>
      </w:r>
      <w:r w:rsidRPr="00930F59">
        <w:rPr>
          <w:rFonts w:ascii="Arial" w:hAnsi="Arial" w:cs="Arial"/>
          <w:color w:val="333333"/>
          <w:spacing w:val="3"/>
          <w:sz w:val="20"/>
          <w:szCs w:val="20"/>
        </w:rPr>
        <w:t>adopter and non-adopters (</w:t>
      </w:r>
      <w:r w:rsidRPr="00930F59">
        <w:rPr>
          <w:rFonts w:ascii="Arial" w:hAnsi="Arial" w:cs="Arial"/>
          <w:color w:val="222222"/>
          <w:sz w:val="20"/>
          <w:szCs w:val="20"/>
          <w:shd w:val="clear" w:color="auto" w:fill="FFFFFF"/>
        </w:rPr>
        <w:t xml:space="preserve">Gregor and </w:t>
      </w:r>
      <w:proofErr w:type="spellStart"/>
      <w:r w:rsidRPr="00930F59">
        <w:rPr>
          <w:rFonts w:ascii="Arial" w:hAnsi="Arial" w:cs="Arial"/>
          <w:color w:val="222222"/>
          <w:sz w:val="20"/>
          <w:szCs w:val="20"/>
          <w:shd w:val="clear" w:color="auto" w:fill="FFFFFF"/>
        </w:rPr>
        <w:t>Sewando</w:t>
      </w:r>
      <w:proofErr w:type="spellEnd"/>
      <w:r w:rsidRPr="00930F59">
        <w:rPr>
          <w:rFonts w:ascii="Arial" w:hAnsi="Arial" w:cs="Arial"/>
          <w:color w:val="222222"/>
          <w:sz w:val="20"/>
          <w:szCs w:val="20"/>
          <w:shd w:val="clear" w:color="auto" w:fill="FFFFFF"/>
        </w:rPr>
        <w:t xml:space="preserve">, 2013). </w:t>
      </w:r>
      <w:r w:rsidRPr="00930F59">
        <w:rPr>
          <w:rFonts w:ascii="Arial" w:hAnsi="Arial" w:cs="Arial"/>
          <w:color w:val="333333"/>
          <w:spacing w:val="3"/>
          <w:sz w:val="20"/>
          <w:szCs w:val="20"/>
        </w:rPr>
        <w:t>The equation for the assessment of LPM is-</w:t>
      </w:r>
    </w:p>
    <w:p w14:paraId="416620BD" w14:textId="77777777" w:rsidR="000553F8" w:rsidRPr="00930F59" w:rsidRDefault="000553F8" w:rsidP="000553F8">
      <w:pPr>
        <w:pStyle w:val="NormalWeb"/>
        <w:shd w:val="clear" w:color="auto" w:fill="FFFFFF"/>
        <w:spacing w:before="0" w:beforeAutospacing="0" w:after="0" w:afterAutospacing="0"/>
        <w:jc w:val="both"/>
        <w:rPr>
          <w:rFonts w:ascii="Arial" w:hAnsi="Arial" w:cs="Arial"/>
          <w:color w:val="333333"/>
          <w:spacing w:val="3"/>
          <w:sz w:val="20"/>
          <w:szCs w:val="20"/>
        </w:rPr>
      </w:pPr>
    </w:p>
    <w:p w14:paraId="0602D139" w14:textId="77777777" w:rsidR="000553F8" w:rsidRPr="00930F59" w:rsidRDefault="000553F8" w:rsidP="000553F8">
      <w:pPr>
        <w:pStyle w:val="NormalWeb"/>
        <w:shd w:val="clear" w:color="auto" w:fill="FFFFFF"/>
        <w:spacing w:before="0" w:beforeAutospacing="0" w:after="0" w:afterAutospacing="0"/>
        <w:jc w:val="both"/>
        <w:rPr>
          <w:rFonts w:ascii="Arial" w:hAnsi="Arial" w:cs="Arial"/>
          <w:color w:val="000000" w:themeColor="text1"/>
          <w:sz w:val="20"/>
          <w:szCs w:val="20"/>
          <w:bdr w:val="none" w:sz="0" w:space="0" w:color="auto" w:frame="1"/>
        </w:rPr>
      </w:pPr>
      <m:oMathPara>
        <m:oMath>
          <m:r>
            <w:rPr>
              <w:rFonts w:ascii="Cambria Math" w:hAnsi="Cambria Math" w:cs="Arial"/>
              <w:sz w:val="20"/>
              <w:szCs w:val="20"/>
            </w:rPr>
            <m:t>P</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=1</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d>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4</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7</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r>
            <w:rPr>
              <w:rFonts w:ascii="Cambria Math" w:hAnsi="Cambria Math" w:cs="Arial"/>
              <w:sz w:val="20"/>
              <w:szCs w:val="20"/>
            </w:rPr>
            <m:t>+</m:t>
          </m:r>
          <m:r>
            <m:rPr>
              <m:sty m:val="p"/>
            </m:rPr>
            <w:rPr>
              <w:rFonts w:ascii="Cambria Math" w:hAnsi="Cambria Math" w:cs="Arial"/>
              <w:color w:val="000000" w:themeColor="text1"/>
              <w:sz w:val="20"/>
              <w:szCs w:val="20"/>
              <w:bdr w:val="none" w:sz="0" w:space="0" w:color="auto" w:frame="1"/>
            </w:rPr>
            <m:t>ϵ</m:t>
          </m:r>
        </m:oMath>
      </m:oMathPara>
    </w:p>
    <w:p w14:paraId="35213406" w14:textId="77777777" w:rsidR="000553F8" w:rsidRPr="00930F59" w:rsidRDefault="000553F8" w:rsidP="000553F8">
      <w:pPr>
        <w:pStyle w:val="NormalWeb"/>
        <w:shd w:val="clear" w:color="auto" w:fill="FFFFFF"/>
        <w:spacing w:before="0" w:beforeAutospacing="0" w:after="0" w:afterAutospacing="0"/>
        <w:jc w:val="both"/>
        <w:rPr>
          <w:rFonts w:ascii="Arial" w:hAnsi="Arial" w:cs="Arial"/>
          <w:sz w:val="20"/>
          <w:szCs w:val="20"/>
        </w:rPr>
      </w:pPr>
    </w:p>
    <w:p w14:paraId="55D5AC7C" w14:textId="77777777" w:rsidR="000553F8" w:rsidRDefault="007333BE" w:rsidP="000553F8">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w</w:t>
      </w:r>
      <w:r w:rsidR="000553F8" w:rsidRPr="00930F59">
        <w:rPr>
          <w:rFonts w:ascii="Arial" w:hAnsi="Arial" w:cs="Arial"/>
          <w:sz w:val="20"/>
          <w:szCs w:val="20"/>
        </w:rPr>
        <w:t xml:space="preserve">here, </w:t>
      </w:r>
    </w:p>
    <w:p w14:paraId="0146F6E1" w14:textId="77777777" w:rsidR="000553F8" w:rsidRPr="006B3B43" w:rsidRDefault="000553F8" w:rsidP="000553F8">
      <w:pPr>
        <w:pStyle w:val="NormalWeb"/>
        <w:shd w:val="clear" w:color="auto" w:fill="FFFFFF"/>
        <w:spacing w:before="0" w:beforeAutospacing="0" w:after="0" w:afterAutospacing="0"/>
        <w:jc w:val="both"/>
        <w:rPr>
          <w:rFonts w:ascii="Arial" w:hAnsi="Arial" w:cs="Arial"/>
          <w:color w:val="000000" w:themeColor="text1"/>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346"/>
        <w:gridCol w:w="6900"/>
      </w:tblGrid>
      <w:tr w:rsidR="006B3B43" w:rsidRPr="006B3B43" w14:paraId="6FDB3E2B" w14:textId="77777777" w:rsidTr="006B3B43">
        <w:trPr>
          <w:jc w:val="right"/>
        </w:trPr>
        <w:tc>
          <w:tcPr>
            <w:tcW w:w="1189" w:type="dxa"/>
          </w:tcPr>
          <w:p w14:paraId="1A79C372" w14:textId="77777777" w:rsidR="000553F8" w:rsidRPr="006B3B43" w:rsidRDefault="000553F8" w:rsidP="00EB437A">
            <w:pPr>
              <w:autoSpaceDE w:val="0"/>
              <w:autoSpaceDN w:val="0"/>
              <w:adjustRightInd w:val="0"/>
              <w:jc w:val="both"/>
              <w:rPr>
                <w:rFonts w:ascii="Arial" w:hAnsi="Arial" w:cs="Arial"/>
                <w:color w:val="000000" w:themeColor="text1"/>
                <w:sz w:val="20"/>
                <w:szCs w:val="20"/>
                <w:vertAlign w:val="subscript"/>
              </w:rPr>
            </w:pPr>
            <w:r w:rsidRPr="006B3B43">
              <w:rPr>
                <w:rFonts w:ascii="Arial" w:hAnsi="Arial" w:cs="Arial"/>
                <w:color w:val="000000" w:themeColor="text1"/>
                <w:sz w:val="20"/>
                <w:szCs w:val="20"/>
                <w:bdr w:val="none" w:sz="0" w:space="0" w:color="auto" w:frame="1"/>
                <w:lang w:val="en-IN" w:eastAsia="en-IN"/>
              </w:rPr>
              <w:t>P(Yi=1|Xi)</w:t>
            </w:r>
          </w:p>
        </w:tc>
        <w:tc>
          <w:tcPr>
            <w:tcW w:w="360" w:type="dxa"/>
          </w:tcPr>
          <w:p w14:paraId="4C4BBE9C"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10DC55FB"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probability that the grower is an adopter (1) or not (0)</w:t>
            </w:r>
          </w:p>
        </w:tc>
      </w:tr>
      <w:tr w:rsidR="006B3B43" w:rsidRPr="006B3B43" w14:paraId="4615C12F" w14:textId="77777777" w:rsidTr="006B3B43">
        <w:trPr>
          <w:jc w:val="right"/>
        </w:trPr>
        <w:tc>
          <w:tcPr>
            <w:tcW w:w="1189" w:type="dxa"/>
          </w:tcPr>
          <w:p w14:paraId="48ECFC78" w14:textId="77777777" w:rsidR="000553F8" w:rsidRPr="006B3B43" w:rsidRDefault="000553F8" w:rsidP="00EB437A">
            <w:pPr>
              <w:autoSpaceDE w:val="0"/>
              <w:autoSpaceDN w:val="0"/>
              <w:adjustRightInd w:val="0"/>
              <w:jc w:val="both"/>
              <w:rPr>
                <w:rFonts w:ascii="Arial" w:hAnsi="Arial" w:cs="Arial"/>
                <w:color w:val="000000" w:themeColor="text1"/>
                <w:sz w:val="20"/>
                <w:szCs w:val="20"/>
                <w:vertAlign w:val="subscript"/>
              </w:rPr>
            </w:pPr>
            <w:r w:rsidRPr="006B3B43">
              <w:rPr>
                <w:rFonts w:ascii="Arial" w:hAnsi="Arial" w:cs="Arial"/>
                <w:color w:val="000000" w:themeColor="text1"/>
                <w:spacing w:val="3"/>
                <w:sz w:val="20"/>
                <w:szCs w:val="20"/>
                <w:lang w:val="en-IN" w:eastAsia="en-IN"/>
              </w:rPr>
              <w:t>β</w:t>
            </w:r>
            <w:r w:rsidRPr="006B3B43">
              <w:rPr>
                <w:rFonts w:ascii="Arial" w:hAnsi="Arial" w:cs="Arial"/>
                <w:color w:val="000000" w:themeColor="text1"/>
                <w:spacing w:val="3"/>
                <w:sz w:val="20"/>
                <w:szCs w:val="20"/>
                <w:vertAlign w:val="subscript"/>
                <w:lang w:val="en-IN" w:eastAsia="en-IN"/>
              </w:rPr>
              <w:t>0</w:t>
            </w:r>
          </w:p>
        </w:tc>
        <w:tc>
          <w:tcPr>
            <w:tcW w:w="360" w:type="dxa"/>
          </w:tcPr>
          <w:p w14:paraId="469E6361"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45576DA2"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intercept</w:t>
            </w:r>
          </w:p>
        </w:tc>
      </w:tr>
      <w:tr w:rsidR="006B3B43" w:rsidRPr="006B3B43" w14:paraId="533B401A" w14:textId="77777777" w:rsidTr="006B3B43">
        <w:trPr>
          <w:jc w:val="right"/>
        </w:trPr>
        <w:tc>
          <w:tcPr>
            <w:tcW w:w="1189" w:type="dxa"/>
          </w:tcPr>
          <w:p w14:paraId="4BA1000A"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β</w:t>
            </w:r>
            <w:r w:rsidRPr="006B3B43">
              <w:rPr>
                <w:rFonts w:ascii="Arial" w:hAnsi="Arial" w:cs="Arial"/>
                <w:color w:val="000000" w:themeColor="text1"/>
                <w:spacing w:val="3"/>
                <w:sz w:val="20"/>
                <w:szCs w:val="20"/>
                <w:vertAlign w:val="subscript"/>
                <w:lang w:val="en-IN" w:eastAsia="en-IN"/>
              </w:rPr>
              <w:t>k (k:1-7)</w:t>
            </w:r>
          </w:p>
        </w:tc>
        <w:tc>
          <w:tcPr>
            <w:tcW w:w="360" w:type="dxa"/>
          </w:tcPr>
          <w:p w14:paraId="7A8B62E9" w14:textId="77777777" w:rsidR="000553F8" w:rsidRPr="006B3B43" w:rsidRDefault="000553F8" w:rsidP="00EB437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505E7855" w14:textId="77777777" w:rsidR="000553F8" w:rsidRPr="006B3B43" w:rsidRDefault="000553F8" w:rsidP="00EB437A">
            <w:pPr>
              <w:autoSpaceDE w:val="0"/>
              <w:autoSpaceDN w:val="0"/>
              <w:adjustRightInd w:val="0"/>
              <w:jc w:val="both"/>
              <w:rPr>
                <w:rFonts w:ascii="Arial" w:hAnsi="Arial" w:cs="Arial"/>
                <w:b/>
                <w:bCs/>
                <w:color w:val="000000" w:themeColor="text1"/>
                <w:sz w:val="20"/>
                <w:szCs w:val="20"/>
              </w:rPr>
            </w:pPr>
            <w:r w:rsidRPr="006B3B43">
              <w:rPr>
                <w:rFonts w:ascii="Arial" w:hAnsi="Arial" w:cs="Arial"/>
                <w:color w:val="000000" w:themeColor="text1"/>
                <w:spacing w:val="3"/>
                <w:sz w:val="20"/>
                <w:szCs w:val="20"/>
                <w:lang w:val="en-IN" w:eastAsia="en-IN"/>
              </w:rPr>
              <w:t>probability associated with the determinants (regressors)</w:t>
            </w:r>
          </w:p>
        </w:tc>
      </w:tr>
      <w:tr w:rsidR="000553F8" w:rsidRPr="00930F59" w14:paraId="5834A886" w14:textId="77777777" w:rsidTr="006B3B43">
        <w:trPr>
          <w:jc w:val="right"/>
        </w:trPr>
        <w:tc>
          <w:tcPr>
            <w:tcW w:w="1189" w:type="dxa"/>
          </w:tcPr>
          <w:p w14:paraId="2316FC84"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1 </w:t>
            </w:r>
          </w:p>
        </w:tc>
        <w:tc>
          <w:tcPr>
            <w:tcW w:w="360" w:type="dxa"/>
          </w:tcPr>
          <w:p w14:paraId="43E209FA"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51A5943C"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social group/ caste</w:t>
            </w:r>
          </w:p>
        </w:tc>
      </w:tr>
      <w:tr w:rsidR="000553F8" w:rsidRPr="00930F59" w14:paraId="4FD9871C" w14:textId="77777777" w:rsidTr="006B3B43">
        <w:trPr>
          <w:jc w:val="right"/>
        </w:trPr>
        <w:tc>
          <w:tcPr>
            <w:tcW w:w="1189" w:type="dxa"/>
          </w:tcPr>
          <w:p w14:paraId="7731F7A4"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2 </w:t>
            </w:r>
          </w:p>
        </w:tc>
        <w:tc>
          <w:tcPr>
            <w:tcW w:w="360" w:type="dxa"/>
          </w:tcPr>
          <w:p w14:paraId="52F63C0C"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4B6A80BC"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Sex of the adopter</w:t>
            </w:r>
          </w:p>
        </w:tc>
      </w:tr>
      <w:tr w:rsidR="000553F8" w:rsidRPr="00930F59" w14:paraId="49EDD625" w14:textId="77777777" w:rsidTr="006B3B43">
        <w:trPr>
          <w:jc w:val="right"/>
        </w:trPr>
        <w:tc>
          <w:tcPr>
            <w:tcW w:w="1189" w:type="dxa"/>
          </w:tcPr>
          <w:p w14:paraId="67211CB4" w14:textId="77777777" w:rsidR="000553F8" w:rsidRPr="00930F59" w:rsidRDefault="000553F8" w:rsidP="00EB437A">
            <w:pPr>
              <w:autoSpaceDE w:val="0"/>
              <w:autoSpaceDN w:val="0"/>
              <w:adjustRightInd w:val="0"/>
              <w:jc w:val="both"/>
              <w:rPr>
                <w:rFonts w:ascii="Arial" w:hAnsi="Arial" w:cs="Arial"/>
                <w:color w:val="000000" w:themeColor="text1"/>
                <w:sz w:val="20"/>
                <w:szCs w:val="20"/>
                <w:vertAlign w:val="subscript"/>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3</w:t>
            </w:r>
          </w:p>
        </w:tc>
        <w:tc>
          <w:tcPr>
            <w:tcW w:w="360" w:type="dxa"/>
          </w:tcPr>
          <w:p w14:paraId="7C5715EE"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33F144EC"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lang w:val="en-IN" w:eastAsia="en-IN"/>
              </w:rPr>
              <w:t>Experience (years) in mushroom farming</w:t>
            </w:r>
          </w:p>
        </w:tc>
      </w:tr>
      <w:tr w:rsidR="000553F8" w:rsidRPr="00930F59" w14:paraId="51892B53" w14:textId="77777777" w:rsidTr="006B3B43">
        <w:trPr>
          <w:jc w:val="right"/>
        </w:trPr>
        <w:tc>
          <w:tcPr>
            <w:tcW w:w="1189" w:type="dxa"/>
          </w:tcPr>
          <w:p w14:paraId="443D1D10"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4</w:t>
            </w:r>
          </w:p>
        </w:tc>
        <w:tc>
          <w:tcPr>
            <w:tcW w:w="360" w:type="dxa"/>
          </w:tcPr>
          <w:p w14:paraId="7790BD8F"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06C5137C"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lang w:val="en-IN" w:eastAsia="en-IN"/>
              </w:rPr>
              <w:t>Number of dependents in the household</w:t>
            </w:r>
          </w:p>
        </w:tc>
      </w:tr>
      <w:tr w:rsidR="000553F8" w:rsidRPr="00930F59" w14:paraId="3403E86F" w14:textId="77777777" w:rsidTr="006B3B43">
        <w:trPr>
          <w:jc w:val="right"/>
        </w:trPr>
        <w:tc>
          <w:tcPr>
            <w:tcW w:w="1189" w:type="dxa"/>
          </w:tcPr>
          <w:p w14:paraId="16500099" w14:textId="77777777" w:rsidR="000553F8" w:rsidRPr="00930F59" w:rsidRDefault="000553F8" w:rsidP="00EB437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5 </w:t>
            </w:r>
          </w:p>
        </w:tc>
        <w:tc>
          <w:tcPr>
            <w:tcW w:w="360" w:type="dxa"/>
          </w:tcPr>
          <w:p w14:paraId="1633A136"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55BC4DDD" w14:textId="77777777" w:rsidR="000553F8" w:rsidRPr="00930F59" w:rsidRDefault="000553F8" w:rsidP="00EB437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Grower's education (years)</w:t>
            </w:r>
          </w:p>
        </w:tc>
      </w:tr>
      <w:tr w:rsidR="000553F8" w:rsidRPr="00930F59" w14:paraId="60AE7305" w14:textId="77777777" w:rsidTr="006B3B43">
        <w:trPr>
          <w:jc w:val="right"/>
        </w:trPr>
        <w:tc>
          <w:tcPr>
            <w:tcW w:w="1189" w:type="dxa"/>
          </w:tcPr>
          <w:p w14:paraId="14F8B94D" w14:textId="77777777" w:rsidR="000553F8" w:rsidRPr="00930F59" w:rsidRDefault="000553F8" w:rsidP="00EB437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6</w:t>
            </w:r>
          </w:p>
        </w:tc>
        <w:tc>
          <w:tcPr>
            <w:tcW w:w="360" w:type="dxa"/>
          </w:tcPr>
          <w:p w14:paraId="24E983AF"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2D6D99B5" w14:textId="77777777" w:rsidR="000553F8" w:rsidRPr="00930F59" w:rsidRDefault="000553F8" w:rsidP="00EB437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Major occupation</w:t>
            </w:r>
          </w:p>
        </w:tc>
      </w:tr>
      <w:tr w:rsidR="000553F8" w:rsidRPr="00930F59" w14:paraId="22004901" w14:textId="77777777" w:rsidTr="006B3B43">
        <w:trPr>
          <w:jc w:val="right"/>
        </w:trPr>
        <w:tc>
          <w:tcPr>
            <w:tcW w:w="1189" w:type="dxa"/>
          </w:tcPr>
          <w:p w14:paraId="1F7F5E7C" w14:textId="77777777" w:rsidR="000553F8" w:rsidRPr="00930F59" w:rsidRDefault="000553F8" w:rsidP="00EB437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7</w:t>
            </w:r>
          </w:p>
        </w:tc>
        <w:tc>
          <w:tcPr>
            <w:tcW w:w="360" w:type="dxa"/>
          </w:tcPr>
          <w:p w14:paraId="74588273"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029179F4" w14:textId="77777777" w:rsidR="000553F8" w:rsidRPr="00930F59" w:rsidRDefault="000553F8" w:rsidP="00EB437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Any mushroom farming training attended (yes or no)</w:t>
            </w:r>
          </w:p>
        </w:tc>
      </w:tr>
      <w:tr w:rsidR="000553F8" w:rsidRPr="00930F59" w14:paraId="37E158DA" w14:textId="77777777" w:rsidTr="006B3B43">
        <w:trPr>
          <w:jc w:val="right"/>
        </w:trPr>
        <w:tc>
          <w:tcPr>
            <w:tcW w:w="1189" w:type="dxa"/>
          </w:tcPr>
          <w:p w14:paraId="7FFD6A27" w14:textId="77777777" w:rsidR="000553F8" w:rsidRPr="00930F59" w:rsidRDefault="000553F8" w:rsidP="00EB437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z w:val="20"/>
                <w:szCs w:val="20"/>
                <w:bdr w:val="none" w:sz="0" w:space="0" w:color="auto" w:frame="1"/>
                <w:lang w:val="en-IN" w:eastAsia="en-IN"/>
              </w:rPr>
              <w:t>ϵ</w:t>
            </w:r>
          </w:p>
        </w:tc>
        <w:tc>
          <w:tcPr>
            <w:tcW w:w="360" w:type="dxa"/>
          </w:tcPr>
          <w:p w14:paraId="37DE5341" w14:textId="77777777" w:rsidR="000553F8" w:rsidRPr="00930F59" w:rsidRDefault="000553F8" w:rsidP="00EB437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672CAC78" w14:textId="77777777" w:rsidR="000553F8" w:rsidRPr="00930F59" w:rsidRDefault="000553F8" w:rsidP="00EB437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pacing w:val="3"/>
                <w:sz w:val="20"/>
                <w:szCs w:val="20"/>
                <w:lang w:val="en-IN" w:eastAsia="en-IN"/>
              </w:rPr>
              <w:t>error (difference between the predicted probability and the actual outcome [0/1])</w:t>
            </w:r>
          </w:p>
        </w:tc>
      </w:tr>
    </w:tbl>
    <w:p w14:paraId="5B1A7431" w14:textId="77777777" w:rsidR="000553F8" w:rsidRPr="00930F59" w:rsidRDefault="000553F8" w:rsidP="000553F8">
      <w:pPr>
        <w:shd w:val="clear" w:color="auto" w:fill="FFFFFF"/>
        <w:spacing w:before="100" w:beforeAutospacing="1"/>
        <w:rPr>
          <w:rFonts w:ascii="Arial" w:hAnsi="Arial" w:cs="Arial"/>
          <w:color w:val="000000" w:themeColor="text1"/>
          <w:spacing w:val="3"/>
          <w:lang w:val="en-IN" w:eastAsia="en-IN"/>
        </w:rPr>
      </w:pPr>
      <w:r w:rsidRPr="00930F59">
        <w:rPr>
          <w:rFonts w:ascii="Arial" w:hAnsi="Arial" w:cs="Arial"/>
          <w:color w:val="000000" w:themeColor="text1"/>
          <w:spacing w:val="3"/>
          <w:lang w:val="en-IN" w:eastAsia="en-IN"/>
        </w:rPr>
        <w:t xml:space="preserve">That probability was predicted as a linear function </w:t>
      </w:r>
      <w:r w:rsidRPr="00930F59">
        <w:rPr>
          <w:rFonts w:ascii="Arial" w:hAnsi="Arial" w:cs="Arial"/>
          <w:i/>
          <w:iCs/>
          <w:color w:val="000000" w:themeColor="text1"/>
          <w:spacing w:val="3"/>
          <w:lang w:val="en-IN" w:eastAsia="en-IN"/>
        </w:rPr>
        <w:t>i.e.</w:t>
      </w:r>
      <w:r w:rsidRPr="00930F59">
        <w:rPr>
          <w:rFonts w:ascii="Arial" w:hAnsi="Arial" w:cs="Arial"/>
          <w:color w:val="000000" w:themeColor="text1"/>
          <w:spacing w:val="3"/>
          <w:lang w:val="en-IN" w:eastAsia="en-IN"/>
        </w:rPr>
        <w:t xml:space="preserve"> the effects of all the coefficients are added to get outcome probability.</w:t>
      </w:r>
    </w:p>
    <w:p w14:paraId="20E86334" w14:textId="77777777" w:rsidR="00790ADA" w:rsidRPr="00FB3A86" w:rsidRDefault="00790ADA" w:rsidP="00441B6F">
      <w:pPr>
        <w:pStyle w:val="Body"/>
        <w:spacing w:after="0"/>
        <w:rPr>
          <w:rFonts w:ascii="Arial" w:hAnsi="Arial" w:cs="Arial"/>
        </w:rPr>
      </w:pPr>
    </w:p>
    <w:p w14:paraId="0E328E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9EBCD9" w14:textId="77777777" w:rsidR="00790ADA" w:rsidRPr="00FB3A86" w:rsidRDefault="00790ADA" w:rsidP="00441B6F">
      <w:pPr>
        <w:pStyle w:val="Head1"/>
        <w:spacing w:after="0"/>
        <w:jc w:val="both"/>
        <w:rPr>
          <w:rFonts w:ascii="Arial" w:hAnsi="Arial" w:cs="Arial"/>
        </w:rPr>
      </w:pPr>
    </w:p>
    <w:p w14:paraId="18BFBC82" w14:textId="742C53A2" w:rsidR="005E562C" w:rsidRPr="005E562C" w:rsidRDefault="005E562C" w:rsidP="005E562C">
      <w:pPr>
        <w:pStyle w:val="Body"/>
        <w:rPr>
          <w:rFonts w:ascii="Arial" w:hAnsi="Arial" w:cs="Arial"/>
        </w:rPr>
      </w:pPr>
      <w:r w:rsidRPr="005E562C">
        <w:rPr>
          <w:rFonts w:ascii="Arial" w:hAnsi="Arial" w:cs="Arial"/>
        </w:rPr>
        <w:t xml:space="preserve">Table </w:t>
      </w:r>
      <w:r w:rsidR="00757A9C">
        <w:rPr>
          <w:rFonts w:ascii="Arial" w:hAnsi="Arial" w:cs="Arial"/>
        </w:rPr>
        <w:t>2</w:t>
      </w:r>
      <w:r w:rsidRPr="005E562C">
        <w:rPr>
          <w:rFonts w:ascii="Arial" w:hAnsi="Arial" w:cs="Arial"/>
        </w:rPr>
        <w:t xml:space="preserve"> presents a comparative profile of socio-economic characteristics of ZEPT adopters and non-adopters. A notably higher proportion of female growers is observed among adopters, suggesting that the adoption of ZEPT may be influenced by gender-specific </w:t>
      </w:r>
      <w:proofErr w:type="spellStart"/>
      <w:r w:rsidRPr="005E562C">
        <w:rPr>
          <w:rFonts w:ascii="Arial" w:hAnsi="Arial" w:cs="Arial"/>
        </w:rPr>
        <w:t>labour</w:t>
      </w:r>
      <w:proofErr w:type="spellEnd"/>
      <w:r w:rsidRPr="005E562C">
        <w:rPr>
          <w:rFonts w:ascii="Arial" w:hAnsi="Arial" w:cs="Arial"/>
        </w:rPr>
        <w:t xml:space="preserve"> considerations. The conventional long composting method is </w:t>
      </w:r>
      <w:proofErr w:type="spellStart"/>
      <w:r w:rsidRPr="005E562C">
        <w:rPr>
          <w:rFonts w:ascii="Arial" w:hAnsi="Arial" w:cs="Arial"/>
        </w:rPr>
        <w:t>labour-intensive</w:t>
      </w:r>
      <w:proofErr w:type="spellEnd"/>
      <w:r w:rsidRPr="005E562C">
        <w:rPr>
          <w:rFonts w:ascii="Arial" w:hAnsi="Arial" w:cs="Arial"/>
        </w:rPr>
        <w:t xml:space="preserve"> and physically demanding, involving repeated turnings and manual handling, which may discourage female participation. In contrast, the ZEPT method reduces drudgery through improved aeration and controlled composting, making it relatively more attractive to women growers. This finding highlights the potential of </w:t>
      </w:r>
      <w:proofErr w:type="spellStart"/>
      <w:r w:rsidRPr="005E562C">
        <w:rPr>
          <w:rFonts w:ascii="Arial" w:hAnsi="Arial" w:cs="Arial"/>
        </w:rPr>
        <w:t>labour-saving</w:t>
      </w:r>
      <w:proofErr w:type="spellEnd"/>
      <w:r w:rsidRPr="005E562C">
        <w:rPr>
          <w:rFonts w:ascii="Arial" w:hAnsi="Arial" w:cs="Arial"/>
        </w:rPr>
        <w:t xml:space="preserve"> technologies in enhancing women’s participation in mushroom farming.</w:t>
      </w:r>
    </w:p>
    <w:p w14:paraId="0EAF7B61" w14:textId="77777777" w:rsidR="005E562C" w:rsidRPr="005E562C" w:rsidRDefault="005E562C" w:rsidP="005E562C">
      <w:pPr>
        <w:pStyle w:val="Body"/>
        <w:rPr>
          <w:rFonts w:ascii="Arial" w:hAnsi="Arial" w:cs="Arial"/>
        </w:rPr>
      </w:pPr>
      <w:r w:rsidRPr="005E562C">
        <w:rPr>
          <w:rFonts w:ascii="Arial" w:hAnsi="Arial" w:cs="Arial"/>
        </w:rPr>
        <w:t>Further, both the household head’s education and the grower’s years of formal education are higher among adopters, indicating the role of human capital in technology adoption. Educated growers are more likely to access information, comprehend technical advantages, and perceive long-term economic benefits associated with improved composting methods. This aligns with the broader literature suggesting a positive association between education and adoption of agricultural innovations.</w:t>
      </w:r>
    </w:p>
    <w:p w14:paraId="7D1CFBE5" w14:textId="77777777" w:rsidR="005E562C" w:rsidRDefault="005E562C" w:rsidP="005E562C">
      <w:pPr>
        <w:pStyle w:val="Body"/>
        <w:spacing w:after="0"/>
        <w:rPr>
          <w:rFonts w:ascii="Arial" w:hAnsi="Arial" w:cs="Arial"/>
        </w:rPr>
      </w:pPr>
      <w:r w:rsidRPr="005E562C">
        <w:rPr>
          <w:rFonts w:ascii="Arial" w:hAnsi="Arial" w:cs="Arial"/>
        </w:rPr>
        <w:t xml:space="preserve">In contrast, adopters and non-adopters do not differ significantly with respect to experience in mushroom cultivation, share of mushroom income in total household income, and land endowment. This suggests that ZEPT adoption is not constrained by scale of operation or asset ownership, but rather driven by knowledge-based and </w:t>
      </w:r>
      <w:proofErr w:type="spellStart"/>
      <w:r w:rsidRPr="005E562C">
        <w:rPr>
          <w:rFonts w:ascii="Arial" w:hAnsi="Arial" w:cs="Arial"/>
        </w:rPr>
        <w:t>labour</w:t>
      </w:r>
      <w:proofErr w:type="spellEnd"/>
      <w:r w:rsidRPr="005E562C">
        <w:rPr>
          <w:rFonts w:ascii="Arial" w:hAnsi="Arial" w:cs="Arial"/>
        </w:rPr>
        <w:t>-efficiency considerations. The absence of significant differences in farming experience further indicates that both relatively new and experienced growers are equally capable of adopting the technology, provided adequate awareness and training are available.</w:t>
      </w:r>
    </w:p>
    <w:p w14:paraId="5BF88137" w14:textId="77777777" w:rsidR="005E562C" w:rsidRDefault="005E562C" w:rsidP="005E562C">
      <w:pPr>
        <w:pStyle w:val="Body"/>
        <w:spacing w:after="0"/>
        <w:rPr>
          <w:rFonts w:ascii="Arial" w:hAnsi="Arial" w:cs="Arial"/>
        </w:rPr>
      </w:pPr>
    </w:p>
    <w:p w14:paraId="67821317" w14:textId="639154BA" w:rsidR="003E4B78" w:rsidRDefault="003E4B78" w:rsidP="005E562C">
      <w:pPr>
        <w:pStyle w:val="Body"/>
        <w:spacing w:after="0"/>
        <w:rPr>
          <w:rFonts w:ascii="Arial" w:hAnsi="Arial" w:cs="Arial"/>
          <w:b/>
          <w:bCs/>
        </w:rPr>
      </w:pPr>
      <w:r w:rsidRPr="00910A68">
        <w:rPr>
          <w:rFonts w:ascii="Arial" w:hAnsi="Arial" w:cs="Arial"/>
          <w:b/>
          <w:bCs/>
        </w:rPr>
        <w:t xml:space="preserve">Table </w:t>
      </w:r>
      <w:r w:rsidR="00757A9C">
        <w:rPr>
          <w:rFonts w:ascii="Arial" w:hAnsi="Arial" w:cs="Arial"/>
          <w:b/>
          <w:bCs/>
        </w:rPr>
        <w:t>2</w:t>
      </w:r>
      <w:r w:rsidRPr="00910A68">
        <w:rPr>
          <w:rFonts w:ascii="Arial" w:hAnsi="Arial" w:cs="Arial"/>
          <w:b/>
          <w:bCs/>
        </w:rPr>
        <w:t xml:space="preserve"> Socioeconomic profile of mushroom growers: ZEPT adopter vs non-adopter</w:t>
      </w:r>
    </w:p>
    <w:p w14:paraId="042339B8" w14:textId="77777777" w:rsidR="005E562C" w:rsidRPr="00910A68" w:rsidRDefault="005E562C" w:rsidP="005E562C">
      <w:pPr>
        <w:pStyle w:val="Body"/>
        <w:spacing w:after="0"/>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1321"/>
        <w:gridCol w:w="1248"/>
        <w:gridCol w:w="1106"/>
        <w:gridCol w:w="879"/>
        <w:gridCol w:w="859"/>
      </w:tblGrid>
      <w:tr w:rsidR="003E4B78" w:rsidRPr="00910A68" w14:paraId="2AF392D2" w14:textId="77777777" w:rsidTr="00EB437A">
        <w:trPr>
          <w:trHeight w:val="350"/>
          <w:jc w:val="center"/>
        </w:trPr>
        <w:tc>
          <w:tcPr>
            <w:tcW w:w="3403" w:type="dxa"/>
            <w:tcBorders>
              <w:top w:val="single" w:sz="4" w:space="0" w:color="auto"/>
              <w:bottom w:val="single" w:sz="4" w:space="0" w:color="auto"/>
              <w:right w:val="single" w:sz="4" w:space="0" w:color="auto"/>
            </w:tcBorders>
            <w:vAlign w:val="center"/>
          </w:tcPr>
          <w:p w14:paraId="5669EB95"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Variables</w:t>
            </w:r>
          </w:p>
        </w:tc>
        <w:tc>
          <w:tcPr>
            <w:tcW w:w="1367" w:type="dxa"/>
            <w:tcBorders>
              <w:top w:val="single" w:sz="4" w:space="0" w:color="auto"/>
              <w:left w:val="single" w:sz="4" w:space="0" w:color="auto"/>
              <w:bottom w:val="single" w:sz="4" w:space="0" w:color="auto"/>
              <w:right w:val="single" w:sz="4" w:space="0" w:color="auto"/>
            </w:tcBorders>
            <w:vAlign w:val="center"/>
          </w:tcPr>
          <w:p w14:paraId="387FA59F"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Unit</w:t>
            </w:r>
          </w:p>
        </w:tc>
        <w:tc>
          <w:tcPr>
            <w:tcW w:w="1367" w:type="dxa"/>
            <w:tcBorders>
              <w:top w:val="single" w:sz="4" w:space="0" w:color="auto"/>
              <w:left w:val="single" w:sz="4" w:space="0" w:color="auto"/>
              <w:bottom w:val="single" w:sz="4" w:space="0" w:color="auto"/>
            </w:tcBorders>
            <w:vAlign w:val="center"/>
          </w:tcPr>
          <w:p w14:paraId="14018D38"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Mean</w:t>
            </w:r>
          </w:p>
        </w:tc>
        <w:tc>
          <w:tcPr>
            <w:tcW w:w="1195" w:type="dxa"/>
            <w:tcBorders>
              <w:top w:val="single" w:sz="4" w:space="0" w:color="auto"/>
              <w:bottom w:val="single" w:sz="4" w:space="0" w:color="auto"/>
            </w:tcBorders>
            <w:vAlign w:val="center"/>
          </w:tcPr>
          <w:p w14:paraId="1A9369A0"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S.D.</w:t>
            </w:r>
          </w:p>
        </w:tc>
        <w:tc>
          <w:tcPr>
            <w:tcW w:w="951" w:type="dxa"/>
            <w:tcBorders>
              <w:top w:val="single" w:sz="4" w:space="0" w:color="auto"/>
              <w:bottom w:val="single" w:sz="4" w:space="0" w:color="auto"/>
            </w:tcBorders>
            <w:vAlign w:val="center"/>
          </w:tcPr>
          <w:p w14:paraId="2447CF28"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Min</w:t>
            </w:r>
          </w:p>
        </w:tc>
        <w:tc>
          <w:tcPr>
            <w:tcW w:w="917" w:type="dxa"/>
            <w:tcBorders>
              <w:top w:val="single" w:sz="4" w:space="0" w:color="auto"/>
              <w:bottom w:val="single" w:sz="4" w:space="0" w:color="auto"/>
            </w:tcBorders>
            <w:vAlign w:val="center"/>
          </w:tcPr>
          <w:p w14:paraId="71E2F590"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Max</w:t>
            </w:r>
          </w:p>
        </w:tc>
      </w:tr>
      <w:tr w:rsidR="003E4B78" w:rsidRPr="00910A68" w14:paraId="040F6153" w14:textId="77777777" w:rsidTr="00EB437A">
        <w:trPr>
          <w:trHeight w:val="350"/>
          <w:jc w:val="center"/>
        </w:trPr>
        <w:tc>
          <w:tcPr>
            <w:tcW w:w="9200" w:type="dxa"/>
            <w:gridSpan w:val="6"/>
            <w:tcBorders>
              <w:top w:val="single" w:sz="4" w:space="0" w:color="auto"/>
              <w:bottom w:val="single" w:sz="4" w:space="0" w:color="auto"/>
            </w:tcBorders>
          </w:tcPr>
          <w:p w14:paraId="5D543F5B"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Adopters (ZEPT method)</w:t>
            </w:r>
          </w:p>
        </w:tc>
      </w:tr>
      <w:tr w:rsidR="003E4B78" w:rsidRPr="00910A68" w14:paraId="2581AE98" w14:textId="77777777" w:rsidTr="00EB437A">
        <w:trPr>
          <w:jc w:val="center"/>
        </w:trPr>
        <w:tc>
          <w:tcPr>
            <w:tcW w:w="3403" w:type="dxa"/>
            <w:tcBorders>
              <w:top w:val="single" w:sz="4" w:space="0" w:color="auto"/>
              <w:right w:val="single" w:sz="4" w:space="0" w:color="auto"/>
            </w:tcBorders>
          </w:tcPr>
          <w:p w14:paraId="5D1569C5" w14:textId="77777777" w:rsidR="003E4B78" w:rsidRPr="00910A68" w:rsidRDefault="003E4B78" w:rsidP="00A27F44">
            <w:pPr>
              <w:pStyle w:val="Body"/>
              <w:spacing w:after="0"/>
              <w:rPr>
                <w:rFonts w:ascii="Arial" w:hAnsi="Arial" w:cs="Arial"/>
                <w:sz w:val="20"/>
              </w:rPr>
            </w:pPr>
            <w:r w:rsidRPr="00910A68">
              <w:rPr>
                <w:rFonts w:ascii="Arial" w:hAnsi="Arial" w:cs="Arial"/>
                <w:sz w:val="20"/>
              </w:rPr>
              <w:t>Female growers</w:t>
            </w:r>
          </w:p>
        </w:tc>
        <w:tc>
          <w:tcPr>
            <w:tcW w:w="1367" w:type="dxa"/>
            <w:tcBorders>
              <w:top w:val="single" w:sz="4" w:space="0" w:color="auto"/>
              <w:left w:val="single" w:sz="4" w:space="0" w:color="auto"/>
              <w:right w:val="single" w:sz="4" w:space="0" w:color="auto"/>
            </w:tcBorders>
          </w:tcPr>
          <w:p w14:paraId="19878263"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top w:val="single" w:sz="4" w:space="0" w:color="auto"/>
              <w:left w:val="single" w:sz="4" w:space="0" w:color="auto"/>
            </w:tcBorders>
          </w:tcPr>
          <w:p w14:paraId="7EA1BEF1" w14:textId="77777777" w:rsidR="003E4B78" w:rsidRPr="00910A68" w:rsidRDefault="003E4B78" w:rsidP="00A27F44">
            <w:pPr>
              <w:pStyle w:val="Body"/>
              <w:spacing w:after="0"/>
              <w:rPr>
                <w:rFonts w:ascii="Arial" w:hAnsi="Arial" w:cs="Arial"/>
                <w:sz w:val="20"/>
              </w:rPr>
            </w:pPr>
            <w:r w:rsidRPr="00910A68">
              <w:rPr>
                <w:rFonts w:ascii="Arial" w:hAnsi="Arial" w:cs="Arial"/>
                <w:sz w:val="20"/>
              </w:rPr>
              <w:t>0.30</w:t>
            </w:r>
          </w:p>
        </w:tc>
        <w:tc>
          <w:tcPr>
            <w:tcW w:w="1195" w:type="dxa"/>
            <w:tcBorders>
              <w:top w:val="single" w:sz="4" w:space="0" w:color="auto"/>
            </w:tcBorders>
          </w:tcPr>
          <w:p w14:paraId="1E271F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0.45</w:t>
            </w:r>
          </w:p>
        </w:tc>
        <w:tc>
          <w:tcPr>
            <w:tcW w:w="951" w:type="dxa"/>
            <w:tcBorders>
              <w:top w:val="single" w:sz="4" w:space="0" w:color="auto"/>
            </w:tcBorders>
          </w:tcPr>
          <w:p w14:paraId="5DEF9C4E"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top w:val="single" w:sz="4" w:space="0" w:color="auto"/>
            </w:tcBorders>
          </w:tcPr>
          <w:p w14:paraId="4C4C4862"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03B27A9F" w14:textId="77777777" w:rsidTr="00EB437A">
        <w:trPr>
          <w:jc w:val="center"/>
        </w:trPr>
        <w:tc>
          <w:tcPr>
            <w:tcW w:w="3403" w:type="dxa"/>
            <w:tcBorders>
              <w:right w:val="single" w:sz="4" w:space="0" w:color="auto"/>
            </w:tcBorders>
          </w:tcPr>
          <w:p w14:paraId="7B13D2A2" w14:textId="77777777" w:rsidR="003E4B78" w:rsidRPr="00910A68" w:rsidRDefault="003E4B78" w:rsidP="00A27F44">
            <w:pPr>
              <w:pStyle w:val="Body"/>
              <w:spacing w:after="0"/>
              <w:rPr>
                <w:rFonts w:ascii="Arial" w:hAnsi="Arial" w:cs="Arial"/>
                <w:sz w:val="20"/>
              </w:rPr>
            </w:pPr>
            <w:r w:rsidRPr="00910A68">
              <w:rPr>
                <w:rFonts w:ascii="Arial" w:hAnsi="Arial" w:cs="Arial"/>
                <w:sz w:val="20"/>
              </w:rPr>
              <w:t>Head’s Education (years)</w:t>
            </w:r>
          </w:p>
        </w:tc>
        <w:tc>
          <w:tcPr>
            <w:tcW w:w="1367" w:type="dxa"/>
            <w:tcBorders>
              <w:left w:val="single" w:sz="4" w:space="0" w:color="auto"/>
              <w:right w:val="single" w:sz="4" w:space="0" w:color="auto"/>
            </w:tcBorders>
          </w:tcPr>
          <w:p w14:paraId="428493C0"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7325132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12.75</w:t>
            </w:r>
          </w:p>
        </w:tc>
        <w:tc>
          <w:tcPr>
            <w:tcW w:w="1195" w:type="dxa"/>
          </w:tcPr>
          <w:p w14:paraId="705D8ACC" w14:textId="77777777" w:rsidR="003E4B78" w:rsidRPr="00910A68" w:rsidRDefault="003E4B78" w:rsidP="00A27F44">
            <w:pPr>
              <w:pStyle w:val="Body"/>
              <w:spacing w:after="0"/>
              <w:rPr>
                <w:rFonts w:ascii="Arial" w:hAnsi="Arial" w:cs="Arial"/>
                <w:sz w:val="20"/>
              </w:rPr>
            </w:pPr>
            <w:r w:rsidRPr="00910A68">
              <w:rPr>
                <w:rFonts w:ascii="Arial" w:hAnsi="Arial" w:cs="Arial"/>
                <w:sz w:val="20"/>
              </w:rPr>
              <w:t>2.26</w:t>
            </w:r>
          </w:p>
        </w:tc>
        <w:tc>
          <w:tcPr>
            <w:tcW w:w="951" w:type="dxa"/>
          </w:tcPr>
          <w:p w14:paraId="4FA2B237"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2F9BB66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2362683A" w14:textId="77777777" w:rsidTr="00EB437A">
        <w:trPr>
          <w:jc w:val="center"/>
        </w:trPr>
        <w:tc>
          <w:tcPr>
            <w:tcW w:w="3403" w:type="dxa"/>
            <w:tcBorders>
              <w:right w:val="single" w:sz="4" w:space="0" w:color="auto"/>
            </w:tcBorders>
          </w:tcPr>
          <w:p w14:paraId="7116E560"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Education (years)</w:t>
            </w:r>
          </w:p>
        </w:tc>
        <w:tc>
          <w:tcPr>
            <w:tcW w:w="1367" w:type="dxa"/>
            <w:tcBorders>
              <w:left w:val="single" w:sz="4" w:space="0" w:color="auto"/>
              <w:right w:val="single" w:sz="4" w:space="0" w:color="auto"/>
            </w:tcBorders>
          </w:tcPr>
          <w:p w14:paraId="166A75E2"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0D39290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14.75</w:t>
            </w:r>
          </w:p>
        </w:tc>
        <w:tc>
          <w:tcPr>
            <w:tcW w:w="1195" w:type="dxa"/>
          </w:tcPr>
          <w:p w14:paraId="64E8E2A3"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1.79</w:t>
            </w:r>
          </w:p>
        </w:tc>
        <w:tc>
          <w:tcPr>
            <w:tcW w:w="951" w:type="dxa"/>
          </w:tcPr>
          <w:p w14:paraId="554B7E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12</w:t>
            </w:r>
          </w:p>
        </w:tc>
        <w:tc>
          <w:tcPr>
            <w:tcW w:w="917" w:type="dxa"/>
          </w:tcPr>
          <w:p w14:paraId="4C383552"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4C385622" w14:textId="77777777" w:rsidTr="00EB437A">
        <w:trPr>
          <w:jc w:val="center"/>
        </w:trPr>
        <w:tc>
          <w:tcPr>
            <w:tcW w:w="3403" w:type="dxa"/>
            <w:tcBorders>
              <w:right w:val="single" w:sz="4" w:space="0" w:color="auto"/>
            </w:tcBorders>
          </w:tcPr>
          <w:p w14:paraId="11453FF5"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Age (years)</w:t>
            </w:r>
          </w:p>
        </w:tc>
        <w:tc>
          <w:tcPr>
            <w:tcW w:w="1367" w:type="dxa"/>
            <w:tcBorders>
              <w:left w:val="single" w:sz="4" w:space="0" w:color="auto"/>
              <w:right w:val="single" w:sz="4" w:space="0" w:color="auto"/>
            </w:tcBorders>
          </w:tcPr>
          <w:p w14:paraId="28B3470A"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00B9047B" w14:textId="77777777" w:rsidR="003E4B78" w:rsidRPr="00910A68" w:rsidRDefault="003E4B78" w:rsidP="00A27F44">
            <w:pPr>
              <w:pStyle w:val="Body"/>
              <w:spacing w:after="0"/>
              <w:rPr>
                <w:rFonts w:ascii="Arial" w:hAnsi="Arial" w:cs="Arial"/>
                <w:sz w:val="20"/>
              </w:rPr>
            </w:pPr>
            <w:r w:rsidRPr="00910A68">
              <w:rPr>
                <w:rFonts w:ascii="Arial" w:hAnsi="Arial" w:cs="Arial"/>
                <w:sz w:val="20"/>
              </w:rPr>
              <w:t>35.05</w:t>
            </w:r>
          </w:p>
        </w:tc>
        <w:tc>
          <w:tcPr>
            <w:tcW w:w="1195" w:type="dxa"/>
          </w:tcPr>
          <w:p w14:paraId="54ED9EDA" w14:textId="77777777" w:rsidR="003E4B78" w:rsidRPr="00910A68" w:rsidRDefault="003E4B78" w:rsidP="00A27F44">
            <w:pPr>
              <w:pStyle w:val="Body"/>
              <w:spacing w:after="0"/>
              <w:rPr>
                <w:rFonts w:ascii="Arial" w:hAnsi="Arial" w:cs="Arial"/>
                <w:sz w:val="20"/>
              </w:rPr>
            </w:pPr>
            <w:r w:rsidRPr="00910A68">
              <w:rPr>
                <w:rFonts w:ascii="Arial" w:hAnsi="Arial" w:cs="Arial"/>
                <w:sz w:val="20"/>
              </w:rPr>
              <w:t>6.72</w:t>
            </w:r>
          </w:p>
        </w:tc>
        <w:tc>
          <w:tcPr>
            <w:tcW w:w="951" w:type="dxa"/>
          </w:tcPr>
          <w:p w14:paraId="3AF3E591" w14:textId="77777777" w:rsidR="003E4B78" w:rsidRPr="00910A68" w:rsidRDefault="003E4B78" w:rsidP="00A27F44">
            <w:pPr>
              <w:pStyle w:val="Body"/>
              <w:spacing w:after="0"/>
              <w:rPr>
                <w:rFonts w:ascii="Arial" w:hAnsi="Arial" w:cs="Arial"/>
                <w:sz w:val="20"/>
              </w:rPr>
            </w:pPr>
            <w:r w:rsidRPr="00910A68">
              <w:rPr>
                <w:rFonts w:ascii="Arial" w:hAnsi="Arial" w:cs="Arial"/>
                <w:sz w:val="20"/>
              </w:rPr>
              <w:t>24</w:t>
            </w:r>
          </w:p>
        </w:tc>
        <w:tc>
          <w:tcPr>
            <w:tcW w:w="917" w:type="dxa"/>
          </w:tcPr>
          <w:p w14:paraId="39BABED9" w14:textId="77777777" w:rsidR="003E4B78" w:rsidRPr="00910A68" w:rsidRDefault="003E4B78" w:rsidP="00A27F44">
            <w:pPr>
              <w:pStyle w:val="Body"/>
              <w:spacing w:after="0"/>
              <w:rPr>
                <w:rFonts w:ascii="Arial" w:hAnsi="Arial" w:cs="Arial"/>
                <w:sz w:val="20"/>
              </w:rPr>
            </w:pPr>
            <w:r w:rsidRPr="00910A68">
              <w:rPr>
                <w:rFonts w:ascii="Arial" w:hAnsi="Arial" w:cs="Arial"/>
                <w:sz w:val="20"/>
              </w:rPr>
              <w:t>50</w:t>
            </w:r>
          </w:p>
        </w:tc>
      </w:tr>
      <w:tr w:rsidR="003E4B78" w:rsidRPr="00910A68" w14:paraId="7006E252" w14:textId="77777777" w:rsidTr="00EB437A">
        <w:trPr>
          <w:jc w:val="center"/>
        </w:trPr>
        <w:tc>
          <w:tcPr>
            <w:tcW w:w="3403" w:type="dxa"/>
            <w:tcBorders>
              <w:right w:val="single" w:sz="4" w:space="0" w:color="auto"/>
            </w:tcBorders>
          </w:tcPr>
          <w:p w14:paraId="284D453F" w14:textId="77777777" w:rsidR="003E4B78" w:rsidRPr="00910A68" w:rsidRDefault="003E4B78" w:rsidP="00A27F44">
            <w:pPr>
              <w:pStyle w:val="Body"/>
              <w:spacing w:after="0"/>
              <w:rPr>
                <w:rFonts w:ascii="Arial" w:hAnsi="Arial" w:cs="Arial"/>
                <w:sz w:val="20"/>
              </w:rPr>
            </w:pPr>
            <w:r w:rsidRPr="00910A68">
              <w:rPr>
                <w:rFonts w:ascii="Arial" w:hAnsi="Arial" w:cs="Arial"/>
                <w:sz w:val="20"/>
              </w:rPr>
              <w:t>Dependents in household</w:t>
            </w:r>
          </w:p>
        </w:tc>
        <w:tc>
          <w:tcPr>
            <w:tcW w:w="1367" w:type="dxa"/>
            <w:tcBorders>
              <w:left w:val="single" w:sz="4" w:space="0" w:color="auto"/>
              <w:right w:val="single" w:sz="4" w:space="0" w:color="auto"/>
            </w:tcBorders>
          </w:tcPr>
          <w:p w14:paraId="37665522" w14:textId="77777777" w:rsidR="003E4B78" w:rsidRPr="00910A68" w:rsidRDefault="003E4B78" w:rsidP="00A27F44">
            <w:pPr>
              <w:pStyle w:val="Body"/>
              <w:spacing w:after="0"/>
              <w:rPr>
                <w:rFonts w:ascii="Arial" w:hAnsi="Arial" w:cs="Arial"/>
                <w:sz w:val="20"/>
              </w:rPr>
            </w:pPr>
            <w:r w:rsidRPr="00910A68">
              <w:rPr>
                <w:rFonts w:ascii="Arial" w:hAnsi="Arial" w:cs="Arial"/>
                <w:sz w:val="20"/>
              </w:rPr>
              <w:t>number</w:t>
            </w:r>
          </w:p>
        </w:tc>
        <w:tc>
          <w:tcPr>
            <w:tcW w:w="1367" w:type="dxa"/>
            <w:tcBorders>
              <w:left w:val="single" w:sz="4" w:space="0" w:color="auto"/>
            </w:tcBorders>
          </w:tcPr>
          <w:p w14:paraId="6BDCCB9F" w14:textId="77777777" w:rsidR="003E4B78" w:rsidRPr="00910A68" w:rsidRDefault="003E4B78" w:rsidP="00A27F44">
            <w:pPr>
              <w:pStyle w:val="Body"/>
              <w:spacing w:after="0"/>
              <w:rPr>
                <w:rFonts w:ascii="Arial" w:hAnsi="Arial" w:cs="Arial"/>
                <w:sz w:val="20"/>
              </w:rPr>
            </w:pPr>
            <w:r w:rsidRPr="00910A68">
              <w:rPr>
                <w:rFonts w:ascii="Arial" w:hAnsi="Arial" w:cs="Arial"/>
                <w:sz w:val="20"/>
              </w:rPr>
              <w:t>3.35</w:t>
            </w:r>
          </w:p>
        </w:tc>
        <w:tc>
          <w:tcPr>
            <w:tcW w:w="1195" w:type="dxa"/>
          </w:tcPr>
          <w:p w14:paraId="107C7D8A"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1.77</w:t>
            </w:r>
          </w:p>
        </w:tc>
        <w:tc>
          <w:tcPr>
            <w:tcW w:w="951" w:type="dxa"/>
          </w:tcPr>
          <w:p w14:paraId="12E8C47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06C5DEF4"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r>
      <w:tr w:rsidR="003E4B78" w:rsidRPr="00910A68" w14:paraId="0A755393" w14:textId="77777777" w:rsidTr="00EB437A">
        <w:trPr>
          <w:jc w:val="center"/>
        </w:trPr>
        <w:tc>
          <w:tcPr>
            <w:tcW w:w="3403" w:type="dxa"/>
            <w:tcBorders>
              <w:right w:val="single" w:sz="4" w:space="0" w:color="auto"/>
            </w:tcBorders>
          </w:tcPr>
          <w:p w14:paraId="53256005" w14:textId="77777777" w:rsidR="003E4B78" w:rsidRPr="00910A68" w:rsidRDefault="003E4B78" w:rsidP="00A27F44">
            <w:pPr>
              <w:pStyle w:val="Body"/>
              <w:spacing w:after="0"/>
              <w:rPr>
                <w:rFonts w:ascii="Arial" w:hAnsi="Arial" w:cs="Arial"/>
                <w:sz w:val="20"/>
              </w:rPr>
            </w:pPr>
            <w:r w:rsidRPr="00910A68">
              <w:rPr>
                <w:rFonts w:ascii="Arial" w:hAnsi="Arial" w:cs="Arial"/>
                <w:sz w:val="20"/>
              </w:rPr>
              <w:t xml:space="preserve">Mushroom farming experience </w:t>
            </w:r>
          </w:p>
        </w:tc>
        <w:tc>
          <w:tcPr>
            <w:tcW w:w="1367" w:type="dxa"/>
            <w:tcBorders>
              <w:left w:val="single" w:sz="4" w:space="0" w:color="auto"/>
              <w:right w:val="single" w:sz="4" w:space="0" w:color="auto"/>
            </w:tcBorders>
          </w:tcPr>
          <w:p w14:paraId="5BE17FF3"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74F668D6" w14:textId="77777777" w:rsidR="003E4B78" w:rsidRPr="00910A68" w:rsidRDefault="003E4B78" w:rsidP="00A27F44">
            <w:pPr>
              <w:pStyle w:val="Body"/>
              <w:spacing w:after="0"/>
              <w:rPr>
                <w:rFonts w:ascii="Arial" w:hAnsi="Arial" w:cs="Arial"/>
                <w:sz w:val="20"/>
              </w:rPr>
            </w:pPr>
            <w:r w:rsidRPr="00910A68">
              <w:rPr>
                <w:rFonts w:ascii="Arial" w:hAnsi="Arial" w:cs="Arial"/>
                <w:sz w:val="20"/>
              </w:rPr>
              <w:t>4.15</w:t>
            </w:r>
          </w:p>
        </w:tc>
        <w:tc>
          <w:tcPr>
            <w:tcW w:w="1195" w:type="dxa"/>
          </w:tcPr>
          <w:p w14:paraId="2C20D899" w14:textId="77777777" w:rsidR="003E4B78" w:rsidRPr="00910A68" w:rsidRDefault="003E4B78" w:rsidP="00A27F44">
            <w:pPr>
              <w:pStyle w:val="Body"/>
              <w:spacing w:after="0"/>
              <w:rPr>
                <w:rFonts w:ascii="Arial" w:hAnsi="Arial" w:cs="Arial"/>
                <w:sz w:val="20"/>
              </w:rPr>
            </w:pPr>
            <w:r w:rsidRPr="00910A68">
              <w:rPr>
                <w:rFonts w:ascii="Arial" w:hAnsi="Arial" w:cs="Arial"/>
                <w:sz w:val="20"/>
              </w:rPr>
              <w:t>3.82</w:t>
            </w:r>
          </w:p>
        </w:tc>
        <w:tc>
          <w:tcPr>
            <w:tcW w:w="951" w:type="dxa"/>
          </w:tcPr>
          <w:p w14:paraId="03222CFE"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5124C3B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06D23EC1" w14:textId="77777777" w:rsidTr="00EB437A">
        <w:trPr>
          <w:jc w:val="center"/>
        </w:trPr>
        <w:tc>
          <w:tcPr>
            <w:tcW w:w="3403" w:type="dxa"/>
            <w:tcBorders>
              <w:right w:val="single" w:sz="4" w:space="0" w:color="auto"/>
            </w:tcBorders>
          </w:tcPr>
          <w:p w14:paraId="5213DDD5" w14:textId="77777777" w:rsidR="003E4B78" w:rsidRPr="00910A68" w:rsidRDefault="003E4B78" w:rsidP="00A27F44">
            <w:pPr>
              <w:pStyle w:val="Body"/>
              <w:spacing w:after="0"/>
              <w:rPr>
                <w:rFonts w:ascii="Arial" w:hAnsi="Arial" w:cs="Arial"/>
                <w:sz w:val="20"/>
              </w:rPr>
            </w:pPr>
            <w:r w:rsidRPr="00910A68">
              <w:rPr>
                <w:rFonts w:ascii="Arial" w:hAnsi="Arial" w:cs="Arial"/>
                <w:sz w:val="20"/>
              </w:rPr>
              <w:t>Share of mushroom in income</w:t>
            </w:r>
          </w:p>
        </w:tc>
        <w:tc>
          <w:tcPr>
            <w:tcW w:w="1367" w:type="dxa"/>
            <w:tcBorders>
              <w:left w:val="single" w:sz="4" w:space="0" w:color="auto"/>
              <w:right w:val="single" w:sz="4" w:space="0" w:color="auto"/>
            </w:tcBorders>
          </w:tcPr>
          <w:p w14:paraId="5F320D64" w14:textId="77777777" w:rsidR="003E4B78" w:rsidRPr="00910A68" w:rsidRDefault="003E4B78" w:rsidP="00A27F44">
            <w:pPr>
              <w:pStyle w:val="Body"/>
              <w:spacing w:after="0"/>
              <w:rPr>
                <w:rFonts w:ascii="Arial" w:hAnsi="Arial" w:cs="Arial"/>
                <w:sz w:val="20"/>
              </w:rPr>
            </w:pPr>
            <w:r w:rsidRPr="00910A68">
              <w:rPr>
                <w:rFonts w:ascii="Arial" w:hAnsi="Arial" w:cs="Arial"/>
                <w:sz w:val="20"/>
              </w:rPr>
              <w:t>percent</w:t>
            </w:r>
          </w:p>
        </w:tc>
        <w:tc>
          <w:tcPr>
            <w:tcW w:w="1367" w:type="dxa"/>
            <w:tcBorders>
              <w:left w:val="single" w:sz="4" w:space="0" w:color="auto"/>
            </w:tcBorders>
          </w:tcPr>
          <w:p w14:paraId="1E38AD71" w14:textId="77777777" w:rsidR="003E4B78" w:rsidRPr="00910A68" w:rsidRDefault="003E4B78" w:rsidP="00A27F44">
            <w:pPr>
              <w:pStyle w:val="Body"/>
              <w:spacing w:after="0"/>
              <w:rPr>
                <w:rFonts w:ascii="Arial" w:hAnsi="Arial" w:cs="Arial"/>
                <w:sz w:val="20"/>
              </w:rPr>
            </w:pPr>
            <w:r w:rsidRPr="00910A68">
              <w:rPr>
                <w:rFonts w:ascii="Arial" w:hAnsi="Arial" w:cs="Arial"/>
                <w:sz w:val="20"/>
              </w:rPr>
              <w:t>34.58</w:t>
            </w:r>
          </w:p>
        </w:tc>
        <w:tc>
          <w:tcPr>
            <w:tcW w:w="1195" w:type="dxa"/>
          </w:tcPr>
          <w:p w14:paraId="7F62820B" w14:textId="77777777" w:rsidR="003E4B78" w:rsidRPr="00910A68" w:rsidRDefault="003E4B78" w:rsidP="00A27F44">
            <w:pPr>
              <w:pStyle w:val="Body"/>
              <w:spacing w:after="0"/>
              <w:rPr>
                <w:rFonts w:ascii="Arial" w:hAnsi="Arial" w:cs="Arial"/>
                <w:sz w:val="20"/>
              </w:rPr>
            </w:pPr>
            <w:r w:rsidRPr="00910A68">
              <w:rPr>
                <w:rFonts w:ascii="Arial" w:hAnsi="Arial" w:cs="Arial"/>
                <w:sz w:val="20"/>
              </w:rPr>
              <w:t>23.28</w:t>
            </w:r>
          </w:p>
        </w:tc>
        <w:tc>
          <w:tcPr>
            <w:tcW w:w="951" w:type="dxa"/>
          </w:tcPr>
          <w:p w14:paraId="0123D07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5601316E"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w:t>
            </w:r>
          </w:p>
        </w:tc>
      </w:tr>
      <w:tr w:rsidR="003E4B78" w:rsidRPr="00910A68" w14:paraId="7140B793" w14:textId="77777777" w:rsidTr="00EB437A">
        <w:trPr>
          <w:jc w:val="center"/>
        </w:trPr>
        <w:tc>
          <w:tcPr>
            <w:tcW w:w="3403" w:type="dxa"/>
            <w:tcBorders>
              <w:bottom w:val="single" w:sz="4" w:space="0" w:color="auto"/>
              <w:right w:val="single" w:sz="4" w:space="0" w:color="auto"/>
            </w:tcBorders>
          </w:tcPr>
          <w:p w14:paraId="4ABE1F5F" w14:textId="77777777" w:rsidR="003E4B78" w:rsidRPr="00910A68" w:rsidRDefault="003E4B78" w:rsidP="00A27F44">
            <w:pPr>
              <w:pStyle w:val="Body"/>
              <w:spacing w:after="0"/>
              <w:rPr>
                <w:rFonts w:ascii="Arial" w:hAnsi="Arial" w:cs="Arial"/>
                <w:sz w:val="20"/>
              </w:rPr>
            </w:pPr>
            <w:r w:rsidRPr="00910A68">
              <w:rPr>
                <w:rFonts w:ascii="Arial" w:hAnsi="Arial" w:cs="Arial"/>
                <w:sz w:val="20"/>
              </w:rPr>
              <w:t>Land (yes)</w:t>
            </w:r>
          </w:p>
        </w:tc>
        <w:tc>
          <w:tcPr>
            <w:tcW w:w="1367" w:type="dxa"/>
            <w:tcBorders>
              <w:left w:val="single" w:sz="4" w:space="0" w:color="auto"/>
              <w:bottom w:val="single" w:sz="4" w:space="0" w:color="auto"/>
              <w:right w:val="single" w:sz="4" w:space="0" w:color="auto"/>
            </w:tcBorders>
          </w:tcPr>
          <w:p w14:paraId="7AC64E42"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left w:val="single" w:sz="4" w:space="0" w:color="auto"/>
              <w:bottom w:val="single" w:sz="4" w:space="0" w:color="auto"/>
            </w:tcBorders>
          </w:tcPr>
          <w:p w14:paraId="24B53682" w14:textId="77777777" w:rsidR="003E4B78" w:rsidRPr="00910A68" w:rsidRDefault="003E4B78" w:rsidP="00A27F44">
            <w:pPr>
              <w:pStyle w:val="Body"/>
              <w:spacing w:after="0"/>
              <w:rPr>
                <w:rFonts w:ascii="Arial" w:hAnsi="Arial" w:cs="Arial"/>
                <w:sz w:val="20"/>
              </w:rPr>
            </w:pPr>
            <w:r w:rsidRPr="00910A68">
              <w:rPr>
                <w:rFonts w:ascii="Arial" w:hAnsi="Arial" w:cs="Arial"/>
                <w:sz w:val="20"/>
              </w:rPr>
              <w:t>0.50</w:t>
            </w:r>
          </w:p>
        </w:tc>
        <w:tc>
          <w:tcPr>
            <w:tcW w:w="1195" w:type="dxa"/>
            <w:tcBorders>
              <w:bottom w:val="single" w:sz="4" w:space="0" w:color="auto"/>
            </w:tcBorders>
          </w:tcPr>
          <w:p w14:paraId="56F8EEDE" w14:textId="77777777" w:rsidR="003E4B78" w:rsidRPr="00910A68" w:rsidRDefault="003E4B78" w:rsidP="00A27F44">
            <w:pPr>
              <w:pStyle w:val="Body"/>
              <w:spacing w:after="0"/>
              <w:rPr>
                <w:rFonts w:ascii="Arial" w:hAnsi="Arial" w:cs="Arial"/>
                <w:sz w:val="20"/>
              </w:rPr>
            </w:pPr>
            <w:r w:rsidRPr="00910A68">
              <w:rPr>
                <w:rFonts w:ascii="Arial" w:hAnsi="Arial" w:cs="Arial"/>
                <w:sz w:val="20"/>
              </w:rPr>
              <w:t>0.50</w:t>
            </w:r>
          </w:p>
        </w:tc>
        <w:tc>
          <w:tcPr>
            <w:tcW w:w="951" w:type="dxa"/>
            <w:tcBorders>
              <w:bottom w:val="single" w:sz="4" w:space="0" w:color="auto"/>
            </w:tcBorders>
          </w:tcPr>
          <w:p w14:paraId="26F0AC17"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bottom w:val="single" w:sz="4" w:space="0" w:color="auto"/>
            </w:tcBorders>
          </w:tcPr>
          <w:p w14:paraId="7A06C857"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6484D50E" w14:textId="77777777" w:rsidTr="00EB437A">
        <w:trPr>
          <w:trHeight w:val="441"/>
          <w:jc w:val="center"/>
        </w:trPr>
        <w:tc>
          <w:tcPr>
            <w:tcW w:w="9200" w:type="dxa"/>
            <w:gridSpan w:val="6"/>
            <w:tcBorders>
              <w:top w:val="single" w:sz="4" w:space="0" w:color="auto"/>
              <w:bottom w:val="single" w:sz="4" w:space="0" w:color="auto"/>
            </w:tcBorders>
          </w:tcPr>
          <w:p w14:paraId="5ACF79E9" w14:textId="77777777" w:rsidR="003E4B78" w:rsidRPr="00910A68" w:rsidRDefault="003E4B78" w:rsidP="00A27F44">
            <w:pPr>
              <w:pStyle w:val="Body"/>
              <w:spacing w:after="0"/>
              <w:jc w:val="center"/>
              <w:rPr>
                <w:rFonts w:ascii="Arial" w:hAnsi="Arial" w:cs="Arial"/>
                <w:sz w:val="20"/>
              </w:rPr>
            </w:pPr>
            <w:r w:rsidRPr="00910A68">
              <w:rPr>
                <w:rFonts w:ascii="Arial" w:hAnsi="Arial" w:cs="Arial"/>
                <w:b/>
                <w:bCs/>
                <w:sz w:val="20"/>
              </w:rPr>
              <w:t>Non-adopter (Long method)</w:t>
            </w:r>
          </w:p>
        </w:tc>
      </w:tr>
      <w:tr w:rsidR="003E4B78" w:rsidRPr="00910A68" w14:paraId="7CDFA62B" w14:textId="77777777" w:rsidTr="00EB437A">
        <w:trPr>
          <w:jc w:val="center"/>
        </w:trPr>
        <w:tc>
          <w:tcPr>
            <w:tcW w:w="3403" w:type="dxa"/>
            <w:tcBorders>
              <w:top w:val="single" w:sz="4" w:space="0" w:color="auto"/>
              <w:right w:val="single" w:sz="4" w:space="0" w:color="auto"/>
            </w:tcBorders>
          </w:tcPr>
          <w:p w14:paraId="56EE6C20" w14:textId="77777777" w:rsidR="003E4B78" w:rsidRPr="00910A68" w:rsidRDefault="003E4B78" w:rsidP="00A27F44">
            <w:pPr>
              <w:pStyle w:val="Body"/>
              <w:spacing w:after="0"/>
              <w:rPr>
                <w:rFonts w:ascii="Arial" w:hAnsi="Arial" w:cs="Arial"/>
                <w:sz w:val="20"/>
              </w:rPr>
            </w:pPr>
            <w:r w:rsidRPr="00910A68">
              <w:rPr>
                <w:rFonts w:ascii="Arial" w:hAnsi="Arial" w:cs="Arial"/>
                <w:sz w:val="20"/>
              </w:rPr>
              <w:t>Female growers</w:t>
            </w:r>
          </w:p>
        </w:tc>
        <w:tc>
          <w:tcPr>
            <w:tcW w:w="1367" w:type="dxa"/>
            <w:tcBorders>
              <w:top w:val="single" w:sz="4" w:space="0" w:color="auto"/>
              <w:left w:val="single" w:sz="4" w:space="0" w:color="auto"/>
              <w:right w:val="single" w:sz="4" w:space="0" w:color="auto"/>
            </w:tcBorders>
          </w:tcPr>
          <w:p w14:paraId="13B6F300"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top w:val="single" w:sz="4" w:space="0" w:color="auto"/>
              <w:left w:val="single" w:sz="4" w:space="0" w:color="auto"/>
            </w:tcBorders>
          </w:tcPr>
          <w:p w14:paraId="6C9505A3" w14:textId="77777777" w:rsidR="003E4B78" w:rsidRPr="00910A68" w:rsidRDefault="003E4B78" w:rsidP="00A27F44">
            <w:pPr>
              <w:pStyle w:val="Body"/>
              <w:spacing w:after="0"/>
              <w:rPr>
                <w:rFonts w:ascii="Arial" w:hAnsi="Arial" w:cs="Arial"/>
                <w:sz w:val="20"/>
              </w:rPr>
            </w:pPr>
            <w:r w:rsidRPr="00910A68">
              <w:rPr>
                <w:rFonts w:ascii="Arial" w:hAnsi="Arial" w:cs="Arial"/>
                <w:sz w:val="20"/>
              </w:rPr>
              <w:t>0.10</w:t>
            </w:r>
          </w:p>
        </w:tc>
        <w:tc>
          <w:tcPr>
            <w:tcW w:w="1195" w:type="dxa"/>
            <w:tcBorders>
              <w:top w:val="single" w:sz="4" w:space="0" w:color="auto"/>
            </w:tcBorders>
          </w:tcPr>
          <w:p w14:paraId="2C0638B9" w14:textId="77777777" w:rsidR="003E4B78" w:rsidRPr="00910A68" w:rsidRDefault="003E4B78" w:rsidP="00A27F44">
            <w:pPr>
              <w:pStyle w:val="Body"/>
              <w:spacing w:after="0"/>
              <w:rPr>
                <w:rFonts w:ascii="Arial" w:hAnsi="Arial" w:cs="Arial"/>
                <w:sz w:val="20"/>
              </w:rPr>
            </w:pPr>
            <w:r w:rsidRPr="00910A68">
              <w:rPr>
                <w:rFonts w:ascii="Arial" w:hAnsi="Arial" w:cs="Arial"/>
                <w:sz w:val="20"/>
              </w:rPr>
              <w:t>0.20</w:t>
            </w:r>
          </w:p>
        </w:tc>
        <w:tc>
          <w:tcPr>
            <w:tcW w:w="951" w:type="dxa"/>
            <w:tcBorders>
              <w:top w:val="single" w:sz="4" w:space="0" w:color="auto"/>
            </w:tcBorders>
          </w:tcPr>
          <w:p w14:paraId="05BAEA73"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top w:val="single" w:sz="4" w:space="0" w:color="auto"/>
            </w:tcBorders>
          </w:tcPr>
          <w:p w14:paraId="6EC0FE10"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2912D8CB" w14:textId="77777777" w:rsidTr="00EB437A">
        <w:trPr>
          <w:jc w:val="center"/>
        </w:trPr>
        <w:tc>
          <w:tcPr>
            <w:tcW w:w="3403" w:type="dxa"/>
            <w:tcBorders>
              <w:right w:val="single" w:sz="4" w:space="0" w:color="auto"/>
            </w:tcBorders>
          </w:tcPr>
          <w:p w14:paraId="2AF6B14A" w14:textId="77777777" w:rsidR="003E4B78" w:rsidRPr="00910A68" w:rsidRDefault="003E4B78" w:rsidP="00A27F44">
            <w:pPr>
              <w:pStyle w:val="Body"/>
              <w:spacing w:after="0"/>
              <w:rPr>
                <w:rFonts w:ascii="Arial" w:hAnsi="Arial" w:cs="Arial"/>
                <w:sz w:val="20"/>
              </w:rPr>
            </w:pPr>
            <w:r w:rsidRPr="00910A68">
              <w:rPr>
                <w:rFonts w:ascii="Arial" w:hAnsi="Arial" w:cs="Arial"/>
                <w:sz w:val="20"/>
              </w:rPr>
              <w:t>Head’s Education (years)</w:t>
            </w:r>
          </w:p>
        </w:tc>
        <w:tc>
          <w:tcPr>
            <w:tcW w:w="1367" w:type="dxa"/>
            <w:tcBorders>
              <w:left w:val="single" w:sz="4" w:space="0" w:color="auto"/>
              <w:right w:val="single" w:sz="4" w:space="0" w:color="auto"/>
            </w:tcBorders>
          </w:tcPr>
          <w:p w14:paraId="54FC2C7D"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6943919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10.05</w:t>
            </w:r>
          </w:p>
        </w:tc>
        <w:tc>
          <w:tcPr>
            <w:tcW w:w="1195" w:type="dxa"/>
          </w:tcPr>
          <w:p w14:paraId="603675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1.56</w:t>
            </w:r>
          </w:p>
        </w:tc>
        <w:tc>
          <w:tcPr>
            <w:tcW w:w="951" w:type="dxa"/>
          </w:tcPr>
          <w:p w14:paraId="243DE994"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c>
          <w:tcPr>
            <w:tcW w:w="917" w:type="dxa"/>
          </w:tcPr>
          <w:p w14:paraId="7636A2DC"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4FC66830" w14:textId="77777777" w:rsidTr="00EB437A">
        <w:trPr>
          <w:jc w:val="center"/>
        </w:trPr>
        <w:tc>
          <w:tcPr>
            <w:tcW w:w="3403" w:type="dxa"/>
            <w:tcBorders>
              <w:right w:val="single" w:sz="4" w:space="0" w:color="auto"/>
            </w:tcBorders>
          </w:tcPr>
          <w:p w14:paraId="5313BBC9"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Education (years)</w:t>
            </w:r>
          </w:p>
        </w:tc>
        <w:tc>
          <w:tcPr>
            <w:tcW w:w="1367" w:type="dxa"/>
            <w:tcBorders>
              <w:left w:val="single" w:sz="4" w:space="0" w:color="auto"/>
              <w:right w:val="single" w:sz="4" w:space="0" w:color="auto"/>
            </w:tcBorders>
          </w:tcPr>
          <w:p w14:paraId="3717F845"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2D9C38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13.25</w:t>
            </w:r>
          </w:p>
        </w:tc>
        <w:tc>
          <w:tcPr>
            <w:tcW w:w="1195" w:type="dxa"/>
          </w:tcPr>
          <w:p w14:paraId="5D279AA9" w14:textId="77777777" w:rsidR="003E4B78" w:rsidRPr="00910A68" w:rsidRDefault="003E4B78" w:rsidP="00A27F44">
            <w:pPr>
              <w:pStyle w:val="Body"/>
              <w:spacing w:after="0"/>
              <w:rPr>
                <w:rFonts w:ascii="Arial" w:hAnsi="Arial" w:cs="Arial"/>
                <w:sz w:val="20"/>
              </w:rPr>
            </w:pPr>
            <w:r w:rsidRPr="00910A68">
              <w:rPr>
                <w:rFonts w:ascii="Arial" w:hAnsi="Arial" w:cs="Arial"/>
                <w:sz w:val="20"/>
              </w:rPr>
              <w:t>2.17</w:t>
            </w:r>
          </w:p>
        </w:tc>
        <w:tc>
          <w:tcPr>
            <w:tcW w:w="951" w:type="dxa"/>
          </w:tcPr>
          <w:p w14:paraId="53653F4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6E3A5B1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002CD09B" w14:textId="77777777" w:rsidTr="00EB437A">
        <w:trPr>
          <w:jc w:val="center"/>
        </w:trPr>
        <w:tc>
          <w:tcPr>
            <w:tcW w:w="3403" w:type="dxa"/>
            <w:tcBorders>
              <w:right w:val="single" w:sz="4" w:space="0" w:color="auto"/>
            </w:tcBorders>
          </w:tcPr>
          <w:p w14:paraId="0997CEA2"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Age (years)</w:t>
            </w:r>
          </w:p>
        </w:tc>
        <w:tc>
          <w:tcPr>
            <w:tcW w:w="1367" w:type="dxa"/>
            <w:tcBorders>
              <w:left w:val="single" w:sz="4" w:space="0" w:color="auto"/>
              <w:right w:val="single" w:sz="4" w:space="0" w:color="auto"/>
            </w:tcBorders>
          </w:tcPr>
          <w:p w14:paraId="1FDEE4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44F03566" w14:textId="77777777" w:rsidR="003E4B78" w:rsidRPr="00910A68" w:rsidRDefault="003E4B78" w:rsidP="00A27F44">
            <w:pPr>
              <w:pStyle w:val="Body"/>
              <w:spacing w:after="0"/>
              <w:rPr>
                <w:rFonts w:ascii="Arial" w:hAnsi="Arial" w:cs="Arial"/>
                <w:sz w:val="20"/>
              </w:rPr>
            </w:pPr>
            <w:r w:rsidRPr="00910A68">
              <w:rPr>
                <w:rFonts w:ascii="Arial" w:hAnsi="Arial" w:cs="Arial"/>
                <w:sz w:val="20"/>
              </w:rPr>
              <w:t>35.05</w:t>
            </w:r>
          </w:p>
        </w:tc>
        <w:tc>
          <w:tcPr>
            <w:tcW w:w="1195" w:type="dxa"/>
          </w:tcPr>
          <w:p w14:paraId="4E3D676A" w14:textId="77777777" w:rsidR="003E4B78" w:rsidRPr="00910A68" w:rsidRDefault="003E4B78" w:rsidP="00A27F44">
            <w:pPr>
              <w:pStyle w:val="Body"/>
              <w:spacing w:after="0"/>
              <w:rPr>
                <w:rFonts w:ascii="Arial" w:hAnsi="Arial" w:cs="Arial"/>
                <w:sz w:val="20"/>
              </w:rPr>
            </w:pPr>
            <w:r w:rsidRPr="00910A68">
              <w:rPr>
                <w:rFonts w:ascii="Arial" w:hAnsi="Arial" w:cs="Arial"/>
                <w:sz w:val="20"/>
              </w:rPr>
              <w:t>6.72</w:t>
            </w:r>
          </w:p>
        </w:tc>
        <w:tc>
          <w:tcPr>
            <w:tcW w:w="951" w:type="dxa"/>
          </w:tcPr>
          <w:p w14:paraId="24B533C9" w14:textId="77777777" w:rsidR="003E4B78" w:rsidRPr="00910A68" w:rsidRDefault="003E4B78" w:rsidP="00A27F44">
            <w:pPr>
              <w:pStyle w:val="Body"/>
              <w:spacing w:after="0"/>
              <w:rPr>
                <w:rFonts w:ascii="Arial" w:hAnsi="Arial" w:cs="Arial"/>
                <w:sz w:val="20"/>
              </w:rPr>
            </w:pPr>
            <w:r w:rsidRPr="00910A68">
              <w:rPr>
                <w:rFonts w:ascii="Arial" w:hAnsi="Arial" w:cs="Arial"/>
                <w:sz w:val="20"/>
              </w:rPr>
              <w:t>24</w:t>
            </w:r>
          </w:p>
        </w:tc>
        <w:tc>
          <w:tcPr>
            <w:tcW w:w="917" w:type="dxa"/>
          </w:tcPr>
          <w:p w14:paraId="56907D89" w14:textId="77777777" w:rsidR="003E4B78" w:rsidRPr="00910A68" w:rsidRDefault="003E4B78" w:rsidP="00A27F44">
            <w:pPr>
              <w:pStyle w:val="Body"/>
              <w:spacing w:after="0"/>
              <w:rPr>
                <w:rFonts w:ascii="Arial" w:hAnsi="Arial" w:cs="Arial"/>
                <w:sz w:val="20"/>
              </w:rPr>
            </w:pPr>
            <w:r w:rsidRPr="00910A68">
              <w:rPr>
                <w:rFonts w:ascii="Arial" w:hAnsi="Arial" w:cs="Arial"/>
                <w:sz w:val="20"/>
              </w:rPr>
              <w:t>50</w:t>
            </w:r>
          </w:p>
        </w:tc>
      </w:tr>
      <w:tr w:rsidR="003E4B78" w:rsidRPr="00910A68" w14:paraId="67AA80E5" w14:textId="77777777" w:rsidTr="00EB437A">
        <w:trPr>
          <w:jc w:val="center"/>
        </w:trPr>
        <w:tc>
          <w:tcPr>
            <w:tcW w:w="3403" w:type="dxa"/>
            <w:tcBorders>
              <w:right w:val="single" w:sz="4" w:space="0" w:color="auto"/>
            </w:tcBorders>
          </w:tcPr>
          <w:p w14:paraId="524B89FF" w14:textId="77777777" w:rsidR="003E4B78" w:rsidRPr="00910A68" w:rsidRDefault="003E4B78" w:rsidP="00A27F44">
            <w:pPr>
              <w:pStyle w:val="Body"/>
              <w:spacing w:after="0"/>
              <w:rPr>
                <w:rFonts w:ascii="Arial" w:hAnsi="Arial" w:cs="Arial"/>
                <w:sz w:val="20"/>
              </w:rPr>
            </w:pPr>
            <w:r w:rsidRPr="00910A68">
              <w:rPr>
                <w:rFonts w:ascii="Arial" w:hAnsi="Arial" w:cs="Arial"/>
                <w:sz w:val="20"/>
              </w:rPr>
              <w:t>Dependents in household</w:t>
            </w:r>
          </w:p>
        </w:tc>
        <w:tc>
          <w:tcPr>
            <w:tcW w:w="1367" w:type="dxa"/>
            <w:tcBorders>
              <w:left w:val="single" w:sz="4" w:space="0" w:color="auto"/>
              <w:right w:val="single" w:sz="4" w:space="0" w:color="auto"/>
            </w:tcBorders>
          </w:tcPr>
          <w:p w14:paraId="36F9E49D" w14:textId="77777777" w:rsidR="003E4B78" w:rsidRPr="00910A68" w:rsidRDefault="003E4B78" w:rsidP="00A27F44">
            <w:pPr>
              <w:pStyle w:val="Body"/>
              <w:spacing w:after="0"/>
              <w:rPr>
                <w:rFonts w:ascii="Arial" w:hAnsi="Arial" w:cs="Arial"/>
                <w:sz w:val="20"/>
              </w:rPr>
            </w:pPr>
            <w:r w:rsidRPr="00910A68">
              <w:rPr>
                <w:rFonts w:ascii="Arial" w:hAnsi="Arial" w:cs="Arial"/>
                <w:sz w:val="20"/>
              </w:rPr>
              <w:t>number</w:t>
            </w:r>
          </w:p>
        </w:tc>
        <w:tc>
          <w:tcPr>
            <w:tcW w:w="1367" w:type="dxa"/>
            <w:tcBorders>
              <w:left w:val="single" w:sz="4" w:space="0" w:color="auto"/>
            </w:tcBorders>
          </w:tcPr>
          <w:p w14:paraId="2BC42F42" w14:textId="77777777" w:rsidR="003E4B78" w:rsidRPr="00910A68" w:rsidRDefault="003E4B78" w:rsidP="00A27F44">
            <w:pPr>
              <w:pStyle w:val="Body"/>
              <w:spacing w:after="0"/>
              <w:rPr>
                <w:rFonts w:ascii="Arial" w:hAnsi="Arial" w:cs="Arial"/>
                <w:sz w:val="20"/>
              </w:rPr>
            </w:pPr>
            <w:r w:rsidRPr="00910A68">
              <w:rPr>
                <w:rFonts w:ascii="Arial" w:hAnsi="Arial" w:cs="Arial"/>
                <w:sz w:val="20"/>
              </w:rPr>
              <w:t>3.25</w:t>
            </w:r>
          </w:p>
        </w:tc>
        <w:tc>
          <w:tcPr>
            <w:tcW w:w="1195" w:type="dxa"/>
          </w:tcPr>
          <w:p w14:paraId="2055B0C0" w14:textId="77777777" w:rsidR="003E4B78" w:rsidRPr="00910A68" w:rsidRDefault="003E4B78" w:rsidP="00A27F44">
            <w:pPr>
              <w:pStyle w:val="Body"/>
              <w:spacing w:after="0"/>
              <w:rPr>
                <w:rFonts w:ascii="Arial" w:hAnsi="Arial" w:cs="Arial"/>
                <w:sz w:val="20"/>
              </w:rPr>
            </w:pPr>
            <w:r w:rsidRPr="00910A68">
              <w:rPr>
                <w:rFonts w:ascii="Arial" w:hAnsi="Arial" w:cs="Arial"/>
                <w:sz w:val="20"/>
              </w:rPr>
              <w:t>1.67</w:t>
            </w:r>
          </w:p>
        </w:tc>
        <w:tc>
          <w:tcPr>
            <w:tcW w:w="951" w:type="dxa"/>
          </w:tcPr>
          <w:p w14:paraId="126A6AF4"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1795C4C5"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r>
      <w:tr w:rsidR="003E4B78" w:rsidRPr="00910A68" w14:paraId="6E4B84EE" w14:textId="77777777" w:rsidTr="00EB437A">
        <w:trPr>
          <w:jc w:val="center"/>
        </w:trPr>
        <w:tc>
          <w:tcPr>
            <w:tcW w:w="3403" w:type="dxa"/>
            <w:tcBorders>
              <w:right w:val="single" w:sz="4" w:space="0" w:color="auto"/>
            </w:tcBorders>
          </w:tcPr>
          <w:p w14:paraId="131FCE66" w14:textId="77777777" w:rsidR="003E4B78" w:rsidRPr="00910A68" w:rsidRDefault="003E4B78" w:rsidP="00A27F44">
            <w:pPr>
              <w:pStyle w:val="Body"/>
              <w:spacing w:after="0"/>
              <w:rPr>
                <w:rFonts w:ascii="Arial" w:hAnsi="Arial" w:cs="Arial"/>
                <w:sz w:val="20"/>
              </w:rPr>
            </w:pPr>
            <w:r w:rsidRPr="00910A68">
              <w:rPr>
                <w:rFonts w:ascii="Arial" w:hAnsi="Arial" w:cs="Arial"/>
                <w:sz w:val="20"/>
              </w:rPr>
              <w:t>Mushroom farming experience</w:t>
            </w:r>
          </w:p>
        </w:tc>
        <w:tc>
          <w:tcPr>
            <w:tcW w:w="1367" w:type="dxa"/>
            <w:tcBorders>
              <w:left w:val="single" w:sz="4" w:space="0" w:color="auto"/>
              <w:right w:val="single" w:sz="4" w:space="0" w:color="auto"/>
            </w:tcBorders>
          </w:tcPr>
          <w:p w14:paraId="463DE689"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4FC1FA8C" w14:textId="77777777" w:rsidR="003E4B78" w:rsidRPr="00910A68" w:rsidRDefault="003E4B78" w:rsidP="00A27F44">
            <w:pPr>
              <w:pStyle w:val="Body"/>
              <w:spacing w:after="0"/>
              <w:rPr>
                <w:rFonts w:ascii="Arial" w:hAnsi="Arial" w:cs="Arial"/>
                <w:sz w:val="20"/>
              </w:rPr>
            </w:pPr>
            <w:r w:rsidRPr="00910A68">
              <w:rPr>
                <w:rFonts w:ascii="Arial" w:hAnsi="Arial" w:cs="Arial"/>
                <w:sz w:val="20"/>
              </w:rPr>
              <w:t>3.80</w:t>
            </w:r>
          </w:p>
        </w:tc>
        <w:tc>
          <w:tcPr>
            <w:tcW w:w="1195" w:type="dxa"/>
          </w:tcPr>
          <w:p w14:paraId="5FB5B276" w14:textId="77777777" w:rsidR="003E4B78" w:rsidRPr="00910A68" w:rsidRDefault="003E4B78" w:rsidP="00A27F44">
            <w:pPr>
              <w:pStyle w:val="Body"/>
              <w:spacing w:after="0"/>
              <w:rPr>
                <w:rFonts w:ascii="Arial" w:hAnsi="Arial" w:cs="Arial"/>
                <w:sz w:val="20"/>
              </w:rPr>
            </w:pPr>
            <w:r w:rsidRPr="00910A68">
              <w:rPr>
                <w:rFonts w:ascii="Arial" w:hAnsi="Arial" w:cs="Arial"/>
                <w:sz w:val="20"/>
              </w:rPr>
              <w:t>3.01</w:t>
            </w:r>
          </w:p>
        </w:tc>
        <w:tc>
          <w:tcPr>
            <w:tcW w:w="951" w:type="dxa"/>
          </w:tcPr>
          <w:p w14:paraId="588C3E65"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17428741"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0526294C" w14:textId="77777777" w:rsidTr="00EB437A">
        <w:trPr>
          <w:jc w:val="center"/>
        </w:trPr>
        <w:tc>
          <w:tcPr>
            <w:tcW w:w="3403" w:type="dxa"/>
            <w:tcBorders>
              <w:right w:val="single" w:sz="4" w:space="0" w:color="auto"/>
            </w:tcBorders>
          </w:tcPr>
          <w:p w14:paraId="623780C4" w14:textId="77777777" w:rsidR="003E4B78" w:rsidRPr="00910A68" w:rsidRDefault="003E4B78" w:rsidP="00A27F44">
            <w:pPr>
              <w:pStyle w:val="Body"/>
              <w:spacing w:after="0"/>
              <w:rPr>
                <w:rFonts w:ascii="Arial" w:hAnsi="Arial" w:cs="Arial"/>
                <w:sz w:val="20"/>
              </w:rPr>
            </w:pPr>
            <w:r w:rsidRPr="00910A68">
              <w:rPr>
                <w:rFonts w:ascii="Arial" w:hAnsi="Arial" w:cs="Arial"/>
                <w:sz w:val="20"/>
              </w:rPr>
              <w:t>Share of mushroom in income</w:t>
            </w:r>
          </w:p>
        </w:tc>
        <w:tc>
          <w:tcPr>
            <w:tcW w:w="1367" w:type="dxa"/>
            <w:tcBorders>
              <w:left w:val="single" w:sz="4" w:space="0" w:color="auto"/>
              <w:right w:val="single" w:sz="4" w:space="0" w:color="auto"/>
            </w:tcBorders>
          </w:tcPr>
          <w:p w14:paraId="0653C509" w14:textId="77777777" w:rsidR="003E4B78" w:rsidRPr="00910A68" w:rsidRDefault="003E4B78" w:rsidP="00A27F44">
            <w:pPr>
              <w:pStyle w:val="Body"/>
              <w:spacing w:after="0"/>
              <w:rPr>
                <w:rFonts w:ascii="Arial" w:hAnsi="Arial" w:cs="Arial"/>
                <w:sz w:val="20"/>
              </w:rPr>
            </w:pPr>
            <w:r w:rsidRPr="00910A68">
              <w:rPr>
                <w:rFonts w:ascii="Arial" w:hAnsi="Arial" w:cs="Arial"/>
                <w:sz w:val="20"/>
              </w:rPr>
              <w:t>percent</w:t>
            </w:r>
          </w:p>
        </w:tc>
        <w:tc>
          <w:tcPr>
            <w:tcW w:w="1367" w:type="dxa"/>
            <w:tcBorders>
              <w:left w:val="single" w:sz="4" w:space="0" w:color="auto"/>
            </w:tcBorders>
          </w:tcPr>
          <w:p w14:paraId="56BA97FA" w14:textId="77777777" w:rsidR="003E4B78" w:rsidRPr="00910A68" w:rsidRDefault="003E4B78" w:rsidP="00A27F44">
            <w:pPr>
              <w:pStyle w:val="Body"/>
              <w:spacing w:after="0"/>
              <w:rPr>
                <w:rFonts w:ascii="Arial" w:hAnsi="Arial" w:cs="Arial"/>
                <w:sz w:val="20"/>
              </w:rPr>
            </w:pPr>
            <w:r w:rsidRPr="00910A68">
              <w:rPr>
                <w:rFonts w:ascii="Arial" w:hAnsi="Arial" w:cs="Arial"/>
                <w:sz w:val="20"/>
              </w:rPr>
              <w:t>34.88</w:t>
            </w:r>
          </w:p>
        </w:tc>
        <w:tc>
          <w:tcPr>
            <w:tcW w:w="1195" w:type="dxa"/>
          </w:tcPr>
          <w:p w14:paraId="4F652404" w14:textId="77777777" w:rsidR="003E4B78" w:rsidRPr="00910A68" w:rsidRDefault="003E4B78" w:rsidP="00A27F44">
            <w:pPr>
              <w:pStyle w:val="Body"/>
              <w:spacing w:after="0"/>
              <w:rPr>
                <w:rFonts w:ascii="Arial" w:hAnsi="Arial" w:cs="Arial"/>
                <w:sz w:val="20"/>
              </w:rPr>
            </w:pPr>
            <w:r w:rsidRPr="00910A68">
              <w:rPr>
                <w:rFonts w:ascii="Arial" w:hAnsi="Arial" w:cs="Arial"/>
                <w:sz w:val="20"/>
              </w:rPr>
              <w:t>21.00</w:t>
            </w:r>
          </w:p>
        </w:tc>
        <w:tc>
          <w:tcPr>
            <w:tcW w:w="951" w:type="dxa"/>
          </w:tcPr>
          <w:p w14:paraId="76239141"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4D8868B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w:t>
            </w:r>
          </w:p>
        </w:tc>
      </w:tr>
      <w:tr w:rsidR="003E4B78" w:rsidRPr="00910A68" w14:paraId="4BCC3E7D" w14:textId="77777777" w:rsidTr="00EB437A">
        <w:trPr>
          <w:jc w:val="center"/>
        </w:trPr>
        <w:tc>
          <w:tcPr>
            <w:tcW w:w="3403" w:type="dxa"/>
            <w:tcBorders>
              <w:bottom w:val="single" w:sz="4" w:space="0" w:color="auto"/>
              <w:right w:val="single" w:sz="4" w:space="0" w:color="auto"/>
            </w:tcBorders>
          </w:tcPr>
          <w:p w14:paraId="240B02E8" w14:textId="77777777" w:rsidR="003E4B78" w:rsidRPr="00910A68" w:rsidRDefault="003E4B78" w:rsidP="00A27F44">
            <w:pPr>
              <w:pStyle w:val="Body"/>
              <w:spacing w:after="0"/>
              <w:rPr>
                <w:rFonts w:ascii="Arial" w:hAnsi="Arial" w:cs="Arial"/>
                <w:sz w:val="20"/>
              </w:rPr>
            </w:pPr>
            <w:r w:rsidRPr="00910A68">
              <w:rPr>
                <w:rFonts w:ascii="Arial" w:hAnsi="Arial" w:cs="Arial"/>
                <w:sz w:val="20"/>
              </w:rPr>
              <w:t>Land (yes)</w:t>
            </w:r>
          </w:p>
        </w:tc>
        <w:tc>
          <w:tcPr>
            <w:tcW w:w="1367" w:type="dxa"/>
            <w:tcBorders>
              <w:left w:val="single" w:sz="4" w:space="0" w:color="auto"/>
              <w:bottom w:val="single" w:sz="4" w:space="0" w:color="auto"/>
              <w:right w:val="single" w:sz="4" w:space="0" w:color="auto"/>
            </w:tcBorders>
          </w:tcPr>
          <w:p w14:paraId="557B3DE5"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left w:val="single" w:sz="4" w:space="0" w:color="auto"/>
              <w:bottom w:val="single" w:sz="4" w:space="0" w:color="auto"/>
            </w:tcBorders>
          </w:tcPr>
          <w:p w14:paraId="74025C32" w14:textId="77777777" w:rsidR="003E4B78" w:rsidRPr="00910A68" w:rsidRDefault="003E4B78" w:rsidP="00A27F44">
            <w:pPr>
              <w:pStyle w:val="Body"/>
              <w:spacing w:after="0"/>
              <w:rPr>
                <w:rFonts w:ascii="Arial" w:hAnsi="Arial" w:cs="Arial"/>
                <w:sz w:val="20"/>
              </w:rPr>
            </w:pPr>
            <w:r w:rsidRPr="00910A68">
              <w:rPr>
                <w:rFonts w:ascii="Arial" w:hAnsi="Arial" w:cs="Arial"/>
                <w:sz w:val="20"/>
              </w:rPr>
              <w:t>0.65</w:t>
            </w:r>
          </w:p>
        </w:tc>
        <w:tc>
          <w:tcPr>
            <w:tcW w:w="1195" w:type="dxa"/>
            <w:tcBorders>
              <w:bottom w:val="single" w:sz="4" w:space="0" w:color="auto"/>
            </w:tcBorders>
          </w:tcPr>
          <w:p w14:paraId="1997DA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0.48</w:t>
            </w:r>
          </w:p>
        </w:tc>
        <w:tc>
          <w:tcPr>
            <w:tcW w:w="951" w:type="dxa"/>
            <w:tcBorders>
              <w:bottom w:val="single" w:sz="4" w:space="0" w:color="auto"/>
            </w:tcBorders>
          </w:tcPr>
          <w:p w14:paraId="71A5854F"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bottom w:val="single" w:sz="4" w:space="0" w:color="auto"/>
            </w:tcBorders>
          </w:tcPr>
          <w:p w14:paraId="75F825BA"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bl>
    <w:p w14:paraId="75862D3B" w14:textId="77777777" w:rsidR="003E4B78" w:rsidRDefault="003E4B78" w:rsidP="003E4B78">
      <w:pPr>
        <w:pStyle w:val="Body"/>
        <w:spacing w:after="0"/>
        <w:rPr>
          <w:rFonts w:ascii="Arial" w:hAnsi="Arial" w:cs="Arial"/>
          <w:b/>
          <w:bCs/>
          <w:iCs/>
        </w:rPr>
      </w:pPr>
    </w:p>
    <w:p w14:paraId="378218E2" w14:textId="77777777" w:rsidR="003E4B78" w:rsidRPr="00910A68" w:rsidRDefault="003E4B78" w:rsidP="003E4B78">
      <w:pPr>
        <w:pStyle w:val="Body"/>
        <w:spacing w:after="0"/>
        <w:rPr>
          <w:rFonts w:ascii="Arial" w:hAnsi="Arial" w:cs="Arial"/>
          <w:b/>
          <w:bCs/>
          <w:iCs/>
          <w:sz w:val="22"/>
          <w:szCs w:val="22"/>
        </w:rPr>
      </w:pPr>
      <w:r w:rsidRPr="00910A68">
        <w:rPr>
          <w:rFonts w:ascii="Arial" w:hAnsi="Arial" w:cs="Arial"/>
          <w:b/>
          <w:bCs/>
          <w:iCs/>
          <w:sz w:val="22"/>
          <w:szCs w:val="22"/>
        </w:rPr>
        <w:t>3.1 Impact</w:t>
      </w:r>
    </w:p>
    <w:p w14:paraId="15017809" w14:textId="596C4C8B" w:rsidR="005E562C" w:rsidRPr="005E562C" w:rsidRDefault="005E562C" w:rsidP="005E562C">
      <w:pPr>
        <w:pStyle w:val="Body"/>
        <w:rPr>
          <w:rFonts w:ascii="Arial" w:hAnsi="Arial" w:cs="Arial"/>
        </w:rPr>
      </w:pPr>
      <w:r w:rsidRPr="005E562C">
        <w:rPr>
          <w:rFonts w:ascii="Arial" w:hAnsi="Arial" w:cs="Arial"/>
        </w:rPr>
        <w:lastRenderedPageBreak/>
        <w:t xml:space="preserve">Table </w:t>
      </w:r>
      <w:r w:rsidR="00757A9C">
        <w:rPr>
          <w:rFonts w:ascii="Arial" w:hAnsi="Arial" w:cs="Arial"/>
        </w:rPr>
        <w:t>4</w:t>
      </w:r>
      <w:r w:rsidRPr="005E562C">
        <w:rPr>
          <w:rFonts w:ascii="Arial" w:hAnsi="Arial" w:cs="Arial"/>
        </w:rPr>
        <w:t xml:space="preserve"> clearly indicates that the ZEPT composting method performs better than the conventional long method across key technical and economic indicators. ZEPT adopters recorded a higher compost conversion rate (2.50) compared to non-adopters using the long method (2.01), reflecting more efficient utilization of raw materials during compost preparation. Similarly, biological efficiency was higher under ZEPT (19.69%) than under the long method (17.04%), suggesting improved compost quality and a more </w:t>
      </w:r>
      <w:proofErr w:type="spellStart"/>
      <w:r w:rsidRPr="005E562C">
        <w:rPr>
          <w:rFonts w:ascii="Arial" w:hAnsi="Arial" w:cs="Arial"/>
        </w:rPr>
        <w:t>favourable</w:t>
      </w:r>
      <w:proofErr w:type="spellEnd"/>
      <w:r w:rsidRPr="005E562C">
        <w:rPr>
          <w:rFonts w:ascii="Arial" w:hAnsi="Arial" w:cs="Arial"/>
        </w:rPr>
        <w:t xml:space="preserve"> growing environment for mushroom production.</w:t>
      </w:r>
    </w:p>
    <w:p w14:paraId="1452090C" w14:textId="570DD73A" w:rsidR="00757A9C" w:rsidRDefault="005E562C" w:rsidP="005E562C">
      <w:pPr>
        <w:pStyle w:val="Body"/>
        <w:rPr>
          <w:rFonts w:ascii="Arial" w:hAnsi="Arial" w:cs="Arial"/>
        </w:rPr>
      </w:pPr>
      <w:r w:rsidRPr="005E562C">
        <w:rPr>
          <w:rFonts w:ascii="Arial" w:hAnsi="Arial" w:cs="Arial"/>
        </w:rPr>
        <w:t>In addition to biological gains, ZEPT adoption resulted in substantial cost savings. The average variable cost of compost preparation for ZEPT adopters was approximately ₹</w:t>
      </w:r>
      <w:r w:rsidR="00757A9C">
        <w:rPr>
          <w:rFonts w:ascii="Arial" w:hAnsi="Arial" w:cs="Arial"/>
        </w:rPr>
        <w:t>5.97</w:t>
      </w:r>
      <w:r w:rsidRPr="005E562C">
        <w:rPr>
          <w:rFonts w:ascii="Arial" w:hAnsi="Arial" w:cs="Arial"/>
        </w:rPr>
        <w:t xml:space="preserve"> per kg, significantly </w:t>
      </w:r>
      <w:r w:rsidR="00757A9C">
        <w:rPr>
          <w:rFonts w:ascii="Arial" w:hAnsi="Arial" w:cs="Arial"/>
        </w:rPr>
        <w:t xml:space="preserve">(at P 0.06) </w:t>
      </w:r>
      <w:r w:rsidRPr="005E562C">
        <w:rPr>
          <w:rFonts w:ascii="Arial" w:hAnsi="Arial" w:cs="Arial"/>
        </w:rPr>
        <w:t>lower than ₹8.2</w:t>
      </w:r>
      <w:r w:rsidR="00DE7166">
        <w:rPr>
          <w:rFonts w:ascii="Arial" w:hAnsi="Arial" w:cs="Arial"/>
        </w:rPr>
        <w:t>1</w:t>
      </w:r>
      <w:r w:rsidRPr="005E562C">
        <w:rPr>
          <w:rFonts w:ascii="Arial" w:hAnsi="Arial" w:cs="Arial"/>
        </w:rPr>
        <w:t xml:space="preserve"> per kg incurred by non-adopters. </w:t>
      </w:r>
      <w:r w:rsidR="00757A9C">
        <w:rPr>
          <w:rFonts w:ascii="Arial" w:hAnsi="Arial" w:cs="Arial"/>
        </w:rPr>
        <w:t>The component-wise cost calculation id provided in table 3.</w:t>
      </w:r>
    </w:p>
    <w:p w14:paraId="525ED728" w14:textId="42D2DAF6" w:rsidR="00757A9C" w:rsidRDefault="00757A9C" w:rsidP="005E562C">
      <w:pPr>
        <w:pStyle w:val="Body"/>
        <w:rPr>
          <w:rFonts w:ascii="Arial" w:hAnsi="Arial" w:cs="Arial"/>
        </w:rPr>
      </w:pPr>
      <w:r>
        <w:rPr>
          <w:rFonts w:ascii="Arial" w:hAnsi="Arial" w:cs="Arial"/>
        </w:rPr>
        <w:t xml:space="preserve">Table 3. </w:t>
      </w:r>
      <w:r w:rsidR="004C69E4">
        <w:rPr>
          <w:rFonts w:ascii="Arial" w:hAnsi="Arial" w:cs="Arial"/>
        </w:rPr>
        <w:t>Comparative</w:t>
      </w:r>
      <w:r>
        <w:rPr>
          <w:rFonts w:ascii="Arial" w:hAnsi="Arial" w:cs="Arial"/>
        </w:rPr>
        <w:t xml:space="preserve"> unit economics of compost preparation (long method </w:t>
      </w:r>
      <w:proofErr w:type="gramStart"/>
      <w:r>
        <w:rPr>
          <w:rFonts w:ascii="Arial" w:hAnsi="Arial" w:cs="Arial"/>
        </w:rPr>
        <w:t>vs  ZEPT</w:t>
      </w:r>
      <w:proofErr w:type="gramEnd"/>
      <w:r>
        <w:rPr>
          <w:rFonts w:ascii="Arial" w:hAnsi="Arial" w:cs="Arial"/>
        </w:rPr>
        <w:t xml:space="preserve"> method)</w:t>
      </w:r>
    </w:p>
    <w:tbl>
      <w:tblPr>
        <w:tblW w:w="8063" w:type="dxa"/>
        <w:tblInd w:w="93" w:type="dxa"/>
        <w:tblLook w:val="04A0" w:firstRow="1" w:lastRow="0" w:firstColumn="1" w:lastColumn="0" w:noHBand="0" w:noVBand="1"/>
      </w:tblPr>
      <w:tblGrid>
        <w:gridCol w:w="4155"/>
        <w:gridCol w:w="1710"/>
        <w:gridCol w:w="2198"/>
      </w:tblGrid>
      <w:tr w:rsidR="00757A9C" w:rsidRPr="00757A9C" w14:paraId="32C57B35" w14:textId="77777777" w:rsidTr="00757A9C">
        <w:trPr>
          <w:trHeight w:val="249"/>
        </w:trPr>
        <w:tc>
          <w:tcPr>
            <w:tcW w:w="4155" w:type="dxa"/>
            <w:vMerge w:val="restart"/>
            <w:tcBorders>
              <w:top w:val="nil"/>
              <w:left w:val="nil"/>
              <w:bottom w:val="nil"/>
              <w:right w:val="nil"/>
            </w:tcBorders>
            <w:noWrap/>
            <w:vAlign w:val="bottom"/>
            <w:hideMark/>
          </w:tcPr>
          <w:p w14:paraId="277FC423"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Cost component</w:t>
            </w:r>
          </w:p>
        </w:tc>
        <w:tc>
          <w:tcPr>
            <w:tcW w:w="3908" w:type="dxa"/>
            <w:gridSpan w:val="2"/>
            <w:tcBorders>
              <w:top w:val="nil"/>
              <w:left w:val="nil"/>
              <w:bottom w:val="nil"/>
              <w:right w:val="nil"/>
            </w:tcBorders>
            <w:noWrap/>
            <w:vAlign w:val="bottom"/>
            <w:hideMark/>
          </w:tcPr>
          <w:p w14:paraId="6B94491B"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Total cost (Rs 000)</w:t>
            </w:r>
          </w:p>
        </w:tc>
      </w:tr>
      <w:tr w:rsidR="00757A9C" w:rsidRPr="00757A9C" w14:paraId="720316D7" w14:textId="77777777" w:rsidTr="00757A9C">
        <w:trPr>
          <w:trHeight w:val="249"/>
        </w:trPr>
        <w:tc>
          <w:tcPr>
            <w:tcW w:w="4155" w:type="dxa"/>
            <w:vMerge/>
            <w:tcBorders>
              <w:top w:val="nil"/>
              <w:left w:val="nil"/>
              <w:bottom w:val="nil"/>
              <w:right w:val="nil"/>
            </w:tcBorders>
            <w:vAlign w:val="center"/>
            <w:hideMark/>
          </w:tcPr>
          <w:p w14:paraId="5D147765" w14:textId="77777777" w:rsidR="00757A9C" w:rsidRPr="00757A9C" w:rsidRDefault="00757A9C" w:rsidP="00757A9C">
            <w:pPr>
              <w:rPr>
                <w:rFonts w:ascii="Calibri" w:hAnsi="Calibri" w:cs="Calibri"/>
                <w:color w:val="000000"/>
                <w:sz w:val="22"/>
                <w:szCs w:val="22"/>
                <w:lang w:bidi="hi-IN"/>
              </w:rPr>
            </w:pPr>
          </w:p>
        </w:tc>
        <w:tc>
          <w:tcPr>
            <w:tcW w:w="1710" w:type="dxa"/>
            <w:tcBorders>
              <w:top w:val="nil"/>
              <w:left w:val="nil"/>
              <w:bottom w:val="nil"/>
              <w:right w:val="nil"/>
            </w:tcBorders>
            <w:noWrap/>
            <w:vAlign w:val="bottom"/>
            <w:hideMark/>
          </w:tcPr>
          <w:p w14:paraId="7535410B"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Long method</w:t>
            </w:r>
          </w:p>
        </w:tc>
        <w:tc>
          <w:tcPr>
            <w:tcW w:w="2198" w:type="dxa"/>
            <w:tcBorders>
              <w:top w:val="nil"/>
              <w:left w:val="nil"/>
              <w:bottom w:val="nil"/>
              <w:right w:val="nil"/>
            </w:tcBorders>
            <w:noWrap/>
            <w:vAlign w:val="bottom"/>
            <w:hideMark/>
          </w:tcPr>
          <w:p w14:paraId="170D3DA8"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ZEPT method</w:t>
            </w:r>
          </w:p>
        </w:tc>
      </w:tr>
      <w:tr w:rsidR="00757A9C" w:rsidRPr="00757A9C" w14:paraId="2ABAFF62" w14:textId="77777777" w:rsidTr="00757A9C">
        <w:trPr>
          <w:trHeight w:val="249"/>
        </w:trPr>
        <w:tc>
          <w:tcPr>
            <w:tcW w:w="4155" w:type="dxa"/>
            <w:tcBorders>
              <w:top w:val="nil"/>
              <w:left w:val="nil"/>
              <w:bottom w:val="nil"/>
              <w:right w:val="nil"/>
            </w:tcBorders>
            <w:noWrap/>
            <w:vAlign w:val="bottom"/>
            <w:hideMark/>
          </w:tcPr>
          <w:p w14:paraId="7B903AE0"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 xml:space="preserve">Straw </w:t>
            </w:r>
          </w:p>
        </w:tc>
        <w:tc>
          <w:tcPr>
            <w:tcW w:w="1710" w:type="dxa"/>
            <w:tcBorders>
              <w:top w:val="nil"/>
              <w:left w:val="nil"/>
              <w:bottom w:val="nil"/>
              <w:right w:val="nil"/>
            </w:tcBorders>
            <w:noWrap/>
            <w:vAlign w:val="bottom"/>
            <w:hideMark/>
          </w:tcPr>
          <w:p w14:paraId="672F9E7B"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139.75</w:t>
            </w:r>
          </w:p>
        </w:tc>
        <w:tc>
          <w:tcPr>
            <w:tcW w:w="2198" w:type="dxa"/>
            <w:tcBorders>
              <w:top w:val="nil"/>
              <w:left w:val="nil"/>
              <w:bottom w:val="nil"/>
              <w:right w:val="nil"/>
            </w:tcBorders>
            <w:noWrap/>
            <w:vAlign w:val="bottom"/>
            <w:hideMark/>
          </w:tcPr>
          <w:p w14:paraId="28DFBF4F"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46.2</w:t>
            </w:r>
          </w:p>
        </w:tc>
      </w:tr>
      <w:tr w:rsidR="00757A9C" w:rsidRPr="00757A9C" w14:paraId="77297A19" w14:textId="77777777" w:rsidTr="00757A9C">
        <w:trPr>
          <w:trHeight w:val="249"/>
        </w:trPr>
        <w:tc>
          <w:tcPr>
            <w:tcW w:w="4155" w:type="dxa"/>
            <w:tcBorders>
              <w:top w:val="nil"/>
              <w:left w:val="nil"/>
              <w:bottom w:val="nil"/>
              <w:right w:val="nil"/>
            </w:tcBorders>
            <w:noWrap/>
            <w:vAlign w:val="bottom"/>
            <w:hideMark/>
          </w:tcPr>
          <w:p w14:paraId="62E42997"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 xml:space="preserve">Manure </w:t>
            </w:r>
          </w:p>
        </w:tc>
        <w:tc>
          <w:tcPr>
            <w:tcW w:w="1710" w:type="dxa"/>
            <w:tcBorders>
              <w:top w:val="nil"/>
              <w:left w:val="nil"/>
              <w:bottom w:val="nil"/>
              <w:right w:val="nil"/>
            </w:tcBorders>
            <w:noWrap/>
            <w:vAlign w:val="bottom"/>
            <w:hideMark/>
          </w:tcPr>
          <w:p w14:paraId="661C81A3"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22.00</w:t>
            </w:r>
          </w:p>
        </w:tc>
        <w:tc>
          <w:tcPr>
            <w:tcW w:w="2198" w:type="dxa"/>
            <w:tcBorders>
              <w:top w:val="nil"/>
              <w:left w:val="nil"/>
              <w:bottom w:val="nil"/>
              <w:right w:val="nil"/>
            </w:tcBorders>
            <w:noWrap/>
            <w:vAlign w:val="bottom"/>
            <w:hideMark/>
          </w:tcPr>
          <w:p w14:paraId="6EA626C0"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31.05</w:t>
            </w:r>
          </w:p>
        </w:tc>
      </w:tr>
      <w:tr w:rsidR="00757A9C" w:rsidRPr="00757A9C" w14:paraId="026A10E6" w14:textId="77777777" w:rsidTr="00757A9C">
        <w:trPr>
          <w:trHeight w:val="249"/>
        </w:trPr>
        <w:tc>
          <w:tcPr>
            <w:tcW w:w="4155" w:type="dxa"/>
            <w:tcBorders>
              <w:top w:val="nil"/>
              <w:left w:val="nil"/>
              <w:bottom w:val="nil"/>
              <w:right w:val="nil"/>
            </w:tcBorders>
            <w:noWrap/>
            <w:vAlign w:val="bottom"/>
            <w:hideMark/>
          </w:tcPr>
          <w:p w14:paraId="0D3E1615"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Gypsum</w:t>
            </w:r>
          </w:p>
        </w:tc>
        <w:tc>
          <w:tcPr>
            <w:tcW w:w="1710" w:type="dxa"/>
            <w:tcBorders>
              <w:top w:val="nil"/>
              <w:left w:val="nil"/>
              <w:bottom w:val="nil"/>
              <w:right w:val="nil"/>
            </w:tcBorders>
            <w:noWrap/>
            <w:vAlign w:val="bottom"/>
            <w:hideMark/>
          </w:tcPr>
          <w:p w14:paraId="21E1E6FE"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10.00</w:t>
            </w:r>
          </w:p>
        </w:tc>
        <w:tc>
          <w:tcPr>
            <w:tcW w:w="2198" w:type="dxa"/>
            <w:tcBorders>
              <w:top w:val="nil"/>
              <w:left w:val="nil"/>
              <w:bottom w:val="nil"/>
              <w:right w:val="nil"/>
            </w:tcBorders>
            <w:noWrap/>
            <w:vAlign w:val="bottom"/>
            <w:hideMark/>
          </w:tcPr>
          <w:p w14:paraId="72675D10" w14:textId="0541C2F5"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2.</w:t>
            </w:r>
            <w:r>
              <w:rPr>
                <w:rFonts w:ascii="Calibri" w:hAnsi="Calibri" w:cs="Calibri"/>
                <w:color w:val="000000"/>
                <w:sz w:val="22"/>
                <w:szCs w:val="22"/>
                <w:lang w:bidi="hi-IN"/>
              </w:rPr>
              <w:t>20</w:t>
            </w:r>
          </w:p>
        </w:tc>
      </w:tr>
      <w:tr w:rsidR="00757A9C" w:rsidRPr="00757A9C" w14:paraId="329BE321" w14:textId="77777777" w:rsidTr="00757A9C">
        <w:trPr>
          <w:trHeight w:val="249"/>
        </w:trPr>
        <w:tc>
          <w:tcPr>
            <w:tcW w:w="4155" w:type="dxa"/>
            <w:tcBorders>
              <w:top w:val="nil"/>
              <w:left w:val="nil"/>
              <w:bottom w:val="nil"/>
              <w:right w:val="nil"/>
            </w:tcBorders>
            <w:noWrap/>
            <w:vAlign w:val="bottom"/>
            <w:hideMark/>
          </w:tcPr>
          <w:p w14:paraId="3A16F231"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Wheat bran</w:t>
            </w:r>
          </w:p>
        </w:tc>
        <w:tc>
          <w:tcPr>
            <w:tcW w:w="1710" w:type="dxa"/>
            <w:tcBorders>
              <w:top w:val="nil"/>
              <w:left w:val="nil"/>
              <w:bottom w:val="nil"/>
              <w:right w:val="nil"/>
            </w:tcBorders>
            <w:noWrap/>
            <w:vAlign w:val="bottom"/>
            <w:hideMark/>
          </w:tcPr>
          <w:p w14:paraId="1D5602D8"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36.41</w:t>
            </w:r>
          </w:p>
        </w:tc>
        <w:tc>
          <w:tcPr>
            <w:tcW w:w="2198" w:type="dxa"/>
            <w:tcBorders>
              <w:top w:val="nil"/>
              <w:left w:val="nil"/>
              <w:bottom w:val="nil"/>
              <w:right w:val="nil"/>
            </w:tcBorders>
            <w:noWrap/>
            <w:vAlign w:val="bottom"/>
            <w:hideMark/>
          </w:tcPr>
          <w:p w14:paraId="07B7D610"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17.85</w:t>
            </w:r>
          </w:p>
        </w:tc>
      </w:tr>
      <w:tr w:rsidR="00757A9C" w:rsidRPr="00757A9C" w14:paraId="3AB2C46A" w14:textId="77777777" w:rsidTr="00757A9C">
        <w:trPr>
          <w:trHeight w:val="249"/>
        </w:trPr>
        <w:tc>
          <w:tcPr>
            <w:tcW w:w="4155" w:type="dxa"/>
            <w:tcBorders>
              <w:top w:val="nil"/>
              <w:left w:val="nil"/>
              <w:bottom w:val="nil"/>
              <w:right w:val="nil"/>
            </w:tcBorders>
            <w:noWrap/>
            <w:vAlign w:val="bottom"/>
            <w:hideMark/>
          </w:tcPr>
          <w:p w14:paraId="21652F20"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Fertilizers</w:t>
            </w:r>
          </w:p>
        </w:tc>
        <w:tc>
          <w:tcPr>
            <w:tcW w:w="1710" w:type="dxa"/>
            <w:tcBorders>
              <w:top w:val="nil"/>
              <w:left w:val="nil"/>
              <w:bottom w:val="nil"/>
              <w:right w:val="nil"/>
            </w:tcBorders>
            <w:noWrap/>
            <w:vAlign w:val="bottom"/>
            <w:hideMark/>
          </w:tcPr>
          <w:p w14:paraId="41CD92B3"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17.40</w:t>
            </w:r>
          </w:p>
        </w:tc>
        <w:tc>
          <w:tcPr>
            <w:tcW w:w="2198" w:type="dxa"/>
            <w:tcBorders>
              <w:top w:val="nil"/>
              <w:left w:val="nil"/>
              <w:bottom w:val="nil"/>
              <w:right w:val="nil"/>
            </w:tcBorders>
            <w:noWrap/>
            <w:vAlign w:val="bottom"/>
            <w:hideMark/>
          </w:tcPr>
          <w:p w14:paraId="0681C016" w14:textId="25A4E5B3"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21.2</w:t>
            </w:r>
            <w:r>
              <w:rPr>
                <w:rFonts w:ascii="Calibri" w:hAnsi="Calibri" w:cs="Calibri"/>
                <w:color w:val="000000"/>
                <w:sz w:val="22"/>
                <w:szCs w:val="22"/>
                <w:lang w:bidi="hi-IN"/>
              </w:rPr>
              <w:t>6</w:t>
            </w:r>
          </w:p>
        </w:tc>
      </w:tr>
      <w:tr w:rsidR="00757A9C" w:rsidRPr="00757A9C" w14:paraId="17C64DE5" w14:textId="77777777" w:rsidTr="00757A9C">
        <w:trPr>
          <w:trHeight w:val="249"/>
        </w:trPr>
        <w:tc>
          <w:tcPr>
            <w:tcW w:w="4155" w:type="dxa"/>
            <w:tcBorders>
              <w:top w:val="nil"/>
              <w:left w:val="nil"/>
              <w:bottom w:val="nil"/>
              <w:right w:val="nil"/>
            </w:tcBorders>
            <w:noWrap/>
            <w:vAlign w:val="bottom"/>
            <w:hideMark/>
          </w:tcPr>
          <w:p w14:paraId="7725E7BA"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Labour</w:t>
            </w:r>
          </w:p>
        </w:tc>
        <w:tc>
          <w:tcPr>
            <w:tcW w:w="1710" w:type="dxa"/>
            <w:tcBorders>
              <w:top w:val="nil"/>
              <w:left w:val="nil"/>
              <w:bottom w:val="nil"/>
              <w:right w:val="nil"/>
            </w:tcBorders>
            <w:noWrap/>
            <w:vAlign w:val="bottom"/>
            <w:hideMark/>
          </w:tcPr>
          <w:p w14:paraId="0437C6E1"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102.98</w:t>
            </w:r>
          </w:p>
        </w:tc>
        <w:tc>
          <w:tcPr>
            <w:tcW w:w="2198" w:type="dxa"/>
            <w:tcBorders>
              <w:top w:val="nil"/>
              <w:left w:val="nil"/>
              <w:bottom w:val="nil"/>
              <w:right w:val="nil"/>
            </w:tcBorders>
            <w:noWrap/>
            <w:vAlign w:val="bottom"/>
            <w:hideMark/>
          </w:tcPr>
          <w:p w14:paraId="6AD56666"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38.22</w:t>
            </w:r>
          </w:p>
        </w:tc>
      </w:tr>
      <w:tr w:rsidR="00757A9C" w:rsidRPr="00757A9C" w14:paraId="59AC90EF" w14:textId="77777777" w:rsidTr="00757A9C">
        <w:trPr>
          <w:trHeight w:val="249"/>
        </w:trPr>
        <w:tc>
          <w:tcPr>
            <w:tcW w:w="4155" w:type="dxa"/>
            <w:tcBorders>
              <w:top w:val="nil"/>
              <w:left w:val="nil"/>
              <w:bottom w:val="nil"/>
              <w:right w:val="nil"/>
            </w:tcBorders>
            <w:noWrap/>
            <w:vAlign w:val="bottom"/>
            <w:hideMark/>
          </w:tcPr>
          <w:p w14:paraId="2DA700F7"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Total</w:t>
            </w:r>
          </w:p>
        </w:tc>
        <w:tc>
          <w:tcPr>
            <w:tcW w:w="1710" w:type="dxa"/>
            <w:tcBorders>
              <w:top w:val="nil"/>
              <w:left w:val="nil"/>
              <w:bottom w:val="nil"/>
              <w:right w:val="nil"/>
            </w:tcBorders>
            <w:noWrap/>
            <w:vAlign w:val="bottom"/>
            <w:hideMark/>
          </w:tcPr>
          <w:p w14:paraId="7ADCD519"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328.53</w:t>
            </w:r>
          </w:p>
        </w:tc>
        <w:tc>
          <w:tcPr>
            <w:tcW w:w="2198" w:type="dxa"/>
            <w:tcBorders>
              <w:top w:val="nil"/>
              <w:left w:val="nil"/>
              <w:bottom w:val="nil"/>
              <w:right w:val="nil"/>
            </w:tcBorders>
            <w:noWrap/>
            <w:vAlign w:val="bottom"/>
            <w:hideMark/>
          </w:tcPr>
          <w:p w14:paraId="04E82A54" w14:textId="74B3AA2B"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156.7</w:t>
            </w:r>
            <w:r>
              <w:rPr>
                <w:rFonts w:ascii="Calibri" w:hAnsi="Calibri" w:cs="Calibri"/>
                <w:color w:val="000000"/>
                <w:sz w:val="22"/>
                <w:szCs w:val="22"/>
                <w:lang w:bidi="hi-IN"/>
              </w:rPr>
              <w:t>8</w:t>
            </w:r>
          </w:p>
        </w:tc>
      </w:tr>
      <w:tr w:rsidR="00757A9C" w:rsidRPr="00757A9C" w14:paraId="46BD5192" w14:textId="77777777" w:rsidTr="00757A9C">
        <w:trPr>
          <w:trHeight w:val="249"/>
        </w:trPr>
        <w:tc>
          <w:tcPr>
            <w:tcW w:w="4155" w:type="dxa"/>
            <w:tcBorders>
              <w:top w:val="nil"/>
              <w:left w:val="nil"/>
              <w:bottom w:val="nil"/>
              <w:right w:val="nil"/>
            </w:tcBorders>
            <w:noWrap/>
            <w:vAlign w:val="bottom"/>
            <w:hideMark/>
          </w:tcPr>
          <w:p w14:paraId="4C411869" w14:textId="77777777" w:rsidR="00757A9C" w:rsidRPr="00757A9C" w:rsidRDefault="00757A9C" w:rsidP="00757A9C">
            <w:pPr>
              <w:rPr>
                <w:rFonts w:ascii="Calibri" w:hAnsi="Calibri" w:cs="Calibri"/>
                <w:color w:val="000000"/>
                <w:sz w:val="22"/>
                <w:szCs w:val="22"/>
                <w:lang w:bidi="hi-IN"/>
              </w:rPr>
            </w:pPr>
            <w:r w:rsidRPr="00757A9C">
              <w:rPr>
                <w:rFonts w:ascii="Calibri" w:hAnsi="Calibri" w:cs="Calibri"/>
                <w:color w:val="000000"/>
                <w:sz w:val="22"/>
                <w:szCs w:val="22"/>
                <w:lang w:bidi="hi-IN"/>
              </w:rPr>
              <w:t>Average cost of compost (Rs./ Kg compost)</w:t>
            </w:r>
          </w:p>
        </w:tc>
        <w:tc>
          <w:tcPr>
            <w:tcW w:w="1710" w:type="dxa"/>
            <w:tcBorders>
              <w:top w:val="nil"/>
              <w:left w:val="nil"/>
              <w:bottom w:val="nil"/>
              <w:right w:val="nil"/>
            </w:tcBorders>
            <w:noWrap/>
            <w:vAlign w:val="bottom"/>
            <w:hideMark/>
          </w:tcPr>
          <w:p w14:paraId="78524A16" w14:textId="77777777"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8.21</w:t>
            </w:r>
          </w:p>
        </w:tc>
        <w:tc>
          <w:tcPr>
            <w:tcW w:w="2198" w:type="dxa"/>
            <w:tcBorders>
              <w:top w:val="nil"/>
              <w:left w:val="nil"/>
              <w:bottom w:val="nil"/>
              <w:right w:val="nil"/>
            </w:tcBorders>
            <w:noWrap/>
            <w:vAlign w:val="bottom"/>
            <w:hideMark/>
          </w:tcPr>
          <w:p w14:paraId="07F114F3" w14:textId="3907E710" w:rsidR="00757A9C" w:rsidRPr="00757A9C" w:rsidRDefault="00757A9C" w:rsidP="00757A9C">
            <w:pPr>
              <w:jc w:val="center"/>
              <w:rPr>
                <w:rFonts w:ascii="Calibri" w:hAnsi="Calibri" w:cs="Calibri"/>
                <w:color w:val="000000"/>
                <w:sz w:val="22"/>
                <w:szCs w:val="22"/>
                <w:lang w:bidi="hi-IN"/>
              </w:rPr>
            </w:pPr>
            <w:r w:rsidRPr="00757A9C">
              <w:rPr>
                <w:rFonts w:ascii="Calibri" w:hAnsi="Calibri" w:cs="Calibri"/>
                <w:color w:val="000000"/>
                <w:sz w:val="22"/>
                <w:szCs w:val="22"/>
                <w:lang w:bidi="hi-IN"/>
              </w:rPr>
              <w:t>5.97</w:t>
            </w:r>
          </w:p>
        </w:tc>
      </w:tr>
    </w:tbl>
    <w:p w14:paraId="1B70EAAE" w14:textId="77777777" w:rsidR="00757A9C" w:rsidRDefault="00757A9C" w:rsidP="005E562C">
      <w:pPr>
        <w:pStyle w:val="Body"/>
        <w:rPr>
          <w:rFonts w:ascii="Arial" w:hAnsi="Arial" w:cs="Arial"/>
        </w:rPr>
      </w:pPr>
    </w:p>
    <w:p w14:paraId="7466B441" w14:textId="2A31C4FD" w:rsidR="005E562C" w:rsidRPr="005E562C" w:rsidRDefault="005E562C" w:rsidP="005E562C">
      <w:pPr>
        <w:pStyle w:val="Body"/>
        <w:rPr>
          <w:rFonts w:ascii="Arial" w:hAnsi="Arial" w:cs="Arial"/>
        </w:rPr>
      </w:pPr>
      <w:r w:rsidRPr="005E562C">
        <w:rPr>
          <w:rFonts w:ascii="Arial" w:hAnsi="Arial" w:cs="Arial"/>
        </w:rPr>
        <w:t xml:space="preserve">This reduction in cost can be attributed to lower </w:t>
      </w:r>
      <w:proofErr w:type="spellStart"/>
      <w:r w:rsidRPr="005E562C">
        <w:rPr>
          <w:rFonts w:ascii="Arial" w:hAnsi="Arial" w:cs="Arial"/>
        </w:rPr>
        <w:t>labour</w:t>
      </w:r>
      <w:proofErr w:type="spellEnd"/>
      <w:r w:rsidRPr="005E562C">
        <w:rPr>
          <w:rFonts w:ascii="Arial" w:hAnsi="Arial" w:cs="Arial"/>
        </w:rPr>
        <w:t xml:space="preserve"> requirements, shorter composting duration, and improved process efficiency associated with the ZEPT method. The statistically significant differences observed across all three parameters underscore the economic advantage of the technology.</w:t>
      </w:r>
    </w:p>
    <w:p w14:paraId="231E0A4A" w14:textId="77777777" w:rsidR="003E4B78" w:rsidRDefault="005E562C" w:rsidP="005E562C">
      <w:pPr>
        <w:pStyle w:val="Body"/>
        <w:spacing w:after="0"/>
        <w:rPr>
          <w:rFonts w:ascii="Arial" w:hAnsi="Arial" w:cs="Arial"/>
        </w:rPr>
      </w:pPr>
      <w:r w:rsidRPr="005E562C">
        <w:rPr>
          <w:rFonts w:ascii="Arial" w:hAnsi="Arial" w:cs="Arial"/>
        </w:rPr>
        <w:t>Taken together, the improvement in productivity indicators coupled with reduced input costs highlights the long-term economic viability of ZEPT composting. By lowering per-unit production costs while enhancing output efficiency, the technology offers a practical and scalable option for mushroom growers, particularly in resource-constrained production systems.</w:t>
      </w:r>
    </w:p>
    <w:p w14:paraId="527D8948" w14:textId="77777777" w:rsidR="005E562C" w:rsidRPr="00910A68" w:rsidRDefault="005E562C" w:rsidP="005E562C">
      <w:pPr>
        <w:pStyle w:val="Body"/>
        <w:spacing w:after="0"/>
        <w:rPr>
          <w:rFonts w:ascii="Arial" w:hAnsi="Arial" w:cs="Arial"/>
        </w:rPr>
      </w:pPr>
    </w:p>
    <w:p w14:paraId="3508652D" w14:textId="4906BF9C" w:rsidR="003E4B78" w:rsidRDefault="003E4B78" w:rsidP="003E4B78">
      <w:pPr>
        <w:pStyle w:val="Body"/>
        <w:spacing w:after="0"/>
        <w:rPr>
          <w:rFonts w:ascii="Arial" w:hAnsi="Arial" w:cs="Arial"/>
          <w:b/>
          <w:bCs/>
        </w:rPr>
      </w:pPr>
      <w:r w:rsidRPr="00910A68">
        <w:rPr>
          <w:rFonts w:ascii="Arial" w:hAnsi="Arial" w:cs="Arial"/>
          <w:b/>
          <w:bCs/>
          <w:iCs/>
        </w:rPr>
        <w:t xml:space="preserve">Table </w:t>
      </w:r>
      <w:r w:rsidR="00770E74">
        <w:rPr>
          <w:rFonts w:ascii="Arial" w:hAnsi="Arial" w:cs="Arial"/>
          <w:b/>
          <w:bCs/>
          <w:iCs/>
        </w:rPr>
        <w:t>4</w:t>
      </w:r>
      <w:r w:rsidRPr="00910A68">
        <w:rPr>
          <w:rFonts w:ascii="Arial" w:hAnsi="Arial" w:cs="Arial"/>
          <w:b/>
          <w:bCs/>
          <w:iCs/>
        </w:rPr>
        <w:t>. Difference between Biological Efficiency (BE), Conversion rate, and Average cost of preparation:</w:t>
      </w:r>
      <w:r w:rsidRPr="00910A68">
        <w:rPr>
          <w:rFonts w:ascii="Arial" w:hAnsi="Arial" w:cs="Arial"/>
          <w:b/>
          <w:bCs/>
        </w:rPr>
        <w:t xml:space="preserve"> t-Test (Two-Sample Assuming Unequal Variances)</w:t>
      </w:r>
    </w:p>
    <w:p w14:paraId="1E1E36E8" w14:textId="77777777" w:rsidR="005E562C" w:rsidRPr="00910A68" w:rsidRDefault="005E562C" w:rsidP="003E4B78">
      <w:pPr>
        <w:pStyle w:val="Body"/>
        <w:spacing w:after="0"/>
        <w:rPr>
          <w:rFonts w:ascii="Arial" w:hAnsi="Arial" w:cs="Arial"/>
          <w:b/>
          <w:bCs/>
          <w:iCs/>
        </w:rPr>
      </w:pPr>
    </w:p>
    <w:tbl>
      <w:tblPr>
        <w:tblW w:w="8197" w:type="dxa"/>
        <w:tblInd w:w="18" w:type="dxa"/>
        <w:tblLook w:val="04A0" w:firstRow="1" w:lastRow="0" w:firstColumn="1" w:lastColumn="0" w:noHBand="0" w:noVBand="1"/>
      </w:tblPr>
      <w:tblGrid>
        <w:gridCol w:w="2916"/>
        <w:gridCol w:w="788"/>
        <w:gridCol w:w="869"/>
        <w:gridCol w:w="865"/>
        <w:gridCol w:w="873"/>
        <w:gridCol w:w="940"/>
        <w:gridCol w:w="946"/>
      </w:tblGrid>
      <w:tr w:rsidR="003E4B78" w:rsidRPr="00910A68" w14:paraId="6A4D3145" w14:textId="77777777" w:rsidTr="00EB437A">
        <w:trPr>
          <w:trHeight w:val="303"/>
        </w:trPr>
        <w:tc>
          <w:tcPr>
            <w:tcW w:w="2916" w:type="dxa"/>
            <w:vMerge w:val="restart"/>
            <w:tcBorders>
              <w:top w:val="single" w:sz="4" w:space="0" w:color="auto"/>
              <w:bottom w:val="single" w:sz="4" w:space="0" w:color="auto"/>
              <w:right w:val="single" w:sz="4" w:space="0" w:color="auto"/>
            </w:tcBorders>
            <w:noWrap/>
            <w:vAlign w:val="center"/>
            <w:hideMark/>
          </w:tcPr>
          <w:p w14:paraId="082D27AB" w14:textId="77777777" w:rsidR="003E4B78" w:rsidRPr="00910A68" w:rsidRDefault="003E4B78" w:rsidP="00A27F44">
            <w:pPr>
              <w:pStyle w:val="Body"/>
              <w:spacing w:after="0"/>
              <w:rPr>
                <w:rFonts w:ascii="Arial" w:hAnsi="Arial" w:cs="Arial"/>
                <w:b/>
                <w:bCs/>
              </w:rPr>
            </w:pPr>
            <w:r w:rsidRPr="00910A68">
              <w:rPr>
                <w:rFonts w:ascii="Arial" w:hAnsi="Arial" w:cs="Arial"/>
                <w:b/>
                <w:bCs/>
              </w:rPr>
              <w:t>Parameters</w:t>
            </w:r>
          </w:p>
        </w:tc>
        <w:tc>
          <w:tcPr>
            <w:tcW w:w="1657" w:type="dxa"/>
            <w:gridSpan w:val="2"/>
            <w:tcBorders>
              <w:top w:val="single" w:sz="4" w:space="0" w:color="auto"/>
              <w:left w:val="single" w:sz="4" w:space="0" w:color="auto"/>
              <w:bottom w:val="single" w:sz="4" w:space="0" w:color="auto"/>
            </w:tcBorders>
            <w:noWrap/>
            <w:vAlign w:val="center"/>
            <w:hideMark/>
          </w:tcPr>
          <w:p w14:paraId="4757863D" w14:textId="77777777" w:rsidR="003E4B78" w:rsidRPr="00910A68" w:rsidRDefault="003E4B78" w:rsidP="00A27F44">
            <w:pPr>
              <w:pStyle w:val="Body"/>
              <w:spacing w:after="0"/>
              <w:rPr>
                <w:rFonts w:ascii="Arial" w:hAnsi="Arial" w:cs="Arial"/>
                <w:b/>
                <w:bCs/>
              </w:rPr>
            </w:pPr>
            <w:r w:rsidRPr="00910A68">
              <w:rPr>
                <w:rFonts w:ascii="Arial" w:hAnsi="Arial" w:cs="Arial"/>
                <w:b/>
                <w:bCs/>
              </w:rPr>
              <w:t>BE (%)</w:t>
            </w:r>
          </w:p>
        </w:tc>
        <w:tc>
          <w:tcPr>
            <w:tcW w:w="1738" w:type="dxa"/>
            <w:gridSpan w:val="2"/>
            <w:tcBorders>
              <w:top w:val="single" w:sz="4" w:space="0" w:color="auto"/>
              <w:bottom w:val="single" w:sz="4" w:space="0" w:color="auto"/>
            </w:tcBorders>
            <w:vAlign w:val="center"/>
          </w:tcPr>
          <w:p w14:paraId="03C5B811" w14:textId="77777777" w:rsidR="003E4B78" w:rsidRPr="00910A68" w:rsidRDefault="003E4B78" w:rsidP="00A27F44">
            <w:pPr>
              <w:pStyle w:val="Body"/>
              <w:spacing w:after="0"/>
              <w:rPr>
                <w:rFonts w:ascii="Arial" w:hAnsi="Arial" w:cs="Arial"/>
                <w:b/>
                <w:bCs/>
              </w:rPr>
            </w:pPr>
            <w:r w:rsidRPr="00910A68">
              <w:rPr>
                <w:rFonts w:ascii="Arial" w:hAnsi="Arial" w:cs="Arial"/>
                <w:b/>
                <w:bCs/>
              </w:rPr>
              <w:t>Conversion rate</w:t>
            </w:r>
          </w:p>
        </w:tc>
        <w:tc>
          <w:tcPr>
            <w:tcW w:w="1885" w:type="dxa"/>
            <w:gridSpan w:val="2"/>
            <w:tcBorders>
              <w:top w:val="single" w:sz="4" w:space="0" w:color="auto"/>
              <w:bottom w:val="single" w:sz="4" w:space="0" w:color="auto"/>
            </w:tcBorders>
            <w:vAlign w:val="center"/>
          </w:tcPr>
          <w:p w14:paraId="533318D9" w14:textId="77777777" w:rsidR="003E4B78" w:rsidRPr="00910A68" w:rsidRDefault="003E4B78" w:rsidP="00A27F44">
            <w:pPr>
              <w:pStyle w:val="Body"/>
              <w:spacing w:after="0"/>
              <w:rPr>
                <w:rFonts w:ascii="Arial" w:hAnsi="Arial" w:cs="Arial"/>
                <w:b/>
                <w:bCs/>
              </w:rPr>
            </w:pPr>
            <w:r w:rsidRPr="00910A68">
              <w:rPr>
                <w:rFonts w:ascii="Arial" w:hAnsi="Arial" w:cs="Arial"/>
                <w:b/>
                <w:bCs/>
              </w:rPr>
              <w:t>AVC (Rs. / Kg)</w:t>
            </w:r>
          </w:p>
        </w:tc>
      </w:tr>
      <w:tr w:rsidR="003E4B78" w:rsidRPr="00910A68" w14:paraId="58DE713B" w14:textId="77777777" w:rsidTr="00EB437A">
        <w:trPr>
          <w:trHeight w:val="288"/>
        </w:trPr>
        <w:tc>
          <w:tcPr>
            <w:tcW w:w="2916" w:type="dxa"/>
            <w:vMerge/>
            <w:tcBorders>
              <w:top w:val="single" w:sz="4" w:space="0" w:color="auto"/>
              <w:bottom w:val="single" w:sz="4" w:space="0" w:color="auto"/>
              <w:right w:val="single" w:sz="4" w:space="0" w:color="auto"/>
            </w:tcBorders>
            <w:noWrap/>
            <w:vAlign w:val="center"/>
            <w:hideMark/>
          </w:tcPr>
          <w:p w14:paraId="2E68083F" w14:textId="77777777" w:rsidR="003E4B78" w:rsidRPr="00910A68" w:rsidRDefault="003E4B78" w:rsidP="00A27F44">
            <w:pPr>
              <w:pStyle w:val="Body"/>
              <w:spacing w:after="0"/>
              <w:rPr>
                <w:rFonts w:ascii="Arial" w:hAnsi="Arial" w:cs="Arial"/>
                <w:b/>
                <w:bCs/>
              </w:rPr>
            </w:pPr>
          </w:p>
        </w:tc>
        <w:tc>
          <w:tcPr>
            <w:tcW w:w="788" w:type="dxa"/>
            <w:tcBorders>
              <w:top w:val="single" w:sz="4" w:space="0" w:color="auto"/>
              <w:left w:val="single" w:sz="4" w:space="0" w:color="auto"/>
              <w:bottom w:val="single" w:sz="4" w:space="0" w:color="auto"/>
            </w:tcBorders>
            <w:noWrap/>
            <w:vAlign w:val="center"/>
            <w:hideMark/>
          </w:tcPr>
          <w:p w14:paraId="68112D1B"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869" w:type="dxa"/>
            <w:tcBorders>
              <w:top w:val="single" w:sz="4" w:space="0" w:color="auto"/>
              <w:bottom w:val="single" w:sz="4" w:space="0" w:color="auto"/>
            </w:tcBorders>
            <w:noWrap/>
            <w:vAlign w:val="center"/>
            <w:hideMark/>
          </w:tcPr>
          <w:p w14:paraId="75FC44F0"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c>
          <w:tcPr>
            <w:tcW w:w="865" w:type="dxa"/>
            <w:tcBorders>
              <w:top w:val="single" w:sz="4" w:space="0" w:color="auto"/>
              <w:bottom w:val="single" w:sz="4" w:space="0" w:color="auto"/>
            </w:tcBorders>
            <w:vAlign w:val="center"/>
          </w:tcPr>
          <w:p w14:paraId="69EDAD1C"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873" w:type="dxa"/>
            <w:tcBorders>
              <w:top w:val="single" w:sz="4" w:space="0" w:color="auto"/>
              <w:bottom w:val="single" w:sz="4" w:space="0" w:color="auto"/>
            </w:tcBorders>
            <w:vAlign w:val="center"/>
          </w:tcPr>
          <w:p w14:paraId="5E170A2C"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c>
          <w:tcPr>
            <w:tcW w:w="940" w:type="dxa"/>
            <w:tcBorders>
              <w:top w:val="single" w:sz="4" w:space="0" w:color="auto"/>
              <w:bottom w:val="single" w:sz="4" w:space="0" w:color="auto"/>
            </w:tcBorders>
            <w:vAlign w:val="center"/>
          </w:tcPr>
          <w:p w14:paraId="34EE359E"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946" w:type="dxa"/>
            <w:tcBorders>
              <w:top w:val="single" w:sz="4" w:space="0" w:color="auto"/>
              <w:bottom w:val="single" w:sz="4" w:space="0" w:color="auto"/>
            </w:tcBorders>
            <w:vAlign w:val="center"/>
          </w:tcPr>
          <w:p w14:paraId="318BBD00"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r>
      <w:tr w:rsidR="003E4B78" w:rsidRPr="00910A68" w14:paraId="3F795A85" w14:textId="77777777" w:rsidTr="00EB437A">
        <w:trPr>
          <w:trHeight w:val="288"/>
        </w:trPr>
        <w:tc>
          <w:tcPr>
            <w:tcW w:w="2916" w:type="dxa"/>
            <w:tcBorders>
              <w:top w:val="single" w:sz="4" w:space="0" w:color="auto"/>
              <w:right w:val="single" w:sz="4" w:space="0" w:color="auto"/>
            </w:tcBorders>
            <w:noWrap/>
            <w:vAlign w:val="bottom"/>
            <w:hideMark/>
          </w:tcPr>
          <w:p w14:paraId="68AAC22B" w14:textId="77777777" w:rsidR="003E4B78" w:rsidRPr="00910A68" w:rsidRDefault="003E4B78" w:rsidP="00A27F44">
            <w:pPr>
              <w:pStyle w:val="Body"/>
              <w:spacing w:after="0"/>
              <w:rPr>
                <w:rFonts w:ascii="Arial" w:hAnsi="Arial" w:cs="Arial"/>
              </w:rPr>
            </w:pPr>
            <w:r w:rsidRPr="00910A68">
              <w:rPr>
                <w:rFonts w:ascii="Arial" w:hAnsi="Arial" w:cs="Arial"/>
              </w:rPr>
              <w:t>Mean</w:t>
            </w:r>
          </w:p>
        </w:tc>
        <w:tc>
          <w:tcPr>
            <w:tcW w:w="788" w:type="dxa"/>
            <w:tcBorders>
              <w:top w:val="single" w:sz="4" w:space="0" w:color="auto"/>
              <w:left w:val="single" w:sz="4" w:space="0" w:color="auto"/>
            </w:tcBorders>
            <w:noWrap/>
            <w:vAlign w:val="center"/>
            <w:hideMark/>
          </w:tcPr>
          <w:p w14:paraId="79E7CE60" w14:textId="77777777" w:rsidR="003E4B78" w:rsidRPr="00910A68" w:rsidRDefault="003E4B78" w:rsidP="00A27F44">
            <w:pPr>
              <w:pStyle w:val="Body"/>
              <w:spacing w:after="0"/>
              <w:rPr>
                <w:rFonts w:ascii="Arial" w:hAnsi="Arial" w:cs="Arial"/>
              </w:rPr>
            </w:pPr>
            <w:r w:rsidRPr="00910A68">
              <w:rPr>
                <w:rFonts w:ascii="Arial" w:hAnsi="Arial" w:cs="Arial"/>
              </w:rPr>
              <w:t>17.04</w:t>
            </w:r>
          </w:p>
        </w:tc>
        <w:tc>
          <w:tcPr>
            <w:tcW w:w="869" w:type="dxa"/>
            <w:tcBorders>
              <w:top w:val="single" w:sz="4" w:space="0" w:color="auto"/>
            </w:tcBorders>
            <w:noWrap/>
            <w:vAlign w:val="center"/>
            <w:hideMark/>
          </w:tcPr>
          <w:p w14:paraId="4CE52226" w14:textId="77777777" w:rsidR="003E4B78" w:rsidRPr="00910A68" w:rsidRDefault="003E4B78" w:rsidP="00A27F44">
            <w:pPr>
              <w:pStyle w:val="Body"/>
              <w:spacing w:after="0"/>
              <w:rPr>
                <w:rFonts w:ascii="Arial" w:hAnsi="Arial" w:cs="Arial"/>
              </w:rPr>
            </w:pPr>
            <w:r w:rsidRPr="00910A68">
              <w:rPr>
                <w:rFonts w:ascii="Arial" w:hAnsi="Arial" w:cs="Arial"/>
              </w:rPr>
              <w:t>19.69</w:t>
            </w:r>
          </w:p>
        </w:tc>
        <w:tc>
          <w:tcPr>
            <w:tcW w:w="865" w:type="dxa"/>
            <w:tcBorders>
              <w:top w:val="single" w:sz="4" w:space="0" w:color="auto"/>
            </w:tcBorders>
            <w:vAlign w:val="center"/>
          </w:tcPr>
          <w:p w14:paraId="0D5BED97" w14:textId="77777777" w:rsidR="003E4B78" w:rsidRPr="00910A68" w:rsidRDefault="003E4B78" w:rsidP="00A27F44">
            <w:pPr>
              <w:pStyle w:val="Body"/>
              <w:spacing w:after="0"/>
              <w:rPr>
                <w:rFonts w:ascii="Arial" w:hAnsi="Arial" w:cs="Arial"/>
              </w:rPr>
            </w:pPr>
            <w:r w:rsidRPr="00910A68">
              <w:rPr>
                <w:rFonts w:ascii="Arial" w:hAnsi="Arial" w:cs="Arial"/>
              </w:rPr>
              <w:t>2.01</w:t>
            </w:r>
          </w:p>
        </w:tc>
        <w:tc>
          <w:tcPr>
            <w:tcW w:w="873" w:type="dxa"/>
            <w:tcBorders>
              <w:top w:val="single" w:sz="4" w:space="0" w:color="auto"/>
            </w:tcBorders>
            <w:vAlign w:val="center"/>
          </w:tcPr>
          <w:p w14:paraId="1AB66EE8" w14:textId="77777777" w:rsidR="003E4B78" w:rsidRPr="00910A68" w:rsidRDefault="003E4B78" w:rsidP="00A27F44">
            <w:pPr>
              <w:pStyle w:val="Body"/>
              <w:spacing w:after="0"/>
              <w:rPr>
                <w:rFonts w:ascii="Arial" w:hAnsi="Arial" w:cs="Arial"/>
              </w:rPr>
            </w:pPr>
            <w:r w:rsidRPr="00910A68">
              <w:rPr>
                <w:rFonts w:ascii="Arial" w:hAnsi="Arial" w:cs="Arial"/>
              </w:rPr>
              <w:t>2.50</w:t>
            </w:r>
          </w:p>
        </w:tc>
        <w:tc>
          <w:tcPr>
            <w:tcW w:w="940" w:type="dxa"/>
            <w:tcBorders>
              <w:top w:val="single" w:sz="4" w:space="0" w:color="auto"/>
            </w:tcBorders>
            <w:vAlign w:val="center"/>
          </w:tcPr>
          <w:p w14:paraId="63C984D5" w14:textId="4A883933" w:rsidR="003E4B78" w:rsidRPr="00910A68" w:rsidRDefault="003E4B78" w:rsidP="00A27F44">
            <w:pPr>
              <w:pStyle w:val="Body"/>
              <w:spacing w:after="0"/>
              <w:rPr>
                <w:rFonts w:ascii="Arial" w:hAnsi="Arial" w:cs="Arial"/>
              </w:rPr>
            </w:pPr>
            <w:r w:rsidRPr="00910A68">
              <w:rPr>
                <w:rFonts w:ascii="Arial" w:hAnsi="Arial" w:cs="Arial"/>
              </w:rPr>
              <w:t>8.2</w:t>
            </w:r>
            <w:r w:rsidR="009556AC">
              <w:rPr>
                <w:rFonts w:ascii="Arial" w:hAnsi="Arial" w:cs="Arial"/>
              </w:rPr>
              <w:t>1</w:t>
            </w:r>
          </w:p>
        </w:tc>
        <w:tc>
          <w:tcPr>
            <w:tcW w:w="946" w:type="dxa"/>
            <w:tcBorders>
              <w:top w:val="single" w:sz="4" w:space="0" w:color="auto"/>
            </w:tcBorders>
            <w:vAlign w:val="center"/>
          </w:tcPr>
          <w:p w14:paraId="44F9D551" w14:textId="37FD57FB" w:rsidR="003E4B78" w:rsidRPr="00EA196D" w:rsidRDefault="00822E4D" w:rsidP="00A27F44">
            <w:pPr>
              <w:pStyle w:val="Body"/>
              <w:spacing w:after="0"/>
              <w:rPr>
                <w:rFonts w:ascii="Arial" w:hAnsi="Arial" w:cs="Arial"/>
                <w:color w:val="FF0000"/>
              </w:rPr>
            </w:pPr>
            <w:r w:rsidRPr="00EA196D">
              <w:rPr>
                <w:rFonts w:ascii="Arial" w:hAnsi="Arial" w:cs="Arial"/>
                <w:color w:val="FF0000"/>
              </w:rPr>
              <w:t>5.97</w:t>
            </w:r>
          </w:p>
        </w:tc>
      </w:tr>
      <w:tr w:rsidR="003E4B78" w:rsidRPr="00910A68" w14:paraId="006A6B2C" w14:textId="77777777" w:rsidTr="00EB437A">
        <w:trPr>
          <w:trHeight w:val="288"/>
        </w:trPr>
        <w:tc>
          <w:tcPr>
            <w:tcW w:w="2916" w:type="dxa"/>
            <w:tcBorders>
              <w:right w:val="single" w:sz="4" w:space="0" w:color="auto"/>
            </w:tcBorders>
            <w:noWrap/>
            <w:vAlign w:val="bottom"/>
            <w:hideMark/>
          </w:tcPr>
          <w:p w14:paraId="2D926ED8" w14:textId="77777777" w:rsidR="003E4B78" w:rsidRPr="00910A68" w:rsidRDefault="003E4B78" w:rsidP="00A27F44">
            <w:pPr>
              <w:pStyle w:val="Body"/>
              <w:spacing w:after="0"/>
              <w:rPr>
                <w:rFonts w:ascii="Arial" w:hAnsi="Arial" w:cs="Arial"/>
              </w:rPr>
            </w:pPr>
            <w:r w:rsidRPr="00910A68">
              <w:rPr>
                <w:rFonts w:ascii="Arial" w:hAnsi="Arial" w:cs="Arial"/>
              </w:rPr>
              <w:t>Variance</w:t>
            </w:r>
          </w:p>
        </w:tc>
        <w:tc>
          <w:tcPr>
            <w:tcW w:w="788" w:type="dxa"/>
            <w:tcBorders>
              <w:left w:val="single" w:sz="4" w:space="0" w:color="auto"/>
            </w:tcBorders>
            <w:noWrap/>
            <w:vAlign w:val="center"/>
            <w:hideMark/>
          </w:tcPr>
          <w:p w14:paraId="65B315BB" w14:textId="77777777" w:rsidR="003E4B78" w:rsidRPr="00910A68" w:rsidRDefault="003E4B78" w:rsidP="00A27F44">
            <w:pPr>
              <w:pStyle w:val="Body"/>
              <w:spacing w:after="0"/>
              <w:rPr>
                <w:rFonts w:ascii="Arial" w:hAnsi="Arial" w:cs="Arial"/>
              </w:rPr>
            </w:pPr>
            <w:r w:rsidRPr="00910A68">
              <w:rPr>
                <w:rFonts w:ascii="Arial" w:hAnsi="Arial" w:cs="Arial"/>
              </w:rPr>
              <w:t>11.02</w:t>
            </w:r>
          </w:p>
        </w:tc>
        <w:tc>
          <w:tcPr>
            <w:tcW w:w="869" w:type="dxa"/>
            <w:noWrap/>
            <w:vAlign w:val="center"/>
            <w:hideMark/>
          </w:tcPr>
          <w:p w14:paraId="225588CB" w14:textId="77777777" w:rsidR="003E4B78" w:rsidRPr="00910A68" w:rsidRDefault="003E4B78" w:rsidP="00A27F44">
            <w:pPr>
              <w:pStyle w:val="Body"/>
              <w:spacing w:after="0"/>
              <w:rPr>
                <w:rFonts w:ascii="Arial" w:hAnsi="Arial" w:cs="Arial"/>
              </w:rPr>
            </w:pPr>
            <w:r w:rsidRPr="00910A68">
              <w:rPr>
                <w:rFonts w:ascii="Arial" w:hAnsi="Arial" w:cs="Arial"/>
              </w:rPr>
              <w:t>8.05</w:t>
            </w:r>
          </w:p>
        </w:tc>
        <w:tc>
          <w:tcPr>
            <w:tcW w:w="865" w:type="dxa"/>
            <w:vAlign w:val="center"/>
          </w:tcPr>
          <w:p w14:paraId="466D8FC3" w14:textId="77777777" w:rsidR="003E4B78" w:rsidRPr="00910A68" w:rsidRDefault="003E4B78" w:rsidP="00A27F44">
            <w:pPr>
              <w:pStyle w:val="Body"/>
              <w:spacing w:after="0"/>
              <w:rPr>
                <w:rFonts w:ascii="Arial" w:hAnsi="Arial" w:cs="Arial"/>
              </w:rPr>
            </w:pPr>
            <w:r w:rsidRPr="00910A68">
              <w:rPr>
                <w:rFonts w:ascii="Arial" w:hAnsi="Arial" w:cs="Arial"/>
              </w:rPr>
              <w:t>0.07</w:t>
            </w:r>
          </w:p>
        </w:tc>
        <w:tc>
          <w:tcPr>
            <w:tcW w:w="873" w:type="dxa"/>
            <w:vAlign w:val="center"/>
          </w:tcPr>
          <w:p w14:paraId="743118A2" w14:textId="77777777" w:rsidR="003E4B78" w:rsidRPr="00910A68" w:rsidRDefault="003E4B78" w:rsidP="00A27F44">
            <w:pPr>
              <w:pStyle w:val="Body"/>
              <w:spacing w:after="0"/>
              <w:rPr>
                <w:rFonts w:ascii="Arial" w:hAnsi="Arial" w:cs="Arial"/>
              </w:rPr>
            </w:pPr>
            <w:r w:rsidRPr="00910A68">
              <w:rPr>
                <w:rFonts w:ascii="Arial" w:hAnsi="Arial" w:cs="Arial"/>
              </w:rPr>
              <w:t>0.11</w:t>
            </w:r>
          </w:p>
        </w:tc>
        <w:tc>
          <w:tcPr>
            <w:tcW w:w="940" w:type="dxa"/>
            <w:vAlign w:val="center"/>
          </w:tcPr>
          <w:p w14:paraId="1A8AF52A" w14:textId="77777777" w:rsidR="003E4B78" w:rsidRPr="00EA196D" w:rsidRDefault="003E4B78" w:rsidP="00A27F44">
            <w:pPr>
              <w:pStyle w:val="Body"/>
              <w:spacing w:after="0"/>
              <w:rPr>
                <w:rFonts w:ascii="Arial" w:hAnsi="Arial" w:cs="Arial"/>
                <w:color w:val="FF0000"/>
              </w:rPr>
            </w:pPr>
            <w:r w:rsidRPr="00EA196D">
              <w:rPr>
                <w:rFonts w:ascii="Arial" w:hAnsi="Arial" w:cs="Arial"/>
                <w:color w:val="FF0000"/>
              </w:rPr>
              <w:t>4.49</w:t>
            </w:r>
          </w:p>
        </w:tc>
        <w:tc>
          <w:tcPr>
            <w:tcW w:w="946" w:type="dxa"/>
            <w:vAlign w:val="center"/>
          </w:tcPr>
          <w:p w14:paraId="5FEC1EE7" w14:textId="65592762" w:rsidR="003E4B78" w:rsidRPr="00EA196D" w:rsidRDefault="00822E4D" w:rsidP="00A27F44">
            <w:pPr>
              <w:pStyle w:val="Body"/>
              <w:spacing w:after="0"/>
              <w:rPr>
                <w:rFonts w:ascii="Arial" w:hAnsi="Arial" w:cs="Arial"/>
                <w:color w:val="FF0000"/>
              </w:rPr>
            </w:pPr>
            <w:r w:rsidRPr="00EA196D">
              <w:rPr>
                <w:rFonts w:ascii="Arial" w:hAnsi="Arial" w:cs="Arial"/>
                <w:color w:val="FF0000"/>
              </w:rPr>
              <w:t>0.72</w:t>
            </w:r>
          </w:p>
        </w:tc>
      </w:tr>
      <w:tr w:rsidR="003E4B78" w:rsidRPr="00910A68" w14:paraId="78C3376B" w14:textId="77777777" w:rsidTr="00EB437A">
        <w:trPr>
          <w:trHeight w:val="288"/>
        </w:trPr>
        <w:tc>
          <w:tcPr>
            <w:tcW w:w="2916" w:type="dxa"/>
            <w:tcBorders>
              <w:right w:val="single" w:sz="4" w:space="0" w:color="auto"/>
            </w:tcBorders>
            <w:noWrap/>
            <w:vAlign w:val="bottom"/>
            <w:hideMark/>
          </w:tcPr>
          <w:p w14:paraId="0D9E3601" w14:textId="77777777" w:rsidR="003E4B78" w:rsidRPr="00910A68" w:rsidRDefault="003E4B78" w:rsidP="00A27F44">
            <w:pPr>
              <w:pStyle w:val="Body"/>
              <w:spacing w:after="0"/>
              <w:rPr>
                <w:rFonts w:ascii="Arial" w:hAnsi="Arial" w:cs="Arial"/>
              </w:rPr>
            </w:pPr>
            <w:r w:rsidRPr="00910A68">
              <w:rPr>
                <w:rFonts w:ascii="Arial" w:hAnsi="Arial" w:cs="Arial"/>
              </w:rPr>
              <w:t>Observations</w:t>
            </w:r>
          </w:p>
        </w:tc>
        <w:tc>
          <w:tcPr>
            <w:tcW w:w="788" w:type="dxa"/>
            <w:tcBorders>
              <w:left w:val="single" w:sz="4" w:space="0" w:color="auto"/>
            </w:tcBorders>
            <w:noWrap/>
            <w:vAlign w:val="center"/>
            <w:hideMark/>
          </w:tcPr>
          <w:p w14:paraId="098A6EA1"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69" w:type="dxa"/>
            <w:noWrap/>
            <w:vAlign w:val="center"/>
            <w:hideMark/>
          </w:tcPr>
          <w:p w14:paraId="1EC2C030"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65" w:type="dxa"/>
            <w:vAlign w:val="center"/>
          </w:tcPr>
          <w:p w14:paraId="3053BB48"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73" w:type="dxa"/>
            <w:vAlign w:val="center"/>
          </w:tcPr>
          <w:p w14:paraId="17448014"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940" w:type="dxa"/>
            <w:vAlign w:val="center"/>
          </w:tcPr>
          <w:p w14:paraId="39F242F7" w14:textId="1FA080C9" w:rsidR="003E4B78" w:rsidRPr="00EA196D" w:rsidRDefault="00B65213" w:rsidP="00A27F44">
            <w:pPr>
              <w:pStyle w:val="Body"/>
              <w:spacing w:after="0"/>
              <w:rPr>
                <w:rFonts w:ascii="Arial" w:hAnsi="Arial" w:cs="Arial"/>
                <w:color w:val="FF0000"/>
              </w:rPr>
            </w:pPr>
            <w:r w:rsidRPr="00EA196D">
              <w:rPr>
                <w:rFonts w:ascii="Arial" w:hAnsi="Arial" w:cs="Arial"/>
                <w:color w:val="FF0000"/>
              </w:rPr>
              <w:t>4</w:t>
            </w:r>
            <w:r w:rsidR="003E4B78" w:rsidRPr="00EA196D">
              <w:rPr>
                <w:rFonts w:ascii="Arial" w:hAnsi="Arial" w:cs="Arial"/>
                <w:color w:val="FF0000"/>
              </w:rPr>
              <w:t>.00</w:t>
            </w:r>
          </w:p>
        </w:tc>
        <w:tc>
          <w:tcPr>
            <w:tcW w:w="946" w:type="dxa"/>
            <w:vAlign w:val="center"/>
          </w:tcPr>
          <w:p w14:paraId="1DFFC8B3" w14:textId="6B7952DE" w:rsidR="003E4B78" w:rsidRPr="00EA196D" w:rsidRDefault="00B65213" w:rsidP="00A27F44">
            <w:pPr>
              <w:pStyle w:val="Body"/>
              <w:spacing w:after="0"/>
              <w:rPr>
                <w:rFonts w:ascii="Arial" w:hAnsi="Arial" w:cs="Arial"/>
                <w:color w:val="FF0000"/>
              </w:rPr>
            </w:pPr>
            <w:r w:rsidRPr="00EA196D">
              <w:rPr>
                <w:rFonts w:ascii="Arial" w:hAnsi="Arial" w:cs="Arial"/>
                <w:color w:val="FF0000"/>
              </w:rPr>
              <w:t>4</w:t>
            </w:r>
            <w:r w:rsidR="003E4B78" w:rsidRPr="00EA196D">
              <w:rPr>
                <w:rFonts w:ascii="Arial" w:hAnsi="Arial" w:cs="Arial"/>
                <w:color w:val="FF0000"/>
              </w:rPr>
              <w:t>.00</w:t>
            </w:r>
          </w:p>
        </w:tc>
      </w:tr>
      <w:tr w:rsidR="003E4B78" w:rsidRPr="00910A68" w14:paraId="5ED3FA51" w14:textId="77777777" w:rsidTr="00EB437A">
        <w:trPr>
          <w:trHeight w:val="288"/>
        </w:trPr>
        <w:tc>
          <w:tcPr>
            <w:tcW w:w="2916" w:type="dxa"/>
            <w:tcBorders>
              <w:right w:val="single" w:sz="4" w:space="0" w:color="auto"/>
            </w:tcBorders>
            <w:noWrap/>
            <w:vAlign w:val="bottom"/>
            <w:hideMark/>
          </w:tcPr>
          <w:p w14:paraId="7431ED24" w14:textId="77777777" w:rsidR="003E4B78" w:rsidRPr="00910A68" w:rsidRDefault="003E4B78" w:rsidP="00A27F44">
            <w:pPr>
              <w:pStyle w:val="Body"/>
              <w:spacing w:after="0"/>
              <w:jc w:val="left"/>
              <w:rPr>
                <w:rFonts w:ascii="Arial" w:hAnsi="Arial" w:cs="Arial"/>
              </w:rPr>
            </w:pPr>
            <w:r w:rsidRPr="00910A68">
              <w:rPr>
                <w:rFonts w:ascii="Arial" w:hAnsi="Arial" w:cs="Arial"/>
              </w:rPr>
              <w:t>Hypothesized Mean Difference</w:t>
            </w:r>
          </w:p>
        </w:tc>
        <w:tc>
          <w:tcPr>
            <w:tcW w:w="788" w:type="dxa"/>
            <w:tcBorders>
              <w:left w:val="single" w:sz="4" w:space="0" w:color="auto"/>
            </w:tcBorders>
            <w:noWrap/>
            <w:vAlign w:val="center"/>
            <w:hideMark/>
          </w:tcPr>
          <w:p w14:paraId="3A638639"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69" w:type="dxa"/>
            <w:noWrap/>
            <w:vAlign w:val="center"/>
            <w:hideMark/>
          </w:tcPr>
          <w:p w14:paraId="17211433" w14:textId="77777777" w:rsidR="003E4B78" w:rsidRPr="00910A68" w:rsidRDefault="003E4B78" w:rsidP="00A27F44">
            <w:pPr>
              <w:pStyle w:val="Body"/>
              <w:spacing w:after="0"/>
              <w:rPr>
                <w:rFonts w:ascii="Arial" w:hAnsi="Arial" w:cs="Arial"/>
              </w:rPr>
            </w:pPr>
          </w:p>
        </w:tc>
        <w:tc>
          <w:tcPr>
            <w:tcW w:w="865" w:type="dxa"/>
            <w:vAlign w:val="center"/>
          </w:tcPr>
          <w:p w14:paraId="6B1093AF"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75FE9263" w14:textId="77777777" w:rsidR="003E4B78" w:rsidRPr="00910A68" w:rsidRDefault="003E4B78" w:rsidP="00A27F44">
            <w:pPr>
              <w:pStyle w:val="Body"/>
              <w:spacing w:after="0"/>
              <w:rPr>
                <w:rFonts w:ascii="Arial" w:hAnsi="Arial" w:cs="Arial"/>
              </w:rPr>
            </w:pPr>
          </w:p>
        </w:tc>
        <w:tc>
          <w:tcPr>
            <w:tcW w:w="940" w:type="dxa"/>
            <w:vAlign w:val="center"/>
          </w:tcPr>
          <w:p w14:paraId="4242DCDF" w14:textId="77777777" w:rsidR="003E4B78" w:rsidRPr="00EA196D" w:rsidRDefault="003E4B78" w:rsidP="00A27F44">
            <w:pPr>
              <w:pStyle w:val="Body"/>
              <w:spacing w:after="0"/>
              <w:rPr>
                <w:rFonts w:ascii="Arial" w:hAnsi="Arial" w:cs="Arial"/>
                <w:color w:val="FF0000"/>
              </w:rPr>
            </w:pPr>
            <w:r w:rsidRPr="00EA196D">
              <w:rPr>
                <w:rFonts w:ascii="Arial" w:hAnsi="Arial" w:cs="Arial"/>
                <w:color w:val="FF0000"/>
              </w:rPr>
              <w:t>0.00</w:t>
            </w:r>
          </w:p>
        </w:tc>
        <w:tc>
          <w:tcPr>
            <w:tcW w:w="946" w:type="dxa"/>
            <w:vAlign w:val="center"/>
          </w:tcPr>
          <w:p w14:paraId="1A202910" w14:textId="77777777" w:rsidR="003E4B78" w:rsidRPr="00EA196D" w:rsidRDefault="003E4B78" w:rsidP="00A27F44">
            <w:pPr>
              <w:pStyle w:val="Body"/>
              <w:spacing w:after="0"/>
              <w:rPr>
                <w:rFonts w:ascii="Arial" w:hAnsi="Arial" w:cs="Arial"/>
                <w:color w:val="FF0000"/>
              </w:rPr>
            </w:pPr>
          </w:p>
        </w:tc>
      </w:tr>
      <w:tr w:rsidR="003E4B78" w:rsidRPr="00910A68" w14:paraId="426A8DAE" w14:textId="77777777" w:rsidTr="00EB437A">
        <w:trPr>
          <w:trHeight w:val="288"/>
        </w:trPr>
        <w:tc>
          <w:tcPr>
            <w:tcW w:w="2916" w:type="dxa"/>
            <w:tcBorders>
              <w:right w:val="single" w:sz="4" w:space="0" w:color="auto"/>
            </w:tcBorders>
            <w:noWrap/>
            <w:vAlign w:val="bottom"/>
            <w:hideMark/>
          </w:tcPr>
          <w:p w14:paraId="0536D56A" w14:textId="77777777" w:rsidR="003E4B78" w:rsidRPr="00910A68" w:rsidRDefault="003E4B78" w:rsidP="00A27F44">
            <w:pPr>
              <w:pStyle w:val="Body"/>
              <w:spacing w:after="0"/>
              <w:rPr>
                <w:rFonts w:ascii="Arial" w:hAnsi="Arial" w:cs="Arial"/>
              </w:rPr>
            </w:pPr>
            <w:r w:rsidRPr="00910A68">
              <w:rPr>
                <w:rFonts w:ascii="Arial" w:hAnsi="Arial" w:cs="Arial"/>
              </w:rPr>
              <w:lastRenderedPageBreak/>
              <w:t>df</w:t>
            </w:r>
          </w:p>
        </w:tc>
        <w:tc>
          <w:tcPr>
            <w:tcW w:w="788" w:type="dxa"/>
            <w:tcBorders>
              <w:left w:val="single" w:sz="4" w:space="0" w:color="auto"/>
            </w:tcBorders>
            <w:noWrap/>
            <w:vAlign w:val="center"/>
            <w:hideMark/>
          </w:tcPr>
          <w:p w14:paraId="23A5EAC6" w14:textId="77777777" w:rsidR="003E4B78" w:rsidRPr="00910A68" w:rsidRDefault="003E4B78" w:rsidP="00A27F44">
            <w:pPr>
              <w:pStyle w:val="Body"/>
              <w:spacing w:after="0"/>
              <w:rPr>
                <w:rFonts w:ascii="Arial" w:hAnsi="Arial" w:cs="Arial"/>
              </w:rPr>
            </w:pPr>
            <w:r w:rsidRPr="00910A68">
              <w:rPr>
                <w:rFonts w:ascii="Arial" w:hAnsi="Arial" w:cs="Arial"/>
              </w:rPr>
              <w:t>37.00</w:t>
            </w:r>
          </w:p>
        </w:tc>
        <w:tc>
          <w:tcPr>
            <w:tcW w:w="869" w:type="dxa"/>
            <w:noWrap/>
            <w:vAlign w:val="center"/>
            <w:hideMark/>
          </w:tcPr>
          <w:p w14:paraId="2F2C684D" w14:textId="77777777" w:rsidR="003E4B78" w:rsidRPr="00910A68" w:rsidRDefault="003E4B78" w:rsidP="00A27F44">
            <w:pPr>
              <w:pStyle w:val="Body"/>
              <w:spacing w:after="0"/>
              <w:rPr>
                <w:rFonts w:ascii="Arial" w:hAnsi="Arial" w:cs="Arial"/>
              </w:rPr>
            </w:pPr>
          </w:p>
        </w:tc>
        <w:tc>
          <w:tcPr>
            <w:tcW w:w="865" w:type="dxa"/>
            <w:vAlign w:val="center"/>
          </w:tcPr>
          <w:p w14:paraId="55AA188E" w14:textId="77777777" w:rsidR="003E4B78" w:rsidRPr="00910A68" w:rsidRDefault="003E4B78" w:rsidP="00A27F44">
            <w:pPr>
              <w:pStyle w:val="Body"/>
              <w:spacing w:after="0"/>
              <w:rPr>
                <w:rFonts w:ascii="Arial" w:hAnsi="Arial" w:cs="Arial"/>
              </w:rPr>
            </w:pPr>
            <w:r w:rsidRPr="00910A68">
              <w:rPr>
                <w:rFonts w:ascii="Arial" w:hAnsi="Arial" w:cs="Arial"/>
              </w:rPr>
              <w:t>35.00</w:t>
            </w:r>
          </w:p>
        </w:tc>
        <w:tc>
          <w:tcPr>
            <w:tcW w:w="873" w:type="dxa"/>
            <w:vAlign w:val="center"/>
          </w:tcPr>
          <w:p w14:paraId="797CDD78" w14:textId="77777777" w:rsidR="003E4B78" w:rsidRPr="00910A68" w:rsidRDefault="003E4B78" w:rsidP="00A27F44">
            <w:pPr>
              <w:pStyle w:val="Body"/>
              <w:spacing w:after="0"/>
              <w:rPr>
                <w:rFonts w:ascii="Arial" w:hAnsi="Arial" w:cs="Arial"/>
              </w:rPr>
            </w:pPr>
          </w:p>
        </w:tc>
        <w:tc>
          <w:tcPr>
            <w:tcW w:w="940" w:type="dxa"/>
            <w:vAlign w:val="center"/>
          </w:tcPr>
          <w:p w14:paraId="46493549" w14:textId="0AB78846" w:rsidR="003E4B78" w:rsidRPr="00EA196D" w:rsidRDefault="00822E4D" w:rsidP="00A27F44">
            <w:pPr>
              <w:pStyle w:val="Body"/>
              <w:spacing w:after="0"/>
              <w:rPr>
                <w:rFonts w:ascii="Arial" w:hAnsi="Arial" w:cs="Arial"/>
                <w:color w:val="FF0000"/>
              </w:rPr>
            </w:pPr>
            <w:r w:rsidRPr="00EA196D">
              <w:rPr>
                <w:rFonts w:ascii="Arial" w:hAnsi="Arial" w:cs="Arial"/>
                <w:color w:val="FF0000"/>
              </w:rPr>
              <w:t>4</w:t>
            </w:r>
            <w:r w:rsidR="003E4B78" w:rsidRPr="00EA196D">
              <w:rPr>
                <w:rFonts w:ascii="Arial" w:hAnsi="Arial" w:cs="Arial"/>
                <w:color w:val="FF0000"/>
              </w:rPr>
              <w:t>.00</w:t>
            </w:r>
          </w:p>
        </w:tc>
        <w:tc>
          <w:tcPr>
            <w:tcW w:w="946" w:type="dxa"/>
            <w:vAlign w:val="center"/>
          </w:tcPr>
          <w:p w14:paraId="018E128E" w14:textId="77777777" w:rsidR="003E4B78" w:rsidRPr="00EA196D" w:rsidRDefault="003E4B78" w:rsidP="00A27F44">
            <w:pPr>
              <w:pStyle w:val="Body"/>
              <w:spacing w:after="0"/>
              <w:rPr>
                <w:rFonts w:ascii="Arial" w:hAnsi="Arial" w:cs="Arial"/>
                <w:color w:val="FF0000"/>
              </w:rPr>
            </w:pPr>
          </w:p>
        </w:tc>
      </w:tr>
      <w:tr w:rsidR="003E4B78" w:rsidRPr="00910A68" w14:paraId="470005DE" w14:textId="77777777" w:rsidTr="00EB437A">
        <w:trPr>
          <w:trHeight w:val="288"/>
        </w:trPr>
        <w:tc>
          <w:tcPr>
            <w:tcW w:w="2916" w:type="dxa"/>
            <w:tcBorders>
              <w:right w:val="single" w:sz="4" w:space="0" w:color="auto"/>
            </w:tcBorders>
            <w:noWrap/>
            <w:vAlign w:val="bottom"/>
            <w:hideMark/>
          </w:tcPr>
          <w:p w14:paraId="0CCA199E" w14:textId="77777777" w:rsidR="003E4B78" w:rsidRPr="00910A68" w:rsidRDefault="003E4B78" w:rsidP="00A27F44">
            <w:pPr>
              <w:pStyle w:val="Body"/>
              <w:spacing w:after="0"/>
              <w:rPr>
                <w:rFonts w:ascii="Arial" w:hAnsi="Arial" w:cs="Arial"/>
              </w:rPr>
            </w:pPr>
            <w:r w:rsidRPr="00910A68">
              <w:rPr>
                <w:rFonts w:ascii="Arial" w:hAnsi="Arial" w:cs="Arial"/>
              </w:rPr>
              <w:t>t Stat</w:t>
            </w:r>
          </w:p>
        </w:tc>
        <w:tc>
          <w:tcPr>
            <w:tcW w:w="788" w:type="dxa"/>
            <w:tcBorders>
              <w:left w:val="single" w:sz="4" w:space="0" w:color="auto"/>
            </w:tcBorders>
            <w:noWrap/>
            <w:vAlign w:val="center"/>
            <w:hideMark/>
          </w:tcPr>
          <w:p w14:paraId="40457354" w14:textId="77777777" w:rsidR="003E4B78" w:rsidRPr="00910A68" w:rsidRDefault="003E4B78" w:rsidP="00A27F44">
            <w:pPr>
              <w:pStyle w:val="Body"/>
              <w:spacing w:after="0"/>
              <w:rPr>
                <w:rFonts w:ascii="Arial" w:hAnsi="Arial" w:cs="Arial"/>
              </w:rPr>
            </w:pPr>
            <w:r w:rsidRPr="00910A68">
              <w:rPr>
                <w:rFonts w:ascii="Arial" w:hAnsi="Arial" w:cs="Arial"/>
              </w:rPr>
              <w:t>-3.32</w:t>
            </w:r>
          </w:p>
        </w:tc>
        <w:tc>
          <w:tcPr>
            <w:tcW w:w="869" w:type="dxa"/>
            <w:noWrap/>
            <w:vAlign w:val="center"/>
            <w:hideMark/>
          </w:tcPr>
          <w:p w14:paraId="43662872" w14:textId="77777777" w:rsidR="003E4B78" w:rsidRPr="00910A68" w:rsidRDefault="003E4B78" w:rsidP="00A27F44">
            <w:pPr>
              <w:pStyle w:val="Body"/>
              <w:spacing w:after="0"/>
              <w:rPr>
                <w:rFonts w:ascii="Arial" w:hAnsi="Arial" w:cs="Arial"/>
              </w:rPr>
            </w:pPr>
          </w:p>
        </w:tc>
        <w:tc>
          <w:tcPr>
            <w:tcW w:w="865" w:type="dxa"/>
            <w:vAlign w:val="center"/>
          </w:tcPr>
          <w:p w14:paraId="412A6977" w14:textId="77777777" w:rsidR="003E4B78" w:rsidRPr="00910A68" w:rsidRDefault="003E4B78" w:rsidP="00A27F44">
            <w:pPr>
              <w:pStyle w:val="Body"/>
              <w:spacing w:after="0"/>
              <w:rPr>
                <w:rFonts w:ascii="Arial" w:hAnsi="Arial" w:cs="Arial"/>
              </w:rPr>
            </w:pPr>
            <w:r w:rsidRPr="00910A68">
              <w:rPr>
                <w:rFonts w:ascii="Arial" w:hAnsi="Arial" w:cs="Arial"/>
              </w:rPr>
              <w:t>-6.21</w:t>
            </w:r>
          </w:p>
        </w:tc>
        <w:tc>
          <w:tcPr>
            <w:tcW w:w="873" w:type="dxa"/>
            <w:vAlign w:val="center"/>
          </w:tcPr>
          <w:p w14:paraId="131CE216" w14:textId="77777777" w:rsidR="003E4B78" w:rsidRPr="00910A68" w:rsidRDefault="003E4B78" w:rsidP="00A27F44">
            <w:pPr>
              <w:pStyle w:val="Body"/>
              <w:spacing w:after="0"/>
              <w:rPr>
                <w:rFonts w:ascii="Arial" w:hAnsi="Arial" w:cs="Arial"/>
              </w:rPr>
            </w:pPr>
          </w:p>
        </w:tc>
        <w:tc>
          <w:tcPr>
            <w:tcW w:w="940" w:type="dxa"/>
            <w:vAlign w:val="center"/>
          </w:tcPr>
          <w:p w14:paraId="561A1007" w14:textId="76221303" w:rsidR="003E4B78" w:rsidRPr="00EA196D" w:rsidRDefault="00822E4D" w:rsidP="00A27F44">
            <w:pPr>
              <w:pStyle w:val="Body"/>
              <w:spacing w:after="0"/>
              <w:rPr>
                <w:rFonts w:ascii="Arial" w:hAnsi="Arial" w:cs="Arial"/>
                <w:color w:val="FF0000"/>
              </w:rPr>
            </w:pPr>
            <w:r w:rsidRPr="00EA196D">
              <w:rPr>
                <w:rFonts w:ascii="Arial" w:hAnsi="Arial" w:cs="Arial"/>
                <w:color w:val="FF0000"/>
              </w:rPr>
              <w:t>1.96</w:t>
            </w:r>
          </w:p>
        </w:tc>
        <w:tc>
          <w:tcPr>
            <w:tcW w:w="946" w:type="dxa"/>
            <w:vAlign w:val="center"/>
          </w:tcPr>
          <w:p w14:paraId="40E5B290" w14:textId="77777777" w:rsidR="003E4B78" w:rsidRPr="00EA196D" w:rsidRDefault="003E4B78" w:rsidP="00A27F44">
            <w:pPr>
              <w:pStyle w:val="Body"/>
              <w:spacing w:after="0"/>
              <w:rPr>
                <w:rFonts w:ascii="Arial" w:hAnsi="Arial" w:cs="Arial"/>
                <w:color w:val="FF0000"/>
              </w:rPr>
            </w:pPr>
          </w:p>
        </w:tc>
      </w:tr>
      <w:tr w:rsidR="003E4B78" w:rsidRPr="00910A68" w14:paraId="0F81B63B" w14:textId="77777777" w:rsidTr="00EB437A">
        <w:trPr>
          <w:trHeight w:val="288"/>
        </w:trPr>
        <w:tc>
          <w:tcPr>
            <w:tcW w:w="2916" w:type="dxa"/>
            <w:tcBorders>
              <w:right w:val="single" w:sz="4" w:space="0" w:color="auto"/>
            </w:tcBorders>
            <w:noWrap/>
            <w:vAlign w:val="bottom"/>
            <w:hideMark/>
          </w:tcPr>
          <w:p w14:paraId="66EE0165" w14:textId="77777777" w:rsidR="003E4B78" w:rsidRPr="00904D2E" w:rsidRDefault="003E4B78" w:rsidP="00A27F44">
            <w:pPr>
              <w:pStyle w:val="Body"/>
              <w:spacing w:after="0"/>
              <w:rPr>
                <w:rFonts w:ascii="Arial" w:hAnsi="Arial" w:cs="Arial"/>
                <w:lang w:val="fr-FR"/>
              </w:rPr>
            </w:pPr>
            <w:r w:rsidRPr="00904D2E">
              <w:rPr>
                <w:rFonts w:ascii="Arial" w:hAnsi="Arial" w:cs="Arial"/>
                <w:lang w:val="fr-FR"/>
              </w:rPr>
              <w:t>P(T&lt;=t) one-</w:t>
            </w:r>
            <w:proofErr w:type="spellStart"/>
            <w:r w:rsidRPr="00904D2E">
              <w:rPr>
                <w:rFonts w:ascii="Arial" w:hAnsi="Arial" w:cs="Arial"/>
                <w:lang w:val="fr-FR"/>
              </w:rPr>
              <w:t>tail</w:t>
            </w:r>
            <w:proofErr w:type="spellEnd"/>
          </w:p>
        </w:tc>
        <w:tc>
          <w:tcPr>
            <w:tcW w:w="788" w:type="dxa"/>
            <w:tcBorders>
              <w:left w:val="single" w:sz="4" w:space="0" w:color="auto"/>
            </w:tcBorders>
            <w:noWrap/>
            <w:vAlign w:val="center"/>
            <w:hideMark/>
          </w:tcPr>
          <w:p w14:paraId="53B8612C"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69" w:type="dxa"/>
            <w:noWrap/>
            <w:vAlign w:val="center"/>
            <w:hideMark/>
          </w:tcPr>
          <w:p w14:paraId="6374BAE3" w14:textId="77777777" w:rsidR="003E4B78" w:rsidRPr="00910A68" w:rsidRDefault="003E4B78" w:rsidP="00A27F44">
            <w:pPr>
              <w:pStyle w:val="Body"/>
              <w:spacing w:after="0"/>
              <w:rPr>
                <w:rFonts w:ascii="Arial" w:hAnsi="Arial" w:cs="Arial"/>
              </w:rPr>
            </w:pPr>
          </w:p>
        </w:tc>
        <w:tc>
          <w:tcPr>
            <w:tcW w:w="865" w:type="dxa"/>
            <w:vAlign w:val="center"/>
          </w:tcPr>
          <w:p w14:paraId="10327182"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7A392FEF" w14:textId="77777777" w:rsidR="003E4B78" w:rsidRPr="00910A68" w:rsidRDefault="003E4B78" w:rsidP="00A27F44">
            <w:pPr>
              <w:pStyle w:val="Body"/>
              <w:spacing w:after="0"/>
              <w:rPr>
                <w:rFonts w:ascii="Arial" w:hAnsi="Arial" w:cs="Arial"/>
              </w:rPr>
            </w:pPr>
          </w:p>
        </w:tc>
        <w:tc>
          <w:tcPr>
            <w:tcW w:w="940" w:type="dxa"/>
            <w:vAlign w:val="center"/>
          </w:tcPr>
          <w:p w14:paraId="7EF0EE5D" w14:textId="14404072" w:rsidR="003E4B78" w:rsidRPr="00EA196D" w:rsidRDefault="003E4B78" w:rsidP="00A27F44">
            <w:pPr>
              <w:pStyle w:val="Body"/>
              <w:spacing w:after="0"/>
              <w:rPr>
                <w:rFonts w:ascii="Arial" w:hAnsi="Arial" w:cs="Arial"/>
                <w:color w:val="FF0000"/>
              </w:rPr>
            </w:pPr>
            <w:r w:rsidRPr="00EA196D">
              <w:rPr>
                <w:rFonts w:ascii="Arial" w:hAnsi="Arial" w:cs="Arial"/>
                <w:color w:val="FF0000"/>
              </w:rPr>
              <w:t>0.0</w:t>
            </w:r>
            <w:r w:rsidR="00822E4D" w:rsidRPr="00EA196D">
              <w:rPr>
                <w:rFonts w:ascii="Arial" w:hAnsi="Arial" w:cs="Arial"/>
                <w:color w:val="FF0000"/>
              </w:rPr>
              <w:t>6</w:t>
            </w:r>
          </w:p>
        </w:tc>
        <w:tc>
          <w:tcPr>
            <w:tcW w:w="946" w:type="dxa"/>
            <w:vAlign w:val="center"/>
          </w:tcPr>
          <w:p w14:paraId="7BF56070" w14:textId="77777777" w:rsidR="003E4B78" w:rsidRPr="00EA196D" w:rsidRDefault="003E4B78" w:rsidP="00A27F44">
            <w:pPr>
              <w:pStyle w:val="Body"/>
              <w:spacing w:after="0"/>
              <w:rPr>
                <w:rFonts w:ascii="Arial" w:hAnsi="Arial" w:cs="Arial"/>
                <w:color w:val="FF0000"/>
              </w:rPr>
            </w:pPr>
          </w:p>
        </w:tc>
      </w:tr>
      <w:tr w:rsidR="003E4B78" w:rsidRPr="00910A68" w14:paraId="277728EC" w14:textId="77777777" w:rsidTr="00EB437A">
        <w:trPr>
          <w:trHeight w:val="288"/>
        </w:trPr>
        <w:tc>
          <w:tcPr>
            <w:tcW w:w="2916" w:type="dxa"/>
            <w:tcBorders>
              <w:right w:val="single" w:sz="4" w:space="0" w:color="auto"/>
            </w:tcBorders>
            <w:noWrap/>
            <w:vAlign w:val="bottom"/>
            <w:hideMark/>
          </w:tcPr>
          <w:p w14:paraId="7E38AD8D" w14:textId="77777777" w:rsidR="003E4B78" w:rsidRPr="00910A68" w:rsidRDefault="003E4B78" w:rsidP="00A27F44">
            <w:pPr>
              <w:pStyle w:val="Body"/>
              <w:spacing w:after="0"/>
              <w:rPr>
                <w:rFonts w:ascii="Arial" w:hAnsi="Arial" w:cs="Arial"/>
              </w:rPr>
            </w:pPr>
            <w:r w:rsidRPr="00910A68">
              <w:rPr>
                <w:rFonts w:ascii="Arial" w:hAnsi="Arial" w:cs="Arial"/>
              </w:rPr>
              <w:t>t Critical one-tail</w:t>
            </w:r>
          </w:p>
        </w:tc>
        <w:tc>
          <w:tcPr>
            <w:tcW w:w="788" w:type="dxa"/>
            <w:tcBorders>
              <w:left w:val="single" w:sz="4" w:space="0" w:color="auto"/>
            </w:tcBorders>
            <w:noWrap/>
            <w:vAlign w:val="center"/>
            <w:hideMark/>
          </w:tcPr>
          <w:p w14:paraId="5F66FC4C" w14:textId="77777777" w:rsidR="003E4B78" w:rsidRPr="00910A68" w:rsidRDefault="003E4B78" w:rsidP="00A27F44">
            <w:pPr>
              <w:pStyle w:val="Body"/>
              <w:spacing w:after="0"/>
              <w:rPr>
                <w:rFonts w:ascii="Arial" w:hAnsi="Arial" w:cs="Arial"/>
              </w:rPr>
            </w:pPr>
            <w:r w:rsidRPr="00910A68">
              <w:rPr>
                <w:rFonts w:ascii="Arial" w:hAnsi="Arial" w:cs="Arial"/>
              </w:rPr>
              <w:t>1.67</w:t>
            </w:r>
          </w:p>
        </w:tc>
        <w:tc>
          <w:tcPr>
            <w:tcW w:w="869" w:type="dxa"/>
            <w:noWrap/>
            <w:vAlign w:val="center"/>
            <w:hideMark/>
          </w:tcPr>
          <w:p w14:paraId="0CE9D60A" w14:textId="77777777" w:rsidR="003E4B78" w:rsidRPr="00910A68" w:rsidRDefault="003E4B78" w:rsidP="00A27F44">
            <w:pPr>
              <w:pStyle w:val="Body"/>
              <w:spacing w:after="0"/>
              <w:rPr>
                <w:rFonts w:ascii="Arial" w:hAnsi="Arial" w:cs="Arial"/>
              </w:rPr>
            </w:pPr>
          </w:p>
        </w:tc>
        <w:tc>
          <w:tcPr>
            <w:tcW w:w="865" w:type="dxa"/>
            <w:vAlign w:val="center"/>
          </w:tcPr>
          <w:p w14:paraId="01C4FCBA" w14:textId="77777777" w:rsidR="003E4B78" w:rsidRPr="00910A68" w:rsidRDefault="003E4B78" w:rsidP="00A27F44">
            <w:pPr>
              <w:pStyle w:val="Body"/>
              <w:spacing w:after="0"/>
              <w:rPr>
                <w:rFonts w:ascii="Arial" w:hAnsi="Arial" w:cs="Arial"/>
              </w:rPr>
            </w:pPr>
            <w:r w:rsidRPr="00910A68">
              <w:rPr>
                <w:rFonts w:ascii="Arial" w:hAnsi="Arial" w:cs="Arial"/>
              </w:rPr>
              <w:t>1.67</w:t>
            </w:r>
          </w:p>
        </w:tc>
        <w:tc>
          <w:tcPr>
            <w:tcW w:w="873" w:type="dxa"/>
            <w:vAlign w:val="center"/>
          </w:tcPr>
          <w:p w14:paraId="7D201CCB" w14:textId="77777777" w:rsidR="003E4B78" w:rsidRPr="00910A68" w:rsidRDefault="003E4B78" w:rsidP="00A27F44">
            <w:pPr>
              <w:pStyle w:val="Body"/>
              <w:spacing w:after="0"/>
              <w:rPr>
                <w:rFonts w:ascii="Arial" w:hAnsi="Arial" w:cs="Arial"/>
              </w:rPr>
            </w:pPr>
          </w:p>
        </w:tc>
        <w:tc>
          <w:tcPr>
            <w:tcW w:w="940" w:type="dxa"/>
            <w:vAlign w:val="center"/>
          </w:tcPr>
          <w:p w14:paraId="53FDA4EA" w14:textId="771ADC38" w:rsidR="003E4B78" w:rsidRPr="00EA196D" w:rsidRDefault="003E4B78" w:rsidP="00A27F44">
            <w:pPr>
              <w:pStyle w:val="Body"/>
              <w:spacing w:after="0"/>
              <w:rPr>
                <w:rFonts w:ascii="Arial" w:hAnsi="Arial" w:cs="Arial"/>
                <w:color w:val="FF0000"/>
              </w:rPr>
            </w:pPr>
            <w:r w:rsidRPr="00EA196D">
              <w:rPr>
                <w:rFonts w:ascii="Arial" w:hAnsi="Arial" w:cs="Arial"/>
                <w:color w:val="FF0000"/>
              </w:rPr>
              <w:t>2.</w:t>
            </w:r>
            <w:r w:rsidR="00822E4D" w:rsidRPr="00EA196D">
              <w:rPr>
                <w:rFonts w:ascii="Arial" w:hAnsi="Arial" w:cs="Arial"/>
                <w:color w:val="FF0000"/>
              </w:rPr>
              <w:t>13</w:t>
            </w:r>
          </w:p>
        </w:tc>
        <w:tc>
          <w:tcPr>
            <w:tcW w:w="946" w:type="dxa"/>
            <w:vAlign w:val="center"/>
          </w:tcPr>
          <w:p w14:paraId="44AC77A7" w14:textId="77777777" w:rsidR="003E4B78" w:rsidRPr="00EA196D" w:rsidRDefault="003E4B78" w:rsidP="00A27F44">
            <w:pPr>
              <w:pStyle w:val="Body"/>
              <w:spacing w:after="0"/>
              <w:rPr>
                <w:rFonts w:ascii="Arial" w:hAnsi="Arial" w:cs="Arial"/>
                <w:color w:val="FF0000"/>
              </w:rPr>
            </w:pPr>
          </w:p>
        </w:tc>
      </w:tr>
      <w:tr w:rsidR="003E4B78" w:rsidRPr="00910A68" w14:paraId="1CF0465D" w14:textId="77777777" w:rsidTr="00EB437A">
        <w:trPr>
          <w:trHeight w:val="288"/>
        </w:trPr>
        <w:tc>
          <w:tcPr>
            <w:tcW w:w="2916" w:type="dxa"/>
            <w:tcBorders>
              <w:right w:val="single" w:sz="4" w:space="0" w:color="auto"/>
            </w:tcBorders>
            <w:noWrap/>
            <w:vAlign w:val="bottom"/>
            <w:hideMark/>
          </w:tcPr>
          <w:p w14:paraId="2169A4C0" w14:textId="77777777" w:rsidR="003E4B78" w:rsidRPr="00910A68" w:rsidRDefault="003E4B78" w:rsidP="00A27F44">
            <w:pPr>
              <w:pStyle w:val="Body"/>
              <w:spacing w:after="0"/>
              <w:rPr>
                <w:rFonts w:ascii="Arial" w:hAnsi="Arial" w:cs="Arial"/>
              </w:rPr>
            </w:pPr>
            <w:r w:rsidRPr="00910A68">
              <w:rPr>
                <w:rFonts w:ascii="Arial" w:hAnsi="Arial" w:cs="Arial"/>
              </w:rPr>
              <w:t>P(T&lt;=t) two-tail</w:t>
            </w:r>
          </w:p>
        </w:tc>
        <w:tc>
          <w:tcPr>
            <w:tcW w:w="788" w:type="dxa"/>
            <w:tcBorders>
              <w:left w:val="single" w:sz="4" w:space="0" w:color="auto"/>
            </w:tcBorders>
            <w:noWrap/>
            <w:vAlign w:val="center"/>
            <w:hideMark/>
          </w:tcPr>
          <w:p w14:paraId="6CE22A5F"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69" w:type="dxa"/>
            <w:noWrap/>
            <w:vAlign w:val="center"/>
            <w:hideMark/>
          </w:tcPr>
          <w:p w14:paraId="3B80696F" w14:textId="77777777" w:rsidR="003E4B78" w:rsidRPr="00910A68" w:rsidRDefault="003E4B78" w:rsidP="00A27F44">
            <w:pPr>
              <w:pStyle w:val="Body"/>
              <w:spacing w:after="0"/>
              <w:rPr>
                <w:rFonts w:ascii="Arial" w:hAnsi="Arial" w:cs="Arial"/>
              </w:rPr>
            </w:pPr>
          </w:p>
        </w:tc>
        <w:tc>
          <w:tcPr>
            <w:tcW w:w="865" w:type="dxa"/>
            <w:vAlign w:val="center"/>
          </w:tcPr>
          <w:p w14:paraId="4859A8F5"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32B38C7B" w14:textId="77777777" w:rsidR="003E4B78" w:rsidRPr="00910A68" w:rsidRDefault="003E4B78" w:rsidP="00A27F44">
            <w:pPr>
              <w:pStyle w:val="Body"/>
              <w:spacing w:after="0"/>
              <w:rPr>
                <w:rFonts w:ascii="Arial" w:hAnsi="Arial" w:cs="Arial"/>
              </w:rPr>
            </w:pPr>
          </w:p>
        </w:tc>
        <w:tc>
          <w:tcPr>
            <w:tcW w:w="940" w:type="dxa"/>
            <w:vAlign w:val="center"/>
          </w:tcPr>
          <w:p w14:paraId="2D211D7B" w14:textId="1BEE54D9" w:rsidR="003E4B78" w:rsidRPr="00EA196D" w:rsidRDefault="003E4B78" w:rsidP="00A27F44">
            <w:pPr>
              <w:pStyle w:val="Body"/>
              <w:spacing w:after="0"/>
              <w:rPr>
                <w:rFonts w:ascii="Arial" w:hAnsi="Arial" w:cs="Arial"/>
                <w:color w:val="FF0000"/>
              </w:rPr>
            </w:pPr>
            <w:r w:rsidRPr="00EA196D">
              <w:rPr>
                <w:rFonts w:ascii="Arial" w:hAnsi="Arial" w:cs="Arial"/>
                <w:color w:val="FF0000"/>
              </w:rPr>
              <w:t>0.</w:t>
            </w:r>
            <w:r w:rsidR="00822E4D" w:rsidRPr="00EA196D">
              <w:rPr>
                <w:rFonts w:ascii="Arial" w:hAnsi="Arial" w:cs="Arial"/>
                <w:color w:val="FF0000"/>
              </w:rPr>
              <w:t>12</w:t>
            </w:r>
          </w:p>
        </w:tc>
        <w:tc>
          <w:tcPr>
            <w:tcW w:w="946" w:type="dxa"/>
            <w:vAlign w:val="center"/>
          </w:tcPr>
          <w:p w14:paraId="6A74C682" w14:textId="77777777" w:rsidR="003E4B78" w:rsidRPr="00EA196D" w:rsidRDefault="003E4B78" w:rsidP="00A27F44">
            <w:pPr>
              <w:pStyle w:val="Body"/>
              <w:spacing w:after="0"/>
              <w:rPr>
                <w:rFonts w:ascii="Arial" w:hAnsi="Arial" w:cs="Arial"/>
                <w:color w:val="FF0000"/>
              </w:rPr>
            </w:pPr>
          </w:p>
        </w:tc>
      </w:tr>
      <w:tr w:rsidR="003E4B78" w:rsidRPr="00910A68" w14:paraId="699EA917" w14:textId="77777777" w:rsidTr="00EB437A">
        <w:trPr>
          <w:trHeight w:val="303"/>
        </w:trPr>
        <w:tc>
          <w:tcPr>
            <w:tcW w:w="2916" w:type="dxa"/>
            <w:tcBorders>
              <w:bottom w:val="single" w:sz="4" w:space="0" w:color="auto"/>
              <w:right w:val="single" w:sz="4" w:space="0" w:color="auto"/>
            </w:tcBorders>
            <w:noWrap/>
            <w:vAlign w:val="bottom"/>
            <w:hideMark/>
          </w:tcPr>
          <w:p w14:paraId="48C82F28" w14:textId="77777777" w:rsidR="003E4B78" w:rsidRPr="00910A68" w:rsidRDefault="003E4B78" w:rsidP="00A27F44">
            <w:pPr>
              <w:pStyle w:val="Body"/>
              <w:spacing w:after="0"/>
              <w:rPr>
                <w:rFonts w:ascii="Arial" w:hAnsi="Arial" w:cs="Arial"/>
              </w:rPr>
            </w:pPr>
            <w:r w:rsidRPr="00910A68">
              <w:rPr>
                <w:rFonts w:ascii="Arial" w:hAnsi="Arial" w:cs="Arial"/>
              </w:rPr>
              <w:t>t Critical two-tail</w:t>
            </w:r>
          </w:p>
        </w:tc>
        <w:tc>
          <w:tcPr>
            <w:tcW w:w="788" w:type="dxa"/>
            <w:tcBorders>
              <w:left w:val="single" w:sz="4" w:space="0" w:color="auto"/>
              <w:bottom w:val="single" w:sz="4" w:space="0" w:color="auto"/>
            </w:tcBorders>
            <w:noWrap/>
            <w:vAlign w:val="center"/>
            <w:hideMark/>
          </w:tcPr>
          <w:p w14:paraId="42C5F569" w14:textId="77777777" w:rsidR="003E4B78" w:rsidRPr="00910A68" w:rsidRDefault="003E4B78" w:rsidP="00A27F44">
            <w:pPr>
              <w:pStyle w:val="Body"/>
              <w:spacing w:after="0"/>
              <w:rPr>
                <w:rFonts w:ascii="Arial" w:hAnsi="Arial" w:cs="Arial"/>
              </w:rPr>
            </w:pPr>
            <w:r w:rsidRPr="00910A68">
              <w:rPr>
                <w:rFonts w:ascii="Arial" w:hAnsi="Arial" w:cs="Arial"/>
              </w:rPr>
              <w:t>2.00</w:t>
            </w:r>
          </w:p>
        </w:tc>
        <w:tc>
          <w:tcPr>
            <w:tcW w:w="869" w:type="dxa"/>
            <w:tcBorders>
              <w:bottom w:val="single" w:sz="4" w:space="0" w:color="auto"/>
            </w:tcBorders>
            <w:noWrap/>
            <w:vAlign w:val="center"/>
            <w:hideMark/>
          </w:tcPr>
          <w:p w14:paraId="3F649BDB" w14:textId="77777777" w:rsidR="003E4B78" w:rsidRPr="00910A68" w:rsidRDefault="003E4B78" w:rsidP="00A27F44">
            <w:pPr>
              <w:pStyle w:val="Body"/>
              <w:spacing w:after="0"/>
              <w:rPr>
                <w:rFonts w:ascii="Arial" w:hAnsi="Arial" w:cs="Arial"/>
              </w:rPr>
            </w:pPr>
          </w:p>
        </w:tc>
        <w:tc>
          <w:tcPr>
            <w:tcW w:w="865" w:type="dxa"/>
            <w:tcBorders>
              <w:bottom w:val="single" w:sz="4" w:space="0" w:color="auto"/>
            </w:tcBorders>
            <w:vAlign w:val="center"/>
          </w:tcPr>
          <w:p w14:paraId="11BBEAD1" w14:textId="77777777" w:rsidR="003E4B78" w:rsidRPr="00910A68" w:rsidRDefault="003E4B78" w:rsidP="00A27F44">
            <w:pPr>
              <w:pStyle w:val="Body"/>
              <w:spacing w:after="0"/>
              <w:rPr>
                <w:rFonts w:ascii="Arial" w:hAnsi="Arial" w:cs="Arial"/>
              </w:rPr>
            </w:pPr>
            <w:r w:rsidRPr="00910A68">
              <w:rPr>
                <w:rFonts w:ascii="Arial" w:hAnsi="Arial" w:cs="Arial"/>
              </w:rPr>
              <w:t>2.00</w:t>
            </w:r>
          </w:p>
        </w:tc>
        <w:tc>
          <w:tcPr>
            <w:tcW w:w="873" w:type="dxa"/>
            <w:tcBorders>
              <w:bottom w:val="single" w:sz="4" w:space="0" w:color="auto"/>
            </w:tcBorders>
            <w:vAlign w:val="center"/>
          </w:tcPr>
          <w:p w14:paraId="712C07A0" w14:textId="77777777" w:rsidR="003E4B78" w:rsidRPr="00910A68" w:rsidRDefault="003E4B78" w:rsidP="00A27F44">
            <w:pPr>
              <w:pStyle w:val="Body"/>
              <w:spacing w:after="0"/>
              <w:rPr>
                <w:rFonts w:ascii="Arial" w:hAnsi="Arial" w:cs="Arial"/>
              </w:rPr>
            </w:pPr>
          </w:p>
        </w:tc>
        <w:tc>
          <w:tcPr>
            <w:tcW w:w="940" w:type="dxa"/>
            <w:tcBorders>
              <w:bottom w:val="single" w:sz="4" w:space="0" w:color="auto"/>
            </w:tcBorders>
            <w:vAlign w:val="center"/>
          </w:tcPr>
          <w:p w14:paraId="412D6BB4" w14:textId="43246464" w:rsidR="003E4B78" w:rsidRPr="00EA196D" w:rsidRDefault="003E4B78" w:rsidP="00A27F44">
            <w:pPr>
              <w:pStyle w:val="Body"/>
              <w:spacing w:after="0"/>
              <w:rPr>
                <w:rFonts w:ascii="Arial" w:hAnsi="Arial" w:cs="Arial"/>
                <w:color w:val="FF0000"/>
              </w:rPr>
            </w:pPr>
            <w:r w:rsidRPr="00EA196D">
              <w:rPr>
                <w:rFonts w:ascii="Arial" w:hAnsi="Arial" w:cs="Arial"/>
                <w:color w:val="FF0000"/>
              </w:rPr>
              <w:t>2.</w:t>
            </w:r>
            <w:r w:rsidR="00822E4D" w:rsidRPr="00EA196D">
              <w:rPr>
                <w:rFonts w:ascii="Arial" w:hAnsi="Arial" w:cs="Arial"/>
                <w:color w:val="FF0000"/>
              </w:rPr>
              <w:t>77</w:t>
            </w:r>
          </w:p>
        </w:tc>
        <w:tc>
          <w:tcPr>
            <w:tcW w:w="946" w:type="dxa"/>
            <w:tcBorders>
              <w:bottom w:val="single" w:sz="4" w:space="0" w:color="auto"/>
            </w:tcBorders>
            <w:vAlign w:val="center"/>
          </w:tcPr>
          <w:p w14:paraId="0689A57F" w14:textId="77777777" w:rsidR="003E4B78" w:rsidRPr="00EA196D" w:rsidRDefault="003E4B78" w:rsidP="00A27F44">
            <w:pPr>
              <w:pStyle w:val="Body"/>
              <w:spacing w:after="0"/>
              <w:rPr>
                <w:rFonts w:ascii="Arial" w:hAnsi="Arial" w:cs="Arial"/>
                <w:color w:val="FF0000"/>
              </w:rPr>
            </w:pPr>
          </w:p>
        </w:tc>
      </w:tr>
    </w:tbl>
    <w:p w14:paraId="06C9BACA" w14:textId="77777777" w:rsidR="003E4B78" w:rsidRDefault="003E4B78" w:rsidP="003E4B78">
      <w:pPr>
        <w:pStyle w:val="Body"/>
        <w:spacing w:after="0"/>
        <w:rPr>
          <w:rFonts w:ascii="Arial" w:hAnsi="Arial" w:cs="Arial"/>
          <w:b/>
          <w:bCs/>
          <w:iCs/>
        </w:rPr>
      </w:pPr>
    </w:p>
    <w:p w14:paraId="040F8C49" w14:textId="77777777" w:rsidR="003E4B78" w:rsidRDefault="003E4B78" w:rsidP="003E4B78">
      <w:pPr>
        <w:pStyle w:val="Body"/>
        <w:spacing w:after="0"/>
        <w:rPr>
          <w:rFonts w:ascii="Arial" w:hAnsi="Arial" w:cs="Arial"/>
          <w:b/>
          <w:bCs/>
          <w:iCs/>
          <w:sz w:val="22"/>
          <w:szCs w:val="22"/>
        </w:rPr>
      </w:pPr>
      <w:r w:rsidRPr="00C94CB8">
        <w:rPr>
          <w:rFonts w:ascii="Arial" w:hAnsi="Arial" w:cs="Arial"/>
          <w:b/>
          <w:bCs/>
          <w:iCs/>
          <w:sz w:val="22"/>
          <w:szCs w:val="22"/>
        </w:rPr>
        <w:t>3.2 Adoption factors</w:t>
      </w:r>
    </w:p>
    <w:p w14:paraId="63858922" w14:textId="77777777" w:rsidR="003E4B78" w:rsidRPr="00C94CB8" w:rsidRDefault="003E4B78" w:rsidP="003E4B78">
      <w:pPr>
        <w:pStyle w:val="Body"/>
        <w:spacing w:after="0"/>
        <w:rPr>
          <w:rFonts w:ascii="Arial" w:hAnsi="Arial" w:cs="Arial"/>
          <w:b/>
          <w:bCs/>
          <w:iCs/>
          <w:sz w:val="22"/>
          <w:szCs w:val="22"/>
        </w:rPr>
      </w:pPr>
    </w:p>
    <w:p w14:paraId="14EADB89" w14:textId="2AB8B650" w:rsidR="003E4B78" w:rsidRPr="00770E74" w:rsidRDefault="003E4B78" w:rsidP="00770E74">
      <w:pPr>
        <w:pStyle w:val="Body"/>
        <w:rPr>
          <w:rFonts w:ascii="Arial" w:hAnsi="Arial" w:cs="Arial"/>
        </w:rPr>
      </w:pPr>
      <w:r w:rsidRPr="00910A68">
        <w:rPr>
          <w:rFonts w:ascii="Arial" w:hAnsi="Arial" w:cs="Arial"/>
        </w:rPr>
        <w:t xml:space="preserve">It is important to avoid any multicollinearity in LPM; hence, a correlation matrix of the explanatory variables was prepared. </w:t>
      </w:r>
      <w:r w:rsidR="00685C35">
        <w:rPr>
          <w:rFonts w:ascii="Arial" w:hAnsi="Arial" w:cs="Arial"/>
        </w:rPr>
        <w:t>Table 5</w:t>
      </w:r>
      <w:r w:rsidR="00770E74" w:rsidRPr="00770E74">
        <w:rPr>
          <w:rFonts w:ascii="Arial" w:hAnsi="Arial" w:cs="Arial"/>
        </w:rPr>
        <w:t xml:space="preserve"> presents the pairwise correlation matrix among the key socio-economic variables included in the adoption analysis. Overall, the correlation coefficients are relatively low to moderate, indicating the absence of serious multicollinearity </w:t>
      </w:r>
      <w:proofErr w:type="spellStart"/>
      <w:r w:rsidR="00770E74" w:rsidRPr="00770E74">
        <w:rPr>
          <w:rFonts w:ascii="Arial" w:hAnsi="Arial" w:cs="Arial"/>
        </w:rPr>
        <w:t>concerns.Household</w:t>
      </w:r>
      <w:proofErr w:type="spellEnd"/>
      <w:r w:rsidR="00770E74" w:rsidRPr="00770E74">
        <w:rPr>
          <w:rFonts w:ascii="Arial" w:hAnsi="Arial" w:cs="Arial"/>
        </w:rPr>
        <w:t xml:space="preserve"> size shows a moderate positive association with the number of dependents (r = 0.30), which is expected, as larger households typically have more dependent members. Education is positively correlated with training exposure (r = 0.48), suggesting that better-educated growers are more likely to participate in formal mushroom-related training programmes. Sex also exhibits a moderate positive correlation with training (r = 0.32), indicating differential access or participation in training across gender groups.</w:t>
      </w:r>
      <w:r w:rsidR="00770E74">
        <w:rPr>
          <w:rFonts w:ascii="Arial" w:hAnsi="Arial" w:cs="Arial"/>
        </w:rPr>
        <w:t xml:space="preserve"> </w:t>
      </w:r>
      <w:r w:rsidR="00770E74" w:rsidRPr="00770E74">
        <w:rPr>
          <w:rFonts w:ascii="Arial" w:hAnsi="Arial" w:cs="Arial"/>
        </w:rPr>
        <w:t>Caste displays weak to moderate negative correlations with education (r = −0.30) and training (r = −0.20), reflecting underlying social disparities in access to human capital development opportunities. Occupation is negatively correlated with sex (r = −0.23), implying differences in primary livelihood engagement across male and female growers, while its correlations with other variables remain weak.</w:t>
      </w:r>
      <w:r w:rsidR="00770E74">
        <w:rPr>
          <w:rFonts w:ascii="Arial" w:hAnsi="Arial" w:cs="Arial"/>
        </w:rPr>
        <w:t xml:space="preserve"> </w:t>
      </w:r>
      <w:r w:rsidR="00770E74" w:rsidRPr="00770E74">
        <w:rPr>
          <w:rFonts w:ascii="Arial" w:hAnsi="Arial" w:cs="Arial"/>
        </w:rPr>
        <w:t>Overall, the low magnitude of most correlation coefficients suggests that the explanatory variables are sufficiently independent for inclusion in the regression model, thereby supporting the robustness of the estimated adoption determinants.</w:t>
      </w:r>
      <w:r w:rsidR="00770E74" w:rsidRPr="00770E74" w:rsidDel="00770E74">
        <w:rPr>
          <w:rFonts w:ascii="Arial" w:hAnsi="Arial" w:cs="Arial"/>
        </w:rPr>
        <w:t xml:space="preserve"> </w:t>
      </w:r>
    </w:p>
    <w:p w14:paraId="10F4C5C1" w14:textId="77777777" w:rsidR="003E4B78" w:rsidRPr="00910A68" w:rsidRDefault="003E4B78" w:rsidP="003E4B78">
      <w:pPr>
        <w:pStyle w:val="Body"/>
        <w:spacing w:after="0"/>
        <w:rPr>
          <w:rFonts w:ascii="Arial" w:hAnsi="Arial" w:cs="Arial"/>
          <w:iCs/>
        </w:rPr>
      </w:pPr>
    </w:p>
    <w:p w14:paraId="19532C52" w14:textId="0B36F6B4" w:rsidR="003E4B78" w:rsidRPr="00910A68" w:rsidRDefault="003E4B78" w:rsidP="003E4B78">
      <w:pPr>
        <w:pStyle w:val="Body"/>
        <w:spacing w:after="0"/>
        <w:rPr>
          <w:rFonts w:ascii="Arial" w:hAnsi="Arial" w:cs="Arial"/>
          <w:b/>
          <w:bCs/>
        </w:rPr>
      </w:pPr>
      <w:r w:rsidRPr="00910A68">
        <w:rPr>
          <w:rFonts w:ascii="Arial" w:hAnsi="Arial" w:cs="Arial"/>
          <w:b/>
          <w:bCs/>
        </w:rPr>
        <w:t xml:space="preserve">Table </w:t>
      </w:r>
      <w:r w:rsidR="00685C35">
        <w:rPr>
          <w:rFonts w:ascii="Arial" w:hAnsi="Arial" w:cs="Arial"/>
          <w:b/>
          <w:bCs/>
        </w:rPr>
        <w:t>5</w:t>
      </w:r>
      <w:r w:rsidRPr="00910A68">
        <w:rPr>
          <w:rFonts w:ascii="Arial" w:hAnsi="Arial" w:cs="Arial"/>
          <w:b/>
          <w:bCs/>
        </w:rPr>
        <w:t>. Correlation matrix among regressors</w:t>
      </w:r>
    </w:p>
    <w:tbl>
      <w:tblPr>
        <w:tblW w:w="840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4"/>
        <w:gridCol w:w="858"/>
        <w:gridCol w:w="895"/>
        <w:gridCol w:w="842"/>
        <w:gridCol w:w="1096"/>
        <w:gridCol w:w="1283"/>
        <w:gridCol w:w="1217"/>
        <w:gridCol w:w="931"/>
      </w:tblGrid>
      <w:tr w:rsidR="00A27F44" w:rsidRPr="00910A68" w14:paraId="1B632F4F" w14:textId="77777777" w:rsidTr="00770E74">
        <w:trPr>
          <w:trHeight w:val="279"/>
        </w:trPr>
        <w:tc>
          <w:tcPr>
            <w:tcW w:w="1279" w:type="dxa"/>
            <w:tcBorders>
              <w:top w:val="single" w:sz="4" w:space="0" w:color="auto"/>
              <w:left w:val="nil"/>
              <w:bottom w:val="single" w:sz="4" w:space="0" w:color="auto"/>
              <w:right w:val="single" w:sz="4" w:space="0" w:color="auto"/>
            </w:tcBorders>
            <w:noWrap/>
            <w:vAlign w:val="bottom"/>
            <w:hideMark/>
          </w:tcPr>
          <w:p w14:paraId="26D809E7" w14:textId="77777777" w:rsidR="003E4B78" w:rsidRPr="00910A68" w:rsidRDefault="003E4B78" w:rsidP="00A27F44">
            <w:pPr>
              <w:pStyle w:val="Body"/>
              <w:spacing w:after="0"/>
              <w:rPr>
                <w:rFonts w:ascii="Arial" w:hAnsi="Arial" w:cs="Arial"/>
              </w:rPr>
            </w:pPr>
            <w:r w:rsidRPr="00910A68">
              <w:rPr>
                <w:rFonts w:ascii="Arial" w:hAnsi="Arial" w:cs="Arial"/>
                <w:lang w:val="en-IN"/>
              </w:rPr>
              <w:t>Variables</w:t>
            </w:r>
          </w:p>
        </w:tc>
        <w:tc>
          <w:tcPr>
            <w:tcW w:w="865" w:type="dxa"/>
            <w:tcBorders>
              <w:top w:val="single" w:sz="4" w:space="0" w:color="auto"/>
              <w:left w:val="single" w:sz="4" w:space="0" w:color="auto"/>
              <w:bottom w:val="single" w:sz="4" w:space="0" w:color="auto"/>
            </w:tcBorders>
            <w:noWrap/>
            <w:vAlign w:val="bottom"/>
            <w:hideMark/>
          </w:tcPr>
          <w:p w14:paraId="49009AAA" w14:textId="77777777" w:rsidR="003E4B78" w:rsidRPr="00910A68" w:rsidRDefault="003E4B78" w:rsidP="00A27F44">
            <w:pPr>
              <w:pStyle w:val="Body"/>
              <w:spacing w:after="0"/>
              <w:rPr>
                <w:rFonts w:ascii="Arial" w:hAnsi="Arial" w:cs="Arial"/>
              </w:rPr>
            </w:pPr>
            <w:r w:rsidRPr="00910A68">
              <w:rPr>
                <w:rFonts w:ascii="Arial" w:hAnsi="Arial" w:cs="Arial"/>
              </w:rPr>
              <w:t>HH size</w:t>
            </w:r>
          </w:p>
        </w:tc>
        <w:tc>
          <w:tcPr>
            <w:tcW w:w="903" w:type="dxa"/>
            <w:tcBorders>
              <w:top w:val="single" w:sz="4" w:space="0" w:color="auto"/>
              <w:bottom w:val="single" w:sz="4" w:space="0" w:color="auto"/>
            </w:tcBorders>
            <w:noWrap/>
            <w:vAlign w:val="bottom"/>
            <w:hideMark/>
          </w:tcPr>
          <w:p w14:paraId="373A4AFE" w14:textId="77777777" w:rsidR="003E4B78" w:rsidRPr="00910A68" w:rsidRDefault="003E4B78" w:rsidP="00A27F44">
            <w:pPr>
              <w:pStyle w:val="Body"/>
              <w:spacing w:after="0"/>
              <w:rPr>
                <w:rFonts w:ascii="Arial" w:hAnsi="Arial" w:cs="Arial"/>
              </w:rPr>
            </w:pPr>
            <w:r w:rsidRPr="00910A68">
              <w:rPr>
                <w:rFonts w:ascii="Arial" w:hAnsi="Arial" w:cs="Arial"/>
                <w:lang w:val="en-IN"/>
              </w:rPr>
              <w:t>Caste</w:t>
            </w:r>
          </w:p>
        </w:tc>
        <w:tc>
          <w:tcPr>
            <w:tcW w:w="849" w:type="dxa"/>
            <w:tcBorders>
              <w:top w:val="single" w:sz="4" w:space="0" w:color="auto"/>
              <w:bottom w:val="single" w:sz="4" w:space="0" w:color="auto"/>
            </w:tcBorders>
            <w:noWrap/>
            <w:vAlign w:val="bottom"/>
            <w:hideMark/>
          </w:tcPr>
          <w:p w14:paraId="525BC6F1" w14:textId="77777777" w:rsidR="003E4B78" w:rsidRPr="00910A68" w:rsidRDefault="003E4B78" w:rsidP="00A27F44">
            <w:pPr>
              <w:pStyle w:val="Body"/>
              <w:spacing w:after="0"/>
              <w:rPr>
                <w:rFonts w:ascii="Arial" w:hAnsi="Arial" w:cs="Arial"/>
              </w:rPr>
            </w:pPr>
            <w:r w:rsidRPr="00910A68">
              <w:rPr>
                <w:rFonts w:ascii="Arial" w:hAnsi="Arial" w:cs="Arial"/>
                <w:lang w:val="en-IN"/>
              </w:rPr>
              <w:t>Sex</w:t>
            </w:r>
          </w:p>
        </w:tc>
        <w:tc>
          <w:tcPr>
            <w:tcW w:w="1092" w:type="dxa"/>
            <w:tcBorders>
              <w:top w:val="single" w:sz="4" w:space="0" w:color="auto"/>
              <w:bottom w:val="single" w:sz="4" w:space="0" w:color="auto"/>
            </w:tcBorders>
            <w:noWrap/>
            <w:vAlign w:val="bottom"/>
            <w:hideMark/>
          </w:tcPr>
          <w:p w14:paraId="25EBEF22" w14:textId="77777777" w:rsidR="003E4B78" w:rsidRPr="00910A68" w:rsidRDefault="003E4B78" w:rsidP="00A27F44">
            <w:pPr>
              <w:pStyle w:val="Body"/>
              <w:spacing w:after="0"/>
              <w:rPr>
                <w:rFonts w:ascii="Arial" w:hAnsi="Arial" w:cs="Arial"/>
              </w:rPr>
            </w:pPr>
            <w:r w:rsidRPr="00910A68">
              <w:rPr>
                <w:rFonts w:ascii="Arial" w:hAnsi="Arial" w:cs="Arial"/>
                <w:lang w:val="en-IN"/>
              </w:rPr>
              <w:t>Education</w:t>
            </w:r>
          </w:p>
        </w:tc>
        <w:tc>
          <w:tcPr>
            <w:tcW w:w="1278" w:type="dxa"/>
            <w:tcBorders>
              <w:top w:val="single" w:sz="4" w:space="0" w:color="auto"/>
              <w:bottom w:val="single" w:sz="4" w:space="0" w:color="auto"/>
            </w:tcBorders>
            <w:noWrap/>
            <w:vAlign w:val="bottom"/>
            <w:hideMark/>
          </w:tcPr>
          <w:p w14:paraId="6741AE2F" w14:textId="77777777" w:rsidR="003E4B78" w:rsidRPr="00910A68" w:rsidRDefault="003E4B78" w:rsidP="00A27F44">
            <w:pPr>
              <w:pStyle w:val="Body"/>
              <w:spacing w:after="0"/>
              <w:rPr>
                <w:rFonts w:ascii="Arial" w:hAnsi="Arial" w:cs="Arial"/>
              </w:rPr>
            </w:pPr>
            <w:r w:rsidRPr="00910A68">
              <w:rPr>
                <w:rFonts w:ascii="Arial" w:hAnsi="Arial" w:cs="Arial"/>
                <w:lang w:val="en-IN"/>
              </w:rPr>
              <w:t>Dependents</w:t>
            </w:r>
          </w:p>
        </w:tc>
        <w:tc>
          <w:tcPr>
            <w:tcW w:w="1212" w:type="dxa"/>
            <w:tcBorders>
              <w:top w:val="single" w:sz="4" w:space="0" w:color="auto"/>
              <w:bottom w:val="single" w:sz="4" w:space="0" w:color="auto"/>
            </w:tcBorders>
            <w:noWrap/>
            <w:vAlign w:val="bottom"/>
            <w:hideMark/>
          </w:tcPr>
          <w:p w14:paraId="5DC4422D" w14:textId="77777777" w:rsidR="003E4B78" w:rsidRPr="00910A68" w:rsidRDefault="003E4B78" w:rsidP="00A27F44">
            <w:pPr>
              <w:pStyle w:val="Body"/>
              <w:spacing w:after="0"/>
              <w:rPr>
                <w:rFonts w:ascii="Arial" w:hAnsi="Arial" w:cs="Arial"/>
              </w:rPr>
            </w:pPr>
            <w:r w:rsidRPr="00910A68">
              <w:rPr>
                <w:rFonts w:ascii="Arial" w:hAnsi="Arial" w:cs="Arial"/>
                <w:lang w:val="en-IN"/>
              </w:rPr>
              <w:t>Occupation</w:t>
            </w:r>
          </w:p>
        </w:tc>
        <w:tc>
          <w:tcPr>
            <w:tcW w:w="928" w:type="dxa"/>
            <w:tcBorders>
              <w:top w:val="single" w:sz="4" w:space="0" w:color="auto"/>
              <w:bottom w:val="single" w:sz="4" w:space="0" w:color="auto"/>
              <w:right w:val="nil"/>
            </w:tcBorders>
            <w:noWrap/>
            <w:vAlign w:val="bottom"/>
            <w:hideMark/>
          </w:tcPr>
          <w:p w14:paraId="4D2B90EA" w14:textId="77777777" w:rsidR="003E4B78" w:rsidRPr="00910A68" w:rsidRDefault="003E4B78" w:rsidP="00A27F44">
            <w:pPr>
              <w:pStyle w:val="Body"/>
              <w:spacing w:after="0"/>
              <w:rPr>
                <w:rFonts w:ascii="Arial" w:hAnsi="Arial" w:cs="Arial"/>
              </w:rPr>
            </w:pPr>
            <w:r w:rsidRPr="00910A68">
              <w:rPr>
                <w:rFonts w:ascii="Arial" w:hAnsi="Arial" w:cs="Arial"/>
                <w:lang w:val="en-IN"/>
              </w:rPr>
              <w:t>Training</w:t>
            </w:r>
          </w:p>
        </w:tc>
      </w:tr>
      <w:tr w:rsidR="00A27F44" w:rsidRPr="00910A68" w14:paraId="6162A729" w14:textId="77777777" w:rsidTr="00770E74">
        <w:trPr>
          <w:trHeight w:val="279"/>
        </w:trPr>
        <w:tc>
          <w:tcPr>
            <w:tcW w:w="1279" w:type="dxa"/>
            <w:tcBorders>
              <w:top w:val="single" w:sz="4" w:space="0" w:color="auto"/>
              <w:left w:val="nil"/>
              <w:right w:val="single" w:sz="4" w:space="0" w:color="auto"/>
            </w:tcBorders>
            <w:noWrap/>
            <w:vAlign w:val="bottom"/>
            <w:hideMark/>
          </w:tcPr>
          <w:p w14:paraId="471ABC6C" w14:textId="77777777" w:rsidR="003E4B78" w:rsidRPr="00910A68" w:rsidRDefault="003E4B78" w:rsidP="00A27F44">
            <w:pPr>
              <w:pStyle w:val="Body"/>
              <w:spacing w:after="0"/>
              <w:rPr>
                <w:rFonts w:ascii="Arial" w:hAnsi="Arial" w:cs="Arial"/>
              </w:rPr>
            </w:pPr>
            <w:r w:rsidRPr="00910A68">
              <w:rPr>
                <w:rFonts w:ascii="Arial" w:hAnsi="Arial" w:cs="Arial"/>
              </w:rPr>
              <w:t>HH size</w:t>
            </w:r>
          </w:p>
        </w:tc>
        <w:tc>
          <w:tcPr>
            <w:tcW w:w="865" w:type="dxa"/>
            <w:tcBorders>
              <w:top w:val="single" w:sz="4" w:space="0" w:color="auto"/>
              <w:left w:val="single" w:sz="4" w:space="0" w:color="auto"/>
            </w:tcBorders>
            <w:noWrap/>
            <w:vAlign w:val="bottom"/>
            <w:hideMark/>
          </w:tcPr>
          <w:p w14:paraId="67BB4317"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903" w:type="dxa"/>
            <w:tcBorders>
              <w:top w:val="single" w:sz="4" w:space="0" w:color="auto"/>
            </w:tcBorders>
            <w:noWrap/>
            <w:vAlign w:val="bottom"/>
            <w:hideMark/>
          </w:tcPr>
          <w:p w14:paraId="1609AA9E" w14:textId="77777777" w:rsidR="003E4B78" w:rsidRPr="00910A68" w:rsidRDefault="003E4B78" w:rsidP="00A27F44">
            <w:pPr>
              <w:pStyle w:val="Body"/>
              <w:spacing w:after="0"/>
              <w:rPr>
                <w:rFonts w:ascii="Arial" w:hAnsi="Arial" w:cs="Arial"/>
              </w:rPr>
            </w:pPr>
          </w:p>
        </w:tc>
        <w:tc>
          <w:tcPr>
            <w:tcW w:w="849" w:type="dxa"/>
            <w:tcBorders>
              <w:top w:val="single" w:sz="4" w:space="0" w:color="auto"/>
            </w:tcBorders>
            <w:noWrap/>
            <w:vAlign w:val="bottom"/>
            <w:hideMark/>
          </w:tcPr>
          <w:p w14:paraId="0BE31A09" w14:textId="77777777" w:rsidR="003E4B78" w:rsidRPr="00910A68" w:rsidRDefault="003E4B78" w:rsidP="00A27F44">
            <w:pPr>
              <w:pStyle w:val="Body"/>
              <w:spacing w:after="0"/>
              <w:rPr>
                <w:rFonts w:ascii="Arial" w:hAnsi="Arial" w:cs="Arial"/>
              </w:rPr>
            </w:pPr>
          </w:p>
        </w:tc>
        <w:tc>
          <w:tcPr>
            <w:tcW w:w="1092" w:type="dxa"/>
            <w:tcBorders>
              <w:top w:val="single" w:sz="4" w:space="0" w:color="auto"/>
            </w:tcBorders>
            <w:noWrap/>
            <w:vAlign w:val="bottom"/>
            <w:hideMark/>
          </w:tcPr>
          <w:p w14:paraId="226A8C4F" w14:textId="77777777" w:rsidR="003E4B78" w:rsidRPr="00910A68" w:rsidRDefault="003E4B78" w:rsidP="00A27F44">
            <w:pPr>
              <w:pStyle w:val="Body"/>
              <w:spacing w:after="0"/>
              <w:rPr>
                <w:rFonts w:ascii="Arial" w:hAnsi="Arial" w:cs="Arial"/>
              </w:rPr>
            </w:pPr>
          </w:p>
        </w:tc>
        <w:tc>
          <w:tcPr>
            <w:tcW w:w="1278" w:type="dxa"/>
            <w:tcBorders>
              <w:top w:val="single" w:sz="4" w:space="0" w:color="auto"/>
            </w:tcBorders>
            <w:noWrap/>
            <w:vAlign w:val="bottom"/>
            <w:hideMark/>
          </w:tcPr>
          <w:p w14:paraId="6C957FA6" w14:textId="77777777" w:rsidR="003E4B78" w:rsidRPr="00910A68" w:rsidRDefault="003E4B78" w:rsidP="00A27F44">
            <w:pPr>
              <w:pStyle w:val="Body"/>
              <w:spacing w:after="0"/>
              <w:rPr>
                <w:rFonts w:ascii="Arial" w:hAnsi="Arial" w:cs="Arial"/>
              </w:rPr>
            </w:pPr>
          </w:p>
        </w:tc>
        <w:tc>
          <w:tcPr>
            <w:tcW w:w="1212" w:type="dxa"/>
            <w:tcBorders>
              <w:top w:val="single" w:sz="4" w:space="0" w:color="auto"/>
            </w:tcBorders>
            <w:noWrap/>
            <w:vAlign w:val="bottom"/>
            <w:hideMark/>
          </w:tcPr>
          <w:p w14:paraId="3E4EF20D" w14:textId="77777777" w:rsidR="003E4B78" w:rsidRPr="00910A68" w:rsidRDefault="003E4B78" w:rsidP="00A27F44">
            <w:pPr>
              <w:pStyle w:val="Body"/>
              <w:spacing w:after="0"/>
              <w:rPr>
                <w:rFonts w:ascii="Arial" w:hAnsi="Arial" w:cs="Arial"/>
              </w:rPr>
            </w:pPr>
          </w:p>
        </w:tc>
        <w:tc>
          <w:tcPr>
            <w:tcW w:w="928" w:type="dxa"/>
            <w:tcBorders>
              <w:top w:val="single" w:sz="4" w:space="0" w:color="auto"/>
              <w:right w:val="nil"/>
            </w:tcBorders>
            <w:noWrap/>
            <w:vAlign w:val="bottom"/>
            <w:hideMark/>
          </w:tcPr>
          <w:p w14:paraId="75A8A22E" w14:textId="77777777" w:rsidR="003E4B78" w:rsidRPr="00910A68" w:rsidRDefault="003E4B78" w:rsidP="00A27F44">
            <w:pPr>
              <w:pStyle w:val="Body"/>
              <w:spacing w:after="0"/>
              <w:rPr>
                <w:rFonts w:ascii="Arial" w:hAnsi="Arial" w:cs="Arial"/>
              </w:rPr>
            </w:pPr>
          </w:p>
        </w:tc>
      </w:tr>
      <w:tr w:rsidR="00A27F44" w:rsidRPr="00910A68" w14:paraId="27186607" w14:textId="77777777" w:rsidTr="00770E74">
        <w:trPr>
          <w:trHeight w:val="279"/>
        </w:trPr>
        <w:tc>
          <w:tcPr>
            <w:tcW w:w="1279" w:type="dxa"/>
            <w:tcBorders>
              <w:left w:val="nil"/>
              <w:right w:val="single" w:sz="4" w:space="0" w:color="auto"/>
            </w:tcBorders>
            <w:noWrap/>
            <w:vAlign w:val="bottom"/>
            <w:hideMark/>
          </w:tcPr>
          <w:p w14:paraId="20B3B1D4" w14:textId="77777777" w:rsidR="003E4B78" w:rsidRPr="00910A68" w:rsidRDefault="003E4B78" w:rsidP="00A27F44">
            <w:pPr>
              <w:pStyle w:val="Body"/>
              <w:spacing w:after="0"/>
              <w:rPr>
                <w:rFonts w:ascii="Arial" w:hAnsi="Arial" w:cs="Arial"/>
              </w:rPr>
            </w:pPr>
            <w:r w:rsidRPr="00910A68">
              <w:rPr>
                <w:rFonts w:ascii="Arial" w:hAnsi="Arial" w:cs="Arial"/>
                <w:lang w:val="en-IN"/>
              </w:rPr>
              <w:t>Caste</w:t>
            </w:r>
          </w:p>
        </w:tc>
        <w:tc>
          <w:tcPr>
            <w:tcW w:w="865" w:type="dxa"/>
            <w:tcBorders>
              <w:left w:val="single" w:sz="4" w:space="0" w:color="auto"/>
            </w:tcBorders>
            <w:noWrap/>
            <w:vAlign w:val="bottom"/>
            <w:hideMark/>
          </w:tcPr>
          <w:p w14:paraId="28B9D501" w14:textId="77777777" w:rsidR="003E4B78" w:rsidRPr="00910A68" w:rsidRDefault="003E4B78" w:rsidP="00A27F44">
            <w:pPr>
              <w:pStyle w:val="Body"/>
              <w:spacing w:after="0"/>
              <w:rPr>
                <w:rFonts w:ascii="Arial" w:hAnsi="Arial" w:cs="Arial"/>
              </w:rPr>
            </w:pPr>
            <w:r w:rsidRPr="00910A68">
              <w:rPr>
                <w:rFonts w:ascii="Arial" w:hAnsi="Arial" w:cs="Arial"/>
              </w:rPr>
              <w:t>0.0074</w:t>
            </w:r>
          </w:p>
        </w:tc>
        <w:tc>
          <w:tcPr>
            <w:tcW w:w="903" w:type="dxa"/>
            <w:noWrap/>
            <w:vAlign w:val="bottom"/>
            <w:hideMark/>
          </w:tcPr>
          <w:p w14:paraId="7C2D49AC"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849" w:type="dxa"/>
            <w:noWrap/>
            <w:vAlign w:val="bottom"/>
            <w:hideMark/>
          </w:tcPr>
          <w:p w14:paraId="7070422B" w14:textId="77777777" w:rsidR="003E4B78" w:rsidRPr="00910A68" w:rsidRDefault="003E4B78" w:rsidP="00A27F44">
            <w:pPr>
              <w:pStyle w:val="Body"/>
              <w:spacing w:after="0"/>
              <w:rPr>
                <w:rFonts w:ascii="Arial" w:hAnsi="Arial" w:cs="Arial"/>
              </w:rPr>
            </w:pPr>
          </w:p>
        </w:tc>
        <w:tc>
          <w:tcPr>
            <w:tcW w:w="1092" w:type="dxa"/>
            <w:noWrap/>
            <w:vAlign w:val="bottom"/>
            <w:hideMark/>
          </w:tcPr>
          <w:p w14:paraId="1DA76109" w14:textId="77777777" w:rsidR="003E4B78" w:rsidRPr="00910A68" w:rsidRDefault="003E4B78" w:rsidP="00A27F44">
            <w:pPr>
              <w:pStyle w:val="Body"/>
              <w:spacing w:after="0"/>
              <w:rPr>
                <w:rFonts w:ascii="Arial" w:hAnsi="Arial" w:cs="Arial"/>
              </w:rPr>
            </w:pPr>
          </w:p>
        </w:tc>
        <w:tc>
          <w:tcPr>
            <w:tcW w:w="1278" w:type="dxa"/>
            <w:noWrap/>
            <w:vAlign w:val="bottom"/>
            <w:hideMark/>
          </w:tcPr>
          <w:p w14:paraId="39426206" w14:textId="77777777" w:rsidR="003E4B78" w:rsidRPr="00910A68" w:rsidRDefault="003E4B78" w:rsidP="00A27F44">
            <w:pPr>
              <w:pStyle w:val="Body"/>
              <w:spacing w:after="0"/>
              <w:rPr>
                <w:rFonts w:ascii="Arial" w:hAnsi="Arial" w:cs="Arial"/>
              </w:rPr>
            </w:pPr>
          </w:p>
        </w:tc>
        <w:tc>
          <w:tcPr>
            <w:tcW w:w="1212" w:type="dxa"/>
            <w:noWrap/>
            <w:vAlign w:val="bottom"/>
            <w:hideMark/>
          </w:tcPr>
          <w:p w14:paraId="42B74C28" w14:textId="77777777" w:rsidR="003E4B78" w:rsidRPr="00910A68" w:rsidRDefault="003E4B78" w:rsidP="00A27F44">
            <w:pPr>
              <w:pStyle w:val="Body"/>
              <w:spacing w:after="0"/>
              <w:rPr>
                <w:rFonts w:ascii="Arial" w:hAnsi="Arial" w:cs="Arial"/>
              </w:rPr>
            </w:pPr>
          </w:p>
        </w:tc>
        <w:tc>
          <w:tcPr>
            <w:tcW w:w="928" w:type="dxa"/>
            <w:tcBorders>
              <w:right w:val="nil"/>
            </w:tcBorders>
            <w:noWrap/>
            <w:vAlign w:val="bottom"/>
            <w:hideMark/>
          </w:tcPr>
          <w:p w14:paraId="0CF17B6B" w14:textId="77777777" w:rsidR="003E4B78" w:rsidRPr="00910A68" w:rsidRDefault="003E4B78" w:rsidP="00A27F44">
            <w:pPr>
              <w:pStyle w:val="Body"/>
              <w:spacing w:after="0"/>
              <w:rPr>
                <w:rFonts w:ascii="Arial" w:hAnsi="Arial" w:cs="Arial"/>
              </w:rPr>
            </w:pPr>
          </w:p>
        </w:tc>
      </w:tr>
      <w:tr w:rsidR="00A27F44" w:rsidRPr="00910A68" w14:paraId="3CDAB1E4" w14:textId="77777777" w:rsidTr="00770E74">
        <w:trPr>
          <w:trHeight w:val="279"/>
        </w:trPr>
        <w:tc>
          <w:tcPr>
            <w:tcW w:w="1279" w:type="dxa"/>
            <w:tcBorders>
              <w:left w:val="nil"/>
              <w:right w:val="single" w:sz="4" w:space="0" w:color="auto"/>
            </w:tcBorders>
            <w:noWrap/>
            <w:vAlign w:val="bottom"/>
            <w:hideMark/>
          </w:tcPr>
          <w:p w14:paraId="6E0EF02F" w14:textId="77777777" w:rsidR="003E4B78" w:rsidRPr="00910A68" w:rsidRDefault="003E4B78" w:rsidP="00A27F44">
            <w:pPr>
              <w:pStyle w:val="Body"/>
              <w:spacing w:after="0"/>
              <w:rPr>
                <w:rFonts w:ascii="Arial" w:hAnsi="Arial" w:cs="Arial"/>
              </w:rPr>
            </w:pPr>
            <w:r w:rsidRPr="00910A68">
              <w:rPr>
                <w:rFonts w:ascii="Arial" w:hAnsi="Arial" w:cs="Arial"/>
                <w:lang w:val="en-IN"/>
              </w:rPr>
              <w:t>Sex</w:t>
            </w:r>
          </w:p>
        </w:tc>
        <w:tc>
          <w:tcPr>
            <w:tcW w:w="865" w:type="dxa"/>
            <w:tcBorders>
              <w:left w:val="single" w:sz="4" w:space="0" w:color="auto"/>
            </w:tcBorders>
            <w:noWrap/>
            <w:vAlign w:val="bottom"/>
            <w:hideMark/>
          </w:tcPr>
          <w:p w14:paraId="4E212C84" w14:textId="77777777" w:rsidR="003E4B78" w:rsidRPr="00910A68" w:rsidRDefault="003E4B78" w:rsidP="00A27F44">
            <w:pPr>
              <w:pStyle w:val="Body"/>
              <w:spacing w:after="0"/>
              <w:rPr>
                <w:rFonts w:ascii="Arial" w:hAnsi="Arial" w:cs="Arial"/>
              </w:rPr>
            </w:pPr>
            <w:r w:rsidRPr="00910A68">
              <w:rPr>
                <w:rFonts w:ascii="Arial" w:hAnsi="Arial" w:cs="Arial"/>
              </w:rPr>
              <w:t>0.0357</w:t>
            </w:r>
          </w:p>
        </w:tc>
        <w:tc>
          <w:tcPr>
            <w:tcW w:w="903" w:type="dxa"/>
            <w:noWrap/>
            <w:vAlign w:val="bottom"/>
            <w:hideMark/>
          </w:tcPr>
          <w:p w14:paraId="69B59E17" w14:textId="77777777" w:rsidR="003E4B78" w:rsidRPr="00910A68" w:rsidRDefault="003E4B78" w:rsidP="00A27F44">
            <w:pPr>
              <w:pStyle w:val="Body"/>
              <w:spacing w:after="0"/>
              <w:rPr>
                <w:rFonts w:ascii="Arial" w:hAnsi="Arial" w:cs="Arial"/>
              </w:rPr>
            </w:pPr>
            <w:r w:rsidRPr="00910A68">
              <w:rPr>
                <w:rFonts w:ascii="Arial" w:hAnsi="Arial" w:cs="Arial"/>
              </w:rPr>
              <w:t>-0.2252</w:t>
            </w:r>
          </w:p>
        </w:tc>
        <w:tc>
          <w:tcPr>
            <w:tcW w:w="849" w:type="dxa"/>
            <w:noWrap/>
            <w:vAlign w:val="bottom"/>
            <w:hideMark/>
          </w:tcPr>
          <w:p w14:paraId="777EC5E6"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092" w:type="dxa"/>
            <w:noWrap/>
            <w:vAlign w:val="bottom"/>
            <w:hideMark/>
          </w:tcPr>
          <w:p w14:paraId="557AF7D2" w14:textId="77777777" w:rsidR="003E4B78" w:rsidRPr="00910A68" w:rsidRDefault="003E4B78" w:rsidP="00A27F44">
            <w:pPr>
              <w:pStyle w:val="Body"/>
              <w:spacing w:after="0"/>
              <w:rPr>
                <w:rFonts w:ascii="Arial" w:hAnsi="Arial" w:cs="Arial"/>
              </w:rPr>
            </w:pPr>
          </w:p>
        </w:tc>
        <w:tc>
          <w:tcPr>
            <w:tcW w:w="1278" w:type="dxa"/>
            <w:noWrap/>
            <w:vAlign w:val="bottom"/>
            <w:hideMark/>
          </w:tcPr>
          <w:p w14:paraId="69822973" w14:textId="77777777" w:rsidR="003E4B78" w:rsidRPr="00910A68" w:rsidRDefault="003E4B78" w:rsidP="00A27F44">
            <w:pPr>
              <w:pStyle w:val="Body"/>
              <w:spacing w:after="0"/>
              <w:rPr>
                <w:rFonts w:ascii="Arial" w:hAnsi="Arial" w:cs="Arial"/>
              </w:rPr>
            </w:pPr>
          </w:p>
        </w:tc>
        <w:tc>
          <w:tcPr>
            <w:tcW w:w="1212" w:type="dxa"/>
            <w:noWrap/>
            <w:vAlign w:val="bottom"/>
            <w:hideMark/>
          </w:tcPr>
          <w:p w14:paraId="417D0BC6" w14:textId="77777777" w:rsidR="003E4B78" w:rsidRPr="00910A68" w:rsidRDefault="003E4B78" w:rsidP="00A27F44">
            <w:pPr>
              <w:pStyle w:val="Body"/>
              <w:spacing w:after="0"/>
              <w:rPr>
                <w:rFonts w:ascii="Arial" w:hAnsi="Arial" w:cs="Arial"/>
              </w:rPr>
            </w:pPr>
          </w:p>
        </w:tc>
        <w:tc>
          <w:tcPr>
            <w:tcW w:w="928" w:type="dxa"/>
            <w:tcBorders>
              <w:right w:val="nil"/>
            </w:tcBorders>
            <w:noWrap/>
            <w:vAlign w:val="bottom"/>
            <w:hideMark/>
          </w:tcPr>
          <w:p w14:paraId="75399374" w14:textId="77777777" w:rsidR="003E4B78" w:rsidRPr="00910A68" w:rsidRDefault="003E4B78" w:rsidP="00A27F44">
            <w:pPr>
              <w:pStyle w:val="Body"/>
              <w:spacing w:after="0"/>
              <w:rPr>
                <w:rFonts w:ascii="Arial" w:hAnsi="Arial" w:cs="Arial"/>
              </w:rPr>
            </w:pPr>
          </w:p>
        </w:tc>
      </w:tr>
      <w:tr w:rsidR="00A27F44" w:rsidRPr="00910A68" w14:paraId="6643AF6F" w14:textId="77777777" w:rsidTr="00770E74">
        <w:trPr>
          <w:trHeight w:val="279"/>
        </w:trPr>
        <w:tc>
          <w:tcPr>
            <w:tcW w:w="1279" w:type="dxa"/>
            <w:tcBorders>
              <w:left w:val="nil"/>
              <w:right w:val="single" w:sz="4" w:space="0" w:color="auto"/>
            </w:tcBorders>
            <w:noWrap/>
            <w:vAlign w:val="bottom"/>
            <w:hideMark/>
          </w:tcPr>
          <w:p w14:paraId="2CE74F45" w14:textId="77777777" w:rsidR="003E4B78" w:rsidRPr="00910A68" w:rsidRDefault="003E4B78" w:rsidP="00A27F44">
            <w:pPr>
              <w:pStyle w:val="Body"/>
              <w:spacing w:after="0"/>
              <w:rPr>
                <w:rFonts w:ascii="Arial" w:hAnsi="Arial" w:cs="Arial"/>
              </w:rPr>
            </w:pPr>
            <w:r w:rsidRPr="00910A68">
              <w:rPr>
                <w:rFonts w:ascii="Arial" w:hAnsi="Arial" w:cs="Arial"/>
                <w:lang w:val="en-IN"/>
              </w:rPr>
              <w:t>Education</w:t>
            </w:r>
          </w:p>
        </w:tc>
        <w:tc>
          <w:tcPr>
            <w:tcW w:w="865" w:type="dxa"/>
            <w:tcBorders>
              <w:left w:val="single" w:sz="4" w:space="0" w:color="auto"/>
            </w:tcBorders>
            <w:noWrap/>
            <w:vAlign w:val="bottom"/>
            <w:hideMark/>
          </w:tcPr>
          <w:p w14:paraId="40D8E2EE" w14:textId="77777777" w:rsidR="003E4B78" w:rsidRPr="00910A68" w:rsidRDefault="003E4B78" w:rsidP="00A27F44">
            <w:pPr>
              <w:pStyle w:val="Body"/>
              <w:spacing w:after="0"/>
              <w:rPr>
                <w:rFonts w:ascii="Arial" w:hAnsi="Arial" w:cs="Arial"/>
              </w:rPr>
            </w:pPr>
            <w:r w:rsidRPr="00910A68">
              <w:rPr>
                <w:rFonts w:ascii="Arial" w:hAnsi="Arial" w:cs="Arial"/>
              </w:rPr>
              <w:t>0.1097</w:t>
            </w:r>
          </w:p>
        </w:tc>
        <w:tc>
          <w:tcPr>
            <w:tcW w:w="903" w:type="dxa"/>
            <w:noWrap/>
            <w:vAlign w:val="bottom"/>
            <w:hideMark/>
          </w:tcPr>
          <w:p w14:paraId="5B86AEA2" w14:textId="77777777" w:rsidR="003E4B78" w:rsidRPr="00910A68" w:rsidRDefault="003E4B78" w:rsidP="00A27F44">
            <w:pPr>
              <w:pStyle w:val="Body"/>
              <w:spacing w:after="0"/>
              <w:rPr>
                <w:rFonts w:ascii="Arial" w:hAnsi="Arial" w:cs="Arial"/>
              </w:rPr>
            </w:pPr>
            <w:r w:rsidRPr="00910A68">
              <w:rPr>
                <w:rFonts w:ascii="Arial" w:hAnsi="Arial" w:cs="Arial"/>
              </w:rPr>
              <w:t>-0.2959</w:t>
            </w:r>
          </w:p>
        </w:tc>
        <w:tc>
          <w:tcPr>
            <w:tcW w:w="849" w:type="dxa"/>
            <w:noWrap/>
            <w:vAlign w:val="bottom"/>
            <w:hideMark/>
          </w:tcPr>
          <w:p w14:paraId="58E66573" w14:textId="77777777" w:rsidR="003E4B78" w:rsidRPr="00910A68" w:rsidRDefault="003E4B78" w:rsidP="00A27F44">
            <w:pPr>
              <w:pStyle w:val="Body"/>
              <w:spacing w:after="0"/>
              <w:rPr>
                <w:rFonts w:ascii="Arial" w:hAnsi="Arial" w:cs="Arial"/>
              </w:rPr>
            </w:pPr>
            <w:r w:rsidRPr="00910A68">
              <w:rPr>
                <w:rFonts w:ascii="Arial" w:hAnsi="Arial" w:cs="Arial"/>
              </w:rPr>
              <w:t>0.0569</w:t>
            </w:r>
          </w:p>
        </w:tc>
        <w:tc>
          <w:tcPr>
            <w:tcW w:w="1092" w:type="dxa"/>
            <w:noWrap/>
            <w:vAlign w:val="bottom"/>
            <w:hideMark/>
          </w:tcPr>
          <w:p w14:paraId="19CEDC80"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278" w:type="dxa"/>
            <w:noWrap/>
            <w:vAlign w:val="bottom"/>
            <w:hideMark/>
          </w:tcPr>
          <w:p w14:paraId="2FEDC74F" w14:textId="77777777" w:rsidR="003E4B78" w:rsidRPr="00910A68" w:rsidRDefault="003E4B78" w:rsidP="00A27F44">
            <w:pPr>
              <w:pStyle w:val="Body"/>
              <w:spacing w:after="0"/>
              <w:rPr>
                <w:rFonts w:ascii="Arial" w:hAnsi="Arial" w:cs="Arial"/>
              </w:rPr>
            </w:pPr>
          </w:p>
        </w:tc>
        <w:tc>
          <w:tcPr>
            <w:tcW w:w="1212" w:type="dxa"/>
            <w:noWrap/>
            <w:vAlign w:val="bottom"/>
            <w:hideMark/>
          </w:tcPr>
          <w:p w14:paraId="5003ED00" w14:textId="77777777" w:rsidR="003E4B78" w:rsidRPr="00910A68" w:rsidRDefault="003E4B78" w:rsidP="00A27F44">
            <w:pPr>
              <w:pStyle w:val="Body"/>
              <w:spacing w:after="0"/>
              <w:rPr>
                <w:rFonts w:ascii="Arial" w:hAnsi="Arial" w:cs="Arial"/>
              </w:rPr>
            </w:pPr>
          </w:p>
        </w:tc>
        <w:tc>
          <w:tcPr>
            <w:tcW w:w="928" w:type="dxa"/>
            <w:tcBorders>
              <w:right w:val="nil"/>
            </w:tcBorders>
            <w:noWrap/>
            <w:vAlign w:val="bottom"/>
            <w:hideMark/>
          </w:tcPr>
          <w:p w14:paraId="41A807E5" w14:textId="77777777" w:rsidR="003E4B78" w:rsidRPr="00910A68" w:rsidRDefault="003E4B78" w:rsidP="00A27F44">
            <w:pPr>
              <w:pStyle w:val="Body"/>
              <w:spacing w:after="0"/>
              <w:rPr>
                <w:rFonts w:ascii="Arial" w:hAnsi="Arial" w:cs="Arial"/>
              </w:rPr>
            </w:pPr>
          </w:p>
        </w:tc>
      </w:tr>
      <w:tr w:rsidR="00A27F44" w:rsidRPr="00910A68" w14:paraId="1290DB00" w14:textId="77777777" w:rsidTr="00770E74">
        <w:trPr>
          <w:trHeight w:val="279"/>
        </w:trPr>
        <w:tc>
          <w:tcPr>
            <w:tcW w:w="1279" w:type="dxa"/>
            <w:tcBorders>
              <w:left w:val="nil"/>
              <w:right w:val="single" w:sz="4" w:space="0" w:color="auto"/>
            </w:tcBorders>
            <w:noWrap/>
            <w:vAlign w:val="bottom"/>
            <w:hideMark/>
          </w:tcPr>
          <w:p w14:paraId="4DAE2DF5" w14:textId="77777777" w:rsidR="003E4B78" w:rsidRPr="00910A68" w:rsidRDefault="003E4B78" w:rsidP="00A27F44">
            <w:pPr>
              <w:pStyle w:val="Body"/>
              <w:spacing w:after="0"/>
              <w:rPr>
                <w:rFonts w:ascii="Arial" w:hAnsi="Arial" w:cs="Arial"/>
              </w:rPr>
            </w:pPr>
            <w:r w:rsidRPr="00910A68">
              <w:rPr>
                <w:rFonts w:ascii="Arial" w:hAnsi="Arial" w:cs="Arial"/>
                <w:lang w:val="en-IN"/>
              </w:rPr>
              <w:t>Dependents</w:t>
            </w:r>
          </w:p>
        </w:tc>
        <w:tc>
          <w:tcPr>
            <w:tcW w:w="865" w:type="dxa"/>
            <w:tcBorders>
              <w:left w:val="single" w:sz="4" w:space="0" w:color="auto"/>
            </w:tcBorders>
            <w:noWrap/>
            <w:vAlign w:val="bottom"/>
            <w:hideMark/>
          </w:tcPr>
          <w:p w14:paraId="2E25FAC7" w14:textId="77777777" w:rsidR="003E4B78" w:rsidRPr="00910A68" w:rsidRDefault="003E4B78" w:rsidP="00A27F44">
            <w:pPr>
              <w:pStyle w:val="Body"/>
              <w:spacing w:after="0"/>
              <w:rPr>
                <w:rFonts w:ascii="Arial" w:hAnsi="Arial" w:cs="Arial"/>
              </w:rPr>
            </w:pPr>
            <w:r w:rsidRPr="00910A68">
              <w:rPr>
                <w:rFonts w:ascii="Arial" w:hAnsi="Arial" w:cs="Arial"/>
              </w:rPr>
              <w:t>0.3022</w:t>
            </w:r>
          </w:p>
        </w:tc>
        <w:tc>
          <w:tcPr>
            <w:tcW w:w="903" w:type="dxa"/>
            <w:noWrap/>
            <w:vAlign w:val="bottom"/>
            <w:hideMark/>
          </w:tcPr>
          <w:p w14:paraId="021277EB" w14:textId="77777777" w:rsidR="003E4B78" w:rsidRPr="00910A68" w:rsidRDefault="003E4B78" w:rsidP="00A27F44">
            <w:pPr>
              <w:pStyle w:val="Body"/>
              <w:spacing w:after="0"/>
              <w:rPr>
                <w:rFonts w:ascii="Arial" w:hAnsi="Arial" w:cs="Arial"/>
              </w:rPr>
            </w:pPr>
            <w:r w:rsidRPr="00910A68">
              <w:rPr>
                <w:rFonts w:ascii="Arial" w:hAnsi="Arial" w:cs="Arial"/>
              </w:rPr>
              <w:t>-0.1726</w:t>
            </w:r>
          </w:p>
        </w:tc>
        <w:tc>
          <w:tcPr>
            <w:tcW w:w="849" w:type="dxa"/>
            <w:noWrap/>
            <w:vAlign w:val="bottom"/>
            <w:hideMark/>
          </w:tcPr>
          <w:p w14:paraId="198F1AC3" w14:textId="77777777" w:rsidR="003E4B78" w:rsidRPr="00910A68" w:rsidRDefault="003E4B78" w:rsidP="00A27F44">
            <w:pPr>
              <w:pStyle w:val="Body"/>
              <w:spacing w:after="0"/>
              <w:rPr>
                <w:rFonts w:ascii="Arial" w:hAnsi="Arial" w:cs="Arial"/>
              </w:rPr>
            </w:pPr>
            <w:r w:rsidRPr="00910A68">
              <w:rPr>
                <w:rFonts w:ascii="Arial" w:hAnsi="Arial" w:cs="Arial"/>
              </w:rPr>
              <w:t>0.0336</w:t>
            </w:r>
          </w:p>
        </w:tc>
        <w:tc>
          <w:tcPr>
            <w:tcW w:w="1092" w:type="dxa"/>
            <w:noWrap/>
            <w:vAlign w:val="bottom"/>
            <w:hideMark/>
          </w:tcPr>
          <w:p w14:paraId="22025AA6" w14:textId="77777777" w:rsidR="003E4B78" w:rsidRPr="00910A68" w:rsidRDefault="003E4B78" w:rsidP="00A27F44">
            <w:pPr>
              <w:pStyle w:val="Body"/>
              <w:spacing w:after="0"/>
              <w:rPr>
                <w:rFonts w:ascii="Arial" w:hAnsi="Arial" w:cs="Arial"/>
              </w:rPr>
            </w:pPr>
            <w:r w:rsidRPr="00910A68">
              <w:rPr>
                <w:rFonts w:ascii="Arial" w:hAnsi="Arial" w:cs="Arial"/>
              </w:rPr>
              <w:t>0.1055</w:t>
            </w:r>
          </w:p>
        </w:tc>
        <w:tc>
          <w:tcPr>
            <w:tcW w:w="1278" w:type="dxa"/>
            <w:noWrap/>
            <w:vAlign w:val="bottom"/>
            <w:hideMark/>
          </w:tcPr>
          <w:p w14:paraId="4F5C5870"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212" w:type="dxa"/>
            <w:noWrap/>
            <w:vAlign w:val="bottom"/>
            <w:hideMark/>
          </w:tcPr>
          <w:p w14:paraId="24B99B21" w14:textId="77777777" w:rsidR="003E4B78" w:rsidRPr="00910A68" w:rsidRDefault="003E4B78" w:rsidP="00A27F44">
            <w:pPr>
              <w:pStyle w:val="Body"/>
              <w:spacing w:after="0"/>
              <w:rPr>
                <w:rFonts w:ascii="Arial" w:hAnsi="Arial" w:cs="Arial"/>
              </w:rPr>
            </w:pPr>
          </w:p>
        </w:tc>
        <w:tc>
          <w:tcPr>
            <w:tcW w:w="928" w:type="dxa"/>
            <w:tcBorders>
              <w:right w:val="nil"/>
            </w:tcBorders>
            <w:noWrap/>
            <w:vAlign w:val="bottom"/>
            <w:hideMark/>
          </w:tcPr>
          <w:p w14:paraId="7F80FDAD" w14:textId="77777777" w:rsidR="003E4B78" w:rsidRPr="00910A68" w:rsidRDefault="003E4B78" w:rsidP="00A27F44">
            <w:pPr>
              <w:pStyle w:val="Body"/>
              <w:spacing w:after="0"/>
              <w:rPr>
                <w:rFonts w:ascii="Arial" w:hAnsi="Arial" w:cs="Arial"/>
              </w:rPr>
            </w:pPr>
          </w:p>
        </w:tc>
      </w:tr>
      <w:tr w:rsidR="00A27F44" w:rsidRPr="00910A68" w14:paraId="36452E34" w14:textId="77777777" w:rsidTr="00770E74">
        <w:trPr>
          <w:trHeight w:val="279"/>
        </w:trPr>
        <w:tc>
          <w:tcPr>
            <w:tcW w:w="1279" w:type="dxa"/>
            <w:tcBorders>
              <w:left w:val="nil"/>
              <w:right w:val="single" w:sz="4" w:space="0" w:color="auto"/>
            </w:tcBorders>
            <w:noWrap/>
            <w:vAlign w:val="bottom"/>
            <w:hideMark/>
          </w:tcPr>
          <w:p w14:paraId="5A2E39EF" w14:textId="77777777" w:rsidR="003E4B78" w:rsidRPr="00910A68" w:rsidRDefault="003E4B78" w:rsidP="00A27F44">
            <w:pPr>
              <w:pStyle w:val="Body"/>
              <w:spacing w:after="0"/>
              <w:rPr>
                <w:rFonts w:ascii="Arial" w:hAnsi="Arial" w:cs="Arial"/>
              </w:rPr>
            </w:pPr>
            <w:r w:rsidRPr="00910A68">
              <w:rPr>
                <w:rFonts w:ascii="Arial" w:hAnsi="Arial" w:cs="Arial"/>
                <w:lang w:val="en-IN"/>
              </w:rPr>
              <w:t>Occupation</w:t>
            </w:r>
          </w:p>
        </w:tc>
        <w:tc>
          <w:tcPr>
            <w:tcW w:w="865" w:type="dxa"/>
            <w:tcBorders>
              <w:left w:val="single" w:sz="4" w:space="0" w:color="auto"/>
            </w:tcBorders>
            <w:noWrap/>
            <w:vAlign w:val="bottom"/>
            <w:hideMark/>
          </w:tcPr>
          <w:p w14:paraId="3A7162BC" w14:textId="77777777" w:rsidR="003E4B78" w:rsidRPr="00910A68" w:rsidRDefault="003E4B78" w:rsidP="00A27F44">
            <w:pPr>
              <w:pStyle w:val="Body"/>
              <w:spacing w:after="0"/>
              <w:rPr>
                <w:rFonts w:ascii="Arial" w:hAnsi="Arial" w:cs="Arial"/>
              </w:rPr>
            </w:pPr>
            <w:r w:rsidRPr="00910A68">
              <w:rPr>
                <w:rFonts w:ascii="Arial" w:hAnsi="Arial" w:cs="Arial"/>
              </w:rPr>
              <w:t>0.1370</w:t>
            </w:r>
          </w:p>
        </w:tc>
        <w:tc>
          <w:tcPr>
            <w:tcW w:w="903" w:type="dxa"/>
            <w:noWrap/>
            <w:vAlign w:val="bottom"/>
            <w:hideMark/>
          </w:tcPr>
          <w:p w14:paraId="2AE5A921" w14:textId="77777777" w:rsidR="003E4B78" w:rsidRPr="00910A68" w:rsidRDefault="003E4B78" w:rsidP="00A27F44">
            <w:pPr>
              <w:pStyle w:val="Body"/>
              <w:spacing w:after="0"/>
              <w:rPr>
                <w:rFonts w:ascii="Arial" w:hAnsi="Arial" w:cs="Arial"/>
              </w:rPr>
            </w:pPr>
            <w:r w:rsidRPr="00910A68">
              <w:rPr>
                <w:rFonts w:ascii="Arial" w:hAnsi="Arial" w:cs="Arial"/>
              </w:rPr>
              <w:t>0.0055</w:t>
            </w:r>
          </w:p>
        </w:tc>
        <w:tc>
          <w:tcPr>
            <w:tcW w:w="849" w:type="dxa"/>
            <w:noWrap/>
            <w:vAlign w:val="bottom"/>
            <w:hideMark/>
          </w:tcPr>
          <w:p w14:paraId="479620DE" w14:textId="77777777" w:rsidR="003E4B78" w:rsidRPr="00910A68" w:rsidRDefault="003E4B78" w:rsidP="00A27F44">
            <w:pPr>
              <w:pStyle w:val="Body"/>
              <w:spacing w:after="0"/>
              <w:rPr>
                <w:rFonts w:ascii="Arial" w:hAnsi="Arial" w:cs="Arial"/>
              </w:rPr>
            </w:pPr>
            <w:r w:rsidRPr="00910A68">
              <w:rPr>
                <w:rFonts w:ascii="Arial" w:hAnsi="Arial" w:cs="Arial"/>
              </w:rPr>
              <w:t>-0.2343</w:t>
            </w:r>
          </w:p>
        </w:tc>
        <w:tc>
          <w:tcPr>
            <w:tcW w:w="1092" w:type="dxa"/>
            <w:noWrap/>
            <w:vAlign w:val="bottom"/>
            <w:hideMark/>
          </w:tcPr>
          <w:p w14:paraId="6577C23B" w14:textId="77777777" w:rsidR="003E4B78" w:rsidRPr="00910A68" w:rsidRDefault="003E4B78" w:rsidP="00A27F44">
            <w:pPr>
              <w:pStyle w:val="Body"/>
              <w:spacing w:after="0"/>
              <w:rPr>
                <w:rFonts w:ascii="Arial" w:hAnsi="Arial" w:cs="Arial"/>
              </w:rPr>
            </w:pPr>
            <w:r w:rsidRPr="00910A68">
              <w:rPr>
                <w:rFonts w:ascii="Arial" w:hAnsi="Arial" w:cs="Arial"/>
              </w:rPr>
              <w:t>0.1687</w:t>
            </w:r>
          </w:p>
        </w:tc>
        <w:tc>
          <w:tcPr>
            <w:tcW w:w="1278" w:type="dxa"/>
            <w:noWrap/>
            <w:vAlign w:val="bottom"/>
            <w:hideMark/>
          </w:tcPr>
          <w:p w14:paraId="3E634C9E" w14:textId="77777777" w:rsidR="003E4B78" w:rsidRPr="00910A68" w:rsidRDefault="003E4B78" w:rsidP="00A27F44">
            <w:pPr>
              <w:pStyle w:val="Body"/>
              <w:spacing w:after="0"/>
              <w:rPr>
                <w:rFonts w:ascii="Arial" w:hAnsi="Arial" w:cs="Arial"/>
              </w:rPr>
            </w:pPr>
            <w:r w:rsidRPr="00910A68">
              <w:rPr>
                <w:rFonts w:ascii="Arial" w:hAnsi="Arial" w:cs="Arial"/>
              </w:rPr>
              <w:t>0.0107</w:t>
            </w:r>
          </w:p>
        </w:tc>
        <w:tc>
          <w:tcPr>
            <w:tcW w:w="1212" w:type="dxa"/>
            <w:noWrap/>
            <w:vAlign w:val="bottom"/>
            <w:hideMark/>
          </w:tcPr>
          <w:p w14:paraId="027F148E"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928" w:type="dxa"/>
            <w:tcBorders>
              <w:right w:val="nil"/>
            </w:tcBorders>
            <w:noWrap/>
            <w:vAlign w:val="bottom"/>
            <w:hideMark/>
          </w:tcPr>
          <w:p w14:paraId="6044462E" w14:textId="77777777" w:rsidR="003E4B78" w:rsidRPr="00910A68" w:rsidRDefault="003E4B78" w:rsidP="00A27F44">
            <w:pPr>
              <w:pStyle w:val="Body"/>
              <w:spacing w:after="0"/>
              <w:rPr>
                <w:rFonts w:ascii="Arial" w:hAnsi="Arial" w:cs="Arial"/>
              </w:rPr>
            </w:pPr>
          </w:p>
        </w:tc>
      </w:tr>
      <w:tr w:rsidR="00A27F44" w:rsidRPr="00910A68" w14:paraId="0DD94DD4" w14:textId="77777777" w:rsidTr="00770E74">
        <w:trPr>
          <w:trHeight w:val="279"/>
        </w:trPr>
        <w:tc>
          <w:tcPr>
            <w:tcW w:w="1279" w:type="dxa"/>
            <w:tcBorders>
              <w:left w:val="nil"/>
              <w:bottom w:val="single" w:sz="4" w:space="0" w:color="auto"/>
              <w:right w:val="single" w:sz="4" w:space="0" w:color="auto"/>
            </w:tcBorders>
            <w:noWrap/>
            <w:vAlign w:val="bottom"/>
            <w:hideMark/>
          </w:tcPr>
          <w:p w14:paraId="170A430E" w14:textId="77777777" w:rsidR="003E4B78" w:rsidRPr="00910A68" w:rsidRDefault="003E4B78" w:rsidP="00A27F44">
            <w:pPr>
              <w:pStyle w:val="Body"/>
              <w:spacing w:after="0"/>
              <w:rPr>
                <w:rFonts w:ascii="Arial" w:hAnsi="Arial" w:cs="Arial"/>
              </w:rPr>
            </w:pPr>
            <w:r w:rsidRPr="00910A68">
              <w:rPr>
                <w:rFonts w:ascii="Arial" w:hAnsi="Arial" w:cs="Arial"/>
                <w:lang w:val="en-IN"/>
              </w:rPr>
              <w:t>Training</w:t>
            </w:r>
          </w:p>
        </w:tc>
        <w:tc>
          <w:tcPr>
            <w:tcW w:w="865" w:type="dxa"/>
            <w:tcBorders>
              <w:left w:val="single" w:sz="4" w:space="0" w:color="auto"/>
            </w:tcBorders>
            <w:noWrap/>
            <w:vAlign w:val="bottom"/>
            <w:hideMark/>
          </w:tcPr>
          <w:p w14:paraId="7FBB3278" w14:textId="77777777" w:rsidR="003E4B78" w:rsidRPr="00910A68" w:rsidRDefault="003E4B78" w:rsidP="00A27F44">
            <w:pPr>
              <w:pStyle w:val="Body"/>
              <w:spacing w:after="0"/>
              <w:rPr>
                <w:rFonts w:ascii="Arial" w:hAnsi="Arial" w:cs="Arial"/>
              </w:rPr>
            </w:pPr>
            <w:r w:rsidRPr="00910A68">
              <w:rPr>
                <w:rFonts w:ascii="Arial" w:hAnsi="Arial" w:cs="Arial"/>
              </w:rPr>
              <w:t>0.0558</w:t>
            </w:r>
          </w:p>
        </w:tc>
        <w:tc>
          <w:tcPr>
            <w:tcW w:w="903" w:type="dxa"/>
            <w:noWrap/>
            <w:vAlign w:val="bottom"/>
            <w:hideMark/>
          </w:tcPr>
          <w:p w14:paraId="4B8C2340" w14:textId="77777777" w:rsidR="003E4B78" w:rsidRPr="00910A68" w:rsidRDefault="003E4B78" w:rsidP="00A27F44">
            <w:pPr>
              <w:pStyle w:val="Body"/>
              <w:spacing w:after="0"/>
              <w:rPr>
                <w:rFonts w:ascii="Arial" w:hAnsi="Arial" w:cs="Arial"/>
              </w:rPr>
            </w:pPr>
            <w:r w:rsidRPr="00910A68">
              <w:rPr>
                <w:rFonts w:ascii="Arial" w:hAnsi="Arial" w:cs="Arial"/>
              </w:rPr>
              <w:t>-0.1998</w:t>
            </w:r>
          </w:p>
        </w:tc>
        <w:tc>
          <w:tcPr>
            <w:tcW w:w="849" w:type="dxa"/>
            <w:noWrap/>
            <w:vAlign w:val="bottom"/>
            <w:hideMark/>
          </w:tcPr>
          <w:p w14:paraId="5A311940" w14:textId="77777777" w:rsidR="003E4B78" w:rsidRPr="00910A68" w:rsidRDefault="003E4B78" w:rsidP="00A27F44">
            <w:pPr>
              <w:pStyle w:val="Body"/>
              <w:spacing w:after="0"/>
              <w:rPr>
                <w:rFonts w:ascii="Arial" w:hAnsi="Arial" w:cs="Arial"/>
              </w:rPr>
            </w:pPr>
            <w:r w:rsidRPr="00910A68">
              <w:rPr>
                <w:rFonts w:ascii="Arial" w:hAnsi="Arial" w:cs="Arial"/>
              </w:rPr>
              <w:t>0.3179</w:t>
            </w:r>
          </w:p>
        </w:tc>
        <w:tc>
          <w:tcPr>
            <w:tcW w:w="1092" w:type="dxa"/>
            <w:noWrap/>
            <w:vAlign w:val="bottom"/>
            <w:hideMark/>
          </w:tcPr>
          <w:p w14:paraId="28A2A5A3" w14:textId="77777777" w:rsidR="003E4B78" w:rsidRPr="00910A68" w:rsidRDefault="003E4B78" w:rsidP="00A27F44">
            <w:pPr>
              <w:pStyle w:val="Body"/>
              <w:spacing w:after="0"/>
              <w:rPr>
                <w:rFonts w:ascii="Arial" w:hAnsi="Arial" w:cs="Arial"/>
              </w:rPr>
            </w:pPr>
            <w:r w:rsidRPr="00910A68">
              <w:rPr>
                <w:rFonts w:ascii="Arial" w:hAnsi="Arial" w:cs="Arial"/>
              </w:rPr>
              <w:t>0.4811</w:t>
            </w:r>
          </w:p>
        </w:tc>
        <w:tc>
          <w:tcPr>
            <w:tcW w:w="1278" w:type="dxa"/>
            <w:noWrap/>
            <w:vAlign w:val="bottom"/>
            <w:hideMark/>
          </w:tcPr>
          <w:p w14:paraId="02B91B96" w14:textId="77777777" w:rsidR="003E4B78" w:rsidRPr="00910A68" w:rsidRDefault="003E4B78" w:rsidP="00A27F44">
            <w:pPr>
              <w:pStyle w:val="Body"/>
              <w:spacing w:after="0"/>
              <w:rPr>
                <w:rFonts w:ascii="Arial" w:hAnsi="Arial" w:cs="Arial"/>
              </w:rPr>
            </w:pPr>
            <w:r w:rsidRPr="00910A68">
              <w:rPr>
                <w:rFonts w:ascii="Arial" w:hAnsi="Arial" w:cs="Arial"/>
              </w:rPr>
              <w:t>0.0495</w:t>
            </w:r>
          </w:p>
        </w:tc>
        <w:tc>
          <w:tcPr>
            <w:tcW w:w="1212" w:type="dxa"/>
            <w:noWrap/>
            <w:vAlign w:val="bottom"/>
            <w:hideMark/>
          </w:tcPr>
          <w:p w14:paraId="1263F3E8" w14:textId="77777777" w:rsidR="003E4B78" w:rsidRPr="00910A68" w:rsidRDefault="003E4B78" w:rsidP="00A27F44">
            <w:pPr>
              <w:pStyle w:val="Body"/>
              <w:spacing w:after="0"/>
              <w:rPr>
                <w:rFonts w:ascii="Arial" w:hAnsi="Arial" w:cs="Arial"/>
              </w:rPr>
            </w:pPr>
            <w:r w:rsidRPr="00910A68">
              <w:rPr>
                <w:rFonts w:ascii="Arial" w:hAnsi="Arial" w:cs="Arial"/>
              </w:rPr>
              <w:t>0.0462</w:t>
            </w:r>
          </w:p>
        </w:tc>
        <w:tc>
          <w:tcPr>
            <w:tcW w:w="928" w:type="dxa"/>
            <w:tcBorders>
              <w:bottom w:val="single" w:sz="4" w:space="0" w:color="auto"/>
              <w:right w:val="nil"/>
            </w:tcBorders>
            <w:noWrap/>
            <w:vAlign w:val="bottom"/>
            <w:hideMark/>
          </w:tcPr>
          <w:p w14:paraId="1F90B76B" w14:textId="77777777" w:rsidR="003E4B78" w:rsidRPr="00910A68" w:rsidRDefault="003E4B78" w:rsidP="00A27F44">
            <w:pPr>
              <w:pStyle w:val="Body"/>
              <w:spacing w:after="0"/>
              <w:rPr>
                <w:rFonts w:ascii="Arial" w:hAnsi="Arial" w:cs="Arial"/>
              </w:rPr>
            </w:pPr>
            <w:r w:rsidRPr="00910A68">
              <w:rPr>
                <w:rFonts w:ascii="Arial" w:hAnsi="Arial" w:cs="Arial"/>
              </w:rPr>
              <w:t>1.0000</w:t>
            </w:r>
          </w:p>
        </w:tc>
      </w:tr>
    </w:tbl>
    <w:p w14:paraId="648B7C34" w14:textId="77777777" w:rsidR="003E4B78" w:rsidRDefault="003E4B78" w:rsidP="003E4B78">
      <w:pPr>
        <w:pStyle w:val="Body"/>
        <w:spacing w:after="0"/>
        <w:rPr>
          <w:rFonts w:ascii="Arial" w:hAnsi="Arial" w:cs="Arial"/>
          <w:iCs/>
        </w:rPr>
      </w:pPr>
    </w:p>
    <w:p w14:paraId="040FB6C3" w14:textId="4B27BD33" w:rsidR="00ED71C3" w:rsidRPr="00ED71C3" w:rsidRDefault="00685C35" w:rsidP="00ED71C3">
      <w:pPr>
        <w:pStyle w:val="Body"/>
        <w:rPr>
          <w:rFonts w:ascii="Arial" w:hAnsi="Arial" w:cs="Arial"/>
          <w:iCs/>
        </w:rPr>
      </w:pPr>
      <w:r>
        <w:rPr>
          <w:rFonts w:ascii="Arial" w:hAnsi="Arial" w:cs="Arial"/>
          <w:iCs/>
        </w:rPr>
        <w:t>Table 6</w:t>
      </w:r>
      <w:r w:rsidR="00ED71C3" w:rsidRPr="00ED71C3">
        <w:rPr>
          <w:rFonts w:ascii="Arial" w:hAnsi="Arial" w:cs="Arial"/>
          <w:iCs/>
        </w:rPr>
        <w:t xml:space="preserve"> presents the determinants of ZEPT technology adoption among mushroom growers based on Linear Probability Model estimates. The results indicate that sex, education, primary dependence on mushroom farming, and training significantly influence adoption decisions. Female growers were found to be 0.27 times more likely to adopt ZEPT technology than male growers. This finding is consistent with recent evidence showing that women are more likely to adopt </w:t>
      </w:r>
      <w:proofErr w:type="spellStart"/>
      <w:r w:rsidR="00ED71C3" w:rsidRPr="00ED71C3">
        <w:rPr>
          <w:rFonts w:ascii="Arial" w:hAnsi="Arial" w:cs="Arial"/>
          <w:iCs/>
        </w:rPr>
        <w:t>labour-saving</w:t>
      </w:r>
      <w:proofErr w:type="spellEnd"/>
      <w:r w:rsidR="00ED71C3" w:rsidRPr="00ED71C3">
        <w:rPr>
          <w:rFonts w:ascii="Arial" w:hAnsi="Arial" w:cs="Arial"/>
          <w:iCs/>
        </w:rPr>
        <w:t xml:space="preserve"> and low-capital agricultural technologies, particularly in smallholder and household-based production systems where physical drudgery and time constraints are binding (Doss et al., 2020; </w:t>
      </w:r>
      <w:proofErr w:type="spellStart"/>
      <w:r w:rsidR="00ED71C3" w:rsidRPr="00ED71C3">
        <w:rPr>
          <w:rFonts w:ascii="Arial" w:hAnsi="Arial" w:cs="Arial"/>
          <w:iCs/>
        </w:rPr>
        <w:t>Rola</w:t>
      </w:r>
      <w:r w:rsidR="00ED71C3" w:rsidRPr="00ED71C3">
        <w:rPr>
          <w:rFonts w:ascii="Cambria Math" w:hAnsi="Cambria Math" w:cs="Cambria Math"/>
          <w:iCs/>
        </w:rPr>
        <w:t>‐</w:t>
      </w:r>
      <w:r w:rsidR="00ED71C3" w:rsidRPr="00ED71C3">
        <w:rPr>
          <w:rFonts w:ascii="Arial" w:hAnsi="Arial" w:cs="Arial"/>
          <w:iCs/>
        </w:rPr>
        <w:t>Rubzen</w:t>
      </w:r>
      <w:proofErr w:type="spellEnd"/>
      <w:r w:rsidR="00ED71C3" w:rsidRPr="00ED71C3">
        <w:rPr>
          <w:rFonts w:ascii="Arial" w:hAnsi="Arial" w:cs="Arial"/>
          <w:iCs/>
        </w:rPr>
        <w:t xml:space="preserve"> et al., 2020; Sulo </w:t>
      </w:r>
      <w:r w:rsidR="00ED71C3" w:rsidRPr="00ED71C3">
        <w:rPr>
          <w:rFonts w:ascii="Arial" w:hAnsi="Arial" w:cs="Arial"/>
          <w:iCs/>
        </w:rPr>
        <w:lastRenderedPageBreak/>
        <w:t>et al., 2012). Education emerges as a strong positive determinant of adoption, with each additional year of schooling increasing the probability of adopting ZEPT by 0.05. Various studies confirm that education enhances farmers’ ability to process technical information, evaluate risk, and adopt knowledge-intensive technologies. Ahmed and Ahmed (2023) and Michler et al. (2020) provide robust evidence that education significantly improves uptake of improved agricultural practices by lowering information and learning barriers. This is particularly relevant for mushroom cultivation, where compost quality management requires technical know-how of the process. Growers who depend primarily on mushroom cultivation as their main source of income were 0.33 times more likely to adopt ZEPT compared to those engaged mainly in conventional agriculture. This result aligns with recent findings that higher livelihood dependence on a specific enterprise increases incentives to invest in productivity-enhancing technologies (</w:t>
      </w:r>
      <w:proofErr w:type="spellStart"/>
      <w:r w:rsidR="00ED71C3" w:rsidRPr="00ED71C3">
        <w:rPr>
          <w:rFonts w:ascii="Arial" w:hAnsi="Arial" w:cs="Arial"/>
          <w:iCs/>
        </w:rPr>
        <w:t>Adjognon</w:t>
      </w:r>
      <w:proofErr w:type="spellEnd"/>
      <w:r w:rsidR="00ED71C3" w:rsidRPr="00ED71C3">
        <w:rPr>
          <w:rFonts w:ascii="Arial" w:hAnsi="Arial" w:cs="Arial"/>
          <w:iCs/>
        </w:rPr>
        <w:t xml:space="preserve"> et al., 2017). In the case of mushroom farming, adoption of ZEPT appears to be driven by the need to reduce production costs and stabilize returns in a high-input, high-risk enterprise.</w:t>
      </w:r>
    </w:p>
    <w:p w14:paraId="6C92CE24" w14:textId="0818E6E9" w:rsidR="003E4B78" w:rsidRPr="00910A68" w:rsidRDefault="00ED71C3" w:rsidP="003E4B78">
      <w:pPr>
        <w:pStyle w:val="Body"/>
        <w:spacing w:after="0"/>
        <w:rPr>
          <w:rFonts w:ascii="Arial" w:hAnsi="Arial" w:cs="Arial"/>
          <w:iCs/>
        </w:rPr>
      </w:pPr>
      <w:r w:rsidRPr="00ED71C3">
        <w:rPr>
          <w:rFonts w:ascii="Arial" w:hAnsi="Arial" w:cs="Arial"/>
          <w:iCs/>
        </w:rPr>
        <w:t>Training in mushroom cultivation significantly increased the likelihood of adoption by 0.28, underscoring the central role of extension and skill development. Recent empirical studies consistently show that access to training and advisory services remains one of the most important predictors of agricultural technology adoption, even in the presence of digital information sources (Anderson &amp; Feder, 2004). This is particularly relevant for composting-based technologies such as ZEPT, where hands-on training and demonstrations are critical for successful implementation. Overall, the findings suggest that ZEPT adoption is shaped not only by technical efficiency gains but also by human capital, enterprise specialization, and institutional support. Strengthening targeted training programmes, improving educational outreach, and encouraging women’s participation are therefore essential for scaling up ZEPT adoption among button mushroom growers in India.</w:t>
      </w:r>
    </w:p>
    <w:p w14:paraId="56FB3D87" w14:textId="3E5F3C88" w:rsidR="003E4B78" w:rsidRDefault="003E4B78" w:rsidP="003E4B78">
      <w:pPr>
        <w:pStyle w:val="Body"/>
        <w:spacing w:after="0"/>
        <w:rPr>
          <w:rFonts w:ascii="Arial" w:hAnsi="Arial" w:cs="Arial"/>
          <w:b/>
          <w:bCs/>
          <w:iCs/>
        </w:rPr>
      </w:pPr>
      <w:r w:rsidRPr="00910A68">
        <w:rPr>
          <w:rFonts w:ascii="Arial" w:hAnsi="Arial" w:cs="Arial"/>
          <w:b/>
          <w:bCs/>
          <w:iCs/>
        </w:rPr>
        <w:t xml:space="preserve">Table </w:t>
      </w:r>
      <w:r w:rsidR="00685C35">
        <w:rPr>
          <w:rFonts w:ascii="Arial" w:hAnsi="Arial" w:cs="Arial"/>
          <w:b/>
          <w:bCs/>
          <w:iCs/>
        </w:rPr>
        <w:t>6</w:t>
      </w:r>
      <w:r w:rsidRPr="00910A68">
        <w:rPr>
          <w:rFonts w:ascii="Arial" w:hAnsi="Arial" w:cs="Arial"/>
          <w:b/>
          <w:bCs/>
          <w:iCs/>
        </w:rPr>
        <w:t>. Determining the factors affecting the adoption of ZEPT composting technology</w:t>
      </w:r>
    </w:p>
    <w:p w14:paraId="7F744705" w14:textId="77777777" w:rsidR="003E4B78" w:rsidRPr="00910A68" w:rsidRDefault="003E4B78" w:rsidP="003E4B78">
      <w:pPr>
        <w:pStyle w:val="Body"/>
        <w:spacing w:after="0"/>
        <w:rPr>
          <w:rFonts w:ascii="Arial" w:hAnsi="Arial" w:cs="Arial"/>
          <w:b/>
          <w:bCs/>
          <w:iCs/>
        </w:rPr>
      </w:pPr>
    </w:p>
    <w:tbl>
      <w:tblPr>
        <w:tblW w:w="8603" w:type="dxa"/>
        <w:tblInd w:w="-72" w:type="dxa"/>
        <w:tblLook w:val="04A0" w:firstRow="1" w:lastRow="0" w:firstColumn="1" w:lastColumn="0" w:noHBand="0" w:noVBand="1"/>
      </w:tblPr>
      <w:tblGrid>
        <w:gridCol w:w="3073"/>
        <w:gridCol w:w="1613"/>
        <w:gridCol w:w="768"/>
        <w:gridCol w:w="845"/>
        <w:gridCol w:w="959"/>
        <w:gridCol w:w="1345"/>
      </w:tblGrid>
      <w:tr w:rsidR="003E4B78" w:rsidRPr="00910A68" w14:paraId="76C24628" w14:textId="77777777" w:rsidTr="00EB437A">
        <w:trPr>
          <w:trHeight w:val="265"/>
        </w:trPr>
        <w:tc>
          <w:tcPr>
            <w:tcW w:w="3073" w:type="dxa"/>
            <w:tcBorders>
              <w:top w:val="single" w:sz="4" w:space="0" w:color="auto"/>
              <w:bottom w:val="single" w:sz="4" w:space="0" w:color="auto"/>
            </w:tcBorders>
            <w:noWrap/>
            <w:vAlign w:val="bottom"/>
            <w:hideMark/>
          </w:tcPr>
          <w:p w14:paraId="2AD588FF" w14:textId="77777777" w:rsidR="003E4B78" w:rsidRPr="00910A68" w:rsidRDefault="003E4B78" w:rsidP="00B2252C">
            <w:pPr>
              <w:pStyle w:val="Body"/>
              <w:spacing w:after="0"/>
              <w:jc w:val="center"/>
              <w:rPr>
                <w:rFonts w:ascii="Arial" w:hAnsi="Arial" w:cs="Arial"/>
                <w:b/>
                <w:bCs/>
              </w:rPr>
            </w:pPr>
            <w:r w:rsidRPr="00910A68">
              <w:rPr>
                <w:rFonts w:ascii="Arial" w:hAnsi="Arial" w:cs="Arial"/>
                <w:b/>
                <w:bCs/>
              </w:rPr>
              <w:t>Variables</w:t>
            </w:r>
          </w:p>
        </w:tc>
        <w:tc>
          <w:tcPr>
            <w:tcW w:w="1613" w:type="dxa"/>
            <w:tcBorders>
              <w:top w:val="single" w:sz="4" w:space="0" w:color="auto"/>
              <w:bottom w:val="single" w:sz="4" w:space="0" w:color="auto"/>
            </w:tcBorders>
            <w:noWrap/>
            <w:vAlign w:val="bottom"/>
            <w:hideMark/>
          </w:tcPr>
          <w:p w14:paraId="5CF573FB"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Coefficient (s.e.)</w:t>
            </w:r>
          </w:p>
        </w:tc>
        <w:tc>
          <w:tcPr>
            <w:tcW w:w="768" w:type="dxa"/>
            <w:tcBorders>
              <w:top w:val="single" w:sz="4" w:space="0" w:color="auto"/>
              <w:bottom w:val="single" w:sz="4" w:space="0" w:color="auto"/>
            </w:tcBorders>
            <w:noWrap/>
            <w:vAlign w:val="bottom"/>
            <w:hideMark/>
          </w:tcPr>
          <w:p w14:paraId="4F6F39C0"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t</w:t>
            </w:r>
          </w:p>
        </w:tc>
        <w:tc>
          <w:tcPr>
            <w:tcW w:w="845" w:type="dxa"/>
            <w:tcBorders>
              <w:top w:val="single" w:sz="4" w:space="0" w:color="auto"/>
              <w:bottom w:val="single" w:sz="4" w:space="0" w:color="auto"/>
            </w:tcBorders>
            <w:noWrap/>
            <w:vAlign w:val="bottom"/>
            <w:hideMark/>
          </w:tcPr>
          <w:p w14:paraId="79076538"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P value</w:t>
            </w:r>
          </w:p>
        </w:tc>
        <w:tc>
          <w:tcPr>
            <w:tcW w:w="2304" w:type="dxa"/>
            <w:gridSpan w:val="2"/>
            <w:tcBorders>
              <w:top w:val="single" w:sz="4" w:space="0" w:color="auto"/>
              <w:bottom w:val="single" w:sz="4" w:space="0" w:color="auto"/>
            </w:tcBorders>
            <w:noWrap/>
            <w:vAlign w:val="bottom"/>
            <w:hideMark/>
          </w:tcPr>
          <w:p w14:paraId="2BC319D2"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95% Confidence Interval</w:t>
            </w:r>
          </w:p>
        </w:tc>
      </w:tr>
      <w:tr w:rsidR="003E4B78" w:rsidRPr="00910A68" w14:paraId="7D1121C2" w14:textId="77777777" w:rsidTr="00EB437A">
        <w:trPr>
          <w:trHeight w:val="265"/>
        </w:trPr>
        <w:tc>
          <w:tcPr>
            <w:tcW w:w="3073" w:type="dxa"/>
            <w:tcBorders>
              <w:top w:val="single" w:sz="4" w:space="0" w:color="auto"/>
              <w:right w:val="single" w:sz="4" w:space="0" w:color="auto"/>
            </w:tcBorders>
            <w:noWrap/>
            <w:vAlign w:val="bottom"/>
            <w:hideMark/>
          </w:tcPr>
          <w:p w14:paraId="160A6791" w14:textId="77777777" w:rsidR="003E4B78" w:rsidRPr="00910A68" w:rsidRDefault="003E4B78" w:rsidP="00D51369">
            <w:pPr>
              <w:pStyle w:val="Body"/>
              <w:spacing w:after="0"/>
              <w:rPr>
                <w:rFonts w:ascii="Arial" w:hAnsi="Arial" w:cs="Arial"/>
              </w:rPr>
            </w:pPr>
            <w:r w:rsidRPr="00910A68">
              <w:rPr>
                <w:rFonts w:ascii="Arial" w:hAnsi="Arial" w:cs="Arial"/>
              </w:rPr>
              <w:t>HH size</w:t>
            </w:r>
          </w:p>
        </w:tc>
        <w:tc>
          <w:tcPr>
            <w:tcW w:w="1613" w:type="dxa"/>
            <w:tcBorders>
              <w:top w:val="single" w:sz="4" w:space="0" w:color="auto"/>
              <w:left w:val="single" w:sz="4" w:space="0" w:color="auto"/>
            </w:tcBorders>
            <w:noWrap/>
            <w:vAlign w:val="bottom"/>
            <w:hideMark/>
          </w:tcPr>
          <w:p w14:paraId="2833E30B" w14:textId="77777777" w:rsidR="003E4B78" w:rsidRPr="00910A68" w:rsidRDefault="003E4B78" w:rsidP="00B2252C">
            <w:pPr>
              <w:pStyle w:val="Body"/>
              <w:spacing w:after="0"/>
              <w:jc w:val="center"/>
              <w:rPr>
                <w:rFonts w:ascii="Arial" w:hAnsi="Arial" w:cs="Arial"/>
              </w:rPr>
            </w:pPr>
            <w:r w:rsidRPr="00910A68">
              <w:rPr>
                <w:rFonts w:ascii="Arial" w:hAnsi="Arial" w:cs="Arial"/>
              </w:rPr>
              <w:t>-0.039 (0.032)</w:t>
            </w:r>
          </w:p>
        </w:tc>
        <w:tc>
          <w:tcPr>
            <w:tcW w:w="768" w:type="dxa"/>
            <w:tcBorders>
              <w:top w:val="single" w:sz="4" w:space="0" w:color="auto"/>
            </w:tcBorders>
            <w:noWrap/>
            <w:vAlign w:val="bottom"/>
            <w:hideMark/>
          </w:tcPr>
          <w:p w14:paraId="6999EDC4" w14:textId="77777777" w:rsidR="003E4B78" w:rsidRPr="00910A68" w:rsidRDefault="003E4B78" w:rsidP="00B2252C">
            <w:pPr>
              <w:pStyle w:val="Body"/>
              <w:spacing w:after="0"/>
              <w:jc w:val="center"/>
              <w:rPr>
                <w:rFonts w:ascii="Arial" w:hAnsi="Arial" w:cs="Arial"/>
              </w:rPr>
            </w:pPr>
            <w:r w:rsidRPr="00910A68">
              <w:rPr>
                <w:rFonts w:ascii="Arial" w:hAnsi="Arial" w:cs="Arial"/>
              </w:rPr>
              <w:t>-1.210</w:t>
            </w:r>
          </w:p>
        </w:tc>
        <w:tc>
          <w:tcPr>
            <w:tcW w:w="845" w:type="dxa"/>
            <w:tcBorders>
              <w:top w:val="single" w:sz="4" w:space="0" w:color="auto"/>
            </w:tcBorders>
            <w:noWrap/>
            <w:vAlign w:val="bottom"/>
            <w:hideMark/>
          </w:tcPr>
          <w:p w14:paraId="51437110" w14:textId="77777777" w:rsidR="003E4B78" w:rsidRPr="00910A68" w:rsidRDefault="003E4B78" w:rsidP="00B2252C">
            <w:pPr>
              <w:pStyle w:val="Body"/>
              <w:spacing w:after="0"/>
              <w:jc w:val="center"/>
              <w:rPr>
                <w:rFonts w:ascii="Arial" w:hAnsi="Arial" w:cs="Arial"/>
              </w:rPr>
            </w:pPr>
            <w:r w:rsidRPr="00910A68">
              <w:rPr>
                <w:rFonts w:ascii="Arial" w:hAnsi="Arial" w:cs="Arial"/>
              </w:rPr>
              <w:t>0.234</w:t>
            </w:r>
          </w:p>
        </w:tc>
        <w:tc>
          <w:tcPr>
            <w:tcW w:w="959" w:type="dxa"/>
            <w:tcBorders>
              <w:top w:val="single" w:sz="4" w:space="0" w:color="auto"/>
            </w:tcBorders>
            <w:noWrap/>
            <w:vAlign w:val="bottom"/>
            <w:hideMark/>
          </w:tcPr>
          <w:p w14:paraId="23554C21" w14:textId="77777777" w:rsidR="003E4B78" w:rsidRPr="00910A68" w:rsidRDefault="003E4B78" w:rsidP="00B2252C">
            <w:pPr>
              <w:pStyle w:val="Body"/>
              <w:spacing w:after="0"/>
              <w:jc w:val="center"/>
              <w:rPr>
                <w:rFonts w:ascii="Arial" w:hAnsi="Arial" w:cs="Arial"/>
              </w:rPr>
            </w:pPr>
            <w:r w:rsidRPr="00910A68">
              <w:rPr>
                <w:rFonts w:ascii="Arial" w:hAnsi="Arial" w:cs="Arial"/>
              </w:rPr>
              <w:t>-0.103</w:t>
            </w:r>
          </w:p>
        </w:tc>
        <w:tc>
          <w:tcPr>
            <w:tcW w:w="1345" w:type="dxa"/>
            <w:tcBorders>
              <w:top w:val="single" w:sz="4" w:space="0" w:color="auto"/>
            </w:tcBorders>
            <w:noWrap/>
            <w:vAlign w:val="bottom"/>
            <w:hideMark/>
          </w:tcPr>
          <w:p w14:paraId="1A56553F" w14:textId="77777777" w:rsidR="003E4B78" w:rsidRPr="00910A68" w:rsidRDefault="003E4B78" w:rsidP="00B2252C">
            <w:pPr>
              <w:pStyle w:val="Body"/>
              <w:spacing w:after="0"/>
              <w:jc w:val="center"/>
              <w:rPr>
                <w:rFonts w:ascii="Arial" w:hAnsi="Arial" w:cs="Arial"/>
              </w:rPr>
            </w:pPr>
            <w:r w:rsidRPr="00910A68">
              <w:rPr>
                <w:rFonts w:ascii="Arial" w:hAnsi="Arial" w:cs="Arial"/>
              </w:rPr>
              <w:t>0.026</w:t>
            </w:r>
          </w:p>
        </w:tc>
      </w:tr>
      <w:tr w:rsidR="003E4B78" w:rsidRPr="00910A68" w14:paraId="591895CC" w14:textId="77777777" w:rsidTr="00EB437A">
        <w:trPr>
          <w:trHeight w:val="265"/>
        </w:trPr>
        <w:tc>
          <w:tcPr>
            <w:tcW w:w="3073" w:type="dxa"/>
            <w:tcBorders>
              <w:right w:val="single" w:sz="4" w:space="0" w:color="auto"/>
            </w:tcBorders>
            <w:noWrap/>
            <w:vAlign w:val="bottom"/>
          </w:tcPr>
          <w:p w14:paraId="15490172" w14:textId="77777777" w:rsidR="003E4B78" w:rsidRPr="00910A68" w:rsidRDefault="003E4B78" w:rsidP="00D51369">
            <w:pPr>
              <w:pStyle w:val="Body"/>
              <w:spacing w:after="0"/>
              <w:rPr>
                <w:rFonts w:ascii="Arial" w:hAnsi="Arial" w:cs="Arial"/>
              </w:rPr>
            </w:pPr>
            <w:r w:rsidRPr="00910A68">
              <w:rPr>
                <w:rFonts w:ascii="Arial" w:hAnsi="Arial" w:cs="Arial"/>
              </w:rPr>
              <w:t>Social group (Base: General)</w:t>
            </w:r>
          </w:p>
        </w:tc>
        <w:tc>
          <w:tcPr>
            <w:tcW w:w="1613" w:type="dxa"/>
            <w:tcBorders>
              <w:left w:val="single" w:sz="4" w:space="0" w:color="auto"/>
            </w:tcBorders>
            <w:noWrap/>
            <w:vAlign w:val="bottom"/>
          </w:tcPr>
          <w:p w14:paraId="2CC93088" w14:textId="77777777" w:rsidR="003E4B78" w:rsidRPr="00910A68" w:rsidRDefault="003E4B78" w:rsidP="00B2252C">
            <w:pPr>
              <w:pStyle w:val="Body"/>
              <w:spacing w:after="0"/>
              <w:jc w:val="center"/>
              <w:rPr>
                <w:rFonts w:ascii="Arial" w:hAnsi="Arial" w:cs="Arial"/>
              </w:rPr>
            </w:pPr>
          </w:p>
        </w:tc>
        <w:tc>
          <w:tcPr>
            <w:tcW w:w="768" w:type="dxa"/>
            <w:noWrap/>
            <w:vAlign w:val="bottom"/>
          </w:tcPr>
          <w:p w14:paraId="3D579B23" w14:textId="77777777" w:rsidR="003E4B78" w:rsidRPr="00910A68" w:rsidRDefault="003E4B78" w:rsidP="00B2252C">
            <w:pPr>
              <w:pStyle w:val="Body"/>
              <w:spacing w:after="0"/>
              <w:jc w:val="center"/>
              <w:rPr>
                <w:rFonts w:ascii="Arial" w:hAnsi="Arial" w:cs="Arial"/>
              </w:rPr>
            </w:pPr>
          </w:p>
        </w:tc>
        <w:tc>
          <w:tcPr>
            <w:tcW w:w="845" w:type="dxa"/>
            <w:noWrap/>
            <w:vAlign w:val="bottom"/>
          </w:tcPr>
          <w:p w14:paraId="64E75D5D" w14:textId="77777777" w:rsidR="003E4B78" w:rsidRPr="00910A68" w:rsidRDefault="003E4B78" w:rsidP="00B2252C">
            <w:pPr>
              <w:pStyle w:val="Body"/>
              <w:spacing w:after="0"/>
              <w:jc w:val="center"/>
              <w:rPr>
                <w:rFonts w:ascii="Arial" w:hAnsi="Arial" w:cs="Arial"/>
              </w:rPr>
            </w:pPr>
          </w:p>
        </w:tc>
        <w:tc>
          <w:tcPr>
            <w:tcW w:w="959" w:type="dxa"/>
            <w:noWrap/>
            <w:vAlign w:val="bottom"/>
          </w:tcPr>
          <w:p w14:paraId="1AF595D9" w14:textId="77777777" w:rsidR="003E4B78" w:rsidRPr="00910A68" w:rsidRDefault="003E4B78" w:rsidP="00B2252C">
            <w:pPr>
              <w:pStyle w:val="Body"/>
              <w:spacing w:after="0"/>
              <w:jc w:val="center"/>
              <w:rPr>
                <w:rFonts w:ascii="Arial" w:hAnsi="Arial" w:cs="Arial"/>
              </w:rPr>
            </w:pPr>
          </w:p>
        </w:tc>
        <w:tc>
          <w:tcPr>
            <w:tcW w:w="1345" w:type="dxa"/>
            <w:noWrap/>
            <w:vAlign w:val="bottom"/>
          </w:tcPr>
          <w:p w14:paraId="5A82703C" w14:textId="77777777" w:rsidR="003E4B78" w:rsidRPr="00910A68" w:rsidRDefault="003E4B78" w:rsidP="00B2252C">
            <w:pPr>
              <w:pStyle w:val="Body"/>
              <w:spacing w:after="0"/>
              <w:jc w:val="center"/>
              <w:rPr>
                <w:rFonts w:ascii="Arial" w:hAnsi="Arial" w:cs="Arial"/>
              </w:rPr>
            </w:pPr>
          </w:p>
        </w:tc>
      </w:tr>
      <w:tr w:rsidR="003E4B78" w:rsidRPr="00910A68" w14:paraId="11E1453F" w14:textId="77777777" w:rsidTr="00EB437A">
        <w:trPr>
          <w:trHeight w:val="265"/>
        </w:trPr>
        <w:tc>
          <w:tcPr>
            <w:tcW w:w="3073" w:type="dxa"/>
            <w:tcBorders>
              <w:right w:val="single" w:sz="4" w:space="0" w:color="auto"/>
            </w:tcBorders>
            <w:noWrap/>
            <w:vAlign w:val="bottom"/>
            <w:hideMark/>
          </w:tcPr>
          <w:p w14:paraId="1F379172" w14:textId="77777777" w:rsidR="003E4B78" w:rsidRPr="00910A68" w:rsidRDefault="003E4B78" w:rsidP="00D51369">
            <w:pPr>
              <w:pStyle w:val="Body"/>
              <w:spacing w:after="0"/>
              <w:rPr>
                <w:rFonts w:ascii="Arial" w:hAnsi="Arial" w:cs="Arial"/>
              </w:rPr>
            </w:pPr>
            <w:r w:rsidRPr="00910A68">
              <w:rPr>
                <w:rFonts w:ascii="Arial" w:hAnsi="Arial" w:cs="Arial"/>
              </w:rPr>
              <w:t xml:space="preserve"> OBC</w:t>
            </w:r>
          </w:p>
        </w:tc>
        <w:tc>
          <w:tcPr>
            <w:tcW w:w="1613" w:type="dxa"/>
            <w:tcBorders>
              <w:left w:val="single" w:sz="4" w:space="0" w:color="auto"/>
            </w:tcBorders>
            <w:noWrap/>
            <w:vAlign w:val="bottom"/>
            <w:hideMark/>
          </w:tcPr>
          <w:p w14:paraId="31D39031" w14:textId="77777777" w:rsidR="003E4B78" w:rsidRPr="00910A68" w:rsidRDefault="003E4B78" w:rsidP="00B2252C">
            <w:pPr>
              <w:pStyle w:val="Body"/>
              <w:spacing w:after="0"/>
              <w:jc w:val="center"/>
              <w:rPr>
                <w:rFonts w:ascii="Arial" w:hAnsi="Arial" w:cs="Arial"/>
              </w:rPr>
            </w:pPr>
            <w:r w:rsidRPr="00910A68">
              <w:rPr>
                <w:rFonts w:ascii="Arial" w:hAnsi="Arial" w:cs="Arial"/>
              </w:rPr>
              <w:t>0.012 (0.129)</w:t>
            </w:r>
          </w:p>
        </w:tc>
        <w:tc>
          <w:tcPr>
            <w:tcW w:w="768" w:type="dxa"/>
            <w:noWrap/>
            <w:vAlign w:val="bottom"/>
            <w:hideMark/>
          </w:tcPr>
          <w:p w14:paraId="1C4F701C" w14:textId="77777777" w:rsidR="003E4B78" w:rsidRPr="00910A68" w:rsidRDefault="003E4B78" w:rsidP="00B2252C">
            <w:pPr>
              <w:pStyle w:val="Body"/>
              <w:spacing w:after="0"/>
              <w:jc w:val="center"/>
              <w:rPr>
                <w:rFonts w:ascii="Arial" w:hAnsi="Arial" w:cs="Arial"/>
              </w:rPr>
            </w:pPr>
            <w:r w:rsidRPr="00910A68">
              <w:rPr>
                <w:rFonts w:ascii="Arial" w:hAnsi="Arial" w:cs="Arial"/>
              </w:rPr>
              <w:t>0.100</w:t>
            </w:r>
          </w:p>
        </w:tc>
        <w:tc>
          <w:tcPr>
            <w:tcW w:w="845" w:type="dxa"/>
            <w:noWrap/>
            <w:vAlign w:val="bottom"/>
            <w:hideMark/>
          </w:tcPr>
          <w:p w14:paraId="2E8CA083" w14:textId="77777777" w:rsidR="003E4B78" w:rsidRPr="00910A68" w:rsidRDefault="003E4B78" w:rsidP="00B2252C">
            <w:pPr>
              <w:pStyle w:val="Body"/>
              <w:spacing w:after="0"/>
              <w:jc w:val="center"/>
              <w:rPr>
                <w:rFonts w:ascii="Arial" w:hAnsi="Arial" w:cs="Arial"/>
              </w:rPr>
            </w:pPr>
            <w:r w:rsidRPr="00910A68">
              <w:rPr>
                <w:rFonts w:ascii="Arial" w:hAnsi="Arial" w:cs="Arial"/>
              </w:rPr>
              <w:t>0.924</w:t>
            </w:r>
          </w:p>
        </w:tc>
        <w:tc>
          <w:tcPr>
            <w:tcW w:w="959" w:type="dxa"/>
            <w:noWrap/>
            <w:vAlign w:val="bottom"/>
            <w:hideMark/>
          </w:tcPr>
          <w:p w14:paraId="63F6A039" w14:textId="77777777" w:rsidR="003E4B78" w:rsidRPr="00910A68" w:rsidRDefault="003E4B78" w:rsidP="00B2252C">
            <w:pPr>
              <w:pStyle w:val="Body"/>
              <w:spacing w:after="0"/>
              <w:jc w:val="center"/>
              <w:rPr>
                <w:rFonts w:ascii="Arial" w:hAnsi="Arial" w:cs="Arial"/>
              </w:rPr>
            </w:pPr>
            <w:r w:rsidRPr="00910A68">
              <w:rPr>
                <w:rFonts w:ascii="Arial" w:hAnsi="Arial" w:cs="Arial"/>
              </w:rPr>
              <w:t>-0.250</w:t>
            </w:r>
          </w:p>
        </w:tc>
        <w:tc>
          <w:tcPr>
            <w:tcW w:w="1345" w:type="dxa"/>
            <w:noWrap/>
            <w:vAlign w:val="bottom"/>
            <w:hideMark/>
          </w:tcPr>
          <w:p w14:paraId="076D945C" w14:textId="77777777" w:rsidR="003E4B78" w:rsidRPr="00910A68" w:rsidRDefault="003E4B78" w:rsidP="00B2252C">
            <w:pPr>
              <w:pStyle w:val="Body"/>
              <w:spacing w:after="0"/>
              <w:jc w:val="center"/>
              <w:rPr>
                <w:rFonts w:ascii="Arial" w:hAnsi="Arial" w:cs="Arial"/>
              </w:rPr>
            </w:pPr>
            <w:r w:rsidRPr="00910A68">
              <w:rPr>
                <w:rFonts w:ascii="Arial" w:hAnsi="Arial" w:cs="Arial"/>
              </w:rPr>
              <w:t>0.275</w:t>
            </w:r>
          </w:p>
        </w:tc>
      </w:tr>
      <w:tr w:rsidR="003E4B78" w:rsidRPr="00910A68" w14:paraId="1EFEA7D1" w14:textId="77777777" w:rsidTr="00EB437A">
        <w:trPr>
          <w:trHeight w:val="265"/>
        </w:trPr>
        <w:tc>
          <w:tcPr>
            <w:tcW w:w="3073" w:type="dxa"/>
            <w:tcBorders>
              <w:right w:val="single" w:sz="4" w:space="0" w:color="auto"/>
            </w:tcBorders>
            <w:noWrap/>
            <w:vAlign w:val="bottom"/>
            <w:hideMark/>
          </w:tcPr>
          <w:p w14:paraId="0A2A41BB" w14:textId="77777777" w:rsidR="003E4B78" w:rsidRPr="00910A68" w:rsidRDefault="003E4B78" w:rsidP="00D51369">
            <w:pPr>
              <w:pStyle w:val="Body"/>
              <w:spacing w:after="0"/>
              <w:rPr>
                <w:rFonts w:ascii="Arial" w:hAnsi="Arial" w:cs="Arial"/>
              </w:rPr>
            </w:pPr>
            <w:r w:rsidRPr="00910A68">
              <w:rPr>
                <w:rFonts w:ascii="Arial" w:hAnsi="Arial" w:cs="Arial"/>
              </w:rPr>
              <w:t>SC/ST</w:t>
            </w:r>
          </w:p>
        </w:tc>
        <w:tc>
          <w:tcPr>
            <w:tcW w:w="1613" w:type="dxa"/>
            <w:tcBorders>
              <w:left w:val="single" w:sz="4" w:space="0" w:color="auto"/>
            </w:tcBorders>
            <w:noWrap/>
            <w:vAlign w:val="bottom"/>
            <w:hideMark/>
          </w:tcPr>
          <w:p w14:paraId="12284D1F" w14:textId="77777777" w:rsidR="003E4B78" w:rsidRPr="00910A68" w:rsidRDefault="003E4B78" w:rsidP="00B2252C">
            <w:pPr>
              <w:pStyle w:val="Body"/>
              <w:spacing w:after="0"/>
              <w:jc w:val="center"/>
              <w:rPr>
                <w:rFonts w:ascii="Arial" w:hAnsi="Arial" w:cs="Arial"/>
              </w:rPr>
            </w:pPr>
            <w:r w:rsidRPr="00910A68">
              <w:rPr>
                <w:rFonts w:ascii="Arial" w:hAnsi="Arial" w:cs="Arial"/>
              </w:rPr>
              <w:t>0.046 (0.126)</w:t>
            </w:r>
          </w:p>
        </w:tc>
        <w:tc>
          <w:tcPr>
            <w:tcW w:w="768" w:type="dxa"/>
            <w:noWrap/>
            <w:vAlign w:val="bottom"/>
            <w:hideMark/>
          </w:tcPr>
          <w:p w14:paraId="2F235BDB" w14:textId="77777777" w:rsidR="003E4B78" w:rsidRPr="00910A68" w:rsidRDefault="003E4B78" w:rsidP="00B2252C">
            <w:pPr>
              <w:pStyle w:val="Body"/>
              <w:spacing w:after="0"/>
              <w:jc w:val="center"/>
              <w:rPr>
                <w:rFonts w:ascii="Arial" w:hAnsi="Arial" w:cs="Arial"/>
              </w:rPr>
            </w:pPr>
            <w:r w:rsidRPr="00910A68">
              <w:rPr>
                <w:rFonts w:ascii="Arial" w:hAnsi="Arial" w:cs="Arial"/>
              </w:rPr>
              <w:t>0.370</w:t>
            </w:r>
          </w:p>
        </w:tc>
        <w:tc>
          <w:tcPr>
            <w:tcW w:w="845" w:type="dxa"/>
            <w:noWrap/>
            <w:vAlign w:val="bottom"/>
            <w:hideMark/>
          </w:tcPr>
          <w:p w14:paraId="7A879FDF" w14:textId="77777777" w:rsidR="003E4B78" w:rsidRPr="00910A68" w:rsidRDefault="003E4B78" w:rsidP="00B2252C">
            <w:pPr>
              <w:pStyle w:val="Body"/>
              <w:spacing w:after="0"/>
              <w:jc w:val="center"/>
              <w:rPr>
                <w:rFonts w:ascii="Arial" w:hAnsi="Arial" w:cs="Arial"/>
              </w:rPr>
            </w:pPr>
            <w:r w:rsidRPr="00910A68">
              <w:rPr>
                <w:rFonts w:ascii="Arial" w:hAnsi="Arial" w:cs="Arial"/>
              </w:rPr>
              <w:t>0.716</w:t>
            </w:r>
          </w:p>
        </w:tc>
        <w:tc>
          <w:tcPr>
            <w:tcW w:w="959" w:type="dxa"/>
            <w:noWrap/>
            <w:vAlign w:val="bottom"/>
            <w:hideMark/>
          </w:tcPr>
          <w:p w14:paraId="400D1A82" w14:textId="77777777" w:rsidR="003E4B78" w:rsidRPr="00910A68" w:rsidRDefault="003E4B78" w:rsidP="00B2252C">
            <w:pPr>
              <w:pStyle w:val="Body"/>
              <w:spacing w:after="0"/>
              <w:jc w:val="center"/>
              <w:rPr>
                <w:rFonts w:ascii="Arial" w:hAnsi="Arial" w:cs="Arial"/>
              </w:rPr>
            </w:pPr>
            <w:r w:rsidRPr="00910A68">
              <w:rPr>
                <w:rFonts w:ascii="Arial" w:hAnsi="Arial" w:cs="Arial"/>
              </w:rPr>
              <w:t>-0.210</w:t>
            </w:r>
          </w:p>
        </w:tc>
        <w:tc>
          <w:tcPr>
            <w:tcW w:w="1345" w:type="dxa"/>
            <w:noWrap/>
            <w:vAlign w:val="bottom"/>
            <w:hideMark/>
          </w:tcPr>
          <w:p w14:paraId="51BEC7AA" w14:textId="77777777" w:rsidR="003E4B78" w:rsidRPr="00910A68" w:rsidRDefault="003E4B78" w:rsidP="00B2252C">
            <w:pPr>
              <w:pStyle w:val="Body"/>
              <w:spacing w:after="0"/>
              <w:jc w:val="center"/>
              <w:rPr>
                <w:rFonts w:ascii="Arial" w:hAnsi="Arial" w:cs="Arial"/>
              </w:rPr>
            </w:pPr>
            <w:r w:rsidRPr="00910A68">
              <w:rPr>
                <w:rFonts w:ascii="Arial" w:hAnsi="Arial" w:cs="Arial"/>
              </w:rPr>
              <w:t>0.303</w:t>
            </w:r>
          </w:p>
        </w:tc>
      </w:tr>
      <w:tr w:rsidR="003E4B78" w:rsidRPr="00910A68" w14:paraId="5918CCC6" w14:textId="77777777" w:rsidTr="00EB437A">
        <w:trPr>
          <w:trHeight w:val="265"/>
        </w:trPr>
        <w:tc>
          <w:tcPr>
            <w:tcW w:w="3073" w:type="dxa"/>
            <w:tcBorders>
              <w:right w:val="single" w:sz="4" w:space="0" w:color="auto"/>
            </w:tcBorders>
            <w:noWrap/>
            <w:vAlign w:val="bottom"/>
            <w:hideMark/>
          </w:tcPr>
          <w:p w14:paraId="2A78B559" w14:textId="77777777" w:rsidR="003E4B78" w:rsidRPr="00910A68" w:rsidRDefault="003E4B78" w:rsidP="00D51369">
            <w:pPr>
              <w:pStyle w:val="Body"/>
              <w:spacing w:after="0"/>
              <w:rPr>
                <w:rFonts w:ascii="Arial" w:hAnsi="Arial" w:cs="Arial"/>
              </w:rPr>
            </w:pPr>
            <w:r w:rsidRPr="00910A68">
              <w:rPr>
                <w:rFonts w:ascii="Arial" w:hAnsi="Arial" w:cs="Arial"/>
              </w:rPr>
              <w:t>Sex (Base: Male)</w:t>
            </w:r>
          </w:p>
        </w:tc>
        <w:tc>
          <w:tcPr>
            <w:tcW w:w="1613" w:type="dxa"/>
            <w:tcBorders>
              <w:left w:val="single" w:sz="4" w:space="0" w:color="auto"/>
            </w:tcBorders>
            <w:noWrap/>
            <w:vAlign w:val="bottom"/>
            <w:hideMark/>
          </w:tcPr>
          <w:p w14:paraId="73D1E88D" w14:textId="77777777" w:rsidR="003E4B78" w:rsidRPr="00910A68" w:rsidRDefault="003E4B78" w:rsidP="00B2252C">
            <w:pPr>
              <w:pStyle w:val="Body"/>
              <w:spacing w:after="0"/>
              <w:jc w:val="center"/>
              <w:rPr>
                <w:rFonts w:ascii="Arial" w:hAnsi="Arial" w:cs="Arial"/>
              </w:rPr>
            </w:pPr>
            <w:r w:rsidRPr="00910A68">
              <w:rPr>
                <w:rFonts w:ascii="Arial" w:hAnsi="Arial" w:cs="Arial"/>
              </w:rPr>
              <w:t>0.266* (0.123)</w:t>
            </w:r>
          </w:p>
        </w:tc>
        <w:tc>
          <w:tcPr>
            <w:tcW w:w="768" w:type="dxa"/>
            <w:noWrap/>
            <w:vAlign w:val="bottom"/>
            <w:hideMark/>
          </w:tcPr>
          <w:p w14:paraId="56D36587" w14:textId="77777777" w:rsidR="003E4B78" w:rsidRPr="00910A68" w:rsidRDefault="003E4B78" w:rsidP="00B2252C">
            <w:pPr>
              <w:pStyle w:val="Body"/>
              <w:spacing w:after="0"/>
              <w:jc w:val="center"/>
              <w:rPr>
                <w:rFonts w:ascii="Arial" w:hAnsi="Arial" w:cs="Arial"/>
              </w:rPr>
            </w:pPr>
            <w:r w:rsidRPr="00910A68">
              <w:rPr>
                <w:rFonts w:ascii="Arial" w:hAnsi="Arial" w:cs="Arial"/>
              </w:rPr>
              <w:t>2.160</w:t>
            </w:r>
          </w:p>
        </w:tc>
        <w:tc>
          <w:tcPr>
            <w:tcW w:w="845" w:type="dxa"/>
            <w:noWrap/>
            <w:vAlign w:val="bottom"/>
            <w:hideMark/>
          </w:tcPr>
          <w:p w14:paraId="06EAD313" w14:textId="77777777" w:rsidR="003E4B78" w:rsidRPr="00910A68" w:rsidRDefault="003E4B78" w:rsidP="00B2252C">
            <w:pPr>
              <w:pStyle w:val="Body"/>
              <w:spacing w:after="0"/>
              <w:jc w:val="center"/>
              <w:rPr>
                <w:rFonts w:ascii="Arial" w:hAnsi="Arial" w:cs="Arial"/>
              </w:rPr>
            </w:pPr>
            <w:r w:rsidRPr="00910A68">
              <w:rPr>
                <w:rFonts w:ascii="Arial" w:hAnsi="Arial" w:cs="Arial"/>
              </w:rPr>
              <w:t>0.039</w:t>
            </w:r>
          </w:p>
        </w:tc>
        <w:tc>
          <w:tcPr>
            <w:tcW w:w="959" w:type="dxa"/>
            <w:noWrap/>
            <w:vAlign w:val="bottom"/>
            <w:hideMark/>
          </w:tcPr>
          <w:p w14:paraId="79B02A02" w14:textId="77777777" w:rsidR="003E4B78" w:rsidRPr="00910A68" w:rsidRDefault="003E4B78" w:rsidP="00B2252C">
            <w:pPr>
              <w:pStyle w:val="Body"/>
              <w:spacing w:after="0"/>
              <w:jc w:val="center"/>
              <w:rPr>
                <w:rFonts w:ascii="Arial" w:hAnsi="Arial" w:cs="Arial"/>
              </w:rPr>
            </w:pPr>
            <w:r w:rsidRPr="00910A68">
              <w:rPr>
                <w:rFonts w:ascii="Arial" w:hAnsi="Arial" w:cs="Arial"/>
              </w:rPr>
              <w:t>0.014</w:t>
            </w:r>
          </w:p>
        </w:tc>
        <w:tc>
          <w:tcPr>
            <w:tcW w:w="1345" w:type="dxa"/>
            <w:noWrap/>
            <w:vAlign w:val="bottom"/>
            <w:hideMark/>
          </w:tcPr>
          <w:p w14:paraId="76489213" w14:textId="77777777" w:rsidR="003E4B78" w:rsidRPr="00910A68" w:rsidRDefault="003E4B78" w:rsidP="00B2252C">
            <w:pPr>
              <w:pStyle w:val="Body"/>
              <w:spacing w:after="0"/>
              <w:jc w:val="center"/>
              <w:rPr>
                <w:rFonts w:ascii="Arial" w:hAnsi="Arial" w:cs="Arial"/>
              </w:rPr>
            </w:pPr>
            <w:r w:rsidRPr="00910A68">
              <w:rPr>
                <w:rFonts w:ascii="Arial" w:hAnsi="Arial" w:cs="Arial"/>
              </w:rPr>
              <w:t>0.518</w:t>
            </w:r>
          </w:p>
        </w:tc>
      </w:tr>
      <w:tr w:rsidR="003E4B78" w:rsidRPr="00910A68" w14:paraId="526598B1" w14:textId="77777777" w:rsidTr="00EB437A">
        <w:trPr>
          <w:trHeight w:val="265"/>
        </w:trPr>
        <w:tc>
          <w:tcPr>
            <w:tcW w:w="3073" w:type="dxa"/>
            <w:tcBorders>
              <w:right w:val="single" w:sz="4" w:space="0" w:color="auto"/>
            </w:tcBorders>
            <w:noWrap/>
            <w:vAlign w:val="bottom"/>
            <w:hideMark/>
          </w:tcPr>
          <w:p w14:paraId="2774BB19" w14:textId="77777777" w:rsidR="003E4B78" w:rsidRPr="00910A68" w:rsidRDefault="003E4B78" w:rsidP="00D51369">
            <w:pPr>
              <w:pStyle w:val="Body"/>
              <w:spacing w:after="0"/>
              <w:rPr>
                <w:rFonts w:ascii="Arial" w:hAnsi="Arial" w:cs="Arial"/>
              </w:rPr>
            </w:pPr>
            <w:r w:rsidRPr="00910A68">
              <w:rPr>
                <w:rFonts w:ascii="Arial" w:hAnsi="Arial" w:cs="Arial"/>
              </w:rPr>
              <w:t xml:space="preserve">Education (years)  </w:t>
            </w:r>
          </w:p>
        </w:tc>
        <w:tc>
          <w:tcPr>
            <w:tcW w:w="1613" w:type="dxa"/>
            <w:tcBorders>
              <w:left w:val="single" w:sz="4" w:space="0" w:color="auto"/>
            </w:tcBorders>
            <w:noWrap/>
            <w:vAlign w:val="bottom"/>
            <w:hideMark/>
          </w:tcPr>
          <w:p w14:paraId="443A6887" w14:textId="77777777" w:rsidR="003E4B78" w:rsidRPr="00910A68" w:rsidRDefault="003E4B78" w:rsidP="00B2252C">
            <w:pPr>
              <w:pStyle w:val="Body"/>
              <w:spacing w:after="0"/>
              <w:jc w:val="center"/>
              <w:rPr>
                <w:rFonts w:ascii="Arial" w:hAnsi="Arial" w:cs="Arial"/>
              </w:rPr>
            </w:pPr>
            <w:r w:rsidRPr="00910A68">
              <w:rPr>
                <w:rFonts w:ascii="Arial" w:hAnsi="Arial" w:cs="Arial"/>
              </w:rPr>
              <w:t>0.054** (0.018)</w:t>
            </w:r>
          </w:p>
        </w:tc>
        <w:tc>
          <w:tcPr>
            <w:tcW w:w="768" w:type="dxa"/>
            <w:noWrap/>
            <w:vAlign w:val="bottom"/>
            <w:hideMark/>
          </w:tcPr>
          <w:p w14:paraId="0FC8D099" w14:textId="77777777" w:rsidR="003E4B78" w:rsidRPr="00910A68" w:rsidRDefault="003E4B78" w:rsidP="00B2252C">
            <w:pPr>
              <w:pStyle w:val="Body"/>
              <w:spacing w:after="0"/>
              <w:jc w:val="center"/>
              <w:rPr>
                <w:rFonts w:ascii="Arial" w:hAnsi="Arial" w:cs="Arial"/>
              </w:rPr>
            </w:pPr>
            <w:r w:rsidRPr="00910A68">
              <w:rPr>
                <w:rFonts w:ascii="Arial" w:hAnsi="Arial" w:cs="Arial"/>
              </w:rPr>
              <w:t>3.010</w:t>
            </w:r>
          </w:p>
        </w:tc>
        <w:tc>
          <w:tcPr>
            <w:tcW w:w="845" w:type="dxa"/>
            <w:noWrap/>
            <w:vAlign w:val="bottom"/>
            <w:hideMark/>
          </w:tcPr>
          <w:p w14:paraId="25F730FC" w14:textId="77777777" w:rsidR="003E4B78" w:rsidRPr="00910A68" w:rsidRDefault="003E4B78" w:rsidP="00B2252C">
            <w:pPr>
              <w:pStyle w:val="Body"/>
              <w:spacing w:after="0"/>
              <w:jc w:val="center"/>
              <w:rPr>
                <w:rFonts w:ascii="Arial" w:hAnsi="Arial" w:cs="Arial"/>
              </w:rPr>
            </w:pPr>
            <w:r w:rsidRPr="00910A68">
              <w:rPr>
                <w:rFonts w:ascii="Arial" w:hAnsi="Arial" w:cs="Arial"/>
              </w:rPr>
              <w:t>0.005</w:t>
            </w:r>
          </w:p>
        </w:tc>
        <w:tc>
          <w:tcPr>
            <w:tcW w:w="959" w:type="dxa"/>
            <w:noWrap/>
            <w:vAlign w:val="bottom"/>
            <w:hideMark/>
          </w:tcPr>
          <w:p w14:paraId="171EFE41" w14:textId="77777777" w:rsidR="003E4B78" w:rsidRPr="00910A68" w:rsidRDefault="003E4B78" w:rsidP="00B2252C">
            <w:pPr>
              <w:pStyle w:val="Body"/>
              <w:spacing w:after="0"/>
              <w:jc w:val="center"/>
              <w:rPr>
                <w:rFonts w:ascii="Arial" w:hAnsi="Arial" w:cs="Arial"/>
              </w:rPr>
            </w:pPr>
            <w:r w:rsidRPr="00910A68">
              <w:rPr>
                <w:rFonts w:ascii="Arial" w:hAnsi="Arial" w:cs="Arial"/>
              </w:rPr>
              <w:t>0.017</w:t>
            </w:r>
          </w:p>
        </w:tc>
        <w:tc>
          <w:tcPr>
            <w:tcW w:w="1345" w:type="dxa"/>
            <w:noWrap/>
            <w:vAlign w:val="bottom"/>
            <w:hideMark/>
          </w:tcPr>
          <w:p w14:paraId="1B0CBAC3" w14:textId="77777777" w:rsidR="003E4B78" w:rsidRPr="00910A68" w:rsidRDefault="003E4B78" w:rsidP="00B2252C">
            <w:pPr>
              <w:pStyle w:val="Body"/>
              <w:spacing w:after="0"/>
              <w:jc w:val="center"/>
              <w:rPr>
                <w:rFonts w:ascii="Arial" w:hAnsi="Arial" w:cs="Arial"/>
              </w:rPr>
            </w:pPr>
            <w:r w:rsidRPr="00910A68">
              <w:rPr>
                <w:rFonts w:ascii="Arial" w:hAnsi="Arial" w:cs="Arial"/>
              </w:rPr>
              <w:t>0.091</w:t>
            </w:r>
          </w:p>
        </w:tc>
      </w:tr>
      <w:tr w:rsidR="003E4B78" w:rsidRPr="00910A68" w14:paraId="454C4DFC" w14:textId="77777777" w:rsidTr="00EB437A">
        <w:trPr>
          <w:trHeight w:val="265"/>
        </w:trPr>
        <w:tc>
          <w:tcPr>
            <w:tcW w:w="3073" w:type="dxa"/>
            <w:tcBorders>
              <w:right w:val="single" w:sz="4" w:space="0" w:color="auto"/>
            </w:tcBorders>
            <w:noWrap/>
            <w:vAlign w:val="bottom"/>
            <w:hideMark/>
          </w:tcPr>
          <w:p w14:paraId="1E9F8D94" w14:textId="77777777" w:rsidR="003E4B78" w:rsidRPr="00910A68" w:rsidRDefault="003E4B78" w:rsidP="00D51369">
            <w:pPr>
              <w:pStyle w:val="Body"/>
              <w:spacing w:after="0"/>
              <w:rPr>
                <w:rFonts w:ascii="Arial" w:hAnsi="Arial" w:cs="Arial"/>
              </w:rPr>
            </w:pPr>
            <w:r w:rsidRPr="00910A68">
              <w:rPr>
                <w:rFonts w:ascii="Arial" w:hAnsi="Arial" w:cs="Arial"/>
              </w:rPr>
              <w:t xml:space="preserve">Dependents    </w:t>
            </w:r>
          </w:p>
        </w:tc>
        <w:tc>
          <w:tcPr>
            <w:tcW w:w="1613" w:type="dxa"/>
            <w:tcBorders>
              <w:left w:val="single" w:sz="4" w:space="0" w:color="auto"/>
            </w:tcBorders>
            <w:noWrap/>
            <w:vAlign w:val="bottom"/>
            <w:hideMark/>
          </w:tcPr>
          <w:p w14:paraId="6A0720FC" w14:textId="77777777" w:rsidR="003E4B78" w:rsidRPr="00910A68" w:rsidRDefault="003E4B78" w:rsidP="00B2252C">
            <w:pPr>
              <w:pStyle w:val="Body"/>
              <w:spacing w:after="0"/>
              <w:jc w:val="center"/>
              <w:rPr>
                <w:rFonts w:ascii="Arial" w:hAnsi="Arial" w:cs="Arial"/>
              </w:rPr>
            </w:pPr>
            <w:r w:rsidRPr="00910A68">
              <w:rPr>
                <w:rFonts w:ascii="Arial" w:hAnsi="Arial" w:cs="Arial"/>
              </w:rPr>
              <w:t>0.007 (0.031)</w:t>
            </w:r>
          </w:p>
        </w:tc>
        <w:tc>
          <w:tcPr>
            <w:tcW w:w="768" w:type="dxa"/>
            <w:noWrap/>
            <w:vAlign w:val="bottom"/>
            <w:hideMark/>
          </w:tcPr>
          <w:p w14:paraId="2E89428F" w14:textId="77777777" w:rsidR="003E4B78" w:rsidRPr="00910A68" w:rsidRDefault="003E4B78" w:rsidP="00B2252C">
            <w:pPr>
              <w:pStyle w:val="Body"/>
              <w:spacing w:after="0"/>
              <w:jc w:val="center"/>
              <w:rPr>
                <w:rFonts w:ascii="Arial" w:hAnsi="Arial" w:cs="Arial"/>
              </w:rPr>
            </w:pPr>
            <w:r w:rsidRPr="00910A68">
              <w:rPr>
                <w:rFonts w:ascii="Arial" w:hAnsi="Arial" w:cs="Arial"/>
              </w:rPr>
              <w:t>0.230</w:t>
            </w:r>
          </w:p>
        </w:tc>
        <w:tc>
          <w:tcPr>
            <w:tcW w:w="845" w:type="dxa"/>
            <w:noWrap/>
            <w:vAlign w:val="bottom"/>
            <w:hideMark/>
          </w:tcPr>
          <w:p w14:paraId="62CB27B6" w14:textId="77777777" w:rsidR="003E4B78" w:rsidRPr="00910A68" w:rsidRDefault="003E4B78" w:rsidP="00B2252C">
            <w:pPr>
              <w:pStyle w:val="Body"/>
              <w:spacing w:after="0"/>
              <w:jc w:val="center"/>
              <w:rPr>
                <w:rFonts w:ascii="Arial" w:hAnsi="Arial" w:cs="Arial"/>
              </w:rPr>
            </w:pPr>
            <w:r w:rsidRPr="00910A68">
              <w:rPr>
                <w:rFonts w:ascii="Arial" w:hAnsi="Arial" w:cs="Arial"/>
              </w:rPr>
              <w:t>0.818</w:t>
            </w:r>
          </w:p>
        </w:tc>
        <w:tc>
          <w:tcPr>
            <w:tcW w:w="959" w:type="dxa"/>
            <w:noWrap/>
            <w:vAlign w:val="bottom"/>
            <w:hideMark/>
          </w:tcPr>
          <w:p w14:paraId="26BF6110" w14:textId="77777777" w:rsidR="003E4B78" w:rsidRPr="00910A68" w:rsidRDefault="003E4B78" w:rsidP="00B2252C">
            <w:pPr>
              <w:pStyle w:val="Body"/>
              <w:spacing w:after="0"/>
              <w:jc w:val="center"/>
              <w:rPr>
                <w:rFonts w:ascii="Arial" w:hAnsi="Arial" w:cs="Arial"/>
              </w:rPr>
            </w:pPr>
            <w:r w:rsidRPr="00910A68">
              <w:rPr>
                <w:rFonts w:ascii="Arial" w:hAnsi="Arial" w:cs="Arial"/>
              </w:rPr>
              <w:t>-0.055</w:t>
            </w:r>
          </w:p>
        </w:tc>
        <w:tc>
          <w:tcPr>
            <w:tcW w:w="1345" w:type="dxa"/>
            <w:noWrap/>
            <w:vAlign w:val="bottom"/>
            <w:hideMark/>
          </w:tcPr>
          <w:p w14:paraId="16FB6487" w14:textId="77777777" w:rsidR="003E4B78" w:rsidRPr="00910A68" w:rsidRDefault="003E4B78" w:rsidP="00B2252C">
            <w:pPr>
              <w:pStyle w:val="Body"/>
              <w:spacing w:after="0"/>
              <w:jc w:val="center"/>
              <w:rPr>
                <w:rFonts w:ascii="Arial" w:hAnsi="Arial" w:cs="Arial"/>
              </w:rPr>
            </w:pPr>
            <w:r w:rsidRPr="00910A68">
              <w:rPr>
                <w:rFonts w:ascii="Arial" w:hAnsi="Arial" w:cs="Arial"/>
              </w:rPr>
              <w:t>0.070</w:t>
            </w:r>
          </w:p>
        </w:tc>
      </w:tr>
      <w:tr w:rsidR="003E4B78" w:rsidRPr="00910A68" w14:paraId="7D97068C" w14:textId="77777777" w:rsidTr="00EB437A">
        <w:trPr>
          <w:trHeight w:val="265"/>
        </w:trPr>
        <w:tc>
          <w:tcPr>
            <w:tcW w:w="3073" w:type="dxa"/>
            <w:tcBorders>
              <w:right w:val="single" w:sz="4" w:space="0" w:color="auto"/>
            </w:tcBorders>
            <w:noWrap/>
            <w:vAlign w:val="bottom"/>
          </w:tcPr>
          <w:p w14:paraId="1B588634" w14:textId="77777777" w:rsidR="003E4B78" w:rsidRPr="00910A68" w:rsidRDefault="003E4B78" w:rsidP="00D51369">
            <w:pPr>
              <w:pStyle w:val="Body"/>
              <w:spacing w:after="0"/>
              <w:rPr>
                <w:rFonts w:ascii="Arial" w:hAnsi="Arial" w:cs="Arial"/>
              </w:rPr>
            </w:pPr>
            <w:r w:rsidRPr="00910A68">
              <w:rPr>
                <w:rFonts w:ascii="Arial" w:hAnsi="Arial" w:cs="Arial"/>
              </w:rPr>
              <w:t>Major occupation (Base: Farming)</w:t>
            </w:r>
          </w:p>
        </w:tc>
        <w:tc>
          <w:tcPr>
            <w:tcW w:w="1613" w:type="dxa"/>
            <w:tcBorders>
              <w:left w:val="single" w:sz="4" w:space="0" w:color="auto"/>
            </w:tcBorders>
            <w:noWrap/>
            <w:vAlign w:val="bottom"/>
          </w:tcPr>
          <w:p w14:paraId="2E214193" w14:textId="77777777" w:rsidR="003E4B78" w:rsidRPr="00910A68" w:rsidRDefault="003E4B78" w:rsidP="00B2252C">
            <w:pPr>
              <w:pStyle w:val="Body"/>
              <w:spacing w:after="0"/>
              <w:jc w:val="center"/>
              <w:rPr>
                <w:rFonts w:ascii="Arial" w:hAnsi="Arial" w:cs="Arial"/>
              </w:rPr>
            </w:pPr>
          </w:p>
        </w:tc>
        <w:tc>
          <w:tcPr>
            <w:tcW w:w="768" w:type="dxa"/>
            <w:noWrap/>
            <w:vAlign w:val="bottom"/>
          </w:tcPr>
          <w:p w14:paraId="4CDD5F38" w14:textId="77777777" w:rsidR="003E4B78" w:rsidRPr="00910A68" w:rsidRDefault="003E4B78" w:rsidP="00B2252C">
            <w:pPr>
              <w:pStyle w:val="Body"/>
              <w:spacing w:after="0"/>
              <w:jc w:val="center"/>
              <w:rPr>
                <w:rFonts w:ascii="Arial" w:hAnsi="Arial" w:cs="Arial"/>
              </w:rPr>
            </w:pPr>
          </w:p>
        </w:tc>
        <w:tc>
          <w:tcPr>
            <w:tcW w:w="845" w:type="dxa"/>
            <w:noWrap/>
            <w:vAlign w:val="bottom"/>
          </w:tcPr>
          <w:p w14:paraId="639AD7BC" w14:textId="77777777" w:rsidR="003E4B78" w:rsidRPr="00910A68" w:rsidRDefault="003E4B78" w:rsidP="00B2252C">
            <w:pPr>
              <w:pStyle w:val="Body"/>
              <w:spacing w:after="0"/>
              <w:jc w:val="center"/>
              <w:rPr>
                <w:rFonts w:ascii="Arial" w:hAnsi="Arial" w:cs="Arial"/>
              </w:rPr>
            </w:pPr>
          </w:p>
        </w:tc>
        <w:tc>
          <w:tcPr>
            <w:tcW w:w="959" w:type="dxa"/>
            <w:noWrap/>
            <w:vAlign w:val="bottom"/>
          </w:tcPr>
          <w:p w14:paraId="465332D2" w14:textId="77777777" w:rsidR="003E4B78" w:rsidRPr="00910A68" w:rsidRDefault="003E4B78" w:rsidP="00B2252C">
            <w:pPr>
              <w:pStyle w:val="Body"/>
              <w:spacing w:after="0"/>
              <w:jc w:val="center"/>
              <w:rPr>
                <w:rFonts w:ascii="Arial" w:hAnsi="Arial" w:cs="Arial"/>
              </w:rPr>
            </w:pPr>
          </w:p>
        </w:tc>
        <w:tc>
          <w:tcPr>
            <w:tcW w:w="1345" w:type="dxa"/>
            <w:noWrap/>
            <w:vAlign w:val="bottom"/>
          </w:tcPr>
          <w:p w14:paraId="00D16EDF" w14:textId="77777777" w:rsidR="003E4B78" w:rsidRPr="00910A68" w:rsidRDefault="003E4B78" w:rsidP="00B2252C">
            <w:pPr>
              <w:pStyle w:val="Body"/>
              <w:spacing w:after="0"/>
              <w:jc w:val="center"/>
              <w:rPr>
                <w:rFonts w:ascii="Arial" w:hAnsi="Arial" w:cs="Arial"/>
              </w:rPr>
            </w:pPr>
          </w:p>
        </w:tc>
      </w:tr>
      <w:tr w:rsidR="003E4B78" w:rsidRPr="00910A68" w14:paraId="0E4DCA4D" w14:textId="77777777" w:rsidTr="00EB437A">
        <w:trPr>
          <w:trHeight w:val="265"/>
        </w:trPr>
        <w:tc>
          <w:tcPr>
            <w:tcW w:w="3073" w:type="dxa"/>
            <w:tcBorders>
              <w:right w:val="single" w:sz="4" w:space="0" w:color="auto"/>
            </w:tcBorders>
            <w:noWrap/>
            <w:vAlign w:val="bottom"/>
            <w:hideMark/>
          </w:tcPr>
          <w:p w14:paraId="25E32924" w14:textId="77777777" w:rsidR="003E4B78" w:rsidRPr="00910A68" w:rsidRDefault="003E4B78" w:rsidP="00D51369">
            <w:pPr>
              <w:pStyle w:val="Body"/>
              <w:spacing w:after="0"/>
              <w:rPr>
                <w:rFonts w:ascii="Arial" w:hAnsi="Arial" w:cs="Arial"/>
              </w:rPr>
            </w:pPr>
            <w:r w:rsidRPr="00910A68">
              <w:rPr>
                <w:rFonts w:ascii="Arial" w:hAnsi="Arial" w:cs="Arial"/>
              </w:rPr>
              <w:t>Mushroom</w:t>
            </w:r>
          </w:p>
        </w:tc>
        <w:tc>
          <w:tcPr>
            <w:tcW w:w="1613" w:type="dxa"/>
            <w:tcBorders>
              <w:left w:val="single" w:sz="4" w:space="0" w:color="auto"/>
            </w:tcBorders>
            <w:noWrap/>
            <w:vAlign w:val="bottom"/>
            <w:hideMark/>
          </w:tcPr>
          <w:p w14:paraId="16AE07E6" w14:textId="77777777" w:rsidR="003E4B78" w:rsidRPr="00910A68" w:rsidRDefault="003E4B78" w:rsidP="00B2252C">
            <w:pPr>
              <w:pStyle w:val="Body"/>
              <w:spacing w:after="0"/>
              <w:jc w:val="center"/>
              <w:rPr>
                <w:rFonts w:ascii="Arial" w:hAnsi="Arial" w:cs="Arial"/>
              </w:rPr>
            </w:pPr>
            <w:r w:rsidRPr="00910A68">
              <w:rPr>
                <w:rFonts w:ascii="Arial" w:hAnsi="Arial" w:cs="Arial"/>
              </w:rPr>
              <w:t>0.344* (0.138)</w:t>
            </w:r>
          </w:p>
        </w:tc>
        <w:tc>
          <w:tcPr>
            <w:tcW w:w="768" w:type="dxa"/>
            <w:noWrap/>
            <w:vAlign w:val="bottom"/>
            <w:hideMark/>
          </w:tcPr>
          <w:p w14:paraId="2D71B06A" w14:textId="77777777" w:rsidR="003E4B78" w:rsidRPr="00910A68" w:rsidRDefault="003E4B78" w:rsidP="00B2252C">
            <w:pPr>
              <w:pStyle w:val="Body"/>
              <w:spacing w:after="0"/>
              <w:jc w:val="center"/>
              <w:rPr>
                <w:rFonts w:ascii="Arial" w:hAnsi="Arial" w:cs="Arial"/>
              </w:rPr>
            </w:pPr>
            <w:r w:rsidRPr="00910A68">
              <w:rPr>
                <w:rFonts w:ascii="Arial" w:hAnsi="Arial" w:cs="Arial"/>
              </w:rPr>
              <w:t>2.500</w:t>
            </w:r>
          </w:p>
        </w:tc>
        <w:tc>
          <w:tcPr>
            <w:tcW w:w="845" w:type="dxa"/>
            <w:noWrap/>
            <w:vAlign w:val="bottom"/>
            <w:hideMark/>
          </w:tcPr>
          <w:p w14:paraId="7D898C46" w14:textId="77777777" w:rsidR="003E4B78" w:rsidRPr="00910A68" w:rsidRDefault="003E4B78" w:rsidP="00B2252C">
            <w:pPr>
              <w:pStyle w:val="Body"/>
              <w:spacing w:after="0"/>
              <w:jc w:val="center"/>
              <w:rPr>
                <w:rFonts w:ascii="Arial" w:hAnsi="Arial" w:cs="Arial"/>
              </w:rPr>
            </w:pPr>
            <w:r w:rsidRPr="00910A68">
              <w:rPr>
                <w:rFonts w:ascii="Arial" w:hAnsi="Arial" w:cs="Arial"/>
              </w:rPr>
              <w:t>0.018</w:t>
            </w:r>
          </w:p>
        </w:tc>
        <w:tc>
          <w:tcPr>
            <w:tcW w:w="959" w:type="dxa"/>
            <w:noWrap/>
            <w:vAlign w:val="bottom"/>
            <w:hideMark/>
          </w:tcPr>
          <w:p w14:paraId="20D75B5C" w14:textId="77777777" w:rsidR="003E4B78" w:rsidRPr="00910A68" w:rsidRDefault="003E4B78" w:rsidP="00B2252C">
            <w:pPr>
              <w:pStyle w:val="Body"/>
              <w:spacing w:after="0"/>
              <w:jc w:val="center"/>
              <w:rPr>
                <w:rFonts w:ascii="Arial" w:hAnsi="Arial" w:cs="Arial"/>
              </w:rPr>
            </w:pPr>
            <w:r w:rsidRPr="00910A68">
              <w:rPr>
                <w:rFonts w:ascii="Arial" w:hAnsi="Arial" w:cs="Arial"/>
              </w:rPr>
              <w:t>-0.248</w:t>
            </w:r>
          </w:p>
        </w:tc>
        <w:tc>
          <w:tcPr>
            <w:tcW w:w="1345" w:type="dxa"/>
            <w:noWrap/>
            <w:vAlign w:val="bottom"/>
            <w:hideMark/>
          </w:tcPr>
          <w:p w14:paraId="00D88AB4" w14:textId="77777777" w:rsidR="003E4B78" w:rsidRPr="00910A68" w:rsidRDefault="003E4B78" w:rsidP="00B2252C">
            <w:pPr>
              <w:pStyle w:val="Body"/>
              <w:spacing w:after="0"/>
              <w:jc w:val="center"/>
              <w:rPr>
                <w:rFonts w:ascii="Arial" w:hAnsi="Arial" w:cs="Arial"/>
              </w:rPr>
            </w:pPr>
            <w:r w:rsidRPr="00910A68">
              <w:rPr>
                <w:rFonts w:ascii="Arial" w:hAnsi="Arial" w:cs="Arial"/>
              </w:rPr>
              <w:t>0.382</w:t>
            </w:r>
          </w:p>
        </w:tc>
      </w:tr>
      <w:tr w:rsidR="003E4B78" w:rsidRPr="00910A68" w14:paraId="096D25D7" w14:textId="77777777" w:rsidTr="00EB437A">
        <w:trPr>
          <w:trHeight w:val="265"/>
        </w:trPr>
        <w:tc>
          <w:tcPr>
            <w:tcW w:w="3073" w:type="dxa"/>
            <w:tcBorders>
              <w:right w:val="single" w:sz="4" w:space="0" w:color="auto"/>
            </w:tcBorders>
            <w:noWrap/>
            <w:vAlign w:val="bottom"/>
            <w:hideMark/>
          </w:tcPr>
          <w:p w14:paraId="59569436" w14:textId="77777777" w:rsidR="003E4B78" w:rsidRPr="00910A68" w:rsidRDefault="003E4B78" w:rsidP="00D51369">
            <w:pPr>
              <w:pStyle w:val="Body"/>
              <w:spacing w:after="0"/>
              <w:rPr>
                <w:rFonts w:ascii="Arial" w:hAnsi="Arial" w:cs="Arial"/>
              </w:rPr>
            </w:pPr>
            <w:r w:rsidRPr="00910A68">
              <w:rPr>
                <w:rFonts w:ascii="Arial" w:hAnsi="Arial" w:cs="Arial"/>
              </w:rPr>
              <w:t>Others</w:t>
            </w:r>
          </w:p>
        </w:tc>
        <w:tc>
          <w:tcPr>
            <w:tcW w:w="1613" w:type="dxa"/>
            <w:tcBorders>
              <w:left w:val="single" w:sz="4" w:space="0" w:color="auto"/>
            </w:tcBorders>
            <w:noWrap/>
            <w:vAlign w:val="bottom"/>
            <w:hideMark/>
          </w:tcPr>
          <w:p w14:paraId="6980AF59" w14:textId="77777777" w:rsidR="003E4B78" w:rsidRPr="00910A68" w:rsidRDefault="003E4B78" w:rsidP="00B2252C">
            <w:pPr>
              <w:pStyle w:val="Body"/>
              <w:spacing w:after="0"/>
              <w:jc w:val="center"/>
              <w:rPr>
                <w:rFonts w:ascii="Arial" w:hAnsi="Arial" w:cs="Arial"/>
              </w:rPr>
            </w:pPr>
            <w:r w:rsidRPr="00910A68">
              <w:rPr>
                <w:rFonts w:ascii="Arial" w:hAnsi="Arial" w:cs="Arial"/>
              </w:rPr>
              <w:t>0.067 (0.154)</w:t>
            </w:r>
          </w:p>
        </w:tc>
        <w:tc>
          <w:tcPr>
            <w:tcW w:w="768" w:type="dxa"/>
            <w:noWrap/>
            <w:vAlign w:val="bottom"/>
            <w:hideMark/>
          </w:tcPr>
          <w:p w14:paraId="08D3D5AF" w14:textId="77777777" w:rsidR="003E4B78" w:rsidRPr="00910A68" w:rsidRDefault="003E4B78" w:rsidP="00B2252C">
            <w:pPr>
              <w:pStyle w:val="Body"/>
              <w:spacing w:after="0"/>
              <w:jc w:val="center"/>
              <w:rPr>
                <w:rFonts w:ascii="Arial" w:hAnsi="Arial" w:cs="Arial"/>
              </w:rPr>
            </w:pPr>
            <w:r w:rsidRPr="00910A68">
              <w:rPr>
                <w:rFonts w:ascii="Arial" w:hAnsi="Arial" w:cs="Arial"/>
              </w:rPr>
              <w:t>0.440</w:t>
            </w:r>
          </w:p>
        </w:tc>
        <w:tc>
          <w:tcPr>
            <w:tcW w:w="845" w:type="dxa"/>
            <w:noWrap/>
            <w:vAlign w:val="bottom"/>
            <w:hideMark/>
          </w:tcPr>
          <w:p w14:paraId="41B940B7" w14:textId="77777777" w:rsidR="003E4B78" w:rsidRPr="00910A68" w:rsidRDefault="003E4B78" w:rsidP="00B2252C">
            <w:pPr>
              <w:pStyle w:val="Body"/>
              <w:spacing w:after="0"/>
              <w:jc w:val="center"/>
              <w:rPr>
                <w:rFonts w:ascii="Arial" w:hAnsi="Arial" w:cs="Arial"/>
              </w:rPr>
            </w:pPr>
            <w:r w:rsidRPr="00910A68">
              <w:rPr>
                <w:rFonts w:ascii="Arial" w:hAnsi="Arial" w:cs="Arial"/>
              </w:rPr>
              <w:t>0.666</w:t>
            </w:r>
          </w:p>
        </w:tc>
        <w:tc>
          <w:tcPr>
            <w:tcW w:w="959" w:type="dxa"/>
            <w:noWrap/>
            <w:vAlign w:val="bottom"/>
            <w:hideMark/>
          </w:tcPr>
          <w:p w14:paraId="7AF47169" w14:textId="77777777" w:rsidR="003E4B78" w:rsidRPr="00910A68" w:rsidRDefault="003E4B78" w:rsidP="00B2252C">
            <w:pPr>
              <w:pStyle w:val="Body"/>
              <w:spacing w:after="0"/>
              <w:jc w:val="center"/>
              <w:rPr>
                <w:rFonts w:ascii="Arial" w:hAnsi="Arial" w:cs="Arial"/>
              </w:rPr>
            </w:pPr>
          </w:p>
        </w:tc>
        <w:tc>
          <w:tcPr>
            <w:tcW w:w="1345" w:type="dxa"/>
            <w:noWrap/>
            <w:vAlign w:val="bottom"/>
            <w:hideMark/>
          </w:tcPr>
          <w:p w14:paraId="0EAFCD8C" w14:textId="77777777" w:rsidR="003E4B78" w:rsidRPr="00910A68" w:rsidRDefault="003E4B78" w:rsidP="00B2252C">
            <w:pPr>
              <w:pStyle w:val="Body"/>
              <w:spacing w:after="0"/>
              <w:jc w:val="center"/>
              <w:rPr>
                <w:rFonts w:ascii="Arial" w:hAnsi="Arial" w:cs="Arial"/>
              </w:rPr>
            </w:pPr>
          </w:p>
        </w:tc>
      </w:tr>
      <w:tr w:rsidR="003E4B78" w:rsidRPr="00910A68" w14:paraId="5114D8E3" w14:textId="77777777" w:rsidTr="00EB437A">
        <w:trPr>
          <w:trHeight w:val="265"/>
        </w:trPr>
        <w:tc>
          <w:tcPr>
            <w:tcW w:w="3073" w:type="dxa"/>
            <w:tcBorders>
              <w:right w:val="single" w:sz="4" w:space="0" w:color="auto"/>
            </w:tcBorders>
            <w:noWrap/>
            <w:vAlign w:val="bottom"/>
            <w:hideMark/>
          </w:tcPr>
          <w:p w14:paraId="3B516280" w14:textId="77777777" w:rsidR="003E4B78" w:rsidRPr="00910A68" w:rsidRDefault="003E4B78" w:rsidP="00D51369">
            <w:pPr>
              <w:pStyle w:val="Body"/>
              <w:spacing w:after="0"/>
              <w:rPr>
                <w:rFonts w:ascii="Arial" w:hAnsi="Arial" w:cs="Arial"/>
              </w:rPr>
            </w:pPr>
            <w:r w:rsidRPr="00910A68">
              <w:rPr>
                <w:rFonts w:ascii="Arial" w:hAnsi="Arial" w:cs="Arial"/>
              </w:rPr>
              <w:t xml:space="preserve">Training    </w:t>
            </w:r>
          </w:p>
        </w:tc>
        <w:tc>
          <w:tcPr>
            <w:tcW w:w="1613" w:type="dxa"/>
            <w:tcBorders>
              <w:left w:val="single" w:sz="4" w:space="0" w:color="auto"/>
            </w:tcBorders>
            <w:noWrap/>
            <w:vAlign w:val="bottom"/>
            <w:hideMark/>
          </w:tcPr>
          <w:p w14:paraId="3C3CA796" w14:textId="77777777" w:rsidR="003E4B78" w:rsidRPr="00910A68" w:rsidRDefault="003E4B78" w:rsidP="00B2252C">
            <w:pPr>
              <w:pStyle w:val="Body"/>
              <w:spacing w:after="0"/>
              <w:jc w:val="center"/>
              <w:rPr>
                <w:rFonts w:ascii="Arial" w:hAnsi="Arial" w:cs="Arial"/>
              </w:rPr>
            </w:pPr>
            <w:r w:rsidRPr="00910A68">
              <w:rPr>
                <w:rFonts w:ascii="Arial" w:hAnsi="Arial" w:cs="Arial"/>
              </w:rPr>
              <w:t>0.278* (0.117)</w:t>
            </w:r>
          </w:p>
        </w:tc>
        <w:tc>
          <w:tcPr>
            <w:tcW w:w="768" w:type="dxa"/>
            <w:noWrap/>
            <w:vAlign w:val="bottom"/>
            <w:hideMark/>
          </w:tcPr>
          <w:p w14:paraId="7DF5EC39" w14:textId="77777777" w:rsidR="003E4B78" w:rsidRPr="00910A68" w:rsidRDefault="003E4B78" w:rsidP="00B2252C">
            <w:pPr>
              <w:pStyle w:val="Body"/>
              <w:spacing w:after="0"/>
              <w:jc w:val="center"/>
              <w:rPr>
                <w:rFonts w:ascii="Arial" w:hAnsi="Arial" w:cs="Arial"/>
              </w:rPr>
            </w:pPr>
            <w:r w:rsidRPr="00910A68">
              <w:rPr>
                <w:rFonts w:ascii="Arial" w:hAnsi="Arial" w:cs="Arial"/>
              </w:rPr>
              <w:t>2.370</w:t>
            </w:r>
          </w:p>
        </w:tc>
        <w:tc>
          <w:tcPr>
            <w:tcW w:w="845" w:type="dxa"/>
            <w:noWrap/>
            <w:vAlign w:val="bottom"/>
            <w:hideMark/>
          </w:tcPr>
          <w:p w14:paraId="5E743287" w14:textId="77777777" w:rsidR="003E4B78" w:rsidRPr="00910A68" w:rsidRDefault="003E4B78" w:rsidP="00B2252C">
            <w:pPr>
              <w:pStyle w:val="Body"/>
              <w:spacing w:after="0"/>
              <w:jc w:val="center"/>
              <w:rPr>
                <w:rFonts w:ascii="Arial" w:hAnsi="Arial" w:cs="Arial"/>
              </w:rPr>
            </w:pPr>
            <w:r w:rsidRPr="00910A68">
              <w:rPr>
                <w:rFonts w:ascii="Arial" w:hAnsi="Arial" w:cs="Arial"/>
              </w:rPr>
              <w:t>0.024</w:t>
            </w:r>
          </w:p>
        </w:tc>
        <w:tc>
          <w:tcPr>
            <w:tcW w:w="959" w:type="dxa"/>
            <w:noWrap/>
            <w:vAlign w:val="bottom"/>
            <w:hideMark/>
          </w:tcPr>
          <w:p w14:paraId="2AC34D92" w14:textId="77777777" w:rsidR="003E4B78" w:rsidRPr="00910A68" w:rsidRDefault="003E4B78" w:rsidP="00B2252C">
            <w:pPr>
              <w:pStyle w:val="Body"/>
              <w:spacing w:after="0"/>
              <w:jc w:val="center"/>
              <w:rPr>
                <w:rFonts w:ascii="Arial" w:hAnsi="Arial" w:cs="Arial"/>
              </w:rPr>
            </w:pPr>
            <w:r w:rsidRPr="00910A68">
              <w:rPr>
                <w:rFonts w:ascii="Arial" w:hAnsi="Arial" w:cs="Arial"/>
              </w:rPr>
              <w:t>0.038</w:t>
            </w:r>
          </w:p>
        </w:tc>
        <w:tc>
          <w:tcPr>
            <w:tcW w:w="1345" w:type="dxa"/>
            <w:noWrap/>
            <w:vAlign w:val="bottom"/>
            <w:hideMark/>
          </w:tcPr>
          <w:p w14:paraId="21839C6D" w14:textId="77777777" w:rsidR="003E4B78" w:rsidRPr="00910A68" w:rsidRDefault="003E4B78" w:rsidP="00B2252C">
            <w:pPr>
              <w:pStyle w:val="Body"/>
              <w:spacing w:after="0"/>
              <w:jc w:val="center"/>
              <w:rPr>
                <w:rFonts w:ascii="Arial" w:hAnsi="Arial" w:cs="Arial"/>
              </w:rPr>
            </w:pPr>
            <w:r w:rsidRPr="00910A68">
              <w:rPr>
                <w:rFonts w:ascii="Arial" w:hAnsi="Arial" w:cs="Arial"/>
              </w:rPr>
              <w:t>0.517</w:t>
            </w:r>
          </w:p>
        </w:tc>
      </w:tr>
      <w:tr w:rsidR="003E4B78" w:rsidRPr="00910A68" w14:paraId="2048C636" w14:textId="77777777" w:rsidTr="00EB437A">
        <w:trPr>
          <w:trHeight w:val="265"/>
        </w:trPr>
        <w:tc>
          <w:tcPr>
            <w:tcW w:w="3073" w:type="dxa"/>
            <w:tcBorders>
              <w:right w:val="single" w:sz="4" w:space="0" w:color="auto"/>
            </w:tcBorders>
            <w:noWrap/>
            <w:vAlign w:val="bottom"/>
            <w:hideMark/>
          </w:tcPr>
          <w:p w14:paraId="27D16DC2" w14:textId="77777777" w:rsidR="003E4B78" w:rsidRPr="00910A68" w:rsidRDefault="003E4B78" w:rsidP="00D51369">
            <w:pPr>
              <w:pStyle w:val="Body"/>
              <w:spacing w:after="0"/>
              <w:rPr>
                <w:rFonts w:ascii="Arial" w:hAnsi="Arial" w:cs="Arial"/>
                <w:i/>
                <w:iCs/>
              </w:rPr>
            </w:pPr>
            <w:r w:rsidRPr="00910A68">
              <w:rPr>
                <w:rFonts w:ascii="Arial" w:hAnsi="Arial" w:cs="Arial"/>
                <w:i/>
                <w:iCs/>
              </w:rPr>
              <w:t xml:space="preserve">constant   </w:t>
            </w:r>
          </w:p>
        </w:tc>
        <w:tc>
          <w:tcPr>
            <w:tcW w:w="1613" w:type="dxa"/>
            <w:tcBorders>
              <w:left w:val="single" w:sz="4" w:space="0" w:color="auto"/>
            </w:tcBorders>
            <w:noWrap/>
            <w:vAlign w:val="bottom"/>
            <w:hideMark/>
          </w:tcPr>
          <w:p w14:paraId="286C7788"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0.031 (0.215)</w:t>
            </w:r>
          </w:p>
        </w:tc>
        <w:tc>
          <w:tcPr>
            <w:tcW w:w="768" w:type="dxa"/>
            <w:noWrap/>
            <w:vAlign w:val="bottom"/>
            <w:hideMark/>
          </w:tcPr>
          <w:p w14:paraId="64325DE4"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0.140</w:t>
            </w:r>
          </w:p>
        </w:tc>
        <w:tc>
          <w:tcPr>
            <w:tcW w:w="845" w:type="dxa"/>
            <w:noWrap/>
            <w:vAlign w:val="bottom"/>
            <w:hideMark/>
          </w:tcPr>
          <w:p w14:paraId="7B48EA96"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0.887</w:t>
            </w:r>
          </w:p>
        </w:tc>
        <w:tc>
          <w:tcPr>
            <w:tcW w:w="959" w:type="dxa"/>
            <w:noWrap/>
            <w:vAlign w:val="bottom"/>
            <w:hideMark/>
          </w:tcPr>
          <w:p w14:paraId="375C78E0"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-0.408</w:t>
            </w:r>
          </w:p>
        </w:tc>
        <w:tc>
          <w:tcPr>
            <w:tcW w:w="1345" w:type="dxa"/>
            <w:noWrap/>
            <w:vAlign w:val="bottom"/>
            <w:hideMark/>
          </w:tcPr>
          <w:p w14:paraId="7195F0EE"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0.469</w:t>
            </w:r>
          </w:p>
        </w:tc>
      </w:tr>
      <w:tr w:rsidR="003E4B78" w:rsidRPr="00910A68" w14:paraId="74D6ABA6" w14:textId="77777777" w:rsidTr="00EB437A">
        <w:trPr>
          <w:trHeight w:val="265"/>
        </w:trPr>
        <w:tc>
          <w:tcPr>
            <w:tcW w:w="3073" w:type="dxa"/>
            <w:tcBorders>
              <w:right w:val="single" w:sz="4" w:space="0" w:color="auto"/>
            </w:tcBorders>
            <w:noWrap/>
            <w:vAlign w:val="bottom"/>
          </w:tcPr>
          <w:p w14:paraId="22E8C0E3" w14:textId="77777777" w:rsidR="003E4B78" w:rsidRPr="00910A68" w:rsidRDefault="003E4B78" w:rsidP="00D51369">
            <w:pPr>
              <w:pStyle w:val="Body"/>
              <w:spacing w:after="0"/>
              <w:rPr>
                <w:rFonts w:ascii="Arial" w:hAnsi="Arial" w:cs="Arial"/>
                <w:i/>
                <w:iCs/>
              </w:rPr>
            </w:pPr>
            <w:r w:rsidRPr="00910A68">
              <w:rPr>
                <w:rFonts w:ascii="Arial" w:hAnsi="Arial" w:cs="Arial"/>
                <w:i/>
                <w:iCs/>
              </w:rPr>
              <w:t>n</w:t>
            </w:r>
          </w:p>
        </w:tc>
        <w:tc>
          <w:tcPr>
            <w:tcW w:w="1613" w:type="dxa"/>
            <w:tcBorders>
              <w:left w:val="single" w:sz="4" w:space="0" w:color="auto"/>
            </w:tcBorders>
            <w:noWrap/>
            <w:vAlign w:val="bottom"/>
          </w:tcPr>
          <w:p w14:paraId="563C91F1"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40</w:t>
            </w:r>
          </w:p>
        </w:tc>
        <w:tc>
          <w:tcPr>
            <w:tcW w:w="768" w:type="dxa"/>
            <w:noWrap/>
            <w:vAlign w:val="bottom"/>
          </w:tcPr>
          <w:p w14:paraId="6CB79D58" w14:textId="77777777" w:rsidR="003E4B78" w:rsidRPr="00910A68" w:rsidRDefault="003E4B78" w:rsidP="00B2252C">
            <w:pPr>
              <w:pStyle w:val="Body"/>
              <w:spacing w:after="0"/>
              <w:jc w:val="center"/>
              <w:rPr>
                <w:rFonts w:ascii="Arial" w:hAnsi="Arial" w:cs="Arial"/>
                <w:i/>
                <w:iCs/>
              </w:rPr>
            </w:pPr>
          </w:p>
        </w:tc>
        <w:tc>
          <w:tcPr>
            <w:tcW w:w="845" w:type="dxa"/>
            <w:noWrap/>
            <w:vAlign w:val="bottom"/>
          </w:tcPr>
          <w:p w14:paraId="5B1C2E28" w14:textId="77777777" w:rsidR="003E4B78" w:rsidRPr="00910A68" w:rsidRDefault="003E4B78" w:rsidP="00B2252C">
            <w:pPr>
              <w:pStyle w:val="Body"/>
              <w:spacing w:after="0"/>
              <w:jc w:val="center"/>
              <w:rPr>
                <w:rFonts w:ascii="Arial" w:hAnsi="Arial" w:cs="Arial"/>
                <w:i/>
                <w:iCs/>
              </w:rPr>
            </w:pPr>
          </w:p>
        </w:tc>
        <w:tc>
          <w:tcPr>
            <w:tcW w:w="959" w:type="dxa"/>
            <w:noWrap/>
            <w:vAlign w:val="bottom"/>
          </w:tcPr>
          <w:p w14:paraId="632391AA" w14:textId="77777777" w:rsidR="003E4B78" w:rsidRPr="00910A68" w:rsidRDefault="003E4B78" w:rsidP="00B2252C">
            <w:pPr>
              <w:pStyle w:val="Body"/>
              <w:spacing w:after="0"/>
              <w:jc w:val="center"/>
              <w:rPr>
                <w:rFonts w:ascii="Arial" w:hAnsi="Arial" w:cs="Arial"/>
                <w:i/>
                <w:iCs/>
              </w:rPr>
            </w:pPr>
          </w:p>
        </w:tc>
        <w:tc>
          <w:tcPr>
            <w:tcW w:w="1345" w:type="dxa"/>
            <w:noWrap/>
            <w:vAlign w:val="bottom"/>
          </w:tcPr>
          <w:p w14:paraId="66981E7E" w14:textId="77777777" w:rsidR="003E4B78" w:rsidRPr="00910A68" w:rsidRDefault="003E4B78" w:rsidP="00B2252C">
            <w:pPr>
              <w:pStyle w:val="Body"/>
              <w:spacing w:after="0"/>
              <w:jc w:val="center"/>
              <w:rPr>
                <w:rFonts w:ascii="Arial" w:hAnsi="Arial" w:cs="Arial"/>
                <w:i/>
                <w:iCs/>
              </w:rPr>
            </w:pPr>
          </w:p>
        </w:tc>
      </w:tr>
      <w:tr w:rsidR="003E4B78" w:rsidRPr="00910A68" w14:paraId="691F65FA" w14:textId="77777777" w:rsidTr="00EB437A">
        <w:trPr>
          <w:trHeight w:val="265"/>
        </w:trPr>
        <w:tc>
          <w:tcPr>
            <w:tcW w:w="3073" w:type="dxa"/>
            <w:tcBorders>
              <w:right w:val="single" w:sz="4" w:space="0" w:color="auto"/>
            </w:tcBorders>
            <w:noWrap/>
            <w:vAlign w:val="bottom"/>
          </w:tcPr>
          <w:p w14:paraId="6A840460" w14:textId="77777777" w:rsidR="003E4B78" w:rsidRPr="00910A68" w:rsidRDefault="003E4B78" w:rsidP="00D51369">
            <w:pPr>
              <w:pStyle w:val="Body"/>
              <w:spacing w:after="0"/>
              <w:rPr>
                <w:rFonts w:ascii="Arial" w:hAnsi="Arial" w:cs="Arial"/>
                <w:i/>
                <w:iCs/>
              </w:rPr>
            </w:pPr>
            <w:r w:rsidRPr="00910A68">
              <w:rPr>
                <w:rFonts w:ascii="Arial" w:hAnsi="Arial" w:cs="Arial"/>
                <w:i/>
                <w:iCs/>
              </w:rPr>
              <w:t>R-squared</w:t>
            </w:r>
          </w:p>
        </w:tc>
        <w:tc>
          <w:tcPr>
            <w:tcW w:w="1613" w:type="dxa"/>
            <w:tcBorders>
              <w:left w:val="single" w:sz="4" w:space="0" w:color="auto"/>
            </w:tcBorders>
            <w:noWrap/>
            <w:vAlign w:val="bottom"/>
          </w:tcPr>
          <w:p w14:paraId="65A8C77E"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0.73</w:t>
            </w:r>
          </w:p>
        </w:tc>
        <w:tc>
          <w:tcPr>
            <w:tcW w:w="768" w:type="dxa"/>
            <w:noWrap/>
            <w:vAlign w:val="bottom"/>
          </w:tcPr>
          <w:p w14:paraId="16FA06D7" w14:textId="77777777" w:rsidR="003E4B78" w:rsidRPr="00910A68" w:rsidRDefault="003E4B78" w:rsidP="00B2252C">
            <w:pPr>
              <w:pStyle w:val="Body"/>
              <w:spacing w:after="0"/>
              <w:jc w:val="center"/>
              <w:rPr>
                <w:rFonts w:ascii="Arial" w:hAnsi="Arial" w:cs="Arial"/>
                <w:i/>
                <w:iCs/>
              </w:rPr>
            </w:pPr>
          </w:p>
        </w:tc>
        <w:tc>
          <w:tcPr>
            <w:tcW w:w="845" w:type="dxa"/>
            <w:noWrap/>
            <w:vAlign w:val="bottom"/>
          </w:tcPr>
          <w:p w14:paraId="10E52652" w14:textId="77777777" w:rsidR="003E4B78" w:rsidRPr="00910A68" w:rsidRDefault="003E4B78" w:rsidP="00B2252C">
            <w:pPr>
              <w:pStyle w:val="Body"/>
              <w:spacing w:after="0"/>
              <w:jc w:val="center"/>
              <w:rPr>
                <w:rFonts w:ascii="Arial" w:hAnsi="Arial" w:cs="Arial"/>
                <w:i/>
                <w:iCs/>
              </w:rPr>
            </w:pPr>
          </w:p>
        </w:tc>
        <w:tc>
          <w:tcPr>
            <w:tcW w:w="959" w:type="dxa"/>
            <w:noWrap/>
            <w:vAlign w:val="bottom"/>
          </w:tcPr>
          <w:p w14:paraId="41FBE4D1" w14:textId="77777777" w:rsidR="003E4B78" w:rsidRPr="00910A68" w:rsidRDefault="003E4B78" w:rsidP="00B2252C">
            <w:pPr>
              <w:pStyle w:val="Body"/>
              <w:spacing w:after="0"/>
              <w:jc w:val="center"/>
              <w:rPr>
                <w:rFonts w:ascii="Arial" w:hAnsi="Arial" w:cs="Arial"/>
                <w:i/>
                <w:iCs/>
              </w:rPr>
            </w:pPr>
          </w:p>
        </w:tc>
        <w:tc>
          <w:tcPr>
            <w:tcW w:w="1345" w:type="dxa"/>
            <w:noWrap/>
            <w:vAlign w:val="bottom"/>
          </w:tcPr>
          <w:p w14:paraId="7785F546" w14:textId="77777777" w:rsidR="003E4B78" w:rsidRPr="00910A68" w:rsidRDefault="003E4B78" w:rsidP="00B2252C">
            <w:pPr>
              <w:pStyle w:val="Body"/>
              <w:spacing w:after="0"/>
              <w:jc w:val="center"/>
              <w:rPr>
                <w:rFonts w:ascii="Arial" w:hAnsi="Arial" w:cs="Arial"/>
                <w:i/>
                <w:iCs/>
              </w:rPr>
            </w:pPr>
          </w:p>
        </w:tc>
      </w:tr>
      <w:tr w:rsidR="003E4B78" w:rsidRPr="00910A68" w14:paraId="00E261EA" w14:textId="77777777" w:rsidTr="00EB437A">
        <w:trPr>
          <w:trHeight w:val="265"/>
        </w:trPr>
        <w:tc>
          <w:tcPr>
            <w:tcW w:w="3073" w:type="dxa"/>
            <w:tcBorders>
              <w:bottom w:val="single" w:sz="4" w:space="0" w:color="auto"/>
              <w:right w:val="single" w:sz="4" w:space="0" w:color="auto"/>
            </w:tcBorders>
            <w:noWrap/>
            <w:vAlign w:val="bottom"/>
          </w:tcPr>
          <w:p w14:paraId="74982938" w14:textId="77777777" w:rsidR="003E4B78" w:rsidRPr="00910A68" w:rsidRDefault="003E4B78" w:rsidP="00D51369">
            <w:pPr>
              <w:pStyle w:val="Body"/>
              <w:spacing w:after="0"/>
              <w:rPr>
                <w:rFonts w:ascii="Arial" w:hAnsi="Arial" w:cs="Arial"/>
                <w:i/>
                <w:iCs/>
              </w:rPr>
            </w:pPr>
            <w:r w:rsidRPr="00910A68">
              <w:rPr>
                <w:rFonts w:ascii="Arial" w:hAnsi="Arial" w:cs="Arial"/>
                <w:i/>
                <w:iCs/>
              </w:rPr>
              <w:t>Adjusted R-squared</w:t>
            </w:r>
          </w:p>
        </w:tc>
        <w:tc>
          <w:tcPr>
            <w:tcW w:w="1613" w:type="dxa"/>
            <w:tcBorders>
              <w:left w:val="single" w:sz="4" w:space="0" w:color="auto"/>
              <w:bottom w:val="single" w:sz="4" w:space="0" w:color="auto"/>
            </w:tcBorders>
            <w:noWrap/>
            <w:vAlign w:val="bottom"/>
          </w:tcPr>
          <w:p w14:paraId="0C723DC9"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0.65</w:t>
            </w:r>
          </w:p>
        </w:tc>
        <w:tc>
          <w:tcPr>
            <w:tcW w:w="768" w:type="dxa"/>
            <w:tcBorders>
              <w:bottom w:val="single" w:sz="4" w:space="0" w:color="auto"/>
            </w:tcBorders>
            <w:noWrap/>
            <w:vAlign w:val="bottom"/>
          </w:tcPr>
          <w:p w14:paraId="15B905FD" w14:textId="77777777" w:rsidR="003E4B78" w:rsidRPr="00910A68" w:rsidRDefault="003E4B78" w:rsidP="00B2252C">
            <w:pPr>
              <w:pStyle w:val="Body"/>
              <w:spacing w:after="0"/>
              <w:jc w:val="center"/>
              <w:rPr>
                <w:rFonts w:ascii="Arial" w:hAnsi="Arial" w:cs="Arial"/>
                <w:i/>
                <w:iCs/>
              </w:rPr>
            </w:pPr>
          </w:p>
        </w:tc>
        <w:tc>
          <w:tcPr>
            <w:tcW w:w="845" w:type="dxa"/>
            <w:tcBorders>
              <w:bottom w:val="single" w:sz="4" w:space="0" w:color="auto"/>
            </w:tcBorders>
            <w:noWrap/>
            <w:vAlign w:val="bottom"/>
          </w:tcPr>
          <w:p w14:paraId="762776B3" w14:textId="77777777" w:rsidR="003E4B78" w:rsidRPr="00910A68" w:rsidRDefault="003E4B78" w:rsidP="00B2252C">
            <w:pPr>
              <w:pStyle w:val="Body"/>
              <w:spacing w:after="0"/>
              <w:jc w:val="center"/>
              <w:rPr>
                <w:rFonts w:ascii="Arial" w:hAnsi="Arial" w:cs="Arial"/>
                <w:i/>
                <w:iCs/>
              </w:rPr>
            </w:pPr>
          </w:p>
        </w:tc>
        <w:tc>
          <w:tcPr>
            <w:tcW w:w="959" w:type="dxa"/>
            <w:tcBorders>
              <w:bottom w:val="single" w:sz="4" w:space="0" w:color="auto"/>
            </w:tcBorders>
            <w:noWrap/>
            <w:vAlign w:val="bottom"/>
          </w:tcPr>
          <w:p w14:paraId="6301AF48" w14:textId="77777777" w:rsidR="003E4B78" w:rsidRPr="00910A68" w:rsidRDefault="003E4B78" w:rsidP="00B2252C">
            <w:pPr>
              <w:pStyle w:val="Body"/>
              <w:spacing w:after="0"/>
              <w:jc w:val="center"/>
              <w:rPr>
                <w:rFonts w:ascii="Arial" w:hAnsi="Arial" w:cs="Arial"/>
                <w:i/>
                <w:iCs/>
              </w:rPr>
            </w:pPr>
          </w:p>
        </w:tc>
        <w:tc>
          <w:tcPr>
            <w:tcW w:w="1345" w:type="dxa"/>
            <w:tcBorders>
              <w:bottom w:val="single" w:sz="4" w:space="0" w:color="auto"/>
            </w:tcBorders>
            <w:noWrap/>
            <w:vAlign w:val="bottom"/>
          </w:tcPr>
          <w:p w14:paraId="52AE398B" w14:textId="77777777" w:rsidR="003E4B78" w:rsidRPr="00910A68" w:rsidRDefault="003E4B78" w:rsidP="00B2252C">
            <w:pPr>
              <w:pStyle w:val="Body"/>
              <w:spacing w:after="0"/>
              <w:jc w:val="center"/>
              <w:rPr>
                <w:rFonts w:ascii="Arial" w:hAnsi="Arial" w:cs="Arial"/>
                <w:i/>
                <w:iCs/>
              </w:rPr>
            </w:pPr>
          </w:p>
        </w:tc>
      </w:tr>
    </w:tbl>
    <w:p w14:paraId="07D30E60" w14:textId="77777777" w:rsidR="003E4B78" w:rsidRPr="00910A68" w:rsidRDefault="003E4B78" w:rsidP="003E4B78">
      <w:pPr>
        <w:pStyle w:val="Body"/>
        <w:spacing w:after="0"/>
        <w:rPr>
          <w:rFonts w:ascii="Arial" w:hAnsi="Arial" w:cs="Arial"/>
          <w:i/>
        </w:rPr>
      </w:pPr>
      <w:r>
        <w:rPr>
          <w:rFonts w:ascii="Arial" w:hAnsi="Arial" w:cs="Arial"/>
          <w:i/>
        </w:rPr>
        <w:t>*** P&lt; 0.001, ** P&lt;0.01, * P</w:t>
      </w:r>
      <w:r w:rsidRPr="00910A68">
        <w:rPr>
          <w:rFonts w:ascii="Arial" w:hAnsi="Arial" w:cs="Arial"/>
          <w:i/>
        </w:rPr>
        <w:t xml:space="preserve">&lt;0.05 level of significance. </w:t>
      </w:r>
      <w:r w:rsidRPr="00910A68">
        <w:rPr>
          <w:rFonts w:ascii="Arial" w:hAnsi="Arial" w:cs="Arial"/>
          <w:bCs/>
          <w:i/>
          <w:iCs/>
          <w:lang w:val="en-IN"/>
        </w:rPr>
        <w:t>Figures in the parentheses are respective standard errors.</w:t>
      </w:r>
    </w:p>
    <w:p w14:paraId="46DB2D7A" w14:textId="77777777" w:rsidR="003E4B78" w:rsidRPr="00FB3A86" w:rsidRDefault="003E4B78" w:rsidP="003E4B78">
      <w:pPr>
        <w:pStyle w:val="Body"/>
        <w:spacing w:after="0"/>
        <w:rPr>
          <w:rFonts w:ascii="Arial" w:hAnsi="Arial" w:cs="Arial"/>
        </w:rPr>
      </w:pPr>
    </w:p>
    <w:p w14:paraId="616C73ED" w14:textId="77777777" w:rsidR="003E4B78" w:rsidRDefault="003E4B78" w:rsidP="003E4B78">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18A84216" w14:textId="77777777" w:rsidR="003E4B78" w:rsidRPr="00FB3A86" w:rsidRDefault="003E4B78" w:rsidP="003E4B78">
      <w:pPr>
        <w:pStyle w:val="ConcHead"/>
        <w:spacing w:after="0"/>
        <w:jc w:val="both"/>
        <w:rPr>
          <w:rFonts w:ascii="Arial" w:hAnsi="Arial" w:cs="Arial"/>
        </w:rPr>
      </w:pPr>
    </w:p>
    <w:p w14:paraId="09FC0A8E" w14:textId="77777777" w:rsidR="003E4B78" w:rsidRPr="006E43FB" w:rsidRDefault="003E4B78" w:rsidP="003E4B78">
      <w:pPr>
        <w:pStyle w:val="Body"/>
        <w:spacing w:after="0"/>
        <w:rPr>
          <w:rFonts w:ascii="Arial" w:hAnsi="Arial" w:cs="Arial"/>
        </w:rPr>
      </w:pPr>
      <w:r w:rsidRPr="006E43FB">
        <w:rPr>
          <w:rFonts w:ascii="Arial" w:hAnsi="Arial" w:cs="Arial"/>
        </w:rPr>
        <w:t>The study enunciates the superiority of the ZEPT composting method over the long method almost all aspect such as compost conversion rate, Biological Efficiency (BE), and Average Variable Cost of compost preparation, indicating its long-term viability. Additionally, it identifies significant determinants of ZEPT technology adoption among mushroom growers, such as sex, experience, reliance on mushroom farming, and training. These findings are consistent with existing literature, underscoring the potential of ZEPT to enhance composting efficiency and cost-effectiveness in mushroom farming. Moving forward, promoting targeted educational and training programs, especially for women and highly educated farmers, could further accelerate the adoption of ZEPT. Additionally, policy interventions aimed at reducing the initial costs and increasing awareness of the benefits of ZEPT could foster broader acceptance and implementation of this advanced composting technology.</w:t>
      </w:r>
    </w:p>
    <w:p w14:paraId="252DA4C8" w14:textId="77777777" w:rsidR="003E4B78" w:rsidRPr="006E43FB" w:rsidRDefault="003E4B78" w:rsidP="003E4B78">
      <w:pPr>
        <w:pStyle w:val="Body"/>
        <w:spacing w:after="0"/>
        <w:rPr>
          <w:rFonts w:ascii="Arial" w:hAnsi="Arial" w:cs="Arial"/>
        </w:rPr>
      </w:pPr>
      <w:r w:rsidRPr="006E43FB">
        <w:rPr>
          <w:rFonts w:ascii="Arial" w:hAnsi="Arial" w:cs="Arial"/>
        </w:rPr>
        <w:t>Further studies in this aspect may involve comparing the ZEPT composting with short method of composting, where energy consumption can be compared. With zero energy consumption, it may be popularized as energy efficient and green composting technology. Further longitudinal studies may be conducted to know the long run impacts on sustainability and profitability. By pursuing these research directions, stakeholders can gain a deeper understanding of the benefits and challenges associated with ZEPT technology, ultimately leading to more informed decisions and policies that support sustainable agricultural development.</w:t>
      </w:r>
    </w:p>
    <w:p w14:paraId="63175329" w14:textId="0D518D29" w:rsidR="003E4B78" w:rsidRDefault="003E4B78" w:rsidP="003E4B78">
      <w:pPr>
        <w:pStyle w:val="Body"/>
        <w:spacing w:after="0"/>
        <w:rPr>
          <w:rFonts w:ascii="Arial" w:hAnsi="Arial" w:cs="Arial"/>
        </w:rPr>
      </w:pPr>
    </w:p>
    <w:p w14:paraId="250C06B5" w14:textId="77777777" w:rsidR="004C69E4" w:rsidRPr="004C69E4" w:rsidRDefault="004C69E4" w:rsidP="004C69E4">
      <w:pPr>
        <w:pStyle w:val="Body"/>
        <w:rPr>
          <w:rFonts w:ascii="Arial" w:hAnsi="Arial" w:cs="Arial"/>
          <w:b/>
        </w:rPr>
      </w:pPr>
      <w:r w:rsidRPr="004C69E4">
        <w:rPr>
          <w:rFonts w:ascii="Arial" w:hAnsi="Arial" w:cs="Arial"/>
          <w:b/>
        </w:rPr>
        <w:t xml:space="preserve">Consent </w:t>
      </w:r>
    </w:p>
    <w:p w14:paraId="0CA11545" w14:textId="5375FDD4" w:rsidR="004C69E4" w:rsidRDefault="004C69E4" w:rsidP="004C69E4">
      <w:pPr>
        <w:pStyle w:val="Body"/>
        <w:spacing w:after="0"/>
        <w:rPr>
          <w:rFonts w:ascii="Arial" w:hAnsi="Arial" w:cs="Arial"/>
        </w:rPr>
      </w:pPr>
      <w:r w:rsidRPr="004C69E4">
        <w:rPr>
          <w:rFonts w:ascii="Arial" w:hAnsi="Arial" w:cs="Arial"/>
        </w:rPr>
        <w:t>As per international standard</w:t>
      </w:r>
      <w:bookmarkStart w:id="0" w:name="_GoBack"/>
      <w:bookmarkEnd w:id="0"/>
      <w:r w:rsidRPr="004C69E4">
        <w:rPr>
          <w:rFonts w:ascii="Arial" w:hAnsi="Arial" w:cs="Arial"/>
        </w:rPr>
        <w:t>s or university standards, Participants’ written consent has been collected and preserved by the author(s).</w:t>
      </w:r>
    </w:p>
    <w:p w14:paraId="70978C33" w14:textId="77777777" w:rsidR="004C69E4" w:rsidRPr="00FB3A86" w:rsidRDefault="004C69E4" w:rsidP="004C69E4">
      <w:pPr>
        <w:pStyle w:val="Body"/>
        <w:spacing w:after="0"/>
        <w:rPr>
          <w:rFonts w:ascii="Arial" w:hAnsi="Arial" w:cs="Arial"/>
        </w:rPr>
      </w:pPr>
    </w:p>
    <w:p w14:paraId="10DE492E" w14:textId="77777777" w:rsidR="003E4B78" w:rsidRPr="008E4D59" w:rsidRDefault="003E4B78" w:rsidP="003E4B78">
      <w:pPr>
        <w:pStyle w:val="AcknHead"/>
        <w:spacing w:after="0"/>
        <w:jc w:val="both"/>
        <w:rPr>
          <w:rFonts w:ascii="Arial" w:hAnsi="Arial" w:cs="Arial"/>
        </w:rPr>
      </w:pPr>
      <w:r w:rsidRPr="0079114C">
        <w:rPr>
          <w:rFonts w:ascii="Arial" w:hAnsi="Arial" w:cs="Arial"/>
        </w:rPr>
        <w:t>AcknowledgE</w:t>
      </w:r>
      <w:r w:rsidRPr="008E4D59">
        <w:rPr>
          <w:rFonts w:ascii="Arial" w:hAnsi="Arial" w:cs="Arial"/>
        </w:rPr>
        <w:t>ments</w:t>
      </w:r>
    </w:p>
    <w:p w14:paraId="3AAA11CC" w14:textId="77777777" w:rsidR="003E4B78" w:rsidRPr="0079114C" w:rsidRDefault="003E4B78" w:rsidP="003E4B78">
      <w:pPr>
        <w:pStyle w:val="AcknHead"/>
        <w:spacing w:after="0"/>
        <w:jc w:val="both"/>
        <w:rPr>
          <w:rFonts w:ascii="Arial" w:hAnsi="Arial" w:cs="Arial"/>
        </w:rPr>
      </w:pPr>
    </w:p>
    <w:p w14:paraId="29799FC5" w14:textId="77777777" w:rsidR="003E4B78" w:rsidRPr="0079114C" w:rsidRDefault="003E4B78" w:rsidP="003E4B78">
      <w:pPr>
        <w:pStyle w:val="Body"/>
        <w:spacing w:after="0"/>
        <w:rPr>
          <w:rFonts w:ascii="Arial" w:hAnsi="Arial" w:cs="Arial"/>
        </w:rPr>
      </w:pPr>
      <w:r w:rsidRPr="0079114C">
        <w:rPr>
          <w:rFonts w:ascii="Arial" w:hAnsi="Arial" w:cs="Arial"/>
        </w:rPr>
        <w:t xml:space="preserve">The author </w:t>
      </w:r>
      <w:r w:rsidR="00B13031" w:rsidRPr="0079114C">
        <w:rPr>
          <w:rFonts w:ascii="Arial" w:hAnsi="Arial" w:cs="Arial"/>
        </w:rPr>
        <w:t>is thankful to the</w:t>
      </w:r>
      <w:r w:rsidRPr="0079114C">
        <w:rPr>
          <w:rFonts w:ascii="Arial" w:hAnsi="Arial" w:cs="Arial"/>
        </w:rPr>
        <w:t xml:space="preserve"> I</w:t>
      </w:r>
      <w:r w:rsidR="00B13031" w:rsidRPr="0079114C">
        <w:rPr>
          <w:rFonts w:ascii="Arial" w:hAnsi="Arial" w:cs="Arial"/>
        </w:rPr>
        <w:t xml:space="preserve">ndian </w:t>
      </w:r>
      <w:r w:rsidRPr="0079114C">
        <w:rPr>
          <w:rFonts w:ascii="Arial" w:hAnsi="Arial" w:cs="Arial"/>
        </w:rPr>
        <w:t>C</w:t>
      </w:r>
      <w:r w:rsidR="00B13031" w:rsidRPr="0079114C">
        <w:rPr>
          <w:rFonts w:ascii="Arial" w:hAnsi="Arial" w:cs="Arial"/>
        </w:rPr>
        <w:t xml:space="preserve">ouncil of </w:t>
      </w:r>
      <w:r w:rsidRPr="0079114C">
        <w:rPr>
          <w:rFonts w:ascii="Arial" w:hAnsi="Arial" w:cs="Arial"/>
        </w:rPr>
        <w:t>A</w:t>
      </w:r>
      <w:r w:rsidR="00B13031" w:rsidRPr="0079114C">
        <w:rPr>
          <w:rFonts w:ascii="Arial" w:hAnsi="Arial" w:cs="Arial"/>
        </w:rPr>
        <w:t xml:space="preserve">gricultural </w:t>
      </w:r>
      <w:r w:rsidRPr="0079114C">
        <w:rPr>
          <w:rFonts w:ascii="Arial" w:hAnsi="Arial" w:cs="Arial"/>
        </w:rPr>
        <w:t>R</w:t>
      </w:r>
      <w:r w:rsidR="00B13031" w:rsidRPr="0079114C">
        <w:rPr>
          <w:rFonts w:ascii="Arial" w:hAnsi="Arial" w:cs="Arial"/>
        </w:rPr>
        <w:t>esearch, New Delhi for the financial support.</w:t>
      </w:r>
      <w:r w:rsidRPr="0079114C">
        <w:rPr>
          <w:rFonts w:ascii="Arial" w:hAnsi="Arial" w:cs="Arial"/>
        </w:rPr>
        <w:t xml:space="preserve"> </w:t>
      </w:r>
    </w:p>
    <w:p w14:paraId="39F3082E" w14:textId="4C6DFF70" w:rsidR="003E4B78" w:rsidRPr="008E4D59" w:rsidRDefault="003E4B78" w:rsidP="003E4B78">
      <w:pPr>
        <w:rPr>
          <w:rFonts w:ascii="Arial" w:hAnsi="Arial" w:cs="Arial"/>
        </w:rPr>
      </w:pPr>
    </w:p>
    <w:p w14:paraId="08B8C873" w14:textId="77777777" w:rsidR="00FF2FA2" w:rsidRPr="008E4D59" w:rsidRDefault="00FF2FA2" w:rsidP="00FF2FA2">
      <w:pPr>
        <w:spacing w:after="200" w:line="276" w:lineRule="auto"/>
        <w:rPr>
          <w:rFonts w:ascii="Arial" w:eastAsia="Calibri" w:hAnsi="Arial" w:cs="Arial"/>
          <w:b/>
          <w:bCs/>
          <w:kern w:val="2"/>
        </w:rPr>
      </w:pPr>
      <w:bookmarkStart w:id="1" w:name="_Hlk197682619"/>
      <w:bookmarkStart w:id="2" w:name="_Hlk180402183"/>
      <w:bookmarkStart w:id="3" w:name="_Hlk183680988"/>
      <w:bookmarkStart w:id="4" w:name="_Hlk197351200"/>
      <w:bookmarkStart w:id="5" w:name="_Hlk213410455"/>
      <w:bookmarkStart w:id="6" w:name="_Hlk213409052"/>
      <w:r w:rsidRPr="008E4D59">
        <w:rPr>
          <w:rFonts w:ascii="Arial" w:eastAsia="Calibri" w:hAnsi="Arial" w:cs="Arial"/>
          <w:b/>
          <w:bCs/>
          <w:kern w:val="2"/>
        </w:rPr>
        <w:t>Disclaimer (Artificial intelligence)</w:t>
      </w:r>
    </w:p>
    <w:p w14:paraId="18916F59" w14:textId="2CFAEB1C" w:rsidR="003E4B78" w:rsidRDefault="00FF2FA2" w:rsidP="003E4B78">
      <w:pPr>
        <w:pStyle w:val="ReferHead"/>
        <w:spacing w:after="0"/>
        <w:jc w:val="both"/>
        <w:rPr>
          <w:rFonts w:ascii="Arial" w:hAnsi="Arial" w:cs="Arial"/>
        </w:rPr>
      </w:pPr>
      <w:r w:rsidRPr="008E4D59">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bookmarkEnd w:id="4"/>
      <w:bookmarkEnd w:id="5"/>
      <w:bookmarkEnd w:id="6"/>
      <w:r w:rsidR="003E4B78" w:rsidRPr="00FB3A86">
        <w:rPr>
          <w:rFonts w:ascii="Arial" w:hAnsi="Arial" w:cs="Arial"/>
        </w:rPr>
        <w:t>References</w:t>
      </w:r>
    </w:p>
    <w:p w14:paraId="311A67F1" w14:textId="5D124910" w:rsidR="004C69E4" w:rsidRDefault="004C69E4" w:rsidP="003E4B78">
      <w:pPr>
        <w:pStyle w:val="ReferHead"/>
        <w:spacing w:after="0"/>
        <w:jc w:val="both"/>
        <w:rPr>
          <w:rFonts w:ascii="Arial" w:hAnsi="Arial" w:cs="Arial"/>
        </w:rPr>
      </w:pPr>
    </w:p>
    <w:p w14:paraId="2189D3B7" w14:textId="70F921CF" w:rsidR="004C69E4" w:rsidRDefault="004C69E4" w:rsidP="003E4B78">
      <w:pPr>
        <w:pStyle w:val="ReferHead"/>
        <w:spacing w:after="0"/>
        <w:jc w:val="both"/>
        <w:rPr>
          <w:rFonts w:ascii="Arial" w:hAnsi="Arial" w:cs="Arial"/>
        </w:rPr>
      </w:pPr>
      <w:r>
        <w:rPr>
          <w:rFonts w:ascii="Arial" w:hAnsi="Arial" w:cs="Arial"/>
        </w:rPr>
        <w:t xml:space="preserve">Refferences: </w:t>
      </w:r>
    </w:p>
    <w:p w14:paraId="76DFC850" w14:textId="77777777" w:rsidR="00F775A7" w:rsidRDefault="00F775A7" w:rsidP="003E4B78">
      <w:pPr>
        <w:pStyle w:val="ReferHead"/>
        <w:spacing w:after="0"/>
        <w:jc w:val="both"/>
        <w:rPr>
          <w:rFonts w:ascii="Arial" w:hAnsi="Arial" w:cs="Arial"/>
        </w:rPr>
      </w:pPr>
    </w:p>
    <w:p w14:paraId="1E695757" w14:textId="77777777" w:rsidR="003E4B78" w:rsidRPr="00FB3A86" w:rsidRDefault="003E4B78" w:rsidP="003E4B78">
      <w:pPr>
        <w:pStyle w:val="ReferHead"/>
        <w:spacing w:after="0"/>
        <w:jc w:val="both"/>
        <w:rPr>
          <w:rFonts w:ascii="Arial" w:hAnsi="Arial" w:cs="Arial"/>
        </w:rPr>
      </w:pPr>
    </w:p>
    <w:p w14:paraId="21F111C9" w14:textId="77E5A8D6" w:rsidR="0079114C" w:rsidRPr="00EA196D" w:rsidRDefault="0079114C" w:rsidP="00EA196D">
      <w:pPr>
        <w:pStyle w:val="ListParagraph"/>
        <w:numPr>
          <w:ilvl w:val="0"/>
          <w:numId w:val="33"/>
        </w:numPr>
        <w:tabs>
          <w:tab w:val="left" w:pos="720"/>
        </w:tabs>
        <w:spacing w:line="360" w:lineRule="auto"/>
        <w:jc w:val="both"/>
        <w:rPr>
          <w:rFonts w:ascii="Arial" w:hAnsi="Arial" w:cs="Arial"/>
          <w:color w:val="222222"/>
          <w:shd w:val="clear" w:color="auto" w:fill="FFFFFF"/>
        </w:rPr>
      </w:pPr>
      <w:proofErr w:type="spellStart"/>
      <w:r w:rsidRPr="00EA196D">
        <w:rPr>
          <w:rFonts w:ascii="Arial" w:hAnsi="Arial" w:cs="Arial"/>
          <w:color w:val="222222"/>
          <w:shd w:val="clear" w:color="auto" w:fill="FFFFFF"/>
        </w:rPr>
        <w:t>Adjognon</w:t>
      </w:r>
      <w:proofErr w:type="spellEnd"/>
      <w:r w:rsidRPr="00EA196D">
        <w:rPr>
          <w:rFonts w:ascii="Arial" w:hAnsi="Arial" w:cs="Arial"/>
          <w:color w:val="222222"/>
          <w:shd w:val="clear" w:color="auto" w:fill="FFFFFF"/>
        </w:rPr>
        <w:t>, S. G., Liverpool-</w:t>
      </w:r>
      <w:proofErr w:type="spellStart"/>
      <w:r w:rsidRPr="00EA196D">
        <w:rPr>
          <w:rFonts w:ascii="Arial" w:hAnsi="Arial" w:cs="Arial"/>
          <w:color w:val="222222"/>
          <w:shd w:val="clear" w:color="auto" w:fill="FFFFFF"/>
        </w:rPr>
        <w:t>Tasie</w:t>
      </w:r>
      <w:proofErr w:type="spellEnd"/>
      <w:r w:rsidRPr="00EA196D">
        <w:rPr>
          <w:rFonts w:ascii="Arial" w:hAnsi="Arial" w:cs="Arial"/>
          <w:color w:val="222222"/>
          <w:shd w:val="clear" w:color="auto" w:fill="FFFFFF"/>
        </w:rPr>
        <w:t>, L. S. O., &amp; Reardon, T. A. (2017). Agricultural input credit in Sub-Saharan Africa: Telling myth from facts. Food policy, 67, 93-105.</w:t>
      </w:r>
      <w:r w:rsidR="00B03EED" w:rsidRPr="00EA196D">
        <w:rPr>
          <w:rFonts w:ascii="Arial" w:hAnsi="Arial" w:cs="Arial"/>
          <w:color w:val="222222"/>
          <w:shd w:val="clear" w:color="auto" w:fill="FFFFFF"/>
        </w:rPr>
        <w:t xml:space="preserve"> </w:t>
      </w:r>
      <w:hyperlink r:id="rId14" w:history="1">
        <w:r w:rsidR="00B03EED" w:rsidRPr="00EA196D">
          <w:rPr>
            <w:rStyle w:val="Hyperlink"/>
            <w:rFonts w:ascii="Arial" w:hAnsi="Arial" w:cs="Arial"/>
            <w:shd w:val="clear" w:color="auto" w:fill="FFFFFF"/>
          </w:rPr>
          <w:t>https://doi.org/10.1016/j.foodpol.2016.09.014</w:t>
        </w:r>
      </w:hyperlink>
      <w:r w:rsidR="00B03EED" w:rsidRPr="00EA196D">
        <w:rPr>
          <w:rFonts w:ascii="Arial" w:hAnsi="Arial" w:cs="Arial"/>
          <w:color w:val="222222"/>
          <w:shd w:val="clear" w:color="auto" w:fill="FFFFFF"/>
        </w:rPr>
        <w:t xml:space="preserve"> </w:t>
      </w:r>
    </w:p>
    <w:p w14:paraId="4F02B4CF" w14:textId="7F64428B" w:rsidR="00B03EED" w:rsidRPr="00EA196D" w:rsidRDefault="0079114C" w:rsidP="00EA196D">
      <w:pPr>
        <w:pStyle w:val="ListParagraph"/>
        <w:numPr>
          <w:ilvl w:val="0"/>
          <w:numId w:val="33"/>
        </w:numPr>
        <w:tabs>
          <w:tab w:val="left" w:pos="720"/>
        </w:tabs>
        <w:spacing w:line="360" w:lineRule="auto"/>
        <w:jc w:val="both"/>
      </w:pPr>
      <w:r w:rsidRPr="00EA196D">
        <w:rPr>
          <w:rFonts w:ascii="Arial" w:hAnsi="Arial" w:cs="Arial"/>
          <w:color w:val="222222"/>
          <w:shd w:val="clear" w:color="auto" w:fill="FFFFFF"/>
        </w:rPr>
        <w:t>Ahmed, H., &amp; Ahmed, M. (2023). Influencing factors on adoption of modern agricultural technology in developing economy countries. </w:t>
      </w:r>
      <w:r w:rsidRPr="00EA196D">
        <w:rPr>
          <w:rFonts w:ascii="Arial" w:hAnsi="Arial" w:cs="Arial"/>
          <w:i/>
          <w:iCs/>
          <w:color w:val="222222"/>
          <w:shd w:val="clear" w:color="auto" w:fill="FFFFFF"/>
        </w:rPr>
        <w:t>Developing Country Studies</w:t>
      </w:r>
      <w:r w:rsidRPr="00EA196D">
        <w:rPr>
          <w:rFonts w:ascii="Arial" w:hAnsi="Arial" w:cs="Arial"/>
          <w:color w:val="222222"/>
          <w:shd w:val="clear" w:color="auto" w:fill="FFFFFF"/>
        </w:rPr>
        <w:t>, 13(2), 1-15.</w:t>
      </w:r>
      <w:r w:rsidR="00B03EED" w:rsidRPr="00EA196D">
        <w:rPr>
          <w:rFonts w:ascii="Arial" w:hAnsi="Arial" w:cs="Arial"/>
          <w:color w:val="222222"/>
          <w:shd w:val="clear" w:color="auto" w:fill="FFFFFF"/>
        </w:rPr>
        <w:t xml:space="preserve"> </w:t>
      </w:r>
      <w:r w:rsidR="00B03EED">
        <w:t>10.7176/DCS/13-2-01</w:t>
      </w:r>
    </w:p>
    <w:p w14:paraId="237C9F02" w14:textId="5D19115F" w:rsidR="0079114C" w:rsidRPr="00EA196D" w:rsidRDefault="0079114C" w:rsidP="00EA196D">
      <w:pPr>
        <w:pStyle w:val="ListParagraph"/>
        <w:numPr>
          <w:ilvl w:val="0"/>
          <w:numId w:val="33"/>
        </w:numPr>
        <w:tabs>
          <w:tab w:val="left" w:pos="720"/>
        </w:tabs>
        <w:spacing w:line="360" w:lineRule="auto"/>
        <w:jc w:val="both"/>
        <w:rPr>
          <w:rFonts w:ascii="Arial" w:hAnsi="Arial" w:cs="Arial"/>
          <w:color w:val="222222"/>
          <w:shd w:val="clear" w:color="auto" w:fill="FFFFFF"/>
        </w:rPr>
      </w:pPr>
      <w:r w:rsidRPr="00EA196D">
        <w:rPr>
          <w:rFonts w:ascii="Arial" w:hAnsi="Arial" w:cs="Arial"/>
          <w:color w:val="222222"/>
          <w:shd w:val="clear" w:color="auto" w:fill="FFFFFF"/>
        </w:rPr>
        <w:lastRenderedPageBreak/>
        <w:t xml:space="preserve">Anderson, J. R., &amp; Feder, G. (2004). </w:t>
      </w:r>
      <w:r w:rsidRPr="00EA196D">
        <w:rPr>
          <w:rFonts w:ascii="Arial" w:hAnsi="Arial" w:cs="Arial"/>
          <w:i/>
          <w:iCs/>
          <w:color w:val="222222"/>
          <w:shd w:val="clear" w:color="auto" w:fill="FFFFFF"/>
        </w:rPr>
        <w:t>Agricultural extension: Good intentions and hard realities</w:t>
      </w:r>
      <w:r w:rsidRPr="00EA196D">
        <w:rPr>
          <w:rFonts w:ascii="Arial" w:hAnsi="Arial" w:cs="Arial"/>
          <w:color w:val="222222"/>
          <w:shd w:val="clear" w:color="auto" w:fill="FFFFFF"/>
        </w:rPr>
        <w:t>. The World Bank Research Observer, 19(1), 41-60.</w:t>
      </w:r>
      <w:r w:rsidR="00B03EED" w:rsidRPr="00EA196D">
        <w:rPr>
          <w:rFonts w:ascii="Arial" w:hAnsi="Arial" w:cs="Arial"/>
          <w:color w:val="222222"/>
          <w:shd w:val="clear" w:color="auto" w:fill="FFFFFF"/>
        </w:rPr>
        <w:t xml:space="preserve"> </w:t>
      </w:r>
      <w:hyperlink r:id="rId15" w:history="1">
        <w:r w:rsidR="00B03EED" w:rsidRPr="00EA196D">
          <w:rPr>
            <w:rStyle w:val="Hyperlink"/>
            <w:rFonts w:ascii="Arial" w:hAnsi="Arial" w:cs="Arial"/>
            <w:shd w:val="clear" w:color="auto" w:fill="FFFFFF"/>
          </w:rPr>
          <w:t>https://doi.org/10.1093/wbro/lkh013</w:t>
        </w:r>
      </w:hyperlink>
      <w:r w:rsidR="00B03EED" w:rsidRPr="00EA196D">
        <w:rPr>
          <w:rFonts w:ascii="Arial" w:hAnsi="Arial" w:cs="Arial"/>
          <w:color w:val="222222"/>
          <w:shd w:val="clear" w:color="auto" w:fill="FFFFFF"/>
        </w:rPr>
        <w:t xml:space="preserve"> </w:t>
      </w:r>
    </w:p>
    <w:p w14:paraId="7EECE272" w14:textId="77777777" w:rsidR="0079114C" w:rsidRPr="00EA196D" w:rsidRDefault="0079114C" w:rsidP="00EA196D">
      <w:pPr>
        <w:pStyle w:val="ListParagraph"/>
        <w:numPr>
          <w:ilvl w:val="0"/>
          <w:numId w:val="33"/>
        </w:numPr>
        <w:tabs>
          <w:tab w:val="left" w:pos="720"/>
        </w:tabs>
        <w:spacing w:line="360" w:lineRule="auto"/>
        <w:jc w:val="both"/>
        <w:rPr>
          <w:rStyle w:val="Hyperlink"/>
          <w:rFonts w:ascii="Arial" w:eastAsia="Calibri" w:hAnsi="Arial" w:cs="Arial"/>
          <w:shd w:val="clear" w:color="auto" w:fill="FFFFFF"/>
          <w:lang w:val="pt-BR" w:bidi="hi-IN"/>
        </w:rPr>
      </w:pPr>
      <w:r w:rsidRPr="00EA196D">
        <w:rPr>
          <w:rFonts w:ascii="Arial" w:eastAsia="Calibri" w:hAnsi="Arial" w:cs="Arial"/>
          <w:color w:val="222222"/>
          <w:shd w:val="clear" w:color="auto" w:fill="FFFFFF"/>
          <w:lang w:val="pt-BR" w:bidi="hi-IN"/>
        </w:rPr>
        <w:t xml:space="preserve">Bijla, S., &amp; Sharma, V.P. (2023). </w:t>
      </w:r>
      <w:r w:rsidRPr="00EA196D">
        <w:rPr>
          <w:rFonts w:ascii="Arial" w:eastAsia="Calibri" w:hAnsi="Arial" w:cs="Arial"/>
          <w:color w:val="222222"/>
          <w:shd w:val="clear" w:color="auto" w:fill="FFFFFF"/>
          <w:lang w:val="en-IN" w:bidi="hi-IN"/>
        </w:rPr>
        <w:t xml:space="preserve">Status of mushroom production: Global and national scenario. </w:t>
      </w:r>
      <w:r w:rsidRPr="00EA196D">
        <w:rPr>
          <w:rFonts w:ascii="Arial" w:eastAsia="Calibri" w:hAnsi="Arial" w:cs="Arial"/>
          <w:color w:val="222222"/>
          <w:shd w:val="clear" w:color="auto" w:fill="FFFFFF"/>
          <w:lang w:val="pt-BR" w:bidi="hi-IN"/>
        </w:rPr>
        <w:t xml:space="preserve">Mushroom Research, 32(2), 91-98. </w:t>
      </w:r>
      <w:hyperlink r:id="rId16" w:history="1">
        <w:r w:rsidRPr="00EA196D">
          <w:rPr>
            <w:rStyle w:val="Hyperlink"/>
            <w:rFonts w:ascii="Arial" w:eastAsia="Calibri" w:hAnsi="Arial" w:cs="Arial"/>
            <w:shd w:val="clear" w:color="auto" w:fill="FFFFFF"/>
            <w:lang w:val="pt-BR" w:bidi="hi-IN"/>
          </w:rPr>
          <w:t>https://doi.org/10.36036/MR.32.2.2023.146647</w:t>
        </w:r>
      </w:hyperlink>
    </w:p>
    <w:p w14:paraId="60B81DA2" w14:textId="205AAD5D" w:rsidR="0079114C" w:rsidRPr="00EA196D" w:rsidRDefault="0079114C" w:rsidP="00EA196D">
      <w:pPr>
        <w:pStyle w:val="ListParagraph"/>
        <w:numPr>
          <w:ilvl w:val="0"/>
          <w:numId w:val="33"/>
        </w:numPr>
        <w:tabs>
          <w:tab w:val="left" w:pos="720"/>
        </w:tabs>
        <w:spacing w:line="360" w:lineRule="auto"/>
        <w:jc w:val="both"/>
        <w:rPr>
          <w:rFonts w:ascii="Arial" w:hAnsi="Arial" w:cs="Arial"/>
        </w:rPr>
      </w:pPr>
      <w:r w:rsidRPr="00EA196D">
        <w:rPr>
          <w:rFonts w:ascii="Arial" w:hAnsi="Arial" w:cs="Arial"/>
        </w:rPr>
        <w:t xml:space="preserve">Doss, C., </w:t>
      </w:r>
      <w:proofErr w:type="spellStart"/>
      <w:r w:rsidRPr="00EA196D">
        <w:rPr>
          <w:rFonts w:ascii="Arial" w:hAnsi="Arial" w:cs="Arial"/>
        </w:rPr>
        <w:t>Meinzen</w:t>
      </w:r>
      <w:proofErr w:type="spellEnd"/>
      <w:r w:rsidRPr="00EA196D">
        <w:rPr>
          <w:rFonts w:ascii="Arial" w:hAnsi="Arial" w:cs="Arial"/>
        </w:rPr>
        <w:t>-Dick, R., Quisumbing, A., &amp; Theis, S. (2018). Women in agriculture: Four myths. </w:t>
      </w:r>
      <w:r w:rsidRPr="00EA196D">
        <w:rPr>
          <w:rFonts w:ascii="Arial" w:hAnsi="Arial" w:cs="Arial"/>
          <w:i/>
          <w:iCs/>
        </w:rPr>
        <w:t>Global food security</w:t>
      </w:r>
      <w:r w:rsidRPr="00EA196D">
        <w:rPr>
          <w:rFonts w:ascii="Arial" w:hAnsi="Arial" w:cs="Arial"/>
        </w:rPr>
        <w:t>, 16, 69-74.</w:t>
      </w:r>
      <w:r w:rsidR="00B03EED" w:rsidRPr="00EA196D">
        <w:rPr>
          <w:rFonts w:ascii="Arial" w:hAnsi="Arial" w:cs="Arial"/>
        </w:rPr>
        <w:t xml:space="preserve"> </w:t>
      </w:r>
      <w:hyperlink r:id="rId17" w:history="1">
        <w:r w:rsidR="00B03EED" w:rsidRPr="00EA196D">
          <w:rPr>
            <w:rStyle w:val="Hyperlink"/>
            <w:rFonts w:ascii="Arial" w:hAnsi="Arial" w:cs="Arial"/>
          </w:rPr>
          <w:t>https://doi.org/10.1016/j.gfs.2017.10.001</w:t>
        </w:r>
      </w:hyperlink>
      <w:r w:rsidR="00B03EED" w:rsidRPr="00EA196D">
        <w:rPr>
          <w:rFonts w:ascii="Arial" w:hAnsi="Arial" w:cs="Arial"/>
        </w:rPr>
        <w:t xml:space="preserve"> </w:t>
      </w:r>
    </w:p>
    <w:p w14:paraId="1255B130"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Evenson, R. E. (2001). Economic impacts of agricultural research and extension. Handbook of Agricultural Economics, 1, 573-628. </w:t>
      </w:r>
      <w:hyperlink r:id="rId18" w:history="1">
        <w:r w:rsidRPr="00EA196D">
          <w:rPr>
            <w:rStyle w:val="Hyperlink"/>
            <w:rFonts w:ascii="Arial" w:eastAsia="Calibri" w:hAnsi="Arial" w:cs="Arial"/>
            <w:shd w:val="clear" w:color="auto" w:fill="FFFFFF"/>
            <w:lang w:bidi="hi-IN"/>
          </w:rPr>
          <w:t>https://doi.org/10.1016/S1574-0072(01)10014-9</w:t>
        </w:r>
      </w:hyperlink>
    </w:p>
    <w:p w14:paraId="7C7B3009"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proofErr w:type="spellStart"/>
      <w:r w:rsidRPr="00EA196D">
        <w:rPr>
          <w:rFonts w:ascii="Arial" w:eastAsia="Calibri" w:hAnsi="Arial" w:cs="Arial"/>
          <w:shd w:val="clear" w:color="auto" w:fill="FFFFFF"/>
          <w:lang w:bidi="hi-IN"/>
        </w:rPr>
        <w:t>Femor</w:t>
      </w:r>
      <w:proofErr w:type="spellEnd"/>
      <w:r w:rsidRPr="00EA196D">
        <w:rPr>
          <w:rFonts w:ascii="Arial" w:eastAsia="Calibri" w:hAnsi="Arial" w:cs="Arial"/>
          <w:shd w:val="clear" w:color="auto" w:fill="FFFFFF"/>
          <w:lang w:bidi="hi-IN"/>
        </w:rPr>
        <w:t xml:space="preserve">, T.R., Randle, P.E., &amp; Smith, J.F. (1985). Compost as a substrate and its preparation. In P.B. Flegg and others (Eds.), </w:t>
      </w:r>
      <w:r w:rsidRPr="00EA196D">
        <w:rPr>
          <w:rFonts w:ascii="Arial" w:eastAsia="Calibri" w:hAnsi="Arial" w:cs="Arial"/>
          <w:i/>
          <w:iCs/>
          <w:shd w:val="clear" w:color="auto" w:fill="FFFFFF"/>
          <w:lang w:bidi="hi-IN"/>
        </w:rPr>
        <w:t>The Biology and Technology of the Cultivated Mushroom</w:t>
      </w:r>
      <w:r w:rsidRPr="00EA196D">
        <w:rPr>
          <w:rFonts w:ascii="Arial" w:eastAsia="Calibri" w:hAnsi="Arial" w:cs="Arial"/>
          <w:shd w:val="clear" w:color="auto" w:fill="FFFFFF"/>
          <w:lang w:bidi="hi-IN"/>
        </w:rPr>
        <w:t>. Chichester, Wiley, 81-109.</w:t>
      </w:r>
    </w:p>
    <w:p w14:paraId="1CEED2EA"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val="pt-BR" w:bidi="hi-IN"/>
        </w:rPr>
        <w:t xml:space="preserve">Fernandez-Cornejo, J., Beach, E. D., &amp; Huang, W. Y. (1994). </w:t>
      </w:r>
      <w:r w:rsidRPr="00EA196D">
        <w:rPr>
          <w:rFonts w:ascii="Arial" w:eastAsia="Calibri" w:hAnsi="Arial" w:cs="Arial"/>
          <w:shd w:val="clear" w:color="auto" w:fill="FFFFFF"/>
          <w:lang w:bidi="hi-IN"/>
        </w:rPr>
        <w:t xml:space="preserve">The adoption of IPM techniques by vegetable growers in Florida, Michigan and Texas. Journal of Agricultural and Applied Economics, 26(1), 158-172. </w:t>
      </w:r>
      <w:hyperlink r:id="rId19" w:history="1">
        <w:r w:rsidRPr="00EA196D">
          <w:rPr>
            <w:rStyle w:val="Hyperlink"/>
            <w:rFonts w:ascii="Arial" w:eastAsia="Calibri" w:hAnsi="Arial" w:cs="Arial"/>
            <w:shd w:val="clear" w:color="auto" w:fill="FFFFFF"/>
            <w:lang w:bidi="hi-IN"/>
          </w:rPr>
          <w:t>https://doi.org/10.1017/S1074070800019271</w:t>
        </w:r>
      </w:hyperlink>
    </w:p>
    <w:p w14:paraId="111E2869"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Fernandez-Cornejo, J., Mishra, A.K., Nehring, R.F., Hendricks, C., Southern, M., &amp; Gregory, A. (2007). Off-farm income, technology adoption, and farm economic performance (Economic Research Report 36). United States Department of Agriculture, Economic Research Service. </w:t>
      </w:r>
      <w:hyperlink r:id="rId20" w:history="1">
        <w:r w:rsidRPr="00EA196D">
          <w:rPr>
            <w:rStyle w:val="Hyperlink"/>
            <w:rFonts w:ascii="Arial" w:eastAsia="Calibri" w:hAnsi="Arial" w:cs="Arial"/>
            <w:shd w:val="clear" w:color="auto" w:fill="FFFFFF"/>
            <w:lang w:bidi="hi-IN"/>
          </w:rPr>
          <w:t>https://doi.org/10.22004/ag.econ.7234</w:t>
        </w:r>
      </w:hyperlink>
    </w:p>
    <w:p w14:paraId="4D010FF9"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GoI. (2025). Annual Report 2024-25. Department of Agriculture, Cooperation &amp; Farmers’ Welfare. Ministry of Agriculture &amp; Farmers’ Welfare. New Delhi. </w:t>
      </w:r>
    </w:p>
    <w:p w14:paraId="3CCE9667"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Government of India, Ministry of Agriculture &amp; Farmers’ Welfare, Department of Agriculture, Cooperation &amp; Farmers’ Welfare. (2020). All India Report on Agriculture Census 2015-16. </w:t>
      </w:r>
      <w:hyperlink r:id="rId21" w:history="1">
        <w:r w:rsidRPr="00EA196D">
          <w:rPr>
            <w:rStyle w:val="Hyperlink"/>
            <w:rFonts w:ascii="Arial" w:eastAsia="Calibri" w:hAnsi="Arial" w:cs="Arial"/>
            <w:shd w:val="clear" w:color="auto" w:fill="FFFFFF"/>
            <w:lang w:bidi="hi-IN"/>
          </w:rPr>
          <w:t>http://agcensus.nic.in/document/agcen1516/T1_ac_2015_16.pdf</w:t>
        </w:r>
      </w:hyperlink>
    </w:p>
    <w:p w14:paraId="5C6CCA2E"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Gregory, T., &amp; </w:t>
      </w:r>
      <w:proofErr w:type="spellStart"/>
      <w:r w:rsidRPr="00EA196D">
        <w:rPr>
          <w:rFonts w:ascii="Arial" w:eastAsia="Calibri" w:hAnsi="Arial" w:cs="Arial"/>
          <w:shd w:val="clear" w:color="auto" w:fill="FFFFFF"/>
          <w:lang w:bidi="hi-IN"/>
        </w:rPr>
        <w:t>Sewando</w:t>
      </w:r>
      <w:proofErr w:type="spellEnd"/>
      <w:r w:rsidRPr="00EA196D">
        <w:rPr>
          <w:rFonts w:ascii="Arial" w:eastAsia="Calibri" w:hAnsi="Arial" w:cs="Arial"/>
          <w:shd w:val="clear" w:color="auto" w:fill="FFFFFF"/>
          <w:lang w:bidi="hi-IN"/>
        </w:rPr>
        <w:t xml:space="preserve">, P. (2013). Determinants of the probability of adopting quality protein maize (QPM) technology in Tanzania: A logistic regression analysis. International journal of development and sustainability, 2(2), 729-746. </w:t>
      </w:r>
      <w:hyperlink r:id="rId22" w:history="1">
        <w:r w:rsidRPr="00EA196D">
          <w:rPr>
            <w:rStyle w:val="Hyperlink"/>
            <w:rFonts w:ascii="Arial" w:eastAsia="Calibri" w:hAnsi="Arial" w:cs="Arial"/>
            <w:shd w:val="clear" w:color="auto" w:fill="FFFFFF"/>
            <w:lang w:bidi="hi-IN"/>
          </w:rPr>
          <w:t>https://www.isdsnet.com/ijds/volume2number2/IJDS12122701.pdf</w:t>
        </w:r>
      </w:hyperlink>
    </w:p>
    <w:p w14:paraId="54951B9B"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shd w:val="clear" w:color="auto" w:fill="FFFFFF"/>
          <w:lang w:bidi="hi-IN"/>
        </w:rPr>
      </w:pPr>
      <w:r w:rsidRPr="00EA196D">
        <w:rPr>
          <w:rFonts w:ascii="Arial" w:eastAsia="Calibri" w:hAnsi="Arial" w:cs="Arial"/>
          <w:shd w:val="clear" w:color="auto" w:fill="FFFFFF"/>
          <w:lang w:bidi="hi-IN"/>
        </w:rPr>
        <w:t xml:space="preserve">Hernández, D., Sánchez, J.E., &amp; Yamasaki, K. (2003). A simple procedure for preparing substrate for Pleurotus ostreatus cultivation. Bioresource Technology, 90(2), 145-150. </w:t>
      </w:r>
      <w:hyperlink r:id="rId23" w:history="1">
        <w:r w:rsidRPr="00EA196D">
          <w:rPr>
            <w:rStyle w:val="Hyperlink"/>
            <w:rFonts w:ascii="Arial" w:eastAsia="Calibri" w:hAnsi="Arial" w:cs="Arial"/>
            <w:shd w:val="clear" w:color="auto" w:fill="FFFFFF"/>
            <w:lang w:bidi="hi-IN"/>
          </w:rPr>
          <w:t>https://doi.org/10.1016/S0960-8524(03)00118-4</w:t>
        </w:r>
      </w:hyperlink>
    </w:p>
    <w:p w14:paraId="7750DB6D"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lang w:bidi="hi-IN"/>
        </w:rPr>
      </w:pPr>
      <w:proofErr w:type="spellStart"/>
      <w:r w:rsidRPr="00EA196D">
        <w:rPr>
          <w:rFonts w:ascii="Arial" w:eastAsia="Calibri" w:hAnsi="Arial" w:cs="Arial"/>
          <w:color w:val="222222"/>
          <w:shd w:val="clear" w:color="auto" w:fill="FFFFFF"/>
          <w:lang w:bidi="hi-IN"/>
        </w:rPr>
        <w:lastRenderedPageBreak/>
        <w:t>Isgin</w:t>
      </w:r>
      <w:proofErr w:type="spellEnd"/>
      <w:r w:rsidRPr="00EA196D">
        <w:rPr>
          <w:rFonts w:ascii="Arial" w:eastAsia="Calibri" w:hAnsi="Arial" w:cs="Arial"/>
          <w:color w:val="222222"/>
          <w:shd w:val="clear" w:color="auto" w:fill="FFFFFF"/>
          <w:lang w:bidi="hi-IN"/>
        </w:rPr>
        <w:t xml:space="preserve">, T., </w:t>
      </w:r>
      <w:proofErr w:type="spellStart"/>
      <w:r w:rsidRPr="00EA196D">
        <w:rPr>
          <w:rFonts w:ascii="Arial" w:eastAsia="Calibri" w:hAnsi="Arial" w:cs="Arial"/>
          <w:color w:val="222222"/>
          <w:shd w:val="clear" w:color="auto" w:fill="FFFFFF"/>
          <w:lang w:bidi="hi-IN"/>
        </w:rPr>
        <w:t>Bilgic</w:t>
      </w:r>
      <w:proofErr w:type="spellEnd"/>
      <w:r w:rsidRPr="00EA196D">
        <w:rPr>
          <w:rFonts w:ascii="Arial" w:eastAsia="Calibri" w:hAnsi="Arial" w:cs="Arial"/>
          <w:color w:val="222222"/>
          <w:shd w:val="clear" w:color="auto" w:fill="FFFFFF"/>
          <w:lang w:bidi="hi-IN"/>
        </w:rPr>
        <w:t xml:space="preserve">, A., Forster, D.L., &amp; Batte, M.T. (2008). Using count data models to determine the factors affecting farmers’ quantity decisions of precision farming technology adoption. Computers and electronics in agriculture, 62(2), 231-242. </w:t>
      </w:r>
      <w:hyperlink r:id="rId24" w:history="1">
        <w:r w:rsidRPr="00EA196D">
          <w:rPr>
            <w:rStyle w:val="Hyperlink"/>
            <w:rFonts w:ascii="Arial" w:eastAsia="Calibri" w:hAnsi="Arial" w:cs="Arial"/>
            <w:shd w:val="clear" w:color="auto" w:fill="FFFFFF"/>
            <w:lang w:bidi="hi-IN"/>
          </w:rPr>
          <w:t>https://doi.org/10.1016/j.compag.2008.01.004</w:t>
        </w:r>
      </w:hyperlink>
    </w:p>
    <w:p w14:paraId="73FEE7CB"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lang w:bidi="hi-IN"/>
        </w:rPr>
      </w:pPr>
      <w:r w:rsidRPr="00EA196D">
        <w:rPr>
          <w:rFonts w:ascii="Arial" w:eastAsia="Calibri" w:hAnsi="Arial" w:cs="Arial"/>
          <w:color w:val="222222"/>
          <w:shd w:val="clear" w:color="auto" w:fill="FFFFFF"/>
          <w:lang w:val="pt-BR" w:bidi="hi-IN"/>
        </w:rPr>
        <w:t xml:space="preserve">Kariaga, M. G., Nyongesa, H. W., Keya, N. C. O., &amp; Tsingalia, H. M. (2012). </w:t>
      </w:r>
      <w:r w:rsidRPr="00EA196D">
        <w:rPr>
          <w:rFonts w:ascii="Arial" w:eastAsia="Calibri" w:hAnsi="Arial" w:cs="Arial"/>
          <w:color w:val="222222"/>
          <w:shd w:val="clear" w:color="auto" w:fill="FFFFFF"/>
          <w:lang w:bidi="hi-IN"/>
        </w:rPr>
        <w:t xml:space="preserve">Compost </w:t>
      </w:r>
      <w:proofErr w:type="spellStart"/>
      <w:r w:rsidRPr="00EA196D">
        <w:rPr>
          <w:rFonts w:ascii="Arial" w:eastAsia="Calibri" w:hAnsi="Arial" w:cs="Arial"/>
          <w:color w:val="222222"/>
          <w:shd w:val="clear" w:color="auto" w:fill="FFFFFF"/>
          <w:lang w:bidi="hi-IN"/>
        </w:rPr>
        <w:t>physico</w:t>
      </w:r>
      <w:proofErr w:type="spellEnd"/>
      <w:r w:rsidRPr="00EA196D">
        <w:rPr>
          <w:rFonts w:ascii="Arial" w:eastAsia="Calibri" w:hAnsi="Arial" w:cs="Arial"/>
          <w:color w:val="222222"/>
          <w:shd w:val="clear" w:color="auto" w:fill="FFFFFF"/>
          <w:lang w:bidi="hi-IN"/>
        </w:rPr>
        <w:t xml:space="preserve">-chemical factors that impact on yield in button mushrooms, </w:t>
      </w:r>
      <w:proofErr w:type="spellStart"/>
      <w:r w:rsidRPr="00EA196D">
        <w:rPr>
          <w:rFonts w:ascii="Arial" w:eastAsia="Calibri" w:hAnsi="Arial" w:cs="Arial"/>
          <w:color w:val="222222"/>
          <w:shd w:val="clear" w:color="auto" w:fill="FFFFFF"/>
          <w:lang w:bidi="hi-IN"/>
        </w:rPr>
        <w:t>Agaricus</w:t>
      </w:r>
      <w:proofErr w:type="spellEnd"/>
      <w:r w:rsidRPr="00EA196D">
        <w:rPr>
          <w:rFonts w:ascii="Arial" w:eastAsia="Calibri" w:hAnsi="Arial" w:cs="Arial"/>
          <w:color w:val="222222"/>
          <w:shd w:val="clear" w:color="auto" w:fill="FFFFFF"/>
          <w:lang w:bidi="hi-IN"/>
        </w:rPr>
        <w:t xml:space="preserve"> </w:t>
      </w:r>
      <w:proofErr w:type="spellStart"/>
      <w:r w:rsidRPr="00EA196D">
        <w:rPr>
          <w:rFonts w:ascii="Arial" w:eastAsia="Calibri" w:hAnsi="Arial" w:cs="Arial"/>
          <w:color w:val="222222"/>
          <w:shd w:val="clear" w:color="auto" w:fill="FFFFFF"/>
          <w:lang w:bidi="hi-IN"/>
        </w:rPr>
        <w:t>bisporus</w:t>
      </w:r>
      <w:proofErr w:type="spellEnd"/>
      <w:r w:rsidRPr="00EA196D">
        <w:rPr>
          <w:rFonts w:ascii="Arial" w:eastAsia="Calibri" w:hAnsi="Arial" w:cs="Arial"/>
          <w:color w:val="222222"/>
          <w:shd w:val="clear" w:color="auto" w:fill="FFFFFF"/>
          <w:lang w:bidi="hi-IN"/>
        </w:rPr>
        <w:t xml:space="preserve"> (</w:t>
      </w:r>
      <w:proofErr w:type="spellStart"/>
      <w:r w:rsidRPr="00EA196D">
        <w:rPr>
          <w:rFonts w:ascii="Arial" w:eastAsia="Calibri" w:hAnsi="Arial" w:cs="Arial"/>
          <w:color w:val="222222"/>
          <w:shd w:val="clear" w:color="auto" w:fill="FFFFFF"/>
          <w:lang w:bidi="hi-IN"/>
        </w:rPr>
        <w:t>Lge</w:t>
      </w:r>
      <w:proofErr w:type="spellEnd"/>
      <w:r w:rsidRPr="00EA196D">
        <w:rPr>
          <w:rFonts w:ascii="Arial" w:eastAsia="Calibri" w:hAnsi="Arial" w:cs="Arial"/>
          <w:color w:val="222222"/>
          <w:shd w:val="clear" w:color="auto" w:fill="FFFFFF"/>
          <w:lang w:bidi="hi-IN"/>
        </w:rPr>
        <w:t xml:space="preserve">) and </w:t>
      </w:r>
      <w:proofErr w:type="spellStart"/>
      <w:r w:rsidRPr="00EA196D">
        <w:rPr>
          <w:rFonts w:ascii="Arial" w:eastAsia="Calibri" w:hAnsi="Arial" w:cs="Arial"/>
          <w:color w:val="222222"/>
          <w:shd w:val="clear" w:color="auto" w:fill="FFFFFF"/>
          <w:lang w:bidi="hi-IN"/>
        </w:rPr>
        <w:t>Agaricus</w:t>
      </w:r>
      <w:proofErr w:type="spellEnd"/>
      <w:r w:rsidRPr="00EA196D">
        <w:rPr>
          <w:rFonts w:ascii="Arial" w:eastAsia="Calibri" w:hAnsi="Arial" w:cs="Arial"/>
          <w:color w:val="222222"/>
          <w:shd w:val="clear" w:color="auto" w:fill="FFFFFF"/>
          <w:lang w:bidi="hi-IN"/>
        </w:rPr>
        <w:t xml:space="preserve"> </w:t>
      </w:r>
      <w:proofErr w:type="spellStart"/>
      <w:r w:rsidRPr="00EA196D">
        <w:rPr>
          <w:rFonts w:ascii="Arial" w:eastAsia="Calibri" w:hAnsi="Arial" w:cs="Arial"/>
          <w:color w:val="222222"/>
          <w:shd w:val="clear" w:color="auto" w:fill="FFFFFF"/>
          <w:lang w:bidi="hi-IN"/>
        </w:rPr>
        <w:t>bitorquis</w:t>
      </w:r>
      <w:proofErr w:type="spellEnd"/>
      <w:r w:rsidRPr="00EA196D">
        <w:rPr>
          <w:rFonts w:ascii="Arial" w:eastAsia="Calibri" w:hAnsi="Arial" w:cs="Arial"/>
          <w:color w:val="222222"/>
          <w:shd w:val="clear" w:color="auto" w:fill="FFFFFF"/>
          <w:lang w:bidi="hi-IN"/>
        </w:rPr>
        <w:t xml:space="preserve"> (Quel) Saccardo. Journal of Agricultural Sciences, 3(1), 49-54. </w:t>
      </w:r>
      <w:hyperlink r:id="rId25" w:history="1">
        <w:r w:rsidRPr="00EA196D">
          <w:rPr>
            <w:rStyle w:val="Hyperlink"/>
            <w:rFonts w:ascii="Arial" w:eastAsia="Calibri" w:hAnsi="Arial" w:cs="Arial"/>
            <w:shd w:val="clear" w:color="auto" w:fill="FFFFFF"/>
            <w:lang w:bidi="hi-IN"/>
          </w:rPr>
          <w:t>https://doi.org/10.1080/09766898.2012.11884685</w:t>
        </w:r>
      </w:hyperlink>
    </w:p>
    <w:p w14:paraId="150F590D" w14:textId="77777777" w:rsidR="0079114C" w:rsidRPr="00EA196D" w:rsidRDefault="0079114C" w:rsidP="00EA196D">
      <w:pPr>
        <w:pStyle w:val="ListParagraph"/>
        <w:numPr>
          <w:ilvl w:val="0"/>
          <w:numId w:val="33"/>
        </w:numPr>
        <w:tabs>
          <w:tab w:val="left" w:pos="720"/>
        </w:tabs>
        <w:spacing w:line="360" w:lineRule="auto"/>
        <w:jc w:val="both"/>
        <w:rPr>
          <w:rFonts w:ascii="Arial" w:hAnsi="Arial" w:cs="Arial"/>
        </w:rPr>
      </w:pPr>
      <w:r w:rsidRPr="00EA196D">
        <w:rPr>
          <w:rFonts w:ascii="Arial" w:hAnsi="Arial" w:cs="Arial"/>
          <w:color w:val="222222"/>
          <w:shd w:val="clear" w:color="auto" w:fill="FFFFFF"/>
        </w:rPr>
        <w:t xml:space="preserve">Michler, J. D., </w:t>
      </w:r>
      <w:proofErr w:type="spellStart"/>
      <w:r w:rsidRPr="00EA196D">
        <w:rPr>
          <w:rFonts w:ascii="Arial" w:hAnsi="Arial" w:cs="Arial"/>
          <w:color w:val="222222"/>
          <w:shd w:val="clear" w:color="auto" w:fill="FFFFFF"/>
        </w:rPr>
        <w:t>Tjernström</w:t>
      </w:r>
      <w:proofErr w:type="spellEnd"/>
      <w:r w:rsidRPr="00EA196D">
        <w:rPr>
          <w:rFonts w:ascii="Arial" w:hAnsi="Arial" w:cs="Arial"/>
          <w:color w:val="222222"/>
          <w:shd w:val="clear" w:color="auto" w:fill="FFFFFF"/>
        </w:rPr>
        <w:t xml:space="preserve">, E., </w:t>
      </w:r>
      <w:proofErr w:type="spellStart"/>
      <w:r w:rsidRPr="00EA196D">
        <w:rPr>
          <w:rFonts w:ascii="Arial" w:hAnsi="Arial" w:cs="Arial"/>
          <w:color w:val="222222"/>
          <w:shd w:val="clear" w:color="auto" w:fill="FFFFFF"/>
        </w:rPr>
        <w:t>Verkaart</w:t>
      </w:r>
      <w:proofErr w:type="spellEnd"/>
      <w:r w:rsidRPr="00EA196D">
        <w:rPr>
          <w:rFonts w:ascii="Arial" w:hAnsi="Arial" w:cs="Arial"/>
          <w:color w:val="222222"/>
          <w:shd w:val="clear" w:color="auto" w:fill="FFFFFF"/>
        </w:rPr>
        <w:t xml:space="preserve">, S., &amp; </w:t>
      </w:r>
      <w:proofErr w:type="spellStart"/>
      <w:r w:rsidRPr="00EA196D">
        <w:rPr>
          <w:rFonts w:ascii="Arial" w:hAnsi="Arial" w:cs="Arial"/>
          <w:color w:val="222222"/>
          <w:shd w:val="clear" w:color="auto" w:fill="FFFFFF"/>
        </w:rPr>
        <w:t>Mausch</w:t>
      </w:r>
      <w:proofErr w:type="spellEnd"/>
      <w:r w:rsidRPr="00EA196D">
        <w:rPr>
          <w:rFonts w:ascii="Arial" w:hAnsi="Arial" w:cs="Arial"/>
          <w:color w:val="222222"/>
          <w:shd w:val="clear" w:color="auto" w:fill="FFFFFF"/>
        </w:rPr>
        <w:t>, K. (2019). Money matters: The role of yields and profits in agricultural technology adoption. </w:t>
      </w:r>
      <w:r w:rsidRPr="00EA196D">
        <w:rPr>
          <w:rFonts w:ascii="Arial" w:hAnsi="Arial" w:cs="Arial"/>
          <w:i/>
          <w:iCs/>
          <w:color w:val="222222"/>
          <w:shd w:val="clear" w:color="auto" w:fill="FFFFFF"/>
        </w:rPr>
        <w:t>American Journal of Agricultural Economics</w:t>
      </w:r>
      <w:r w:rsidRPr="00EA196D">
        <w:rPr>
          <w:rFonts w:ascii="Arial" w:hAnsi="Arial" w:cs="Arial"/>
          <w:color w:val="222222"/>
          <w:shd w:val="clear" w:color="auto" w:fill="FFFFFF"/>
        </w:rPr>
        <w:t>, 101(3), 710-731.</w:t>
      </w:r>
    </w:p>
    <w:p w14:paraId="08D7F668"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lang w:bidi="hi-IN"/>
        </w:rPr>
      </w:pPr>
      <w:r w:rsidRPr="00EA196D">
        <w:rPr>
          <w:rFonts w:ascii="Arial" w:eastAsia="Calibri" w:hAnsi="Arial" w:cs="Arial"/>
          <w:color w:val="222222"/>
          <w:shd w:val="clear" w:color="auto" w:fill="FFFFFF"/>
          <w:lang w:bidi="hi-IN"/>
        </w:rPr>
        <w:t xml:space="preserve">Pathak, A., Vijay, B., &amp; Singh, S. (2013). Improvements in long method composting using thermophilic fungi for white button mushroom (Agaricus bisporus) cultivation. Mushroom Research, 22(1), 43-52. </w:t>
      </w:r>
      <w:hyperlink r:id="rId26" w:history="1">
        <w:r w:rsidRPr="00EA196D">
          <w:rPr>
            <w:rStyle w:val="Hyperlink"/>
            <w:rFonts w:ascii="Arial" w:eastAsia="Calibri" w:hAnsi="Arial" w:cs="Arial"/>
            <w:shd w:val="clear" w:color="auto" w:fill="FFFFFF"/>
            <w:lang w:bidi="hi-IN"/>
          </w:rPr>
          <w:t>https://epubs.icar.org.in/index.php/MR/article/view/48981</w:t>
        </w:r>
      </w:hyperlink>
    </w:p>
    <w:p w14:paraId="6014AD79"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lang w:val="en-IN" w:bidi="hi-IN"/>
        </w:rPr>
      </w:pPr>
      <w:r w:rsidRPr="00EA196D">
        <w:rPr>
          <w:rFonts w:ascii="Arial" w:eastAsia="Calibri" w:hAnsi="Arial" w:cs="Arial"/>
          <w:lang w:val="pt-BR" w:bidi="hi-IN"/>
        </w:rPr>
        <w:t xml:space="preserve">Pérez-Palacios, T., Ruiz-Carrascal, J., Solomando, J. C., &amp; Antequera, T. (2019). </w:t>
      </w:r>
      <w:r w:rsidRPr="00EA196D">
        <w:rPr>
          <w:rFonts w:ascii="Arial" w:eastAsia="Calibri" w:hAnsi="Arial" w:cs="Arial"/>
          <w:lang w:val="en-IN" w:bidi="hi-IN"/>
        </w:rPr>
        <w:t xml:space="preserve">Strategies for Enrichment in </w:t>
      </w:r>
      <w:r w:rsidRPr="00EA196D">
        <w:rPr>
          <w:rFonts w:ascii="Arial" w:eastAsia="Calibri" w:hAnsi="Arial" w:cs="Arial"/>
          <w:lang w:val="pt-BR" w:bidi="hi-IN"/>
        </w:rPr>
        <w:t>ω</w:t>
      </w:r>
      <w:r w:rsidRPr="00EA196D">
        <w:rPr>
          <w:rFonts w:ascii="Arial" w:eastAsia="Calibri" w:hAnsi="Arial" w:cs="Arial"/>
          <w:lang w:val="en-IN" w:bidi="hi-IN"/>
        </w:rPr>
        <w:t xml:space="preserve">-3 Fatty Acids Aiming for Healthier Meat Products. Food Reviews International, 35(5), 485–503. </w:t>
      </w:r>
      <w:hyperlink r:id="rId27" w:history="1">
        <w:r w:rsidRPr="00EA196D">
          <w:rPr>
            <w:rStyle w:val="Hyperlink"/>
            <w:rFonts w:ascii="Arial" w:eastAsia="Calibri" w:hAnsi="Arial" w:cs="Arial"/>
            <w:lang w:val="en-IN" w:bidi="hi-IN"/>
          </w:rPr>
          <w:t>https://doi.org/10.1080/87559129.2019.1584817</w:t>
        </w:r>
      </w:hyperlink>
    </w:p>
    <w:p w14:paraId="144FF5EB" w14:textId="77777777" w:rsidR="0079114C" w:rsidRPr="00EA196D" w:rsidRDefault="0079114C" w:rsidP="00EA196D">
      <w:pPr>
        <w:pStyle w:val="ListParagraph"/>
        <w:numPr>
          <w:ilvl w:val="0"/>
          <w:numId w:val="33"/>
        </w:numPr>
        <w:tabs>
          <w:tab w:val="left" w:pos="720"/>
        </w:tabs>
        <w:spacing w:line="360" w:lineRule="auto"/>
        <w:jc w:val="both"/>
        <w:rPr>
          <w:rFonts w:ascii="Arial" w:hAnsi="Arial" w:cs="Arial"/>
          <w:color w:val="222222"/>
          <w:shd w:val="clear" w:color="auto" w:fill="FFFFFF"/>
        </w:rPr>
      </w:pPr>
      <w:proofErr w:type="spellStart"/>
      <w:r w:rsidRPr="00EA196D">
        <w:rPr>
          <w:rStyle w:val="Strong"/>
          <w:rFonts w:ascii="Arial" w:hAnsi="Arial" w:cs="Arial"/>
          <w:b w:val="0"/>
          <w:bCs w:val="0"/>
        </w:rPr>
        <w:t>Rangnamei</w:t>
      </w:r>
      <w:proofErr w:type="spellEnd"/>
      <w:r w:rsidRPr="00EA196D">
        <w:rPr>
          <w:rStyle w:val="Strong"/>
          <w:rFonts w:ascii="Arial" w:hAnsi="Arial" w:cs="Arial"/>
          <w:b w:val="0"/>
          <w:bCs w:val="0"/>
        </w:rPr>
        <w:t xml:space="preserve">, K. L., Sharma, S., </w:t>
      </w:r>
      <w:proofErr w:type="spellStart"/>
      <w:r w:rsidRPr="00EA196D">
        <w:rPr>
          <w:rStyle w:val="Strong"/>
          <w:rFonts w:ascii="Arial" w:hAnsi="Arial" w:cs="Arial"/>
          <w:b w:val="0"/>
          <w:bCs w:val="0"/>
        </w:rPr>
        <w:t>Zimik</w:t>
      </w:r>
      <w:proofErr w:type="spellEnd"/>
      <w:r w:rsidRPr="00EA196D">
        <w:rPr>
          <w:rStyle w:val="Strong"/>
          <w:rFonts w:ascii="Arial" w:hAnsi="Arial" w:cs="Arial"/>
          <w:b w:val="0"/>
          <w:bCs w:val="0"/>
        </w:rPr>
        <w:t xml:space="preserve">, L., Singh, T. M., &amp; </w:t>
      </w:r>
      <w:proofErr w:type="spellStart"/>
      <w:r w:rsidRPr="00EA196D">
        <w:rPr>
          <w:rStyle w:val="Strong"/>
          <w:rFonts w:ascii="Arial" w:hAnsi="Arial" w:cs="Arial"/>
          <w:b w:val="0"/>
          <w:bCs w:val="0"/>
        </w:rPr>
        <w:t>Ningombam</w:t>
      </w:r>
      <w:proofErr w:type="spellEnd"/>
      <w:r w:rsidRPr="00EA196D">
        <w:rPr>
          <w:rStyle w:val="Strong"/>
          <w:rFonts w:ascii="Arial" w:hAnsi="Arial" w:cs="Arial"/>
          <w:b w:val="0"/>
          <w:bCs w:val="0"/>
        </w:rPr>
        <w:t>, A. (2024).</w:t>
      </w:r>
      <w:r w:rsidRPr="00EA196D">
        <w:rPr>
          <w:rFonts w:ascii="Arial" w:hAnsi="Arial" w:cs="Arial"/>
        </w:rPr>
        <w:t xml:space="preserve"> </w:t>
      </w:r>
      <w:r w:rsidRPr="00EA196D">
        <w:rPr>
          <w:rStyle w:val="Emphasis"/>
          <w:rFonts w:ascii="Arial" w:hAnsi="Arial" w:cs="Arial"/>
        </w:rPr>
        <w:t>Impact of growing white button mushroom (Agaricus bisporus) using zero energy polytunnel method of composting in North Eastern states of India.</w:t>
      </w:r>
      <w:r w:rsidRPr="00EA196D">
        <w:rPr>
          <w:rFonts w:ascii="Arial" w:hAnsi="Arial" w:cs="Arial"/>
        </w:rPr>
        <w:t xml:space="preserve"> </w:t>
      </w:r>
      <w:r w:rsidRPr="00EA196D">
        <w:rPr>
          <w:rStyle w:val="Strong"/>
          <w:rFonts w:ascii="Arial" w:hAnsi="Arial" w:cs="Arial"/>
          <w:b w:val="0"/>
          <w:bCs w:val="0"/>
        </w:rPr>
        <w:t>Mushroom Research, 33</w:t>
      </w:r>
      <w:r w:rsidRPr="00EA196D">
        <w:rPr>
          <w:rFonts w:ascii="Arial" w:hAnsi="Arial" w:cs="Arial"/>
        </w:rPr>
        <w:t xml:space="preserve">(2), 175–180. </w:t>
      </w:r>
      <w:hyperlink r:id="rId28" w:tgtFrame="_new" w:history="1">
        <w:r w:rsidRPr="00EA196D">
          <w:rPr>
            <w:rStyle w:val="Hyperlink"/>
            <w:rFonts w:ascii="Arial" w:hAnsi="Arial" w:cs="Arial"/>
          </w:rPr>
          <w:t>https://doi.org/10.36036/MR.33.2.2024.156323</w:t>
        </w:r>
      </w:hyperlink>
    </w:p>
    <w:p w14:paraId="5A99EE9E" w14:textId="07DDC0F1"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rPr>
      </w:pPr>
      <w:proofErr w:type="spellStart"/>
      <w:r w:rsidRPr="00EA196D">
        <w:rPr>
          <w:rFonts w:ascii="Arial" w:hAnsi="Arial" w:cs="Arial"/>
          <w:color w:val="222222"/>
          <w:shd w:val="clear" w:color="auto" w:fill="FFFFFF"/>
        </w:rPr>
        <w:t>Rola</w:t>
      </w:r>
      <w:r w:rsidRPr="00EA196D">
        <w:rPr>
          <w:rFonts w:ascii="Cambria Math" w:hAnsi="Cambria Math" w:cs="Cambria Math"/>
          <w:color w:val="222222"/>
          <w:shd w:val="clear" w:color="auto" w:fill="FFFFFF"/>
        </w:rPr>
        <w:t>‐</w:t>
      </w:r>
      <w:r w:rsidRPr="00EA196D">
        <w:rPr>
          <w:rFonts w:ascii="Arial" w:hAnsi="Arial" w:cs="Arial"/>
          <w:color w:val="222222"/>
          <w:shd w:val="clear" w:color="auto" w:fill="FFFFFF"/>
        </w:rPr>
        <w:t>Rubzen</w:t>
      </w:r>
      <w:proofErr w:type="spellEnd"/>
      <w:r w:rsidRPr="00EA196D">
        <w:rPr>
          <w:rFonts w:ascii="Arial" w:hAnsi="Arial" w:cs="Arial"/>
          <w:color w:val="222222"/>
          <w:shd w:val="clear" w:color="auto" w:fill="FFFFFF"/>
        </w:rPr>
        <w:t>, M. F., Paris, T., Hawkins, J., &amp; Sapkota, B. (2020). Improving gender participation in agricultural technology adoption in Asia: from rhetoric to practical action. </w:t>
      </w:r>
      <w:r w:rsidRPr="00EA196D">
        <w:rPr>
          <w:rFonts w:ascii="Arial" w:hAnsi="Arial" w:cs="Arial"/>
          <w:i/>
          <w:iCs/>
          <w:color w:val="222222"/>
          <w:shd w:val="clear" w:color="auto" w:fill="FFFFFF"/>
        </w:rPr>
        <w:t>Applied Economic Perspectives and Policy</w:t>
      </w:r>
      <w:r w:rsidRPr="00EA196D">
        <w:rPr>
          <w:rFonts w:ascii="Arial" w:hAnsi="Arial" w:cs="Arial"/>
          <w:color w:val="222222"/>
          <w:shd w:val="clear" w:color="auto" w:fill="FFFFFF"/>
        </w:rPr>
        <w:t>, 42(1), 113-125.</w:t>
      </w:r>
      <w:r w:rsidR="00B03EED" w:rsidRPr="00EA196D">
        <w:rPr>
          <w:rFonts w:ascii="Arial" w:hAnsi="Arial" w:cs="Arial"/>
          <w:color w:val="222222"/>
          <w:shd w:val="clear" w:color="auto" w:fill="FFFFFF"/>
        </w:rPr>
        <w:t xml:space="preserve"> </w:t>
      </w:r>
      <w:hyperlink r:id="rId29" w:history="1">
        <w:r w:rsidR="00B03EED" w:rsidRPr="00EA196D">
          <w:rPr>
            <w:rStyle w:val="Hyperlink"/>
            <w:rFonts w:ascii="Arial" w:hAnsi="Arial" w:cs="Arial"/>
            <w:shd w:val="clear" w:color="auto" w:fill="FFFFFF"/>
          </w:rPr>
          <w:t>https://doi.org/10.1002/aepp.13011</w:t>
        </w:r>
      </w:hyperlink>
      <w:r w:rsidR="00B03EED" w:rsidRPr="00EA196D">
        <w:rPr>
          <w:rFonts w:ascii="Arial" w:hAnsi="Arial" w:cs="Arial"/>
          <w:color w:val="222222"/>
          <w:shd w:val="clear" w:color="auto" w:fill="FFFFFF"/>
        </w:rPr>
        <w:t xml:space="preserve"> </w:t>
      </w:r>
    </w:p>
    <w:p w14:paraId="5E6410B8" w14:textId="185DD2A0"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rPr>
      </w:pPr>
      <w:r w:rsidRPr="00EA196D">
        <w:rPr>
          <w:rFonts w:ascii="Arial" w:hAnsi="Arial" w:cs="Arial"/>
          <w:color w:val="222222"/>
          <w:shd w:val="clear" w:color="auto" w:fill="FFFFFF"/>
        </w:rPr>
        <w:t xml:space="preserve">Sulo, T., Koech, P., Chumo, C., &amp; </w:t>
      </w:r>
      <w:proofErr w:type="spellStart"/>
      <w:r w:rsidRPr="00EA196D">
        <w:rPr>
          <w:rFonts w:ascii="Arial" w:hAnsi="Arial" w:cs="Arial"/>
          <w:color w:val="222222"/>
          <w:shd w:val="clear" w:color="auto" w:fill="FFFFFF"/>
        </w:rPr>
        <w:t>Chepng'eno</w:t>
      </w:r>
      <w:proofErr w:type="spellEnd"/>
      <w:r w:rsidRPr="00EA196D">
        <w:rPr>
          <w:rFonts w:ascii="Arial" w:hAnsi="Arial" w:cs="Arial"/>
          <w:color w:val="222222"/>
          <w:shd w:val="clear" w:color="auto" w:fill="FFFFFF"/>
        </w:rPr>
        <w:t>, W. (2012). Socioeconomic factors affecting the adoption of improved agricultural technologies among women in Marakwet County Kenya. </w:t>
      </w:r>
      <w:r w:rsidRPr="00EA196D">
        <w:rPr>
          <w:rFonts w:ascii="Arial" w:hAnsi="Arial" w:cs="Arial"/>
          <w:i/>
          <w:iCs/>
          <w:color w:val="222222"/>
          <w:shd w:val="clear" w:color="auto" w:fill="FFFFFF"/>
        </w:rPr>
        <w:t>Journal of Emerging Trends in Economics and Management Sciences</w:t>
      </w:r>
      <w:r w:rsidRPr="00EA196D">
        <w:rPr>
          <w:rFonts w:ascii="Arial" w:hAnsi="Arial" w:cs="Arial"/>
          <w:color w:val="222222"/>
          <w:shd w:val="clear" w:color="auto" w:fill="FFFFFF"/>
        </w:rPr>
        <w:t>, 3(4), 312-317.</w:t>
      </w:r>
      <w:r w:rsidR="00B03EED" w:rsidRPr="00EA196D">
        <w:rPr>
          <w:rFonts w:ascii="Arial" w:hAnsi="Arial" w:cs="Arial"/>
          <w:color w:val="222222"/>
          <w:shd w:val="clear" w:color="auto" w:fill="FFFFFF"/>
        </w:rPr>
        <w:t xml:space="preserve"> </w:t>
      </w:r>
      <w:hyperlink r:id="rId30" w:history="1">
        <w:r w:rsidR="00B03EED" w:rsidRPr="00EA196D">
          <w:rPr>
            <w:rStyle w:val="Hyperlink"/>
            <w:rFonts w:ascii="Arial" w:hAnsi="Arial" w:cs="Arial"/>
            <w:shd w:val="clear" w:color="auto" w:fill="FFFFFF"/>
          </w:rPr>
          <w:t>https://hdl.handle.net/10520/EJC126579</w:t>
        </w:r>
      </w:hyperlink>
      <w:r w:rsidR="00B03EED" w:rsidRPr="00EA196D">
        <w:rPr>
          <w:rFonts w:ascii="Arial" w:hAnsi="Arial" w:cs="Arial"/>
          <w:color w:val="222222"/>
          <w:shd w:val="clear" w:color="auto" w:fill="FFFFFF"/>
        </w:rPr>
        <w:t xml:space="preserve"> </w:t>
      </w:r>
    </w:p>
    <w:p w14:paraId="3FE23D35"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131314"/>
          <w:shd w:val="clear" w:color="auto" w:fill="FFFFFF"/>
          <w:lang w:val="nl-BE" w:bidi="hi-IN"/>
        </w:rPr>
      </w:pPr>
      <w:r w:rsidRPr="00EA196D">
        <w:rPr>
          <w:rFonts w:ascii="Arial" w:eastAsia="Calibri" w:hAnsi="Arial" w:cs="Arial"/>
          <w:color w:val="131314"/>
          <w:shd w:val="clear" w:color="auto" w:fill="FFFFFF"/>
          <w:lang w:bidi="hi-IN"/>
        </w:rPr>
        <w:t xml:space="preserve">Suman, B. C., &amp; Sharma, V. P. (2007). Mushroom Cultivation in India. Daya Publishing House. </w:t>
      </w:r>
      <w:hyperlink r:id="rId31" w:history="1">
        <w:r w:rsidRPr="00EA196D">
          <w:rPr>
            <w:rStyle w:val="Hyperlink"/>
            <w:rFonts w:ascii="Arial" w:eastAsia="Calibri" w:hAnsi="Arial" w:cs="Arial"/>
            <w:shd w:val="clear" w:color="auto" w:fill="FFFFFF"/>
            <w:lang w:val="nl-BE" w:bidi="hi-IN"/>
          </w:rPr>
          <w:t>https://www.astralint.com/</w:t>
        </w:r>
      </w:hyperlink>
    </w:p>
    <w:p w14:paraId="6552F657" w14:textId="77777777" w:rsidR="0079114C" w:rsidRPr="00EA196D" w:rsidRDefault="0079114C" w:rsidP="00EA196D">
      <w:pPr>
        <w:pStyle w:val="ListParagraph"/>
        <w:numPr>
          <w:ilvl w:val="0"/>
          <w:numId w:val="33"/>
        </w:numPr>
        <w:tabs>
          <w:tab w:val="left" w:pos="720"/>
        </w:tabs>
        <w:spacing w:line="360" w:lineRule="auto"/>
        <w:jc w:val="both"/>
        <w:rPr>
          <w:rFonts w:ascii="Arial" w:eastAsia="Calibri" w:hAnsi="Arial" w:cs="Arial"/>
          <w:color w:val="222222"/>
          <w:shd w:val="clear" w:color="auto" w:fill="FFFFFF"/>
          <w:lang w:bidi="hi-IN"/>
        </w:rPr>
      </w:pPr>
      <w:r w:rsidRPr="00EA196D">
        <w:rPr>
          <w:rFonts w:ascii="Arial" w:eastAsia="Calibri" w:hAnsi="Arial" w:cs="Arial"/>
          <w:color w:val="222222"/>
          <w:shd w:val="clear" w:color="auto" w:fill="FFFFFF"/>
          <w:lang w:val="nl-BE" w:bidi="hi-IN"/>
        </w:rPr>
        <w:t xml:space="preserve">Van Lier, J. J. C., Van Ginkel, J. T., Straatsma, G., Gerrits, J. P. G., &amp; Van Griensven, L. J. L. D. (1994). </w:t>
      </w:r>
      <w:r w:rsidRPr="00EA196D">
        <w:rPr>
          <w:rFonts w:ascii="Arial" w:eastAsia="Calibri" w:hAnsi="Arial" w:cs="Arial"/>
          <w:color w:val="222222"/>
          <w:shd w:val="clear" w:color="auto" w:fill="FFFFFF"/>
          <w:lang w:bidi="hi-IN"/>
        </w:rPr>
        <w:t xml:space="preserve">Composting of mushroom substrate in a fermentation </w:t>
      </w:r>
      <w:r w:rsidRPr="00EA196D">
        <w:rPr>
          <w:rFonts w:ascii="Arial" w:eastAsia="Calibri" w:hAnsi="Arial" w:cs="Arial"/>
          <w:color w:val="222222"/>
          <w:shd w:val="clear" w:color="auto" w:fill="FFFFFF"/>
          <w:lang w:bidi="hi-IN"/>
        </w:rPr>
        <w:lastRenderedPageBreak/>
        <w:t xml:space="preserve">tunnel: compost parameters and a mathematical model. Netherlands Journal of Agricultural Science. </w:t>
      </w:r>
      <w:hyperlink r:id="rId32" w:history="1">
        <w:r w:rsidRPr="00EA196D">
          <w:rPr>
            <w:rStyle w:val="Hyperlink"/>
            <w:rFonts w:ascii="Arial" w:eastAsia="Calibri" w:hAnsi="Arial" w:cs="Arial"/>
            <w:shd w:val="clear" w:color="auto" w:fill="FFFFFF"/>
            <w:lang w:bidi="hi-IN"/>
          </w:rPr>
          <w:t>https://doi.org/10.18174/njas.v42i4.589</w:t>
        </w:r>
      </w:hyperlink>
    </w:p>
    <w:p w14:paraId="3AC14A83" w14:textId="77777777" w:rsidR="0079114C" w:rsidRPr="00EA196D" w:rsidRDefault="0079114C" w:rsidP="00EA196D">
      <w:pPr>
        <w:pStyle w:val="ListParagraph"/>
        <w:numPr>
          <w:ilvl w:val="0"/>
          <w:numId w:val="33"/>
        </w:numPr>
        <w:tabs>
          <w:tab w:val="left" w:pos="720"/>
        </w:tabs>
        <w:spacing w:line="360" w:lineRule="auto"/>
        <w:jc w:val="both"/>
        <w:rPr>
          <w:rFonts w:ascii="Arial" w:hAnsi="Arial" w:cs="Arial"/>
          <w:color w:val="222222"/>
          <w:shd w:val="clear" w:color="auto" w:fill="FFFFFF"/>
        </w:rPr>
      </w:pPr>
      <w:proofErr w:type="spellStart"/>
      <w:r w:rsidRPr="00EA196D">
        <w:rPr>
          <w:rFonts w:ascii="Arial" w:hAnsi="Arial" w:cs="Arial"/>
          <w:color w:val="222222"/>
          <w:shd w:val="clear" w:color="auto" w:fill="FFFFFF"/>
        </w:rPr>
        <w:t>Wakchaure</w:t>
      </w:r>
      <w:proofErr w:type="spellEnd"/>
      <w:r w:rsidRPr="00EA196D">
        <w:rPr>
          <w:rFonts w:ascii="Arial" w:hAnsi="Arial" w:cs="Arial"/>
          <w:color w:val="222222"/>
          <w:shd w:val="clear" w:color="auto" w:fill="FFFFFF"/>
        </w:rPr>
        <w:t>, G. C., &amp; Singh, M. (2013). Zero energy polytunnel: A rapid composting method for Agaricus bisporus cultivation. Mushroom Research, 22(1).</w:t>
      </w:r>
    </w:p>
    <w:p w14:paraId="24545471" w14:textId="77777777" w:rsidR="0079114C" w:rsidRPr="00EA196D" w:rsidRDefault="0079114C" w:rsidP="00EA196D">
      <w:pPr>
        <w:pStyle w:val="ListParagraph"/>
        <w:numPr>
          <w:ilvl w:val="0"/>
          <w:numId w:val="33"/>
        </w:numPr>
        <w:tabs>
          <w:tab w:val="left" w:pos="720"/>
        </w:tabs>
        <w:spacing w:line="360" w:lineRule="auto"/>
        <w:jc w:val="both"/>
        <w:rPr>
          <w:rStyle w:val="Hyperlink"/>
          <w:rFonts w:ascii="Arial" w:eastAsia="Calibri" w:hAnsi="Arial" w:cs="Arial"/>
          <w:shd w:val="clear" w:color="auto" w:fill="FFFFFF"/>
          <w:lang w:val="pt-BR" w:bidi="hi-IN"/>
        </w:rPr>
      </w:pPr>
      <w:r w:rsidRPr="00EA196D">
        <w:rPr>
          <w:rFonts w:ascii="Arial" w:eastAsia="Calibri" w:hAnsi="Arial" w:cs="Arial"/>
          <w:color w:val="222222"/>
          <w:shd w:val="clear" w:color="auto" w:fill="FFFFFF"/>
          <w:lang w:bidi="hi-IN"/>
        </w:rPr>
        <w:t xml:space="preserve">Wasser, S. P. (2017). Medicinal mushrooms in human clinical studies. Part I. Anticancer, </w:t>
      </w:r>
      <w:proofErr w:type="spellStart"/>
      <w:r w:rsidRPr="00EA196D">
        <w:rPr>
          <w:rFonts w:ascii="Arial" w:eastAsia="Calibri" w:hAnsi="Arial" w:cs="Arial"/>
          <w:color w:val="222222"/>
          <w:shd w:val="clear" w:color="auto" w:fill="FFFFFF"/>
          <w:lang w:bidi="hi-IN"/>
        </w:rPr>
        <w:t>oncoimmunological</w:t>
      </w:r>
      <w:proofErr w:type="spellEnd"/>
      <w:r w:rsidRPr="00EA196D">
        <w:rPr>
          <w:rFonts w:ascii="Arial" w:eastAsia="Calibri" w:hAnsi="Arial" w:cs="Arial"/>
          <w:color w:val="222222"/>
          <w:shd w:val="clear" w:color="auto" w:fill="FFFFFF"/>
          <w:lang w:bidi="hi-IN"/>
        </w:rPr>
        <w:t xml:space="preserve">, and immunomodulatory activities: A review. International Journal of Medicinal Mushrooms, 19(4), 279-317. </w:t>
      </w:r>
      <w:hyperlink r:id="rId33" w:history="1">
        <w:r w:rsidRPr="00EA196D">
          <w:rPr>
            <w:rStyle w:val="Hyperlink"/>
            <w:rFonts w:ascii="Arial" w:eastAsia="Calibri" w:hAnsi="Arial" w:cs="Arial"/>
            <w:shd w:val="clear" w:color="auto" w:fill="FFFFFF"/>
            <w:lang w:val="pt-BR" w:bidi="hi-IN"/>
          </w:rPr>
          <w:t>https://doi.org/10.1615/IntJMedMushrooms.v19.i4.10</w:t>
        </w:r>
      </w:hyperlink>
    </w:p>
    <w:p w14:paraId="6B1D868B" w14:textId="41F12765" w:rsidR="00ED71C3" w:rsidRDefault="00ED71C3" w:rsidP="00273B0C">
      <w:pPr>
        <w:spacing w:after="200"/>
        <w:ind w:left="360"/>
        <w:jc w:val="both"/>
        <w:rPr>
          <w:rStyle w:val="Hyperlink"/>
          <w:rFonts w:ascii="Arial" w:eastAsia="Calibri" w:hAnsi="Arial" w:cs="Arial"/>
          <w:shd w:val="clear" w:color="auto" w:fill="FFFFFF"/>
          <w:lang w:val="pt-BR" w:bidi="hi-IN"/>
        </w:rPr>
      </w:pPr>
    </w:p>
    <w:p w14:paraId="0E15BB68" w14:textId="77777777" w:rsidR="00ED71C3" w:rsidRDefault="00ED71C3" w:rsidP="00273B0C">
      <w:pPr>
        <w:spacing w:after="200"/>
        <w:ind w:left="360"/>
        <w:jc w:val="both"/>
        <w:rPr>
          <w:rFonts w:ascii="Arial" w:eastAsia="Calibri" w:hAnsi="Arial" w:cs="Arial"/>
          <w:color w:val="222222"/>
          <w:shd w:val="clear" w:color="auto" w:fill="FFFFFF"/>
          <w:lang w:val="pt-BR" w:bidi="hi-IN"/>
        </w:rPr>
      </w:pPr>
    </w:p>
    <w:p w14:paraId="0ADE53FA" w14:textId="77777777" w:rsidR="00904D2E" w:rsidRPr="00FB3A86" w:rsidRDefault="00904D2E" w:rsidP="003E4B78">
      <w:pPr>
        <w:pStyle w:val="Body"/>
        <w:spacing w:after="0"/>
        <w:rPr>
          <w:rFonts w:ascii="Arial" w:hAnsi="Arial" w:cs="Arial"/>
          <w:b/>
        </w:rPr>
      </w:pPr>
    </w:p>
    <w:sectPr w:rsidR="00904D2E" w:rsidRPr="00FB3A86" w:rsidSect="00F95287">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68F8B" w14:textId="77777777" w:rsidR="00262C90" w:rsidRDefault="00262C90" w:rsidP="00C37E61">
      <w:r>
        <w:separator/>
      </w:r>
    </w:p>
  </w:endnote>
  <w:endnote w:type="continuationSeparator" w:id="0">
    <w:p w14:paraId="68CC015C" w14:textId="77777777" w:rsidR="00262C90" w:rsidRDefault="00262C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7607" w14:textId="77777777" w:rsidR="00EB437A" w:rsidRDefault="00EB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F03" w14:textId="77777777" w:rsidR="00EB437A" w:rsidRDefault="00EB4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42FF" w14:textId="77777777" w:rsidR="00EB437A" w:rsidRDefault="00EB437A">
    <w:pPr>
      <w:pStyle w:val="Footer"/>
      <w:rPr>
        <w:rFonts w:ascii="Arial" w:hAnsi="Arial" w:cs="Arial"/>
        <w:sz w:val="16"/>
      </w:rPr>
    </w:pPr>
  </w:p>
  <w:p w14:paraId="19AE339D" w14:textId="77777777" w:rsidR="00EB437A" w:rsidRDefault="00EB437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AFED4FE" w14:textId="77777777" w:rsidR="00EB437A" w:rsidRDefault="00EB437A">
    <w:pPr>
      <w:pStyle w:val="Footer"/>
      <w:rPr>
        <w:rFonts w:ascii="Arial" w:hAnsi="Arial" w:cs="Arial"/>
        <w:sz w:val="16"/>
      </w:rPr>
    </w:pPr>
  </w:p>
  <w:p w14:paraId="2D3DEEA3" w14:textId="39033A7F" w:rsidR="00EB437A" w:rsidRPr="009E048A" w:rsidRDefault="00EB437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CFE1" w14:textId="77777777" w:rsidR="00EB437A" w:rsidRPr="00C37E61" w:rsidRDefault="00EB437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6E3CE" w14:textId="77777777" w:rsidR="00262C90" w:rsidRDefault="00262C90" w:rsidP="00C37E61">
      <w:r>
        <w:separator/>
      </w:r>
    </w:p>
  </w:footnote>
  <w:footnote w:type="continuationSeparator" w:id="0">
    <w:p w14:paraId="06A55313" w14:textId="77777777" w:rsidR="00262C90" w:rsidRDefault="00262C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7617" w14:textId="6EEF526E" w:rsidR="00EB437A" w:rsidRDefault="00262C90">
    <w:pPr>
      <w:pStyle w:val="Header"/>
    </w:pPr>
    <w:r>
      <w:rPr>
        <w:noProof/>
      </w:rPr>
      <w:pict w14:anchorId="35ADF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ABB4" w14:textId="64786467" w:rsidR="00EB437A" w:rsidRDefault="00262C90">
    <w:pPr>
      <w:pStyle w:val="Header"/>
    </w:pPr>
    <w:r>
      <w:rPr>
        <w:noProof/>
      </w:rPr>
      <w:pict w14:anchorId="1F64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69E6" w14:textId="33B5C55E" w:rsidR="00EB437A" w:rsidRPr="00296529" w:rsidRDefault="00262C90" w:rsidP="00296529">
    <w:pPr>
      <w:ind w:left="2160"/>
      <w:jc w:val="center"/>
      <w:rPr>
        <w:rFonts w:ascii="Times New Roman" w:eastAsia="Calibri" w:hAnsi="Times New Roman"/>
        <w:i/>
        <w:sz w:val="18"/>
        <w:szCs w:val="22"/>
      </w:rPr>
    </w:pPr>
    <w:r>
      <w:rPr>
        <w:noProof/>
      </w:rPr>
      <w:pict w14:anchorId="121B1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B47AF7" w14:textId="77777777" w:rsidR="00EB437A" w:rsidRPr="00296529" w:rsidRDefault="00EB437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DE2A79" w14:textId="77777777" w:rsidR="00EB437A" w:rsidRPr="00296529" w:rsidRDefault="00EB437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104E82" w14:textId="77777777" w:rsidR="00EB437A" w:rsidRPr="00296529" w:rsidRDefault="00EB437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A08FF1" w14:textId="77777777" w:rsidR="00EB437A" w:rsidRDefault="00EB437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BEEBA9" w14:textId="77777777" w:rsidR="00EB437A" w:rsidRDefault="00EB437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63ADCD" w14:textId="77777777" w:rsidR="00EB437A" w:rsidRDefault="00EB437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32FD" w14:textId="78486592" w:rsidR="00EB437A" w:rsidRDefault="00262C90">
    <w:pPr>
      <w:pStyle w:val="Header"/>
    </w:pPr>
    <w:r>
      <w:rPr>
        <w:noProof/>
      </w:rPr>
      <w:pict w14:anchorId="15946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C806" w14:textId="722DF65D" w:rsidR="00EB437A" w:rsidRDefault="00262C90">
    <w:pPr>
      <w:pStyle w:val="Header"/>
    </w:pPr>
    <w:r>
      <w:rPr>
        <w:noProof/>
      </w:rPr>
      <w:pict w14:anchorId="654DB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98B9" w14:textId="6DAA37FE" w:rsidR="00EB437A" w:rsidRDefault="00262C90">
    <w:pPr>
      <w:pStyle w:val="Header"/>
    </w:pPr>
    <w:r>
      <w:rPr>
        <w:noProof/>
      </w:rPr>
      <w:pict w14:anchorId="0C45D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48159F"/>
    <w:multiLevelType w:val="multilevel"/>
    <w:tmpl w:val="0778F104"/>
    <w:lvl w:ilvl="0">
      <w:start w:val="1"/>
      <w:numFmt w:val="upperRoman"/>
      <w:lvlText w:val="%1."/>
      <w:lvlJc w:val="right"/>
      <w:pPr>
        <w:ind w:left="1440" w:hanging="360"/>
      </w:pPr>
    </w:lvl>
    <w:lvl w:ilvl="1">
      <w:start w:val="1"/>
      <w:numFmt w:val="decimal"/>
      <w:isLgl/>
      <w:lvlText w:val="%1.%2"/>
      <w:lvlJc w:val="left"/>
      <w:pPr>
        <w:ind w:left="144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1800" w:hanging="720"/>
      </w:pPr>
      <w:rPr>
        <w:rFonts w:hint="default"/>
        <w:b/>
        <w:sz w:val="22"/>
      </w:rPr>
    </w:lvl>
    <w:lvl w:ilvl="4">
      <w:start w:val="1"/>
      <w:numFmt w:val="decimal"/>
      <w:isLgl/>
      <w:lvlText w:val="%1.%2.%3.%4.%5"/>
      <w:lvlJc w:val="left"/>
      <w:pPr>
        <w:ind w:left="2160" w:hanging="1080"/>
      </w:pPr>
      <w:rPr>
        <w:rFonts w:hint="default"/>
        <w:b/>
        <w:sz w:val="22"/>
      </w:rPr>
    </w:lvl>
    <w:lvl w:ilvl="5">
      <w:start w:val="1"/>
      <w:numFmt w:val="decimal"/>
      <w:isLgl/>
      <w:lvlText w:val="%1.%2.%3.%4.%5.%6"/>
      <w:lvlJc w:val="left"/>
      <w:pPr>
        <w:ind w:left="2160" w:hanging="1080"/>
      </w:pPr>
      <w:rPr>
        <w:rFonts w:hint="default"/>
        <w:b/>
        <w:sz w:val="22"/>
      </w:rPr>
    </w:lvl>
    <w:lvl w:ilvl="6">
      <w:start w:val="1"/>
      <w:numFmt w:val="decimal"/>
      <w:isLgl/>
      <w:lvlText w:val="%1.%2.%3.%4.%5.%6.%7"/>
      <w:lvlJc w:val="left"/>
      <w:pPr>
        <w:ind w:left="2520" w:hanging="1440"/>
      </w:pPr>
      <w:rPr>
        <w:rFonts w:hint="default"/>
        <w:b/>
        <w:sz w:val="22"/>
      </w:rPr>
    </w:lvl>
    <w:lvl w:ilvl="7">
      <w:start w:val="1"/>
      <w:numFmt w:val="decimal"/>
      <w:isLgl/>
      <w:lvlText w:val="%1.%2.%3.%4.%5.%6.%7.%8"/>
      <w:lvlJc w:val="left"/>
      <w:pPr>
        <w:ind w:left="2520" w:hanging="1440"/>
      </w:pPr>
      <w:rPr>
        <w:rFonts w:hint="default"/>
        <w:b/>
        <w:sz w:val="22"/>
      </w:rPr>
    </w:lvl>
    <w:lvl w:ilvl="8">
      <w:start w:val="1"/>
      <w:numFmt w:val="decimal"/>
      <w:isLgl/>
      <w:lvlText w:val="%1.%2.%3.%4.%5.%6.%7.%8.%9"/>
      <w:lvlJc w:val="left"/>
      <w:pPr>
        <w:ind w:left="2880" w:hanging="1800"/>
      </w:pPr>
      <w:rPr>
        <w:rFonts w:hint="default"/>
        <w:b/>
        <w:sz w:val="22"/>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BD586D"/>
    <w:multiLevelType w:val="hybridMultilevel"/>
    <w:tmpl w:val="1A54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3269A0"/>
    <w:multiLevelType w:val="hybridMultilevel"/>
    <w:tmpl w:val="D4DA7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57"/>
    <w:rsid w:val="00025A52"/>
    <w:rsid w:val="00030174"/>
    <w:rsid w:val="00033468"/>
    <w:rsid w:val="0004579C"/>
    <w:rsid w:val="000553F8"/>
    <w:rsid w:val="000A47FA"/>
    <w:rsid w:val="000A65D3"/>
    <w:rsid w:val="000B1E33"/>
    <w:rsid w:val="000B379C"/>
    <w:rsid w:val="000C1BFA"/>
    <w:rsid w:val="000D683A"/>
    <w:rsid w:val="000D689F"/>
    <w:rsid w:val="000E7B7B"/>
    <w:rsid w:val="000E7D62"/>
    <w:rsid w:val="0010319A"/>
    <w:rsid w:val="00103357"/>
    <w:rsid w:val="0010558A"/>
    <w:rsid w:val="00123C9F"/>
    <w:rsid w:val="00126190"/>
    <w:rsid w:val="00130F17"/>
    <w:rsid w:val="001320BF"/>
    <w:rsid w:val="0016025A"/>
    <w:rsid w:val="00163BC4"/>
    <w:rsid w:val="001815B7"/>
    <w:rsid w:val="00191062"/>
    <w:rsid w:val="00191797"/>
    <w:rsid w:val="00192B72"/>
    <w:rsid w:val="001A0FD9"/>
    <w:rsid w:val="001A14B3"/>
    <w:rsid w:val="001A29D8"/>
    <w:rsid w:val="001A5CAA"/>
    <w:rsid w:val="001B0427"/>
    <w:rsid w:val="001D3A51"/>
    <w:rsid w:val="001E10D2"/>
    <w:rsid w:val="001E25B4"/>
    <w:rsid w:val="001E44FE"/>
    <w:rsid w:val="00200595"/>
    <w:rsid w:val="00204835"/>
    <w:rsid w:val="00207348"/>
    <w:rsid w:val="00217B82"/>
    <w:rsid w:val="00224852"/>
    <w:rsid w:val="00225E7C"/>
    <w:rsid w:val="00231920"/>
    <w:rsid w:val="0023195C"/>
    <w:rsid w:val="0024282C"/>
    <w:rsid w:val="002460DC"/>
    <w:rsid w:val="00250985"/>
    <w:rsid w:val="002525B5"/>
    <w:rsid w:val="002556F6"/>
    <w:rsid w:val="00262C90"/>
    <w:rsid w:val="00267660"/>
    <w:rsid w:val="00273B0C"/>
    <w:rsid w:val="002756E6"/>
    <w:rsid w:val="002826AE"/>
    <w:rsid w:val="00283105"/>
    <w:rsid w:val="00284C4C"/>
    <w:rsid w:val="00287E68"/>
    <w:rsid w:val="00296529"/>
    <w:rsid w:val="002B27FB"/>
    <w:rsid w:val="002B685A"/>
    <w:rsid w:val="002C57D2"/>
    <w:rsid w:val="002E0D56"/>
    <w:rsid w:val="002F5550"/>
    <w:rsid w:val="00301248"/>
    <w:rsid w:val="00311F58"/>
    <w:rsid w:val="00315186"/>
    <w:rsid w:val="003225B8"/>
    <w:rsid w:val="00323052"/>
    <w:rsid w:val="0033343E"/>
    <w:rsid w:val="003512C2"/>
    <w:rsid w:val="00371FB6"/>
    <w:rsid w:val="003763C1"/>
    <w:rsid w:val="00376BBE"/>
    <w:rsid w:val="0039224F"/>
    <w:rsid w:val="003A43A4"/>
    <w:rsid w:val="003A7E18"/>
    <w:rsid w:val="003C4C86"/>
    <w:rsid w:val="003C6258"/>
    <w:rsid w:val="003E2904"/>
    <w:rsid w:val="003E4B78"/>
    <w:rsid w:val="00401927"/>
    <w:rsid w:val="00406C1D"/>
    <w:rsid w:val="0041027F"/>
    <w:rsid w:val="00412475"/>
    <w:rsid w:val="00423789"/>
    <w:rsid w:val="00440F43"/>
    <w:rsid w:val="00441B6F"/>
    <w:rsid w:val="00446221"/>
    <w:rsid w:val="00450E62"/>
    <w:rsid w:val="004539DB"/>
    <w:rsid w:val="00471A80"/>
    <w:rsid w:val="00493B08"/>
    <w:rsid w:val="004C69E4"/>
    <w:rsid w:val="004D305E"/>
    <w:rsid w:val="004D4277"/>
    <w:rsid w:val="004E155E"/>
    <w:rsid w:val="00502516"/>
    <w:rsid w:val="00505F06"/>
    <w:rsid w:val="00506828"/>
    <w:rsid w:val="00513288"/>
    <w:rsid w:val="005207FE"/>
    <w:rsid w:val="0053056E"/>
    <w:rsid w:val="00554FDA"/>
    <w:rsid w:val="005B6FD1"/>
    <w:rsid w:val="005C229E"/>
    <w:rsid w:val="005C784C"/>
    <w:rsid w:val="005D17F6"/>
    <w:rsid w:val="005E5539"/>
    <w:rsid w:val="005E562C"/>
    <w:rsid w:val="00602BF5"/>
    <w:rsid w:val="00617FDD"/>
    <w:rsid w:val="00633614"/>
    <w:rsid w:val="00633F68"/>
    <w:rsid w:val="00636EB2"/>
    <w:rsid w:val="006375B8"/>
    <w:rsid w:val="0066510A"/>
    <w:rsid w:val="00673F9F"/>
    <w:rsid w:val="00685C35"/>
    <w:rsid w:val="00686953"/>
    <w:rsid w:val="00687DEA"/>
    <w:rsid w:val="00687E67"/>
    <w:rsid w:val="006967F7"/>
    <w:rsid w:val="006A250C"/>
    <w:rsid w:val="006A28F8"/>
    <w:rsid w:val="006B21D3"/>
    <w:rsid w:val="006B2E3E"/>
    <w:rsid w:val="006B3B43"/>
    <w:rsid w:val="006B57D0"/>
    <w:rsid w:val="006D30FF"/>
    <w:rsid w:val="006D6940"/>
    <w:rsid w:val="006E52BC"/>
    <w:rsid w:val="006F11EC"/>
    <w:rsid w:val="0070082C"/>
    <w:rsid w:val="00715B9D"/>
    <w:rsid w:val="007250EC"/>
    <w:rsid w:val="007333BE"/>
    <w:rsid w:val="007369E6"/>
    <w:rsid w:val="00746E59"/>
    <w:rsid w:val="00754C9A"/>
    <w:rsid w:val="0075599A"/>
    <w:rsid w:val="00755B87"/>
    <w:rsid w:val="00757A9C"/>
    <w:rsid w:val="00761D52"/>
    <w:rsid w:val="00770E74"/>
    <w:rsid w:val="0077749E"/>
    <w:rsid w:val="00790ADA"/>
    <w:rsid w:val="0079114C"/>
    <w:rsid w:val="007D2288"/>
    <w:rsid w:val="007D587F"/>
    <w:rsid w:val="007E088F"/>
    <w:rsid w:val="007E75FD"/>
    <w:rsid w:val="007E7939"/>
    <w:rsid w:val="007F2FCD"/>
    <w:rsid w:val="007F7B32"/>
    <w:rsid w:val="00804BC2"/>
    <w:rsid w:val="0081431A"/>
    <w:rsid w:val="00822E4D"/>
    <w:rsid w:val="0083216F"/>
    <w:rsid w:val="00843A93"/>
    <w:rsid w:val="00860000"/>
    <w:rsid w:val="00863BD3"/>
    <w:rsid w:val="008641ED"/>
    <w:rsid w:val="00866D66"/>
    <w:rsid w:val="008671C6"/>
    <w:rsid w:val="00875803"/>
    <w:rsid w:val="008808ED"/>
    <w:rsid w:val="008B459E"/>
    <w:rsid w:val="008B57C9"/>
    <w:rsid w:val="008E13AE"/>
    <w:rsid w:val="008E1506"/>
    <w:rsid w:val="008E4D59"/>
    <w:rsid w:val="008E710C"/>
    <w:rsid w:val="008F243F"/>
    <w:rsid w:val="008F69D6"/>
    <w:rsid w:val="00902823"/>
    <w:rsid w:val="00904D2E"/>
    <w:rsid w:val="009140CA"/>
    <w:rsid w:val="00915CA6"/>
    <w:rsid w:val="00923B01"/>
    <w:rsid w:val="00927834"/>
    <w:rsid w:val="009500A6"/>
    <w:rsid w:val="009556AC"/>
    <w:rsid w:val="00957C18"/>
    <w:rsid w:val="009659BA"/>
    <w:rsid w:val="00983040"/>
    <w:rsid w:val="009874F5"/>
    <w:rsid w:val="009A2828"/>
    <w:rsid w:val="009B3FB9"/>
    <w:rsid w:val="009C2465"/>
    <w:rsid w:val="009C49D0"/>
    <w:rsid w:val="009D35A0"/>
    <w:rsid w:val="009D7EB7"/>
    <w:rsid w:val="009E048A"/>
    <w:rsid w:val="009E08E9"/>
    <w:rsid w:val="009E3DB9"/>
    <w:rsid w:val="009E6E35"/>
    <w:rsid w:val="009F0EDA"/>
    <w:rsid w:val="00A03B96"/>
    <w:rsid w:val="00A05B19"/>
    <w:rsid w:val="00A1134E"/>
    <w:rsid w:val="00A24E7E"/>
    <w:rsid w:val="00A258C3"/>
    <w:rsid w:val="00A27F44"/>
    <w:rsid w:val="00A3348D"/>
    <w:rsid w:val="00A347C0"/>
    <w:rsid w:val="00A37E15"/>
    <w:rsid w:val="00A41E71"/>
    <w:rsid w:val="00A51431"/>
    <w:rsid w:val="00A539AD"/>
    <w:rsid w:val="00A7383C"/>
    <w:rsid w:val="00A94063"/>
    <w:rsid w:val="00A9551A"/>
    <w:rsid w:val="00AA6219"/>
    <w:rsid w:val="00AA74E0"/>
    <w:rsid w:val="00AA7DDE"/>
    <w:rsid w:val="00AB6A0C"/>
    <w:rsid w:val="00AB703F"/>
    <w:rsid w:val="00AC6BB8"/>
    <w:rsid w:val="00AE008F"/>
    <w:rsid w:val="00B01FCD"/>
    <w:rsid w:val="00B03EED"/>
    <w:rsid w:val="00B068ED"/>
    <w:rsid w:val="00B13031"/>
    <w:rsid w:val="00B1776C"/>
    <w:rsid w:val="00B2252C"/>
    <w:rsid w:val="00B51604"/>
    <w:rsid w:val="00B52583"/>
    <w:rsid w:val="00B52896"/>
    <w:rsid w:val="00B65213"/>
    <w:rsid w:val="00B95236"/>
    <w:rsid w:val="00B96BD9"/>
    <w:rsid w:val="00BA1B01"/>
    <w:rsid w:val="00BA2641"/>
    <w:rsid w:val="00BB37AA"/>
    <w:rsid w:val="00BC2792"/>
    <w:rsid w:val="00BC53A0"/>
    <w:rsid w:val="00BC69AC"/>
    <w:rsid w:val="00BE62AD"/>
    <w:rsid w:val="00BE7BAF"/>
    <w:rsid w:val="00BF121F"/>
    <w:rsid w:val="00BF1F80"/>
    <w:rsid w:val="00BF2C7D"/>
    <w:rsid w:val="00C166EF"/>
    <w:rsid w:val="00C17635"/>
    <w:rsid w:val="00C17EB0"/>
    <w:rsid w:val="00C27F5F"/>
    <w:rsid w:val="00C30A0F"/>
    <w:rsid w:val="00C37E61"/>
    <w:rsid w:val="00C42611"/>
    <w:rsid w:val="00C54138"/>
    <w:rsid w:val="00C5521B"/>
    <w:rsid w:val="00C70F1B"/>
    <w:rsid w:val="00C71A47"/>
    <w:rsid w:val="00C7464C"/>
    <w:rsid w:val="00C833B1"/>
    <w:rsid w:val="00C85588"/>
    <w:rsid w:val="00C8582D"/>
    <w:rsid w:val="00CA3F52"/>
    <w:rsid w:val="00CA55AB"/>
    <w:rsid w:val="00CB1CC3"/>
    <w:rsid w:val="00CC1B01"/>
    <w:rsid w:val="00CD378F"/>
    <w:rsid w:val="00CD6755"/>
    <w:rsid w:val="00CD6856"/>
    <w:rsid w:val="00CE0089"/>
    <w:rsid w:val="00CE793C"/>
    <w:rsid w:val="00CF0E5F"/>
    <w:rsid w:val="00CF193C"/>
    <w:rsid w:val="00D173F1"/>
    <w:rsid w:val="00D25FD0"/>
    <w:rsid w:val="00D2691D"/>
    <w:rsid w:val="00D51369"/>
    <w:rsid w:val="00D74CB0"/>
    <w:rsid w:val="00D8295D"/>
    <w:rsid w:val="00DC2A65"/>
    <w:rsid w:val="00DE15F0"/>
    <w:rsid w:val="00DE5663"/>
    <w:rsid w:val="00DE7166"/>
    <w:rsid w:val="00DE78AA"/>
    <w:rsid w:val="00E053D0"/>
    <w:rsid w:val="00E1579E"/>
    <w:rsid w:val="00E15994"/>
    <w:rsid w:val="00E3114E"/>
    <w:rsid w:val="00E31A70"/>
    <w:rsid w:val="00E35B02"/>
    <w:rsid w:val="00E66496"/>
    <w:rsid w:val="00E66B35"/>
    <w:rsid w:val="00E66E10"/>
    <w:rsid w:val="00E724E8"/>
    <w:rsid w:val="00E769F6"/>
    <w:rsid w:val="00E76AE1"/>
    <w:rsid w:val="00E76D55"/>
    <w:rsid w:val="00E8407C"/>
    <w:rsid w:val="00E84F3C"/>
    <w:rsid w:val="00E90363"/>
    <w:rsid w:val="00EA012C"/>
    <w:rsid w:val="00EA196D"/>
    <w:rsid w:val="00EB437A"/>
    <w:rsid w:val="00EC6A55"/>
    <w:rsid w:val="00ED0288"/>
    <w:rsid w:val="00ED71C3"/>
    <w:rsid w:val="00EE52CB"/>
    <w:rsid w:val="00EE55DD"/>
    <w:rsid w:val="00EE5F65"/>
    <w:rsid w:val="00EF581D"/>
    <w:rsid w:val="00EF7FD8"/>
    <w:rsid w:val="00F01372"/>
    <w:rsid w:val="00F0512D"/>
    <w:rsid w:val="00F06F59"/>
    <w:rsid w:val="00F13842"/>
    <w:rsid w:val="00F17988"/>
    <w:rsid w:val="00F3452A"/>
    <w:rsid w:val="00F469F0"/>
    <w:rsid w:val="00F53273"/>
    <w:rsid w:val="00F5717A"/>
    <w:rsid w:val="00F755E4"/>
    <w:rsid w:val="00F775A7"/>
    <w:rsid w:val="00F77D02"/>
    <w:rsid w:val="00F92B60"/>
    <w:rsid w:val="00F95287"/>
    <w:rsid w:val="00F96660"/>
    <w:rsid w:val="00FA7FDF"/>
    <w:rsid w:val="00FB3A86"/>
    <w:rsid w:val="00FD36C8"/>
    <w:rsid w:val="00FF2F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6F91A29"/>
  <w15:docId w15:val="{23127014-E551-4AF1-ABCC-A8365225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37E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553F8"/>
    <w:pPr>
      <w:spacing w:before="100" w:beforeAutospacing="1" w:after="100" w:afterAutospacing="1"/>
    </w:pPr>
    <w:rPr>
      <w:rFonts w:ascii="Times New Roman" w:hAnsi="Times New Roman"/>
      <w:sz w:val="24"/>
      <w:szCs w:val="24"/>
      <w:lang w:val="en-IN" w:eastAsia="en-IN" w:bidi="hi-IN"/>
    </w:rPr>
  </w:style>
  <w:style w:type="character" w:customStyle="1" w:styleId="Heading3Char">
    <w:name w:val="Heading 3 Char"/>
    <w:basedOn w:val="DefaultParagraphFont"/>
    <w:link w:val="Heading3"/>
    <w:semiHidden/>
    <w:rsid w:val="00A37E15"/>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A37E15"/>
    <w:rPr>
      <w:color w:val="605E5C"/>
      <w:shd w:val="clear" w:color="auto" w:fill="E1DFDD"/>
    </w:rPr>
  </w:style>
  <w:style w:type="paragraph" w:styleId="ListParagraph">
    <w:name w:val="List Paragraph"/>
    <w:basedOn w:val="Normal"/>
    <w:uiPriority w:val="34"/>
    <w:qFormat/>
    <w:rsid w:val="00904D2E"/>
    <w:pPr>
      <w:ind w:left="720"/>
      <w:contextualSpacing/>
    </w:pPr>
  </w:style>
  <w:style w:type="character" w:styleId="Strong">
    <w:name w:val="Strong"/>
    <w:basedOn w:val="DefaultParagraphFont"/>
    <w:uiPriority w:val="22"/>
    <w:qFormat/>
    <w:rsid w:val="00ED71C3"/>
    <w:rPr>
      <w:b/>
      <w:bCs/>
    </w:rPr>
  </w:style>
  <w:style w:type="paragraph" w:styleId="Revision">
    <w:name w:val="Revision"/>
    <w:hidden/>
    <w:uiPriority w:val="99"/>
    <w:semiHidden/>
    <w:rsid w:val="00EA196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64570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5885468">
      <w:bodyDiv w:val="1"/>
      <w:marLeft w:val="0"/>
      <w:marRight w:val="0"/>
      <w:marTop w:val="0"/>
      <w:marBottom w:val="0"/>
      <w:divBdr>
        <w:top w:val="none" w:sz="0" w:space="0" w:color="auto"/>
        <w:left w:val="none" w:sz="0" w:space="0" w:color="auto"/>
        <w:bottom w:val="none" w:sz="0" w:space="0" w:color="auto"/>
        <w:right w:val="none" w:sz="0" w:space="0" w:color="auto"/>
      </w:divBdr>
    </w:div>
    <w:div w:id="8806280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47770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75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1574-0072(01)10014-9" TargetMode="External"/><Relationship Id="rId26" Type="http://schemas.openxmlformats.org/officeDocument/2006/relationships/hyperlink" Target="https://epubs.icar.org.in/index.php/MR/article/view/48981" TargetMode="External"/><Relationship Id="rId39" Type="http://schemas.openxmlformats.org/officeDocument/2006/relationships/theme" Target="theme/theme1.xml"/><Relationship Id="rId21" Type="http://schemas.openxmlformats.org/officeDocument/2006/relationships/hyperlink" Target="http://agcensus.nic.in/document/agcen1516/T1_ac_2015_16.pdf"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fs.2017.10.001" TargetMode="External"/><Relationship Id="rId25" Type="http://schemas.openxmlformats.org/officeDocument/2006/relationships/hyperlink" Target="https://doi.org/10.1080/09766898.2012.11884685" TargetMode="External"/><Relationship Id="rId33" Type="http://schemas.openxmlformats.org/officeDocument/2006/relationships/hyperlink" Target="https://doi.org/10.1615/IntJMedMushrooms.v19.i4.1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6036/MR.32.2.2023.146647" TargetMode="External"/><Relationship Id="rId20" Type="http://schemas.openxmlformats.org/officeDocument/2006/relationships/hyperlink" Target="https://doi.org/10.22004/ag.econ.7234" TargetMode="External"/><Relationship Id="rId29" Type="http://schemas.openxmlformats.org/officeDocument/2006/relationships/hyperlink" Target="https://doi.org/10.1002/aepp.13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ompag.2008.01.004" TargetMode="External"/><Relationship Id="rId32" Type="http://schemas.openxmlformats.org/officeDocument/2006/relationships/hyperlink" Target="https://doi.org/10.18174/njas.v42i4.589"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93/wbro/lkh013" TargetMode="External"/><Relationship Id="rId23" Type="http://schemas.openxmlformats.org/officeDocument/2006/relationships/hyperlink" Target="https://doi.org/10.1016/S0960-8524(03)00118-4" TargetMode="External"/><Relationship Id="rId28" Type="http://schemas.openxmlformats.org/officeDocument/2006/relationships/hyperlink" Target="https://doi.org/10.36036/MR.33.2.2024.156323"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7/S1074070800019271" TargetMode="External"/><Relationship Id="rId31" Type="http://schemas.openxmlformats.org/officeDocument/2006/relationships/hyperlink" Target="https://www.astralin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pol.2016.09.014" TargetMode="External"/><Relationship Id="rId22" Type="http://schemas.openxmlformats.org/officeDocument/2006/relationships/hyperlink" Target="https://www.isdsnet.com/ijds/volume2number2/IJDS12122701.pdf" TargetMode="External"/><Relationship Id="rId27" Type="http://schemas.openxmlformats.org/officeDocument/2006/relationships/hyperlink" Target="https://doi.org/10.1080/87559129.2019.1584817" TargetMode="External"/><Relationship Id="rId30" Type="http://schemas.openxmlformats.org/officeDocument/2006/relationships/hyperlink" Target="https://hdl.handle.net/10520/EJC126579"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8D5D-F585-4D0B-AEA4-7D09A733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TotalTime>
  <Pages>12</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75</cp:revision>
  <cp:lastPrinted>1999-07-06T11:00:00Z</cp:lastPrinted>
  <dcterms:created xsi:type="dcterms:W3CDTF">2026-01-02T10:04:00Z</dcterms:created>
  <dcterms:modified xsi:type="dcterms:W3CDTF">2026-01-14T10:00:00Z</dcterms:modified>
</cp:coreProperties>
</file>