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B9C" w:rsidRDefault="00F66B9C" w:rsidP="00F66B9C">
      <w:pPr>
        <w:spacing w:after="0" w:line="240" w:lineRule="auto"/>
        <w:ind w:left="2" w:right="3"/>
        <w:jc w:val="right"/>
        <w:rPr>
          <w:rFonts w:ascii="Arial" w:eastAsia="MS Mincho" w:hAnsi="Arial" w:cs="Arial"/>
          <w:b/>
          <w:color w:val="000000"/>
          <w:sz w:val="36"/>
          <w:szCs w:val="20"/>
          <w:lang w:val="en-US"/>
        </w:rPr>
      </w:pPr>
      <w:r w:rsidRPr="00065804">
        <w:rPr>
          <w:rFonts w:ascii="Arial" w:eastAsia="MS Mincho" w:hAnsi="Arial" w:cs="Arial"/>
          <w:b/>
          <w:color w:val="000000"/>
          <w:sz w:val="36"/>
          <w:szCs w:val="20"/>
          <w:lang w:val="en-US"/>
        </w:rPr>
        <w:t>Effect</w:t>
      </w:r>
      <w:r w:rsidRPr="00065804">
        <w:rPr>
          <w:rFonts w:ascii="Arial" w:eastAsia="MS Mincho" w:hAnsi="Arial" w:cs="Arial"/>
          <w:b/>
          <w:color w:val="000000"/>
          <w:spacing w:val="-4"/>
          <w:sz w:val="36"/>
          <w:szCs w:val="20"/>
          <w:lang w:val="en-US"/>
        </w:rPr>
        <w:t xml:space="preserve"> </w:t>
      </w:r>
      <w:r w:rsidRPr="00065804">
        <w:rPr>
          <w:rFonts w:ascii="Arial" w:eastAsia="MS Mincho" w:hAnsi="Arial" w:cs="Arial"/>
          <w:b/>
          <w:color w:val="000000"/>
          <w:sz w:val="36"/>
          <w:szCs w:val="20"/>
          <w:lang w:val="en-US"/>
        </w:rPr>
        <w:t>of</w:t>
      </w:r>
      <w:r w:rsidRPr="00065804">
        <w:rPr>
          <w:rFonts w:ascii="Arial" w:eastAsia="MS Mincho" w:hAnsi="Arial" w:cs="Arial"/>
          <w:b/>
          <w:color w:val="000000"/>
          <w:spacing w:val="-7"/>
          <w:sz w:val="36"/>
          <w:szCs w:val="20"/>
          <w:lang w:val="en-US"/>
        </w:rPr>
        <w:t xml:space="preserve"> </w:t>
      </w:r>
      <w:r w:rsidRPr="00065804">
        <w:rPr>
          <w:rFonts w:ascii="Arial" w:eastAsia="MS Mincho" w:hAnsi="Arial" w:cs="Arial"/>
          <w:b/>
          <w:color w:val="000000"/>
          <w:sz w:val="36"/>
          <w:szCs w:val="20"/>
          <w:lang w:val="en-US"/>
        </w:rPr>
        <w:t>spacing</w:t>
      </w:r>
      <w:r w:rsidRPr="00065804">
        <w:rPr>
          <w:rFonts w:ascii="Arial" w:eastAsia="MS Mincho" w:hAnsi="Arial" w:cs="Arial"/>
          <w:b/>
          <w:color w:val="000000"/>
          <w:spacing w:val="-5"/>
          <w:sz w:val="36"/>
          <w:szCs w:val="20"/>
          <w:lang w:val="en-US"/>
        </w:rPr>
        <w:t xml:space="preserve"> </w:t>
      </w:r>
      <w:r w:rsidRPr="00065804">
        <w:rPr>
          <w:rFonts w:ascii="Arial" w:eastAsia="MS Mincho" w:hAnsi="Arial" w:cs="Arial"/>
          <w:b/>
          <w:color w:val="000000"/>
          <w:sz w:val="36"/>
          <w:szCs w:val="20"/>
          <w:lang w:val="en-US"/>
        </w:rPr>
        <w:t>and</w:t>
      </w:r>
      <w:r w:rsidRPr="00065804">
        <w:rPr>
          <w:rFonts w:ascii="Arial" w:eastAsia="MS Mincho" w:hAnsi="Arial" w:cs="Arial"/>
          <w:b/>
          <w:color w:val="000000"/>
          <w:spacing w:val="-7"/>
          <w:sz w:val="36"/>
          <w:szCs w:val="20"/>
          <w:lang w:val="en-US"/>
        </w:rPr>
        <w:t xml:space="preserve"> </w:t>
      </w:r>
      <w:r w:rsidRPr="00065804">
        <w:rPr>
          <w:rFonts w:ascii="Arial" w:eastAsia="MS Mincho" w:hAnsi="Arial" w:cs="Arial"/>
          <w:b/>
          <w:color w:val="000000"/>
          <w:sz w:val="36"/>
          <w:szCs w:val="20"/>
          <w:lang w:val="en-US"/>
        </w:rPr>
        <w:t>fertilizer</w:t>
      </w:r>
      <w:r w:rsidRPr="00065804">
        <w:rPr>
          <w:rFonts w:ascii="Arial" w:eastAsia="MS Mincho" w:hAnsi="Arial" w:cs="Arial"/>
          <w:b/>
          <w:color w:val="000000"/>
          <w:spacing w:val="-12"/>
          <w:sz w:val="36"/>
          <w:szCs w:val="20"/>
          <w:lang w:val="en-US"/>
        </w:rPr>
        <w:t xml:space="preserve"> </w:t>
      </w:r>
      <w:r w:rsidRPr="00065804">
        <w:rPr>
          <w:rFonts w:ascii="Arial" w:eastAsia="MS Mincho" w:hAnsi="Arial" w:cs="Arial"/>
          <w:b/>
          <w:color w:val="000000"/>
          <w:sz w:val="36"/>
          <w:szCs w:val="20"/>
          <w:lang w:val="en-US"/>
        </w:rPr>
        <w:t>levels</w:t>
      </w:r>
      <w:r w:rsidRPr="00065804">
        <w:rPr>
          <w:rFonts w:ascii="Arial" w:eastAsia="MS Mincho" w:hAnsi="Arial" w:cs="Arial"/>
          <w:b/>
          <w:color w:val="000000"/>
          <w:spacing w:val="-8"/>
          <w:sz w:val="36"/>
          <w:szCs w:val="20"/>
          <w:lang w:val="en-US"/>
        </w:rPr>
        <w:t xml:space="preserve"> </w:t>
      </w:r>
      <w:r w:rsidRPr="00065804">
        <w:rPr>
          <w:rFonts w:ascii="Arial" w:eastAsia="MS Mincho" w:hAnsi="Arial" w:cs="Arial"/>
          <w:b/>
          <w:color w:val="000000"/>
          <w:sz w:val="36"/>
          <w:szCs w:val="20"/>
          <w:lang w:val="en-US"/>
        </w:rPr>
        <w:t>on</w:t>
      </w:r>
      <w:r w:rsidRPr="00065804">
        <w:rPr>
          <w:rFonts w:ascii="Arial" w:eastAsia="MS Mincho" w:hAnsi="Arial" w:cs="Arial"/>
          <w:b/>
          <w:color w:val="000000"/>
          <w:spacing w:val="-1"/>
          <w:sz w:val="36"/>
          <w:szCs w:val="20"/>
          <w:lang w:val="en-US"/>
        </w:rPr>
        <w:t xml:space="preserve"> growth, yield and quality of </w:t>
      </w:r>
      <w:r w:rsidRPr="00065804">
        <w:rPr>
          <w:rFonts w:ascii="Arial" w:eastAsia="MS Mincho" w:hAnsi="Arial" w:cs="Arial"/>
          <w:b/>
          <w:i/>
          <w:color w:val="000000"/>
          <w:sz w:val="36"/>
          <w:szCs w:val="20"/>
          <w:lang w:val="en-US"/>
        </w:rPr>
        <w:t>kharif</w:t>
      </w:r>
      <w:r w:rsidRPr="00065804">
        <w:rPr>
          <w:rFonts w:ascii="Arial" w:eastAsia="MS Mincho" w:hAnsi="Arial" w:cs="Arial"/>
          <w:b/>
          <w:i/>
          <w:color w:val="000000"/>
          <w:spacing w:val="-6"/>
          <w:sz w:val="36"/>
          <w:szCs w:val="20"/>
          <w:lang w:val="en-US"/>
        </w:rPr>
        <w:t xml:space="preserve"> </w:t>
      </w:r>
      <w:r w:rsidRPr="00065804">
        <w:rPr>
          <w:rFonts w:ascii="Arial" w:eastAsia="MS Mincho" w:hAnsi="Arial" w:cs="Arial"/>
          <w:b/>
          <w:color w:val="000000"/>
          <w:sz w:val="36"/>
          <w:szCs w:val="20"/>
          <w:lang w:val="en-US"/>
        </w:rPr>
        <w:t>groundnut (</w:t>
      </w:r>
      <w:proofErr w:type="spellStart"/>
      <w:r w:rsidRPr="00065804">
        <w:rPr>
          <w:rFonts w:ascii="Arial" w:eastAsia="MS Mincho" w:hAnsi="Arial" w:cs="Arial"/>
          <w:b/>
          <w:i/>
          <w:color w:val="000000"/>
          <w:sz w:val="36"/>
          <w:szCs w:val="20"/>
          <w:lang w:val="en-US"/>
        </w:rPr>
        <w:t>Arachis</w:t>
      </w:r>
      <w:proofErr w:type="spellEnd"/>
      <w:r w:rsidRPr="00065804">
        <w:rPr>
          <w:rFonts w:ascii="Arial" w:eastAsia="MS Mincho" w:hAnsi="Arial" w:cs="Arial"/>
          <w:b/>
          <w:i/>
          <w:color w:val="000000"/>
          <w:sz w:val="36"/>
          <w:szCs w:val="20"/>
          <w:lang w:val="en-US"/>
        </w:rPr>
        <w:t xml:space="preserve"> </w:t>
      </w:r>
      <w:proofErr w:type="spellStart"/>
      <w:r w:rsidRPr="00065804">
        <w:rPr>
          <w:rFonts w:ascii="Arial" w:eastAsia="MS Mincho" w:hAnsi="Arial" w:cs="Arial"/>
          <w:b/>
          <w:i/>
          <w:color w:val="000000"/>
          <w:sz w:val="36"/>
          <w:szCs w:val="20"/>
          <w:lang w:val="en-US"/>
        </w:rPr>
        <w:t>hypogaea</w:t>
      </w:r>
      <w:proofErr w:type="spellEnd"/>
      <w:r w:rsidRPr="00065804">
        <w:rPr>
          <w:rFonts w:ascii="Arial" w:eastAsia="MS Mincho" w:hAnsi="Arial" w:cs="Arial"/>
          <w:b/>
          <w:i/>
          <w:color w:val="000000"/>
          <w:sz w:val="36"/>
          <w:szCs w:val="20"/>
          <w:lang w:val="en-US"/>
        </w:rPr>
        <w:t xml:space="preserve"> </w:t>
      </w:r>
      <w:r w:rsidRPr="00065804">
        <w:rPr>
          <w:rFonts w:ascii="Arial" w:eastAsia="MS Mincho" w:hAnsi="Arial" w:cs="Arial"/>
          <w:b/>
          <w:color w:val="000000"/>
          <w:sz w:val="36"/>
          <w:szCs w:val="20"/>
          <w:lang w:val="en-US"/>
        </w:rPr>
        <w:t>L.)</w:t>
      </w:r>
    </w:p>
    <w:p w:rsidR="00F66B9C" w:rsidRDefault="00F66B9C" w:rsidP="00F66B9C">
      <w:pPr>
        <w:spacing w:after="0" w:line="240" w:lineRule="auto"/>
        <w:ind w:left="2" w:right="3"/>
        <w:jc w:val="right"/>
        <w:rPr>
          <w:rFonts w:ascii="Arial" w:eastAsia="MS Mincho" w:hAnsi="Arial" w:cs="Arial"/>
          <w:b/>
          <w:color w:val="000000"/>
          <w:sz w:val="36"/>
          <w:szCs w:val="20"/>
          <w:lang w:val="en-US"/>
        </w:rPr>
      </w:pPr>
    </w:p>
    <w:p w:rsidR="00F66B9C" w:rsidRPr="00065804" w:rsidRDefault="00F66B9C" w:rsidP="00F66B9C">
      <w:pPr>
        <w:spacing w:after="0" w:line="240" w:lineRule="auto"/>
        <w:ind w:left="3" w:right="1"/>
        <w:jc w:val="right"/>
        <w:rPr>
          <w:rFonts w:ascii="Arial" w:eastAsia="MS Mincho" w:hAnsi="Arial" w:cs="Arial"/>
          <w:i/>
          <w:color w:val="000000"/>
          <w:spacing w:val="-2"/>
          <w:sz w:val="20"/>
          <w:szCs w:val="20"/>
          <w:lang w:val="en-US"/>
        </w:rPr>
      </w:pPr>
    </w:p>
    <w:p w:rsidR="00F66B9C" w:rsidRDefault="00F66B9C" w:rsidP="00F66B9C">
      <w:r>
        <w:rPr>
          <w:rFonts w:ascii="Arial" w:hAnsi="Arial" w:cs="Arial"/>
          <w:noProof/>
          <w:lang w:eastAsia="en-IN"/>
        </w:rPr>
        <mc:AlternateContent>
          <mc:Choice Requires="wps">
            <w:drawing>
              <wp:inline distT="0" distB="0" distL="0" distR="0" wp14:anchorId="14E83DA3" wp14:editId="2C91565B">
                <wp:extent cx="4996180" cy="598"/>
                <wp:effectExtent l="0" t="0" r="33020" b="1905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6180" cy="59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2DE757" id="_x0000_t32" coordsize="21600,21600" o:spt="32" o:oned="t" path="m,l21600,21600e" filled="f">
                <v:path arrowok="t" fillok="f" o:connecttype="none"/>
                <o:lock v:ext="edit" shapetype="t"/>
              </v:shapetype>
              <v:shape id="Straight Arrow Connector 1" o:spid="_x0000_s1026" type="#_x0000_t32" style="width:393.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NmGJgIAAE0EAAAOAAAAZHJzL2Uyb0RvYy54bWysVMGu2jAQvFfqP1i5QxIaKImAp6cEenlt&#10;kXj9AGM7xGritWxDQFX/vWsTaGkvVdUcHDveHc/OjrN4OnctOQljJahllI6TiAjFgEt1WEZfXjej&#10;eUSso4rTFpRYRhdho6fV2zeLXhdiAg20XBiCIMoWvV5GjXO6iGPLGtFROwYtFG7WYDrqcGkOMTe0&#10;R/SujSdJMot7MFwbYMJa/FpdN6NVwK9rwdznurbCkXYZITcXRhPGvR/j1YIWB0N1I9lAg/4Di45K&#10;hYfeoSrqKDka+QdUJ5kBC7UbM+hiqGvJRKgBq0mT36rZNVSLUAuKY/VdJvv/YNmn09YQybF3EVG0&#10;wxbtnKHy0DjybAz0pASlUEYwJPVq9doWmFSqrfH1srPa6RdgXy1RUDZUHURg/XrRCBUy4ocUv7Aa&#10;z9z3H4FjDD06CNKda9N5SBSFnEOHLvcOibMjDD9meT5L59hIhnvTfO4ZxbS4pWpj3QcBHfGTZWSH&#10;Su4lpOEgenqx7pp4S/DnKtjItg2GaBXpkX2eTJOQYaGV3O/6OGsO+7I15ES9p8Iz0HgIM3BUPKA1&#10;gvL1MHdUttc50m6Vx8PakM8wu5rmW57k6/l6no2yyWw9ypKqGj1vymw026Tvp9W7qiyr9LunlmZF&#10;IzkXyrO7GTjN/s4gw1W6Wu9u4bsO8SN6UBrJ3t6BdGiu7+fVGXvgl63x2vo+o2dD8HC//KX4dR2i&#10;fv4FVj8AAAD//wMAUEsDBBQABgAIAAAAIQCpcFiB1QAAAAIBAAAPAAAAZHJzL2Rvd25yZXYueG1s&#10;TI/BToRAEETvJv7DpE28GHfQAxJk2BgTTx7EdT+gYVogMj2EGZbx7+31opdOKlWpflXtk5vUiZYw&#10;ejZwt8tAEXfejtwbOH683BagQkS2OHkmA98UYF9fXlRYWr/xO50OsVdSwqFEA0OMc6l16AZyGHZ+&#10;Jhbv0y8Oo8il13bBTcrdpO+zLNcOR5YPA870PFD3dVidgfSWc0xNkdqN19dQ3DQJXWPM9VV6egQV&#10;KcW/MJzxBR1qYWr9yjaoyYAMib9XvIcilxntOaTrSv9Hr38AAAD//wMAUEsBAi0AFAAGAAgAAAAh&#10;ALaDOJL+AAAA4QEAABMAAAAAAAAAAAAAAAAAAAAAAFtDb250ZW50X1R5cGVzXS54bWxQSwECLQAU&#10;AAYACAAAACEAOP0h/9YAAACUAQAACwAAAAAAAAAAAAAAAAAvAQAAX3JlbHMvLnJlbHNQSwECLQAU&#10;AAYACAAAACEAqvTZhiYCAABNBAAADgAAAAAAAAAAAAAAAAAuAgAAZHJzL2Uyb0RvYy54bWxQSwEC&#10;LQAUAAYACAAAACEAqXBYgdUAAAACAQAADwAAAAAAAAAAAAAAAACABAAAZHJzL2Rvd25yZXYueG1s&#10;UEsFBgAAAAAEAAQA8wAAAIIFAAAAAA==&#10;" strokeweight="1.5pt">
                <w10:anchorlock/>
              </v:shape>
            </w:pict>
          </mc:Fallback>
        </mc:AlternateContent>
      </w:r>
    </w:p>
    <w:p w:rsidR="00F66B9C" w:rsidRDefault="00F66B9C" w:rsidP="00F66B9C">
      <w:pPr>
        <w:rPr>
          <w:rFonts w:ascii="Arial" w:eastAsia="Times New Roman" w:hAnsi="Arial" w:cs="Arial"/>
          <w:b/>
          <w:lang w:val="en-US"/>
        </w:rPr>
      </w:pPr>
      <w:r w:rsidRPr="00065804">
        <w:rPr>
          <w:rFonts w:ascii="Arial" w:eastAsia="Times New Roman" w:hAnsi="Arial" w:cs="Arial"/>
          <w:b/>
          <w:lang w:val="en-US"/>
        </w:rPr>
        <w:t>ABSTRACT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7858"/>
      </w:tblGrid>
      <w:tr w:rsidR="00F66B9C" w:rsidRPr="001E44FE" w:rsidTr="00A81157">
        <w:tc>
          <w:tcPr>
            <w:tcW w:w="5000" w:type="pct"/>
            <w:shd w:val="clear" w:color="auto" w:fill="F2F2F2"/>
          </w:tcPr>
          <w:p w:rsidR="00F66B9C" w:rsidRPr="00CD0269" w:rsidRDefault="00F66B9C" w:rsidP="00CD0269">
            <w:pPr>
              <w:spacing w:line="276" w:lineRule="auto"/>
              <w:ind w:hanging="709"/>
              <w:jc w:val="both"/>
              <w:rPr>
                <w:rFonts w:ascii="Arial" w:hAnsi="Arial" w:cs="Arial"/>
                <w:iCs/>
                <w:color w:val="000000" w:themeColor="text1"/>
              </w:rPr>
            </w:pPr>
            <w:r>
              <w:rPr>
                <w:iCs/>
                <w:color w:val="000000" w:themeColor="text1"/>
                <w:sz w:val="24"/>
                <w:szCs w:val="24"/>
              </w:rPr>
              <w:tab/>
            </w:r>
            <w:r>
              <w:rPr>
                <w:iCs/>
                <w:color w:val="000000" w:themeColor="text1"/>
                <w:sz w:val="24"/>
                <w:szCs w:val="24"/>
              </w:rPr>
              <w:tab/>
            </w:r>
            <w:r w:rsidR="00681475" w:rsidRPr="00065804">
              <w:rPr>
                <w:rFonts w:ascii="Arial" w:eastAsia="Times New Roman" w:hAnsi="Arial" w:cs="Arial"/>
                <w:sz w:val="20"/>
                <w:szCs w:val="20"/>
                <w:lang w:eastAsia="en-IN"/>
              </w:rPr>
              <w:t xml:space="preserve">Optimization of mineral nutrition is critical for maximizing groundnut productivity, as the crop has high nutrient requirements, particularly under newly released high-yielding cultivars that extract substantial nutrients from the soil. </w:t>
            </w:r>
            <w:r w:rsidR="00CD0269" w:rsidRPr="00CD0269">
              <w:rPr>
                <w:rFonts w:ascii="Arial" w:hAnsi="Arial" w:cs="Arial"/>
                <w:iCs/>
                <w:color w:val="000000" w:themeColor="text1"/>
              </w:rPr>
              <w:t xml:space="preserve">An experiment was carried out during the </w:t>
            </w:r>
            <w:r w:rsidR="00CD0269" w:rsidRPr="00CD0269">
              <w:rPr>
                <w:rFonts w:ascii="Arial" w:hAnsi="Arial" w:cs="Arial"/>
                <w:i/>
                <w:iCs/>
                <w:color w:val="000000" w:themeColor="text1"/>
              </w:rPr>
              <w:t>kharif</w:t>
            </w:r>
            <w:r w:rsidR="00CD0269" w:rsidRPr="00CD0269">
              <w:rPr>
                <w:rFonts w:ascii="Arial" w:hAnsi="Arial" w:cs="Arial"/>
                <w:iCs/>
                <w:color w:val="000000" w:themeColor="text1"/>
              </w:rPr>
              <w:t xml:space="preserve"> season of 2022 at Bidi Tobacco Research Station, Anand Agricultural University, Anand, Gujarat, India, to examine </w:t>
            </w:r>
            <w:r w:rsidR="00681475">
              <w:rPr>
                <w:rFonts w:ascii="Arial" w:hAnsi="Arial" w:cs="Arial"/>
                <w:iCs/>
                <w:color w:val="000000" w:themeColor="text1"/>
              </w:rPr>
              <w:t>the e</w:t>
            </w:r>
            <w:r w:rsidR="00CD0269" w:rsidRPr="00CD0269">
              <w:rPr>
                <w:rFonts w:ascii="Arial" w:hAnsi="Arial" w:cs="Arial"/>
                <w:iCs/>
                <w:color w:val="000000" w:themeColor="text1"/>
              </w:rPr>
              <w:t xml:space="preserve">ffect of spacing and fertilizer levels on </w:t>
            </w:r>
            <w:r w:rsidR="00CD0269" w:rsidRPr="00CD0269">
              <w:rPr>
                <w:rFonts w:ascii="Arial" w:hAnsi="Arial" w:cs="Arial"/>
                <w:i/>
                <w:iCs/>
                <w:color w:val="000000" w:themeColor="text1"/>
              </w:rPr>
              <w:t>kharif</w:t>
            </w:r>
            <w:r w:rsidR="00CD0269">
              <w:rPr>
                <w:rFonts w:ascii="Arial" w:hAnsi="Arial" w:cs="Arial"/>
                <w:iCs/>
                <w:color w:val="000000" w:themeColor="text1"/>
              </w:rPr>
              <w:t xml:space="preserve"> groundnut. </w:t>
            </w:r>
            <w:r w:rsidR="00681475">
              <w:rPr>
                <w:rFonts w:ascii="Arial" w:hAnsi="Arial" w:cs="Arial"/>
                <w:iCs/>
                <w:color w:val="000000" w:themeColor="text1"/>
              </w:rPr>
              <w:t>The e</w:t>
            </w:r>
            <w:r w:rsidR="00CD0269" w:rsidRPr="00CD0269">
              <w:rPr>
                <w:rFonts w:ascii="Arial" w:hAnsi="Arial" w:cs="Arial"/>
                <w:iCs/>
                <w:color w:val="000000" w:themeColor="text1"/>
              </w:rPr>
              <w:t>xperiment was designed as split plot and replicated four times. There were eight treatment combinations, which included two spacings, (S</w:t>
            </w:r>
            <w:r w:rsidR="00CD0269" w:rsidRPr="00CD0269">
              <w:rPr>
                <w:rFonts w:ascii="Arial" w:hAnsi="Arial" w:cs="Arial"/>
                <w:iCs/>
                <w:color w:val="000000" w:themeColor="text1"/>
                <w:vertAlign w:val="subscript"/>
              </w:rPr>
              <w:t>1</w:t>
            </w:r>
            <w:r w:rsidR="00CD0269" w:rsidRPr="00CD0269">
              <w:rPr>
                <w:rFonts w:ascii="Arial" w:hAnsi="Arial" w:cs="Arial"/>
                <w:iCs/>
                <w:color w:val="000000" w:themeColor="text1"/>
              </w:rPr>
              <w:t>) 45 cm and (S</w:t>
            </w:r>
            <w:r w:rsidR="00CD0269" w:rsidRPr="00CD0269">
              <w:rPr>
                <w:rFonts w:ascii="Arial" w:hAnsi="Arial" w:cs="Arial"/>
                <w:iCs/>
                <w:color w:val="000000" w:themeColor="text1"/>
                <w:vertAlign w:val="subscript"/>
              </w:rPr>
              <w:t>2</w:t>
            </w:r>
            <w:r w:rsidR="00CD0269" w:rsidRPr="00CD0269">
              <w:rPr>
                <w:rFonts w:ascii="Arial" w:hAnsi="Arial" w:cs="Arial"/>
                <w:iCs/>
                <w:color w:val="000000" w:themeColor="text1"/>
              </w:rPr>
              <w:t>) 60 cm as a main plot and four different NPK kg/ha fertili</w:t>
            </w:r>
            <w:r w:rsidR="00681475">
              <w:rPr>
                <w:rFonts w:ascii="Arial" w:hAnsi="Arial" w:cs="Arial"/>
                <w:iCs/>
                <w:color w:val="000000" w:themeColor="text1"/>
              </w:rPr>
              <w:t>s</w:t>
            </w:r>
            <w:r w:rsidR="00CD0269" w:rsidRPr="00CD0269">
              <w:rPr>
                <w:rFonts w:ascii="Arial" w:hAnsi="Arial" w:cs="Arial"/>
                <w:iCs/>
                <w:color w:val="000000" w:themeColor="text1"/>
              </w:rPr>
              <w:t>er levels, (F</w:t>
            </w:r>
            <w:r w:rsidR="00CD0269" w:rsidRPr="00CD0269">
              <w:rPr>
                <w:rFonts w:ascii="Arial" w:hAnsi="Arial" w:cs="Arial"/>
                <w:iCs/>
                <w:color w:val="000000" w:themeColor="text1"/>
                <w:vertAlign w:val="subscript"/>
              </w:rPr>
              <w:t>1</w:t>
            </w:r>
            <w:r w:rsidR="00CD0269" w:rsidRPr="00CD0269">
              <w:rPr>
                <w:rFonts w:ascii="Arial" w:hAnsi="Arial" w:cs="Arial"/>
                <w:iCs/>
                <w:color w:val="000000" w:themeColor="text1"/>
              </w:rPr>
              <w:t>) 12.5-25-0, (F</w:t>
            </w:r>
            <w:r w:rsidR="00CD0269" w:rsidRPr="00CD0269">
              <w:rPr>
                <w:rFonts w:ascii="Arial" w:hAnsi="Arial" w:cs="Arial"/>
                <w:iCs/>
                <w:color w:val="000000" w:themeColor="text1"/>
                <w:vertAlign w:val="subscript"/>
              </w:rPr>
              <w:t>2</w:t>
            </w:r>
            <w:r w:rsidR="00CD0269" w:rsidRPr="00CD0269">
              <w:rPr>
                <w:rFonts w:ascii="Arial" w:hAnsi="Arial" w:cs="Arial"/>
                <w:iCs/>
                <w:color w:val="000000" w:themeColor="text1"/>
              </w:rPr>
              <w:t>) 12.5-25-25, (F</w:t>
            </w:r>
            <w:r w:rsidR="00CD0269" w:rsidRPr="00CD0269">
              <w:rPr>
                <w:rFonts w:ascii="Arial" w:hAnsi="Arial" w:cs="Arial"/>
                <w:iCs/>
                <w:color w:val="000000" w:themeColor="text1"/>
                <w:vertAlign w:val="subscript"/>
              </w:rPr>
              <w:t>3</w:t>
            </w:r>
            <w:r w:rsidR="00175FC9">
              <w:rPr>
                <w:rFonts w:ascii="Arial" w:hAnsi="Arial" w:cs="Arial"/>
                <w:iCs/>
                <w:color w:val="000000" w:themeColor="text1"/>
              </w:rPr>
              <w:t>) 25-50-0</w:t>
            </w:r>
            <w:r w:rsidR="00CD0269" w:rsidRPr="00CD0269">
              <w:rPr>
                <w:rFonts w:ascii="Arial" w:hAnsi="Arial" w:cs="Arial"/>
                <w:iCs/>
                <w:color w:val="000000" w:themeColor="text1"/>
              </w:rPr>
              <w:t xml:space="preserve"> and (F</w:t>
            </w:r>
            <w:r w:rsidR="00CD0269" w:rsidRPr="00175FC9">
              <w:rPr>
                <w:rFonts w:ascii="Arial" w:hAnsi="Arial" w:cs="Arial"/>
                <w:iCs/>
                <w:color w:val="000000" w:themeColor="text1"/>
                <w:vertAlign w:val="subscript"/>
              </w:rPr>
              <w:t>4</w:t>
            </w:r>
            <w:r w:rsidR="00CD0269" w:rsidRPr="00CD0269">
              <w:rPr>
                <w:rFonts w:ascii="Arial" w:hAnsi="Arial" w:cs="Arial"/>
                <w:iCs/>
                <w:color w:val="000000" w:themeColor="text1"/>
              </w:rPr>
              <w:t>) 25-50-50 as a subplot.</w:t>
            </w:r>
            <w:r w:rsidR="00175FC9">
              <w:rPr>
                <w:rFonts w:ascii="Arial" w:hAnsi="Arial" w:cs="Arial"/>
                <w:iCs/>
                <w:color w:val="000000" w:themeColor="text1"/>
              </w:rPr>
              <w:t xml:space="preserve"> </w:t>
            </w:r>
            <w:r w:rsidRPr="00216E08">
              <w:rPr>
                <w:rFonts w:ascii="Arial" w:hAnsi="Arial" w:cs="Arial"/>
                <w:color w:val="000000" w:themeColor="text1"/>
              </w:rPr>
              <w:t xml:space="preserve">Groundnut cultivar, GG 34 sown at 60 cm and fertilized with </w:t>
            </w:r>
            <w:r w:rsidRPr="00216E08">
              <w:rPr>
                <w:rFonts w:ascii="Arial" w:hAnsi="Arial" w:cs="Arial"/>
                <w:color w:val="000000" w:themeColor="text1"/>
                <w:lang w:eastAsia="en-IN"/>
              </w:rPr>
              <w:t>25-50-50 kg/ha</w:t>
            </w:r>
            <w:r w:rsidRPr="00216E08">
              <w:rPr>
                <w:rFonts w:ascii="Arial" w:hAnsi="Arial" w:cs="Arial"/>
                <w:color w:val="000000" w:themeColor="text1"/>
              </w:rPr>
              <w:t xml:space="preserve"> recorded the highest number of plant height (30 DAS), branches/plant, pod yield and haulm yield over </w:t>
            </w:r>
            <w:r w:rsidR="00681475">
              <w:rPr>
                <w:rFonts w:ascii="Arial" w:hAnsi="Arial" w:cs="Arial"/>
                <w:color w:val="000000" w:themeColor="text1"/>
              </w:rPr>
              <w:t xml:space="preserve">the </w:t>
            </w:r>
            <w:r w:rsidRPr="00216E08">
              <w:rPr>
                <w:rFonts w:ascii="Arial" w:hAnsi="Arial" w:cs="Arial"/>
                <w:color w:val="000000" w:themeColor="text1"/>
              </w:rPr>
              <w:t xml:space="preserve">rest of </w:t>
            </w:r>
            <w:r w:rsidR="00681475">
              <w:rPr>
                <w:rFonts w:ascii="Arial" w:hAnsi="Arial" w:cs="Arial"/>
                <w:color w:val="000000" w:themeColor="text1"/>
              </w:rPr>
              <w:t xml:space="preserve">the </w:t>
            </w:r>
            <w:r w:rsidRPr="00216E08">
              <w:rPr>
                <w:rFonts w:ascii="Arial" w:hAnsi="Arial" w:cs="Arial"/>
                <w:color w:val="000000" w:themeColor="text1"/>
              </w:rPr>
              <w:t xml:space="preserve">treatment combinations. </w:t>
            </w:r>
            <w:r w:rsidR="00681475">
              <w:rPr>
                <w:rFonts w:ascii="Arial" w:hAnsi="Arial" w:cs="Arial"/>
                <w:color w:val="000000" w:themeColor="text1"/>
              </w:rPr>
              <w:t>T</w:t>
            </w:r>
            <w:r w:rsidRPr="00216E08">
              <w:rPr>
                <w:rFonts w:ascii="Arial" w:hAnsi="Arial" w:cs="Arial"/>
                <w:bCs/>
                <w:color w:val="000000" w:themeColor="text1"/>
              </w:rPr>
              <w:t xml:space="preserve">he highest plant height at 60 DAS and at harvest under 45 cm spacing as compared to 60 cm spacing. The effect of spacing and fertilizer levels registered </w:t>
            </w:r>
            <w:r w:rsidR="00681475">
              <w:rPr>
                <w:rFonts w:ascii="Arial" w:hAnsi="Arial" w:cs="Arial"/>
                <w:bCs/>
                <w:color w:val="000000" w:themeColor="text1"/>
              </w:rPr>
              <w:t xml:space="preserve">a </w:t>
            </w:r>
            <w:r w:rsidRPr="00216E08">
              <w:rPr>
                <w:rFonts w:ascii="Arial" w:hAnsi="Arial" w:cs="Arial"/>
                <w:bCs/>
                <w:color w:val="000000" w:themeColor="text1"/>
              </w:rPr>
              <w:t xml:space="preserve">non-significant effect on quality parameters (oil and protein content). However, an application of 25-50-50 kg/ha NPK resulted </w:t>
            </w:r>
            <w:r w:rsidR="00681475">
              <w:rPr>
                <w:rFonts w:ascii="Arial" w:hAnsi="Arial" w:cs="Arial"/>
                <w:bCs/>
                <w:color w:val="000000" w:themeColor="text1"/>
              </w:rPr>
              <w:t xml:space="preserve">in </w:t>
            </w:r>
            <w:r w:rsidRPr="00216E08">
              <w:rPr>
                <w:rFonts w:ascii="Arial" w:hAnsi="Arial" w:cs="Arial"/>
                <w:bCs/>
                <w:color w:val="000000" w:themeColor="text1"/>
              </w:rPr>
              <w:t xml:space="preserve">significantly higher protein content in kernel.  </w:t>
            </w:r>
          </w:p>
        </w:tc>
      </w:tr>
    </w:tbl>
    <w:p w:rsidR="00F66B9C" w:rsidRDefault="00F66B9C" w:rsidP="00F66B9C">
      <w:pPr>
        <w:rPr>
          <w:b/>
        </w:rPr>
      </w:pPr>
    </w:p>
    <w:p w:rsidR="00F66B9C" w:rsidRPr="00065804" w:rsidRDefault="00F66B9C" w:rsidP="00F66B9C">
      <w:pPr>
        <w:keepNext/>
        <w:spacing w:after="0" w:line="240" w:lineRule="auto"/>
        <w:jc w:val="both"/>
        <w:rPr>
          <w:rFonts w:ascii="Times New Roman" w:eastAsia="MS Mincho" w:hAnsi="Times New Roman" w:cs="Times New Roman"/>
          <w:i/>
          <w:sz w:val="20"/>
          <w:szCs w:val="20"/>
          <w:lang w:val="en-US" w:eastAsia="ja-JP"/>
        </w:rPr>
      </w:pPr>
      <w:r w:rsidRPr="00065804">
        <w:rPr>
          <w:rFonts w:ascii="Times New Roman" w:eastAsia="MS Mincho" w:hAnsi="Times New Roman" w:cs="Times New Roman"/>
          <w:b/>
          <w:bCs/>
          <w:i/>
          <w:iCs/>
          <w:sz w:val="20"/>
          <w:szCs w:val="20"/>
          <w:lang w:val="en-US" w:eastAsia="ja-JP"/>
        </w:rPr>
        <w:t>Keywords:</w:t>
      </w:r>
      <w:r w:rsidRPr="00065804">
        <w:rPr>
          <w:rFonts w:ascii="Times New Roman" w:eastAsia="SimSun" w:hAnsi="Times New Roman" w:cs="Times New Roman"/>
          <w:b/>
          <w:bCs/>
          <w:i/>
          <w:iCs/>
          <w:sz w:val="20"/>
          <w:szCs w:val="20"/>
          <w:lang w:val="en-US" w:eastAsia="zh-CN"/>
        </w:rPr>
        <w:t xml:space="preserve"> </w:t>
      </w:r>
      <w:r w:rsidRPr="00065804">
        <w:rPr>
          <w:rFonts w:ascii="Times New Roman" w:eastAsia="MS Mincho" w:hAnsi="Times New Roman" w:cs="Times New Roman"/>
          <w:i/>
          <w:sz w:val="20"/>
          <w:szCs w:val="20"/>
          <w:lang w:val="en-US" w:eastAsia="ja-JP"/>
        </w:rPr>
        <w:t>Groundnut, spacing, fertilizer levels, nitrogen, phosphorous, potassium</w:t>
      </w:r>
    </w:p>
    <w:p w:rsidR="00F66B9C" w:rsidRPr="00065804" w:rsidRDefault="00F66B9C" w:rsidP="00F66B9C">
      <w:pPr>
        <w:keepNext/>
        <w:spacing w:after="0" w:line="240" w:lineRule="auto"/>
        <w:jc w:val="both"/>
        <w:rPr>
          <w:rFonts w:ascii="Times New Roman" w:eastAsia="MS Mincho" w:hAnsi="Times New Roman" w:cs="Times New Roman"/>
          <w:b/>
          <w:bCs/>
          <w:kern w:val="28"/>
          <w:sz w:val="24"/>
          <w:szCs w:val="24"/>
          <w:lang w:val="en-US" w:eastAsia="ja-JP"/>
        </w:rPr>
      </w:pPr>
    </w:p>
    <w:p w:rsidR="00F66B9C" w:rsidRPr="00065804" w:rsidRDefault="00F66B9C" w:rsidP="00F66B9C">
      <w:pPr>
        <w:keepNext/>
        <w:spacing w:after="0" w:line="240" w:lineRule="auto"/>
        <w:jc w:val="both"/>
        <w:rPr>
          <w:rFonts w:ascii="Arial" w:eastAsia="MS Mincho" w:hAnsi="Arial" w:cs="Arial"/>
          <w:b/>
          <w:bCs/>
          <w:kern w:val="28"/>
          <w:lang w:val="en-US" w:eastAsia="ja-JP"/>
        </w:rPr>
      </w:pPr>
      <w:r>
        <w:rPr>
          <w:rFonts w:ascii="Arial" w:eastAsia="MS Mincho" w:hAnsi="Arial" w:cs="Arial"/>
          <w:b/>
          <w:bCs/>
          <w:kern w:val="28"/>
          <w:lang w:val="en-US" w:eastAsia="ja-JP"/>
        </w:rPr>
        <w:t xml:space="preserve">1. </w:t>
      </w:r>
      <w:r w:rsidRPr="00065804">
        <w:rPr>
          <w:rFonts w:ascii="Arial" w:eastAsia="MS Mincho" w:hAnsi="Arial" w:cs="Arial"/>
          <w:b/>
          <w:bCs/>
          <w:kern w:val="28"/>
          <w:lang w:val="en-US" w:eastAsia="ja-JP"/>
        </w:rPr>
        <w:t>INTRODUCTION</w:t>
      </w:r>
    </w:p>
    <w:p w:rsidR="00F66B9C" w:rsidRPr="00065804" w:rsidRDefault="00F66B9C" w:rsidP="00F66B9C">
      <w:pPr>
        <w:spacing w:after="0" w:line="240" w:lineRule="auto"/>
        <w:jc w:val="both"/>
        <w:rPr>
          <w:rFonts w:ascii="Times New Roman" w:eastAsia="MS Mincho" w:hAnsi="Times New Roman" w:cs="Times New Roman"/>
          <w:sz w:val="20"/>
          <w:szCs w:val="20"/>
          <w:lang w:val="en-US" w:eastAsia="ja-JP"/>
        </w:rPr>
      </w:pPr>
    </w:p>
    <w:p w:rsidR="00F66B9C" w:rsidRPr="00065804" w:rsidRDefault="00175FC9" w:rsidP="00F66B9C">
      <w:pPr>
        <w:spacing w:after="0" w:line="240" w:lineRule="auto"/>
        <w:ind w:firstLine="720"/>
        <w:jc w:val="both"/>
        <w:rPr>
          <w:rFonts w:ascii="Arial" w:eastAsia="Times New Roman" w:hAnsi="Arial" w:cs="Arial"/>
          <w:sz w:val="20"/>
          <w:szCs w:val="20"/>
          <w:lang w:eastAsia="en-IN"/>
        </w:rPr>
      </w:pPr>
      <w:r w:rsidRPr="00175FC9">
        <w:rPr>
          <w:rFonts w:ascii="Arial" w:eastAsia="Times New Roman" w:hAnsi="Arial" w:cs="Arial"/>
          <w:sz w:val="20"/>
          <w:szCs w:val="20"/>
          <w:lang w:eastAsia="en-IN"/>
        </w:rPr>
        <w:t>Groundnut (</w:t>
      </w:r>
      <w:proofErr w:type="spellStart"/>
      <w:r w:rsidRPr="00175FC9">
        <w:rPr>
          <w:rFonts w:ascii="Arial" w:eastAsia="Times New Roman" w:hAnsi="Arial" w:cs="Arial"/>
          <w:sz w:val="20"/>
          <w:szCs w:val="20"/>
          <w:lang w:eastAsia="en-IN"/>
        </w:rPr>
        <w:fldChar w:fldCharType="begin"/>
      </w:r>
      <w:r w:rsidRPr="00175FC9">
        <w:rPr>
          <w:rFonts w:ascii="Arial" w:eastAsia="Times New Roman" w:hAnsi="Arial" w:cs="Arial"/>
          <w:sz w:val="20"/>
          <w:szCs w:val="20"/>
          <w:lang w:eastAsia="en-IN"/>
        </w:rPr>
        <w:instrText xml:space="preserve"> HYPERLINK "https://www.google.com/search?q=Arachis+hypogaea+L.&amp;oq=Groundnut+%28Arachis+hypogaea+L.%29+is+an+important+oilseed+crop+and+legume+grown+mainly+for+its+edible+seeds.+It+is+also+known+as+peanut%2C+goober%2C+pindar%2C+and+monkey+nut+%28Raju+et+al.%2C+2022%29.++MAKE+IT+DIFFERENT&amp;gs_lcrp=EgZjaHJvbWUyBggAEEUYOTIHCAEQIRiPAtIBCTU4MTlqMGoxNagCDLACAfEF5aylCcQmIRDxBeWspQnEJiEQ&amp;sourceid=chrome&amp;ie=UTF-8&amp;mstk=AUtExfAllVrr_RgJqFKrL2PEp81VZ5ZsWfVW_KWTN8EuY6apEnwgOxAtKTaWRWDE9g_UAz5ZBqd3tTCZzqs5hlVGXUgTy2ygqUJYDWQMJ1gXTtS8qeeRB04KX9mXPpvEfw3GkzEQnZGWFrU7aRqnMN3G6yC-5qALNy8aDSpYEfpZBaYXZJY-ly1FgAAMn9dQwlHIjSnka0iQ1LPQI_ciSrXQPnmKrg5Iz5gBoeHDanwVeVu1DkIhU3xx6JBKXoOWRCPoaZld71dopdydxLLdT0qCNEK0&amp;csui=3&amp;ved=2ahUKEwjLzcLuwO6RAxXfXGcHHabDI6IQgK4QegQIARAD" </w:instrText>
      </w:r>
      <w:r w:rsidRPr="00175FC9">
        <w:rPr>
          <w:rFonts w:ascii="Arial" w:eastAsia="Times New Roman" w:hAnsi="Arial" w:cs="Arial"/>
          <w:sz w:val="20"/>
          <w:szCs w:val="20"/>
          <w:lang w:eastAsia="en-IN"/>
        </w:rPr>
        <w:fldChar w:fldCharType="separate"/>
      </w:r>
      <w:r w:rsidRPr="006F2CAD">
        <w:rPr>
          <w:rStyle w:val="Hyperlink"/>
          <w:rFonts w:ascii="Arial" w:eastAsia="Times New Roman" w:hAnsi="Arial" w:cs="Arial"/>
          <w:i/>
          <w:iCs/>
          <w:color w:val="000000" w:themeColor="text1"/>
          <w:sz w:val="20"/>
          <w:szCs w:val="20"/>
          <w:u w:val="none"/>
          <w:lang w:eastAsia="en-IN"/>
        </w:rPr>
        <w:t>Arachis</w:t>
      </w:r>
      <w:proofErr w:type="spellEnd"/>
      <w:r w:rsidRPr="006F2CAD">
        <w:rPr>
          <w:rStyle w:val="Hyperlink"/>
          <w:rFonts w:ascii="Arial" w:eastAsia="Times New Roman" w:hAnsi="Arial" w:cs="Arial"/>
          <w:i/>
          <w:iCs/>
          <w:color w:val="000000" w:themeColor="text1"/>
          <w:sz w:val="20"/>
          <w:szCs w:val="20"/>
          <w:u w:val="none"/>
          <w:lang w:eastAsia="en-IN"/>
        </w:rPr>
        <w:t xml:space="preserve"> </w:t>
      </w:r>
      <w:proofErr w:type="spellStart"/>
      <w:r w:rsidRPr="006F2CAD">
        <w:rPr>
          <w:rStyle w:val="Hyperlink"/>
          <w:rFonts w:ascii="Arial" w:eastAsia="Times New Roman" w:hAnsi="Arial" w:cs="Arial"/>
          <w:i/>
          <w:iCs/>
          <w:color w:val="000000" w:themeColor="text1"/>
          <w:sz w:val="20"/>
          <w:szCs w:val="20"/>
          <w:u w:val="none"/>
          <w:lang w:eastAsia="en-IN"/>
        </w:rPr>
        <w:t>hypogaea</w:t>
      </w:r>
      <w:proofErr w:type="spellEnd"/>
      <w:r w:rsidRPr="006F2CAD">
        <w:rPr>
          <w:rStyle w:val="Hyperlink"/>
          <w:rFonts w:ascii="Arial" w:eastAsia="Times New Roman" w:hAnsi="Arial" w:cs="Arial"/>
          <w:i/>
          <w:iCs/>
          <w:color w:val="000000" w:themeColor="text1"/>
          <w:sz w:val="20"/>
          <w:szCs w:val="20"/>
          <w:u w:val="none"/>
          <w:lang w:eastAsia="en-IN"/>
        </w:rPr>
        <w:t xml:space="preserve"> L</w:t>
      </w:r>
      <w:r w:rsidRPr="006F2CAD">
        <w:rPr>
          <w:rStyle w:val="Hyperlink"/>
          <w:rFonts w:ascii="Arial" w:eastAsia="Times New Roman" w:hAnsi="Arial" w:cs="Arial"/>
          <w:i/>
          <w:iCs/>
          <w:color w:val="000000" w:themeColor="text1"/>
          <w:sz w:val="20"/>
          <w:szCs w:val="20"/>
          <w:lang w:eastAsia="en-IN"/>
        </w:rPr>
        <w:t>.</w:t>
      </w:r>
      <w:r w:rsidRPr="00175FC9">
        <w:rPr>
          <w:rFonts w:ascii="Arial" w:eastAsia="Times New Roman" w:hAnsi="Arial" w:cs="Arial"/>
          <w:sz w:val="20"/>
          <w:szCs w:val="20"/>
          <w:lang w:eastAsia="en-IN"/>
        </w:rPr>
        <w:fldChar w:fldCharType="end"/>
      </w:r>
      <w:r w:rsidRPr="00175FC9">
        <w:rPr>
          <w:rFonts w:ascii="Arial" w:eastAsia="Times New Roman" w:hAnsi="Arial" w:cs="Arial"/>
          <w:sz w:val="20"/>
          <w:szCs w:val="20"/>
          <w:lang w:eastAsia="en-IN"/>
        </w:rPr>
        <w:t>), also known as</w:t>
      </w:r>
      <w:r w:rsidR="006F2CAD">
        <w:rPr>
          <w:rFonts w:ascii="Arial" w:eastAsia="Times New Roman" w:hAnsi="Arial" w:cs="Arial"/>
          <w:sz w:val="20"/>
          <w:szCs w:val="20"/>
          <w:lang w:eastAsia="en-IN"/>
        </w:rPr>
        <w:t xml:space="preserve"> peanut, goober, or monkey nut</w:t>
      </w:r>
      <w:r w:rsidRPr="00175FC9">
        <w:rPr>
          <w:rFonts w:ascii="Arial" w:eastAsia="Times New Roman" w:hAnsi="Arial" w:cs="Arial"/>
          <w:sz w:val="20"/>
          <w:szCs w:val="20"/>
          <w:lang w:eastAsia="en-IN"/>
        </w:rPr>
        <w:t>, valued for its protein-rich</w:t>
      </w:r>
      <w:r w:rsidR="006F2CAD">
        <w:rPr>
          <w:rFonts w:ascii="Arial" w:eastAsia="Times New Roman" w:hAnsi="Arial" w:cs="Arial"/>
          <w:sz w:val="20"/>
          <w:szCs w:val="20"/>
          <w:lang w:eastAsia="en-IN"/>
        </w:rPr>
        <w:t>.</w:t>
      </w:r>
      <w:r w:rsidRPr="00175FC9">
        <w:rPr>
          <w:rFonts w:ascii="Arial" w:eastAsia="Times New Roman" w:hAnsi="Arial" w:cs="Arial"/>
          <w:sz w:val="20"/>
          <w:szCs w:val="20"/>
          <w:lang w:eastAsia="en-IN"/>
        </w:rPr>
        <w:t xml:space="preserve"> </w:t>
      </w:r>
      <w:r w:rsidR="006F2CAD">
        <w:rPr>
          <w:rFonts w:ascii="Arial" w:eastAsia="Times New Roman" w:hAnsi="Arial" w:cs="Arial"/>
          <w:sz w:val="20"/>
          <w:szCs w:val="20"/>
          <w:lang w:eastAsia="en-IN"/>
        </w:rPr>
        <w:t xml:space="preserve">It </w:t>
      </w:r>
      <w:r w:rsidR="00F66B9C" w:rsidRPr="00065804">
        <w:rPr>
          <w:rFonts w:ascii="Arial" w:eastAsia="Times New Roman" w:hAnsi="Arial" w:cs="Arial"/>
          <w:sz w:val="20"/>
          <w:szCs w:val="20"/>
          <w:lang w:eastAsia="en-IN"/>
        </w:rPr>
        <w:t>is an important oilseed crop and legume gro</w:t>
      </w:r>
      <w:r w:rsidR="006F2CAD">
        <w:rPr>
          <w:rFonts w:ascii="Arial" w:eastAsia="Times New Roman" w:hAnsi="Arial" w:cs="Arial"/>
          <w:sz w:val="20"/>
          <w:szCs w:val="20"/>
          <w:lang w:eastAsia="en-IN"/>
        </w:rPr>
        <w:t xml:space="preserve">wn mainly for its edible seeds </w:t>
      </w:r>
      <w:r w:rsidR="00F66B9C" w:rsidRPr="00065804">
        <w:rPr>
          <w:rFonts w:ascii="Arial" w:eastAsia="Times New Roman" w:hAnsi="Arial" w:cs="Arial"/>
          <w:sz w:val="20"/>
          <w:szCs w:val="20"/>
          <w:lang w:eastAsia="en-IN"/>
        </w:rPr>
        <w:t xml:space="preserve">(Raju </w:t>
      </w:r>
      <w:r w:rsidR="00F66B9C" w:rsidRPr="00065804">
        <w:rPr>
          <w:rFonts w:ascii="Arial" w:eastAsia="Times New Roman" w:hAnsi="Arial" w:cs="Arial"/>
          <w:i/>
          <w:iCs/>
          <w:sz w:val="20"/>
          <w:szCs w:val="20"/>
          <w:lang w:eastAsia="en-IN"/>
        </w:rPr>
        <w:t>et al</w:t>
      </w:r>
      <w:r w:rsidR="00F66B9C" w:rsidRPr="00065804">
        <w:rPr>
          <w:rFonts w:ascii="Arial" w:eastAsia="Times New Roman" w:hAnsi="Arial" w:cs="Arial"/>
          <w:sz w:val="20"/>
          <w:szCs w:val="20"/>
          <w:lang w:eastAsia="en-IN"/>
        </w:rPr>
        <w:t>., 2022). India ranks among the leading producers of oilseeds globally and plays a significant role in the country’s agricultural economy. Groundnut is particularly important for both food and oil production and is one of the most significant cash and food crops in the country. Owing to its high economic and nutritional value, groundnut is often referred to as “King of oilseeds” in India (</w:t>
      </w:r>
      <w:proofErr w:type="spellStart"/>
      <w:r w:rsidR="00F66B9C" w:rsidRPr="00065804">
        <w:rPr>
          <w:rFonts w:ascii="Arial" w:eastAsia="Times New Roman" w:hAnsi="Arial" w:cs="Arial"/>
          <w:sz w:val="20"/>
          <w:szCs w:val="20"/>
          <w:lang w:eastAsia="en-IN"/>
        </w:rPr>
        <w:t>Palsande</w:t>
      </w:r>
      <w:proofErr w:type="spellEnd"/>
      <w:r w:rsidR="00F66B9C" w:rsidRPr="00065804">
        <w:rPr>
          <w:rFonts w:ascii="Arial" w:eastAsia="Times New Roman" w:hAnsi="Arial" w:cs="Arial"/>
          <w:sz w:val="20"/>
          <w:szCs w:val="20"/>
          <w:lang w:eastAsia="en-IN"/>
        </w:rPr>
        <w:t xml:space="preserve"> </w:t>
      </w:r>
      <w:r w:rsidR="00F66B9C" w:rsidRPr="00065804">
        <w:rPr>
          <w:rFonts w:ascii="Arial" w:eastAsia="Times New Roman" w:hAnsi="Arial" w:cs="Arial"/>
          <w:i/>
          <w:iCs/>
          <w:sz w:val="20"/>
          <w:szCs w:val="20"/>
          <w:lang w:eastAsia="en-IN"/>
        </w:rPr>
        <w:t>et al</w:t>
      </w:r>
      <w:r w:rsidR="00F66B9C" w:rsidRPr="00065804">
        <w:rPr>
          <w:rFonts w:ascii="Arial" w:eastAsia="Times New Roman" w:hAnsi="Arial" w:cs="Arial"/>
          <w:sz w:val="20"/>
          <w:szCs w:val="20"/>
          <w:lang w:eastAsia="en-IN"/>
        </w:rPr>
        <w:t>., 2019).</w:t>
      </w:r>
    </w:p>
    <w:p w:rsidR="00F66B9C" w:rsidRPr="00065804" w:rsidRDefault="006F2CAD" w:rsidP="006F2CAD">
      <w:pPr>
        <w:spacing w:after="0" w:line="240" w:lineRule="auto"/>
        <w:ind w:firstLine="720"/>
        <w:jc w:val="both"/>
        <w:rPr>
          <w:rFonts w:ascii="Arial" w:eastAsia="Times New Roman" w:hAnsi="Arial" w:cs="Arial"/>
          <w:sz w:val="20"/>
          <w:szCs w:val="20"/>
          <w:lang w:eastAsia="en-IN"/>
        </w:rPr>
      </w:pPr>
      <w:r w:rsidRPr="006F2CAD">
        <w:rPr>
          <w:rFonts w:ascii="Arial" w:eastAsia="Times New Roman" w:hAnsi="Arial" w:cs="Arial"/>
          <w:sz w:val="20"/>
          <w:szCs w:val="20"/>
          <w:lang w:eastAsia="en-IN"/>
        </w:rPr>
        <w:t>Groundnut seeds contain 45-50% high-quality edible oil, 25-30% diges</w:t>
      </w:r>
      <w:r>
        <w:rPr>
          <w:rFonts w:ascii="Arial" w:eastAsia="Times New Roman" w:hAnsi="Arial" w:cs="Arial"/>
          <w:sz w:val="20"/>
          <w:szCs w:val="20"/>
          <w:lang w:eastAsia="en-IN"/>
        </w:rPr>
        <w:t xml:space="preserve">tible protein, around 20% carbs and roughly 5% </w:t>
      </w:r>
      <w:proofErr w:type="spellStart"/>
      <w:r>
        <w:rPr>
          <w:rFonts w:ascii="Arial" w:eastAsia="Times New Roman" w:hAnsi="Arial" w:cs="Arial"/>
          <w:sz w:val="20"/>
          <w:szCs w:val="20"/>
          <w:lang w:eastAsia="en-IN"/>
        </w:rPr>
        <w:t>fiber</w:t>
      </w:r>
      <w:proofErr w:type="spellEnd"/>
      <w:r>
        <w:rPr>
          <w:rFonts w:ascii="Arial" w:eastAsia="Times New Roman" w:hAnsi="Arial" w:cs="Arial"/>
          <w:sz w:val="20"/>
          <w:szCs w:val="20"/>
          <w:lang w:eastAsia="en-IN"/>
        </w:rPr>
        <w:t xml:space="preserve"> and ash</w:t>
      </w:r>
      <w:r w:rsidRPr="006F2CAD">
        <w:rPr>
          <w:rFonts w:ascii="Arial" w:eastAsia="Times New Roman" w:hAnsi="Arial" w:cs="Arial"/>
          <w:sz w:val="20"/>
          <w:szCs w:val="20"/>
          <w:lang w:eastAsia="en-IN"/>
        </w:rPr>
        <w:t xml:space="preserve"> making them an important addition to human nutrition (</w:t>
      </w:r>
      <w:proofErr w:type="spellStart"/>
      <w:r w:rsidRPr="006F2CAD">
        <w:rPr>
          <w:rFonts w:ascii="Arial" w:eastAsia="Times New Roman" w:hAnsi="Arial" w:cs="Arial"/>
          <w:sz w:val="20"/>
          <w:szCs w:val="20"/>
          <w:lang w:eastAsia="en-IN"/>
        </w:rPr>
        <w:t>Fageria</w:t>
      </w:r>
      <w:proofErr w:type="spellEnd"/>
      <w:r w:rsidRPr="006F2CAD">
        <w:rPr>
          <w:rFonts w:ascii="Arial" w:eastAsia="Times New Roman" w:hAnsi="Arial" w:cs="Arial"/>
          <w:sz w:val="20"/>
          <w:szCs w:val="20"/>
          <w:lang w:eastAsia="en-IN"/>
        </w:rPr>
        <w:t xml:space="preserve"> </w:t>
      </w:r>
      <w:r w:rsidRPr="006F2CAD">
        <w:rPr>
          <w:rFonts w:ascii="Arial" w:eastAsia="Times New Roman" w:hAnsi="Arial" w:cs="Arial"/>
          <w:i/>
          <w:sz w:val="20"/>
          <w:szCs w:val="20"/>
          <w:lang w:eastAsia="en-IN"/>
        </w:rPr>
        <w:t>et al.,</w:t>
      </w:r>
      <w:r>
        <w:rPr>
          <w:rFonts w:ascii="Arial" w:eastAsia="Times New Roman" w:hAnsi="Arial" w:cs="Arial"/>
          <w:sz w:val="20"/>
          <w:szCs w:val="20"/>
          <w:lang w:eastAsia="en-IN"/>
        </w:rPr>
        <w:t xml:space="preserve"> 1997</w:t>
      </w:r>
      <w:r w:rsidR="00681475">
        <w:rPr>
          <w:rFonts w:ascii="Arial" w:eastAsia="Times New Roman" w:hAnsi="Arial" w:cs="Arial"/>
          <w:sz w:val="20"/>
          <w:szCs w:val="20"/>
          <w:lang w:eastAsia="en-IN"/>
        </w:rPr>
        <w:t xml:space="preserve">; </w:t>
      </w:r>
      <w:r w:rsidR="00681475" w:rsidRPr="00681475">
        <w:rPr>
          <w:rFonts w:ascii="Arial" w:eastAsia="Times New Roman" w:hAnsi="Arial" w:cs="Arial"/>
          <w:sz w:val="20"/>
          <w:szCs w:val="20"/>
          <w:lang w:eastAsia="en-IN"/>
        </w:rPr>
        <w:t>Raju et al., 2022</w:t>
      </w:r>
      <w:r>
        <w:rPr>
          <w:rFonts w:ascii="Arial" w:eastAsia="Times New Roman" w:hAnsi="Arial" w:cs="Arial"/>
          <w:sz w:val="20"/>
          <w:szCs w:val="20"/>
          <w:lang w:eastAsia="en-IN"/>
        </w:rPr>
        <w:t>)</w:t>
      </w:r>
      <w:r w:rsidR="00F66B9C" w:rsidRPr="00065804">
        <w:rPr>
          <w:rFonts w:ascii="Arial" w:eastAsia="Times New Roman" w:hAnsi="Arial" w:cs="Arial"/>
          <w:sz w:val="20"/>
          <w:szCs w:val="20"/>
          <w:lang w:eastAsia="en-IN"/>
        </w:rPr>
        <w:t>. Biological value of groundnut protein is among the highest among vegetable proteins and is comparable to that of casein. Except for vitamin B12, groundnut is a rich source of all B-complex vitamins and also provide vitamin E, riboflavin, and thiamine. Oil cake remaining after oil extraction serves as an excellent organic manure and livestock feed, containing approximately 7-8% nitrogen, 1.5% P</w:t>
      </w:r>
      <w:r w:rsidR="00F66B9C" w:rsidRPr="00065804">
        <w:rPr>
          <w:rFonts w:ascii="Cambria Math" w:eastAsia="Times New Roman" w:hAnsi="Cambria Math" w:cs="Cambria Math"/>
          <w:sz w:val="20"/>
          <w:szCs w:val="20"/>
          <w:lang w:eastAsia="en-IN"/>
        </w:rPr>
        <w:t>₂</w:t>
      </w:r>
      <w:r w:rsidR="00F66B9C" w:rsidRPr="00065804">
        <w:rPr>
          <w:rFonts w:ascii="Arial" w:eastAsia="Times New Roman" w:hAnsi="Arial" w:cs="Arial"/>
          <w:sz w:val="20"/>
          <w:szCs w:val="20"/>
          <w:lang w:eastAsia="en-IN"/>
        </w:rPr>
        <w:t>O</w:t>
      </w:r>
      <w:r w:rsidR="00F66B9C" w:rsidRPr="00065804">
        <w:rPr>
          <w:rFonts w:ascii="Cambria Math" w:eastAsia="Times New Roman" w:hAnsi="Cambria Math" w:cs="Cambria Math"/>
          <w:sz w:val="20"/>
          <w:szCs w:val="20"/>
          <w:lang w:eastAsia="en-IN"/>
        </w:rPr>
        <w:t>₅</w:t>
      </w:r>
      <w:r w:rsidR="00F66B9C" w:rsidRPr="00065804">
        <w:rPr>
          <w:rFonts w:ascii="Arial" w:eastAsia="Times New Roman" w:hAnsi="Arial" w:cs="Arial"/>
          <w:sz w:val="20"/>
          <w:szCs w:val="20"/>
          <w:lang w:eastAsia="en-IN"/>
        </w:rPr>
        <w:t>, and 1.5% K</w:t>
      </w:r>
      <w:r w:rsidR="00F66B9C" w:rsidRPr="00065804">
        <w:rPr>
          <w:rFonts w:ascii="Cambria Math" w:eastAsia="Times New Roman" w:hAnsi="Cambria Math" w:cs="Cambria Math"/>
          <w:sz w:val="20"/>
          <w:szCs w:val="20"/>
          <w:lang w:eastAsia="en-IN"/>
        </w:rPr>
        <w:t>₂</w:t>
      </w:r>
      <w:r w:rsidR="00F66B9C" w:rsidRPr="00065804">
        <w:rPr>
          <w:rFonts w:ascii="Arial" w:eastAsia="Times New Roman" w:hAnsi="Arial" w:cs="Arial"/>
          <w:sz w:val="20"/>
          <w:szCs w:val="20"/>
          <w:lang w:eastAsia="en-IN"/>
        </w:rPr>
        <w:t>O. Being a legume, groundnut enhances soil fertility by fixing atmospheric nitrogen through root nodules</w:t>
      </w:r>
      <w:r w:rsidR="00681475">
        <w:rPr>
          <w:rFonts w:ascii="Arial" w:eastAsia="Times New Roman" w:hAnsi="Arial" w:cs="Arial"/>
          <w:sz w:val="20"/>
          <w:szCs w:val="20"/>
          <w:lang w:eastAsia="en-IN"/>
        </w:rPr>
        <w:t>,</w:t>
      </w:r>
      <w:r w:rsidR="00F66B9C" w:rsidRPr="00065804">
        <w:rPr>
          <w:rFonts w:ascii="Arial" w:eastAsia="Times New Roman" w:hAnsi="Arial" w:cs="Arial"/>
          <w:sz w:val="20"/>
          <w:szCs w:val="20"/>
          <w:lang w:eastAsia="en-IN"/>
        </w:rPr>
        <w:t xml:space="preserve"> contributing about 12-40 kg N/ha and also acts as an effective cover crop in erosion-prone areas. Groundnut haulms are highly </w:t>
      </w:r>
      <w:r w:rsidR="00F66B9C" w:rsidRPr="00065804">
        <w:rPr>
          <w:rFonts w:ascii="Arial" w:eastAsia="Times New Roman" w:hAnsi="Arial" w:cs="Arial"/>
          <w:sz w:val="20"/>
          <w:szCs w:val="20"/>
          <w:lang w:eastAsia="en-IN"/>
        </w:rPr>
        <w:lastRenderedPageBreak/>
        <w:t>valued as nutritious fodder for livestock. Thus, crop serves a four-fold purpose as food, fodder, feed, and bio-fertili</w:t>
      </w:r>
      <w:r w:rsidR="00681475">
        <w:rPr>
          <w:rFonts w:ascii="Arial" w:eastAsia="Times New Roman" w:hAnsi="Arial" w:cs="Arial"/>
          <w:sz w:val="20"/>
          <w:szCs w:val="20"/>
          <w:lang w:eastAsia="en-IN"/>
        </w:rPr>
        <w:t>s</w:t>
      </w:r>
      <w:r w:rsidR="00F66B9C" w:rsidRPr="00065804">
        <w:rPr>
          <w:rFonts w:ascii="Arial" w:eastAsia="Times New Roman" w:hAnsi="Arial" w:cs="Arial"/>
          <w:sz w:val="20"/>
          <w:szCs w:val="20"/>
          <w:lang w:eastAsia="en-IN"/>
        </w:rPr>
        <w:t>er</w:t>
      </w:r>
      <w:r w:rsidR="00681475">
        <w:rPr>
          <w:rFonts w:ascii="Arial" w:eastAsia="Times New Roman" w:hAnsi="Arial" w:cs="Arial"/>
          <w:sz w:val="20"/>
          <w:szCs w:val="20"/>
          <w:lang w:eastAsia="en-IN"/>
        </w:rPr>
        <w:t xml:space="preserve"> </w:t>
      </w:r>
      <w:r w:rsidR="00681475" w:rsidRPr="00681475">
        <w:rPr>
          <w:rFonts w:ascii="Arial" w:hAnsi="Arial" w:cs="Arial"/>
          <w:color w:val="222222"/>
          <w:sz w:val="20"/>
          <w:szCs w:val="20"/>
          <w:shd w:val="clear" w:color="auto" w:fill="FFFFFF"/>
        </w:rPr>
        <w:t>(</w:t>
      </w:r>
      <w:proofErr w:type="spellStart"/>
      <w:r w:rsidR="00681475" w:rsidRPr="00681475">
        <w:rPr>
          <w:rFonts w:ascii="Arial" w:hAnsi="Arial" w:cs="Arial"/>
          <w:color w:val="222222"/>
          <w:sz w:val="20"/>
          <w:szCs w:val="20"/>
          <w:shd w:val="clear" w:color="auto" w:fill="FFFFFF"/>
        </w:rPr>
        <w:t>Howlader</w:t>
      </w:r>
      <w:proofErr w:type="spellEnd"/>
      <w:r w:rsidR="00681475" w:rsidRPr="00681475">
        <w:rPr>
          <w:rFonts w:ascii="Arial" w:hAnsi="Arial" w:cs="Arial"/>
          <w:color w:val="222222"/>
          <w:sz w:val="20"/>
          <w:szCs w:val="20"/>
          <w:shd w:val="clear" w:color="auto" w:fill="FFFFFF"/>
        </w:rPr>
        <w:t xml:space="preserve"> et al., 2009</w:t>
      </w:r>
      <w:r w:rsidR="00681475">
        <w:rPr>
          <w:rFonts w:ascii="Arial" w:eastAsia="Times New Roman" w:hAnsi="Arial" w:cs="Arial"/>
          <w:sz w:val="20"/>
          <w:szCs w:val="20"/>
          <w:lang w:eastAsia="en-IN"/>
        </w:rPr>
        <w:t>)</w:t>
      </w:r>
      <w:r w:rsidR="00F66B9C" w:rsidRPr="00065804">
        <w:rPr>
          <w:rFonts w:ascii="Arial" w:eastAsia="Times New Roman" w:hAnsi="Arial" w:cs="Arial"/>
          <w:sz w:val="20"/>
          <w:szCs w:val="20"/>
          <w:lang w:eastAsia="en-IN"/>
        </w:rPr>
        <w:t>.</w:t>
      </w:r>
    </w:p>
    <w:p w:rsidR="00F66B9C" w:rsidRPr="00065804" w:rsidRDefault="006F2CAD" w:rsidP="00F66B9C">
      <w:pPr>
        <w:spacing w:after="0" w:line="240" w:lineRule="auto"/>
        <w:ind w:firstLine="720"/>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Gujarat has </w:t>
      </w:r>
      <w:r w:rsidR="00681475">
        <w:rPr>
          <w:rFonts w:ascii="Arial" w:eastAsia="Times New Roman" w:hAnsi="Arial" w:cs="Arial"/>
          <w:sz w:val="20"/>
          <w:szCs w:val="20"/>
          <w:lang w:eastAsia="en-IN"/>
        </w:rPr>
        <w:t xml:space="preserve">the </w:t>
      </w:r>
      <w:r>
        <w:rPr>
          <w:rFonts w:ascii="Arial" w:eastAsia="Times New Roman" w:hAnsi="Arial" w:cs="Arial"/>
          <w:sz w:val="20"/>
          <w:szCs w:val="20"/>
          <w:lang w:eastAsia="en-IN"/>
        </w:rPr>
        <w:t>largest part</w:t>
      </w:r>
      <w:r w:rsidR="00F66B9C" w:rsidRPr="00065804">
        <w:rPr>
          <w:rFonts w:ascii="Arial" w:eastAsia="Times New Roman" w:hAnsi="Arial" w:cs="Arial"/>
          <w:sz w:val="20"/>
          <w:szCs w:val="20"/>
          <w:lang w:eastAsia="en-IN"/>
        </w:rPr>
        <w:t xml:space="preserve"> and contributes the highest production of groundnut among all Indian states</w:t>
      </w:r>
      <w:r w:rsidR="00681475">
        <w:rPr>
          <w:rFonts w:ascii="Arial" w:eastAsia="Times New Roman" w:hAnsi="Arial" w:cs="Arial"/>
          <w:sz w:val="20"/>
          <w:szCs w:val="20"/>
          <w:lang w:eastAsia="en-IN"/>
        </w:rPr>
        <w:t>;</w:t>
      </w:r>
      <w:r w:rsidR="00F66B9C" w:rsidRPr="00065804">
        <w:rPr>
          <w:rFonts w:ascii="Arial" w:eastAsia="Times New Roman" w:hAnsi="Arial" w:cs="Arial"/>
          <w:sz w:val="20"/>
          <w:szCs w:val="20"/>
          <w:lang w:eastAsia="en-IN"/>
        </w:rPr>
        <w:t xml:space="preserve"> however, its productivity per hectare remains lower than that of states such as Tamil Nadu</w:t>
      </w:r>
      <w:r w:rsidR="00681475">
        <w:rPr>
          <w:rFonts w:ascii="Arial" w:eastAsia="Times New Roman" w:hAnsi="Arial" w:cs="Arial"/>
          <w:sz w:val="20"/>
          <w:szCs w:val="20"/>
          <w:lang w:eastAsia="en-IN"/>
        </w:rPr>
        <w:t xml:space="preserve"> </w:t>
      </w:r>
      <w:r w:rsidR="00681475" w:rsidRPr="00681475">
        <w:rPr>
          <w:rFonts w:ascii="Arial" w:eastAsia="Times New Roman" w:hAnsi="Arial" w:cs="Arial"/>
          <w:sz w:val="20"/>
          <w:szCs w:val="20"/>
          <w:lang w:eastAsia="en-IN"/>
        </w:rPr>
        <w:t>(</w:t>
      </w:r>
      <w:proofErr w:type="spellStart"/>
      <w:r w:rsidR="00681475" w:rsidRPr="00681475">
        <w:rPr>
          <w:rFonts w:ascii="Arial" w:eastAsia="Times New Roman" w:hAnsi="Arial" w:cs="Arial"/>
          <w:sz w:val="20"/>
          <w:szCs w:val="20"/>
          <w:lang w:eastAsia="en-IN"/>
        </w:rPr>
        <w:t>Chilakala</w:t>
      </w:r>
      <w:proofErr w:type="spellEnd"/>
      <w:r w:rsidR="00681475" w:rsidRPr="00681475">
        <w:rPr>
          <w:rFonts w:ascii="Arial" w:eastAsia="Times New Roman" w:hAnsi="Arial" w:cs="Arial"/>
          <w:sz w:val="20"/>
          <w:szCs w:val="20"/>
          <w:lang w:eastAsia="en-IN"/>
        </w:rPr>
        <w:t xml:space="preserve"> et al., 2023)</w:t>
      </w:r>
      <w:r w:rsidR="00F66B9C" w:rsidRPr="00065804">
        <w:rPr>
          <w:rFonts w:ascii="Arial" w:eastAsia="Times New Roman" w:hAnsi="Arial" w:cs="Arial"/>
          <w:sz w:val="20"/>
          <w:szCs w:val="20"/>
          <w:lang w:eastAsia="en-IN"/>
        </w:rPr>
        <w:t xml:space="preserve">. Groundnut production in Gujarat during the </w:t>
      </w:r>
      <w:r w:rsidR="00F66B9C" w:rsidRPr="00065804">
        <w:rPr>
          <w:rFonts w:ascii="Arial" w:eastAsia="Times New Roman" w:hAnsi="Arial" w:cs="Arial"/>
          <w:i/>
          <w:sz w:val="20"/>
          <w:szCs w:val="20"/>
          <w:lang w:eastAsia="en-IN"/>
        </w:rPr>
        <w:t>kharif</w:t>
      </w:r>
      <w:r w:rsidR="00F66B9C" w:rsidRPr="00065804">
        <w:rPr>
          <w:rFonts w:ascii="Arial" w:eastAsia="Times New Roman" w:hAnsi="Arial" w:cs="Arial"/>
          <w:sz w:val="20"/>
          <w:szCs w:val="20"/>
          <w:lang w:eastAsia="en-IN"/>
        </w:rPr>
        <w:t xml:space="preserve"> and summer seasons is approximately 39.91 and 1.42 lakh tonnes, respectively, with an average productivity of 1899 kg/ha in </w:t>
      </w:r>
      <w:r w:rsidR="00F66B9C" w:rsidRPr="00065804">
        <w:rPr>
          <w:rFonts w:ascii="Arial" w:eastAsia="Times New Roman" w:hAnsi="Arial" w:cs="Arial"/>
          <w:i/>
          <w:sz w:val="20"/>
          <w:szCs w:val="20"/>
          <w:lang w:eastAsia="en-IN"/>
        </w:rPr>
        <w:t xml:space="preserve">kharif </w:t>
      </w:r>
      <w:r>
        <w:rPr>
          <w:rFonts w:ascii="Arial" w:eastAsia="Times New Roman" w:hAnsi="Arial" w:cs="Arial"/>
          <w:sz w:val="20"/>
          <w:szCs w:val="20"/>
          <w:lang w:eastAsia="en-IN"/>
        </w:rPr>
        <w:t>and 2327 kg/ha in summer. T</w:t>
      </w:r>
      <w:r w:rsidR="00E53BF7">
        <w:rPr>
          <w:rFonts w:ascii="Arial" w:eastAsia="Times New Roman" w:hAnsi="Arial" w:cs="Arial"/>
          <w:sz w:val="20"/>
          <w:szCs w:val="20"/>
          <w:lang w:eastAsia="en-IN"/>
        </w:rPr>
        <w:t>otal area, production</w:t>
      </w:r>
      <w:r w:rsidR="00F66B9C" w:rsidRPr="00065804">
        <w:rPr>
          <w:rFonts w:ascii="Arial" w:eastAsia="Times New Roman" w:hAnsi="Arial" w:cs="Arial"/>
          <w:sz w:val="20"/>
          <w:szCs w:val="20"/>
          <w:lang w:eastAsia="en-IN"/>
        </w:rPr>
        <w:t xml:space="preserve"> and productivity of groundnut in Gujarat are about 21.63 lakh ha, 41.34 lakh tonnes and 1911 kg/ha, respectively (Anon., 2021). This yield gap indicates the need for improved agronomic and nutrient management practices.</w:t>
      </w:r>
    </w:p>
    <w:p w:rsidR="00F66B9C" w:rsidRPr="00065804" w:rsidRDefault="00F66B9C" w:rsidP="00F66B9C">
      <w:pPr>
        <w:spacing w:after="0" w:line="240" w:lineRule="auto"/>
        <w:ind w:firstLine="720"/>
        <w:jc w:val="both"/>
        <w:rPr>
          <w:rFonts w:ascii="Arial" w:eastAsia="Times New Roman" w:hAnsi="Arial" w:cs="Arial"/>
          <w:sz w:val="20"/>
          <w:szCs w:val="20"/>
          <w:lang w:eastAsia="en-IN"/>
        </w:rPr>
      </w:pPr>
      <w:r w:rsidRPr="00065804">
        <w:rPr>
          <w:rFonts w:ascii="Arial" w:eastAsia="Times New Roman" w:hAnsi="Arial" w:cs="Arial"/>
          <w:sz w:val="20"/>
          <w:szCs w:val="20"/>
          <w:lang w:eastAsia="en-IN"/>
        </w:rPr>
        <w:t>Optimization of mineral nutrition is critical for maximizing groundnut productivity, as the crop has high nutrient requirements, particularly under newly released high-yielding cultivars that extract substantial nutrients from the soil. However, most groundnut farmers in semi-arid regions apply inadequate and imbalanced fertili</w:t>
      </w:r>
      <w:r w:rsidR="00681475">
        <w:rPr>
          <w:rFonts w:ascii="Arial" w:eastAsia="Times New Roman" w:hAnsi="Arial" w:cs="Arial"/>
          <w:sz w:val="20"/>
          <w:szCs w:val="20"/>
          <w:lang w:eastAsia="en-IN"/>
        </w:rPr>
        <w:t>s</w:t>
      </w:r>
      <w:r w:rsidRPr="00065804">
        <w:rPr>
          <w:rFonts w:ascii="Arial" w:eastAsia="Times New Roman" w:hAnsi="Arial" w:cs="Arial"/>
          <w:sz w:val="20"/>
          <w:szCs w:val="20"/>
          <w:lang w:eastAsia="en-IN"/>
        </w:rPr>
        <w:t>ers, often limiting application to one or two nutrients, which results in multiple nutrient deficiencies. Such imbalanced nutrient management is a major factor contributing to low groundnut yields. Nutrient-related constraints can reduce yield potential by 30-70%, depending on soil type and agro-climatic conditions. Therefore, there is an urgent need to evaluate nutrient requirements and develop balanced fertilizer recommendations for enhancing groundnut productivity</w:t>
      </w:r>
      <w:r w:rsidR="00681475">
        <w:rPr>
          <w:rFonts w:ascii="Arial" w:eastAsia="Times New Roman" w:hAnsi="Arial" w:cs="Arial"/>
          <w:sz w:val="20"/>
          <w:szCs w:val="20"/>
          <w:lang w:eastAsia="en-IN"/>
        </w:rPr>
        <w:t xml:space="preserve"> </w:t>
      </w:r>
      <w:r w:rsidR="00681475" w:rsidRPr="00681475">
        <w:rPr>
          <w:rFonts w:ascii="Arial" w:eastAsia="Times New Roman" w:hAnsi="Arial" w:cs="Arial"/>
          <w:sz w:val="20"/>
          <w:szCs w:val="20"/>
          <w:lang w:eastAsia="en-IN"/>
        </w:rPr>
        <w:t>(</w:t>
      </w:r>
      <w:proofErr w:type="spellStart"/>
      <w:r w:rsidR="00681475" w:rsidRPr="00681475">
        <w:rPr>
          <w:rFonts w:ascii="Arial" w:eastAsia="Times New Roman" w:hAnsi="Arial" w:cs="Arial"/>
          <w:sz w:val="20"/>
          <w:szCs w:val="20"/>
          <w:lang w:eastAsia="en-IN"/>
        </w:rPr>
        <w:t>Baraker</w:t>
      </w:r>
      <w:proofErr w:type="spellEnd"/>
      <w:r w:rsidR="00681475" w:rsidRPr="00681475">
        <w:rPr>
          <w:rFonts w:ascii="Arial" w:eastAsia="Times New Roman" w:hAnsi="Arial" w:cs="Arial"/>
          <w:sz w:val="20"/>
          <w:szCs w:val="20"/>
          <w:lang w:eastAsia="en-IN"/>
        </w:rPr>
        <w:t xml:space="preserve"> et al., 2017)</w:t>
      </w:r>
      <w:r w:rsidRPr="00065804">
        <w:rPr>
          <w:rFonts w:ascii="Arial" w:eastAsia="Times New Roman" w:hAnsi="Arial" w:cs="Arial"/>
          <w:sz w:val="20"/>
          <w:szCs w:val="20"/>
          <w:lang w:eastAsia="en-IN"/>
        </w:rPr>
        <w:t>.</w:t>
      </w:r>
    </w:p>
    <w:p w:rsidR="00E53BF7" w:rsidRPr="00E53BF7" w:rsidRDefault="00E53BF7" w:rsidP="00E53BF7">
      <w:pPr>
        <w:spacing w:after="0" w:line="240" w:lineRule="auto"/>
        <w:ind w:firstLine="720"/>
        <w:jc w:val="both"/>
        <w:rPr>
          <w:rFonts w:ascii="Arial" w:eastAsia="Times New Roman" w:hAnsi="Arial" w:cs="Arial"/>
          <w:sz w:val="20"/>
          <w:szCs w:val="20"/>
          <w:lang w:eastAsia="en-IN"/>
        </w:rPr>
      </w:pPr>
      <w:r w:rsidRPr="00E53BF7">
        <w:rPr>
          <w:rFonts w:ascii="Arial" w:eastAsia="Times New Roman" w:hAnsi="Arial" w:cs="Arial"/>
          <w:sz w:val="20"/>
          <w:szCs w:val="20"/>
          <w:lang w:eastAsia="en-IN"/>
        </w:rPr>
        <w:t>Nitrogen is the most vital nutrient for root and shoot development, photosynthesis, assimilate generation, and general vegetative and reproductive growth. Because of its high protein content, groundnuts require more nitrogen than cereal crops. Although groundnuts meet their nitrogen requirements through both soil nitrogen (20-40%) and symbiotic nitrogen fixation (60-80%) via root nodules, supplementary nitrogen is frequently required during the early</w:t>
      </w:r>
      <w:r>
        <w:rPr>
          <w:rFonts w:ascii="Arial" w:eastAsia="Times New Roman" w:hAnsi="Arial" w:cs="Arial"/>
          <w:sz w:val="20"/>
          <w:szCs w:val="20"/>
          <w:lang w:eastAsia="en-IN"/>
        </w:rPr>
        <w:t xml:space="preserve"> growth stages. </w:t>
      </w:r>
      <w:r w:rsidRPr="00E53BF7">
        <w:rPr>
          <w:rFonts w:ascii="Arial" w:eastAsia="Times New Roman" w:hAnsi="Arial" w:cs="Arial"/>
          <w:sz w:val="20"/>
          <w:szCs w:val="20"/>
          <w:lang w:eastAsia="en-IN"/>
        </w:rPr>
        <w:t>Phosphorus promotes legume growth by increasing root proliferation, nodulation, shelling percentage, oil output, and pod formation. Many Indian soils have limited or no accessible phosphorus due to excessive fixation and low availability. Adequate phosphorus supply lowers empty pods, enhances crop maturity, and boosts output (Singh, 2004).</w:t>
      </w:r>
    </w:p>
    <w:p w:rsidR="00E53BF7" w:rsidRDefault="00E53BF7" w:rsidP="00E53BF7">
      <w:pPr>
        <w:spacing w:after="0" w:line="240" w:lineRule="auto"/>
        <w:ind w:firstLine="720"/>
        <w:jc w:val="both"/>
        <w:rPr>
          <w:rFonts w:ascii="Arial" w:eastAsia="Times New Roman" w:hAnsi="Arial" w:cs="Arial"/>
          <w:sz w:val="20"/>
          <w:szCs w:val="20"/>
          <w:lang w:eastAsia="en-IN"/>
        </w:rPr>
      </w:pPr>
      <w:r w:rsidRPr="00E53BF7">
        <w:rPr>
          <w:rFonts w:ascii="Arial" w:eastAsia="Times New Roman" w:hAnsi="Arial" w:cs="Arial"/>
          <w:sz w:val="20"/>
          <w:szCs w:val="20"/>
          <w:lang w:eastAsia="en-IN"/>
        </w:rPr>
        <w:t>Groundnuts also require an abundance of potassium, Indian soils often have moderate to high quantities of accessible potassium (Hossain and Hamid, 2007). Potassium plays an important role in physiological processes such as enzyme activation, protein synthesis, osmo</w:t>
      </w:r>
      <w:r>
        <w:rPr>
          <w:rFonts w:ascii="Arial" w:eastAsia="Times New Roman" w:hAnsi="Arial" w:cs="Arial"/>
          <w:sz w:val="20"/>
          <w:szCs w:val="20"/>
          <w:lang w:eastAsia="en-IN"/>
        </w:rPr>
        <w:t>regulation</w:t>
      </w:r>
      <w:r w:rsidRPr="00E53BF7">
        <w:rPr>
          <w:rFonts w:ascii="Arial" w:eastAsia="Times New Roman" w:hAnsi="Arial" w:cs="Arial"/>
          <w:sz w:val="20"/>
          <w:szCs w:val="20"/>
          <w:lang w:eastAsia="en-IN"/>
        </w:rPr>
        <w:t xml:space="preserve"> and plant water balance. It promotes stress tolerance, lowers lodgin</w:t>
      </w:r>
      <w:r>
        <w:rPr>
          <w:rFonts w:ascii="Arial" w:eastAsia="Times New Roman" w:hAnsi="Arial" w:cs="Arial"/>
          <w:sz w:val="20"/>
          <w:szCs w:val="20"/>
          <w:lang w:eastAsia="en-IN"/>
        </w:rPr>
        <w:t>g, increases disease resistance</w:t>
      </w:r>
      <w:r w:rsidRPr="00E53BF7">
        <w:rPr>
          <w:rFonts w:ascii="Arial" w:eastAsia="Times New Roman" w:hAnsi="Arial" w:cs="Arial"/>
          <w:sz w:val="20"/>
          <w:szCs w:val="20"/>
          <w:lang w:eastAsia="en-IN"/>
        </w:rPr>
        <w:t xml:space="preserve"> and adds to higher yield quality and shelf life. Potassium</w:t>
      </w:r>
      <w:r w:rsidR="00681475">
        <w:rPr>
          <w:rFonts w:ascii="Arial" w:eastAsia="Times New Roman" w:hAnsi="Arial" w:cs="Arial"/>
          <w:sz w:val="20"/>
          <w:szCs w:val="20"/>
          <w:lang w:eastAsia="en-IN"/>
        </w:rPr>
        <w:t>,</w:t>
      </w:r>
      <w:r w:rsidRPr="00E53BF7">
        <w:rPr>
          <w:rFonts w:ascii="Arial" w:eastAsia="Times New Roman" w:hAnsi="Arial" w:cs="Arial"/>
          <w:sz w:val="20"/>
          <w:szCs w:val="20"/>
          <w:lang w:eastAsia="en-IN"/>
        </w:rPr>
        <w:t xml:space="preserve"> hence</w:t>
      </w:r>
      <w:r w:rsidR="00681475">
        <w:rPr>
          <w:rFonts w:ascii="Arial" w:eastAsia="Times New Roman" w:hAnsi="Arial" w:cs="Arial"/>
          <w:sz w:val="20"/>
          <w:szCs w:val="20"/>
          <w:lang w:eastAsia="en-IN"/>
        </w:rPr>
        <w:t>,</w:t>
      </w:r>
      <w:r w:rsidRPr="00E53BF7">
        <w:rPr>
          <w:rFonts w:ascii="Arial" w:eastAsia="Times New Roman" w:hAnsi="Arial" w:cs="Arial"/>
          <w:sz w:val="20"/>
          <w:szCs w:val="20"/>
          <w:lang w:eastAsia="en-IN"/>
        </w:rPr>
        <w:t xml:space="preserve"> has an important impact in total crop productivity (</w:t>
      </w:r>
      <w:proofErr w:type="spellStart"/>
      <w:r w:rsidRPr="00E53BF7">
        <w:rPr>
          <w:rFonts w:ascii="Arial" w:eastAsia="Times New Roman" w:hAnsi="Arial" w:cs="Arial"/>
          <w:sz w:val="20"/>
          <w:szCs w:val="20"/>
          <w:lang w:eastAsia="en-IN"/>
        </w:rPr>
        <w:t>Sakarvadia</w:t>
      </w:r>
      <w:proofErr w:type="spellEnd"/>
      <w:r w:rsidRPr="00E53BF7">
        <w:rPr>
          <w:rFonts w:ascii="Arial" w:eastAsia="Times New Roman" w:hAnsi="Arial" w:cs="Arial"/>
          <w:sz w:val="20"/>
          <w:szCs w:val="20"/>
          <w:lang w:eastAsia="en-IN"/>
        </w:rPr>
        <w:t xml:space="preserve"> </w:t>
      </w:r>
      <w:r w:rsidRPr="00E53BF7">
        <w:rPr>
          <w:rFonts w:ascii="Arial" w:eastAsia="Times New Roman" w:hAnsi="Arial" w:cs="Arial"/>
          <w:i/>
          <w:sz w:val="20"/>
          <w:szCs w:val="20"/>
          <w:lang w:eastAsia="en-IN"/>
        </w:rPr>
        <w:t>et al.,</w:t>
      </w:r>
      <w:r w:rsidRPr="00E53BF7">
        <w:rPr>
          <w:rFonts w:ascii="Arial" w:eastAsia="Times New Roman" w:hAnsi="Arial" w:cs="Arial"/>
          <w:sz w:val="20"/>
          <w:szCs w:val="20"/>
          <w:lang w:eastAsia="en-IN"/>
        </w:rPr>
        <w:t xml:space="preserve"> 2019). </w:t>
      </w:r>
      <w:r>
        <w:rPr>
          <w:rFonts w:ascii="Arial" w:eastAsia="Times New Roman" w:hAnsi="Arial" w:cs="Arial"/>
          <w:sz w:val="20"/>
          <w:szCs w:val="20"/>
          <w:lang w:eastAsia="en-IN"/>
        </w:rPr>
        <w:tab/>
      </w:r>
    </w:p>
    <w:p w:rsidR="00F66B9C" w:rsidRPr="00065804" w:rsidRDefault="00E53BF7" w:rsidP="00E53BF7">
      <w:pPr>
        <w:spacing w:after="0" w:line="240" w:lineRule="auto"/>
        <w:ind w:firstLine="720"/>
        <w:jc w:val="both"/>
        <w:rPr>
          <w:rFonts w:ascii="Arial" w:eastAsia="Times New Roman" w:hAnsi="Arial" w:cs="Arial"/>
          <w:sz w:val="20"/>
          <w:szCs w:val="20"/>
          <w:lang w:eastAsia="en-IN"/>
        </w:rPr>
      </w:pPr>
      <w:r w:rsidRPr="00E53BF7">
        <w:rPr>
          <w:rFonts w:ascii="Arial" w:eastAsia="Times New Roman" w:hAnsi="Arial" w:cs="Arial"/>
          <w:sz w:val="20"/>
          <w:szCs w:val="20"/>
          <w:lang w:eastAsia="en-IN"/>
        </w:rPr>
        <w:t>Spacing is a key agronomic and non-monetary management method that has a major impact on crop growth and production.</w:t>
      </w:r>
      <w:r w:rsidR="00F66B9C" w:rsidRPr="00065804">
        <w:rPr>
          <w:rFonts w:ascii="Arial" w:eastAsia="Times New Roman" w:hAnsi="Arial" w:cs="Arial"/>
          <w:sz w:val="20"/>
          <w:szCs w:val="20"/>
          <w:lang w:eastAsia="en-IN"/>
        </w:rPr>
        <w:t xml:space="preserve"> Proper planting geometry ensures optimum plant population and efficient utilization of sunlight, water, nutrients, and other inputs. In groundnut, plants compete both above and below ground, and inappropriate spacing may lead to excessive competition, reduced branching, and poor pod development. Planting geometry varies with cultivar, soil type, and agro-climatic conditions, and therefore requires careful optimi</w:t>
      </w:r>
      <w:r w:rsidR="00681475">
        <w:rPr>
          <w:rFonts w:ascii="Arial" w:eastAsia="Times New Roman" w:hAnsi="Arial" w:cs="Arial"/>
          <w:sz w:val="20"/>
          <w:szCs w:val="20"/>
          <w:lang w:eastAsia="en-IN"/>
        </w:rPr>
        <w:t>s</w:t>
      </w:r>
      <w:r w:rsidR="00F66B9C" w:rsidRPr="00065804">
        <w:rPr>
          <w:rFonts w:ascii="Arial" w:eastAsia="Times New Roman" w:hAnsi="Arial" w:cs="Arial"/>
          <w:sz w:val="20"/>
          <w:szCs w:val="20"/>
          <w:lang w:eastAsia="en-IN"/>
        </w:rPr>
        <w:t>ation for specific regions (</w:t>
      </w:r>
      <w:proofErr w:type="spellStart"/>
      <w:r w:rsidR="00F66B9C" w:rsidRPr="00065804">
        <w:rPr>
          <w:rFonts w:ascii="Arial" w:eastAsia="Times New Roman" w:hAnsi="Arial" w:cs="Arial"/>
          <w:sz w:val="20"/>
          <w:szCs w:val="20"/>
          <w:lang w:eastAsia="en-IN"/>
        </w:rPr>
        <w:t>Waghmode</w:t>
      </w:r>
      <w:proofErr w:type="spellEnd"/>
      <w:r w:rsidR="00F66B9C" w:rsidRPr="00065804">
        <w:rPr>
          <w:rFonts w:ascii="Arial" w:eastAsia="Times New Roman" w:hAnsi="Arial" w:cs="Arial"/>
          <w:sz w:val="20"/>
          <w:szCs w:val="20"/>
          <w:lang w:eastAsia="en-IN"/>
        </w:rPr>
        <w:t xml:space="preserve"> </w:t>
      </w:r>
      <w:r w:rsidR="00F66B9C" w:rsidRPr="00065804">
        <w:rPr>
          <w:rFonts w:ascii="Arial" w:eastAsia="Times New Roman" w:hAnsi="Arial" w:cs="Arial"/>
          <w:i/>
          <w:iCs/>
          <w:sz w:val="20"/>
          <w:szCs w:val="20"/>
          <w:lang w:eastAsia="en-IN"/>
        </w:rPr>
        <w:t>et al</w:t>
      </w:r>
      <w:r w:rsidR="00F66B9C" w:rsidRPr="00065804">
        <w:rPr>
          <w:rFonts w:ascii="Arial" w:eastAsia="Times New Roman" w:hAnsi="Arial" w:cs="Arial"/>
          <w:sz w:val="20"/>
          <w:szCs w:val="20"/>
          <w:lang w:eastAsia="en-IN"/>
        </w:rPr>
        <w:t>., 2017). Appropriate spacing facilitates better canopy development, improved aeration, and enhanced photosynthate translocation, ultimately leading to higher yield and quality of groundnut.</w:t>
      </w:r>
    </w:p>
    <w:p w:rsidR="00F66B9C" w:rsidRPr="00065804" w:rsidRDefault="00F66B9C" w:rsidP="00F66B9C">
      <w:pPr>
        <w:spacing w:after="0" w:line="240" w:lineRule="auto"/>
        <w:ind w:firstLine="720"/>
        <w:jc w:val="both"/>
        <w:rPr>
          <w:rFonts w:ascii="Arial" w:eastAsia="Times New Roman" w:hAnsi="Arial" w:cs="Arial"/>
          <w:sz w:val="20"/>
          <w:szCs w:val="20"/>
          <w:lang w:eastAsia="en-IN"/>
        </w:rPr>
      </w:pPr>
    </w:p>
    <w:p w:rsidR="00F66B9C" w:rsidRPr="00065804" w:rsidRDefault="00F66B9C" w:rsidP="00F66B9C">
      <w:pPr>
        <w:keepNext/>
        <w:spacing w:after="0" w:line="240" w:lineRule="auto"/>
        <w:jc w:val="both"/>
        <w:rPr>
          <w:rFonts w:ascii="Arial" w:eastAsia="SimSun" w:hAnsi="Arial" w:cs="Arial"/>
          <w:b/>
          <w:bCs/>
          <w:kern w:val="28"/>
          <w:lang w:val="en-US" w:eastAsia="zh-CN"/>
        </w:rPr>
      </w:pPr>
      <w:r>
        <w:rPr>
          <w:rFonts w:ascii="Times New Roman" w:eastAsia="SimSun" w:hAnsi="Times New Roman" w:cs="Times New Roman"/>
          <w:b/>
          <w:bCs/>
          <w:kern w:val="28"/>
          <w:sz w:val="24"/>
          <w:szCs w:val="24"/>
          <w:lang w:val="en-US" w:eastAsia="zh-CN"/>
        </w:rPr>
        <w:t xml:space="preserve">2. </w:t>
      </w:r>
      <w:r w:rsidRPr="00065804">
        <w:rPr>
          <w:rFonts w:ascii="Arial" w:eastAsia="SimSun" w:hAnsi="Arial" w:cs="Arial"/>
          <w:b/>
          <w:bCs/>
          <w:kern w:val="28"/>
          <w:lang w:val="en-US" w:eastAsia="zh-CN"/>
        </w:rPr>
        <w:t>MATERIALS AND METHODS</w:t>
      </w:r>
    </w:p>
    <w:p w:rsidR="00E53BF7" w:rsidRPr="00E53BF7" w:rsidRDefault="00E53BF7" w:rsidP="00E53BF7">
      <w:pPr>
        <w:numPr>
          <w:ilvl w:val="12"/>
          <w:numId w:val="0"/>
        </w:numPr>
        <w:spacing w:after="0" w:line="240" w:lineRule="auto"/>
        <w:ind w:firstLine="720"/>
        <w:jc w:val="both"/>
        <w:rPr>
          <w:rFonts w:ascii="Arial" w:eastAsia="MS Mincho" w:hAnsi="Arial" w:cs="Arial"/>
          <w:kern w:val="28"/>
          <w:sz w:val="20"/>
          <w:szCs w:val="20"/>
          <w:lang w:eastAsia="ja-JP"/>
        </w:rPr>
      </w:pPr>
      <w:r w:rsidRPr="00E53BF7">
        <w:rPr>
          <w:rFonts w:ascii="Arial" w:eastAsia="MS Mincho" w:hAnsi="Arial" w:cs="Arial"/>
          <w:sz w:val="20"/>
          <w:szCs w:val="20"/>
          <w:lang w:eastAsia="zh-CN"/>
        </w:rPr>
        <w:t>A field experiment was conducted on plot No. 4A at Bidi Tobacco Research Station, Anand Agricultural University, A</w:t>
      </w:r>
      <w:r>
        <w:rPr>
          <w:rFonts w:ascii="Arial" w:eastAsia="MS Mincho" w:hAnsi="Arial" w:cs="Arial"/>
          <w:sz w:val="20"/>
          <w:szCs w:val="20"/>
          <w:lang w:eastAsia="zh-CN"/>
        </w:rPr>
        <w:t>nand, Gujarat, India, during</w:t>
      </w:r>
      <w:r w:rsidRPr="00E53BF7">
        <w:rPr>
          <w:rFonts w:ascii="Arial" w:eastAsia="MS Mincho" w:hAnsi="Arial" w:cs="Arial"/>
          <w:sz w:val="20"/>
          <w:szCs w:val="20"/>
          <w:lang w:eastAsia="zh-CN"/>
        </w:rPr>
        <w:t xml:space="preserve"> </w:t>
      </w:r>
      <w:r w:rsidRPr="00E53BF7">
        <w:rPr>
          <w:rFonts w:ascii="Arial" w:eastAsia="MS Mincho" w:hAnsi="Arial" w:cs="Arial"/>
          <w:i/>
          <w:sz w:val="20"/>
          <w:szCs w:val="20"/>
          <w:lang w:eastAsia="zh-CN"/>
        </w:rPr>
        <w:t>kharif</w:t>
      </w:r>
      <w:r w:rsidRPr="00E53BF7">
        <w:rPr>
          <w:rFonts w:ascii="Arial" w:eastAsia="MS Mincho" w:hAnsi="Arial" w:cs="Arial"/>
          <w:sz w:val="20"/>
          <w:szCs w:val="20"/>
          <w:lang w:eastAsia="zh-CN"/>
        </w:rPr>
        <w:t xml:space="preserve"> season of 2022. Anand is located at 45.1 m above mean sea level at 22</w:t>
      </w:r>
      <w:r w:rsidRPr="00E53BF7">
        <w:rPr>
          <w:rFonts w:ascii="Arial" w:eastAsia="MS Mincho" w:hAnsi="Arial" w:cs="Arial"/>
          <w:sz w:val="20"/>
          <w:szCs w:val="20"/>
          <w:vertAlign w:val="superscript"/>
          <w:lang w:eastAsia="zh-CN"/>
        </w:rPr>
        <w:t>◦</w:t>
      </w:r>
      <w:r w:rsidRPr="00E53BF7">
        <w:rPr>
          <w:rFonts w:ascii="Arial" w:eastAsia="MS Mincho" w:hAnsi="Arial" w:cs="Arial"/>
          <w:sz w:val="20"/>
          <w:szCs w:val="20"/>
          <w:lang w:eastAsia="zh-CN"/>
        </w:rPr>
        <w:t>35′ latitude and 72</w:t>
      </w:r>
      <w:r w:rsidRPr="00E53BF7">
        <w:rPr>
          <w:rFonts w:ascii="Arial" w:eastAsia="MS Mincho" w:hAnsi="Arial" w:cs="Arial"/>
          <w:sz w:val="20"/>
          <w:szCs w:val="20"/>
          <w:vertAlign w:val="superscript"/>
          <w:lang w:eastAsia="zh-CN"/>
        </w:rPr>
        <w:t>◦</w:t>
      </w:r>
      <w:r w:rsidRPr="00E53BF7">
        <w:rPr>
          <w:rFonts w:ascii="Arial" w:eastAsia="MS Mincho" w:hAnsi="Arial" w:cs="Arial"/>
          <w:sz w:val="20"/>
          <w:szCs w:val="20"/>
          <w:lang w:eastAsia="zh-CN"/>
        </w:rPr>
        <w:t>56′ E longitude.</w:t>
      </w:r>
      <w:r>
        <w:rPr>
          <w:rFonts w:ascii="Times New Roman" w:eastAsia="MS Mincho" w:hAnsi="Times New Roman" w:cs="Times New Roman"/>
          <w:sz w:val="20"/>
          <w:szCs w:val="20"/>
          <w:lang w:eastAsia="zh-CN"/>
        </w:rPr>
        <w:t xml:space="preserve"> </w:t>
      </w:r>
      <w:r w:rsidR="00F66B9C" w:rsidRPr="00065804">
        <w:rPr>
          <w:rFonts w:ascii="Arial" w:eastAsia="MS Mincho" w:hAnsi="Arial" w:cs="Arial"/>
          <w:kern w:val="28"/>
          <w:sz w:val="20"/>
          <w:szCs w:val="20"/>
          <w:lang w:val="en-US" w:eastAsia="ja-JP"/>
        </w:rPr>
        <w:t>Anand is around 70 kilometers from the Arabian Sea shore</w:t>
      </w:r>
      <w:r w:rsidR="00681475">
        <w:rPr>
          <w:rFonts w:ascii="Arial" w:eastAsia="MS Mincho" w:hAnsi="Arial" w:cs="Arial"/>
          <w:kern w:val="28"/>
          <w:sz w:val="20"/>
          <w:szCs w:val="20"/>
          <w:lang w:val="en-US" w:eastAsia="ja-JP"/>
        </w:rPr>
        <w:t>. The</w:t>
      </w:r>
      <w:r w:rsidR="00F66B9C" w:rsidRPr="00065804">
        <w:rPr>
          <w:rFonts w:ascii="Arial" w:eastAsia="MS Mincho" w:hAnsi="Arial" w:cs="Arial"/>
          <w:kern w:val="28"/>
          <w:sz w:val="20"/>
          <w:szCs w:val="20"/>
          <w:lang w:val="en-US" w:eastAsia="ja-JP"/>
        </w:rPr>
        <w:t xml:space="preserve"> climate in this region is semi-arid and subtropical. Monsoon season typically lasts from third week of June to middle of September, bringing with it an average rainfall of 864 to 870 mm, all of which is brought on by the south-west monsoon current. The soil of </w:t>
      </w:r>
      <w:r w:rsidR="00681475">
        <w:rPr>
          <w:rFonts w:ascii="Arial" w:eastAsia="MS Mincho" w:hAnsi="Arial" w:cs="Arial"/>
          <w:kern w:val="28"/>
          <w:sz w:val="20"/>
          <w:szCs w:val="20"/>
          <w:lang w:val="en-US" w:eastAsia="ja-JP"/>
        </w:rPr>
        <w:t xml:space="preserve">the </w:t>
      </w:r>
      <w:r w:rsidR="00F66B9C" w:rsidRPr="00065804">
        <w:rPr>
          <w:rFonts w:ascii="Arial" w:eastAsia="MS Mincho" w:hAnsi="Arial" w:cs="Arial"/>
          <w:kern w:val="28"/>
          <w:sz w:val="20"/>
          <w:szCs w:val="20"/>
          <w:lang w:val="en-US" w:eastAsia="ja-JP"/>
        </w:rPr>
        <w:t xml:space="preserve">experimental plot was sandy loam in texture, nearly neutral in soil reaction (pH 7.5), low in organic carbon (0.30%), available N (221.6 kg/ha), medium available P (31.8 kg/ha) and medium available </w:t>
      </w:r>
      <w:r w:rsidR="00F66B9C" w:rsidRPr="00065804">
        <w:rPr>
          <w:rFonts w:ascii="Arial" w:eastAsia="MS Mincho" w:hAnsi="Arial" w:cs="Arial"/>
          <w:kern w:val="28"/>
          <w:sz w:val="20"/>
          <w:szCs w:val="20"/>
          <w:lang w:val="en-US" w:eastAsia="ja-JP"/>
        </w:rPr>
        <w:lastRenderedPageBreak/>
        <w:t xml:space="preserve">K (218.1 kg/ha). </w:t>
      </w:r>
      <w:r w:rsidR="00681475">
        <w:rPr>
          <w:rFonts w:ascii="Arial" w:eastAsia="MS Mincho" w:hAnsi="Arial" w:cs="Arial"/>
          <w:kern w:val="28"/>
          <w:sz w:val="20"/>
          <w:szCs w:val="20"/>
          <w:lang w:val="en-US" w:eastAsia="ja-JP"/>
        </w:rPr>
        <w:t>The e</w:t>
      </w:r>
      <w:r w:rsidR="00F66B9C" w:rsidRPr="00065804">
        <w:rPr>
          <w:rFonts w:ascii="Arial" w:eastAsia="MS Mincho" w:hAnsi="Arial" w:cs="Arial"/>
          <w:kern w:val="28"/>
          <w:sz w:val="20"/>
          <w:szCs w:val="20"/>
          <w:lang w:val="en-US" w:eastAsia="ja-JP"/>
        </w:rPr>
        <w:t xml:space="preserve">xperiment was laid out in split plot design and </w:t>
      </w:r>
      <w:r w:rsidR="00F66B9C">
        <w:rPr>
          <w:rFonts w:ascii="Arial" w:eastAsia="MS Mincho" w:hAnsi="Arial" w:cs="Arial"/>
          <w:kern w:val="28"/>
          <w:sz w:val="20"/>
          <w:szCs w:val="20"/>
          <w:lang w:val="en-US" w:eastAsia="ja-JP"/>
        </w:rPr>
        <w:t xml:space="preserve">it was </w:t>
      </w:r>
      <w:r w:rsidR="00F66B9C" w:rsidRPr="00065804">
        <w:rPr>
          <w:rFonts w:ascii="Arial" w:eastAsia="MS Mincho" w:hAnsi="Arial" w:cs="Arial"/>
          <w:kern w:val="28"/>
          <w:sz w:val="20"/>
          <w:szCs w:val="20"/>
          <w:lang w:val="en-US" w:eastAsia="ja-JP"/>
        </w:rPr>
        <w:t xml:space="preserve">replicated four times. </w:t>
      </w:r>
      <w:r w:rsidR="00681475">
        <w:rPr>
          <w:rFonts w:ascii="Arial" w:eastAsia="MS Mincho" w:hAnsi="Arial" w:cs="Arial"/>
          <w:kern w:val="28"/>
          <w:sz w:val="20"/>
          <w:szCs w:val="20"/>
          <w:lang w:val="en-US" w:eastAsia="ja-JP"/>
        </w:rPr>
        <w:t>A total of</w:t>
      </w:r>
      <w:r w:rsidR="00F66B9C" w:rsidRPr="00065804">
        <w:rPr>
          <w:rFonts w:ascii="Arial" w:eastAsia="MS Mincho" w:hAnsi="Arial" w:cs="Arial"/>
          <w:kern w:val="28"/>
          <w:sz w:val="20"/>
          <w:szCs w:val="20"/>
          <w:lang w:val="en-US" w:eastAsia="ja-JP"/>
        </w:rPr>
        <w:t xml:space="preserve"> eight treatment combinations comprising of spacing with different levels of fertilizer were included in the investigation. </w:t>
      </w:r>
      <w:r w:rsidRPr="00E53BF7">
        <w:rPr>
          <w:rFonts w:ascii="Arial" w:eastAsia="MS Mincho" w:hAnsi="Arial" w:cs="Arial"/>
          <w:kern w:val="28"/>
          <w:sz w:val="20"/>
          <w:szCs w:val="20"/>
          <w:lang w:eastAsia="ja-JP"/>
        </w:rPr>
        <w:t>This comprises two spacings, (S</w:t>
      </w:r>
      <w:r w:rsidRPr="00E53BF7">
        <w:rPr>
          <w:rFonts w:ascii="Arial" w:eastAsia="MS Mincho" w:hAnsi="Arial" w:cs="Arial"/>
          <w:kern w:val="28"/>
          <w:sz w:val="20"/>
          <w:szCs w:val="20"/>
          <w:vertAlign w:val="subscript"/>
          <w:lang w:eastAsia="ja-JP"/>
        </w:rPr>
        <w:t>1</w:t>
      </w:r>
      <w:r w:rsidRPr="00E53BF7">
        <w:rPr>
          <w:rFonts w:ascii="Arial" w:eastAsia="MS Mincho" w:hAnsi="Arial" w:cs="Arial"/>
          <w:kern w:val="28"/>
          <w:sz w:val="20"/>
          <w:szCs w:val="20"/>
          <w:lang w:eastAsia="ja-JP"/>
        </w:rPr>
        <w:t>) 45 cm and (S</w:t>
      </w:r>
      <w:r w:rsidRPr="00E53BF7">
        <w:rPr>
          <w:rFonts w:ascii="Arial" w:eastAsia="MS Mincho" w:hAnsi="Arial" w:cs="Arial"/>
          <w:kern w:val="28"/>
          <w:sz w:val="20"/>
          <w:szCs w:val="20"/>
          <w:vertAlign w:val="subscript"/>
          <w:lang w:eastAsia="ja-JP"/>
        </w:rPr>
        <w:t>2</w:t>
      </w:r>
      <w:r w:rsidRPr="00E53BF7">
        <w:rPr>
          <w:rFonts w:ascii="Arial" w:eastAsia="MS Mincho" w:hAnsi="Arial" w:cs="Arial"/>
          <w:kern w:val="28"/>
          <w:sz w:val="20"/>
          <w:szCs w:val="20"/>
          <w:lang w:eastAsia="ja-JP"/>
        </w:rPr>
        <w:t>) 60 cm as a main plot, and four different NPK fertilizer levels, (F</w:t>
      </w:r>
      <w:r w:rsidRPr="00E53BF7">
        <w:rPr>
          <w:rFonts w:ascii="Arial" w:eastAsia="MS Mincho" w:hAnsi="Arial" w:cs="Arial"/>
          <w:kern w:val="28"/>
          <w:sz w:val="20"/>
          <w:szCs w:val="20"/>
          <w:vertAlign w:val="subscript"/>
          <w:lang w:eastAsia="ja-JP"/>
        </w:rPr>
        <w:t>1</w:t>
      </w:r>
      <w:r w:rsidRPr="00E53BF7">
        <w:rPr>
          <w:rFonts w:ascii="Arial" w:eastAsia="MS Mincho" w:hAnsi="Arial" w:cs="Arial"/>
          <w:kern w:val="28"/>
          <w:sz w:val="20"/>
          <w:szCs w:val="20"/>
          <w:lang w:eastAsia="ja-JP"/>
        </w:rPr>
        <w:t>) 12.5-25-0 kg/ha, (F</w:t>
      </w:r>
      <w:r w:rsidRPr="00E53BF7">
        <w:rPr>
          <w:rFonts w:ascii="Arial" w:eastAsia="MS Mincho" w:hAnsi="Arial" w:cs="Arial"/>
          <w:kern w:val="28"/>
          <w:sz w:val="20"/>
          <w:szCs w:val="20"/>
          <w:vertAlign w:val="subscript"/>
          <w:lang w:eastAsia="ja-JP"/>
        </w:rPr>
        <w:t>2</w:t>
      </w:r>
      <w:r w:rsidRPr="00E53BF7">
        <w:rPr>
          <w:rFonts w:ascii="Arial" w:eastAsia="MS Mincho" w:hAnsi="Arial" w:cs="Arial"/>
          <w:kern w:val="28"/>
          <w:sz w:val="20"/>
          <w:szCs w:val="20"/>
          <w:lang w:eastAsia="ja-JP"/>
        </w:rPr>
        <w:t>) 12.5-25-25 kg/ha, (F</w:t>
      </w:r>
      <w:r w:rsidRPr="00E53BF7">
        <w:rPr>
          <w:rFonts w:ascii="Arial" w:eastAsia="MS Mincho" w:hAnsi="Arial" w:cs="Arial"/>
          <w:kern w:val="28"/>
          <w:sz w:val="20"/>
          <w:szCs w:val="20"/>
          <w:vertAlign w:val="subscript"/>
          <w:lang w:eastAsia="ja-JP"/>
        </w:rPr>
        <w:t>3</w:t>
      </w:r>
      <w:r w:rsidRPr="00E53BF7">
        <w:rPr>
          <w:rFonts w:ascii="Arial" w:eastAsia="MS Mincho" w:hAnsi="Arial" w:cs="Arial"/>
          <w:kern w:val="28"/>
          <w:sz w:val="20"/>
          <w:szCs w:val="20"/>
          <w:lang w:eastAsia="ja-JP"/>
        </w:rPr>
        <w:t>) 25-50-0 kg/ha and (F</w:t>
      </w:r>
      <w:r w:rsidRPr="00E53BF7">
        <w:rPr>
          <w:rFonts w:ascii="Arial" w:eastAsia="MS Mincho" w:hAnsi="Arial" w:cs="Arial"/>
          <w:kern w:val="28"/>
          <w:sz w:val="20"/>
          <w:szCs w:val="20"/>
          <w:vertAlign w:val="subscript"/>
          <w:lang w:eastAsia="ja-JP"/>
        </w:rPr>
        <w:t>4</w:t>
      </w:r>
      <w:r w:rsidRPr="00E53BF7">
        <w:rPr>
          <w:rFonts w:ascii="Arial" w:eastAsia="MS Mincho" w:hAnsi="Arial" w:cs="Arial"/>
          <w:kern w:val="28"/>
          <w:sz w:val="20"/>
          <w:szCs w:val="20"/>
          <w:lang w:eastAsia="ja-JP"/>
        </w:rPr>
        <w:t>) 25-50-50 kg/ha as a subplot. Five randomly selected plants were chosen from each plot to record observations on growth characteristics. Similarly, five random plant samples were gathered from each plot during harvest to record observations on plant yield parameters.</w:t>
      </w:r>
    </w:p>
    <w:p w:rsidR="00E53BF7" w:rsidRDefault="00E53BF7" w:rsidP="00E53BF7">
      <w:pPr>
        <w:numPr>
          <w:ilvl w:val="12"/>
          <w:numId w:val="0"/>
        </w:numPr>
        <w:spacing w:after="0" w:line="240" w:lineRule="auto"/>
        <w:jc w:val="both"/>
        <w:rPr>
          <w:rFonts w:ascii="Arial" w:eastAsia="MS Mincho" w:hAnsi="Arial" w:cs="Arial"/>
          <w:b/>
          <w:bCs/>
          <w:lang w:val="en-US"/>
        </w:rPr>
      </w:pPr>
    </w:p>
    <w:p w:rsidR="00F66B9C" w:rsidRPr="00065804" w:rsidRDefault="00F66B9C" w:rsidP="00E53BF7">
      <w:pPr>
        <w:numPr>
          <w:ilvl w:val="12"/>
          <w:numId w:val="0"/>
        </w:numPr>
        <w:spacing w:after="0" w:line="240" w:lineRule="auto"/>
        <w:jc w:val="both"/>
        <w:rPr>
          <w:rFonts w:ascii="Arial" w:eastAsia="MS Mincho" w:hAnsi="Arial" w:cs="Arial"/>
          <w:b/>
          <w:bCs/>
          <w:lang w:val="en-US"/>
        </w:rPr>
      </w:pPr>
      <w:r w:rsidRPr="00065804">
        <w:rPr>
          <w:rFonts w:ascii="Arial" w:eastAsia="MS Mincho" w:hAnsi="Arial" w:cs="Arial"/>
          <w:b/>
          <w:bCs/>
          <w:lang w:val="en-US"/>
        </w:rPr>
        <w:t>3. RESULTS AND DISCUSSION</w:t>
      </w:r>
    </w:p>
    <w:p w:rsidR="00F66B9C" w:rsidRPr="00065804" w:rsidRDefault="00F66B9C" w:rsidP="00F66B9C">
      <w:pPr>
        <w:numPr>
          <w:ilvl w:val="12"/>
          <w:numId w:val="0"/>
        </w:numPr>
        <w:spacing w:after="0" w:line="240" w:lineRule="auto"/>
        <w:jc w:val="both"/>
        <w:rPr>
          <w:rFonts w:ascii="Arial" w:eastAsia="MS Mincho" w:hAnsi="Arial" w:cs="Arial"/>
          <w:b/>
          <w:bCs/>
          <w:lang w:val="en-US"/>
        </w:rPr>
      </w:pPr>
      <w:r w:rsidRPr="00065804">
        <w:rPr>
          <w:rFonts w:ascii="Arial" w:eastAsia="MS Mincho" w:hAnsi="Arial" w:cs="Arial"/>
          <w:b/>
          <w:bCs/>
          <w:lang w:val="en-US"/>
        </w:rPr>
        <w:t xml:space="preserve">3.1 GROWTH PARAMETERS </w:t>
      </w:r>
    </w:p>
    <w:p w:rsidR="000E3E3C" w:rsidRDefault="000E3E3C" w:rsidP="000E3E3C">
      <w:pPr>
        <w:numPr>
          <w:ilvl w:val="12"/>
          <w:numId w:val="0"/>
        </w:numPr>
        <w:spacing w:after="0" w:line="240" w:lineRule="auto"/>
        <w:ind w:firstLine="720"/>
        <w:jc w:val="both"/>
        <w:rPr>
          <w:rFonts w:ascii="Arial" w:eastAsia="MS Mincho" w:hAnsi="Arial" w:cs="Arial"/>
          <w:color w:val="000000"/>
          <w:sz w:val="20"/>
          <w:szCs w:val="20"/>
        </w:rPr>
      </w:pPr>
      <w:r>
        <w:rPr>
          <w:rFonts w:ascii="Arial" w:eastAsia="MS Mincho" w:hAnsi="Arial" w:cs="Arial"/>
          <w:color w:val="000000"/>
          <w:sz w:val="20"/>
          <w:szCs w:val="20"/>
        </w:rPr>
        <w:t>Plant population, plant height</w:t>
      </w:r>
      <w:r w:rsidRPr="000E3E3C">
        <w:rPr>
          <w:rFonts w:ascii="Arial" w:eastAsia="MS Mincho" w:hAnsi="Arial" w:cs="Arial"/>
          <w:color w:val="000000"/>
          <w:sz w:val="20"/>
          <w:szCs w:val="20"/>
        </w:rPr>
        <w:t xml:space="preserve"> and number of branches/plant were all significantly impacted by varying spacing, according to data shown in Table 1. Plant population per meter row length of groundnut at 25 DAS was considerably impacted by 60 cm spacing compared to 45 cm spacing. This could</w:t>
      </w:r>
      <w:r>
        <w:rPr>
          <w:rFonts w:ascii="Arial" w:eastAsia="MS Mincho" w:hAnsi="Arial" w:cs="Arial"/>
          <w:color w:val="000000"/>
          <w:sz w:val="20"/>
          <w:szCs w:val="20"/>
        </w:rPr>
        <w:t xml:space="preserve"> be attributed to wider spacing</w:t>
      </w:r>
      <w:r w:rsidRPr="000E3E3C">
        <w:rPr>
          <w:rFonts w:ascii="Arial" w:eastAsia="MS Mincho" w:hAnsi="Arial" w:cs="Arial"/>
          <w:color w:val="000000"/>
          <w:sz w:val="20"/>
          <w:szCs w:val="20"/>
        </w:rPr>
        <w:t xml:space="preserve"> which allowed for more plant</w:t>
      </w:r>
      <w:r>
        <w:rPr>
          <w:rFonts w:ascii="Arial" w:eastAsia="MS Mincho" w:hAnsi="Arial" w:cs="Arial"/>
          <w:color w:val="000000"/>
          <w:sz w:val="20"/>
          <w:szCs w:val="20"/>
        </w:rPr>
        <w:t>s per row than narrower spacing</w:t>
      </w:r>
      <w:r w:rsidRPr="000E3E3C">
        <w:rPr>
          <w:rFonts w:ascii="Arial" w:eastAsia="MS Mincho" w:hAnsi="Arial" w:cs="Arial"/>
          <w:color w:val="000000"/>
          <w:sz w:val="20"/>
          <w:szCs w:val="20"/>
        </w:rPr>
        <w:t xml:space="preserve"> which increased plant population per meter of row length. Plant height was considerable at 6</w:t>
      </w:r>
      <w:r>
        <w:rPr>
          <w:rFonts w:ascii="Arial" w:eastAsia="MS Mincho" w:hAnsi="Arial" w:cs="Arial"/>
          <w:color w:val="000000"/>
          <w:sz w:val="20"/>
          <w:szCs w:val="20"/>
        </w:rPr>
        <w:t xml:space="preserve">0 DAS and harvest, with </w:t>
      </w:r>
      <w:r w:rsidR="00681475">
        <w:rPr>
          <w:rFonts w:ascii="Arial" w:eastAsia="MS Mincho" w:hAnsi="Arial" w:cs="Arial"/>
          <w:color w:val="000000"/>
          <w:sz w:val="20"/>
          <w:szCs w:val="20"/>
        </w:rPr>
        <w:t xml:space="preserve">the </w:t>
      </w:r>
      <w:r>
        <w:rPr>
          <w:rFonts w:ascii="Arial" w:eastAsia="MS Mincho" w:hAnsi="Arial" w:cs="Arial"/>
          <w:color w:val="000000"/>
          <w:sz w:val="20"/>
          <w:szCs w:val="20"/>
        </w:rPr>
        <w:t>exception of 30 DAS. H</w:t>
      </w:r>
      <w:r w:rsidRPr="000E3E3C">
        <w:rPr>
          <w:rFonts w:ascii="Arial" w:eastAsia="MS Mincho" w:hAnsi="Arial" w:cs="Arial"/>
          <w:color w:val="000000"/>
          <w:sz w:val="20"/>
          <w:szCs w:val="20"/>
        </w:rPr>
        <w:t>ighest plant heights at 60 DAS and harvest were recorded with 45 cm sp</w:t>
      </w:r>
      <w:r>
        <w:rPr>
          <w:rFonts w:ascii="Arial" w:eastAsia="MS Mincho" w:hAnsi="Arial" w:cs="Arial"/>
          <w:color w:val="000000"/>
          <w:sz w:val="20"/>
          <w:szCs w:val="20"/>
        </w:rPr>
        <w:t>acing rather than 60 cm spacing</w:t>
      </w:r>
      <w:r w:rsidR="00F66B9C" w:rsidRPr="00065804">
        <w:rPr>
          <w:rFonts w:ascii="Arial" w:eastAsia="MS Mincho" w:hAnsi="Arial" w:cs="Arial"/>
          <w:bCs/>
          <w:color w:val="000000"/>
          <w:sz w:val="20"/>
          <w:szCs w:val="20"/>
          <w:lang w:val="en-US"/>
        </w:rPr>
        <w:t>.</w:t>
      </w:r>
      <w:r w:rsidR="00F66B9C" w:rsidRPr="00065804">
        <w:rPr>
          <w:rFonts w:ascii="Arial" w:eastAsia="MS Mincho" w:hAnsi="Arial" w:cs="Arial"/>
          <w:color w:val="000000"/>
          <w:sz w:val="20"/>
          <w:szCs w:val="20"/>
          <w:lang w:val="en-US"/>
        </w:rPr>
        <w:t xml:space="preserve"> </w:t>
      </w:r>
      <w:r w:rsidRPr="000E3E3C">
        <w:rPr>
          <w:rFonts w:ascii="Arial" w:eastAsia="MS Mincho" w:hAnsi="Arial" w:cs="Arial"/>
          <w:color w:val="000000"/>
          <w:sz w:val="20"/>
          <w:szCs w:val="20"/>
        </w:rPr>
        <w:t>Individual plants from plot with narrow spacing did not have opportunity to grow laterally due to a lack of intra-row space. As a result, plants were forced to grow higher vertically in order to meet their light requirements for photosynthesis. These conclusions are supported by result</w:t>
      </w:r>
      <w:r>
        <w:rPr>
          <w:rFonts w:ascii="Arial" w:eastAsia="MS Mincho" w:hAnsi="Arial" w:cs="Arial"/>
          <w:color w:val="000000"/>
          <w:sz w:val="20"/>
          <w:szCs w:val="20"/>
        </w:rPr>
        <w:t xml:space="preserve">s obtained by </w:t>
      </w:r>
      <w:proofErr w:type="spellStart"/>
      <w:r>
        <w:rPr>
          <w:rFonts w:ascii="Arial" w:eastAsia="MS Mincho" w:hAnsi="Arial" w:cs="Arial"/>
          <w:color w:val="000000"/>
          <w:sz w:val="20"/>
          <w:szCs w:val="20"/>
        </w:rPr>
        <w:t>Parameshwarareddy</w:t>
      </w:r>
      <w:proofErr w:type="spellEnd"/>
      <w:r>
        <w:rPr>
          <w:rFonts w:ascii="Arial" w:eastAsia="MS Mincho" w:hAnsi="Arial" w:cs="Arial"/>
          <w:color w:val="000000"/>
          <w:sz w:val="20"/>
          <w:szCs w:val="20"/>
        </w:rPr>
        <w:t xml:space="preserve"> </w:t>
      </w:r>
      <w:r w:rsidR="00F66B9C" w:rsidRPr="00065804">
        <w:rPr>
          <w:rFonts w:ascii="Arial" w:eastAsia="MS Mincho" w:hAnsi="Arial" w:cs="Arial"/>
          <w:color w:val="000000"/>
          <w:sz w:val="20"/>
          <w:szCs w:val="20"/>
          <w:lang w:val="en-US"/>
        </w:rPr>
        <w:t xml:space="preserve">(2019). </w:t>
      </w:r>
    </w:p>
    <w:p w:rsidR="000E3E3C" w:rsidRPr="000E3E3C" w:rsidRDefault="000E3E3C" w:rsidP="000E3E3C">
      <w:pPr>
        <w:numPr>
          <w:ilvl w:val="12"/>
          <w:numId w:val="0"/>
        </w:numPr>
        <w:spacing w:after="0" w:line="240" w:lineRule="auto"/>
        <w:ind w:firstLine="720"/>
        <w:jc w:val="both"/>
        <w:rPr>
          <w:rFonts w:ascii="Arial" w:eastAsia="MS Mincho" w:hAnsi="Arial" w:cs="Arial"/>
          <w:color w:val="000000"/>
          <w:sz w:val="20"/>
          <w:szCs w:val="20"/>
        </w:rPr>
      </w:pPr>
      <w:r w:rsidRPr="000E3E3C">
        <w:rPr>
          <w:rFonts w:ascii="Arial" w:eastAsia="MS Mincho" w:hAnsi="Arial" w:cs="Arial"/>
          <w:bCs/>
          <w:color w:val="000000"/>
          <w:sz w:val="20"/>
          <w:szCs w:val="20"/>
        </w:rPr>
        <w:t>At 25 DAS, different NPK fertilizer amounts had no significant effect on plant population (per meter row length). Application of 25-50-50 NPK kg/ha resulted in significantly higher plant height at 60 DAS and at harvest compared to 12.5-25-25 and 12.5-25-0. However, it was comparable to </w:t>
      </w:r>
      <w:r w:rsidR="00681475">
        <w:rPr>
          <w:rFonts w:ascii="Arial" w:eastAsia="MS Mincho" w:hAnsi="Arial" w:cs="Arial"/>
          <w:bCs/>
          <w:color w:val="000000"/>
          <w:sz w:val="20"/>
          <w:szCs w:val="20"/>
        </w:rPr>
        <w:t xml:space="preserve">the </w:t>
      </w:r>
      <w:r w:rsidRPr="000E3E3C">
        <w:rPr>
          <w:rFonts w:ascii="Arial" w:eastAsia="MS Mincho" w:hAnsi="Arial" w:cs="Arial"/>
          <w:bCs/>
          <w:color w:val="000000"/>
          <w:sz w:val="20"/>
          <w:szCs w:val="20"/>
        </w:rPr>
        <w:t>application of 25-50-0 NPK kg/ha. Such improvements could be attributed to plant's more efficient absorption of water and nutrients from soil solution through substantial root expansion, as well as greater mineral fertilization. These findings are consistent with those published by Joshi (2018).</w:t>
      </w:r>
    </w:p>
    <w:p w:rsidR="00F66B9C" w:rsidRPr="00065804" w:rsidRDefault="00F66B9C" w:rsidP="00F66B9C">
      <w:pPr>
        <w:numPr>
          <w:ilvl w:val="12"/>
          <w:numId w:val="0"/>
        </w:numPr>
        <w:spacing w:before="240" w:after="0" w:line="240" w:lineRule="auto"/>
        <w:jc w:val="both"/>
        <w:rPr>
          <w:rFonts w:ascii="Arial" w:eastAsia="MS Mincho" w:hAnsi="Arial" w:cs="Arial"/>
          <w:b/>
          <w:bCs/>
          <w:lang w:val="en-US"/>
        </w:rPr>
      </w:pPr>
      <w:r w:rsidRPr="00065804">
        <w:rPr>
          <w:rFonts w:ascii="Arial" w:eastAsia="MS Mincho" w:hAnsi="Arial" w:cs="Arial"/>
          <w:b/>
          <w:bCs/>
          <w:lang w:val="en-US"/>
        </w:rPr>
        <w:t>3.2 YIELD ATTRIBUTES AND YIELD</w:t>
      </w:r>
    </w:p>
    <w:p w:rsidR="00B91C19" w:rsidRPr="00B91C19" w:rsidRDefault="00F66B9C" w:rsidP="00B91C19">
      <w:pPr>
        <w:numPr>
          <w:ilvl w:val="12"/>
          <w:numId w:val="0"/>
        </w:numPr>
        <w:spacing w:after="0" w:line="240" w:lineRule="auto"/>
        <w:ind w:firstLine="720"/>
        <w:jc w:val="both"/>
        <w:rPr>
          <w:rFonts w:ascii="Arial" w:eastAsia="MS Mincho" w:hAnsi="Arial" w:cs="Arial"/>
          <w:bCs/>
          <w:color w:val="000000"/>
          <w:sz w:val="20"/>
          <w:szCs w:val="20"/>
        </w:rPr>
      </w:pPr>
      <w:r w:rsidRPr="00065804">
        <w:rPr>
          <w:rFonts w:ascii="Arial" w:eastAsia="MS Mincho" w:hAnsi="Arial" w:cs="Arial"/>
          <w:bCs/>
          <w:color w:val="000000"/>
          <w:sz w:val="20"/>
          <w:szCs w:val="20"/>
          <w:lang w:val="en-US"/>
        </w:rPr>
        <w:t xml:space="preserve">Number of </w:t>
      </w:r>
      <w:proofErr w:type="gramStart"/>
      <w:r w:rsidRPr="00065804">
        <w:rPr>
          <w:rFonts w:ascii="Arial" w:eastAsia="MS Mincho" w:hAnsi="Arial" w:cs="Arial"/>
          <w:bCs/>
          <w:color w:val="000000"/>
          <w:sz w:val="20"/>
          <w:szCs w:val="20"/>
          <w:lang w:val="en-US"/>
        </w:rPr>
        <w:t>branches/plant</w:t>
      </w:r>
      <w:proofErr w:type="gramEnd"/>
      <w:r w:rsidRPr="00065804">
        <w:rPr>
          <w:rFonts w:ascii="Arial" w:eastAsia="MS Mincho" w:hAnsi="Arial" w:cs="Arial"/>
          <w:bCs/>
          <w:color w:val="000000"/>
          <w:sz w:val="20"/>
          <w:szCs w:val="20"/>
          <w:lang w:val="en-US"/>
        </w:rPr>
        <w:t xml:space="preserve"> of groundnut was recorded significantly the highest at 60 cm spacing as compared to 45 cm.</w:t>
      </w:r>
      <w:r w:rsidRPr="00065804">
        <w:rPr>
          <w:rFonts w:ascii="Arial" w:eastAsia="MS Mincho" w:hAnsi="Arial" w:cs="Arial"/>
          <w:color w:val="000000"/>
          <w:sz w:val="20"/>
          <w:szCs w:val="20"/>
          <w:lang w:val="en-US"/>
        </w:rPr>
        <w:t xml:space="preserve"> </w:t>
      </w:r>
      <w:r w:rsidR="00B91C19" w:rsidRPr="00B91C19">
        <w:rPr>
          <w:rFonts w:ascii="Arial" w:eastAsia="MS Mincho" w:hAnsi="Arial" w:cs="Arial"/>
          <w:bCs/>
          <w:color w:val="000000"/>
          <w:sz w:val="20"/>
          <w:szCs w:val="20"/>
        </w:rPr>
        <w:t>Plants developed laterally, resulting in a high</w:t>
      </w:r>
      <w:r w:rsidR="00B91C19">
        <w:rPr>
          <w:rFonts w:ascii="Arial" w:eastAsia="MS Mincho" w:hAnsi="Arial" w:cs="Arial"/>
          <w:bCs/>
          <w:color w:val="000000"/>
          <w:sz w:val="20"/>
          <w:szCs w:val="20"/>
        </w:rPr>
        <w:t xml:space="preserve">er number of branches per plant because </w:t>
      </w:r>
      <w:r w:rsidR="00681475">
        <w:rPr>
          <w:rFonts w:ascii="Arial" w:eastAsia="MS Mincho" w:hAnsi="Arial" w:cs="Arial"/>
          <w:bCs/>
          <w:color w:val="000000"/>
          <w:sz w:val="20"/>
          <w:szCs w:val="20"/>
        </w:rPr>
        <w:t xml:space="preserve">the </w:t>
      </w:r>
      <w:r w:rsidR="00B91C19" w:rsidRPr="00B91C19">
        <w:rPr>
          <w:rFonts w:ascii="Arial" w:eastAsia="MS Mincho" w:hAnsi="Arial" w:cs="Arial"/>
          <w:bCs/>
          <w:color w:val="000000"/>
          <w:sz w:val="20"/>
          <w:szCs w:val="20"/>
        </w:rPr>
        <w:t xml:space="preserve">feeding zone per plant was larger under wider spacing than under closer spacing. </w:t>
      </w:r>
      <w:r w:rsidR="00B91C19">
        <w:rPr>
          <w:rFonts w:ascii="Arial" w:eastAsia="MS Mincho" w:hAnsi="Arial" w:cs="Arial"/>
          <w:color w:val="000000"/>
          <w:sz w:val="20"/>
          <w:szCs w:val="20"/>
        </w:rPr>
        <w:t>R</w:t>
      </w:r>
      <w:r w:rsidR="00B91C19" w:rsidRPr="00B91C19">
        <w:rPr>
          <w:rFonts w:ascii="Arial" w:eastAsia="MS Mincho" w:hAnsi="Arial" w:cs="Arial"/>
          <w:color w:val="000000"/>
          <w:sz w:val="20"/>
          <w:szCs w:val="20"/>
        </w:rPr>
        <w:t xml:space="preserve">esults are consistent with those of </w:t>
      </w:r>
      <w:proofErr w:type="spellStart"/>
      <w:r w:rsidR="00B91C19" w:rsidRPr="00B91C19">
        <w:rPr>
          <w:rFonts w:ascii="Arial" w:eastAsia="MS Mincho" w:hAnsi="Arial" w:cs="Arial"/>
          <w:color w:val="000000"/>
          <w:sz w:val="20"/>
          <w:szCs w:val="20"/>
        </w:rPr>
        <w:t>Kathirvelan</w:t>
      </w:r>
      <w:proofErr w:type="spellEnd"/>
      <w:r w:rsidR="00B91C19" w:rsidRPr="00B91C19">
        <w:rPr>
          <w:rFonts w:ascii="Arial" w:eastAsia="MS Mincho" w:hAnsi="Arial" w:cs="Arial"/>
          <w:color w:val="000000"/>
          <w:sz w:val="20"/>
          <w:szCs w:val="20"/>
        </w:rPr>
        <w:t xml:space="preserve"> and </w:t>
      </w:r>
      <w:proofErr w:type="spellStart"/>
      <w:r w:rsidR="00B91C19" w:rsidRPr="00B91C19">
        <w:rPr>
          <w:rFonts w:ascii="Arial" w:eastAsia="MS Mincho" w:hAnsi="Arial" w:cs="Arial"/>
          <w:color w:val="000000"/>
          <w:sz w:val="20"/>
          <w:szCs w:val="20"/>
        </w:rPr>
        <w:t>Kalaiselvan</w:t>
      </w:r>
      <w:proofErr w:type="spellEnd"/>
      <w:r w:rsidR="00B91C19" w:rsidRPr="00B91C19">
        <w:rPr>
          <w:rFonts w:ascii="Arial" w:eastAsia="MS Mincho" w:hAnsi="Arial" w:cs="Arial"/>
          <w:color w:val="000000"/>
          <w:sz w:val="20"/>
          <w:szCs w:val="20"/>
        </w:rPr>
        <w:t xml:space="preserve"> (2007</w:t>
      </w:r>
      <w:r w:rsidR="00B91C19">
        <w:rPr>
          <w:rFonts w:ascii="Arial" w:eastAsia="MS Mincho" w:hAnsi="Arial" w:cs="Arial"/>
          <w:color w:val="000000"/>
          <w:sz w:val="20"/>
          <w:szCs w:val="20"/>
        </w:rPr>
        <w:t xml:space="preserve">) and </w:t>
      </w:r>
      <w:proofErr w:type="spellStart"/>
      <w:r w:rsidR="00B91C19">
        <w:rPr>
          <w:rFonts w:ascii="Arial" w:eastAsia="MS Mincho" w:hAnsi="Arial" w:cs="Arial"/>
          <w:color w:val="000000"/>
          <w:sz w:val="20"/>
          <w:szCs w:val="20"/>
        </w:rPr>
        <w:t>Parameshwarareddy</w:t>
      </w:r>
      <w:proofErr w:type="spellEnd"/>
      <w:r w:rsidR="00B91C19">
        <w:rPr>
          <w:rFonts w:ascii="Arial" w:eastAsia="MS Mincho" w:hAnsi="Arial" w:cs="Arial"/>
          <w:color w:val="000000"/>
          <w:sz w:val="20"/>
          <w:szCs w:val="20"/>
        </w:rPr>
        <w:t xml:space="preserve"> (2019)</w:t>
      </w:r>
      <w:r w:rsidRPr="00065804">
        <w:rPr>
          <w:rFonts w:ascii="Arial" w:eastAsia="MS Mincho" w:hAnsi="Arial" w:cs="Arial"/>
          <w:color w:val="000000"/>
          <w:sz w:val="20"/>
          <w:szCs w:val="20"/>
          <w:lang w:val="en-US"/>
        </w:rPr>
        <w:t>.</w:t>
      </w:r>
      <w:r w:rsidRPr="00065804">
        <w:rPr>
          <w:rFonts w:ascii="Arial" w:eastAsia="MS Mincho" w:hAnsi="Arial" w:cs="Arial"/>
          <w:bCs/>
          <w:color w:val="000000"/>
          <w:sz w:val="20"/>
          <w:szCs w:val="20"/>
          <w:lang w:val="en-US"/>
        </w:rPr>
        <w:t xml:space="preserve"> Higher number of pods per plant was recorded under 60 cm spacing (</w:t>
      </w:r>
      <w:r w:rsidRPr="00065804">
        <w:rPr>
          <w:rFonts w:ascii="Arial" w:eastAsia="MS Mincho" w:hAnsi="Arial" w:cs="Arial"/>
          <w:color w:val="000000"/>
          <w:sz w:val="20"/>
          <w:szCs w:val="20"/>
          <w:lang w:val="en-US"/>
        </w:rPr>
        <w:t>24.7)</w:t>
      </w:r>
      <w:r w:rsidRPr="00065804">
        <w:rPr>
          <w:rFonts w:ascii="Arial" w:eastAsia="MS Mincho" w:hAnsi="Arial" w:cs="Arial"/>
          <w:bCs/>
          <w:color w:val="000000"/>
          <w:sz w:val="20"/>
          <w:szCs w:val="20"/>
          <w:lang w:val="en-US"/>
        </w:rPr>
        <w:t>.</w:t>
      </w:r>
      <w:r w:rsidRPr="00065804">
        <w:rPr>
          <w:rFonts w:ascii="Arial" w:eastAsia="MS Mincho" w:hAnsi="Arial" w:cs="Arial"/>
          <w:color w:val="000000"/>
          <w:sz w:val="20"/>
          <w:szCs w:val="20"/>
          <w:lang w:val="en-US"/>
        </w:rPr>
        <w:t xml:space="preserve"> Significantly more n</w:t>
      </w:r>
      <w:bookmarkStart w:id="0" w:name="_GoBack"/>
      <w:bookmarkEnd w:id="0"/>
      <w:r w:rsidRPr="00065804">
        <w:rPr>
          <w:rFonts w:ascii="Arial" w:eastAsia="MS Mincho" w:hAnsi="Arial" w:cs="Arial"/>
          <w:color w:val="000000"/>
          <w:sz w:val="20"/>
          <w:szCs w:val="20"/>
          <w:lang w:val="en-US"/>
        </w:rPr>
        <w:t xml:space="preserve">umbers of pods per plant were recorded at harvest under the wider spacing. Significantly lower number of pods per plant were observed under closer spacing. It might be due to closed spacing. The findings are in conformity with those of </w:t>
      </w:r>
      <w:proofErr w:type="spellStart"/>
      <w:r w:rsidRPr="00065804">
        <w:rPr>
          <w:rFonts w:ascii="Arial" w:eastAsia="MS Mincho" w:hAnsi="Arial" w:cs="Arial"/>
          <w:color w:val="000000"/>
          <w:sz w:val="20"/>
          <w:szCs w:val="20"/>
          <w:shd w:val="clear" w:color="auto" w:fill="FFFFFF"/>
          <w:lang w:val="en-US"/>
        </w:rPr>
        <w:t>Waghmode</w:t>
      </w:r>
      <w:proofErr w:type="spellEnd"/>
      <w:r w:rsidRPr="00065804">
        <w:rPr>
          <w:rFonts w:ascii="Arial" w:eastAsia="MS Mincho" w:hAnsi="Arial" w:cs="Arial"/>
          <w:color w:val="000000"/>
          <w:sz w:val="20"/>
          <w:szCs w:val="20"/>
          <w:shd w:val="clear" w:color="auto" w:fill="FFFFFF"/>
          <w:lang w:val="en-US"/>
        </w:rPr>
        <w:t xml:space="preserve"> (2017) </w:t>
      </w:r>
      <w:r w:rsidRPr="00065804">
        <w:rPr>
          <w:rFonts w:ascii="Arial" w:eastAsia="MS Mincho" w:hAnsi="Arial" w:cs="Arial"/>
          <w:color w:val="000000"/>
          <w:sz w:val="20"/>
          <w:szCs w:val="20"/>
          <w:lang w:val="en-US"/>
        </w:rPr>
        <w:t xml:space="preserve">and Jaiswal (2018). </w:t>
      </w:r>
      <w:r w:rsidR="00B91C19" w:rsidRPr="00B91C19">
        <w:rPr>
          <w:rFonts w:ascii="Arial" w:eastAsia="MS Mincho" w:hAnsi="Arial" w:cs="Arial"/>
          <w:bCs/>
          <w:color w:val="000000"/>
          <w:sz w:val="20"/>
          <w:szCs w:val="20"/>
        </w:rPr>
        <w:t xml:space="preserve">Crops grown at 60 cm spacing produced the highest pod and haulm yields when compared to 45 cm spacing. These findings showed that wider spacing resulted in better absorption and energy generation for optimal vegetative development and yield. </w:t>
      </w:r>
      <w:proofErr w:type="spellStart"/>
      <w:r w:rsidR="00B91C19" w:rsidRPr="00B91C19">
        <w:rPr>
          <w:rFonts w:ascii="Arial" w:eastAsia="MS Mincho" w:hAnsi="Arial" w:cs="Arial"/>
          <w:bCs/>
          <w:color w:val="000000"/>
          <w:sz w:val="20"/>
          <w:szCs w:val="20"/>
        </w:rPr>
        <w:t>Waghmode</w:t>
      </w:r>
      <w:proofErr w:type="spellEnd"/>
      <w:r w:rsidR="00B91C19" w:rsidRPr="00B91C19">
        <w:rPr>
          <w:rFonts w:ascii="Arial" w:eastAsia="MS Mincho" w:hAnsi="Arial" w:cs="Arial"/>
          <w:bCs/>
          <w:color w:val="000000"/>
          <w:sz w:val="20"/>
          <w:szCs w:val="20"/>
        </w:rPr>
        <w:t xml:space="preserve"> (2017) reports similar find</w:t>
      </w:r>
      <w:r w:rsidR="00B91C19">
        <w:rPr>
          <w:rFonts w:ascii="Arial" w:eastAsia="MS Mincho" w:hAnsi="Arial" w:cs="Arial"/>
          <w:bCs/>
          <w:color w:val="000000"/>
          <w:sz w:val="20"/>
          <w:szCs w:val="20"/>
        </w:rPr>
        <w:t xml:space="preserve">ings. </w:t>
      </w:r>
    </w:p>
    <w:p w:rsidR="00F66B9C" w:rsidRPr="00065804" w:rsidRDefault="00F66B9C" w:rsidP="00F66B9C">
      <w:pPr>
        <w:numPr>
          <w:ilvl w:val="12"/>
          <w:numId w:val="0"/>
        </w:numPr>
        <w:spacing w:after="0" w:line="240" w:lineRule="auto"/>
        <w:ind w:firstLine="720"/>
        <w:jc w:val="both"/>
        <w:rPr>
          <w:rFonts w:ascii="Arial" w:eastAsia="MS Mincho" w:hAnsi="Arial" w:cs="Arial"/>
          <w:bCs/>
          <w:color w:val="000000"/>
          <w:sz w:val="20"/>
          <w:szCs w:val="20"/>
          <w:lang w:val="en-US"/>
        </w:rPr>
      </w:pPr>
      <w:r w:rsidRPr="00065804">
        <w:rPr>
          <w:rFonts w:ascii="Arial" w:eastAsia="MS Mincho" w:hAnsi="Arial" w:cs="Arial"/>
          <w:bCs/>
          <w:color w:val="000000"/>
          <w:sz w:val="20"/>
          <w:szCs w:val="20"/>
          <w:lang w:val="en-US"/>
        </w:rPr>
        <w:t>Number of branches/plant recorded significantly higher with application of 25-50-50 NPK kg/ha as compared to 12.5-25-25, 12.5-25-0 NPK kg/ha.</w:t>
      </w:r>
      <w:r w:rsidRPr="00065804">
        <w:rPr>
          <w:rFonts w:ascii="Arial" w:eastAsia="MS Mincho" w:hAnsi="Arial" w:cs="Arial"/>
          <w:color w:val="000000"/>
          <w:sz w:val="20"/>
          <w:szCs w:val="20"/>
          <w:lang w:val="en-US"/>
        </w:rPr>
        <w:t xml:space="preserve"> </w:t>
      </w:r>
      <w:r w:rsidRPr="00065804">
        <w:rPr>
          <w:rFonts w:ascii="Arial" w:eastAsia="MS Mincho" w:hAnsi="Arial" w:cs="Arial"/>
          <w:bCs/>
          <w:color w:val="000000"/>
          <w:sz w:val="20"/>
          <w:szCs w:val="20"/>
          <w:lang w:val="en-US"/>
        </w:rPr>
        <w:t>This abundant availability of nutrients in soil under higher fertilization resulted in enhanced rate of assimilation which was reflected in higher biomass.</w:t>
      </w:r>
      <w:r w:rsidRPr="00065804">
        <w:rPr>
          <w:rFonts w:ascii="Arial" w:eastAsia="Times New Roman" w:hAnsi="Arial" w:cs="Arial"/>
          <w:color w:val="000000"/>
          <w:sz w:val="20"/>
          <w:szCs w:val="20"/>
          <w:lang w:val="en-US"/>
        </w:rPr>
        <w:t xml:space="preserve"> These findings are in line of those reported by </w:t>
      </w:r>
      <w:r w:rsidRPr="00065804">
        <w:rPr>
          <w:rFonts w:ascii="Arial" w:eastAsia="Times New Roman" w:hAnsi="Arial" w:cs="Arial"/>
          <w:bCs/>
          <w:color w:val="000000"/>
          <w:sz w:val="20"/>
          <w:szCs w:val="20"/>
          <w:lang w:val="en-US"/>
        </w:rPr>
        <w:t>Joshi (2018).</w:t>
      </w:r>
      <w:r w:rsidRPr="00065804">
        <w:rPr>
          <w:rFonts w:ascii="Arial" w:eastAsia="MS Mincho" w:hAnsi="Arial" w:cs="Arial"/>
          <w:color w:val="000000"/>
          <w:sz w:val="20"/>
          <w:szCs w:val="20"/>
          <w:shd w:val="clear" w:color="auto" w:fill="FFFFFF"/>
          <w:lang w:val="en-US"/>
        </w:rPr>
        <w:t xml:space="preserve"> A</w:t>
      </w:r>
      <w:r w:rsidRPr="00065804">
        <w:rPr>
          <w:rFonts w:ascii="Arial" w:eastAsia="Times New Roman" w:hAnsi="Arial" w:cs="Arial"/>
          <w:color w:val="000000"/>
          <w:sz w:val="20"/>
          <w:szCs w:val="20"/>
          <w:shd w:val="clear" w:color="auto" w:fill="FFFFFF"/>
          <w:lang w:val="en-US" w:eastAsia="x-none" w:bidi="gu-IN"/>
        </w:rPr>
        <w:t xml:space="preserve">pplication of fertilizer at the rate of at the rate of 25-50-50 kg/ha </w:t>
      </w:r>
      <w:r w:rsidRPr="00065804">
        <w:rPr>
          <w:rFonts w:ascii="Arial" w:eastAsia="Times New Roman" w:hAnsi="Arial" w:cs="Arial"/>
          <w:bCs/>
          <w:color w:val="000000"/>
          <w:sz w:val="20"/>
          <w:szCs w:val="20"/>
          <w:shd w:val="clear" w:color="auto" w:fill="FFFFFF"/>
          <w:lang w:val="en-US" w:eastAsia="x-none" w:bidi="gu-IN"/>
        </w:rPr>
        <w:t>(</w:t>
      </w:r>
      <w:r w:rsidRPr="00065804">
        <w:rPr>
          <w:rFonts w:ascii="Arial" w:eastAsia="Times New Roman" w:hAnsi="Arial" w:cs="Arial"/>
          <w:color w:val="000000"/>
          <w:sz w:val="20"/>
          <w:szCs w:val="20"/>
          <w:shd w:val="clear" w:color="auto" w:fill="FFFFFF"/>
          <w:lang w:eastAsia="x-none" w:bidi="gu-IN"/>
        </w:rPr>
        <w:t>F</w:t>
      </w:r>
      <w:r w:rsidRPr="00065804">
        <w:rPr>
          <w:rFonts w:ascii="Arial" w:eastAsia="Times New Roman" w:hAnsi="Arial" w:cs="Arial"/>
          <w:color w:val="000000"/>
          <w:sz w:val="20"/>
          <w:szCs w:val="20"/>
          <w:shd w:val="clear" w:color="auto" w:fill="FFFFFF"/>
          <w:vertAlign w:val="subscript"/>
          <w:lang w:eastAsia="x-none" w:bidi="gu-IN"/>
        </w:rPr>
        <w:t>4</w:t>
      </w:r>
      <w:r w:rsidRPr="00065804">
        <w:rPr>
          <w:rFonts w:ascii="Arial" w:eastAsia="Times New Roman" w:hAnsi="Arial" w:cs="Arial"/>
          <w:bCs/>
          <w:color w:val="000000"/>
          <w:sz w:val="20"/>
          <w:szCs w:val="20"/>
          <w:shd w:val="clear" w:color="auto" w:fill="FFFFFF"/>
          <w:lang w:val="en-US" w:eastAsia="x-none" w:bidi="gu-IN"/>
        </w:rPr>
        <w:t xml:space="preserve">) </w:t>
      </w:r>
      <w:r w:rsidRPr="00065804">
        <w:rPr>
          <w:rFonts w:ascii="Arial" w:eastAsia="Times New Roman" w:hAnsi="Arial" w:cs="Arial"/>
          <w:color w:val="000000"/>
          <w:sz w:val="20"/>
          <w:szCs w:val="20"/>
          <w:shd w:val="clear" w:color="auto" w:fill="FFFFFF"/>
          <w:lang w:val="en-US" w:eastAsia="x-none" w:bidi="gu-IN"/>
        </w:rPr>
        <w:t xml:space="preserve">gave higher number of pods/plant (24.8). However, it was at par with application of NPK at the rate of 25-50-0 kg/ha </w:t>
      </w:r>
      <w:r w:rsidRPr="00065804">
        <w:rPr>
          <w:rFonts w:ascii="Arial" w:eastAsia="Times New Roman" w:hAnsi="Arial" w:cs="Arial"/>
          <w:bCs/>
          <w:color w:val="000000"/>
          <w:sz w:val="20"/>
          <w:szCs w:val="20"/>
          <w:shd w:val="clear" w:color="auto" w:fill="FFFFFF"/>
          <w:lang w:val="en-US" w:eastAsia="x-none" w:bidi="gu-IN"/>
        </w:rPr>
        <w:t>(</w:t>
      </w:r>
      <w:r w:rsidRPr="00065804">
        <w:rPr>
          <w:rFonts w:ascii="Arial" w:eastAsia="Times New Roman" w:hAnsi="Arial" w:cs="Arial"/>
          <w:color w:val="000000"/>
          <w:sz w:val="20"/>
          <w:szCs w:val="20"/>
          <w:shd w:val="clear" w:color="auto" w:fill="FFFFFF"/>
          <w:lang w:eastAsia="x-none" w:bidi="gu-IN"/>
        </w:rPr>
        <w:t>F</w:t>
      </w:r>
      <w:r w:rsidRPr="00065804">
        <w:rPr>
          <w:rFonts w:ascii="Arial" w:eastAsia="Times New Roman" w:hAnsi="Arial" w:cs="Arial"/>
          <w:color w:val="000000"/>
          <w:sz w:val="20"/>
          <w:szCs w:val="20"/>
          <w:shd w:val="clear" w:color="auto" w:fill="FFFFFF"/>
          <w:vertAlign w:val="subscript"/>
          <w:lang w:eastAsia="x-none" w:bidi="gu-IN"/>
        </w:rPr>
        <w:t>3</w:t>
      </w:r>
      <w:r w:rsidRPr="00065804">
        <w:rPr>
          <w:rFonts w:ascii="Arial" w:eastAsia="Times New Roman" w:hAnsi="Arial" w:cs="Arial"/>
          <w:bCs/>
          <w:color w:val="000000"/>
          <w:sz w:val="20"/>
          <w:szCs w:val="20"/>
          <w:shd w:val="clear" w:color="auto" w:fill="FFFFFF"/>
          <w:lang w:val="en-US" w:eastAsia="x-none" w:bidi="gu-IN"/>
        </w:rPr>
        <w:t>)</w:t>
      </w:r>
      <w:r w:rsidR="00B91C19">
        <w:rPr>
          <w:rFonts w:ascii="Arial" w:eastAsia="Times New Roman" w:hAnsi="Arial" w:cs="Arial"/>
          <w:color w:val="000000"/>
          <w:sz w:val="20"/>
          <w:szCs w:val="20"/>
          <w:shd w:val="clear" w:color="auto" w:fill="FFFFFF"/>
          <w:lang w:val="en-US" w:eastAsia="x-none" w:bidi="gu-IN"/>
        </w:rPr>
        <w:t>. F</w:t>
      </w:r>
      <w:r w:rsidRPr="00065804">
        <w:rPr>
          <w:rFonts w:ascii="Arial" w:eastAsia="Times New Roman" w:hAnsi="Arial" w:cs="Arial"/>
          <w:color w:val="000000"/>
          <w:sz w:val="20"/>
          <w:szCs w:val="20"/>
          <w:shd w:val="clear" w:color="auto" w:fill="FFFFFF"/>
          <w:lang w:val="en-US" w:eastAsia="x-none" w:bidi="gu-IN"/>
        </w:rPr>
        <w:t xml:space="preserve">indings are in conformity with those of Jaiswal (2018). </w:t>
      </w:r>
      <w:r w:rsidRPr="00065804">
        <w:rPr>
          <w:rFonts w:ascii="Arial" w:eastAsia="MS Mincho" w:hAnsi="Arial" w:cs="Arial"/>
          <w:bCs/>
          <w:color w:val="000000"/>
          <w:sz w:val="20"/>
          <w:szCs w:val="20"/>
          <w:lang w:val="en-US"/>
        </w:rPr>
        <w:t>Significantly higher pod yield and haulm yield was found with application of fertilizer at the rate of 25-50-50 kg/ha (</w:t>
      </w:r>
      <w:r w:rsidRPr="00065804">
        <w:rPr>
          <w:rFonts w:ascii="Arial" w:eastAsia="MS Mincho" w:hAnsi="Arial" w:cs="Arial"/>
          <w:color w:val="000000"/>
          <w:sz w:val="20"/>
          <w:szCs w:val="20"/>
          <w:lang w:eastAsia="en-IN"/>
        </w:rPr>
        <w:t>F</w:t>
      </w:r>
      <w:r w:rsidRPr="00065804">
        <w:rPr>
          <w:rFonts w:ascii="Arial" w:eastAsia="MS Mincho" w:hAnsi="Arial" w:cs="Arial"/>
          <w:color w:val="000000"/>
          <w:sz w:val="20"/>
          <w:szCs w:val="20"/>
          <w:vertAlign w:val="subscript"/>
          <w:lang w:eastAsia="en-IN"/>
        </w:rPr>
        <w:t>4</w:t>
      </w:r>
      <w:r w:rsidRPr="00065804">
        <w:rPr>
          <w:rFonts w:ascii="Arial" w:eastAsia="MS Mincho" w:hAnsi="Arial" w:cs="Arial"/>
          <w:bCs/>
          <w:color w:val="000000"/>
          <w:sz w:val="20"/>
          <w:szCs w:val="20"/>
          <w:lang w:val="en-US"/>
        </w:rPr>
        <w:t>). However, it was at par with application of NPK at the rate of 25-50-0 kg/ha (</w:t>
      </w:r>
      <w:r w:rsidRPr="00065804">
        <w:rPr>
          <w:rFonts w:ascii="Arial" w:eastAsia="MS Mincho" w:hAnsi="Arial" w:cs="Arial"/>
          <w:color w:val="000000"/>
          <w:sz w:val="20"/>
          <w:szCs w:val="20"/>
          <w:lang w:eastAsia="en-IN"/>
        </w:rPr>
        <w:t>F</w:t>
      </w:r>
      <w:r w:rsidRPr="00065804">
        <w:rPr>
          <w:rFonts w:ascii="Arial" w:eastAsia="MS Mincho" w:hAnsi="Arial" w:cs="Arial"/>
          <w:color w:val="000000"/>
          <w:sz w:val="20"/>
          <w:szCs w:val="20"/>
          <w:vertAlign w:val="subscript"/>
          <w:lang w:eastAsia="en-IN"/>
        </w:rPr>
        <w:t>3</w:t>
      </w:r>
      <w:r w:rsidRPr="00065804">
        <w:rPr>
          <w:rFonts w:ascii="Arial" w:eastAsia="MS Mincho" w:hAnsi="Arial" w:cs="Arial"/>
          <w:bCs/>
          <w:color w:val="000000"/>
          <w:sz w:val="20"/>
          <w:szCs w:val="20"/>
          <w:lang w:val="en-US"/>
        </w:rPr>
        <w:t xml:space="preserve">). </w:t>
      </w:r>
      <w:r>
        <w:rPr>
          <w:rFonts w:ascii="Arial" w:hAnsi="Arial" w:cs="Arial"/>
          <w:color w:val="1F243C"/>
          <w:sz w:val="21"/>
          <w:szCs w:val="21"/>
          <w:shd w:val="clear" w:color="auto" w:fill="FFFFFF"/>
        </w:rPr>
        <w:t xml:space="preserve">Pod yield and haulm yield saw an increase as the application of nutrients played a crucial role thanks to their synergistic effects and the enhancement of the soil environment, which fostered better plant growth. This improvement likely contributed to greater photosynthetic activity, resulting in enhanced yield attributes </w:t>
      </w:r>
      <w:r>
        <w:rPr>
          <w:rFonts w:ascii="Arial" w:hAnsi="Arial" w:cs="Arial"/>
          <w:color w:val="1F243C"/>
          <w:sz w:val="21"/>
          <w:szCs w:val="21"/>
          <w:shd w:val="clear" w:color="auto" w:fill="FFFFFF"/>
        </w:rPr>
        <w:lastRenderedPageBreak/>
        <w:t xml:space="preserve">and, consequently, higher pod and haulm yields. Jaiswal (2018) also reported similar findings. </w:t>
      </w:r>
    </w:p>
    <w:p w:rsidR="00F66B9C" w:rsidRPr="00065804" w:rsidRDefault="00F66B9C" w:rsidP="00F66B9C">
      <w:pPr>
        <w:numPr>
          <w:ilvl w:val="12"/>
          <w:numId w:val="0"/>
        </w:numPr>
        <w:spacing w:before="240" w:after="0" w:line="240" w:lineRule="auto"/>
        <w:jc w:val="both"/>
        <w:rPr>
          <w:rFonts w:ascii="Arial" w:eastAsia="MS Mincho" w:hAnsi="Arial" w:cs="Arial"/>
          <w:b/>
          <w:bCs/>
          <w:color w:val="000000"/>
          <w:sz w:val="24"/>
          <w:szCs w:val="24"/>
          <w:lang w:val="en-US"/>
        </w:rPr>
      </w:pPr>
      <w:r w:rsidRPr="00065804">
        <w:rPr>
          <w:rFonts w:ascii="Arial" w:eastAsia="MS Mincho" w:hAnsi="Arial" w:cs="Arial"/>
          <w:b/>
          <w:bCs/>
          <w:color w:val="000000"/>
          <w:sz w:val="24"/>
          <w:szCs w:val="24"/>
          <w:lang w:val="en-US"/>
        </w:rPr>
        <w:t>3.3 QUALITY PARAMETERS</w:t>
      </w:r>
    </w:p>
    <w:p w:rsidR="00B91C19" w:rsidRPr="00B91C19" w:rsidRDefault="00B91C19" w:rsidP="00B91C19">
      <w:pPr>
        <w:spacing w:before="120" w:after="0" w:line="240" w:lineRule="auto"/>
        <w:ind w:firstLine="720"/>
        <w:jc w:val="both"/>
        <w:rPr>
          <w:rFonts w:ascii="Arial" w:hAnsi="Arial" w:cs="Arial"/>
          <w:color w:val="1F243C"/>
          <w:sz w:val="21"/>
          <w:szCs w:val="21"/>
          <w:shd w:val="clear" w:color="auto" w:fill="FFFFFF"/>
        </w:rPr>
      </w:pPr>
      <w:r>
        <w:rPr>
          <w:rFonts w:ascii="Arial" w:hAnsi="Arial" w:cs="Arial"/>
          <w:color w:val="1F243C"/>
          <w:sz w:val="21"/>
          <w:szCs w:val="21"/>
          <w:shd w:val="clear" w:color="auto" w:fill="FFFFFF"/>
        </w:rPr>
        <w:t>E</w:t>
      </w:r>
      <w:r w:rsidRPr="00B91C19">
        <w:rPr>
          <w:rFonts w:ascii="Arial" w:hAnsi="Arial" w:cs="Arial"/>
          <w:color w:val="1F243C"/>
          <w:sz w:val="21"/>
          <w:szCs w:val="21"/>
          <w:shd w:val="clear" w:color="auto" w:fill="FFFFFF"/>
        </w:rPr>
        <w:t xml:space="preserve">ffect of spacing on oil content in groundnut kernels was not found </w:t>
      </w:r>
      <w:r>
        <w:rPr>
          <w:rFonts w:ascii="Arial" w:hAnsi="Arial" w:cs="Arial"/>
          <w:color w:val="1F243C"/>
          <w:sz w:val="21"/>
          <w:szCs w:val="21"/>
          <w:shd w:val="clear" w:color="auto" w:fill="FFFFFF"/>
        </w:rPr>
        <w:t xml:space="preserve">to be significant. However, </w:t>
      </w:r>
      <w:r w:rsidRPr="00B91C19">
        <w:rPr>
          <w:rFonts w:ascii="Arial" w:hAnsi="Arial" w:cs="Arial"/>
          <w:color w:val="1F243C"/>
          <w:sz w:val="21"/>
          <w:szCs w:val="21"/>
          <w:shd w:val="clear" w:color="auto" w:fill="FFFFFF"/>
        </w:rPr>
        <w:t>oil concentration was significantly greater at 60 cm spacing (49.8%), followe</w:t>
      </w:r>
      <w:r>
        <w:rPr>
          <w:rFonts w:ascii="Arial" w:hAnsi="Arial" w:cs="Arial"/>
          <w:color w:val="1F243C"/>
          <w:sz w:val="21"/>
          <w:szCs w:val="21"/>
          <w:shd w:val="clear" w:color="auto" w:fill="FFFFFF"/>
        </w:rPr>
        <w:t xml:space="preserve">d by 45 cm spacing (50.1%). Effect of spacing on </w:t>
      </w:r>
      <w:r w:rsidRPr="00B91C19">
        <w:rPr>
          <w:rFonts w:ascii="Arial" w:hAnsi="Arial" w:cs="Arial"/>
          <w:color w:val="1F243C"/>
          <w:sz w:val="21"/>
          <w:szCs w:val="21"/>
          <w:shd w:val="clear" w:color="auto" w:fill="FFFFFF"/>
        </w:rPr>
        <w:t>protein content of groundnut kernels was likewise declare</w:t>
      </w:r>
      <w:r>
        <w:rPr>
          <w:rFonts w:ascii="Arial" w:hAnsi="Arial" w:cs="Arial"/>
          <w:color w:val="1F243C"/>
          <w:sz w:val="21"/>
          <w:szCs w:val="21"/>
          <w:shd w:val="clear" w:color="auto" w:fill="FFFFFF"/>
        </w:rPr>
        <w:t xml:space="preserve">d non-significant. However, </w:t>
      </w:r>
      <w:r w:rsidRPr="00B91C19">
        <w:rPr>
          <w:rFonts w:ascii="Arial" w:hAnsi="Arial" w:cs="Arial"/>
          <w:color w:val="1F243C"/>
          <w:sz w:val="21"/>
          <w:szCs w:val="21"/>
          <w:shd w:val="clear" w:color="auto" w:fill="FFFFFF"/>
        </w:rPr>
        <w:t>higher protein content was recorded under 60 cm spacing (22.8%) compared to 45 cm spacing (22.1%).</w:t>
      </w:r>
    </w:p>
    <w:p w:rsidR="00F66B9C" w:rsidRDefault="00F66B9C" w:rsidP="00F66B9C">
      <w:pPr>
        <w:spacing w:before="120" w:after="0" w:line="240" w:lineRule="auto"/>
        <w:ind w:firstLine="720"/>
        <w:jc w:val="both"/>
        <w:rPr>
          <w:rFonts w:ascii="Arial" w:hAnsi="Arial" w:cs="Arial"/>
          <w:color w:val="1F243C"/>
          <w:sz w:val="21"/>
          <w:szCs w:val="21"/>
          <w:shd w:val="clear" w:color="auto" w:fill="FFFFFF"/>
        </w:rPr>
      </w:pPr>
      <w:r>
        <w:rPr>
          <w:rFonts w:ascii="Arial" w:hAnsi="Arial" w:cs="Arial"/>
          <w:color w:val="1F243C"/>
          <w:sz w:val="21"/>
          <w:szCs w:val="21"/>
          <w:shd w:val="clear" w:color="auto" w:fill="FFFFFF"/>
        </w:rPr>
        <w:t>Oil content of groundnut kernels remained non-significant across different fertilizer levels. Nevertheless, a numerically h</w:t>
      </w:r>
      <w:r w:rsidR="00B91C19">
        <w:rPr>
          <w:rFonts w:ascii="Arial" w:hAnsi="Arial" w:cs="Arial"/>
          <w:color w:val="1F243C"/>
          <w:sz w:val="21"/>
          <w:szCs w:val="21"/>
          <w:shd w:val="clear" w:color="auto" w:fill="FFFFFF"/>
        </w:rPr>
        <w:t xml:space="preserve">igher oil content (51.1%) was recorded with </w:t>
      </w:r>
      <w:r>
        <w:rPr>
          <w:rFonts w:ascii="Arial" w:hAnsi="Arial" w:cs="Arial"/>
          <w:color w:val="1F243C"/>
          <w:sz w:val="21"/>
          <w:szCs w:val="21"/>
          <w:shd w:val="clear" w:color="auto" w:fill="FFFFFF"/>
        </w:rPr>
        <w:t>application of NPK at 25-50-50 kg/ha (F</w:t>
      </w:r>
      <w:r w:rsidRPr="0089026E">
        <w:rPr>
          <w:rFonts w:ascii="Arial" w:hAnsi="Arial" w:cs="Arial"/>
          <w:color w:val="1F243C"/>
          <w:sz w:val="21"/>
          <w:szCs w:val="21"/>
          <w:shd w:val="clear" w:color="auto" w:fill="FFFFFF"/>
          <w:vertAlign w:val="subscript"/>
        </w:rPr>
        <w:t>4</w:t>
      </w:r>
      <w:r w:rsidR="00B91C19">
        <w:rPr>
          <w:rFonts w:ascii="Arial" w:hAnsi="Arial" w:cs="Arial"/>
          <w:color w:val="1F243C"/>
          <w:sz w:val="21"/>
          <w:szCs w:val="21"/>
          <w:shd w:val="clear" w:color="auto" w:fill="FFFFFF"/>
        </w:rPr>
        <w:t>). U</w:t>
      </w:r>
      <w:r>
        <w:rPr>
          <w:rFonts w:ascii="Arial" w:hAnsi="Arial" w:cs="Arial"/>
          <w:color w:val="1F243C"/>
          <w:sz w:val="21"/>
          <w:szCs w:val="21"/>
          <w:shd w:val="clear" w:color="auto" w:fill="FFFFFF"/>
        </w:rPr>
        <w:t>se of NPK at 25-50-50 kg/ha (F</w:t>
      </w:r>
      <w:r w:rsidRPr="0089026E">
        <w:rPr>
          <w:rFonts w:ascii="Arial" w:hAnsi="Arial" w:cs="Arial"/>
          <w:color w:val="1F243C"/>
          <w:sz w:val="21"/>
          <w:szCs w:val="21"/>
          <w:shd w:val="clear" w:color="auto" w:fill="FFFFFF"/>
          <w:vertAlign w:val="subscript"/>
        </w:rPr>
        <w:t>4</w:t>
      </w:r>
      <w:r>
        <w:rPr>
          <w:rFonts w:ascii="Arial" w:hAnsi="Arial" w:cs="Arial"/>
          <w:color w:val="1F243C"/>
          <w:sz w:val="21"/>
          <w:szCs w:val="21"/>
          <w:shd w:val="clear" w:color="auto" w:fill="FFFFFF"/>
        </w:rPr>
        <w:t>) resulted in significantly higher protein content (24.2%) compared to other levels, though it was similar to that of 25-50-0 kg/ha (F</w:t>
      </w:r>
      <w:r w:rsidRPr="0089026E">
        <w:rPr>
          <w:rFonts w:ascii="Arial" w:hAnsi="Arial" w:cs="Arial"/>
          <w:color w:val="1F243C"/>
          <w:sz w:val="21"/>
          <w:szCs w:val="21"/>
          <w:shd w:val="clear" w:color="auto" w:fill="FFFFFF"/>
          <w:vertAlign w:val="subscript"/>
        </w:rPr>
        <w:t>3</w:t>
      </w:r>
      <w:r>
        <w:rPr>
          <w:rFonts w:ascii="Arial" w:hAnsi="Arial" w:cs="Arial"/>
          <w:color w:val="1F243C"/>
          <w:sz w:val="21"/>
          <w:szCs w:val="21"/>
          <w:shd w:val="clear" w:color="auto" w:fill="FFFFFF"/>
        </w:rPr>
        <w:t xml:space="preserve">). This might be attributed to a high nitrogen supply, where a significant portion of photosynthesis may have been redirected to protein synthesis, potentially leading to a deficiency in carbohydrates needed for the breakdown into ‘acetyl co-enzyme A’ for fatty acid production. These findings align closely with those reported by </w:t>
      </w:r>
      <w:proofErr w:type="spellStart"/>
      <w:r>
        <w:rPr>
          <w:rFonts w:ascii="Arial" w:hAnsi="Arial" w:cs="Arial"/>
          <w:color w:val="1F243C"/>
          <w:sz w:val="21"/>
          <w:szCs w:val="21"/>
          <w:shd w:val="clear" w:color="auto" w:fill="FFFFFF"/>
        </w:rPr>
        <w:t>Palsande</w:t>
      </w:r>
      <w:proofErr w:type="spellEnd"/>
      <w:r>
        <w:rPr>
          <w:rFonts w:ascii="Arial" w:hAnsi="Arial" w:cs="Arial"/>
          <w:color w:val="1F243C"/>
          <w:sz w:val="21"/>
          <w:szCs w:val="21"/>
          <w:shd w:val="clear" w:color="auto" w:fill="FFFFFF"/>
        </w:rPr>
        <w:t xml:space="preserve"> (2019).</w:t>
      </w:r>
    </w:p>
    <w:p w:rsidR="00F66B9C" w:rsidRPr="00065804" w:rsidRDefault="00F66B9C" w:rsidP="00F66B9C">
      <w:pPr>
        <w:spacing w:before="120" w:after="0" w:line="240" w:lineRule="auto"/>
        <w:jc w:val="both"/>
        <w:rPr>
          <w:rFonts w:ascii="Arial" w:eastAsia="Times New Roman" w:hAnsi="Arial" w:cs="Arial"/>
          <w:b/>
          <w:bCs/>
          <w:color w:val="000000"/>
          <w:lang w:val="en-US" w:eastAsia="x-none" w:bidi="gu-IN"/>
        </w:rPr>
      </w:pPr>
      <w:r w:rsidRPr="00065804">
        <w:rPr>
          <w:rFonts w:ascii="Arial" w:eastAsia="Times New Roman" w:hAnsi="Arial" w:cs="Arial"/>
          <w:b/>
          <w:bCs/>
          <w:color w:val="000000"/>
          <w:lang w:val="en-US" w:eastAsia="x-none" w:bidi="gu-IN"/>
        </w:rPr>
        <w:t>3.4 ECONOMICS:</w:t>
      </w:r>
    </w:p>
    <w:p w:rsidR="00FB7C31" w:rsidRDefault="00FB7C31" w:rsidP="00FB7C31">
      <w:pPr>
        <w:spacing w:before="120" w:after="0" w:line="240" w:lineRule="auto"/>
        <w:ind w:firstLine="360"/>
        <w:jc w:val="both"/>
        <w:rPr>
          <w:rFonts w:ascii="Arial" w:eastAsia="Times New Roman" w:hAnsi="Arial" w:cs="Arial"/>
          <w:bCs/>
          <w:color w:val="000000"/>
          <w:sz w:val="20"/>
          <w:szCs w:val="20"/>
          <w:lang w:eastAsia="x-none" w:bidi="gu-IN"/>
        </w:rPr>
      </w:pPr>
      <w:r>
        <w:rPr>
          <w:rFonts w:ascii="Arial" w:eastAsia="Times New Roman" w:hAnsi="Arial" w:cs="Arial"/>
          <w:bCs/>
          <w:color w:val="000000"/>
          <w:sz w:val="20"/>
          <w:szCs w:val="20"/>
          <w:lang w:eastAsia="x-none" w:bidi="gu-IN"/>
        </w:rPr>
        <w:t>Data</w:t>
      </w:r>
      <w:r w:rsidR="00F66B9C">
        <w:rPr>
          <w:rFonts w:ascii="Arial" w:eastAsia="Times New Roman" w:hAnsi="Arial" w:cs="Arial"/>
          <w:bCs/>
          <w:color w:val="000000"/>
          <w:sz w:val="20"/>
          <w:szCs w:val="20"/>
          <w:lang w:eastAsia="x-none" w:bidi="gu-IN"/>
        </w:rPr>
        <w:t xml:space="preserve"> in Table </w:t>
      </w:r>
      <w:r w:rsidR="00F66B9C" w:rsidRPr="00065804">
        <w:rPr>
          <w:rFonts w:ascii="Arial" w:eastAsia="Times New Roman" w:hAnsi="Arial" w:cs="Arial"/>
          <w:bCs/>
          <w:color w:val="000000"/>
          <w:sz w:val="20"/>
          <w:szCs w:val="20"/>
          <w:lang w:eastAsia="x-none" w:bidi="gu-IN"/>
        </w:rPr>
        <w:t>2 clearly indicate that highest net returns (₹83,823 /ha) were obtained with 60 cm spacing (S</w:t>
      </w:r>
      <w:r w:rsidRPr="00FB7C31">
        <w:rPr>
          <w:rFonts w:ascii="Arial" w:eastAsia="Times New Roman" w:hAnsi="Arial" w:cs="Arial"/>
          <w:bCs/>
          <w:color w:val="000000"/>
          <w:sz w:val="20"/>
          <w:szCs w:val="20"/>
          <w:vertAlign w:val="subscript"/>
          <w:lang w:eastAsia="x-none" w:bidi="gu-IN"/>
        </w:rPr>
        <w:t>2</w:t>
      </w:r>
      <w:r w:rsidR="00F66B9C" w:rsidRPr="00065804">
        <w:rPr>
          <w:rFonts w:ascii="Arial" w:eastAsia="Times New Roman" w:hAnsi="Arial" w:cs="Arial"/>
          <w:bCs/>
          <w:color w:val="000000"/>
          <w:sz w:val="20"/>
          <w:szCs w:val="20"/>
          <w:lang w:eastAsia="x-none" w:bidi="gu-IN"/>
        </w:rPr>
        <w:t>), which was superior to 45 cm spacing (S</w:t>
      </w:r>
      <w:r w:rsidRPr="00FB7C31">
        <w:rPr>
          <w:rFonts w:ascii="Arial" w:eastAsia="Times New Roman" w:hAnsi="Arial" w:cs="Arial"/>
          <w:bCs/>
          <w:color w:val="000000"/>
          <w:sz w:val="20"/>
          <w:szCs w:val="20"/>
          <w:vertAlign w:val="subscript"/>
          <w:lang w:eastAsia="x-none" w:bidi="gu-IN"/>
        </w:rPr>
        <w:t>1</w:t>
      </w:r>
      <w:r w:rsidR="00F66B9C" w:rsidRPr="00065804">
        <w:rPr>
          <w:rFonts w:ascii="Arial" w:eastAsia="Times New Roman" w:hAnsi="Arial" w:cs="Arial"/>
          <w:bCs/>
          <w:color w:val="000000"/>
          <w:sz w:val="20"/>
          <w:szCs w:val="20"/>
          <w:lang w:eastAsia="x-none" w:bidi="gu-IN"/>
        </w:rPr>
        <w:t xml:space="preserve">). </w:t>
      </w:r>
      <w:r>
        <w:rPr>
          <w:rFonts w:ascii="Arial" w:eastAsia="Times New Roman" w:hAnsi="Arial" w:cs="Arial"/>
          <w:bCs/>
          <w:color w:val="000000"/>
          <w:sz w:val="20"/>
          <w:szCs w:val="20"/>
          <w:lang w:eastAsia="x-none" w:bidi="gu-IN"/>
        </w:rPr>
        <w:t>In same way,</w:t>
      </w:r>
      <w:r w:rsidRPr="00FB7C31">
        <w:rPr>
          <w:rFonts w:ascii="Arial" w:eastAsia="Times New Roman" w:hAnsi="Arial" w:cs="Arial"/>
          <w:bCs/>
          <w:color w:val="000000"/>
          <w:sz w:val="20"/>
          <w:szCs w:val="20"/>
          <w:lang w:eastAsia="x-none" w:bidi="gu-IN"/>
        </w:rPr>
        <w:t xml:space="preserve"> benefit-cost ratio was higher at 60 cm spacing (1.83) than at 45 cm spacing</w:t>
      </w:r>
      <w:r>
        <w:rPr>
          <w:rFonts w:ascii="Arial" w:eastAsia="Times New Roman" w:hAnsi="Arial" w:cs="Arial"/>
          <w:bCs/>
          <w:color w:val="000000"/>
          <w:sz w:val="20"/>
          <w:szCs w:val="20"/>
          <w:lang w:eastAsia="x-none" w:bidi="gu-IN"/>
        </w:rPr>
        <w:t>.</w:t>
      </w:r>
      <w:r w:rsidRPr="00FB7C31">
        <w:t xml:space="preserve"> </w:t>
      </w:r>
      <w:r w:rsidRPr="00FB7C31">
        <w:rPr>
          <w:rFonts w:ascii="Arial" w:eastAsia="Times New Roman" w:hAnsi="Arial" w:cs="Arial"/>
          <w:bCs/>
          <w:color w:val="000000"/>
          <w:sz w:val="20"/>
          <w:szCs w:val="20"/>
          <w:lang w:eastAsia="x-none" w:bidi="gu-IN"/>
        </w:rPr>
        <w:t>Economic analysis revealed that wider row spacing (60 cm) resulted in increased net realization and B:C ratio in groundnut, which may be attributed to higher pod yield achieved under this spacing.</w:t>
      </w:r>
    </w:p>
    <w:p w:rsidR="00F66B9C" w:rsidRPr="00065804" w:rsidRDefault="00FB7C31" w:rsidP="00FB7C31">
      <w:pPr>
        <w:spacing w:before="120" w:after="0" w:line="240" w:lineRule="auto"/>
        <w:ind w:firstLine="360"/>
        <w:jc w:val="both"/>
        <w:rPr>
          <w:rFonts w:ascii="Arial" w:eastAsia="Times New Roman" w:hAnsi="Arial" w:cs="Arial"/>
          <w:bCs/>
          <w:color w:val="000000"/>
          <w:sz w:val="20"/>
          <w:szCs w:val="20"/>
          <w:lang w:eastAsia="x-none" w:bidi="gu-IN"/>
        </w:rPr>
      </w:pPr>
      <w:r w:rsidRPr="00FB7C31">
        <w:rPr>
          <w:rFonts w:ascii="Arial" w:eastAsia="Times New Roman" w:hAnsi="Arial" w:cs="Arial"/>
          <w:bCs/>
          <w:color w:val="000000"/>
          <w:sz w:val="20"/>
          <w:szCs w:val="20"/>
          <w:lang w:eastAsia="x-none" w:bidi="gu-IN"/>
        </w:rPr>
        <w:t>As Table 2 shows, a significant increase in net returns was also noted</w:t>
      </w:r>
      <w:r w:rsidR="003044C2">
        <w:rPr>
          <w:rFonts w:ascii="Arial" w:eastAsia="Times New Roman" w:hAnsi="Arial" w:cs="Arial"/>
          <w:bCs/>
          <w:color w:val="000000"/>
          <w:sz w:val="20"/>
          <w:szCs w:val="20"/>
          <w:lang w:eastAsia="x-none" w:bidi="gu-IN"/>
        </w:rPr>
        <w:t xml:space="preserve"> with varying fertilizer levels. A</w:t>
      </w:r>
      <w:r w:rsidRPr="00FB7C31">
        <w:rPr>
          <w:rFonts w:ascii="Arial" w:eastAsia="Times New Roman" w:hAnsi="Arial" w:cs="Arial"/>
          <w:bCs/>
          <w:color w:val="000000"/>
          <w:sz w:val="20"/>
          <w:szCs w:val="20"/>
          <w:lang w:eastAsia="x-none" w:bidi="gu-IN"/>
        </w:rPr>
        <w:t>pplication of 25-50-50 kg NPK/ha yielded the highest net return (₹81,175/ha). However, using 25-50-0 kg NPK/ha produced the highest benefit-cost ratio (1.79).</w:t>
      </w:r>
      <w:r>
        <w:rPr>
          <w:rFonts w:ascii="Arial" w:eastAsia="Times New Roman" w:hAnsi="Arial" w:cs="Arial"/>
          <w:bCs/>
          <w:color w:val="000000"/>
          <w:sz w:val="20"/>
          <w:szCs w:val="20"/>
          <w:lang w:eastAsia="x-none" w:bidi="gu-IN"/>
        </w:rPr>
        <w:t xml:space="preserve"> </w:t>
      </w:r>
      <w:r w:rsidR="00F66B9C" w:rsidRPr="00065804">
        <w:rPr>
          <w:rFonts w:ascii="Arial" w:eastAsia="Times New Roman" w:hAnsi="Arial" w:cs="Arial"/>
          <w:bCs/>
          <w:color w:val="000000"/>
          <w:sz w:val="20"/>
          <w:szCs w:val="20"/>
          <w:lang w:eastAsia="x-none" w:bidi="gu-IN"/>
        </w:rPr>
        <w:t xml:space="preserve">Increase in economic returns could be due to enhanced yield resulting from higher fertilizer application levels. These findings are in accordance with results reported by </w:t>
      </w:r>
      <w:proofErr w:type="spellStart"/>
      <w:r w:rsidR="00F66B9C" w:rsidRPr="00065804">
        <w:rPr>
          <w:rFonts w:ascii="Arial" w:eastAsia="Times New Roman" w:hAnsi="Arial" w:cs="Arial"/>
          <w:bCs/>
          <w:color w:val="000000"/>
          <w:sz w:val="20"/>
          <w:szCs w:val="20"/>
          <w:lang w:eastAsia="x-none" w:bidi="gu-IN"/>
        </w:rPr>
        <w:t>Waghmode</w:t>
      </w:r>
      <w:proofErr w:type="spellEnd"/>
      <w:r w:rsidR="00F66B9C" w:rsidRPr="00065804">
        <w:rPr>
          <w:rFonts w:ascii="Arial" w:eastAsia="Times New Roman" w:hAnsi="Arial" w:cs="Arial"/>
          <w:bCs/>
          <w:color w:val="000000"/>
          <w:sz w:val="20"/>
          <w:szCs w:val="20"/>
          <w:lang w:eastAsia="x-none" w:bidi="gu-IN"/>
        </w:rPr>
        <w:t xml:space="preserve"> (2017).</w:t>
      </w:r>
    </w:p>
    <w:p w:rsidR="00F66B9C" w:rsidRDefault="00F66B9C" w:rsidP="00F66B9C">
      <w:pPr>
        <w:spacing w:after="0" w:line="240" w:lineRule="auto"/>
        <w:jc w:val="both"/>
        <w:rPr>
          <w:rFonts w:ascii="Arial" w:eastAsia="Times New Roman" w:hAnsi="Arial" w:cs="Arial"/>
          <w:b/>
          <w:color w:val="000000"/>
          <w:sz w:val="24"/>
          <w:szCs w:val="24"/>
          <w:lang w:val="en-US" w:eastAsia="x-none" w:bidi="gu-IN"/>
        </w:rPr>
      </w:pPr>
    </w:p>
    <w:p w:rsidR="00F66B9C" w:rsidRPr="00065804" w:rsidRDefault="00F66B9C" w:rsidP="00F66B9C">
      <w:pPr>
        <w:spacing w:after="0" w:line="240" w:lineRule="auto"/>
        <w:jc w:val="both"/>
        <w:rPr>
          <w:rFonts w:ascii="Arial" w:eastAsia="Times New Roman" w:hAnsi="Arial" w:cs="Arial"/>
          <w:b/>
          <w:color w:val="000000"/>
          <w:sz w:val="24"/>
          <w:szCs w:val="24"/>
          <w:lang w:val="en-US" w:eastAsia="x-none" w:bidi="gu-IN"/>
        </w:rPr>
      </w:pPr>
      <w:r w:rsidRPr="00065804">
        <w:rPr>
          <w:rFonts w:ascii="Arial" w:eastAsia="Times New Roman" w:hAnsi="Arial" w:cs="Arial"/>
          <w:b/>
          <w:color w:val="000000"/>
          <w:sz w:val="24"/>
          <w:szCs w:val="24"/>
          <w:lang w:val="en-US" w:eastAsia="x-none" w:bidi="gu-IN"/>
        </w:rPr>
        <w:t>4. CONCLUSION</w:t>
      </w:r>
    </w:p>
    <w:p w:rsidR="003044C2" w:rsidRPr="003044C2" w:rsidRDefault="003044C2" w:rsidP="003044C2">
      <w:pPr>
        <w:spacing w:line="240" w:lineRule="auto"/>
        <w:ind w:firstLine="720"/>
        <w:jc w:val="both"/>
        <w:rPr>
          <w:rFonts w:ascii="Arial" w:eastAsia="MS Mincho" w:hAnsi="Arial" w:cs="Arial"/>
          <w:bCs/>
          <w:color w:val="000000"/>
          <w:sz w:val="20"/>
          <w:szCs w:val="20"/>
        </w:rPr>
      </w:pPr>
      <w:r w:rsidRPr="003044C2">
        <w:rPr>
          <w:rFonts w:ascii="Arial" w:eastAsia="MS Mincho" w:hAnsi="Arial" w:cs="Arial"/>
          <w:bCs/>
          <w:color w:val="000000"/>
          <w:sz w:val="20"/>
          <w:szCs w:val="20"/>
        </w:rPr>
        <w:t>Therefore, the current study concludes that kharif groundnut (GG 34) should be sown at a distance of 60 cm to ensure higher growth and yield. Applying 25-50-50 NPK kg/ha should result in a higher yield.</w:t>
      </w:r>
    </w:p>
    <w:p w:rsidR="00F66B9C" w:rsidRDefault="00F66B9C" w:rsidP="00F66B9C">
      <w:pPr>
        <w:spacing w:line="240" w:lineRule="auto"/>
        <w:jc w:val="both"/>
        <w:rPr>
          <w:rFonts w:ascii="Arial" w:eastAsia="MS Mincho" w:hAnsi="Arial" w:cs="Arial"/>
          <w:bCs/>
          <w:color w:val="000000"/>
          <w:sz w:val="20"/>
          <w:szCs w:val="20"/>
          <w:lang w:val="en-US"/>
        </w:rPr>
      </w:pPr>
    </w:p>
    <w:p w:rsidR="00F66B9C" w:rsidRDefault="00F66B9C" w:rsidP="00F66B9C">
      <w:pPr>
        <w:spacing w:line="240" w:lineRule="auto"/>
        <w:jc w:val="both"/>
        <w:rPr>
          <w:rFonts w:ascii="Arial" w:eastAsia="MS Mincho" w:hAnsi="Arial" w:cs="Arial"/>
          <w:bCs/>
          <w:color w:val="000000"/>
          <w:sz w:val="20"/>
          <w:szCs w:val="20"/>
          <w:lang w:val="en-US"/>
        </w:rPr>
      </w:pPr>
    </w:p>
    <w:p w:rsidR="00F66B9C" w:rsidRDefault="00F66B9C" w:rsidP="00F66B9C">
      <w:pPr>
        <w:spacing w:line="240" w:lineRule="auto"/>
        <w:jc w:val="both"/>
        <w:rPr>
          <w:rFonts w:ascii="Arial" w:eastAsia="MS Mincho" w:hAnsi="Arial" w:cs="Arial"/>
          <w:bCs/>
          <w:color w:val="000000"/>
          <w:sz w:val="20"/>
          <w:szCs w:val="20"/>
          <w:lang w:val="en-US"/>
        </w:rPr>
      </w:pPr>
    </w:p>
    <w:p w:rsidR="00F66B9C" w:rsidRDefault="00F66B9C" w:rsidP="00F66B9C">
      <w:pPr>
        <w:spacing w:line="240" w:lineRule="auto"/>
        <w:jc w:val="both"/>
        <w:rPr>
          <w:rFonts w:ascii="Arial" w:eastAsia="MS Mincho" w:hAnsi="Arial" w:cs="Arial"/>
          <w:bCs/>
          <w:color w:val="000000"/>
          <w:sz w:val="20"/>
          <w:szCs w:val="20"/>
          <w:lang w:val="en-US"/>
        </w:rPr>
      </w:pPr>
    </w:p>
    <w:p w:rsidR="00F66B9C" w:rsidRDefault="00F66B9C" w:rsidP="00F66B9C">
      <w:pPr>
        <w:spacing w:line="240" w:lineRule="auto"/>
        <w:jc w:val="both"/>
        <w:rPr>
          <w:rFonts w:ascii="Arial" w:eastAsia="MS Mincho" w:hAnsi="Arial" w:cs="Arial"/>
          <w:bCs/>
          <w:color w:val="000000"/>
          <w:sz w:val="20"/>
          <w:szCs w:val="20"/>
          <w:lang w:val="en-US"/>
        </w:rPr>
      </w:pPr>
    </w:p>
    <w:p w:rsidR="00F66B9C" w:rsidRDefault="00F66B9C" w:rsidP="00F66B9C">
      <w:pPr>
        <w:spacing w:line="240" w:lineRule="auto"/>
        <w:jc w:val="both"/>
        <w:rPr>
          <w:rFonts w:ascii="Arial" w:eastAsia="MS Mincho" w:hAnsi="Arial" w:cs="Arial"/>
          <w:bCs/>
          <w:color w:val="000000"/>
          <w:sz w:val="20"/>
          <w:szCs w:val="20"/>
          <w:lang w:val="en-US"/>
        </w:rPr>
      </w:pPr>
    </w:p>
    <w:p w:rsidR="00F66B9C" w:rsidRDefault="00F66B9C" w:rsidP="00F66B9C">
      <w:pPr>
        <w:spacing w:line="240" w:lineRule="auto"/>
        <w:jc w:val="both"/>
        <w:rPr>
          <w:rFonts w:ascii="Arial" w:eastAsia="MS Mincho" w:hAnsi="Arial" w:cs="Arial"/>
          <w:bCs/>
          <w:color w:val="000000"/>
          <w:sz w:val="20"/>
          <w:szCs w:val="20"/>
          <w:lang w:val="en-US"/>
        </w:rPr>
      </w:pPr>
    </w:p>
    <w:p w:rsidR="00F66B9C" w:rsidRDefault="00F66B9C" w:rsidP="00F66B9C">
      <w:pPr>
        <w:spacing w:line="240" w:lineRule="auto"/>
        <w:jc w:val="both"/>
        <w:rPr>
          <w:rFonts w:ascii="Arial" w:eastAsia="MS Mincho" w:hAnsi="Arial" w:cs="Arial"/>
          <w:bCs/>
          <w:color w:val="000000"/>
          <w:sz w:val="20"/>
          <w:szCs w:val="20"/>
          <w:lang w:val="en-US"/>
        </w:rPr>
      </w:pPr>
    </w:p>
    <w:p w:rsidR="00F66B9C" w:rsidRDefault="00F66B9C" w:rsidP="00F66B9C">
      <w:pPr>
        <w:spacing w:line="240" w:lineRule="auto"/>
        <w:jc w:val="both"/>
        <w:rPr>
          <w:rFonts w:ascii="Arial" w:eastAsia="MS Mincho" w:hAnsi="Arial" w:cs="Arial"/>
          <w:bCs/>
          <w:color w:val="000000"/>
          <w:sz w:val="20"/>
          <w:szCs w:val="20"/>
          <w:lang w:val="en-US"/>
        </w:rPr>
      </w:pPr>
    </w:p>
    <w:p w:rsidR="00F66B9C" w:rsidRDefault="00F66B9C" w:rsidP="00F66B9C">
      <w:pPr>
        <w:spacing w:after="0" w:line="360" w:lineRule="auto"/>
        <w:rPr>
          <w:rFonts w:ascii="Arial" w:eastAsia="MS Mincho" w:hAnsi="Arial" w:cs="Arial"/>
          <w:bCs/>
          <w:color w:val="000000"/>
          <w:sz w:val="20"/>
          <w:szCs w:val="20"/>
          <w:lang w:val="en-US"/>
        </w:rPr>
      </w:pPr>
    </w:p>
    <w:p w:rsidR="003044C2" w:rsidRDefault="003044C2" w:rsidP="00F66B9C">
      <w:pPr>
        <w:spacing w:after="0" w:line="360" w:lineRule="auto"/>
        <w:rPr>
          <w:rFonts w:ascii="Arial" w:hAnsi="Arial" w:cs="Arial"/>
          <w:b/>
          <w:color w:val="000000" w:themeColor="text1"/>
        </w:rPr>
      </w:pPr>
    </w:p>
    <w:p w:rsidR="00F66B9C" w:rsidRPr="00433520" w:rsidRDefault="00F66B9C" w:rsidP="00F66B9C">
      <w:pPr>
        <w:spacing w:after="0" w:line="360" w:lineRule="auto"/>
        <w:rPr>
          <w:rFonts w:ascii="Arial" w:hAnsi="Arial" w:cs="Arial"/>
          <w:b/>
          <w:color w:val="000000" w:themeColor="text1"/>
        </w:rPr>
      </w:pPr>
      <w:r w:rsidRPr="00433520">
        <w:rPr>
          <w:rFonts w:ascii="Arial" w:hAnsi="Arial" w:cs="Arial"/>
          <w:b/>
          <w:color w:val="000000" w:themeColor="text1"/>
        </w:rPr>
        <w:t xml:space="preserve">Table 1. Growth, yield attributes and yield affected by spacing and </w:t>
      </w:r>
      <w:r>
        <w:rPr>
          <w:rFonts w:ascii="Arial" w:hAnsi="Arial" w:cs="Arial"/>
          <w:b/>
          <w:color w:val="000000" w:themeColor="text1"/>
        </w:rPr>
        <w:t>fertilizer</w:t>
      </w:r>
      <w:r>
        <w:rPr>
          <w:rFonts w:ascii="Arial" w:hAnsi="Arial" w:cs="Arial"/>
          <w:b/>
          <w:color w:val="000000" w:themeColor="text1"/>
        </w:rPr>
        <w:tab/>
        <w:t xml:space="preserve">   </w:t>
      </w:r>
      <w:r w:rsidRPr="00433520">
        <w:rPr>
          <w:rFonts w:ascii="Arial" w:hAnsi="Arial" w:cs="Arial"/>
          <w:b/>
          <w:color w:val="000000" w:themeColor="text1"/>
        </w:rPr>
        <w:t>levels</w:t>
      </w:r>
    </w:p>
    <w:tbl>
      <w:tblPr>
        <w:tblStyle w:val="TableGrid"/>
        <w:tblW w:w="5000" w:type="pct"/>
        <w:tblLayout w:type="fixed"/>
        <w:tblLook w:val="04A0" w:firstRow="1" w:lastRow="0" w:firstColumn="1" w:lastColumn="0" w:noHBand="0" w:noVBand="1"/>
      </w:tblPr>
      <w:tblGrid>
        <w:gridCol w:w="873"/>
        <w:gridCol w:w="872"/>
        <w:gridCol w:w="487"/>
        <w:gridCol w:w="487"/>
        <w:gridCol w:w="673"/>
        <w:gridCol w:w="996"/>
        <w:gridCol w:w="710"/>
        <w:gridCol w:w="789"/>
        <w:gridCol w:w="608"/>
        <w:gridCol w:w="682"/>
        <w:gridCol w:w="681"/>
      </w:tblGrid>
      <w:tr w:rsidR="00F66B9C" w:rsidRPr="00887429" w:rsidTr="00A81157">
        <w:tc>
          <w:tcPr>
            <w:tcW w:w="555" w:type="pct"/>
            <w:vMerge w:val="restart"/>
            <w:vAlign w:val="center"/>
          </w:tcPr>
          <w:p w:rsidR="00F66B9C" w:rsidRPr="00433520" w:rsidRDefault="00F66B9C" w:rsidP="00A81157">
            <w:pPr>
              <w:tabs>
                <w:tab w:val="left" w:pos="971"/>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Treatment</w:t>
            </w:r>
          </w:p>
        </w:tc>
        <w:tc>
          <w:tcPr>
            <w:tcW w:w="555" w:type="pct"/>
            <w:vMerge w:val="restart"/>
            <w:vAlign w:val="center"/>
          </w:tcPr>
          <w:p w:rsidR="00F66B9C" w:rsidRPr="00433520" w:rsidRDefault="00F66B9C" w:rsidP="00A81157">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Plant population (per meter row length)</w:t>
            </w:r>
          </w:p>
        </w:tc>
        <w:tc>
          <w:tcPr>
            <w:tcW w:w="1048" w:type="pct"/>
            <w:gridSpan w:val="3"/>
            <w:vAlign w:val="center"/>
          </w:tcPr>
          <w:p w:rsidR="00F66B9C" w:rsidRPr="00433520" w:rsidRDefault="00F66B9C" w:rsidP="00A81157">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Plant height (cm)</w:t>
            </w:r>
          </w:p>
        </w:tc>
        <w:tc>
          <w:tcPr>
            <w:tcW w:w="634" w:type="pct"/>
            <w:vMerge w:val="restart"/>
            <w:vAlign w:val="center"/>
          </w:tcPr>
          <w:p w:rsidR="00F66B9C" w:rsidRPr="00433520" w:rsidRDefault="00F66B9C" w:rsidP="00A81157">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Number of branches/plant</w:t>
            </w:r>
          </w:p>
        </w:tc>
        <w:tc>
          <w:tcPr>
            <w:tcW w:w="452" w:type="pct"/>
            <w:vMerge w:val="restart"/>
            <w:vAlign w:val="center"/>
          </w:tcPr>
          <w:p w:rsidR="00F66B9C" w:rsidRPr="00433520" w:rsidRDefault="00F66B9C" w:rsidP="00A81157">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No. of pods/plant</w:t>
            </w:r>
          </w:p>
        </w:tc>
        <w:tc>
          <w:tcPr>
            <w:tcW w:w="889" w:type="pct"/>
            <w:gridSpan w:val="2"/>
            <w:vAlign w:val="center"/>
          </w:tcPr>
          <w:p w:rsidR="00F66B9C" w:rsidRPr="00433520" w:rsidRDefault="00F66B9C" w:rsidP="00A81157">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Yield (kg/ha)</w:t>
            </w:r>
          </w:p>
        </w:tc>
        <w:tc>
          <w:tcPr>
            <w:tcW w:w="434" w:type="pct"/>
            <w:vMerge w:val="restart"/>
            <w:vAlign w:val="center"/>
          </w:tcPr>
          <w:p w:rsidR="00F66B9C" w:rsidRPr="00433520" w:rsidRDefault="00F66B9C" w:rsidP="00A81157">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Oil content (%)</w:t>
            </w:r>
          </w:p>
        </w:tc>
        <w:tc>
          <w:tcPr>
            <w:tcW w:w="433" w:type="pct"/>
            <w:vMerge w:val="restart"/>
            <w:vAlign w:val="center"/>
          </w:tcPr>
          <w:p w:rsidR="00F66B9C" w:rsidRPr="00433520" w:rsidRDefault="00F66B9C" w:rsidP="00A81157">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Protein content (%)</w:t>
            </w:r>
          </w:p>
        </w:tc>
      </w:tr>
      <w:tr w:rsidR="00F66B9C" w:rsidRPr="00887429" w:rsidTr="00A81157">
        <w:trPr>
          <w:trHeight w:val="215"/>
        </w:trPr>
        <w:tc>
          <w:tcPr>
            <w:tcW w:w="555" w:type="pct"/>
            <w:vMerge/>
          </w:tcPr>
          <w:p w:rsidR="00F66B9C" w:rsidRPr="00433520" w:rsidRDefault="00F66B9C" w:rsidP="00A81157">
            <w:pPr>
              <w:tabs>
                <w:tab w:val="left" w:pos="971"/>
                <w:tab w:val="left" w:pos="8100"/>
              </w:tabs>
              <w:jc w:val="center"/>
              <w:rPr>
                <w:rFonts w:ascii="Arial" w:hAnsi="Arial" w:cs="Arial"/>
                <w:b/>
                <w:bCs/>
                <w:color w:val="000000" w:themeColor="text1"/>
                <w:sz w:val="16"/>
                <w:szCs w:val="18"/>
              </w:rPr>
            </w:pPr>
          </w:p>
        </w:tc>
        <w:tc>
          <w:tcPr>
            <w:tcW w:w="555" w:type="pct"/>
            <w:vMerge/>
          </w:tcPr>
          <w:p w:rsidR="00F66B9C" w:rsidRPr="00433520" w:rsidRDefault="00F66B9C" w:rsidP="00A81157">
            <w:pPr>
              <w:tabs>
                <w:tab w:val="left" w:pos="8100"/>
              </w:tabs>
              <w:jc w:val="center"/>
              <w:rPr>
                <w:rFonts w:ascii="Arial" w:hAnsi="Arial" w:cs="Arial"/>
                <w:b/>
                <w:bCs/>
                <w:color w:val="000000" w:themeColor="text1"/>
                <w:sz w:val="16"/>
                <w:szCs w:val="18"/>
              </w:rPr>
            </w:pP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b/>
                <w:bCs/>
                <w:color w:val="000000" w:themeColor="text1"/>
                <w:sz w:val="16"/>
                <w:szCs w:val="18"/>
              </w:rPr>
              <w:t>30 DAS</w:t>
            </w:r>
          </w:p>
        </w:tc>
        <w:tc>
          <w:tcPr>
            <w:tcW w:w="310" w:type="pct"/>
            <w:vAlign w:val="center"/>
          </w:tcPr>
          <w:p w:rsidR="00F66B9C" w:rsidRPr="00433520" w:rsidRDefault="00F66B9C" w:rsidP="00A81157">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60 DAS</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b/>
                <w:bCs/>
                <w:color w:val="000000" w:themeColor="text1"/>
                <w:sz w:val="16"/>
                <w:szCs w:val="18"/>
              </w:rPr>
              <w:t>At harvest</w:t>
            </w:r>
          </w:p>
        </w:tc>
        <w:tc>
          <w:tcPr>
            <w:tcW w:w="634" w:type="pct"/>
            <w:vMerge/>
          </w:tcPr>
          <w:p w:rsidR="00F66B9C" w:rsidRPr="00433520" w:rsidRDefault="00F66B9C" w:rsidP="00A81157">
            <w:pPr>
              <w:tabs>
                <w:tab w:val="left" w:pos="8100"/>
              </w:tabs>
              <w:jc w:val="center"/>
              <w:rPr>
                <w:rFonts w:ascii="Arial" w:hAnsi="Arial" w:cs="Arial"/>
                <w:b/>
                <w:bCs/>
                <w:color w:val="000000" w:themeColor="text1"/>
                <w:sz w:val="16"/>
                <w:szCs w:val="18"/>
              </w:rPr>
            </w:pPr>
          </w:p>
        </w:tc>
        <w:tc>
          <w:tcPr>
            <w:tcW w:w="452" w:type="pct"/>
            <w:vMerge/>
          </w:tcPr>
          <w:p w:rsidR="00F66B9C" w:rsidRPr="00433520" w:rsidRDefault="00F66B9C" w:rsidP="00A81157">
            <w:pPr>
              <w:tabs>
                <w:tab w:val="left" w:pos="8100"/>
              </w:tabs>
              <w:jc w:val="center"/>
              <w:rPr>
                <w:rFonts w:ascii="Arial" w:hAnsi="Arial" w:cs="Arial"/>
                <w:b/>
                <w:bCs/>
                <w:color w:val="000000" w:themeColor="text1"/>
                <w:sz w:val="16"/>
                <w:szCs w:val="18"/>
              </w:rPr>
            </w:pPr>
          </w:p>
        </w:tc>
        <w:tc>
          <w:tcPr>
            <w:tcW w:w="502" w:type="pct"/>
            <w:vAlign w:val="center"/>
          </w:tcPr>
          <w:p w:rsidR="00F66B9C" w:rsidRPr="00433520" w:rsidRDefault="00F66B9C" w:rsidP="00A81157">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Pod</w:t>
            </w:r>
          </w:p>
        </w:tc>
        <w:tc>
          <w:tcPr>
            <w:tcW w:w="387" w:type="pct"/>
            <w:vAlign w:val="center"/>
          </w:tcPr>
          <w:p w:rsidR="00F66B9C" w:rsidRPr="00433520" w:rsidRDefault="00F66B9C" w:rsidP="00A81157">
            <w:pPr>
              <w:tabs>
                <w:tab w:val="left" w:pos="8100"/>
              </w:tabs>
              <w:jc w:val="center"/>
              <w:rPr>
                <w:rFonts w:ascii="Arial" w:hAnsi="Arial" w:cs="Arial"/>
                <w:b/>
                <w:bCs/>
                <w:color w:val="000000" w:themeColor="text1"/>
                <w:sz w:val="16"/>
                <w:szCs w:val="18"/>
              </w:rPr>
            </w:pPr>
            <w:r w:rsidRPr="00433520">
              <w:rPr>
                <w:rFonts w:ascii="Arial" w:hAnsi="Arial" w:cs="Arial"/>
                <w:b/>
                <w:bCs/>
                <w:color w:val="000000" w:themeColor="text1"/>
                <w:sz w:val="16"/>
                <w:szCs w:val="18"/>
              </w:rPr>
              <w:t>Haulm</w:t>
            </w:r>
          </w:p>
        </w:tc>
        <w:tc>
          <w:tcPr>
            <w:tcW w:w="434" w:type="pct"/>
            <w:vMerge/>
          </w:tcPr>
          <w:p w:rsidR="00F66B9C" w:rsidRPr="00433520" w:rsidRDefault="00F66B9C" w:rsidP="00A81157">
            <w:pPr>
              <w:tabs>
                <w:tab w:val="left" w:pos="8100"/>
              </w:tabs>
              <w:jc w:val="center"/>
              <w:rPr>
                <w:rFonts w:ascii="Arial" w:hAnsi="Arial" w:cs="Arial"/>
                <w:b/>
                <w:bCs/>
                <w:color w:val="000000" w:themeColor="text1"/>
                <w:sz w:val="16"/>
                <w:szCs w:val="18"/>
              </w:rPr>
            </w:pPr>
          </w:p>
        </w:tc>
        <w:tc>
          <w:tcPr>
            <w:tcW w:w="433" w:type="pct"/>
            <w:vMerge/>
          </w:tcPr>
          <w:p w:rsidR="00F66B9C" w:rsidRPr="00433520" w:rsidRDefault="00F66B9C" w:rsidP="00A81157">
            <w:pPr>
              <w:tabs>
                <w:tab w:val="left" w:pos="8100"/>
              </w:tabs>
              <w:jc w:val="center"/>
              <w:rPr>
                <w:rFonts w:ascii="Arial" w:hAnsi="Arial" w:cs="Arial"/>
                <w:b/>
                <w:bCs/>
                <w:color w:val="000000" w:themeColor="text1"/>
                <w:sz w:val="16"/>
                <w:szCs w:val="18"/>
              </w:rPr>
            </w:pPr>
          </w:p>
        </w:tc>
      </w:tr>
      <w:tr w:rsidR="00F66B9C" w:rsidRPr="00887429" w:rsidTr="00A81157">
        <w:tc>
          <w:tcPr>
            <w:tcW w:w="4567" w:type="pct"/>
            <w:gridSpan w:val="10"/>
          </w:tcPr>
          <w:p w:rsidR="00F66B9C" w:rsidRPr="00433520" w:rsidRDefault="00F66B9C" w:rsidP="00A81157">
            <w:pPr>
              <w:tabs>
                <w:tab w:val="left" w:pos="8100"/>
              </w:tabs>
              <w:rPr>
                <w:rFonts w:ascii="Arial" w:hAnsi="Arial" w:cs="Arial"/>
                <w:color w:val="000000" w:themeColor="text1"/>
                <w:sz w:val="16"/>
                <w:szCs w:val="18"/>
              </w:rPr>
            </w:pPr>
            <w:r w:rsidRPr="00433520">
              <w:rPr>
                <w:rFonts w:ascii="Arial" w:eastAsia="Times New Roman" w:hAnsi="Arial" w:cs="Arial"/>
                <w:b/>
                <w:bCs/>
                <w:color w:val="000000" w:themeColor="text1"/>
                <w:sz w:val="16"/>
                <w:szCs w:val="18"/>
              </w:rPr>
              <w:t>A.    Main Plot (Spacing) (S)</w:t>
            </w:r>
          </w:p>
        </w:tc>
        <w:tc>
          <w:tcPr>
            <w:tcW w:w="433" w:type="pct"/>
          </w:tcPr>
          <w:p w:rsidR="00F66B9C" w:rsidRPr="00433520" w:rsidRDefault="00F66B9C" w:rsidP="00A81157">
            <w:pPr>
              <w:tabs>
                <w:tab w:val="left" w:pos="8100"/>
              </w:tabs>
              <w:rPr>
                <w:rFonts w:ascii="Arial" w:eastAsia="Times New Roman" w:hAnsi="Arial" w:cs="Arial"/>
                <w:b/>
                <w:bCs/>
                <w:color w:val="000000" w:themeColor="text1"/>
                <w:sz w:val="16"/>
                <w:szCs w:val="18"/>
              </w:rPr>
            </w:pPr>
          </w:p>
        </w:tc>
      </w:tr>
      <w:tr w:rsidR="00F66B9C" w:rsidRPr="00887429" w:rsidTr="00A81157">
        <w:tc>
          <w:tcPr>
            <w:tcW w:w="555" w:type="pct"/>
          </w:tcPr>
          <w:p w:rsidR="00F66B9C" w:rsidRPr="00433520" w:rsidRDefault="00F66B9C" w:rsidP="00A81157">
            <w:pPr>
              <w:tabs>
                <w:tab w:val="left" w:pos="971"/>
                <w:tab w:val="left" w:pos="8100"/>
              </w:tabs>
              <w:rPr>
                <w:rFonts w:ascii="Arial" w:hAnsi="Arial" w:cs="Arial"/>
                <w:color w:val="000000" w:themeColor="text1"/>
                <w:sz w:val="16"/>
                <w:szCs w:val="18"/>
              </w:rPr>
            </w:pPr>
            <w:r w:rsidRPr="00433520">
              <w:rPr>
                <w:rFonts w:ascii="Arial" w:eastAsia="Times New Roman" w:hAnsi="Arial" w:cs="Arial"/>
                <w:color w:val="000000" w:themeColor="text1"/>
                <w:sz w:val="16"/>
                <w:szCs w:val="18"/>
              </w:rPr>
              <w:t>S</w:t>
            </w:r>
            <w:r w:rsidRPr="00433520">
              <w:rPr>
                <w:rFonts w:ascii="Arial" w:eastAsia="Times New Roman" w:hAnsi="Arial" w:cs="Arial"/>
                <w:color w:val="000000" w:themeColor="text1"/>
                <w:sz w:val="16"/>
                <w:szCs w:val="18"/>
                <w:vertAlign w:val="subscript"/>
              </w:rPr>
              <w:t>1</w:t>
            </w:r>
            <w:r w:rsidRPr="00433520">
              <w:rPr>
                <w:rFonts w:ascii="Arial" w:eastAsia="Times New Roman" w:hAnsi="Arial" w:cs="Arial"/>
                <w:color w:val="000000" w:themeColor="text1"/>
                <w:sz w:val="16"/>
                <w:szCs w:val="18"/>
              </w:rPr>
              <w:t>: 45 cm</w:t>
            </w:r>
          </w:p>
        </w:tc>
        <w:tc>
          <w:tcPr>
            <w:tcW w:w="555"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15.4</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17.0</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35.7</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58.1</w:t>
            </w:r>
          </w:p>
        </w:tc>
        <w:tc>
          <w:tcPr>
            <w:tcW w:w="6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7.7</w:t>
            </w:r>
          </w:p>
        </w:tc>
        <w:tc>
          <w:tcPr>
            <w:tcW w:w="45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22.1</w:t>
            </w:r>
          </w:p>
        </w:tc>
        <w:tc>
          <w:tcPr>
            <w:tcW w:w="50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1996</w:t>
            </w:r>
          </w:p>
        </w:tc>
        <w:tc>
          <w:tcPr>
            <w:tcW w:w="387"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3697</w:t>
            </w:r>
          </w:p>
        </w:tc>
        <w:tc>
          <w:tcPr>
            <w:tcW w:w="4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49.8</w:t>
            </w:r>
          </w:p>
        </w:tc>
        <w:tc>
          <w:tcPr>
            <w:tcW w:w="433"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22.1</w:t>
            </w:r>
          </w:p>
        </w:tc>
      </w:tr>
      <w:tr w:rsidR="00F66B9C" w:rsidRPr="00887429" w:rsidTr="00A81157">
        <w:tc>
          <w:tcPr>
            <w:tcW w:w="555" w:type="pct"/>
          </w:tcPr>
          <w:p w:rsidR="00F66B9C" w:rsidRPr="00433520" w:rsidRDefault="00F66B9C" w:rsidP="00A81157">
            <w:pPr>
              <w:tabs>
                <w:tab w:val="left" w:pos="971"/>
                <w:tab w:val="left" w:pos="8100"/>
              </w:tabs>
              <w:rPr>
                <w:rFonts w:ascii="Arial" w:hAnsi="Arial" w:cs="Arial"/>
                <w:color w:val="000000" w:themeColor="text1"/>
                <w:sz w:val="16"/>
                <w:szCs w:val="18"/>
              </w:rPr>
            </w:pPr>
            <w:r w:rsidRPr="00433520">
              <w:rPr>
                <w:rFonts w:ascii="Arial" w:eastAsia="Times New Roman" w:hAnsi="Arial" w:cs="Arial"/>
                <w:color w:val="000000" w:themeColor="text1"/>
                <w:sz w:val="16"/>
                <w:szCs w:val="18"/>
              </w:rPr>
              <w:t>S</w:t>
            </w:r>
            <w:r w:rsidRPr="00433520">
              <w:rPr>
                <w:rFonts w:ascii="Arial" w:eastAsia="Times New Roman" w:hAnsi="Arial" w:cs="Arial"/>
                <w:color w:val="000000" w:themeColor="text1"/>
                <w:sz w:val="16"/>
                <w:szCs w:val="18"/>
                <w:vertAlign w:val="subscript"/>
              </w:rPr>
              <w:t>2</w:t>
            </w:r>
            <w:r w:rsidRPr="00433520">
              <w:rPr>
                <w:rFonts w:ascii="Arial" w:eastAsia="Times New Roman" w:hAnsi="Arial" w:cs="Arial"/>
                <w:color w:val="000000" w:themeColor="text1"/>
                <w:sz w:val="16"/>
                <w:szCs w:val="18"/>
              </w:rPr>
              <w:t>: 60 cm</w:t>
            </w:r>
          </w:p>
        </w:tc>
        <w:tc>
          <w:tcPr>
            <w:tcW w:w="555"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19.7</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16.3</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32.1</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52.3</w:t>
            </w:r>
          </w:p>
        </w:tc>
        <w:tc>
          <w:tcPr>
            <w:tcW w:w="6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9.7</w:t>
            </w:r>
          </w:p>
        </w:tc>
        <w:tc>
          <w:tcPr>
            <w:tcW w:w="45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24.7</w:t>
            </w:r>
          </w:p>
        </w:tc>
        <w:tc>
          <w:tcPr>
            <w:tcW w:w="50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2330</w:t>
            </w:r>
          </w:p>
        </w:tc>
        <w:tc>
          <w:tcPr>
            <w:tcW w:w="387"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4348</w:t>
            </w:r>
          </w:p>
        </w:tc>
        <w:tc>
          <w:tcPr>
            <w:tcW w:w="4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50.1</w:t>
            </w:r>
          </w:p>
        </w:tc>
        <w:tc>
          <w:tcPr>
            <w:tcW w:w="433"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22.8</w:t>
            </w:r>
          </w:p>
        </w:tc>
      </w:tr>
      <w:tr w:rsidR="00F66B9C" w:rsidRPr="00887429" w:rsidTr="00A81157">
        <w:tc>
          <w:tcPr>
            <w:tcW w:w="555" w:type="pct"/>
          </w:tcPr>
          <w:p w:rsidR="00F66B9C" w:rsidRPr="00433520" w:rsidRDefault="00F66B9C" w:rsidP="00A81157">
            <w:pPr>
              <w:tabs>
                <w:tab w:val="left" w:pos="971"/>
                <w:tab w:val="left" w:pos="8100"/>
              </w:tabs>
              <w:jc w:val="right"/>
              <w:rPr>
                <w:rFonts w:ascii="Arial" w:hAnsi="Arial" w:cs="Arial"/>
                <w:b/>
                <w:bCs/>
                <w:color w:val="000000" w:themeColor="text1"/>
                <w:sz w:val="16"/>
                <w:szCs w:val="18"/>
              </w:rPr>
            </w:pPr>
            <w:proofErr w:type="spellStart"/>
            <w:r w:rsidRPr="00433520">
              <w:rPr>
                <w:rFonts w:ascii="Arial" w:eastAsia="Times New Roman" w:hAnsi="Arial" w:cs="Arial"/>
                <w:b/>
                <w:bCs/>
                <w:color w:val="000000" w:themeColor="text1"/>
                <w:sz w:val="16"/>
                <w:szCs w:val="18"/>
              </w:rPr>
              <w:t>S.Em</w:t>
            </w:r>
            <w:proofErr w:type="spellEnd"/>
            <w:r w:rsidRPr="00433520">
              <w:rPr>
                <w:rFonts w:ascii="Arial" w:eastAsia="Times New Roman" w:hAnsi="Arial" w:cs="Arial"/>
                <w:b/>
                <w:bCs/>
                <w:color w:val="000000" w:themeColor="text1"/>
                <w:sz w:val="16"/>
                <w:szCs w:val="18"/>
              </w:rPr>
              <w:t>.</w:t>
            </w:r>
            <w:r w:rsidRPr="00433520">
              <w:rPr>
                <w:rFonts w:ascii="Arial" w:eastAsia="Times New Roman" w:hAnsi="Arial" w:cs="Arial"/>
                <w:b/>
                <w:bCs/>
                <w:color w:val="000000" w:themeColor="text1"/>
                <w:sz w:val="16"/>
                <w:szCs w:val="18"/>
                <w:u w:val="single"/>
              </w:rPr>
              <w:t>+</w:t>
            </w:r>
          </w:p>
        </w:tc>
        <w:tc>
          <w:tcPr>
            <w:tcW w:w="555"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0.4</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0.38</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0.78</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1.17</w:t>
            </w:r>
          </w:p>
        </w:tc>
        <w:tc>
          <w:tcPr>
            <w:tcW w:w="6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0.2</w:t>
            </w:r>
          </w:p>
        </w:tc>
        <w:tc>
          <w:tcPr>
            <w:tcW w:w="45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0.5</w:t>
            </w:r>
          </w:p>
        </w:tc>
        <w:tc>
          <w:tcPr>
            <w:tcW w:w="50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73.4</w:t>
            </w:r>
          </w:p>
        </w:tc>
        <w:tc>
          <w:tcPr>
            <w:tcW w:w="387"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133.9</w:t>
            </w:r>
          </w:p>
        </w:tc>
        <w:tc>
          <w:tcPr>
            <w:tcW w:w="434" w:type="pct"/>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0.5</w:t>
            </w:r>
          </w:p>
        </w:tc>
        <w:tc>
          <w:tcPr>
            <w:tcW w:w="433" w:type="pct"/>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0.2</w:t>
            </w:r>
          </w:p>
        </w:tc>
      </w:tr>
      <w:tr w:rsidR="00F66B9C" w:rsidRPr="00887429" w:rsidTr="00A81157">
        <w:tc>
          <w:tcPr>
            <w:tcW w:w="555" w:type="pct"/>
          </w:tcPr>
          <w:p w:rsidR="00F66B9C" w:rsidRPr="00433520" w:rsidRDefault="00F66B9C" w:rsidP="00A81157">
            <w:pPr>
              <w:tabs>
                <w:tab w:val="left" w:pos="971"/>
                <w:tab w:val="left" w:pos="8100"/>
              </w:tabs>
              <w:jc w:val="right"/>
              <w:rPr>
                <w:rFonts w:ascii="Arial" w:hAnsi="Arial" w:cs="Arial"/>
                <w:b/>
                <w:bCs/>
                <w:color w:val="000000" w:themeColor="text1"/>
                <w:sz w:val="16"/>
                <w:szCs w:val="18"/>
              </w:rPr>
            </w:pPr>
            <w:r w:rsidRPr="00433520">
              <w:rPr>
                <w:rFonts w:ascii="Arial" w:eastAsia="Times New Roman" w:hAnsi="Arial" w:cs="Arial"/>
                <w:b/>
                <w:bCs/>
                <w:color w:val="000000" w:themeColor="text1"/>
                <w:sz w:val="16"/>
                <w:szCs w:val="18"/>
              </w:rPr>
              <w:t xml:space="preserve">C D at 5% </w:t>
            </w:r>
          </w:p>
        </w:tc>
        <w:tc>
          <w:tcPr>
            <w:tcW w:w="555"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3.5</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5.3</w:t>
            </w:r>
          </w:p>
        </w:tc>
        <w:tc>
          <w:tcPr>
            <w:tcW w:w="6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0.9</w:t>
            </w:r>
          </w:p>
        </w:tc>
        <w:tc>
          <w:tcPr>
            <w:tcW w:w="45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w:t>
            </w:r>
          </w:p>
        </w:tc>
        <w:tc>
          <w:tcPr>
            <w:tcW w:w="50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330</w:t>
            </w:r>
          </w:p>
        </w:tc>
        <w:tc>
          <w:tcPr>
            <w:tcW w:w="387"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603</w:t>
            </w:r>
          </w:p>
        </w:tc>
        <w:tc>
          <w:tcPr>
            <w:tcW w:w="434" w:type="pct"/>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433" w:type="pct"/>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r>
      <w:tr w:rsidR="00F66B9C" w:rsidRPr="00887429" w:rsidTr="00A81157">
        <w:tc>
          <w:tcPr>
            <w:tcW w:w="555" w:type="pct"/>
          </w:tcPr>
          <w:p w:rsidR="00F66B9C" w:rsidRPr="00433520" w:rsidRDefault="00F66B9C" w:rsidP="00A81157">
            <w:pPr>
              <w:tabs>
                <w:tab w:val="left" w:pos="971"/>
                <w:tab w:val="left" w:pos="8100"/>
              </w:tabs>
              <w:jc w:val="right"/>
              <w:rPr>
                <w:rFonts w:ascii="Arial" w:hAnsi="Arial" w:cs="Arial"/>
                <w:b/>
                <w:bCs/>
                <w:color w:val="000000" w:themeColor="text1"/>
                <w:sz w:val="16"/>
                <w:szCs w:val="18"/>
              </w:rPr>
            </w:pPr>
            <w:r w:rsidRPr="00433520">
              <w:rPr>
                <w:rFonts w:ascii="Arial" w:eastAsia="Times New Roman" w:hAnsi="Arial" w:cs="Arial"/>
                <w:b/>
                <w:bCs/>
                <w:color w:val="000000" w:themeColor="text1"/>
                <w:sz w:val="16"/>
                <w:szCs w:val="18"/>
              </w:rPr>
              <w:t xml:space="preserve">   C.V. %</w:t>
            </w:r>
          </w:p>
        </w:tc>
        <w:tc>
          <w:tcPr>
            <w:tcW w:w="555"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8.1</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9.1</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9.2</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8.4</w:t>
            </w:r>
          </w:p>
        </w:tc>
        <w:tc>
          <w:tcPr>
            <w:tcW w:w="6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9.3</w:t>
            </w:r>
          </w:p>
        </w:tc>
        <w:tc>
          <w:tcPr>
            <w:tcW w:w="45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8.3</w:t>
            </w:r>
          </w:p>
        </w:tc>
        <w:tc>
          <w:tcPr>
            <w:tcW w:w="50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13.6</w:t>
            </w:r>
          </w:p>
        </w:tc>
        <w:tc>
          <w:tcPr>
            <w:tcW w:w="387"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13.3</w:t>
            </w:r>
          </w:p>
        </w:tc>
        <w:tc>
          <w:tcPr>
            <w:tcW w:w="434" w:type="pct"/>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4.3</w:t>
            </w:r>
          </w:p>
        </w:tc>
        <w:tc>
          <w:tcPr>
            <w:tcW w:w="433" w:type="pct"/>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4.0</w:t>
            </w:r>
          </w:p>
        </w:tc>
      </w:tr>
      <w:tr w:rsidR="00F66B9C" w:rsidRPr="00887429" w:rsidTr="00A81157">
        <w:tc>
          <w:tcPr>
            <w:tcW w:w="4567" w:type="pct"/>
            <w:gridSpan w:val="10"/>
          </w:tcPr>
          <w:p w:rsidR="00F66B9C" w:rsidRPr="00433520" w:rsidRDefault="00F66B9C" w:rsidP="00A81157">
            <w:pPr>
              <w:tabs>
                <w:tab w:val="left" w:pos="8100"/>
              </w:tabs>
              <w:rPr>
                <w:rFonts w:ascii="Arial" w:hAnsi="Arial" w:cs="Arial"/>
                <w:color w:val="000000" w:themeColor="text1"/>
                <w:sz w:val="16"/>
                <w:szCs w:val="18"/>
              </w:rPr>
            </w:pPr>
            <w:r w:rsidRPr="00433520">
              <w:rPr>
                <w:rFonts w:ascii="Arial" w:hAnsi="Arial" w:cs="Arial"/>
                <w:b/>
                <w:bCs/>
                <w:color w:val="000000" w:themeColor="text1"/>
                <w:sz w:val="16"/>
                <w:szCs w:val="18"/>
              </w:rPr>
              <w:t>B.     Sub Plot (Fertilizer Levels) (F) NPK (kg/ha)</w:t>
            </w:r>
          </w:p>
        </w:tc>
        <w:tc>
          <w:tcPr>
            <w:tcW w:w="433" w:type="pct"/>
          </w:tcPr>
          <w:p w:rsidR="00F66B9C" w:rsidRPr="00433520" w:rsidRDefault="00F66B9C" w:rsidP="00A81157">
            <w:pPr>
              <w:tabs>
                <w:tab w:val="left" w:pos="8100"/>
              </w:tabs>
              <w:rPr>
                <w:rFonts w:ascii="Arial" w:hAnsi="Arial" w:cs="Arial"/>
                <w:b/>
                <w:bCs/>
                <w:color w:val="000000" w:themeColor="text1"/>
                <w:sz w:val="16"/>
                <w:szCs w:val="18"/>
              </w:rPr>
            </w:pPr>
          </w:p>
        </w:tc>
      </w:tr>
      <w:tr w:rsidR="00F66B9C" w:rsidRPr="00887429" w:rsidTr="00A81157">
        <w:tc>
          <w:tcPr>
            <w:tcW w:w="555" w:type="pct"/>
          </w:tcPr>
          <w:p w:rsidR="00F66B9C" w:rsidRPr="00433520" w:rsidRDefault="00F66B9C" w:rsidP="00A81157">
            <w:pPr>
              <w:tabs>
                <w:tab w:val="left" w:pos="8100"/>
              </w:tabs>
              <w:rPr>
                <w:rFonts w:ascii="Arial" w:hAnsi="Arial" w:cs="Arial"/>
                <w:color w:val="000000" w:themeColor="text1"/>
                <w:sz w:val="16"/>
                <w:szCs w:val="18"/>
              </w:rPr>
            </w:pPr>
            <w:r w:rsidRPr="00433520">
              <w:rPr>
                <w:rFonts w:ascii="Arial" w:hAnsi="Arial" w:cs="Arial"/>
                <w:color w:val="000000" w:themeColor="text1"/>
                <w:sz w:val="16"/>
                <w:szCs w:val="18"/>
                <w:lang w:eastAsia="en-IN"/>
              </w:rPr>
              <w:t>F</w:t>
            </w:r>
            <w:r w:rsidRPr="00433520">
              <w:rPr>
                <w:rFonts w:ascii="Arial" w:hAnsi="Arial" w:cs="Arial"/>
                <w:color w:val="000000" w:themeColor="text1"/>
                <w:sz w:val="16"/>
                <w:szCs w:val="18"/>
                <w:vertAlign w:val="subscript"/>
                <w:lang w:eastAsia="en-IN"/>
              </w:rPr>
              <w:t>1</w:t>
            </w:r>
            <w:r w:rsidRPr="00433520">
              <w:rPr>
                <w:rFonts w:ascii="Arial" w:hAnsi="Arial" w:cs="Arial"/>
                <w:color w:val="000000" w:themeColor="text1"/>
                <w:sz w:val="16"/>
                <w:szCs w:val="18"/>
                <w:lang w:eastAsia="en-IN"/>
              </w:rPr>
              <w:t>:12.5-25-0</w:t>
            </w:r>
          </w:p>
        </w:tc>
        <w:tc>
          <w:tcPr>
            <w:tcW w:w="555"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16.8</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16.0</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30.6</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50.1</w:t>
            </w:r>
          </w:p>
        </w:tc>
        <w:tc>
          <w:tcPr>
            <w:tcW w:w="6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7.8</w:t>
            </w:r>
          </w:p>
        </w:tc>
        <w:tc>
          <w:tcPr>
            <w:tcW w:w="45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22.1</w:t>
            </w:r>
          </w:p>
        </w:tc>
        <w:tc>
          <w:tcPr>
            <w:tcW w:w="50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2010</w:t>
            </w:r>
          </w:p>
        </w:tc>
        <w:tc>
          <w:tcPr>
            <w:tcW w:w="387"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3435</w:t>
            </w:r>
          </w:p>
        </w:tc>
        <w:tc>
          <w:tcPr>
            <w:tcW w:w="4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49.4</w:t>
            </w:r>
          </w:p>
        </w:tc>
        <w:tc>
          <w:tcPr>
            <w:tcW w:w="433"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20.5</w:t>
            </w:r>
          </w:p>
        </w:tc>
      </w:tr>
      <w:tr w:rsidR="00F66B9C" w:rsidRPr="00887429" w:rsidTr="00A81157">
        <w:tc>
          <w:tcPr>
            <w:tcW w:w="555" w:type="pct"/>
          </w:tcPr>
          <w:p w:rsidR="00F66B9C" w:rsidRPr="00433520" w:rsidRDefault="00F66B9C" w:rsidP="00A81157">
            <w:pPr>
              <w:tabs>
                <w:tab w:val="left" w:pos="8100"/>
              </w:tabs>
              <w:rPr>
                <w:rFonts w:ascii="Arial" w:hAnsi="Arial" w:cs="Arial"/>
                <w:color w:val="000000" w:themeColor="text1"/>
                <w:sz w:val="16"/>
                <w:szCs w:val="18"/>
              </w:rPr>
            </w:pPr>
            <w:r w:rsidRPr="00433520">
              <w:rPr>
                <w:rFonts w:ascii="Arial" w:hAnsi="Arial" w:cs="Arial"/>
                <w:color w:val="000000" w:themeColor="text1"/>
                <w:sz w:val="16"/>
                <w:szCs w:val="18"/>
                <w:lang w:eastAsia="en-IN"/>
              </w:rPr>
              <w:t>F</w:t>
            </w:r>
            <w:r w:rsidRPr="00433520">
              <w:rPr>
                <w:rFonts w:ascii="Arial" w:hAnsi="Arial" w:cs="Arial"/>
                <w:color w:val="000000" w:themeColor="text1"/>
                <w:sz w:val="16"/>
                <w:szCs w:val="18"/>
                <w:vertAlign w:val="subscript"/>
                <w:lang w:eastAsia="en-IN"/>
              </w:rPr>
              <w:t>2</w:t>
            </w:r>
            <w:r w:rsidRPr="00433520">
              <w:rPr>
                <w:rFonts w:ascii="Arial" w:hAnsi="Arial" w:cs="Arial"/>
                <w:color w:val="000000" w:themeColor="text1"/>
                <w:sz w:val="16"/>
                <w:szCs w:val="18"/>
                <w:lang w:eastAsia="en-IN"/>
              </w:rPr>
              <w:t>:12.5-25-25</w:t>
            </w:r>
          </w:p>
        </w:tc>
        <w:tc>
          <w:tcPr>
            <w:tcW w:w="555"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17.6</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16.3</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32.0</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55.1</w:t>
            </w:r>
          </w:p>
        </w:tc>
        <w:tc>
          <w:tcPr>
            <w:tcW w:w="6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8.4</w:t>
            </w:r>
          </w:p>
        </w:tc>
        <w:tc>
          <w:tcPr>
            <w:tcW w:w="45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22.5</w:t>
            </w:r>
          </w:p>
        </w:tc>
        <w:tc>
          <w:tcPr>
            <w:tcW w:w="50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2074</w:t>
            </w:r>
          </w:p>
        </w:tc>
        <w:tc>
          <w:tcPr>
            <w:tcW w:w="387"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3746</w:t>
            </w:r>
          </w:p>
        </w:tc>
        <w:tc>
          <w:tcPr>
            <w:tcW w:w="4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49.7</w:t>
            </w:r>
          </w:p>
        </w:tc>
        <w:tc>
          <w:tcPr>
            <w:tcW w:w="433"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21.7</w:t>
            </w:r>
          </w:p>
        </w:tc>
      </w:tr>
      <w:tr w:rsidR="00F66B9C" w:rsidRPr="00887429" w:rsidTr="00A81157">
        <w:tc>
          <w:tcPr>
            <w:tcW w:w="555" w:type="pct"/>
          </w:tcPr>
          <w:p w:rsidR="00F66B9C" w:rsidRPr="00433520" w:rsidRDefault="00F66B9C" w:rsidP="00A81157">
            <w:pPr>
              <w:tabs>
                <w:tab w:val="left" w:pos="8100"/>
              </w:tabs>
              <w:rPr>
                <w:rFonts w:ascii="Arial" w:hAnsi="Arial" w:cs="Arial"/>
                <w:color w:val="000000" w:themeColor="text1"/>
                <w:sz w:val="16"/>
                <w:szCs w:val="18"/>
              </w:rPr>
            </w:pPr>
            <w:r w:rsidRPr="00433520">
              <w:rPr>
                <w:rFonts w:ascii="Arial" w:hAnsi="Arial" w:cs="Arial"/>
                <w:color w:val="000000" w:themeColor="text1"/>
                <w:sz w:val="16"/>
                <w:szCs w:val="18"/>
                <w:lang w:eastAsia="en-IN"/>
              </w:rPr>
              <w:t>F</w:t>
            </w:r>
            <w:r w:rsidRPr="00433520">
              <w:rPr>
                <w:rFonts w:ascii="Arial" w:hAnsi="Arial" w:cs="Arial"/>
                <w:color w:val="000000" w:themeColor="text1"/>
                <w:sz w:val="16"/>
                <w:szCs w:val="18"/>
                <w:vertAlign w:val="subscript"/>
                <w:lang w:eastAsia="en-IN"/>
              </w:rPr>
              <w:t>3</w:t>
            </w:r>
            <w:r w:rsidRPr="00433520">
              <w:rPr>
                <w:rFonts w:ascii="Arial" w:hAnsi="Arial" w:cs="Arial"/>
                <w:color w:val="000000" w:themeColor="text1"/>
                <w:sz w:val="16"/>
                <w:szCs w:val="18"/>
                <w:lang w:eastAsia="en-IN"/>
              </w:rPr>
              <w:t>: 25-50-0</w:t>
            </w:r>
          </w:p>
        </w:tc>
        <w:tc>
          <w:tcPr>
            <w:tcW w:w="555"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17.7</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16.7</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35.8</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56.7</w:t>
            </w:r>
          </w:p>
        </w:tc>
        <w:tc>
          <w:tcPr>
            <w:tcW w:w="6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9.1</w:t>
            </w:r>
          </w:p>
        </w:tc>
        <w:tc>
          <w:tcPr>
            <w:tcW w:w="45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24.1</w:t>
            </w:r>
          </w:p>
        </w:tc>
        <w:tc>
          <w:tcPr>
            <w:tcW w:w="50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2252</w:t>
            </w:r>
          </w:p>
        </w:tc>
        <w:tc>
          <w:tcPr>
            <w:tcW w:w="387"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4283</w:t>
            </w:r>
          </w:p>
        </w:tc>
        <w:tc>
          <w:tcPr>
            <w:tcW w:w="4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49.6</w:t>
            </w:r>
          </w:p>
        </w:tc>
        <w:tc>
          <w:tcPr>
            <w:tcW w:w="433"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23.5</w:t>
            </w:r>
          </w:p>
        </w:tc>
      </w:tr>
      <w:tr w:rsidR="00F66B9C" w:rsidRPr="00887429" w:rsidTr="00A81157">
        <w:tc>
          <w:tcPr>
            <w:tcW w:w="555" w:type="pct"/>
          </w:tcPr>
          <w:p w:rsidR="00F66B9C" w:rsidRPr="00433520" w:rsidRDefault="00F66B9C" w:rsidP="00A81157">
            <w:pPr>
              <w:tabs>
                <w:tab w:val="left" w:pos="8100"/>
              </w:tabs>
              <w:rPr>
                <w:rFonts w:ascii="Arial" w:hAnsi="Arial" w:cs="Arial"/>
                <w:color w:val="000000" w:themeColor="text1"/>
                <w:sz w:val="16"/>
                <w:szCs w:val="18"/>
              </w:rPr>
            </w:pPr>
            <w:r w:rsidRPr="00433520">
              <w:rPr>
                <w:rFonts w:ascii="Arial" w:hAnsi="Arial" w:cs="Arial"/>
                <w:color w:val="000000" w:themeColor="text1"/>
                <w:sz w:val="16"/>
                <w:szCs w:val="18"/>
                <w:lang w:eastAsia="en-IN"/>
              </w:rPr>
              <w:t>F</w:t>
            </w:r>
            <w:r w:rsidRPr="00433520">
              <w:rPr>
                <w:rFonts w:ascii="Arial" w:hAnsi="Arial" w:cs="Arial"/>
                <w:color w:val="000000" w:themeColor="text1"/>
                <w:sz w:val="16"/>
                <w:szCs w:val="18"/>
                <w:vertAlign w:val="subscript"/>
                <w:lang w:eastAsia="en-IN"/>
              </w:rPr>
              <w:t>4</w:t>
            </w:r>
            <w:r w:rsidRPr="00433520">
              <w:rPr>
                <w:rFonts w:ascii="Arial" w:hAnsi="Arial" w:cs="Arial"/>
                <w:color w:val="000000" w:themeColor="text1"/>
                <w:sz w:val="16"/>
                <w:szCs w:val="18"/>
                <w:lang w:eastAsia="en-IN"/>
              </w:rPr>
              <w:t>: 25-50-50</w:t>
            </w:r>
          </w:p>
        </w:tc>
        <w:tc>
          <w:tcPr>
            <w:tcW w:w="555"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18.1</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17.5</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37.3</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58.8</w:t>
            </w:r>
          </w:p>
        </w:tc>
        <w:tc>
          <w:tcPr>
            <w:tcW w:w="6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bookmarkStart w:id="1" w:name="_Hlk137804720"/>
            <w:r w:rsidRPr="00433520">
              <w:rPr>
                <w:rFonts w:ascii="Arial" w:hAnsi="Arial" w:cs="Arial"/>
                <w:color w:val="000000" w:themeColor="text1"/>
                <w:sz w:val="16"/>
                <w:szCs w:val="18"/>
              </w:rPr>
              <w:t>9.6</w:t>
            </w:r>
            <w:bookmarkEnd w:id="1"/>
          </w:p>
        </w:tc>
        <w:tc>
          <w:tcPr>
            <w:tcW w:w="452" w:type="pct"/>
            <w:vAlign w:val="center"/>
          </w:tcPr>
          <w:p w:rsidR="00F66B9C" w:rsidRPr="00433520" w:rsidRDefault="00F66B9C" w:rsidP="00A81157">
            <w:pPr>
              <w:tabs>
                <w:tab w:val="left" w:pos="8100"/>
              </w:tabs>
              <w:jc w:val="center"/>
              <w:rPr>
                <w:rFonts w:ascii="Arial" w:hAnsi="Arial" w:cs="Arial"/>
                <w:color w:val="000000" w:themeColor="text1"/>
                <w:sz w:val="16"/>
                <w:szCs w:val="18"/>
              </w:rPr>
            </w:pPr>
            <w:bookmarkStart w:id="2" w:name="_Hlk137805069"/>
            <w:r w:rsidRPr="00433520">
              <w:rPr>
                <w:rFonts w:ascii="Arial" w:hAnsi="Arial" w:cs="Arial"/>
                <w:color w:val="000000" w:themeColor="text1"/>
                <w:sz w:val="16"/>
                <w:szCs w:val="18"/>
              </w:rPr>
              <w:t>24.8</w:t>
            </w:r>
            <w:bookmarkEnd w:id="2"/>
          </w:p>
        </w:tc>
        <w:tc>
          <w:tcPr>
            <w:tcW w:w="50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2315</w:t>
            </w:r>
          </w:p>
        </w:tc>
        <w:tc>
          <w:tcPr>
            <w:tcW w:w="387" w:type="pct"/>
            <w:vAlign w:val="center"/>
          </w:tcPr>
          <w:p w:rsidR="00F66B9C" w:rsidRPr="00433520" w:rsidRDefault="00F66B9C" w:rsidP="00A81157">
            <w:pPr>
              <w:tabs>
                <w:tab w:val="left" w:pos="8100"/>
              </w:tabs>
              <w:jc w:val="center"/>
              <w:rPr>
                <w:rFonts w:ascii="Arial" w:hAnsi="Arial" w:cs="Arial"/>
                <w:color w:val="000000" w:themeColor="text1"/>
                <w:sz w:val="16"/>
                <w:szCs w:val="18"/>
              </w:rPr>
            </w:pPr>
            <w:bookmarkStart w:id="3" w:name="_Hlk137805448"/>
            <w:r w:rsidRPr="00433520">
              <w:rPr>
                <w:rFonts w:ascii="Arial" w:hAnsi="Arial" w:cs="Arial"/>
                <w:color w:val="000000" w:themeColor="text1"/>
                <w:sz w:val="16"/>
                <w:szCs w:val="18"/>
              </w:rPr>
              <w:t>4627</w:t>
            </w:r>
            <w:bookmarkEnd w:id="3"/>
          </w:p>
        </w:tc>
        <w:tc>
          <w:tcPr>
            <w:tcW w:w="4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51.1</w:t>
            </w:r>
          </w:p>
        </w:tc>
        <w:tc>
          <w:tcPr>
            <w:tcW w:w="433"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24.2</w:t>
            </w:r>
          </w:p>
        </w:tc>
      </w:tr>
      <w:tr w:rsidR="00F66B9C" w:rsidRPr="00887429" w:rsidTr="00A81157">
        <w:tc>
          <w:tcPr>
            <w:tcW w:w="555" w:type="pct"/>
          </w:tcPr>
          <w:p w:rsidR="00F66B9C" w:rsidRPr="00433520" w:rsidRDefault="00F66B9C" w:rsidP="00A81157">
            <w:pPr>
              <w:tabs>
                <w:tab w:val="left" w:pos="971"/>
                <w:tab w:val="left" w:pos="8100"/>
              </w:tabs>
              <w:jc w:val="right"/>
              <w:rPr>
                <w:rFonts w:ascii="Arial" w:hAnsi="Arial" w:cs="Arial"/>
                <w:b/>
                <w:bCs/>
                <w:color w:val="000000" w:themeColor="text1"/>
                <w:sz w:val="16"/>
                <w:szCs w:val="18"/>
              </w:rPr>
            </w:pPr>
            <w:proofErr w:type="spellStart"/>
            <w:r w:rsidRPr="00433520">
              <w:rPr>
                <w:rFonts w:ascii="Arial" w:eastAsia="Times New Roman" w:hAnsi="Arial" w:cs="Arial"/>
                <w:b/>
                <w:bCs/>
                <w:color w:val="000000" w:themeColor="text1"/>
                <w:sz w:val="16"/>
                <w:szCs w:val="18"/>
              </w:rPr>
              <w:t>S.Em</w:t>
            </w:r>
            <w:proofErr w:type="spellEnd"/>
            <w:r w:rsidRPr="00433520">
              <w:rPr>
                <w:rFonts w:ascii="Arial" w:eastAsia="Times New Roman" w:hAnsi="Arial" w:cs="Arial"/>
                <w:b/>
                <w:bCs/>
                <w:color w:val="000000" w:themeColor="text1"/>
                <w:sz w:val="16"/>
                <w:szCs w:val="18"/>
              </w:rPr>
              <w:t>.</w:t>
            </w:r>
            <w:r w:rsidRPr="00433520">
              <w:rPr>
                <w:rFonts w:ascii="Arial" w:eastAsia="Times New Roman" w:hAnsi="Arial" w:cs="Arial"/>
                <w:b/>
                <w:bCs/>
                <w:color w:val="000000" w:themeColor="text1"/>
                <w:sz w:val="16"/>
                <w:szCs w:val="18"/>
                <w:u w:val="single"/>
              </w:rPr>
              <w:t>+</w:t>
            </w:r>
          </w:p>
        </w:tc>
        <w:tc>
          <w:tcPr>
            <w:tcW w:w="555"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0.5</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0.4</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0.9</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w:t>
            </w:r>
          </w:p>
        </w:tc>
        <w:tc>
          <w:tcPr>
            <w:tcW w:w="6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0.3</w:t>
            </w:r>
          </w:p>
        </w:tc>
        <w:tc>
          <w:tcPr>
            <w:tcW w:w="45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0.7</w:t>
            </w:r>
          </w:p>
        </w:tc>
        <w:tc>
          <w:tcPr>
            <w:tcW w:w="50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55.4</w:t>
            </w:r>
          </w:p>
        </w:tc>
        <w:tc>
          <w:tcPr>
            <w:tcW w:w="387"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149.4</w:t>
            </w:r>
          </w:p>
        </w:tc>
        <w:tc>
          <w:tcPr>
            <w:tcW w:w="4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0.6</w:t>
            </w:r>
          </w:p>
        </w:tc>
        <w:tc>
          <w:tcPr>
            <w:tcW w:w="433"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0.3</w:t>
            </w:r>
          </w:p>
        </w:tc>
      </w:tr>
      <w:tr w:rsidR="00F66B9C" w:rsidRPr="00887429" w:rsidTr="00A81157">
        <w:tc>
          <w:tcPr>
            <w:tcW w:w="555" w:type="pct"/>
          </w:tcPr>
          <w:p w:rsidR="00F66B9C" w:rsidRPr="00433520" w:rsidRDefault="00F66B9C" w:rsidP="00A81157">
            <w:pPr>
              <w:tabs>
                <w:tab w:val="left" w:pos="971"/>
                <w:tab w:val="left" w:pos="8100"/>
              </w:tabs>
              <w:jc w:val="right"/>
              <w:rPr>
                <w:rFonts w:ascii="Arial" w:hAnsi="Arial" w:cs="Arial"/>
                <w:b/>
                <w:bCs/>
                <w:color w:val="000000" w:themeColor="text1"/>
                <w:sz w:val="16"/>
                <w:szCs w:val="18"/>
              </w:rPr>
            </w:pPr>
            <w:r w:rsidRPr="00433520">
              <w:rPr>
                <w:rFonts w:ascii="Arial" w:eastAsia="Times New Roman" w:hAnsi="Arial" w:cs="Arial"/>
                <w:b/>
                <w:bCs/>
                <w:color w:val="000000" w:themeColor="text1"/>
                <w:sz w:val="16"/>
                <w:szCs w:val="18"/>
              </w:rPr>
              <w:t>C D at 5%</w:t>
            </w:r>
          </w:p>
        </w:tc>
        <w:tc>
          <w:tcPr>
            <w:tcW w:w="555"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2.7</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4.7</w:t>
            </w:r>
          </w:p>
        </w:tc>
        <w:tc>
          <w:tcPr>
            <w:tcW w:w="6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0.8</w:t>
            </w:r>
          </w:p>
        </w:tc>
        <w:tc>
          <w:tcPr>
            <w:tcW w:w="45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1.9</w:t>
            </w:r>
          </w:p>
        </w:tc>
        <w:tc>
          <w:tcPr>
            <w:tcW w:w="50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165</w:t>
            </w:r>
          </w:p>
        </w:tc>
        <w:tc>
          <w:tcPr>
            <w:tcW w:w="387"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444</w:t>
            </w:r>
          </w:p>
        </w:tc>
        <w:tc>
          <w:tcPr>
            <w:tcW w:w="4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433"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0.9</w:t>
            </w:r>
          </w:p>
        </w:tc>
      </w:tr>
      <w:tr w:rsidR="00F66B9C" w:rsidRPr="00887429" w:rsidTr="00A81157">
        <w:trPr>
          <w:trHeight w:val="359"/>
        </w:trPr>
        <w:tc>
          <w:tcPr>
            <w:tcW w:w="555" w:type="pct"/>
          </w:tcPr>
          <w:p w:rsidR="00F66B9C" w:rsidRPr="00433520" w:rsidRDefault="00F66B9C" w:rsidP="00A81157">
            <w:pPr>
              <w:tabs>
                <w:tab w:val="left" w:pos="971"/>
                <w:tab w:val="left" w:pos="8100"/>
              </w:tabs>
              <w:rPr>
                <w:rFonts w:ascii="Arial" w:eastAsia="Times New Roman" w:hAnsi="Arial" w:cs="Arial"/>
                <w:b/>
                <w:bCs/>
                <w:color w:val="000000" w:themeColor="text1"/>
                <w:sz w:val="16"/>
                <w:szCs w:val="18"/>
              </w:rPr>
            </w:pPr>
            <w:r w:rsidRPr="00433520">
              <w:rPr>
                <w:rFonts w:ascii="Arial" w:eastAsia="Times New Roman" w:hAnsi="Arial" w:cs="Arial"/>
                <w:b/>
                <w:bCs/>
                <w:color w:val="000000" w:themeColor="text1"/>
                <w:sz w:val="16"/>
                <w:szCs w:val="18"/>
              </w:rPr>
              <w:t>Interaction (S × F)</w:t>
            </w:r>
          </w:p>
        </w:tc>
        <w:tc>
          <w:tcPr>
            <w:tcW w:w="555"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6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45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50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387"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4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c>
          <w:tcPr>
            <w:tcW w:w="433"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NS</w:t>
            </w:r>
          </w:p>
        </w:tc>
      </w:tr>
      <w:tr w:rsidR="00F66B9C" w:rsidRPr="00887429" w:rsidTr="00A81157">
        <w:trPr>
          <w:trHeight w:val="422"/>
        </w:trPr>
        <w:tc>
          <w:tcPr>
            <w:tcW w:w="555" w:type="pct"/>
          </w:tcPr>
          <w:p w:rsidR="00F66B9C" w:rsidRPr="00433520" w:rsidRDefault="00F66B9C" w:rsidP="00A81157">
            <w:pPr>
              <w:tabs>
                <w:tab w:val="left" w:pos="971"/>
                <w:tab w:val="left" w:pos="8100"/>
              </w:tabs>
              <w:jc w:val="right"/>
              <w:rPr>
                <w:rFonts w:ascii="Arial" w:hAnsi="Arial" w:cs="Arial"/>
                <w:b/>
                <w:bCs/>
                <w:color w:val="000000" w:themeColor="text1"/>
                <w:sz w:val="16"/>
                <w:szCs w:val="18"/>
              </w:rPr>
            </w:pPr>
            <w:r w:rsidRPr="00433520">
              <w:rPr>
                <w:rFonts w:ascii="Arial" w:eastAsia="Times New Roman" w:hAnsi="Arial" w:cs="Arial"/>
                <w:b/>
                <w:bCs/>
                <w:color w:val="000000" w:themeColor="text1"/>
                <w:sz w:val="16"/>
                <w:szCs w:val="18"/>
              </w:rPr>
              <w:t>C.V. %</w:t>
            </w:r>
          </w:p>
        </w:tc>
        <w:tc>
          <w:tcPr>
            <w:tcW w:w="555"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7.4</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7.0</w:t>
            </w:r>
          </w:p>
        </w:tc>
        <w:tc>
          <w:tcPr>
            <w:tcW w:w="310"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7.5</w:t>
            </w:r>
          </w:p>
        </w:tc>
        <w:tc>
          <w:tcPr>
            <w:tcW w:w="428"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8.1</w:t>
            </w:r>
          </w:p>
        </w:tc>
        <w:tc>
          <w:tcPr>
            <w:tcW w:w="6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9.0</w:t>
            </w:r>
          </w:p>
        </w:tc>
        <w:tc>
          <w:tcPr>
            <w:tcW w:w="45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7.9</w:t>
            </w:r>
          </w:p>
        </w:tc>
        <w:tc>
          <w:tcPr>
            <w:tcW w:w="502"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7.2</w:t>
            </w:r>
          </w:p>
        </w:tc>
        <w:tc>
          <w:tcPr>
            <w:tcW w:w="387"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10.5</w:t>
            </w:r>
          </w:p>
        </w:tc>
        <w:tc>
          <w:tcPr>
            <w:tcW w:w="434"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3.6</w:t>
            </w:r>
          </w:p>
        </w:tc>
        <w:tc>
          <w:tcPr>
            <w:tcW w:w="433" w:type="pct"/>
            <w:vAlign w:val="center"/>
          </w:tcPr>
          <w:p w:rsidR="00F66B9C" w:rsidRPr="00433520" w:rsidRDefault="00F66B9C" w:rsidP="00A81157">
            <w:pPr>
              <w:tabs>
                <w:tab w:val="left" w:pos="8100"/>
              </w:tabs>
              <w:jc w:val="center"/>
              <w:rPr>
                <w:rFonts w:ascii="Arial" w:hAnsi="Arial" w:cs="Arial"/>
                <w:color w:val="000000" w:themeColor="text1"/>
                <w:sz w:val="16"/>
                <w:szCs w:val="18"/>
              </w:rPr>
            </w:pPr>
            <w:r w:rsidRPr="00433520">
              <w:rPr>
                <w:rFonts w:ascii="Arial" w:hAnsi="Arial" w:cs="Arial"/>
                <w:color w:val="000000" w:themeColor="text1"/>
                <w:sz w:val="16"/>
                <w:szCs w:val="18"/>
              </w:rPr>
              <w:t>3.7</w:t>
            </w:r>
          </w:p>
        </w:tc>
      </w:tr>
    </w:tbl>
    <w:p w:rsidR="00F66B9C" w:rsidRDefault="00F66B9C" w:rsidP="00F66B9C">
      <w:pPr>
        <w:spacing w:line="240" w:lineRule="auto"/>
        <w:jc w:val="both"/>
        <w:rPr>
          <w:b/>
        </w:rPr>
      </w:pPr>
    </w:p>
    <w:p w:rsidR="00F66B9C" w:rsidRDefault="00F66B9C" w:rsidP="00F66B9C">
      <w:pPr>
        <w:spacing w:after="0" w:line="240" w:lineRule="auto"/>
        <w:jc w:val="both"/>
        <w:rPr>
          <w:rFonts w:ascii="Arial" w:hAnsi="Arial" w:cs="Arial"/>
          <w:b/>
          <w:bCs/>
          <w:color w:val="000000" w:themeColor="text1"/>
        </w:rPr>
      </w:pPr>
      <w:r w:rsidRPr="00433520">
        <w:rPr>
          <w:rFonts w:ascii="Arial" w:hAnsi="Arial" w:cs="Arial"/>
          <w:b/>
          <w:bCs/>
          <w:color w:val="000000" w:themeColor="text1"/>
        </w:rPr>
        <w:t xml:space="preserve">Table 2.  </w:t>
      </w:r>
      <w:r w:rsidRPr="00433520">
        <w:rPr>
          <w:rFonts w:ascii="Arial" w:hAnsi="Arial" w:cs="Arial"/>
          <w:b/>
          <w:bCs/>
          <w:color w:val="000000" w:themeColor="text1"/>
          <w:shd w:val="clear" w:color="auto" w:fill="FFFFFF"/>
        </w:rPr>
        <w:t xml:space="preserve">Effect of spacing and fertilizer levels </w:t>
      </w:r>
      <w:r w:rsidRPr="00433520">
        <w:rPr>
          <w:rFonts w:ascii="Arial" w:hAnsi="Arial" w:cs="Arial"/>
          <w:b/>
          <w:bCs/>
          <w:color w:val="000000" w:themeColor="text1"/>
        </w:rPr>
        <w:t>on economics</w:t>
      </w:r>
      <w:r w:rsidR="00381D48">
        <w:rPr>
          <w:rFonts w:ascii="Arial" w:hAnsi="Arial" w:cs="Arial"/>
          <w:b/>
          <w:bCs/>
          <w:color w:val="000000" w:themeColor="text1"/>
        </w:rPr>
        <w:t xml:space="preserve"> (</w:t>
      </w:r>
      <w:proofErr w:type="spellStart"/>
      <w:r w:rsidR="00381D48" w:rsidRPr="00381D48">
        <w:rPr>
          <w:rFonts w:ascii="Arial" w:hAnsi="Arial" w:cs="Arial"/>
          <w:b/>
          <w:bCs/>
          <w:color w:val="000000" w:themeColor="text1"/>
        </w:rPr>
        <w:t>Kalar</w:t>
      </w:r>
      <w:proofErr w:type="spellEnd"/>
      <w:r w:rsidR="00381D48">
        <w:rPr>
          <w:rFonts w:ascii="Arial" w:hAnsi="Arial" w:cs="Arial"/>
          <w:b/>
          <w:bCs/>
          <w:color w:val="000000" w:themeColor="text1"/>
        </w:rPr>
        <w:t xml:space="preserve">&amp; </w:t>
      </w:r>
      <w:proofErr w:type="spellStart"/>
      <w:r w:rsidR="00381D48" w:rsidRPr="00381D48">
        <w:rPr>
          <w:rFonts w:ascii="Arial" w:hAnsi="Arial" w:cs="Arial"/>
          <w:b/>
          <w:bCs/>
          <w:color w:val="000000" w:themeColor="text1"/>
        </w:rPr>
        <w:t>Gediya</w:t>
      </w:r>
      <w:proofErr w:type="spellEnd"/>
      <w:r w:rsidR="00381D48">
        <w:rPr>
          <w:rFonts w:ascii="Arial" w:hAnsi="Arial" w:cs="Arial"/>
          <w:b/>
          <w:bCs/>
          <w:color w:val="000000" w:themeColor="text1"/>
        </w:rPr>
        <w:t>, 2025)</w:t>
      </w:r>
    </w:p>
    <w:tbl>
      <w:tblPr>
        <w:tblW w:w="0" w:type="auto"/>
        <w:tblCellMar>
          <w:left w:w="0" w:type="dxa"/>
          <w:right w:w="0" w:type="dxa"/>
        </w:tblCellMar>
        <w:tblLook w:val="04A0" w:firstRow="1" w:lastRow="0" w:firstColumn="1" w:lastColumn="0" w:noHBand="0" w:noVBand="1"/>
      </w:tblPr>
      <w:tblGrid>
        <w:gridCol w:w="1087"/>
        <w:gridCol w:w="617"/>
        <w:gridCol w:w="767"/>
        <w:gridCol w:w="1707"/>
        <w:gridCol w:w="1482"/>
        <w:gridCol w:w="1582"/>
        <w:gridCol w:w="606"/>
      </w:tblGrid>
      <w:tr w:rsidR="00F66B9C" w:rsidRPr="001A0478" w:rsidTr="00A81157">
        <w:trPr>
          <w:trHeight w:val="499"/>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Treatment</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Yield (kg/ha)</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Gross realization (₹/ha)</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Cost of cultivation</w:t>
            </w:r>
          </w:p>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(₹/ha)</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Net realization (₹/ha)</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BCR</w:t>
            </w:r>
          </w:p>
        </w:tc>
      </w:tr>
      <w:tr w:rsidR="00F66B9C" w:rsidRPr="001A0478" w:rsidTr="00A81157">
        <w:trPr>
          <w:trHeight w:val="4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6B9C" w:rsidRPr="001A0478" w:rsidRDefault="00F66B9C" w:rsidP="00A81157">
            <w:pPr>
              <w:spacing w:after="0" w:line="240" w:lineRule="auto"/>
              <w:rPr>
                <w:rFonts w:ascii="Arial" w:eastAsia="Times New Roman" w:hAnsi="Arial" w:cs="Arial"/>
                <w:color w:val="000000" w:themeColor="text1"/>
                <w:sz w:val="18"/>
                <w:szCs w:val="18"/>
                <w:lang w:eastAsia="en-IN"/>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 xml:space="preserve">Pod </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b/>
                <w:bCs/>
                <w:color w:val="000000" w:themeColor="text1"/>
                <w:kern w:val="24"/>
                <w:sz w:val="18"/>
                <w:szCs w:val="18"/>
                <w:lang w:eastAsia="en-IN"/>
              </w:rPr>
              <w:t>Haulm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6B9C" w:rsidRPr="001A0478" w:rsidRDefault="00F66B9C" w:rsidP="00A81157">
            <w:pPr>
              <w:spacing w:after="0" w:line="240" w:lineRule="auto"/>
              <w:rPr>
                <w:rFonts w:ascii="Arial" w:eastAsia="Times New Roman" w:hAnsi="Arial" w:cs="Arial"/>
                <w:color w:val="000000" w:themeColor="text1"/>
                <w:sz w:val="18"/>
                <w:szCs w:val="18"/>
                <w:lang w:eastAsia="en-I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6B9C" w:rsidRPr="001A0478" w:rsidRDefault="00F66B9C" w:rsidP="00A81157">
            <w:pPr>
              <w:spacing w:after="0" w:line="240" w:lineRule="auto"/>
              <w:rPr>
                <w:rFonts w:ascii="Arial" w:eastAsia="Times New Roman" w:hAnsi="Arial" w:cs="Arial"/>
                <w:color w:val="000000" w:themeColor="text1"/>
                <w:sz w:val="18"/>
                <w:szCs w:val="18"/>
                <w:lang w:eastAsia="en-I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6B9C" w:rsidRPr="001A0478" w:rsidRDefault="00F66B9C" w:rsidP="00A81157">
            <w:pPr>
              <w:spacing w:after="0" w:line="240" w:lineRule="auto"/>
              <w:rPr>
                <w:rFonts w:ascii="Arial" w:eastAsia="Times New Roman" w:hAnsi="Arial" w:cs="Arial"/>
                <w:color w:val="000000" w:themeColor="text1"/>
                <w:sz w:val="18"/>
                <w:szCs w:val="18"/>
                <w:lang w:eastAsia="en-I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66B9C" w:rsidRPr="001A0478" w:rsidRDefault="00F66B9C" w:rsidP="00A81157">
            <w:pPr>
              <w:spacing w:after="0" w:line="240" w:lineRule="auto"/>
              <w:rPr>
                <w:rFonts w:ascii="Arial" w:eastAsia="Times New Roman" w:hAnsi="Arial" w:cs="Arial"/>
                <w:color w:val="000000" w:themeColor="text1"/>
                <w:sz w:val="18"/>
                <w:szCs w:val="18"/>
                <w:lang w:eastAsia="en-IN"/>
              </w:rPr>
            </w:pPr>
          </w:p>
        </w:tc>
      </w:tr>
      <w:tr w:rsidR="00F66B9C" w:rsidRPr="001A0478" w:rsidTr="00A81157">
        <w:trPr>
          <w:trHeight w:val="499"/>
        </w:trPr>
        <w:tc>
          <w:tcPr>
            <w:tcW w:w="0" w:type="auto"/>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tabs>
                <w:tab w:val="left" w:pos="283"/>
                <w:tab w:val="left" w:pos="563"/>
              </w:tabs>
              <w:spacing w:after="0" w:line="240" w:lineRule="auto"/>
              <w:ind w:left="288"/>
              <w:rPr>
                <w:rFonts w:ascii="Arial" w:eastAsia="Times New Roman" w:hAnsi="Arial" w:cs="Arial"/>
                <w:b/>
                <w:bCs/>
                <w:color w:val="000000" w:themeColor="text1"/>
                <w:sz w:val="18"/>
                <w:szCs w:val="18"/>
                <w:lang w:eastAsia="en-IN"/>
              </w:rPr>
            </w:pPr>
            <w:r w:rsidRPr="001A0478">
              <w:rPr>
                <w:rFonts w:ascii="Arial" w:hAnsi="Arial" w:cs="Arial"/>
                <w:b/>
                <w:bCs/>
                <w:color w:val="000000" w:themeColor="text1"/>
                <w:sz w:val="18"/>
                <w:szCs w:val="18"/>
              </w:rPr>
              <w:t>A.    Main Plot (Spacing) (S)</w:t>
            </w:r>
          </w:p>
        </w:tc>
      </w:tr>
      <w:tr w:rsidR="00F66B9C" w:rsidRPr="001A0478" w:rsidTr="00A81157">
        <w:trPr>
          <w:trHeight w:val="499"/>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tabs>
                <w:tab w:val="left" w:pos="0"/>
                <w:tab w:val="left" w:pos="426"/>
              </w:tabs>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S</w:t>
            </w:r>
            <w:r w:rsidRPr="001A0478">
              <w:rPr>
                <w:rFonts w:ascii="Arial" w:eastAsia="Times New Roman" w:hAnsi="Arial" w:cs="Arial"/>
                <w:color w:val="000000" w:themeColor="text1"/>
                <w:kern w:val="24"/>
                <w:position w:val="-8"/>
                <w:sz w:val="18"/>
                <w:szCs w:val="18"/>
                <w:vertAlign w:val="subscript"/>
                <w:lang w:eastAsia="en-IN"/>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1996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3697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110878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45707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65171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1.43</w:t>
            </w:r>
          </w:p>
        </w:tc>
      </w:tr>
      <w:tr w:rsidR="00F66B9C" w:rsidRPr="001A0478" w:rsidTr="00A81157">
        <w:trPr>
          <w:trHeight w:val="499"/>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tabs>
                <w:tab w:val="left" w:pos="0"/>
                <w:tab w:val="left" w:pos="426"/>
              </w:tabs>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S</w:t>
            </w:r>
            <w:r w:rsidRPr="001A0478">
              <w:rPr>
                <w:rFonts w:ascii="Arial" w:eastAsia="Times New Roman" w:hAnsi="Arial" w:cs="Arial"/>
                <w:color w:val="000000" w:themeColor="text1"/>
                <w:kern w:val="24"/>
                <w:position w:val="-8"/>
                <w:sz w:val="18"/>
                <w:szCs w:val="18"/>
                <w:vertAlign w:val="subscript"/>
                <w:lang w:eastAsia="en-IN"/>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2330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4348</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129530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45707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83823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1.83</w:t>
            </w:r>
          </w:p>
        </w:tc>
      </w:tr>
      <w:tr w:rsidR="00F66B9C" w:rsidRPr="001A0478" w:rsidTr="00A81157">
        <w:trPr>
          <w:trHeight w:val="499"/>
        </w:trPr>
        <w:tc>
          <w:tcPr>
            <w:tcW w:w="0" w:type="auto"/>
            <w:gridSpan w:val="7"/>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rPr>
                <w:rFonts w:ascii="Arial" w:eastAsia="Times New Roman" w:hAnsi="Arial" w:cs="Arial"/>
                <w:b/>
                <w:bCs/>
                <w:color w:val="000000" w:themeColor="text1"/>
                <w:sz w:val="18"/>
                <w:szCs w:val="18"/>
                <w:lang w:eastAsia="en-IN"/>
              </w:rPr>
            </w:pPr>
            <w:r w:rsidRPr="001A0478">
              <w:rPr>
                <w:rFonts w:ascii="Arial" w:hAnsi="Arial" w:cs="Arial"/>
                <w:b/>
                <w:bCs/>
                <w:color w:val="000000" w:themeColor="text1"/>
                <w:sz w:val="18"/>
                <w:szCs w:val="18"/>
              </w:rPr>
              <w:t xml:space="preserve">    B.     Sub Plot (Fertilizer Levels) (F) NPK (kg/ha)</w:t>
            </w:r>
          </w:p>
        </w:tc>
      </w:tr>
      <w:tr w:rsidR="00F66B9C" w:rsidRPr="001A0478" w:rsidTr="00A81157">
        <w:trPr>
          <w:trHeight w:val="499"/>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tabs>
                <w:tab w:val="left" w:pos="0"/>
                <w:tab w:val="left" w:pos="426"/>
              </w:tabs>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F</w:t>
            </w:r>
            <w:r w:rsidRPr="001A0478">
              <w:rPr>
                <w:rFonts w:ascii="Arial" w:eastAsia="Times New Roman" w:hAnsi="Arial" w:cs="Arial"/>
                <w:color w:val="000000" w:themeColor="text1"/>
                <w:kern w:val="24"/>
                <w:position w:val="-8"/>
                <w:sz w:val="18"/>
                <w:szCs w:val="18"/>
                <w:vertAlign w:val="subscript"/>
                <w:lang w:eastAsia="en-IN"/>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2010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3435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110824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43910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66914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1.52</w:t>
            </w:r>
          </w:p>
        </w:tc>
      </w:tr>
      <w:tr w:rsidR="00F66B9C" w:rsidRPr="001A0478" w:rsidTr="00A81157">
        <w:trPr>
          <w:trHeight w:val="499"/>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tabs>
                <w:tab w:val="left" w:pos="0"/>
                <w:tab w:val="left" w:pos="426"/>
              </w:tabs>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F</w:t>
            </w:r>
            <w:r w:rsidRPr="001A0478">
              <w:rPr>
                <w:rFonts w:ascii="Arial" w:eastAsia="Times New Roman" w:hAnsi="Arial" w:cs="Arial"/>
                <w:color w:val="000000" w:themeColor="text1"/>
                <w:kern w:val="24"/>
                <w:position w:val="-8"/>
                <w:sz w:val="18"/>
                <w:szCs w:val="18"/>
                <w:vertAlign w:val="subscript"/>
                <w:lang w:eastAsia="en-IN"/>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2074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3746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114931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45443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69488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1.53</w:t>
            </w:r>
          </w:p>
        </w:tc>
      </w:tr>
      <w:tr w:rsidR="00F66B9C" w:rsidRPr="001A0478" w:rsidTr="00A81157">
        <w:trPr>
          <w:trHeight w:val="499"/>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tabs>
                <w:tab w:val="left" w:pos="0"/>
                <w:tab w:val="left" w:pos="426"/>
              </w:tabs>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F</w:t>
            </w:r>
            <w:r w:rsidRPr="001A0478">
              <w:rPr>
                <w:rFonts w:ascii="Arial" w:eastAsia="Times New Roman" w:hAnsi="Arial" w:cs="Arial"/>
                <w:color w:val="000000" w:themeColor="text1"/>
                <w:kern w:val="24"/>
                <w:position w:val="-8"/>
                <w:sz w:val="18"/>
                <w:szCs w:val="18"/>
                <w:vertAlign w:val="subscript"/>
                <w:lang w:eastAsia="en-IN"/>
              </w:rPr>
              <w:t>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2252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4283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125454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45044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80411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1.79</w:t>
            </w:r>
          </w:p>
        </w:tc>
      </w:tr>
      <w:tr w:rsidR="00F66B9C" w:rsidRPr="001A0478" w:rsidTr="00A81157">
        <w:trPr>
          <w:trHeight w:val="499"/>
        </w:trPr>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tabs>
                <w:tab w:val="left" w:pos="0"/>
                <w:tab w:val="left" w:pos="426"/>
              </w:tabs>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lastRenderedPageBreak/>
              <w:t>F</w:t>
            </w:r>
            <w:r w:rsidRPr="001A0478">
              <w:rPr>
                <w:rFonts w:ascii="Arial" w:eastAsia="Times New Roman" w:hAnsi="Arial" w:cs="Arial"/>
                <w:color w:val="000000" w:themeColor="text1"/>
                <w:kern w:val="24"/>
                <w:position w:val="-8"/>
                <w:sz w:val="18"/>
                <w:szCs w:val="18"/>
                <w:vertAlign w:val="subscript"/>
                <w:lang w:eastAsia="en-IN"/>
              </w:rPr>
              <w:t>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2315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4627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rsidR="00F66B9C" w:rsidRPr="001A0478" w:rsidRDefault="00F66B9C" w:rsidP="00A81157">
            <w:pPr>
              <w:spacing w:after="0" w:line="240" w:lineRule="auto"/>
              <w:jc w:val="center"/>
              <w:rPr>
                <w:rFonts w:ascii="Arial" w:eastAsia="Times New Roman" w:hAnsi="Arial" w:cs="Arial"/>
                <w:color w:val="000000" w:themeColor="text1"/>
                <w:sz w:val="18"/>
                <w:szCs w:val="18"/>
                <w:lang w:eastAsia="en-IN"/>
              </w:rPr>
            </w:pPr>
            <w:r w:rsidRPr="001A0478">
              <w:rPr>
                <w:rFonts w:ascii="Arial" w:eastAsia="Times New Roman" w:hAnsi="Arial" w:cs="Arial"/>
                <w:color w:val="000000" w:themeColor="text1"/>
                <w:kern w:val="24"/>
                <w:sz w:val="18"/>
                <w:szCs w:val="18"/>
                <w:lang w:eastAsia="en-IN"/>
              </w:rPr>
              <w:t>129606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48431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81175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F66B9C" w:rsidRPr="001A0478" w:rsidRDefault="00F66B9C" w:rsidP="00A81157">
            <w:pPr>
              <w:spacing w:after="0" w:line="240" w:lineRule="auto"/>
              <w:jc w:val="center"/>
              <w:textAlignment w:val="bottom"/>
              <w:rPr>
                <w:rFonts w:ascii="Arial" w:eastAsia="Times New Roman" w:hAnsi="Arial" w:cs="Arial"/>
                <w:color w:val="000000" w:themeColor="text1"/>
                <w:sz w:val="18"/>
                <w:szCs w:val="18"/>
                <w:lang w:eastAsia="en-IN"/>
              </w:rPr>
            </w:pPr>
            <w:r w:rsidRPr="001A0478">
              <w:rPr>
                <w:rFonts w:ascii="Arial" w:hAnsi="Arial" w:cs="Arial"/>
                <w:color w:val="000000" w:themeColor="text1"/>
                <w:sz w:val="18"/>
                <w:szCs w:val="18"/>
              </w:rPr>
              <w:t>1.68</w:t>
            </w:r>
          </w:p>
        </w:tc>
      </w:tr>
    </w:tbl>
    <w:p w:rsidR="00381D48" w:rsidRPr="00381D48" w:rsidRDefault="00381D48" w:rsidP="00F66B9C">
      <w:pPr>
        <w:rPr>
          <w:rFonts w:ascii="Calibri" w:eastAsia="Calibri" w:hAnsi="Calibri" w:cs="Times New Roman"/>
          <w:b/>
          <w:kern w:val="2"/>
          <w:highlight w:val="yellow"/>
          <w:lang w:val="en-US"/>
        </w:rPr>
      </w:pPr>
      <w:bookmarkStart w:id="4" w:name="_Hlk197682619"/>
      <w:bookmarkStart w:id="5" w:name="_Hlk180402183"/>
      <w:bookmarkStart w:id="6" w:name="_Hlk183680988"/>
      <w:bookmarkStart w:id="7" w:name="_Hlk197351200"/>
      <w:bookmarkStart w:id="8" w:name="_Hlk213410455"/>
      <w:r w:rsidRPr="00381D48">
        <w:rPr>
          <w:rFonts w:ascii="Calibri" w:eastAsia="Calibri" w:hAnsi="Calibri" w:cs="Times New Roman"/>
          <w:b/>
          <w:kern w:val="2"/>
          <w:lang w:val="en-US"/>
        </w:rPr>
        <w:t>Disclaimer (Artificial intelligence)</w:t>
      </w:r>
    </w:p>
    <w:p w:rsidR="00F66B9C" w:rsidRPr="009C5487" w:rsidRDefault="00F66B9C" w:rsidP="00F66B9C">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4"/>
    <w:bookmarkEnd w:id="5"/>
    <w:bookmarkEnd w:id="6"/>
    <w:bookmarkEnd w:id="7"/>
    <w:bookmarkEnd w:id="8"/>
    <w:p w:rsidR="00F66B9C" w:rsidRDefault="00F66B9C" w:rsidP="00F66B9C">
      <w:pPr>
        <w:spacing w:before="180"/>
        <w:ind w:left="263" w:firstLine="97"/>
        <w:contextualSpacing/>
        <w:rPr>
          <w:rFonts w:ascii="Arial" w:hAnsi="Arial" w:cs="Arial"/>
          <w:b/>
          <w:color w:val="000000" w:themeColor="text1"/>
          <w:spacing w:val="-2"/>
        </w:rPr>
      </w:pPr>
    </w:p>
    <w:p w:rsidR="00F66B9C" w:rsidRPr="00C058DE" w:rsidRDefault="00F66B9C" w:rsidP="00F66B9C">
      <w:pPr>
        <w:spacing w:before="180"/>
        <w:ind w:left="263" w:firstLine="97"/>
        <w:contextualSpacing/>
        <w:rPr>
          <w:rFonts w:ascii="Arial" w:hAnsi="Arial" w:cs="Arial"/>
          <w:b/>
          <w:color w:val="000000" w:themeColor="text1"/>
          <w:spacing w:val="-2"/>
        </w:rPr>
      </w:pPr>
      <w:r w:rsidRPr="00C058DE">
        <w:rPr>
          <w:rFonts w:ascii="Arial" w:hAnsi="Arial" w:cs="Arial"/>
          <w:b/>
          <w:color w:val="000000" w:themeColor="text1"/>
          <w:spacing w:val="-2"/>
        </w:rPr>
        <w:t>REFERENCES:</w:t>
      </w:r>
    </w:p>
    <w:p w:rsidR="00F66B9C" w:rsidRPr="00381D48" w:rsidRDefault="00F66B9C" w:rsidP="00381D48">
      <w:pPr>
        <w:pStyle w:val="ListParagraph"/>
        <w:numPr>
          <w:ilvl w:val="0"/>
          <w:numId w:val="1"/>
        </w:numPr>
        <w:tabs>
          <w:tab w:val="left" w:pos="284"/>
        </w:tabs>
        <w:spacing w:before="240" w:after="240" w:line="276" w:lineRule="auto"/>
        <w:rPr>
          <w:rFonts w:ascii="Arial" w:hAnsi="Arial" w:cs="Arial"/>
          <w:lang w:eastAsia="ja-JP"/>
        </w:rPr>
      </w:pPr>
      <w:r w:rsidRPr="00381D48">
        <w:rPr>
          <w:rFonts w:ascii="Arial" w:hAnsi="Arial" w:cs="Arial"/>
          <w:lang w:eastAsia="ja-JP"/>
        </w:rPr>
        <w:t xml:space="preserve">Anonymous. (2021). *Final advance estimate 2020-21*. Directorate of Agriculture, Gandhinagar, Gujarat. </w:t>
      </w:r>
      <w:hyperlink r:id="rId7" w:history="1">
        <w:r w:rsidRPr="00381D48">
          <w:rPr>
            <w:rStyle w:val="Hyperlink"/>
            <w:rFonts w:ascii="Arial" w:hAnsi="Arial" w:cs="Arial"/>
            <w:lang w:eastAsia="ja-JP"/>
          </w:rPr>
          <w:t>https://dag.gujarat.gov.in/images/directorofagriculture/pdf/final-advance-estimate-2020-21.pdf</w:t>
        </w:r>
      </w:hyperlink>
      <w:r w:rsidRPr="00381D48">
        <w:rPr>
          <w:rFonts w:ascii="Arial" w:hAnsi="Arial" w:cs="Arial"/>
          <w:lang w:eastAsia="ja-JP"/>
        </w:rPr>
        <w:t xml:space="preserve"> </w:t>
      </w:r>
    </w:p>
    <w:p w:rsidR="00F66B9C" w:rsidRPr="00381D48" w:rsidRDefault="00F66B9C" w:rsidP="00381D48">
      <w:pPr>
        <w:pStyle w:val="ListParagraph"/>
        <w:numPr>
          <w:ilvl w:val="0"/>
          <w:numId w:val="1"/>
        </w:numPr>
        <w:tabs>
          <w:tab w:val="left" w:pos="284"/>
        </w:tabs>
        <w:spacing w:before="240" w:after="240" w:line="276" w:lineRule="auto"/>
        <w:rPr>
          <w:rFonts w:ascii="Arial" w:hAnsi="Arial" w:cs="Arial"/>
          <w:lang w:eastAsia="ja-JP"/>
        </w:rPr>
      </w:pPr>
      <w:proofErr w:type="spellStart"/>
      <w:r w:rsidRPr="00381D48">
        <w:rPr>
          <w:rFonts w:ascii="Arial" w:hAnsi="Arial" w:cs="Arial"/>
          <w:lang w:eastAsia="ja-JP"/>
        </w:rPr>
        <w:t>Fageria</w:t>
      </w:r>
      <w:proofErr w:type="spellEnd"/>
      <w:r w:rsidRPr="00381D48">
        <w:rPr>
          <w:rFonts w:ascii="Arial" w:hAnsi="Arial" w:cs="Arial"/>
          <w:lang w:eastAsia="ja-JP"/>
        </w:rPr>
        <w:t xml:space="preserve">, N. K., </w:t>
      </w:r>
      <w:proofErr w:type="spellStart"/>
      <w:r w:rsidRPr="00381D48">
        <w:rPr>
          <w:rFonts w:ascii="Arial" w:hAnsi="Arial" w:cs="Arial"/>
          <w:lang w:eastAsia="ja-JP"/>
        </w:rPr>
        <w:t>Baligar</w:t>
      </w:r>
      <w:proofErr w:type="spellEnd"/>
      <w:r w:rsidRPr="00381D48">
        <w:rPr>
          <w:rFonts w:ascii="Arial" w:hAnsi="Arial" w:cs="Arial"/>
          <w:lang w:eastAsia="ja-JP"/>
        </w:rPr>
        <w:t xml:space="preserve">, V. C., &amp; Jones, C. (1997). Growth and mineral nutrition of field </w:t>
      </w:r>
      <w:proofErr w:type="spellStart"/>
      <w:proofErr w:type="gramStart"/>
      <w:r w:rsidRPr="00381D48">
        <w:rPr>
          <w:rFonts w:ascii="Arial" w:hAnsi="Arial" w:cs="Arial"/>
          <w:lang w:eastAsia="ja-JP"/>
        </w:rPr>
        <w:t>crop.Marcel</w:t>
      </w:r>
      <w:proofErr w:type="spellEnd"/>
      <w:proofErr w:type="gramEnd"/>
      <w:r w:rsidRPr="00381D48">
        <w:rPr>
          <w:rFonts w:ascii="Arial" w:hAnsi="Arial" w:cs="Arial"/>
          <w:lang w:eastAsia="ja-JP"/>
        </w:rPr>
        <w:t xml:space="preserve"> </w:t>
      </w:r>
      <w:proofErr w:type="spellStart"/>
      <w:r w:rsidRPr="00381D48">
        <w:rPr>
          <w:rFonts w:ascii="Arial" w:hAnsi="Arial" w:cs="Arial"/>
          <w:lang w:eastAsia="ja-JP"/>
        </w:rPr>
        <w:t>Dakker</w:t>
      </w:r>
      <w:proofErr w:type="spellEnd"/>
      <w:r w:rsidRPr="00381D48">
        <w:rPr>
          <w:rFonts w:ascii="Arial" w:hAnsi="Arial" w:cs="Arial"/>
          <w:lang w:eastAsia="ja-JP"/>
        </w:rPr>
        <w:t>. </w:t>
      </w:r>
      <w:r w:rsidRPr="00381D48">
        <w:rPr>
          <w:rFonts w:ascii="Arial" w:hAnsi="Arial" w:cs="Arial"/>
          <w:i/>
          <w:iCs/>
          <w:lang w:eastAsia="ja-JP"/>
        </w:rPr>
        <w:t>Inc, New York</w:t>
      </w:r>
      <w:r w:rsidRPr="00381D48">
        <w:rPr>
          <w:rFonts w:ascii="Arial" w:hAnsi="Arial" w:cs="Arial"/>
          <w:lang w:eastAsia="ja-JP"/>
        </w:rPr>
        <w:t>, </w:t>
      </w:r>
      <w:r w:rsidRPr="00381D48">
        <w:rPr>
          <w:rFonts w:ascii="Arial" w:hAnsi="Arial" w:cs="Arial"/>
          <w:i/>
          <w:iCs/>
          <w:lang w:eastAsia="ja-JP"/>
        </w:rPr>
        <w:t>1001</w:t>
      </w:r>
      <w:r w:rsidRPr="00381D48">
        <w:rPr>
          <w:rFonts w:ascii="Arial" w:hAnsi="Arial" w:cs="Arial"/>
          <w:lang w:eastAsia="ja-JP"/>
        </w:rPr>
        <w:t>.</w:t>
      </w:r>
    </w:p>
    <w:p w:rsidR="00F66B9C" w:rsidRPr="00381D48" w:rsidRDefault="00F66B9C" w:rsidP="00381D48">
      <w:pPr>
        <w:pStyle w:val="ListParagraph"/>
        <w:numPr>
          <w:ilvl w:val="0"/>
          <w:numId w:val="1"/>
        </w:numPr>
        <w:tabs>
          <w:tab w:val="left" w:pos="284"/>
        </w:tabs>
        <w:spacing w:before="240" w:after="240" w:line="276" w:lineRule="auto"/>
        <w:rPr>
          <w:rFonts w:ascii="Arial" w:hAnsi="Arial" w:cs="Arial"/>
          <w:lang w:eastAsia="ja-JP"/>
        </w:rPr>
      </w:pPr>
      <w:bookmarkStart w:id="9" w:name="_Hlk99353926"/>
      <w:r w:rsidRPr="00381D48">
        <w:rPr>
          <w:rFonts w:ascii="Arial" w:hAnsi="Arial" w:cs="Arial"/>
          <w:lang w:eastAsia="ja-JP"/>
        </w:rPr>
        <w:t xml:space="preserve">Joshi, E., </w:t>
      </w:r>
      <w:proofErr w:type="spellStart"/>
      <w:r w:rsidRPr="00381D48">
        <w:rPr>
          <w:rFonts w:ascii="Arial" w:hAnsi="Arial" w:cs="Arial"/>
          <w:lang w:eastAsia="ja-JP"/>
        </w:rPr>
        <w:t>Sasode</w:t>
      </w:r>
      <w:proofErr w:type="spellEnd"/>
      <w:r w:rsidRPr="00381D48">
        <w:rPr>
          <w:rFonts w:ascii="Arial" w:hAnsi="Arial" w:cs="Arial"/>
          <w:lang w:eastAsia="ja-JP"/>
        </w:rPr>
        <w:t xml:space="preserve">, D. S., Gupta, V., &amp; Tiwari, S. (2018). Productivity and profitability of groundnut as influenced by crop geometry and plant nutrition. Annals of Agricultural Research. </w:t>
      </w:r>
      <w:hyperlink r:id="rId8" w:history="1">
        <w:r w:rsidRPr="00381D48">
          <w:rPr>
            <w:rStyle w:val="Hyperlink"/>
            <w:rFonts w:ascii="Arial" w:hAnsi="Arial" w:cs="Arial"/>
            <w:lang w:eastAsia="ja-JP"/>
          </w:rPr>
          <w:t>https://epubs.icar.org.in/index.php/AAR/article/view/79055</w:t>
        </w:r>
      </w:hyperlink>
      <w:r w:rsidRPr="00381D48">
        <w:rPr>
          <w:rFonts w:ascii="Arial" w:hAnsi="Arial" w:cs="Arial"/>
          <w:lang w:eastAsia="ja-JP"/>
        </w:rPr>
        <w:t xml:space="preserve"> </w:t>
      </w:r>
    </w:p>
    <w:p w:rsidR="00F66B9C" w:rsidRPr="00381D48" w:rsidRDefault="00F66B9C" w:rsidP="00381D48">
      <w:pPr>
        <w:pStyle w:val="ListParagraph"/>
        <w:numPr>
          <w:ilvl w:val="0"/>
          <w:numId w:val="1"/>
        </w:numPr>
        <w:tabs>
          <w:tab w:val="left" w:pos="284"/>
        </w:tabs>
        <w:spacing w:before="240" w:after="240" w:line="276" w:lineRule="auto"/>
        <w:rPr>
          <w:rFonts w:ascii="Arial" w:hAnsi="Arial" w:cs="Arial"/>
          <w:lang w:eastAsia="ja-JP"/>
        </w:rPr>
      </w:pPr>
      <w:bookmarkStart w:id="10" w:name="_Hlk99355227"/>
      <w:bookmarkEnd w:id="9"/>
      <w:proofErr w:type="spellStart"/>
      <w:r w:rsidRPr="00381D48">
        <w:rPr>
          <w:rFonts w:ascii="Arial" w:hAnsi="Arial" w:cs="Arial"/>
          <w:lang w:eastAsia="ja-JP"/>
        </w:rPr>
        <w:t>Kathirvelan</w:t>
      </w:r>
      <w:bookmarkEnd w:id="10"/>
      <w:proofErr w:type="spellEnd"/>
      <w:r w:rsidRPr="00381D48">
        <w:rPr>
          <w:rFonts w:ascii="Arial" w:hAnsi="Arial" w:cs="Arial"/>
          <w:lang w:eastAsia="ja-JP"/>
        </w:rPr>
        <w:t xml:space="preserve">, P., &amp; </w:t>
      </w:r>
      <w:proofErr w:type="spellStart"/>
      <w:r w:rsidRPr="00381D48">
        <w:rPr>
          <w:rFonts w:ascii="Arial" w:hAnsi="Arial" w:cs="Arial"/>
          <w:lang w:eastAsia="ja-JP"/>
        </w:rPr>
        <w:t>Kalaiselvan</w:t>
      </w:r>
      <w:proofErr w:type="spellEnd"/>
      <w:r w:rsidRPr="00381D48">
        <w:rPr>
          <w:rFonts w:ascii="Arial" w:hAnsi="Arial" w:cs="Arial"/>
          <w:lang w:eastAsia="ja-JP"/>
        </w:rPr>
        <w:t xml:space="preserve">, P. </w:t>
      </w:r>
      <w:bookmarkStart w:id="11" w:name="_Hlk99355482"/>
      <w:r w:rsidRPr="00381D48">
        <w:rPr>
          <w:rFonts w:ascii="Arial" w:hAnsi="Arial" w:cs="Arial"/>
          <w:lang w:eastAsia="ja-JP"/>
        </w:rPr>
        <w:t>(2007)</w:t>
      </w:r>
      <w:bookmarkEnd w:id="11"/>
      <w:r w:rsidRPr="00381D48">
        <w:rPr>
          <w:rFonts w:ascii="Arial" w:hAnsi="Arial" w:cs="Arial"/>
          <w:lang w:eastAsia="ja-JP"/>
        </w:rPr>
        <w:t>. Studies on agro management techniques for confectionery groundnut under irrigated condition. </w:t>
      </w:r>
      <w:r w:rsidRPr="00381D48">
        <w:rPr>
          <w:rFonts w:ascii="Arial" w:hAnsi="Arial" w:cs="Arial"/>
          <w:i/>
          <w:iCs/>
          <w:lang w:eastAsia="ja-JP"/>
        </w:rPr>
        <w:t>Research Journal of Agriculture and Biological Sciences</w:t>
      </w:r>
      <w:r w:rsidRPr="00381D48">
        <w:rPr>
          <w:rFonts w:ascii="Arial" w:hAnsi="Arial" w:cs="Arial"/>
          <w:lang w:eastAsia="ja-JP"/>
        </w:rPr>
        <w:t xml:space="preserve">, 3(1), 52-58. </w:t>
      </w:r>
    </w:p>
    <w:p w:rsidR="00F66B9C" w:rsidRPr="00381D48" w:rsidRDefault="00F66B9C" w:rsidP="00381D48">
      <w:pPr>
        <w:pStyle w:val="ListParagraph"/>
        <w:numPr>
          <w:ilvl w:val="0"/>
          <w:numId w:val="1"/>
        </w:numPr>
        <w:tabs>
          <w:tab w:val="left" w:pos="284"/>
        </w:tabs>
        <w:spacing w:before="240" w:after="240" w:line="276" w:lineRule="auto"/>
        <w:rPr>
          <w:rFonts w:ascii="Arial" w:hAnsi="Arial" w:cs="Arial"/>
          <w:lang w:eastAsia="ja-JP"/>
        </w:rPr>
      </w:pPr>
      <w:proofErr w:type="spellStart"/>
      <w:r w:rsidRPr="00381D48">
        <w:rPr>
          <w:rFonts w:ascii="Arial" w:hAnsi="Arial" w:cs="Arial"/>
          <w:lang w:eastAsia="ja-JP"/>
        </w:rPr>
        <w:t>Palsande</w:t>
      </w:r>
      <w:proofErr w:type="spellEnd"/>
      <w:r w:rsidRPr="00381D48">
        <w:rPr>
          <w:rFonts w:ascii="Arial" w:hAnsi="Arial" w:cs="Arial"/>
          <w:lang w:eastAsia="ja-JP"/>
        </w:rPr>
        <w:t xml:space="preserve">, V. N., </w:t>
      </w:r>
      <w:proofErr w:type="spellStart"/>
      <w:r w:rsidRPr="00381D48">
        <w:rPr>
          <w:rFonts w:ascii="Arial" w:hAnsi="Arial" w:cs="Arial"/>
          <w:lang w:eastAsia="ja-JP"/>
        </w:rPr>
        <w:t>Nagrale</w:t>
      </w:r>
      <w:proofErr w:type="spellEnd"/>
      <w:r w:rsidRPr="00381D48">
        <w:rPr>
          <w:rFonts w:ascii="Arial" w:hAnsi="Arial" w:cs="Arial"/>
          <w:lang w:eastAsia="ja-JP"/>
        </w:rPr>
        <w:t xml:space="preserve">, M. R., </w:t>
      </w:r>
      <w:proofErr w:type="spellStart"/>
      <w:r w:rsidRPr="00381D48">
        <w:rPr>
          <w:rFonts w:ascii="Arial" w:hAnsi="Arial" w:cs="Arial"/>
          <w:lang w:eastAsia="ja-JP"/>
        </w:rPr>
        <w:t>Kasture</w:t>
      </w:r>
      <w:proofErr w:type="spellEnd"/>
      <w:r w:rsidRPr="00381D48">
        <w:rPr>
          <w:rFonts w:ascii="Arial" w:hAnsi="Arial" w:cs="Arial"/>
          <w:lang w:eastAsia="ja-JP"/>
        </w:rPr>
        <w:t xml:space="preserve">, M. C., Gokhale, N. B., </w:t>
      </w:r>
      <w:proofErr w:type="spellStart"/>
      <w:r w:rsidRPr="00381D48">
        <w:rPr>
          <w:rFonts w:ascii="Arial" w:hAnsi="Arial" w:cs="Arial"/>
          <w:lang w:eastAsia="ja-JP"/>
        </w:rPr>
        <w:t>Dhekale</w:t>
      </w:r>
      <w:proofErr w:type="spellEnd"/>
      <w:r w:rsidRPr="00381D48">
        <w:rPr>
          <w:rFonts w:ascii="Arial" w:hAnsi="Arial" w:cs="Arial"/>
          <w:lang w:eastAsia="ja-JP"/>
        </w:rPr>
        <w:t>, J. S., &amp; Salvi, V. G. (2019). Growth, yield and quality of kharif groundnut (</w:t>
      </w:r>
      <w:proofErr w:type="spellStart"/>
      <w:r w:rsidRPr="00381D48">
        <w:rPr>
          <w:rFonts w:ascii="Arial" w:hAnsi="Arial" w:cs="Arial"/>
          <w:lang w:eastAsia="ja-JP"/>
        </w:rPr>
        <w:t>Arachis</w:t>
      </w:r>
      <w:proofErr w:type="spellEnd"/>
      <w:r w:rsidRPr="00381D48">
        <w:rPr>
          <w:rFonts w:ascii="Arial" w:hAnsi="Arial" w:cs="Arial"/>
          <w:lang w:eastAsia="ja-JP"/>
        </w:rPr>
        <w:t xml:space="preserve"> </w:t>
      </w:r>
      <w:proofErr w:type="spellStart"/>
      <w:r w:rsidRPr="00381D48">
        <w:rPr>
          <w:rFonts w:ascii="Arial" w:hAnsi="Arial" w:cs="Arial"/>
          <w:lang w:eastAsia="ja-JP"/>
        </w:rPr>
        <w:t>hypogaea</w:t>
      </w:r>
      <w:proofErr w:type="spellEnd"/>
      <w:r w:rsidRPr="00381D48">
        <w:rPr>
          <w:rFonts w:ascii="Arial" w:hAnsi="Arial" w:cs="Arial"/>
          <w:lang w:eastAsia="ja-JP"/>
        </w:rPr>
        <w:t xml:space="preserve"> L.) as affected by different levels of nitrogen, potassium and zinc in lateritic soils of Konkan. Journal of Pharmacognosy and Phytochemistry, 8(5), 790-794. </w:t>
      </w:r>
      <w:hyperlink r:id="rId9" w:history="1">
        <w:r w:rsidRPr="00381D48">
          <w:rPr>
            <w:rStyle w:val="Hyperlink"/>
            <w:rFonts w:ascii="Arial" w:hAnsi="Arial" w:cs="Arial"/>
            <w:lang w:eastAsia="ja-JP"/>
          </w:rPr>
          <w:t>https://www.phytojournal.com/archives/2019/vol8issue5/PartL/8-5-10-790.pdf</w:t>
        </w:r>
      </w:hyperlink>
      <w:r w:rsidRPr="00381D48">
        <w:rPr>
          <w:rFonts w:ascii="Arial" w:hAnsi="Arial" w:cs="Arial"/>
          <w:lang w:eastAsia="ja-JP"/>
        </w:rPr>
        <w:t xml:space="preserve"> .</w:t>
      </w:r>
      <w:bookmarkStart w:id="12" w:name="_Hlk137650422"/>
    </w:p>
    <w:bookmarkEnd w:id="12"/>
    <w:p w:rsidR="00F66B9C" w:rsidRPr="00381D48" w:rsidRDefault="00F66B9C" w:rsidP="00381D48">
      <w:pPr>
        <w:pStyle w:val="ListParagraph"/>
        <w:numPr>
          <w:ilvl w:val="0"/>
          <w:numId w:val="1"/>
        </w:numPr>
        <w:tabs>
          <w:tab w:val="left" w:pos="284"/>
        </w:tabs>
        <w:spacing w:before="240" w:after="240" w:line="276" w:lineRule="auto"/>
        <w:rPr>
          <w:rFonts w:ascii="Arial" w:hAnsi="Arial" w:cs="Arial"/>
          <w:lang w:eastAsia="ja-JP"/>
        </w:rPr>
      </w:pPr>
      <w:proofErr w:type="spellStart"/>
      <w:r w:rsidRPr="00381D48">
        <w:rPr>
          <w:rFonts w:ascii="Arial" w:hAnsi="Arial" w:cs="Arial"/>
          <w:lang w:eastAsia="ja-JP"/>
        </w:rPr>
        <w:t>Parameshwarareddy</w:t>
      </w:r>
      <w:proofErr w:type="spellEnd"/>
      <w:r w:rsidRPr="00381D48">
        <w:rPr>
          <w:rFonts w:ascii="Arial" w:hAnsi="Arial" w:cs="Arial"/>
          <w:lang w:eastAsia="ja-JP"/>
        </w:rPr>
        <w:t xml:space="preserve">, R., </w:t>
      </w:r>
      <w:proofErr w:type="spellStart"/>
      <w:r w:rsidRPr="00381D48">
        <w:rPr>
          <w:rFonts w:ascii="Arial" w:hAnsi="Arial" w:cs="Arial"/>
          <w:lang w:eastAsia="ja-JP"/>
        </w:rPr>
        <w:t>Angadi</w:t>
      </w:r>
      <w:proofErr w:type="spellEnd"/>
      <w:r w:rsidRPr="00381D48">
        <w:rPr>
          <w:rFonts w:ascii="Arial" w:hAnsi="Arial" w:cs="Arial"/>
          <w:lang w:eastAsia="ja-JP"/>
        </w:rPr>
        <w:t xml:space="preserve">, S. S., &amp; </w:t>
      </w:r>
      <w:proofErr w:type="spellStart"/>
      <w:r w:rsidRPr="00381D48">
        <w:rPr>
          <w:rFonts w:ascii="Arial" w:hAnsi="Arial" w:cs="Arial"/>
          <w:lang w:eastAsia="ja-JP"/>
        </w:rPr>
        <w:t>Yenagi</w:t>
      </w:r>
      <w:proofErr w:type="spellEnd"/>
      <w:r w:rsidRPr="00381D48">
        <w:rPr>
          <w:rFonts w:ascii="Arial" w:hAnsi="Arial" w:cs="Arial"/>
          <w:lang w:eastAsia="ja-JP"/>
        </w:rPr>
        <w:t xml:space="preserve">, B. S. (2019). Influence of plant spacing and fertilizer levels on growth and yield of summer groundnut. Journal of Pharmacognosy and Phytochemistry, 8(3), 3745-3748. </w:t>
      </w:r>
      <w:hyperlink r:id="rId10" w:history="1">
        <w:r w:rsidRPr="00381D48">
          <w:rPr>
            <w:rStyle w:val="Hyperlink"/>
            <w:rFonts w:ascii="Arial" w:hAnsi="Arial" w:cs="Arial"/>
            <w:lang w:eastAsia="ja-JP"/>
          </w:rPr>
          <w:t>https://www.jpp.co.in/vol-8-issue-3-2019</w:t>
        </w:r>
      </w:hyperlink>
      <w:r w:rsidRPr="00381D48">
        <w:rPr>
          <w:rFonts w:ascii="Arial" w:hAnsi="Arial" w:cs="Arial"/>
          <w:lang w:eastAsia="ja-JP"/>
        </w:rPr>
        <w:t xml:space="preserve"> .</w:t>
      </w:r>
    </w:p>
    <w:p w:rsidR="00F66B9C" w:rsidRPr="00381D48" w:rsidRDefault="00F66B9C" w:rsidP="00381D48">
      <w:pPr>
        <w:pStyle w:val="ListParagraph"/>
        <w:numPr>
          <w:ilvl w:val="0"/>
          <w:numId w:val="1"/>
        </w:numPr>
        <w:tabs>
          <w:tab w:val="left" w:pos="284"/>
        </w:tabs>
        <w:spacing w:before="240" w:after="240" w:line="276" w:lineRule="auto"/>
        <w:rPr>
          <w:rFonts w:ascii="Arial" w:hAnsi="Arial" w:cs="Arial"/>
          <w:lang w:eastAsia="ja-JP"/>
        </w:rPr>
      </w:pPr>
      <w:r w:rsidRPr="00381D48">
        <w:rPr>
          <w:rFonts w:ascii="Arial" w:hAnsi="Arial" w:cs="Arial"/>
          <w:lang w:eastAsia="ja-JP"/>
        </w:rPr>
        <w:t xml:space="preserve">Raju, G. V., </w:t>
      </w:r>
      <w:proofErr w:type="spellStart"/>
      <w:r w:rsidRPr="00381D48">
        <w:rPr>
          <w:rFonts w:ascii="Arial" w:hAnsi="Arial" w:cs="Arial"/>
          <w:lang w:eastAsia="ja-JP"/>
        </w:rPr>
        <w:t>Umesha</w:t>
      </w:r>
      <w:proofErr w:type="spellEnd"/>
      <w:r w:rsidRPr="00381D48">
        <w:rPr>
          <w:rFonts w:ascii="Arial" w:hAnsi="Arial" w:cs="Arial"/>
          <w:lang w:eastAsia="ja-JP"/>
        </w:rPr>
        <w:t>, C., Reddy, S. M., &amp; Krishna, P. V. (2022). Effect of spacing and organic manures on growth and yield of groundnut (</w:t>
      </w:r>
      <w:proofErr w:type="spellStart"/>
      <w:r w:rsidRPr="00381D48">
        <w:rPr>
          <w:rFonts w:ascii="Arial" w:hAnsi="Arial" w:cs="Arial"/>
          <w:lang w:eastAsia="ja-JP"/>
        </w:rPr>
        <w:t>Arachis</w:t>
      </w:r>
      <w:proofErr w:type="spellEnd"/>
      <w:r w:rsidRPr="00381D48">
        <w:rPr>
          <w:rFonts w:ascii="Arial" w:hAnsi="Arial" w:cs="Arial"/>
          <w:lang w:eastAsia="ja-JP"/>
        </w:rPr>
        <w:t xml:space="preserve"> </w:t>
      </w:r>
      <w:proofErr w:type="spellStart"/>
      <w:r w:rsidRPr="00381D48">
        <w:rPr>
          <w:rFonts w:ascii="Arial" w:hAnsi="Arial" w:cs="Arial"/>
          <w:lang w:eastAsia="ja-JP"/>
        </w:rPr>
        <w:t>hypogaea</w:t>
      </w:r>
      <w:proofErr w:type="spellEnd"/>
      <w:r w:rsidRPr="00381D48">
        <w:rPr>
          <w:rFonts w:ascii="Arial" w:hAnsi="Arial" w:cs="Arial"/>
          <w:lang w:eastAsia="ja-JP"/>
        </w:rPr>
        <w:t xml:space="preserve"> L.). The Pharma Innovation Journal. </w:t>
      </w:r>
      <w:hyperlink r:id="rId11" w:history="1">
        <w:r w:rsidRPr="00381D48">
          <w:rPr>
            <w:rStyle w:val="Hyperlink"/>
            <w:rFonts w:ascii="Arial" w:hAnsi="Arial" w:cs="Arial"/>
            <w:lang w:eastAsia="ja-JP"/>
          </w:rPr>
          <w:t>https://www.thepharmajournal.com/archives/2022/vol11issue3/PartE/11-3-10-100.pdf</w:t>
        </w:r>
      </w:hyperlink>
      <w:r w:rsidRPr="00381D48">
        <w:rPr>
          <w:rFonts w:ascii="Arial" w:hAnsi="Arial" w:cs="Arial"/>
          <w:lang w:eastAsia="ja-JP"/>
        </w:rPr>
        <w:t xml:space="preserve"> </w:t>
      </w:r>
    </w:p>
    <w:p w:rsidR="00F66B9C" w:rsidRPr="00381D48" w:rsidRDefault="00F66B9C" w:rsidP="00381D48">
      <w:pPr>
        <w:pStyle w:val="ListParagraph"/>
        <w:numPr>
          <w:ilvl w:val="0"/>
          <w:numId w:val="1"/>
        </w:numPr>
        <w:tabs>
          <w:tab w:val="left" w:pos="284"/>
        </w:tabs>
        <w:spacing w:before="240" w:after="240" w:line="276" w:lineRule="auto"/>
        <w:rPr>
          <w:rFonts w:ascii="Arial" w:hAnsi="Arial" w:cs="Arial"/>
          <w:lang w:eastAsia="ja-JP"/>
        </w:rPr>
      </w:pPr>
      <w:proofErr w:type="spellStart"/>
      <w:r w:rsidRPr="00381D48">
        <w:rPr>
          <w:rFonts w:ascii="Arial" w:hAnsi="Arial" w:cs="Arial"/>
          <w:lang w:eastAsia="ja-JP"/>
        </w:rPr>
        <w:t>Sakarvadia</w:t>
      </w:r>
      <w:proofErr w:type="spellEnd"/>
      <w:r w:rsidRPr="00381D48">
        <w:rPr>
          <w:rFonts w:ascii="Arial" w:hAnsi="Arial" w:cs="Arial"/>
          <w:lang w:eastAsia="ja-JP"/>
        </w:rPr>
        <w:t xml:space="preserve">, H. L., </w:t>
      </w:r>
      <w:proofErr w:type="spellStart"/>
      <w:r w:rsidRPr="00381D48">
        <w:rPr>
          <w:rFonts w:ascii="Arial" w:hAnsi="Arial" w:cs="Arial"/>
          <w:lang w:eastAsia="ja-JP"/>
        </w:rPr>
        <w:t>Vekaria</w:t>
      </w:r>
      <w:proofErr w:type="spellEnd"/>
      <w:r w:rsidRPr="00381D48">
        <w:rPr>
          <w:rFonts w:ascii="Arial" w:hAnsi="Arial" w:cs="Arial"/>
          <w:lang w:eastAsia="ja-JP"/>
        </w:rPr>
        <w:t xml:space="preserve">, L. C., </w:t>
      </w:r>
      <w:proofErr w:type="spellStart"/>
      <w:r w:rsidRPr="00381D48">
        <w:rPr>
          <w:rFonts w:ascii="Arial" w:hAnsi="Arial" w:cs="Arial"/>
          <w:lang w:eastAsia="ja-JP"/>
        </w:rPr>
        <w:t>Ponkiya</w:t>
      </w:r>
      <w:proofErr w:type="spellEnd"/>
      <w:r w:rsidRPr="00381D48">
        <w:rPr>
          <w:rFonts w:ascii="Arial" w:hAnsi="Arial" w:cs="Arial"/>
          <w:lang w:eastAsia="ja-JP"/>
        </w:rPr>
        <w:t xml:space="preserve">, H. P., </w:t>
      </w:r>
      <w:proofErr w:type="spellStart"/>
      <w:r w:rsidRPr="00381D48">
        <w:rPr>
          <w:rFonts w:ascii="Arial" w:hAnsi="Arial" w:cs="Arial"/>
          <w:lang w:eastAsia="ja-JP"/>
        </w:rPr>
        <w:t>Vaghasia</w:t>
      </w:r>
      <w:proofErr w:type="spellEnd"/>
      <w:r w:rsidRPr="00381D48">
        <w:rPr>
          <w:rFonts w:ascii="Arial" w:hAnsi="Arial" w:cs="Arial"/>
          <w:lang w:eastAsia="ja-JP"/>
        </w:rPr>
        <w:t xml:space="preserve">, P. M., &amp; Polara, K. B. (2019). Potassium fertilization to kharif groundnut in medium black calcareous soils of Saurashtra region of Gujarat. International Journal of Chemical Studies, 7(4), 1752-1755. </w:t>
      </w:r>
      <w:hyperlink r:id="rId12" w:history="1">
        <w:r w:rsidRPr="00381D48">
          <w:rPr>
            <w:rStyle w:val="Hyperlink"/>
            <w:rFonts w:ascii="Arial" w:hAnsi="Arial" w:cs="Arial"/>
            <w:lang w:eastAsia="ja-JP"/>
          </w:rPr>
          <w:t>https://www.chemijournal.com/archives/2019/vol7issue4/PartZ/7-4-100-540.pdf</w:t>
        </w:r>
      </w:hyperlink>
      <w:r w:rsidRPr="00381D48">
        <w:rPr>
          <w:rFonts w:ascii="Arial" w:hAnsi="Arial" w:cs="Arial"/>
          <w:lang w:eastAsia="ja-JP"/>
        </w:rPr>
        <w:t xml:space="preserve"> .</w:t>
      </w:r>
      <w:bookmarkStart w:id="13" w:name="_Hlk102119161"/>
    </w:p>
    <w:bookmarkEnd w:id="13"/>
    <w:p w:rsidR="00F66B9C" w:rsidRPr="00381D48" w:rsidRDefault="00F66B9C" w:rsidP="00381D48">
      <w:pPr>
        <w:pStyle w:val="ListParagraph"/>
        <w:numPr>
          <w:ilvl w:val="0"/>
          <w:numId w:val="1"/>
        </w:numPr>
        <w:tabs>
          <w:tab w:val="left" w:pos="284"/>
        </w:tabs>
        <w:spacing w:before="240" w:after="240" w:line="276" w:lineRule="auto"/>
        <w:rPr>
          <w:rFonts w:ascii="Arial" w:hAnsi="Arial" w:cs="Arial"/>
          <w:lang w:eastAsia="ja-JP"/>
        </w:rPr>
      </w:pPr>
      <w:r w:rsidRPr="00381D48">
        <w:rPr>
          <w:rFonts w:ascii="Arial" w:hAnsi="Arial" w:cs="Arial"/>
          <w:lang w:eastAsia="ja-JP"/>
        </w:rPr>
        <w:t xml:space="preserve">Singh, A. L. (2004). Mineral nutrient requirement, their disorders and remedies in groundnut. In M. S. </w:t>
      </w:r>
      <w:proofErr w:type="spellStart"/>
      <w:r w:rsidRPr="00381D48">
        <w:rPr>
          <w:rFonts w:ascii="Arial" w:hAnsi="Arial" w:cs="Arial"/>
          <w:lang w:eastAsia="ja-JP"/>
        </w:rPr>
        <w:t>Basu</w:t>
      </w:r>
      <w:proofErr w:type="spellEnd"/>
      <w:r w:rsidRPr="00381D48">
        <w:rPr>
          <w:rFonts w:ascii="Arial" w:hAnsi="Arial" w:cs="Arial"/>
          <w:lang w:eastAsia="ja-JP"/>
        </w:rPr>
        <w:t xml:space="preserve"> &amp; N. B. Singh (Eds.), Groundnut Research in India (pp. 137-159). National Research Centre for Groundnut. </w:t>
      </w:r>
      <w:hyperlink r:id="rId13" w:history="1">
        <w:r w:rsidRPr="00381D48">
          <w:rPr>
            <w:rStyle w:val="Hyperlink"/>
            <w:rFonts w:ascii="Arial" w:hAnsi="Arial" w:cs="Arial"/>
            <w:lang w:eastAsia="ja-JP"/>
          </w:rPr>
          <w:t>https://oar.icrisat.org/id/eprint/1000/1/Groundnut_Research_in_India.pdf</w:t>
        </w:r>
      </w:hyperlink>
      <w:r w:rsidRPr="00381D48">
        <w:rPr>
          <w:rFonts w:ascii="Arial" w:hAnsi="Arial" w:cs="Arial"/>
          <w:lang w:eastAsia="ja-JP"/>
        </w:rPr>
        <w:t xml:space="preserve"> . </w:t>
      </w:r>
    </w:p>
    <w:p w:rsidR="00381D48" w:rsidRPr="00381D48" w:rsidRDefault="00F66B9C" w:rsidP="00381D48">
      <w:pPr>
        <w:pStyle w:val="ListParagraph"/>
        <w:numPr>
          <w:ilvl w:val="0"/>
          <w:numId w:val="1"/>
        </w:numPr>
        <w:tabs>
          <w:tab w:val="left" w:pos="284"/>
        </w:tabs>
        <w:spacing w:before="240" w:after="240" w:line="276" w:lineRule="auto"/>
        <w:rPr>
          <w:rFonts w:ascii="Arial" w:hAnsi="Arial" w:cs="Arial"/>
          <w:lang w:eastAsia="ja-JP"/>
        </w:rPr>
      </w:pPr>
      <w:proofErr w:type="spellStart"/>
      <w:r w:rsidRPr="00381D48">
        <w:rPr>
          <w:rFonts w:ascii="Arial" w:hAnsi="Arial" w:cs="Arial"/>
          <w:color w:val="222222"/>
          <w:shd w:val="clear" w:color="auto" w:fill="FFFFFF"/>
        </w:rPr>
        <w:t>Waghmode</w:t>
      </w:r>
      <w:proofErr w:type="spellEnd"/>
      <w:r w:rsidRPr="00381D48">
        <w:rPr>
          <w:rFonts w:ascii="Arial" w:hAnsi="Arial" w:cs="Arial"/>
          <w:color w:val="222222"/>
          <w:shd w:val="clear" w:color="auto" w:fill="FFFFFF"/>
        </w:rPr>
        <w:t xml:space="preserve">, B. D., Kambale, A. S., </w:t>
      </w:r>
      <w:proofErr w:type="spellStart"/>
      <w:r w:rsidRPr="00381D48">
        <w:rPr>
          <w:rFonts w:ascii="Arial" w:hAnsi="Arial" w:cs="Arial"/>
          <w:color w:val="222222"/>
          <w:shd w:val="clear" w:color="auto" w:fill="FFFFFF"/>
        </w:rPr>
        <w:t>Navhale</w:t>
      </w:r>
      <w:proofErr w:type="spellEnd"/>
      <w:r w:rsidRPr="00381D48">
        <w:rPr>
          <w:rFonts w:ascii="Arial" w:hAnsi="Arial" w:cs="Arial"/>
          <w:color w:val="222222"/>
          <w:shd w:val="clear" w:color="auto" w:fill="FFFFFF"/>
        </w:rPr>
        <w:t xml:space="preserve">, V. C., </w:t>
      </w:r>
      <w:proofErr w:type="spellStart"/>
      <w:r w:rsidRPr="00381D48">
        <w:rPr>
          <w:rFonts w:ascii="Arial" w:hAnsi="Arial" w:cs="Arial"/>
          <w:color w:val="222222"/>
          <w:shd w:val="clear" w:color="auto" w:fill="FFFFFF"/>
        </w:rPr>
        <w:t>Chendge</w:t>
      </w:r>
      <w:proofErr w:type="spellEnd"/>
      <w:r w:rsidRPr="00381D48">
        <w:rPr>
          <w:rFonts w:ascii="Arial" w:hAnsi="Arial" w:cs="Arial"/>
          <w:color w:val="222222"/>
          <w:shd w:val="clear" w:color="auto" w:fill="FFFFFF"/>
        </w:rPr>
        <w:t xml:space="preserve">, P. D., &amp; </w:t>
      </w:r>
      <w:proofErr w:type="spellStart"/>
      <w:r w:rsidRPr="00381D48">
        <w:rPr>
          <w:rFonts w:ascii="Arial" w:hAnsi="Arial" w:cs="Arial"/>
          <w:color w:val="222222"/>
          <w:shd w:val="clear" w:color="auto" w:fill="FFFFFF"/>
        </w:rPr>
        <w:t>Mahadkar</w:t>
      </w:r>
      <w:proofErr w:type="spellEnd"/>
      <w:r w:rsidRPr="00381D48">
        <w:rPr>
          <w:rFonts w:ascii="Arial" w:hAnsi="Arial" w:cs="Arial"/>
          <w:color w:val="222222"/>
          <w:shd w:val="clear" w:color="auto" w:fill="FFFFFF"/>
        </w:rPr>
        <w:t xml:space="preserve">, U. V. (2017). Effect of Plant Population and Fertilizer Doses on Yield Attributes, Yield and Economics of Summer Groundnut. International Journal of Current Microbiology and Applied Sciences, 6(11), 2670-2675. </w:t>
      </w:r>
      <w:hyperlink r:id="rId14" w:history="1">
        <w:r w:rsidRPr="00381D48">
          <w:rPr>
            <w:rStyle w:val="Hyperlink"/>
            <w:rFonts w:ascii="Arial" w:hAnsi="Arial" w:cs="Arial"/>
            <w:shd w:val="clear" w:color="auto" w:fill="FFFFFF"/>
          </w:rPr>
          <w:t>https://doi.org/10.20546/ijcmas.2017.611.314</w:t>
        </w:r>
      </w:hyperlink>
      <w:r w:rsidRPr="00381D48">
        <w:rPr>
          <w:rFonts w:ascii="Arial" w:hAnsi="Arial" w:cs="Arial"/>
          <w:color w:val="222222"/>
          <w:shd w:val="clear" w:color="auto" w:fill="FFFFFF"/>
        </w:rPr>
        <w:t>.</w:t>
      </w:r>
    </w:p>
    <w:p w:rsidR="00681475" w:rsidRDefault="00381D48" w:rsidP="00381D48">
      <w:pPr>
        <w:pStyle w:val="ListParagraph"/>
        <w:numPr>
          <w:ilvl w:val="0"/>
          <w:numId w:val="1"/>
        </w:numPr>
        <w:tabs>
          <w:tab w:val="left" w:pos="284"/>
        </w:tabs>
        <w:spacing w:before="240" w:after="240" w:line="276" w:lineRule="auto"/>
        <w:rPr>
          <w:rFonts w:ascii="Arial" w:hAnsi="Arial" w:cs="Arial"/>
          <w:color w:val="222222"/>
          <w:shd w:val="clear" w:color="auto" w:fill="FFFFFF"/>
        </w:rPr>
      </w:pPr>
      <w:proofErr w:type="spellStart"/>
      <w:r w:rsidRPr="00381D48">
        <w:rPr>
          <w:rFonts w:ascii="Arial" w:hAnsi="Arial" w:cs="Arial"/>
          <w:color w:val="222222"/>
          <w:shd w:val="clear" w:color="auto" w:fill="FFFFFF"/>
        </w:rPr>
        <w:t>Kalaria</w:t>
      </w:r>
      <w:proofErr w:type="spellEnd"/>
      <w:r>
        <w:rPr>
          <w:rFonts w:ascii="Arial" w:hAnsi="Arial" w:cs="Arial"/>
          <w:color w:val="222222"/>
          <w:shd w:val="clear" w:color="auto" w:fill="FFFFFF"/>
        </w:rPr>
        <w:t xml:space="preserve"> R.V. &amp; </w:t>
      </w:r>
      <w:proofErr w:type="spellStart"/>
      <w:r w:rsidRPr="00381D48">
        <w:rPr>
          <w:rFonts w:ascii="Arial" w:hAnsi="Arial" w:cs="Arial"/>
          <w:color w:val="222222"/>
          <w:shd w:val="clear" w:color="auto" w:fill="FFFFFF"/>
        </w:rPr>
        <w:t>Gediya</w:t>
      </w:r>
      <w:proofErr w:type="spellEnd"/>
      <w:r>
        <w:rPr>
          <w:rFonts w:ascii="Arial" w:hAnsi="Arial" w:cs="Arial"/>
          <w:color w:val="222222"/>
          <w:shd w:val="clear" w:color="auto" w:fill="FFFFFF"/>
        </w:rPr>
        <w:t xml:space="preserve"> K.M. (2025)</w:t>
      </w:r>
      <w:r w:rsidRPr="00381D48">
        <w:t xml:space="preserve"> </w:t>
      </w:r>
      <w:r w:rsidRPr="00381D48">
        <w:rPr>
          <w:rFonts w:ascii="Arial" w:hAnsi="Arial" w:cs="Arial"/>
          <w:color w:val="222222"/>
          <w:shd w:val="clear" w:color="auto" w:fill="FFFFFF"/>
        </w:rPr>
        <w:t>EFFECT OF SPACING AND</w:t>
      </w:r>
      <w:r>
        <w:rPr>
          <w:rFonts w:ascii="Arial" w:hAnsi="Arial" w:cs="Arial"/>
          <w:color w:val="222222"/>
          <w:shd w:val="clear" w:color="auto" w:fill="FFFFFF"/>
        </w:rPr>
        <w:t xml:space="preserve"> </w:t>
      </w:r>
      <w:r w:rsidRPr="00381D48">
        <w:rPr>
          <w:rFonts w:ascii="Arial" w:hAnsi="Arial" w:cs="Arial"/>
          <w:color w:val="222222"/>
          <w:shd w:val="clear" w:color="auto" w:fill="FFFFFF"/>
        </w:rPr>
        <w:t>FERTILIZER LEVELS ON KHARIF</w:t>
      </w:r>
      <w:r>
        <w:rPr>
          <w:rFonts w:ascii="Arial" w:hAnsi="Arial" w:cs="Arial"/>
          <w:color w:val="222222"/>
          <w:shd w:val="clear" w:color="auto" w:fill="FFFFFF"/>
        </w:rPr>
        <w:t xml:space="preserve"> </w:t>
      </w:r>
      <w:r w:rsidRPr="00381D48">
        <w:rPr>
          <w:rFonts w:ascii="Arial" w:hAnsi="Arial" w:cs="Arial"/>
          <w:color w:val="222222"/>
          <w:shd w:val="clear" w:color="auto" w:fill="FFFFFF"/>
        </w:rPr>
        <w:t>GROUNDNUT (ARACHIS HYPOGAEA L.)</w:t>
      </w:r>
      <w:r>
        <w:rPr>
          <w:rFonts w:ascii="Arial" w:hAnsi="Arial" w:cs="Arial"/>
          <w:color w:val="222222"/>
          <w:shd w:val="clear" w:color="auto" w:fill="FFFFFF"/>
        </w:rPr>
        <w:t xml:space="preserve">. </w:t>
      </w:r>
      <w:r w:rsidRPr="00381D48">
        <w:rPr>
          <w:rFonts w:ascii="Arial" w:hAnsi="Arial" w:cs="Arial"/>
          <w:color w:val="222222"/>
          <w:shd w:val="clear" w:color="auto" w:fill="FFFFFF"/>
        </w:rPr>
        <w:t>Plant Archives Vol. 25, Supplement 2, pp. 67-72</w:t>
      </w:r>
      <w:r>
        <w:rPr>
          <w:rFonts w:ascii="Arial" w:hAnsi="Arial" w:cs="Arial"/>
          <w:color w:val="222222"/>
          <w:shd w:val="clear" w:color="auto" w:fill="FFFFFF"/>
        </w:rPr>
        <w:t xml:space="preserve">. </w:t>
      </w:r>
      <w:hyperlink r:id="rId15" w:history="1">
        <w:r w:rsidR="00681475" w:rsidRPr="007911C5">
          <w:rPr>
            <w:rStyle w:val="Hyperlink"/>
            <w:rFonts w:ascii="Arial" w:hAnsi="Arial" w:cs="Arial"/>
            <w:shd w:val="clear" w:color="auto" w:fill="FFFFFF"/>
          </w:rPr>
          <w:t>https://doi.org/10.51470/PLANTARCHIVES.2025.v25.supplement-2.008</w:t>
        </w:r>
      </w:hyperlink>
    </w:p>
    <w:p w:rsidR="00681475" w:rsidRPr="00681475" w:rsidRDefault="00681475" w:rsidP="00381D48">
      <w:pPr>
        <w:pStyle w:val="ListParagraph"/>
        <w:numPr>
          <w:ilvl w:val="0"/>
          <w:numId w:val="1"/>
        </w:numPr>
        <w:tabs>
          <w:tab w:val="left" w:pos="284"/>
        </w:tabs>
        <w:spacing w:before="240" w:after="240" w:line="276" w:lineRule="auto"/>
        <w:rPr>
          <w:rFonts w:ascii="Arial" w:hAnsi="Arial" w:cs="Arial"/>
          <w:color w:val="222222"/>
          <w:shd w:val="clear" w:color="auto" w:fill="FFFFFF"/>
        </w:rPr>
      </w:pPr>
      <w:r>
        <w:rPr>
          <w:rFonts w:ascii="Arial" w:hAnsi="Arial" w:cs="Arial"/>
          <w:color w:val="222222"/>
          <w:sz w:val="20"/>
          <w:szCs w:val="20"/>
          <w:shd w:val="clear" w:color="auto" w:fill="FFFFFF"/>
        </w:rPr>
        <w:t xml:space="preserve">Raju, G. V., </w:t>
      </w:r>
      <w:proofErr w:type="spellStart"/>
      <w:r>
        <w:rPr>
          <w:rFonts w:ascii="Arial" w:hAnsi="Arial" w:cs="Arial"/>
          <w:color w:val="222222"/>
          <w:sz w:val="20"/>
          <w:szCs w:val="20"/>
          <w:shd w:val="clear" w:color="auto" w:fill="FFFFFF"/>
        </w:rPr>
        <w:t>Umesha</w:t>
      </w:r>
      <w:proofErr w:type="spellEnd"/>
      <w:r>
        <w:rPr>
          <w:rFonts w:ascii="Arial" w:hAnsi="Arial" w:cs="Arial"/>
          <w:color w:val="222222"/>
          <w:sz w:val="20"/>
          <w:szCs w:val="20"/>
          <w:shd w:val="clear" w:color="auto" w:fill="FFFFFF"/>
        </w:rPr>
        <w:t>, C., Reddy, S. M., &amp; Krishna, P. V. (2022). Effect of spacing and organic manures on growth and yield of groundnut (</w:t>
      </w:r>
      <w:proofErr w:type="spellStart"/>
      <w:r>
        <w:rPr>
          <w:rFonts w:ascii="Arial" w:hAnsi="Arial" w:cs="Arial"/>
          <w:color w:val="222222"/>
          <w:sz w:val="20"/>
          <w:szCs w:val="20"/>
          <w:shd w:val="clear" w:color="auto" w:fill="FFFFFF"/>
        </w:rPr>
        <w:t>Arachis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hypogaea</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The Pharma Innovation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(3), 291-294.</w:t>
      </w:r>
      <w:r>
        <w:rPr>
          <w:rFonts w:ascii="Arial" w:hAnsi="Arial" w:cs="Arial"/>
          <w:color w:val="222222"/>
          <w:sz w:val="20"/>
          <w:szCs w:val="20"/>
          <w:shd w:val="clear" w:color="auto" w:fill="FFFFFF"/>
        </w:rPr>
        <w:t xml:space="preserve"> </w:t>
      </w:r>
      <w:r>
        <w:t>ISSN (E): 2277- 7695 ISSN (P): 2349-8242</w:t>
      </w:r>
    </w:p>
    <w:p w:rsidR="00681475" w:rsidRPr="00681475" w:rsidRDefault="00681475" w:rsidP="00381D48">
      <w:pPr>
        <w:pStyle w:val="ListParagraph"/>
        <w:numPr>
          <w:ilvl w:val="0"/>
          <w:numId w:val="1"/>
        </w:numPr>
        <w:tabs>
          <w:tab w:val="left" w:pos="284"/>
        </w:tabs>
        <w:spacing w:before="240" w:after="240" w:line="276" w:lineRule="auto"/>
        <w:rPr>
          <w:rFonts w:ascii="Arial" w:hAnsi="Arial" w:cs="Arial"/>
          <w:color w:val="222222"/>
          <w:shd w:val="clear" w:color="auto" w:fill="FFFFFF"/>
        </w:rPr>
      </w:pPr>
      <w:proofErr w:type="spellStart"/>
      <w:r>
        <w:rPr>
          <w:rFonts w:ascii="Arial" w:hAnsi="Arial" w:cs="Arial"/>
          <w:color w:val="222222"/>
          <w:sz w:val="20"/>
          <w:szCs w:val="20"/>
          <w:shd w:val="clear" w:color="auto" w:fill="FFFFFF"/>
        </w:rPr>
        <w:t>Howlader</w:t>
      </w:r>
      <w:proofErr w:type="spellEnd"/>
      <w:r>
        <w:rPr>
          <w:rFonts w:ascii="Arial" w:hAnsi="Arial" w:cs="Arial"/>
          <w:color w:val="222222"/>
          <w:sz w:val="20"/>
          <w:szCs w:val="20"/>
          <w:shd w:val="clear" w:color="auto" w:fill="FFFFFF"/>
        </w:rPr>
        <w:t>, S. H., Bashar, H. M. K., Islam, M. S., Mamun, M. H., &amp; Jahan, S. M. H. (2009). Effect of plant spacings on the yield and yield attributes of groundnut. </w:t>
      </w:r>
      <w:r>
        <w:rPr>
          <w:rFonts w:ascii="Arial" w:hAnsi="Arial" w:cs="Arial"/>
          <w:i/>
          <w:iCs/>
          <w:color w:val="222222"/>
          <w:sz w:val="20"/>
          <w:szCs w:val="20"/>
          <w:shd w:val="clear" w:color="auto" w:fill="FFFFFF"/>
        </w:rPr>
        <w:t>International Journal of Sustainable Crop Production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(1), 41-44.</w:t>
      </w:r>
      <w:r>
        <w:rPr>
          <w:rFonts w:ascii="Arial" w:hAnsi="Arial" w:cs="Arial"/>
          <w:color w:val="222222"/>
          <w:sz w:val="20"/>
          <w:szCs w:val="20"/>
          <w:shd w:val="clear" w:color="auto" w:fill="FFFFFF"/>
        </w:rPr>
        <w:t xml:space="preserve"> </w:t>
      </w:r>
      <w:hyperlink r:id="rId16" w:history="1">
        <w:r w:rsidRPr="007911C5">
          <w:rPr>
            <w:rStyle w:val="Hyperlink"/>
            <w:rFonts w:ascii="Arial" w:hAnsi="Arial" w:cs="Arial"/>
            <w:sz w:val="20"/>
            <w:szCs w:val="20"/>
            <w:shd w:val="clear" w:color="auto" w:fill="FFFFFF"/>
          </w:rPr>
          <w:t>https://ggfjournals.com/assets/uploads/41-442.pdf</w:t>
        </w:r>
      </w:hyperlink>
    </w:p>
    <w:p w:rsidR="00681475" w:rsidRPr="00681475" w:rsidRDefault="00681475" w:rsidP="00381D48">
      <w:pPr>
        <w:pStyle w:val="ListParagraph"/>
        <w:numPr>
          <w:ilvl w:val="0"/>
          <w:numId w:val="1"/>
        </w:numPr>
        <w:tabs>
          <w:tab w:val="left" w:pos="284"/>
        </w:tabs>
        <w:spacing w:before="240" w:after="240" w:line="276" w:lineRule="auto"/>
        <w:rPr>
          <w:rFonts w:ascii="Arial" w:hAnsi="Arial" w:cs="Arial"/>
          <w:color w:val="222222"/>
          <w:shd w:val="clear" w:color="auto" w:fill="FFFFFF"/>
        </w:rPr>
      </w:pPr>
      <w:proofErr w:type="spellStart"/>
      <w:r>
        <w:rPr>
          <w:rFonts w:ascii="Arial" w:hAnsi="Arial" w:cs="Arial"/>
          <w:color w:val="222222"/>
          <w:sz w:val="20"/>
          <w:szCs w:val="20"/>
          <w:shd w:val="clear" w:color="auto" w:fill="FFFFFF"/>
        </w:rPr>
        <w:t>Chilakala</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Debbarma</w:t>
      </w:r>
      <w:proofErr w:type="spellEnd"/>
      <w:r>
        <w:rPr>
          <w:rFonts w:ascii="Arial" w:hAnsi="Arial" w:cs="Arial"/>
          <w:color w:val="222222"/>
          <w:sz w:val="20"/>
          <w:szCs w:val="20"/>
          <w:shd w:val="clear" w:color="auto" w:fill="FFFFFF"/>
        </w:rPr>
        <w:t>, V., &amp; Pavani Reddy, P. (2023). Effect of Spacing and Varieties on Growth, Yield and Economics of Summer Groundnut (</w:t>
      </w:r>
      <w:proofErr w:type="spellStart"/>
      <w:r>
        <w:rPr>
          <w:rFonts w:ascii="Arial" w:hAnsi="Arial" w:cs="Arial"/>
          <w:color w:val="222222"/>
          <w:sz w:val="20"/>
          <w:szCs w:val="20"/>
          <w:shd w:val="clear" w:color="auto" w:fill="FFFFFF"/>
        </w:rPr>
        <w:t>Arachis</w:t>
      </w:r>
      <w:proofErr w:type="spellEnd"/>
      <w:r>
        <w:rPr>
          <w:rFonts w:ascii="Arial" w:hAnsi="Arial" w:cs="Arial"/>
          <w:color w:val="222222"/>
          <w:sz w:val="20"/>
          <w:szCs w:val="20"/>
          <w:shd w:val="clear" w:color="auto" w:fill="FFFFFF"/>
        </w:rPr>
        <w:t xml:space="preserve"> hypogea L.). In </w:t>
      </w:r>
      <w:r>
        <w:rPr>
          <w:rFonts w:ascii="Arial" w:hAnsi="Arial" w:cs="Arial"/>
          <w:i/>
          <w:iCs/>
          <w:color w:val="222222"/>
          <w:sz w:val="20"/>
          <w:szCs w:val="20"/>
          <w:shd w:val="clear" w:color="auto" w:fill="FFFFFF"/>
        </w:rPr>
        <w:t>Biological Forum-An International Journal</w:t>
      </w:r>
      <w:r>
        <w:rPr>
          <w:rFonts w:ascii="Arial" w:hAnsi="Arial" w:cs="Arial"/>
          <w:color w:val="222222"/>
          <w:sz w:val="20"/>
          <w:szCs w:val="20"/>
          <w:shd w:val="clear" w:color="auto" w:fill="FFFFFF"/>
        </w:rPr>
        <w:t> (Vol. 15, No. 3, pp. 605-609).</w:t>
      </w:r>
      <w:r>
        <w:rPr>
          <w:rFonts w:ascii="Arial" w:hAnsi="Arial" w:cs="Arial"/>
          <w:color w:val="222222"/>
          <w:sz w:val="20"/>
          <w:szCs w:val="20"/>
          <w:shd w:val="clear" w:color="auto" w:fill="FFFFFF"/>
        </w:rPr>
        <w:t xml:space="preserve"> </w:t>
      </w:r>
      <w:r>
        <w:t>SSN No. (Print): 0975-1130</w:t>
      </w:r>
    </w:p>
    <w:p w:rsidR="00681475" w:rsidRPr="00681475" w:rsidRDefault="00681475" w:rsidP="00681475">
      <w:pPr>
        <w:pStyle w:val="ListParagraph"/>
        <w:tabs>
          <w:tab w:val="left" w:pos="284"/>
        </w:tabs>
        <w:spacing w:before="240" w:after="240" w:line="276" w:lineRule="auto"/>
        <w:ind w:left="1440"/>
        <w:rPr>
          <w:rFonts w:ascii="Arial" w:hAnsi="Arial" w:cs="Arial"/>
          <w:color w:val="222222"/>
          <w:shd w:val="clear" w:color="auto" w:fill="FFFFFF"/>
        </w:rPr>
      </w:pPr>
    </w:p>
    <w:p w:rsidR="00F66B9C" w:rsidRPr="00381D48" w:rsidRDefault="00381D48" w:rsidP="00381D48">
      <w:pPr>
        <w:pStyle w:val="ListParagraph"/>
        <w:numPr>
          <w:ilvl w:val="0"/>
          <w:numId w:val="1"/>
        </w:numPr>
        <w:tabs>
          <w:tab w:val="left" w:pos="284"/>
        </w:tabs>
        <w:spacing w:before="240" w:after="240" w:line="276" w:lineRule="auto"/>
        <w:rPr>
          <w:rFonts w:ascii="Arial" w:hAnsi="Arial" w:cs="Arial"/>
          <w:color w:val="222222"/>
          <w:shd w:val="clear" w:color="auto" w:fill="FFFFFF"/>
        </w:rPr>
      </w:pPr>
      <w:r w:rsidRPr="00381D48">
        <w:rPr>
          <w:rFonts w:ascii="Arial" w:hAnsi="Arial" w:cs="Arial"/>
          <w:color w:val="222222"/>
          <w:shd w:val="clear" w:color="auto" w:fill="FFFFFF"/>
        </w:rPr>
        <w:t xml:space="preserve"> </w:t>
      </w:r>
      <w:proofErr w:type="spellStart"/>
      <w:r w:rsidR="00681475">
        <w:rPr>
          <w:rFonts w:ascii="Arial" w:hAnsi="Arial" w:cs="Arial"/>
          <w:color w:val="222222"/>
          <w:sz w:val="20"/>
          <w:szCs w:val="20"/>
          <w:shd w:val="clear" w:color="auto" w:fill="FFFFFF"/>
        </w:rPr>
        <w:t>Baraker</w:t>
      </w:r>
      <w:proofErr w:type="spellEnd"/>
      <w:r w:rsidR="00681475">
        <w:rPr>
          <w:rFonts w:ascii="Arial" w:hAnsi="Arial" w:cs="Arial"/>
          <w:color w:val="222222"/>
          <w:sz w:val="20"/>
          <w:szCs w:val="20"/>
          <w:shd w:val="clear" w:color="auto" w:fill="FFFFFF"/>
        </w:rPr>
        <w:t xml:space="preserve">, B., Jha, S. K., </w:t>
      </w:r>
      <w:proofErr w:type="spellStart"/>
      <w:r w:rsidR="00681475">
        <w:rPr>
          <w:rFonts w:ascii="Arial" w:hAnsi="Arial" w:cs="Arial"/>
          <w:color w:val="222222"/>
          <w:sz w:val="20"/>
          <w:szCs w:val="20"/>
          <w:shd w:val="clear" w:color="auto" w:fill="FFFFFF"/>
        </w:rPr>
        <w:t>Wani</w:t>
      </w:r>
      <w:proofErr w:type="spellEnd"/>
      <w:r w:rsidR="00681475">
        <w:rPr>
          <w:rFonts w:ascii="Arial" w:hAnsi="Arial" w:cs="Arial"/>
          <w:color w:val="222222"/>
          <w:sz w:val="20"/>
          <w:szCs w:val="20"/>
          <w:shd w:val="clear" w:color="auto" w:fill="FFFFFF"/>
        </w:rPr>
        <w:t>, S. P., &amp; Garg, K. K. (2017). Effect of balanced fertilizer management practices on factor of productivity on Groundnut (</w:t>
      </w:r>
      <w:proofErr w:type="spellStart"/>
      <w:r w:rsidR="00681475">
        <w:rPr>
          <w:rFonts w:ascii="Arial" w:hAnsi="Arial" w:cs="Arial"/>
          <w:color w:val="222222"/>
          <w:sz w:val="20"/>
          <w:szCs w:val="20"/>
          <w:shd w:val="clear" w:color="auto" w:fill="FFFFFF"/>
        </w:rPr>
        <w:t>Arachis</w:t>
      </w:r>
      <w:proofErr w:type="spellEnd"/>
      <w:r w:rsidR="00681475">
        <w:rPr>
          <w:rFonts w:ascii="Arial" w:hAnsi="Arial" w:cs="Arial"/>
          <w:color w:val="222222"/>
          <w:sz w:val="20"/>
          <w:szCs w:val="20"/>
          <w:shd w:val="clear" w:color="auto" w:fill="FFFFFF"/>
        </w:rPr>
        <w:t xml:space="preserve"> </w:t>
      </w:r>
      <w:proofErr w:type="spellStart"/>
      <w:r w:rsidR="00681475">
        <w:rPr>
          <w:rFonts w:ascii="Arial" w:hAnsi="Arial" w:cs="Arial"/>
          <w:color w:val="222222"/>
          <w:sz w:val="20"/>
          <w:szCs w:val="20"/>
          <w:shd w:val="clear" w:color="auto" w:fill="FFFFFF"/>
        </w:rPr>
        <w:t>hypogaea</w:t>
      </w:r>
      <w:proofErr w:type="spellEnd"/>
      <w:r w:rsidR="00681475">
        <w:rPr>
          <w:rFonts w:ascii="Arial" w:hAnsi="Arial" w:cs="Arial"/>
          <w:color w:val="222222"/>
          <w:sz w:val="20"/>
          <w:szCs w:val="20"/>
          <w:shd w:val="clear" w:color="auto" w:fill="FFFFFF"/>
        </w:rPr>
        <w:t xml:space="preserve"> L.) cultivation. </w:t>
      </w:r>
      <w:r w:rsidR="00681475">
        <w:rPr>
          <w:rFonts w:ascii="Arial" w:hAnsi="Arial" w:cs="Arial"/>
          <w:i/>
          <w:iCs/>
          <w:color w:val="222222"/>
          <w:sz w:val="20"/>
          <w:szCs w:val="20"/>
          <w:shd w:val="clear" w:color="auto" w:fill="FFFFFF"/>
        </w:rPr>
        <w:t>International Journal of Chemical Studies</w:t>
      </w:r>
      <w:r w:rsidR="00681475">
        <w:rPr>
          <w:rFonts w:ascii="Arial" w:hAnsi="Arial" w:cs="Arial"/>
          <w:color w:val="222222"/>
          <w:sz w:val="20"/>
          <w:szCs w:val="20"/>
          <w:shd w:val="clear" w:color="auto" w:fill="FFFFFF"/>
        </w:rPr>
        <w:t>, </w:t>
      </w:r>
      <w:r w:rsidR="00681475">
        <w:rPr>
          <w:rFonts w:ascii="Arial" w:hAnsi="Arial" w:cs="Arial"/>
          <w:i/>
          <w:iCs/>
          <w:color w:val="222222"/>
          <w:sz w:val="20"/>
          <w:szCs w:val="20"/>
          <w:shd w:val="clear" w:color="auto" w:fill="FFFFFF"/>
        </w:rPr>
        <w:t>5</w:t>
      </w:r>
      <w:r w:rsidR="00681475">
        <w:rPr>
          <w:rFonts w:ascii="Arial" w:hAnsi="Arial" w:cs="Arial"/>
          <w:color w:val="222222"/>
          <w:sz w:val="20"/>
          <w:szCs w:val="20"/>
          <w:shd w:val="clear" w:color="auto" w:fill="FFFFFF"/>
        </w:rPr>
        <w:t>(4 (E)), 1288-1291.</w:t>
      </w:r>
      <w:r w:rsidR="00F66B9C" w:rsidRPr="00381D48">
        <w:rPr>
          <w:rFonts w:ascii="Arial" w:hAnsi="Arial" w:cs="Arial"/>
          <w:color w:val="222222"/>
          <w:shd w:val="clear" w:color="auto" w:fill="FFFFFF"/>
        </w:rPr>
        <w:t xml:space="preserve"> </w:t>
      </w:r>
      <w:r w:rsidR="00681475">
        <w:rPr>
          <w:rFonts w:ascii="Arial" w:hAnsi="Arial" w:cs="Arial"/>
          <w:color w:val="222222"/>
          <w:shd w:val="clear" w:color="auto" w:fill="FFFFFF"/>
        </w:rPr>
        <w:t xml:space="preserve"> </w:t>
      </w:r>
      <w:hyperlink r:id="rId17" w:history="1">
        <w:r w:rsidR="00681475" w:rsidRPr="007911C5">
          <w:rPr>
            <w:rStyle w:val="Hyperlink"/>
            <w:rFonts w:ascii="Arial" w:hAnsi="Arial" w:cs="Arial"/>
            <w:shd w:val="clear" w:color="auto" w:fill="FFFFFF"/>
          </w:rPr>
          <w:t>https://oar.icrisat.org/10464/</w:t>
        </w:r>
      </w:hyperlink>
      <w:r w:rsidR="00681475">
        <w:rPr>
          <w:rFonts w:ascii="Arial" w:hAnsi="Arial" w:cs="Arial"/>
          <w:color w:val="222222"/>
          <w:shd w:val="clear" w:color="auto" w:fill="FFFFFF"/>
        </w:rPr>
        <w:t xml:space="preserve"> </w:t>
      </w:r>
    </w:p>
    <w:p w:rsidR="00F66B9C" w:rsidRPr="001A0478" w:rsidRDefault="00F66B9C" w:rsidP="00F66B9C"/>
    <w:p w:rsidR="00F44B92" w:rsidRDefault="00F44B92"/>
    <w:sectPr w:rsidR="00F44B92" w:rsidSect="00065804">
      <w:headerReference w:type="even" r:id="rId18"/>
      <w:headerReference w:type="default" r:id="rId19"/>
      <w:footerReference w:type="even" r:id="rId20"/>
      <w:footerReference w:type="default" r:id="rId21"/>
      <w:headerReference w:type="first" r:id="rId22"/>
      <w:footerReference w:type="first" r:id="rId23"/>
      <w:pgSz w:w="11906" w:h="16838"/>
      <w:pgMar w:top="1440" w:right="2019" w:bottom="2019" w:left="201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ED3" w:rsidRDefault="00936ED3">
      <w:pPr>
        <w:spacing w:after="0" w:line="240" w:lineRule="auto"/>
      </w:pPr>
      <w:r>
        <w:separator/>
      </w:r>
    </w:p>
  </w:endnote>
  <w:endnote w:type="continuationSeparator" w:id="0">
    <w:p w:rsidR="00936ED3" w:rsidRDefault="0093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DF1" w:rsidRDefault="00681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DF1" w:rsidRDefault="00681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DF1" w:rsidRDefault="00681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ED3" w:rsidRDefault="00936ED3">
      <w:pPr>
        <w:spacing w:after="0" w:line="240" w:lineRule="auto"/>
      </w:pPr>
      <w:r>
        <w:separator/>
      </w:r>
    </w:p>
  </w:footnote>
  <w:footnote w:type="continuationSeparator" w:id="0">
    <w:p w:rsidR="00936ED3" w:rsidRDefault="00936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DF1" w:rsidRDefault="006814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80063" o:spid="_x0000_s2050" type="#_x0000_t136" style="position:absolute;margin-left:0;margin-top:0;width:466.6pt;height:87.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DF1" w:rsidRDefault="006814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80064" o:spid="_x0000_s2051" type="#_x0000_t136" style="position:absolute;margin-left:0;margin-top:0;width:466.6pt;height:87.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DF1" w:rsidRDefault="006814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280062" o:spid="_x0000_s2049" type="#_x0000_t136" style="position:absolute;margin-left:0;margin-top:0;width:466.6pt;height:87.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70203"/>
    <w:multiLevelType w:val="hybridMultilevel"/>
    <w:tmpl w:val="CC402C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KwMDc0MDUxNTEyMzBX0lEKTi0uzszPAykwrAUAPaDCCiwAAAA="/>
  </w:docVars>
  <w:rsids>
    <w:rsidRoot w:val="00F66B9C"/>
    <w:rsid w:val="000E3E3C"/>
    <w:rsid w:val="00175FC9"/>
    <w:rsid w:val="003044C2"/>
    <w:rsid w:val="00381D48"/>
    <w:rsid w:val="00681475"/>
    <w:rsid w:val="006F2CAD"/>
    <w:rsid w:val="00936ED3"/>
    <w:rsid w:val="00B91C19"/>
    <w:rsid w:val="00CD0269"/>
    <w:rsid w:val="00E53BF7"/>
    <w:rsid w:val="00F44B92"/>
    <w:rsid w:val="00F66B9C"/>
    <w:rsid w:val="00FB7C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BEB826"/>
  <w15:chartTrackingRefBased/>
  <w15:docId w15:val="{6CEFC5FD-F917-4AD8-A02C-51BD626D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9C"/>
  </w:style>
  <w:style w:type="paragraph" w:styleId="Footer">
    <w:name w:val="footer"/>
    <w:basedOn w:val="Normal"/>
    <w:link w:val="FooterChar"/>
    <w:uiPriority w:val="99"/>
    <w:unhideWhenUsed/>
    <w:rsid w:val="00F66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9C"/>
  </w:style>
  <w:style w:type="character" w:styleId="Hyperlink">
    <w:name w:val="Hyperlink"/>
    <w:rsid w:val="00F66B9C"/>
    <w:rPr>
      <w:rFonts w:cs="Times New Roman"/>
      <w:color w:val="0000FF"/>
      <w:u w:val="single"/>
    </w:rPr>
  </w:style>
  <w:style w:type="table" w:styleId="TableGrid">
    <w:name w:val="Table Grid"/>
    <w:basedOn w:val="TableNormal"/>
    <w:uiPriority w:val="59"/>
    <w:rsid w:val="00F66B9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D48"/>
    <w:pPr>
      <w:ind w:left="720"/>
      <w:contextualSpacing/>
    </w:pPr>
  </w:style>
  <w:style w:type="character" w:styleId="UnresolvedMention">
    <w:name w:val="Unresolved Mention"/>
    <w:basedOn w:val="DefaultParagraphFont"/>
    <w:uiPriority w:val="99"/>
    <w:semiHidden/>
    <w:unhideWhenUsed/>
    <w:rsid w:val="00681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27762">
      <w:bodyDiv w:val="1"/>
      <w:marLeft w:val="0"/>
      <w:marRight w:val="0"/>
      <w:marTop w:val="0"/>
      <w:marBottom w:val="0"/>
      <w:divBdr>
        <w:top w:val="none" w:sz="0" w:space="0" w:color="auto"/>
        <w:left w:val="none" w:sz="0" w:space="0" w:color="auto"/>
        <w:bottom w:val="none" w:sz="0" w:space="0" w:color="auto"/>
        <w:right w:val="none" w:sz="0" w:space="0" w:color="auto"/>
      </w:divBdr>
    </w:div>
    <w:div w:id="224026582">
      <w:bodyDiv w:val="1"/>
      <w:marLeft w:val="0"/>
      <w:marRight w:val="0"/>
      <w:marTop w:val="0"/>
      <w:marBottom w:val="0"/>
      <w:divBdr>
        <w:top w:val="none" w:sz="0" w:space="0" w:color="auto"/>
        <w:left w:val="none" w:sz="0" w:space="0" w:color="auto"/>
        <w:bottom w:val="none" w:sz="0" w:space="0" w:color="auto"/>
        <w:right w:val="none" w:sz="0" w:space="0" w:color="auto"/>
      </w:divBdr>
    </w:div>
    <w:div w:id="403534607">
      <w:bodyDiv w:val="1"/>
      <w:marLeft w:val="0"/>
      <w:marRight w:val="0"/>
      <w:marTop w:val="0"/>
      <w:marBottom w:val="0"/>
      <w:divBdr>
        <w:top w:val="none" w:sz="0" w:space="0" w:color="auto"/>
        <w:left w:val="none" w:sz="0" w:space="0" w:color="auto"/>
        <w:bottom w:val="none" w:sz="0" w:space="0" w:color="auto"/>
        <w:right w:val="none" w:sz="0" w:space="0" w:color="auto"/>
      </w:divBdr>
    </w:div>
    <w:div w:id="406076373">
      <w:bodyDiv w:val="1"/>
      <w:marLeft w:val="0"/>
      <w:marRight w:val="0"/>
      <w:marTop w:val="0"/>
      <w:marBottom w:val="0"/>
      <w:divBdr>
        <w:top w:val="none" w:sz="0" w:space="0" w:color="auto"/>
        <w:left w:val="none" w:sz="0" w:space="0" w:color="auto"/>
        <w:bottom w:val="none" w:sz="0" w:space="0" w:color="auto"/>
        <w:right w:val="none" w:sz="0" w:space="0" w:color="auto"/>
      </w:divBdr>
    </w:div>
    <w:div w:id="483283818">
      <w:bodyDiv w:val="1"/>
      <w:marLeft w:val="0"/>
      <w:marRight w:val="0"/>
      <w:marTop w:val="0"/>
      <w:marBottom w:val="0"/>
      <w:divBdr>
        <w:top w:val="none" w:sz="0" w:space="0" w:color="auto"/>
        <w:left w:val="none" w:sz="0" w:space="0" w:color="auto"/>
        <w:bottom w:val="none" w:sz="0" w:space="0" w:color="auto"/>
        <w:right w:val="none" w:sz="0" w:space="0" w:color="auto"/>
      </w:divBdr>
    </w:div>
    <w:div w:id="628629375">
      <w:bodyDiv w:val="1"/>
      <w:marLeft w:val="0"/>
      <w:marRight w:val="0"/>
      <w:marTop w:val="0"/>
      <w:marBottom w:val="0"/>
      <w:divBdr>
        <w:top w:val="none" w:sz="0" w:space="0" w:color="auto"/>
        <w:left w:val="none" w:sz="0" w:space="0" w:color="auto"/>
        <w:bottom w:val="none" w:sz="0" w:space="0" w:color="auto"/>
        <w:right w:val="none" w:sz="0" w:space="0" w:color="auto"/>
      </w:divBdr>
    </w:div>
    <w:div w:id="644696941">
      <w:bodyDiv w:val="1"/>
      <w:marLeft w:val="0"/>
      <w:marRight w:val="0"/>
      <w:marTop w:val="0"/>
      <w:marBottom w:val="0"/>
      <w:divBdr>
        <w:top w:val="none" w:sz="0" w:space="0" w:color="auto"/>
        <w:left w:val="none" w:sz="0" w:space="0" w:color="auto"/>
        <w:bottom w:val="none" w:sz="0" w:space="0" w:color="auto"/>
        <w:right w:val="none" w:sz="0" w:space="0" w:color="auto"/>
      </w:divBdr>
    </w:div>
    <w:div w:id="646514695">
      <w:bodyDiv w:val="1"/>
      <w:marLeft w:val="0"/>
      <w:marRight w:val="0"/>
      <w:marTop w:val="0"/>
      <w:marBottom w:val="0"/>
      <w:divBdr>
        <w:top w:val="none" w:sz="0" w:space="0" w:color="auto"/>
        <w:left w:val="none" w:sz="0" w:space="0" w:color="auto"/>
        <w:bottom w:val="none" w:sz="0" w:space="0" w:color="auto"/>
        <w:right w:val="none" w:sz="0" w:space="0" w:color="auto"/>
      </w:divBdr>
    </w:div>
    <w:div w:id="741216271">
      <w:bodyDiv w:val="1"/>
      <w:marLeft w:val="0"/>
      <w:marRight w:val="0"/>
      <w:marTop w:val="0"/>
      <w:marBottom w:val="0"/>
      <w:divBdr>
        <w:top w:val="none" w:sz="0" w:space="0" w:color="auto"/>
        <w:left w:val="none" w:sz="0" w:space="0" w:color="auto"/>
        <w:bottom w:val="none" w:sz="0" w:space="0" w:color="auto"/>
        <w:right w:val="none" w:sz="0" w:space="0" w:color="auto"/>
      </w:divBdr>
    </w:div>
    <w:div w:id="780221466">
      <w:bodyDiv w:val="1"/>
      <w:marLeft w:val="0"/>
      <w:marRight w:val="0"/>
      <w:marTop w:val="0"/>
      <w:marBottom w:val="0"/>
      <w:divBdr>
        <w:top w:val="none" w:sz="0" w:space="0" w:color="auto"/>
        <w:left w:val="none" w:sz="0" w:space="0" w:color="auto"/>
        <w:bottom w:val="none" w:sz="0" w:space="0" w:color="auto"/>
        <w:right w:val="none" w:sz="0" w:space="0" w:color="auto"/>
      </w:divBdr>
    </w:div>
    <w:div w:id="1160541145">
      <w:bodyDiv w:val="1"/>
      <w:marLeft w:val="0"/>
      <w:marRight w:val="0"/>
      <w:marTop w:val="0"/>
      <w:marBottom w:val="0"/>
      <w:divBdr>
        <w:top w:val="none" w:sz="0" w:space="0" w:color="auto"/>
        <w:left w:val="none" w:sz="0" w:space="0" w:color="auto"/>
        <w:bottom w:val="none" w:sz="0" w:space="0" w:color="auto"/>
        <w:right w:val="none" w:sz="0" w:space="0" w:color="auto"/>
      </w:divBdr>
    </w:div>
    <w:div w:id="1190921330">
      <w:bodyDiv w:val="1"/>
      <w:marLeft w:val="0"/>
      <w:marRight w:val="0"/>
      <w:marTop w:val="0"/>
      <w:marBottom w:val="0"/>
      <w:divBdr>
        <w:top w:val="none" w:sz="0" w:space="0" w:color="auto"/>
        <w:left w:val="none" w:sz="0" w:space="0" w:color="auto"/>
        <w:bottom w:val="none" w:sz="0" w:space="0" w:color="auto"/>
        <w:right w:val="none" w:sz="0" w:space="0" w:color="auto"/>
      </w:divBdr>
    </w:div>
    <w:div w:id="1219198800">
      <w:bodyDiv w:val="1"/>
      <w:marLeft w:val="0"/>
      <w:marRight w:val="0"/>
      <w:marTop w:val="0"/>
      <w:marBottom w:val="0"/>
      <w:divBdr>
        <w:top w:val="none" w:sz="0" w:space="0" w:color="auto"/>
        <w:left w:val="none" w:sz="0" w:space="0" w:color="auto"/>
        <w:bottom w:val="none" w:sz="0" w:space="0" w:color="auto"/>
        <w:right w:val="none" w:sz="0" w:space="0" w:color="auto"/>
      </w:divBdr>
    </w:div>
    <w:div w:id="1301109311">
      <w:bodyDiv w:val="1"/>
      <w:marLeft w:val="0"/>
      <w:marRight w:val="0"/>
      <w:marTop w:val="0"/>
      <w:marBottom w:val="0"/>
      <w:divBdr>
        <w:top w:val="none" w:sz="0" w:space="0" w:color="auto"/>
        <w:left w:val="none" w:sz="0" w:space="0" w:color="auto"/>
        <w:bottom w:val="none" w:sz="0" w:space="0" w:color="auto"/>
        <w:right w:val="none" w:sz="0" w:space="0" w:color="auto"/>
      </w:divBdr>
    </w:div>
    <w:div w:id="1394040917">
      <w:bodyDiv w:val="1"/>
      <w:marLeft w:val="0"/>
      <w:marRight w:val="0"/>
      <w:marTop w:val="0"/>
      <w:marBottom w:val="0"/>
      <w:divBdr>
        <w:top w:val="none" w:sz="0" w:space="0" w:color="auto"/>
        <w:left w:val="none" w:sz="0" w:space="0" w:color="auto"/>
        <w:bottom w:val="none" w:sz="0" w:space="0" w:color="auto"/>
        <w:right w:val="none" w:sz="0" w:space="0" w:color="auto"/>
      </w:divBdr>
    </w:div>
    <w:div w:id="1397557928">
      <w:bodyDiv w:val="1"/>
      <w:marLeft w:val="0"/>
      <w:marRight w:val="0"/>
      <w:marTop w:val="0"/>
      <w:marBottom w:val="0"/>
      <w:divBdr>
        <w:top w:val="none" w:sz="0" w:space="0" w:color="auto"/>
        <w:left w:val="none" w:sz="0" w:space="0" w:color="auto"/>
        <w:bottom w:val="none" w:sz="0" w:space="0" w:color="auto"/>
        <w:right w:val="none" w:sz="0" w:space="0" w:color="auto"/>
      </w:divBdr>
    </w:div>
    <w:div w:id="1575777133">
      <w:bodyDiv w:val="1"/>
      <w:marLeft w:val="0"/>
      <w:marRight w:val="0"/>
      <w:marTop w:val="0"/>
      <w:marBottom w:val="0"/>
      <w:divBdr>
        <w:top w:val="none" w:sz="0" w:space="0" w:color="auto"/>
        <w:left w:val="none" w:sz="0" w:space="0" w:color="auto"/>
        <w:bottom w:val="none" w:sz="0" w:space="0" w:color="auto"/>
        <w:right w:val="none" w:sz="0" w:space="0" w:color="auto"/>
      </w:divBdr>
    </w:div>
    <w:div w:id="1730615049">
      <w:bodyDiv w:val="1"/>
      <w:marLeft w:val="0"/>
      <w:marRight w:val="0"/>
      <w:marTop w:val="0"/>
      <w:marBottom w:val="0"/>
      <w:divBdr>
        <w:top w:val="none" w:sz="0" w:space="0" w:color="auto"/>
        <w:left w:val="none" w:sz="0" w:space="0" w:color="auto"/>
        <w:bottom w:val="none" w:sz="0" w:space="0" w:color="auto"/>
        <w:right w:val="none" w:sz="0" w:space="0" w:color="auto"/>
      </w:divBdr>
    </w:div>
    <w:div w:id="1889561677">
      <w:bodyDiv w:val="1"/>
      <w:marLeft w:val="0"/>
      <w:marRight w:val="0"/>
      <w:marTop w:val="0"/>
      <w:marBottom w:val="0"/>
      <w:divBdr>
        <w:top w:val="none" w:sz="0" w:space="0" w:color="auto"/>
        <w:left w:val="none" w:sz="0" w:space="0" w:color="auto"/>
        <w:bottom w:val="none" w:sz="0" w:space="0" w:color="auto"/>
        <w:right w:val="none" w:sz="0" w:space="0" w:color="auto"/>
      </w:divBdr>
    </w:div>
    <w:div w:id="205568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bs.icar.org.in/index.php/AAR/article/view/79055" TargetMode="External"/><Relationship Id="rId13" Type="http://schemas.openxmlformats.org/officeDocument/2006/relationships/hyperlink" Target="https://oar.icrisat.org/id/eprint/1000/1/Groundnut_Research_in_India.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ag.gujarat.gov.in/images/directorofagriculture/pdf/final-advance-estimate-2020-21.pdf" TargetMode="External"/><Relationship Id="rId12" Type="http://schemas.openxmlformats.org/officeDocument/2006/relationships/hyperlink" Target="https://www.chemijournal.com/archives/2019/vol7issue4/PartZ/7-4-100-540.pdf" TargetMode="External"/><Relationship Id="rId17" Type="http://schemas.openxmlformats.org/officeDocument/2006/relationships/hyperlink" Target="https://oar.icrisat.org/1046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gfjournals.com/assets/uploads/41-442.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pharmajournal.com/archives/2022/vol11issue3/PartE/11-3-10-100.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1470/PLANTARCHIVES.2025.v25.supplement-2.008" TargetMode="External"/><Relationship Id="rId23" Type="http://schemas.openxmlformats.org/officeDocument/2006/relationships/footer" Target="footer3.xml"/><Relationship Id="rId10" Type="http://schemas.openxmlformats.org/officeDocument/2006/relationships/hyperlink" Target="https://www.jpp.co.in/vol-8-issue-3-201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phytojournal.com/archives/2019/vol8issue5/PartL/8-5-10-790.pdf" TargetMode="External"/><Relationship Id="rId14" Type="http://schemas.openxmlformats.org/officeDocument/2006/relationships/hyperlink" Target="https://doi.org/10.20546/ijcmas.2017.611.31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3278</Words>
  <Characters>18686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New 16</cp:lastModifiedBy>
  <cp:revision>7</cp:revision>
  <dcterms:created xsi:type="dcterms:W3CDTF">2026-01-03T04:05:00Z</dcterms:created>
  <dcterms:modified xsi:type="dcterms:W3CDTF">2026-01-05T11:52:00Z</dcterms:modified>
</cp:coreProperties>
</file>