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64ED5" w14:textId="77777777" w:rsidR="00E829B0" w:rsidRDefault="00E829B0" w:rsidP="00526244">
      <w:pPr>
        <w:spacing w:before="100" w:beforeAutospacing="1" w:after="100" w:afterAutospacing="1"/>
        <w:jc w:val="right"/>
        <w:outlineLvl w:val="1"/>
        <w:rPr>
          <w:rFonts w:ascii="Arial" w:hAnsi="Arial" w:cs="Arial"/>
          <w:b/>
          <w:bCs/>
          <w:sz w:val="36"/>
          <w:szCs w:val="36"/>
          <w:lang w:eastAsia="en-IN"/>
        </w:rPr>
      </w:pPr>
    </w:p>
    <w:p w14:paraId="17DC7BF1" w14:textId="6787A6E2" w:rsidR="00526244" w:rsidRPr="00526244" w:rsidRDefault="00DE5619" w:rsidP="00526244">
      <w:pPr>
        <w:spacing w:before="100" w:beforeAutospacing="1" w:after="100" w:afterAutospacing="1"/>
        <w:jc w:val="right"/>
        <w:outlineLvl w:val="1"/>
        <w:rPr>
          <w:rFonts w:ascii="Arial" w:hAnsi="Arial" w:cs="Arial"/>
          <w:b/>
          <w:bCs/>
          <w:sz w:val="36"/>
          <w:szCs w:val="36"/>
          <w:lang w:eastAsia="en-IN"/>
        </w:rPr>
      </w:pPr>
      <w:r w:rsidRPr="00526244">
        <w:rPr>
          <w:rFonts w:ascii="Arial" w:hAnsi="Arial" w:cs="Arial"/>
          <w:b/>
          <w:bCs/>
          <w:sz w:val="36"/>
          <w:szCs w:val="36"/>
          <w:lang w:eastAsia="en-IN"/>
        </w:rPr>
        <w:t xml:space="preserve">Dissipation </w:t>
      </w:r>
      <w:r>
        <w:rPr>
          <w:rFonts w:ascii="Arial" w:hAnsi="Arial" w:cs="Arial"/>
          <w:b/>
          <w:bCs/>
          <w:sz w:val="36"/>
          <w:szCs w:val="36"/>
          <w:lang w:eastAsia="en-IN"/>
        </w:rPr>
        <w:t>o</w:t>
      </w:r>
      <w:r w:rsidRPr="00526244">
        <w:rPr>
          <w:rFonts w:ascii="Arial" w:hAnsi="Arial" w:cs="Arial"/>
          <w:b/>
          <w:bCs/>
          <w:sz w:val="36"/>
          <w:szCs w:val="36"/>
          <w:lang w:eastAsia="en-IN"/>
        </w:rPr>
        <w:t xml:space="preserve">f Topramezone </w:t>
      </w:r>
      <w:r>
        <w:rPr>
          <w:rFonts w:ascii="Arial" w:hAnsi="Arial" w:cs="Arial"/>
          <w:b/>
          <w:bCs/>
          <w:sz w:val="36"/>
          <w:szCs w:val="36"/>
          <w:lang w:eastAsia="en-IN"/>
        </w:rPr>
        <w:t>i</w:t>
      </w:r>
      <w:r w:rsidRPr="00526244">
        <w:rPr>
          <w:rFonts w:ascii="Arial" w:hAnsi="Arial" w:cs="Arial"/>
          <w:b/>
          <w:bCs/>
          <w:sz w:val="36"/>
          <w:szCs w:val="36"/>
          <w:lang w:eastAsia="en-IN"/>
        </w:rPr>
        <w:t xml:space="preserve">n Maize Growing Soils </w:t>
      </w:r>
      <w:r>
        <w:rPr>
          <w:rFonts w:ascii="Arial" w:hAnsi="Arial" w:cs="Arial"/>
          <w:b/>
          <w:bCs/>
          <w:sz w:val="36"/>
          <w:szCs w:val="36"/>
          <w:lang w:eastAsia="en-IN"/>
        </w:rPr>
        <w:t>o</w:t>
      </w:r>
      <w:r w:rsidRPr="00526244">
        <w:rPr>
          <w:rFonts w:ascii="Arial" w:hAnsi="Arial" w:cs="Arial"/>
          <w:b/>
          <w:bCs/>
          <w:sz w:val="36"/>
          <w:szCs w:val="36"/>
          <w:lang w:eastAsia="en-IN"/>
        </w:rPr>
        <w:t xml:space="preserve">f Telangana </w:t>
      </w:r>
      <w:r w:rsidRPr="00F94600">
        <w:rPr>
          <w:rFonts w:ascii="Arial" w:hAnsi="Arial" w:cs="Arial"/>
          <w:b/>
          <w:bCs/>
          <w:sz w:val="36"/>
          <w:szCs w:val="36"/>
          <w:highlight w:val="yellow"/>
          <w:lang w:eastAsia="en-IN"/>
        </w:rPr>
        <w:t>State, India</w:t>
      </w:r>
    </w:p>
    <w:p w14:paraId="6B5C251B" w14:textId="77777777" w:rsidR="00F0779E" w:rsidRDefault="00F0779E" w:rsidP="00213B6E">
      <w:pPr>
        <w:pStyle w:val="Affiliation"/>
        <w:spacing w:after="0" w:line="240" w:lineRule="auto"/>
        <w:rPr>
          <w:rFonts w:ascii="Arial" w:hAnsi="Arial" w:cs="Arial"/>
          <w:i/>
          <w:iCs/>
        </w:rPr>
      </w:pPr>
    </w:p>
    <w:p w14:paraId="5D4B2FBD" w14:textId="77777777" w:rsidR="00F0779E" w:rsidRPr="00213B6E" w:rsidRDefault="00F0779E" w:rsidP="00213B6E">
      <w:pPr>
        <w:pStyle w:val="Affiliation"/>
        <w:spacing w:after="0" w:line="240" w:lineRule="auto"/>
        <w:rPr>
          <w:rFonts w:ascii="Arial" w:hAnsi="Arial" w:cs="Arial"/>
          <w:i/>
          <w:iCs/>
        </w:rPr>
      </w:pPr>
    </w:p>
    <w:p w14:paraId="7457EEBF" w14:textId="269A533C" w:rsidR="00B01FCD" w:rsidRPr="00571CE3" w:rsidRDefault="003E0ACD" w:rsidP="00441B6F">
      <w:pPr>
        <w:pStyle w:val="Copyright"/>
        <w:spacing w:after="0" w:line="240" w:lineRule="auto"/>
        <w:jc w:val="both"/>
        <w:rPr>
          <w:rFonts w:ascii="Arial" w:hAnsi="Arial" w:cs="Arial"/>
        </w:rPr>
        <w:sectPr w:rsidR="00B01FCD" w:rsidRPr="00571CE3" w:rsidSect="00291A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1528EED" wp14:editId="609A9D88">
                <wp:extent cx="5303520" cy="635"/>
                <wp:effectExtent l="15240" t="12700" r="15240" b="15875"/>
                <wp:docPr id="21248465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E42BC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71CE3">
        <w:rPr>
          <w:rFonts w:ascii="Arial" w:hAnsi="Arial" w:cs="Arial"/>
        </w:rPr>
        <w:t>.</w:t>
      </w:r>
    </w:p>
    <w:p w14:paraId="6C6F09F9" w14:textId="35E7AC64" w:rsidR="00B01FCD" w:rsidRPr="00571CE3" w:rsidRDefault="00B01FCD" w:rsidP="00441B6F">
      <w:pPr>
        <w:pStyle w:val="AbstHead"/>
        <w:spacing w:after="0"/>
        <w:jc w:val="both"/>
        <w:rPr>
          <w:rFonts w:ascii="Arial" w:hAnsi="Arial" w:cs="Arial"/>
        </w:rPr>
      </w:pPr>
      <w:r w:rsidRPr="00571CE3">
        <w:rPr>
          <w:rFonts w:ascii="Arial" w:hAnsi="Arial" w:cs="Arial"/>
        </w:rPr>
        <w:t>ABSTRACT</w:t>
      </w:r>
      <w:r w:rsidR="0066510A" w:rsidRPr="00571CE3">
        <w:rPr>
          <w:rFonts w:ascii="Arial" w:hAnsi="Arial" w:cs="Arial"/>
        </w:rPr>
        <w:t xml:space="preserve"> </w:t>
      </w:r>
    </w:p>
    <w:p w14:paraId="7ADE8792" w14:textId="77777777" w:rsidR="00790ADA" w:rsidRPr="00571CE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71CE3" w14:paraId="04FB2547" w14:textId="77777777" w:rsidTr="001E44FE">
        <w:tc>
          <w:tcPr>
            <w:tcW w:w="9576" w:type="dxa"/>
            <w:shd w:val="clear" w:color="auto" w:fill="F2F2F2"/>
          </w:tcPr>
          <w:p w14:paraId="08DF98F2" w14:textId="375417E4" w:rsidR="00505F06" w:rsidRPr="00526244" w:rsidRDefault="00F94600" w:rsidP="00F94600">
            <w:pPr>
              <w:pStyle w:val="NormalWeb"/>
              <w:ind w:firstLine="720"/>
              <w:jc w:val="both"/>
              <w:rPr>
                <w:rFonts w:ascii="Arial" w:hAnsi="Arial" w:cs="Arial"/>
                <w:sz w:val="20"/>
                <w:szCs w:val="20"/>
              </w:rPr>
            </w:pPr>
            <w:r w:rsidRPr="00DD6F0A">
              <w:rPr>
                <w:rFonts w:ascii="Arial" w:hAnsi="Arial" w:cs="Arial"/>
                <w:sz w:val="20"/>
                <w:szCs w:val="20"/>
                <w:highlight w:val="yellow"/>
              </w:rPr>
              <w:t xml:space="preserve">Understanding the kinetics and mechanisms of herbicide degradation under region-specific soil and climatic conditions is essential for optimizing application schedules and mitigating environmental risk. </w:t>
            </w:r>
            <w:r w:rsidR="00526244" w:rsidRPr="00526244">
              <w:rPr>
                <w:rFonts w:ascii="Arial" w:hAnsi="Arial" w:cs="Arial"/>
                <w:sz w:val="20"/>
                <w:szCs w:val="20"/>
              </w:rPr>
              <w:t>Persistence and dissipation of topramezone were quantified in two contrasting Telangana soils - red sandy loam (</w:t>
            </w:r>
            <w:proofErr w:type="spellStart"/>
            <w:r w:rsidR="00526244" w:rsidRPr="00526244">
              <w:rPr>
                <w:rFonts w:ascii="Arial" w:hAnsi="Arial" w:cs="Arial"/>
                <w:sz w:val="20"/>
                <w:szCs w:val="20"/>
              </w:rPr>
              <w:t>Alfisol</w:t>
            </w:r>
            <w:proofErr w:type="spellEnd"/>
            <w:r w:rsidR="00526244" w:rsidRPr="00526244">
              <w:rPr>
                <w:rFonts w:ascii="Arial" w:hAnsi="Arial" w:cs="Arial"/>
                <w:sz w:val="20"/>
                <w:szCs w:val="20"/>
              </w:rPr>
              <w:t>) and black clay (</w:t>
            </w:r>
            <w:proofErr w:type="spellStart"/>
            <w:r w:rsidR="00526244" w:rsidRPr="00526244">
              <w:rPr>
                <w:rFonts w:ascii="Arial" w:hAnsi="Arial" w:cs="Arial"/>
                <w:sz w:val="20"/>
                <w:szCs w:val="20"/>
              </w:rPr>
              <w:t>Vertisol</w:t>
            </w:r>
            <w:proofErr w:type="spellEnd"/>
            <w:r w:rsidR="00526244" w:rsidRPr="00526244">
              <w:rPr>
                <w:rFonts w:ascii="Arial" w:hAnsi="Arial" w:cs="Arial"/>
                <w:sz w:val="20"/>
                <w:szCs w:val="20"/>
              </w:rPr>
              <w:t xml:space="preserve">)—to inform leaching risk and rotation safety under tropical conditions. </w:t>
            </w:r>
            <w:r w:rsidRPr="00DD6F0A">
              <w:rPr>
                <w:rFonts w:ascii="Arial" w:hAnsi="Arial" w:cs="Arial"/>
                <w:sz w:val="20"/>
                <w:szCs w:val="20"/>
                <w:highlight w:val="yellow"/>
              </w:rPr>
              <w:t xml:space="preserve">The present study contributes to a better understanding of topramezone persistence and movement in Indian soils and help refine herbicide use strategies to minimize environmental and crop-rotation risks in maize-based systems. </w:t>
            </w:r>
            <w:r w:rsidR="00526244" w:rsidRPr="00526244">
              <w:rPr>
                <w:rFonts w:ascii="Arial" w:hAnsi="Arial" w:cs="Arial"/>
                <w:sz w:val="20"/>
                <w:szCs w:val="20"/>
              </w:rPr>
              <w:t>Composite surface soils were characterized (pH, EC, organic carbon and CEC) and incubated at 27 ± 0.2 °C after fortification to 0.2 mg kg</w:t>
            </w:r>
            <w:r w:rsidR="00526244" w:rsidRPr="00526244">
              <w:rPr>
                <w:rFonts w:ascii="Cambria Math" w:hAnsi="Cambria Math" w:cs="Cambria Math"/>
                <w:sz w:val="20"/>
                <w:szCs w:val="20"/>
              </w:rPr>
              <w:t>⁻</w:t>
            </w:r>
            <w:r w:rsidR="00526244" w:rsidRPr="00526244">
              <w:rPr>
                <w:rFonts w:ascii="Arial" w:hAnsi="Arial" w:cs="Arial"/>
                <w:sz w:val="20"/>
                <w:szCs w:val="20"/>
              </w:rPr>
              <w:t>¹. Residues were measured at 0–135 days using validated HPLC–UV (LOD 0.007 mg kg</w:t>
            </w:r>
            <w:r w:rsidR="00526244" w:rsidRPr="00526244">
              <w:rPr>
                <w:rFonts w:ascii="Cambria Math" w:hAnsi="Cambria Math" w:cs="Cambria Math"/>
                <w:sz w:val="20"/>
                <w:szCs w:val="20"/>
              </w:rPr>
              <w:t>⁻</w:t>
            </w:r>
            <w:r w:rsidR="00526244" w:rsidRPr="00526244">
              <w:rPr>
                <w:rFonts w:ascii="Arial" w:hAnsi="Arial" w:cs="Arial"/>
                <w:sz w:val="20"/>
                <w:szCs w:val="20"/>
              </w:rPr>
              <w:t>¹; LOQ 0.020 mg kg</w:t>
            </w:r>
            <w:r w:rsidR="00526244" w:rsidRPr="00526244">
              <w:rPr>
                <w:rFonts w:ascii="Cambria Math" w:hAnsi="Cambria Math" w:cs="Cambria Math"/>
                <w:sz w:val="20"/>
                <w:szCs w:val="20"/>
              </w:rPr>
              <w:t>⁻</w:t>
            </w:r>
            <w:r w:rsidR="00526244" w:rsidRPr="00526244">
              <w:rPr>
                <w:rFonts w:ascii="Arial" w:hAnsi="Arial" w:cs="Arial"/>
                <w:sz w:val="20"/>
                <w:szCs w:val="20"/>
              </w:rPr>
              <w:t xml:space="preserve">¹; recoveries 84.8–91.2%). </w:t>
            </w:r>
            <w:r w:rsidRPr="00DD6F0A">
              <w:rPr>
                <w:rFonts w:ascii="Arial" w:hAnsi="Arial" w:cs="Arial"/>
                <w:sz w:val="20"/>
                <w:szCs w:val="20"/>
                <w:highlight w:val="yellow"/>
              </w:rPr>
              <w:t>The dissipation kinetics of topramezone were analysed assuming a first-order rate equation. The coefficient of determination (R²) was used to assess model fit, and only regressions with R² &gt; 0.90 were accepted.</w:t>
            </w:r>
            <w:r w:rsidRPr="00F94600">
              <w:rPr>
                <w:rFonts w:ascii="Arial" w:hAnsi="Arial" w:cs="Arial"/>
                <w:sz w:val="20"/>
                <w:szCs w:val="20"/>
              </w:rPr>
              <w:t xml:space="preserve"> </w:t>
            </w:r>
            <w:r w:rsidR="00526244" w:rsidRPr="00526244">
              <w:rPr>
                <w:rFonts w:ascii="Arial" w:hAnsi="Arial" w:cs="Arial"/>
                <w:sz w:val="20"/>
                <w:szCs w:val="20"/>
              </w:rPr>
              <w:t>Initial detected amount (2 h after application) was 90.61 µg 10 g</w:t>
            </w:r>
            <w:r w:rsidR="00526244" w:rsidRPr="00526244">
              <w:rPr>
                <w:rFonts w:ascii="Cambria Math" w:hAnsi="Cambria Math" w:cs="Cambria Math"/>
                <w:sz w:val="20"/>
                <w:szCs w:val="20"/>
              </w:rPr>
              <w:t>⁻</w:t>
            </w:r>
            <w:r w:rsidR="00526244" w:rsidRPr="00526244">
              <w:rPr>
                <w:rFonts w:ascii="Arial" w:hAnsi="Arial" w:cs="Arial"/>
                <w:sz w:val="20"/>
                <w:szCs w:val="20"/>
              </w:rPr>
              <w:t>¹ in the red soil and 92.12 µg 10 g</w:t>
            </w:r>
            <w:r w:rsidR="00526244" w:rsidRPr="00526244">
              <w:rPr>
                <w:rFonts w:ascii="Cambria Math" w:hAnsi="Cambria Math" w:cs="Cambria Math"/>
                <w:sz w:val="20"/>
                <w:szCs w:val="20"/>
              </w:rPr>
              <w:t>⁻</w:t>
            </w:r>
            <w:r w:rsidR="00526244" w:rsidRPr="00526244">
              <w:rPr>
                <w:rFonts w:ascii="Arial" w:hAnsi="Arial" w:cs="Arial"/>
                <w:sz w:val="20"/>
                <w:szCs w:val="20"/>
              </w:rPr>
              <w:t>¹ in the black soil. Concentrations declined to 40.21 and 38.65 µg 10 g</w:t>
            </w:r>
            <w:r w:rsidR="00526244" w:rsidRPr="00526244">
              <w:rPr>
                <w:rFonts w:ascii="Cambria Math" w:hAnsi="Cambria Math" w:cs="Cambria Math"/>
                <w:sz w:val="20"/>
                <w:szCs w:val="20"/>
              </w:rPr>
              <w:t>⁻</w:t>
            </w:r>
            <w:r w:rsidR="00526244" w:rsidRPr="00526244">
              <w:rPr>
                <w:rFonts w:ascii="Arial" w:hAnsi="Arial" w:cs="Arial"/>
                <w:sz w:val="20"/>
                <w:szCs w:val="20"/>
              </w:rPr>
              <w:t>¹, respectively, by 135 days. Among linear, polynomial, logarithmic and exponential models, first-order kinetics best described dissipation with excellent fits (R² &gt; 0.97). Rate constants (k) ranged 0.0057–0.0069 day</w:t>
            </w:r>
            <w:r w:rsidR="00526244" w:rsidRPr="00526244">
              <w:rPr>
                <w:rFonts w:ascii="Cambria Math" w:hAnsi="Cambria Math" w:cs="Cambria Math"/>
                <w:sz w:val="20"/>
                <w:szCs w:val="20"/>
              </w:rPr>
              <w:t>⁻</w:t>
            </w:r>
            <w:r w:rsidR="00526244" w:rsidRPr="00526244">
              <w:rPr>
                <w:rFonts w:ascii="Arial" w:hAnsi="Arial" w:cs="Arial"/>
                <w:sz w:val="20"/>
                <w:szCs w:val="20"/>
              </w:rPr>
              <w:t>¹, giving DT</w:t>
            </w:r>
            <w:r w:rsidR="00526244" w:rsidRPr="00526244">
              <w:rPr>
                <w:rFonts w:ascii="Cambria Math" w:hAnsi="Cambria Math" w:cs="Cambria Math"/>
                <w:sz w:val="20"/>
                <w:szCs w:val="20"/>
              </w:rPr>
              <w:t>₅₀</w:t>
            </w:r>
            <w:r w:rsidR="00526244" w:rsidRPr="00526244">
              <w:rPr>
                <w:rFonts w:ascii="Arial" w:hAnsi="Arial" w:cs="Arial"/>
                <w:sz w:val="20"/>
                <w:szCs w:val="20"/>
              </w:rPr>
              <w:t xml:space="preserve"> values of 121.6 days (red) and 100.4 days (black). When interpreted alongside sorption behaviour (weak-acid </w:t>
            </w:r>
            <w:proofErr w:type="spellStart"/>
            <w:r w:rsidR="00526244" w:rsidRPr="00526244">
              <w:rPr>
                <w:rFonts w:ascii="Arial" w:hAnsi="Arial" w:cs="Arial"/>
                <w:sz w:val="20"/>
                <w:szCs w:val="20"/>
              </w:rPr>
              <w:t>pKa</w:t>
            </w:r>
            <w:proofErr w:type="spellEnd"/>
            <w:r w:rsidR="00526244" w:rsidRPr="00526244">
              <w:rPr>
                <w:rFonts w:ascii="Arial" w:hAnsi="Arial" w:cs="Arial"/>
                <w:sz w:val="20"/>
                <w:szCs w:val="20"/>
              </w:rPr>
              <w:t xml:space="preserve"> = 4.06; moderate–low sorption that decreases with increasing pH), the data indicate a high leaching potential, especially in neutral–alkaline, higher-pH settings. </w:t>
            </w:r>
            <w:r w:rsidRPr="00DD6F0A">
              <w:rPr>
                <w:rFonts w:ascii="Arial" w:hAnsi="Arial" w:cs="Arial"/>
                <w:sz w:val="20"/>
                <w:szCs w:val="20"/>
                <w:highlight w:val="yellow"/>
              </w:rPr>
              <w:t>The findings reinforce that environmental variables, particularly soil moisture and temperature, strongly influence degradation kinetics of weakly acidic, HPPD-inhibiting herbicide. Management strategies involving proper irrigation scheduling and rotation planning are essential to minimize the risk of residual injury from topramezone residues in tropical agroecosystems.</w:t>
            </w:r>
            <w:r>
              <w:rPr>
                <w:rFonts w:ascii="Arial" w:hAnsi="Arial" w:cs="Arial"/>
                <w:sz w:val="20"/>
                <w:szCs w:val="20"/>
              </w:rPr>
              <w:t xml:space="preserve"> </w:t>
            </w:r>
            <w:r w:rsidR="00526244" w:rsidRPr="00526244">
              <w:rPr>
                <w:rFonts w:ascii="Arial" w:hAnsi="Arial" w:cs="Arial"/>
                <w:sz w:val="20"/>
                <w:szCs w:val="20"/>
              </w:rPr>
              <w:t>Overall, soil type and moisture regime exert first-order control on topramezone persistence and, by extension, on leaching risk under semi-arid Indian conditions.</w:t>
            </w:r>
          </w:p>
        </w:tc>
      </w:tr>
    </w:tbl>
    <w:p w14:paraId="31D1D276" w14:textId="77777777" w:rsidR="00636EB2" w:rsidRPr="00571CE3" w:rsidRDefault="00636EB2" w:rsidP="00441B6F">
      <w:pPr>
        <w:pStyle w:val="Body"/>
        <w:spacing w:after="0"/>
        <w:rPr>
          <w:rFonts w:ascii="Arial" w:hAnsi="Arial" w:cs="Arial"/>
          <w:i/>
        </w:rPr>
      </w:pPr>
    </w:p>
    <w:p w14:paraId="3CC6C39C" w14:textId="0C27EA0D" w:rsidR="00505F06" w:rsidRPr="00526244" w:rsidRDefault="00A24E7E" w:rsidP="00526244">
      <w:pPr>
        <w:pStyle w:val="NormalWeb"/>
        <w:rPr>
          <w:rFonts w:ascii="Arial" w:hAnsi="Arial" w:cs="Arial"/>
          <w:i/>
          <w:sz w:val="20"/>
          <w:szCs w:val="20"/>
        </w:rPr>
      </w:pPr>
      <w:r w:rsidRPr="00571CE3">
        <w:rPr>
          <w:rFonts w:ascii="Arial" w:hAnsi="Arial" w:cs="Arial"/>
          <w:i/>
        </w:rPr>
        <w:t>Keywords</w:t>
      </w:r>
      <w:r w:rsidRPr="00571CE3">
        <w:rPr>
          <w:rFonts w:ascii="Arial" w:hAnsi="Arial" w:cs="Arial"/>
          <w:i/>
          <w:sz w:val="20"/>
          <w:szCs w:val="20"/>
        </w:rPr>
        <w:t xml:space="preserve">: </w:t>
      </w:r>
      <w:r w:rsidR="00526244" w:rsidRPr="00526244">
        <w:rPr>
          <w:rFonts w:ascii="Arial" w:hAnsi="Arial" w:cs="Arial"/>
          <w:i/>
          <w:sz w:val="20"/>
          <w:szCs w:val="20"/>
        </w:rPr>
        <w:t>Degradation, first-order kinetics, half-life, leaching potential, soil moisture regime and Topramezone dissipation</w:t>
      </w:r>
    </w:p>
    <w:p w14:paraId="48F1B706" w14:textId="695D8E8F" w:rsidR="00790ADA" w:rsidRPr="00571CE3" w:rsidRDefault="00902823" w:rsidP="00441B6F">
      <w:pPr>
        <w:pStyle w:val="AbstHead"/>
        <w:spacing w:after="0"/>
        <w:jc w:val="both"/>
        <w:rPr>
          <w:rFonts w:ascii="Arial" w:hAnsi="Arial" w:cs="Arial"/>
        </w:rPr>
      </w:pPr>
      <w:r w:rsidRPr="00571CE3">
        <w:rPr>
          <w:rFonts w:ascii="Arial" w:hAnsi="Arial" w:cs="Arial"/>
        </w:rPr>
        <w:t xml:space="preserve">1. </w:t>
      </w:r>
      <w:r w:rsidR="00B01FCD" w:rsidRPr="00571CE3">
        <w:rPr>
          <w:rFonts w:ascii="Arial" w:hAnsi="Arial" w:cs="Arial"/>
        </w:rPr>
        <w:t>INTRODUCTION</w:t>
      </w:r>
    </w:p>
    <w:p w14:paraId="34C9EE5A" w14:textId="2E3F5275" w:rsidR="00526244" w:rsidRPr="00526244" w:rsidRDefault="00811D49" w:rsidP="00526244">
      <w:pPr>
        <w:spacing w:before="100" w:beforeAutospacing="1" w:after="100" w:afterAutospacing="1"/>
        <w:ind w:firstLine="720"/>
        <w:jc w:val="both"/>
        <w:rPr>
          <w:rFonts w:ascii="Arial" w:hAnsi="Arial" w:cs="Arial"/>
          <w:lang w:eastAsia="en-IN"/>
        </w:rPr>
      </w:pPr>
      <w:r w:rsidRPr="00DD6F0A">
        <w:rPr>
          <w:rFonts w:ascii="Arial" w:hAnsi="Arial" w:cs="Arial"/>
          <w:highlight w:val="yellow"/>
          <w:lang w:eastAsia="en-IN"/>
        </w:rPr>
        <w:t xml:space="preserve">The prevalence of pesticide residues in modern agriculture is largely due to the widespread application of various pesticides for managing pests and diseases. Among these, herbicides represent a significant portion of global pesticide use. The frequent and repeated application of herbicides not only causes phytotoxicity in sensitive crop plants but also leads to the development of herbicide-resistant weed populations and poses risks to both </w:t>
      </w:r>
      <w:r w:rsidRPr="00DD6F0A">
        <w:rPr>
          <w:rFonts w:ascii="Arial" w:hAnsi="Arial" w:cs="Arial"/>
          <w:highlight w:val="yellow"/>
          <w:lang w:eastAsia="en-IN"/>
        </w:rPr>
        <w:lastRenderedPageBreak/>
        <w:t>environmental health and human well-being (</w:t>
      </w:r>
      <w:proofErr w:type="spellStart"/>
      <w:r w:rsidRPr="00DD6F0A">
        <w:rPr>
          <w:rFonts w:ascii="Arial" w:hAnsi="Arial" w:cs="Arial"/>
          <w:highlight w:val="yellow"/>
          <w:lang w:eastAsia="en-IN"/>
        </w:rPr>
        <w:t>Sondhia</w:t>
      </w:r>
      <w:proofErr w:type="spellEnd"/>
      <w:r w:rsidRPr="00DD6F0A">
        <w:rPr>
          <w:rFonts w:ascii="Arial" w:hAnsi="Arial" w:cs="Arial"/>
          <w:highlight w:val="yellow"/>
          <w:lang w:eastAsia="en-IN"/>
        </w:rPr>
        <w:t>, 2025</w:t>
      </w:r>
      <w:r w:rsidR="00DD6F0A">
        <w:rPr>
          <w:rFonts w:ascii="Arial" w:hAnsi="Arial" w:cs="Arial"/>
          <w:highlight w:val="yellow"/>
          <w:lang w:eastAsia="en-IN"/>
        </w:rPr>
        <w:t xml:space="preserve">; </w:t>
      </w:r>
      <w:r w:rsidR="00DD6F0A" w:rsidRPr="00DD6F0A">
        <w:rPr>
          <w:rFonts w:ascii="Arial" w:hAnsi="Arial" w:cs="Arial"/>
          <w:highlight w:val="yellow"/>
          <w:lang w:eastAsia="en-IN"/>
        </w:rPr>
        <w:t>Kumar et al., 2025</w:t>
      </w:r>
      <w:r w:rsidRPr="00DD6F0A">
        <w:rPr>
          <w:rFonts w:ascii="Arial" w:hAnsi="Arial" w:cs="Arial"/>
          <w:highlight w:val="yellow"/>
          <w:lang w:eastAsia="en-IN"/>
        </w:rPr>
        <w:t>).</w:t>
      </w:r>
      <w:r>
        <w:rPr>
          <w:rFonts w:ascii="Arial" w:hAnsi="Arial" w:cs="Arial"/>
          <w:lang w:eastAsia="en-IN"/>
        </w:rPr>
        <w:t xml:space="preserve"> </w:t>
      </w:r>
      <w:r w:rsidR="00526244" w:rsidRPr="00526244">
        <w:rPr>
          <w:rFonts w:ascii="Arial" w:hAnsi="Arial" w:cs="Arial"/>
          <w:lang w:eastAsia="en-IN"/>
        </w:rPr>
        <w:t xml:space="preserve">Persistence and dissipation of herbicides in soil are critical factors determining their biological performance, residual toxicity, and ecological impact. Dissipation processes encompassing microbial degradation, chemical transformation, photolysis, and leaching govern the residence time and ultimate environmental fate of herbicides. Excessive persistence can result in carryover injury to succeeding crops and contamination of soil and groundwater, while too rapid dissipation may reduce weed control efficacy (Walker, 1974; </w:t>
      </w:r>
      <w:proofErr w:type="spellStart"/>
      <w:r w:rsidR="00526244" w:rsidRPr="00526244">
        <w:rPr>
          <w:rFonts w:ascii="Arial" w:hAnsi="Arial" w:cs="Arial"/>
          <w:lang w:eastAsia="en-IN"/>
        </w:rPr>
        <w:t>Mervosh</w:t>
      </w:r>
      <w:proofErr w:type="spellEnd"/>
      <w:r w:rsidR="00526244" w:rsidRPr="00526244">
        <w:rPr>
          <w:rFonts w:ascii="Arial" w:hAnsi="Arial" w:cs="Arial"/>
          <w:lang w:eastAsia="en-IN"/>
        </w:rPr>
        <w:t xml:space="preserve"> </w:t>
      </w:r>
      <w:r w:rsidR="00526244" w:rsidRPr="00526244">
        <w:rPr>
          <w:rFonts w:ascii="Arial" w:hAnsi="Arial" w:cs="Arial"/>
          <w:i/>
          <w:iCs/>
          <w:lang w:eastAsia="en-IN"/>
        </w:rPr>
        <w:t>et al</w:t>
      </w:r>
      <w:r w:rsidR="00526244" w:rsidRPr="00526244">
        <w:rPr>
          <w:rFonts w:ascii="Arial" w:hAnsi="Arial" w:cs="Arial"/>
          <w:lang w:eastAsia="en-IN"/>
        </w:rPr>
        <w:t>., 2016). Understanding the kinetics and mechanisms of herbicide degradation under region-specific soil and climatic conditions is essential for optimizing application schedules and mitigating environmental risk.</w:t>
      </w:r>
      <w:r w:rsidR="00351625">
        <w:rPr>
          <w:rFonts w:ascii="Arial" w:hAnsi="Arial" w:cs="Arial"/>
          <w:lang w:eastAsia="en-IN"/>
        </w:rPr>
        <w:t xml:space="preserve"> </w:t>
      </w:r>
      <w:r w:rsidR="00351625" w:rsidRPr="00DD6F0A">
        <w:rPr>
          <w:rFonts w:ascii="Arial" w:hAnsi="Arial" w:cs="Arial"/>
          <w:highlight w:val="yellow"/>
          <w:lang w:eastAsia="en-IN"/>
        </w:rPr>
        <w:t xml:space="preserve">Most   of   the presently available herbicides provide </w:t>
      </w:r>
      <w:proofErr w:type="gramStart"/>
      <w:r w:rsidR="00351625" w:rsidRPr="00DD6F0A">
        <w:rPr>
          <w:rFonts w:ascii="Arial" w:hAnsi="Arial" w:cs="Arial"/>
          <w:highlight w:val="yellow"/>
          <w:lang w:eastAsia="en-IN"/>
        </w:rPr>
        <w:t>a  narrow</w:t>
      </w:r>
      <w:proofErr w:type="gramEnd"/>
      <w:r w:rsidR="00351625" w:rsidRPr="00DD6F0A">
        <w:rPr>
          <w:rFonts w:ascii="Arial" w:hAnsi="Arial" w:cs="Arial"/>
          <w:highlight w:val="yellow"/>
          <w:lang w:eastAsia="en-IN"/>
        </w:rPr>
        <w:t xml:space="preserve"> spectrum   weed   control.   Many   of   them   have activity </w:t>
      </w:r>
      <w:proofErr w:type="gramStart"/>
      <w:r w:rsidR="00351625" w:rsidRPr="00DD6F0A">
        <w:rPr>
          <w:rFonts w:ascii="Arial" w:hAnsi="Arial" w:cs="Arial"/>
          <w:highlight w:val="yellow"/>
          <w:lang w:eastAsia="en-IN"/>
        </w:rPr>
        <w:t>only  on</w:t>
      </w:r>
      <w:proofErr w:type="gramEnd"/>
      <w:r w:rsidR="00351625" w:rsidRPr="00DD6F0A">
        <w:rPr>
          <w:rFonts w:ascii="Arial" w:hAnsi="Arial" w:cs="Arial"/>
          <w:highlight w:val="yellow"/>
          <w:lang w:eastAsia="en-IN"/>
        </w:rPr>
        <w:t xml:space="preserve">  annual  species,  while  a  few  are only   effective   against   perennials.   Continuous usage of same </w:t>
      </w:r>
      <w:proofErr w:type="gramStart"/>
      <w:r w:rsidR="00351625" w:rsidRPr="00DD6F0A">
        <w:rPr>
          <w:rFonts w:ascii="Arial" w:hAnsi="Arial" w:cs="Arial"/>
          <w:highlight w:val="yellow"/>
          <w:lang w:eastAsia="en-IN"/>
        </w:rPr>
        <w:t>herbicide  or</w:t>
      </w:r>
      <w:proofErr w:type="gramEnd"/>
      <w:r w:rsidR="00351625" w:rsidRPr="00DD6F0A">
        <w:rPr>
          <w:rFonts w:ascii="Arial" w:hAnsi="Arial" w:cs="Arial"/>
          <w:highlight w:val="yellow"/>
          <w:lang w:eastAsia="en-IN"/>
        </w:rPr>
        <w:t xml:space="preserve">  similar  herbicides year  after  year  over  several  years  do  certainly lead to elimination of sensitive weed species but leave out the tolerant weed species resulting in a gradual  built  up  of  their  population (Jadhav et al., 2023).</w:t>
      </w:r>
    </w:p>
    <w:p w14:paraId="41C9B8D4" w14:textId="719FC209" w:rsidR="00526244" w:rsidRPr="00526244" w:rsidRDefault="00526244" w:rsidP="00526244">
      <w:pPr>
        <w:spacing w:before="100" w:beforeAutospacing="1" w:after="100" w:afterAutospacing="1"/>
        <w:ind w:firstLine="720"/>
        <w:jc w:val="both"/>
        <w:rPr>
          <w:rFonts w:ascii="Arial" w:hAnsi="Arial" w:cs="Arial"/>
          <w:lang w:eastAsia="en-IN"/>
        </w:rPr>
      </w:pPr>
      <w:r w:rsidRPr="00526244">
        <w:rPr>
          <w:rFonts w:ascii="Arial" w:hAnsi="Arial" w:cs="Arial"/>
          <w:bCs/>
          <w:lang w:eastAsia="en-IN"/>
        </w:rPr>
        <w:t>Topramezone</w:t>
      </w:r>
      <w:r w:rsidRPr="00526244">
        <w:rPr>
          <w:rFonts w:ascii="Arial" w:hAnsi="Arial" w:cs="Arial"/>
          <w:lang w:eastAsia="en-IN"/>
        </w:rPr>
        <w:t xml:space="preserve">, belonging to the </w:t>
      </w:r>
      <w:r w:rsidRPr="00526244">
        <w:rPr>
          <w:rFonts w:ascii="Arial" w:hAnsi="Arial" w:cs="Arial"/>
          <w:iCs/>
          <w:lang w:eastAsia="en-IN"/>
        </w:rPr>
        <w:t>phenyl pyrazolyl ketone</w:t>
      </w:r>
      <w:r w:rsidRPr="00526244">
        <w:rPr>
          <w:rFonts w:ascii="Arial" w:hAnsi="Arial" w:cs="Arial"/>
          <w:lang w:eastAsia="en-IN"/>
        </w:rPr>
        <w:t xml:space="preserve"> group, is a post-emergence, systemic herbicide widely used in maize crop (Madhavi </w:t>
      </w:r>
      <w:r w:rsidRPr="00526244">
        <w:rPr>
          <w:rFonts w:ascii="Arial" w:hAnsi="Arial" w:cs="Arial"/>
          <w:i/>
          <w:iCs/>
          <w:lang w:eastAsia="en-IN"/>
        </w:rPr>
        <w:t>et al.,</w:t>
      </w:r>
      <w:r w:rsidRPr="00526244">
        <w:rPr>
          <w:rFonts w:ascii="Arial" w:hAnsi="Arial" w:cs="Arial"/>
          <w:lang w:eastAsia="en-IN"/>
        </w:rPr>
        <w:t xml:space="preserve"> 2013). It inhibits </w:t>
      </w:r>
      <w:r w:rsidRPr="00526244">
        <w:rPr>
          <w:rFonts w:ascii="Arial" w:hAnsi="Arial" w:cs="Arial"/>
          <w:bCs/>
          <w:lang w:eastAsia="en-IN"/>
        </w:rPr>
        <w:t>4-hydroxyphenylpyruvate dioxygenase (4-HPPD)</w:t>
      </w:r>
      <w:r w:rsidRPr="00526244">
        <w:rPr>
          <w:rFonts w:ascii="Arial" w:hAnsi="Arial" w:cs="Arial"/>
          <w:lang w:eastAsia="en-IN"/>
        </w:rPr>
        <w:t xml:space="preserve">, disrupting carotenoid biosynthesis and resulting in chlorosis and bleaching of weeds (Mitchell </w:t>
      </w:r>
      <w:r w:rsidRPr="00526244">
        <w:rPr>
          <w:rFonts w:ascii="Arial" w:hAnsi="Arial" w:cs="Arial"/>
          <w:i/>
          <w:iCs/>
          <w:lang w:eastAsia="en-IN"/>
        </w:rPr>
        <w:t>et al.,</w:t>
      </w:r>
      <w:r w:rsidRPr="00526244">
        <w:rPr>
          <w:rFonts w:ascii="Arial" w:hAnsi="Arial" w:cs="Arial"/>
          <w:lang w:eastAsia="en-IN"/>
        </w:rPr>
        <w:t xml:space="preserve"> 2001). Topramezone is a weak acid (</w:t>
      </w:r>
      <w:proofErr w:type="spellStart"/>
      <w:r w:rsidRPr="00526244">
        <w:rPr>
          <w:rFonts w:ascii="Arial" w:hAnsi="Arial" w:cs="Arial"/>
          <w:lang w:eastAsia="en-IN"/>
        </w:rPr>
        <w:t>pKa</w:t>
      </w:r>
      <w:proofErr w:type="spellEnd"/>
      <w:r w:rsidRPr="00526244">
        <w:rPr>
          <w:rFonts w:ascii="Arial" w:hAnsi="Arial" w:cs="Arial"/>
          <w:lang w:eastAsia="en-IN"/>
        </w:rPr>
        <w:t xml:space="preserve"> = 4.06) whose dissociation and reactivity are strongly pH-dependent, existing mainly as an anion in neutral to alkaline soils (APVMA, 2019). It is highly soluble in water and exhibits moderate to low sorption, characteristics that </w:t>
      </w:r>
      <w:proofErr w:type="spellStart"/>
      <w:r w:rsidRPr="00526244">
        <w:rPr>
          <w:rFonts w:ascii="Arial" w:hAnsi="Arial" w:cs="Arial"/>
          <w:lang w:eastAsia="en-IN"/>
        </w:rPr>
        <w:t>favour</w:t>
      </w:r>
      <w:proofErr w:type="spellEnd"/>
      <w:r w:rsidRPr="00526244">
        <w:rPr>
          <w:rFonts w:ascii="Arial" w:hAnsi="Arial" w:cs="Arial"/>
          <w:lang w:eastAsia="en-IN"/>
        </w:rPr>
        <w:t xml:space="preserve"> persistence and potential mobility. Laboratory and field studies conducted under temperate conditions have shown that topramezone degrades slowly, with half-lives of 125–365 days (EFSA, 2014; US EPA, 2013), although its breakdown rate is influenced by soil type, temperature, and moisture (Baumann </w:t>
      </w:r>
      <w:r w:rsidRPr="00526244">
        <w:rPr>
          <w:rFonts w:ascii="Arial" w:hAnsi="Arial" w:cs="Arial"/>
          <w:i/>
          <w:iCs/>
          <w:lang w:eastAsia="en-IN"/>
        </w:rPr>
        <w:t>et al.,</w:t>
      </w:r>
      <w:r w:rsidRPr="00526244">
        <w:rPr>
          <w:rFonts w:ascii="Arial" w:hAnsi="Arial" w:cs="Arial"/>
          <w:lang w:eastAsia="en-IN"/>
        </w:rPr>
        <w:t xml:space="preserve"> 2014; Hollaway </w:t>
      </w:r>
      <w:r w:rsidRPr="00526244">
        <w:rPr>
          <w:rFonts w:ascii="Arial" w:hAnsi="Arial" w:cs="Arial"/>
          <w:i/>
          <w:iCs/>
          <w:lang w:eastAsia="en-IN"/>
        </w:rPr>
        <w:t>et al.,</w:t>
      </w:r>
      <w:r w:rsidRPr="00526244">
        <w:rPr>
          <w:rFonts w:ascii="Arial" w:hAnsi="Arial" w:cs="Arial"/>
          <w:lang w:eastAsia="en-IN"/>
        </w:rPr>
        <w:t xml:space="preserve"> 2013, Rao </w:t>
      </w:r>
      <w:r w:rsidRPr="00526244">
        <w:rPr>
          <w:rFonts w:ascii="Arial" w:hAnsi="Arial" w:cs="Arial"/>
          <w:i/>
          <w:iCs/>
          <w:lang w:eastAsia="en-IN"/>
        </w:rPr>
        <w:t>et al.,</w:t>
      </w:r>
      <w:r w:rsidRPr="00526244">
        <w:rPr>
          <w:rFonts w:ascii="Arial" w:hAnsi="Arial" w:cs="Arial"/>
          <w:lang w:eastAsia="en-IN"/>
        </w:rPr>
        <w:t xml:space="preserve"> 2017).</w:t>
      </w:r>
      <w:r w:rsidR="00351625">
        <w:rPr>
          <w:rFonts w:ascii="Arial" w:hAnsi="Arial" w:cs="Arial"/>
          <w:lang w:eastAsia="en-IN"/>
        </w:rPr>
        <w:t xml:space="preserve"> </w:t>
      </w:r>
      <w:r w:rsidR="00351625" w:rsidRPr="00DD6F0A">
        <w:rPr>
          <w:rFonts w:ascii="Arial" w:hAnsi="Arial" w:cs="Arial"/>
          <w:highlight w:val="yellow"/>
          <w:lang w:eastAsia="en-IN"/>
        </w:rPr>
        <w:t>Topramezone has been shown to be useful as a resistance management tool for growers experiencing target species resistance and tolerance to triazine herbicide and acetolactate synthase (ALS)-inhibitor herbicides. It can be somewhat persistent in aerobic soils. Its overuse can result in serious environmental and health risks. Aerial drift and surface water runoff were identified as potential routes of exposure to topramezone residues in aquatic ecosystems and for non-target terrestrial plants. Some topramezone residues can also be available in irrigation water and can be harmful to irrigated non- target crops. In general, the retention of pesticides at ground level limits their degradation and reduces their leaching to groundwater (</w:t>
      </w:r>
      <w:proofErr w:type="spellStart"/>
      <w:r w:rsidR="00351625" w:rsidRPr="00DD6F0A">
        <w:rPr>
          <w:rFonts w:ascii="Arial" w:hAnsi="Arial" w:cs="Arial"/>
          <w:highlight w:val="yellow"/>
          <w:lang w:eastAsia="en-IN"/>
        </w:rPr>
        <w:t>Uwamungu</w:t>
      </w:r>
      <w:proofErr w:type="spellEnd"/>
      <w:r w:rsidR="00351625" w:rsidRPr="00DD6F0A">
        <w:rPr>
          <w:rFonts w:ascii="Arial" w:hAnsi="Arial" w:cs="Arial"/>
          <w:highlight w:val="yellow"/>
          <w:lang w:eastAsia="en-IN"/>
        </w:rPr>
        <w:t xml:space="preserve"> et al., 2019).</w:t>
      </w:r>
    </w:p>
    <w:p w14:paraId="72C47774" w14:textId="77777777" w:rsidR="00526244" w:rsidRPr="00526244" w:rsidRDefault="00526244" w:rsidP="00526244">
      <w:pPr>
        <w:spacing w:before="100" w:beforeAutospacing="1" w:after="100" w:afterAutospacing="1"/>
        <w:ind w:firstLine="720"/>
        <w:jc w:val="both"/>
        <w:rPr>
          <w:rFonts w:ascii="Arial" w:hAnsi="Arial" w:cs="Arial"/>
          <w:lang w:eastAsia="en-IN"/>
        </w:rPr>
      </w:pPr>
      <w:r w:rsidRPr="00526244">
        <w:rPr>
          <w:rFonts w:ascii="Arial" w:hAnsi="Arial" w:cs="Arial"/>
          <w:lang w:eastAsia="en-IN"/>
        </w:rPr>
        <w:t>In tropical environments, dissipation of weak acid herbicides like topramezone is often slower under dry or alkaline conditions, due to reduced microbial activity and limited hydrolysis (</w:t>
      </w:r>
      <w:proofErr w:type="spellStart"/>
      <w:r w:rsidRPr="00526244">
        <w:rPr>
          <w:rFonts w:ascii="Arial" w:hAnsi="Arial" w:cs="Arial"/>
          <w:lang w:eastAsia="en-IN"/>
        </w:rPr>
        <w:t>Pusino</w:t>
      </w:r>
      <w:proofErr w:type="spellEnd"/>
      <w:r w:rsidRPr="00526244">
        <w:rPr>
          <w:rFonts w:ascii="Arial" w:hAnsi="Arial" w:cs="Arial"/>
          <w:lang w:eastAsia="en-IN"/>
        </w:rPr>
        <w:t xml:space="preserve"> </w:t>
      </w:r>
      <w:r w:rsidRPr="00526244">
        <w:rPr>
          <w:rFonts w:ascii="Arial" w:hAnsi="Arial" w:cs="Arial"/>
          <w:i/>
          <w:iCs/>
          <w:lang w:eastAsia="en-IN"/>
        </w:rPr>
        <w:t>et al.,</w:t>
      </w:r>
      <w:r w:rsidRPr="00526244">
        <w:rPr>
          <w:rFonts w:ascii="Arial" w:hAnsi="Arial" w:cs="Arial"/>
          <w:lang w:eastAsia="en-IN"/>
        </w:rPr>
        <w:t xml:space="preserve"> 2010; Zanella </w:t>
      </w:r>
      <w:r w:rsidRPr="00526244">
        <w:rPr>
          <w:rFonts w:ascii="Arial" w:hAnsi="Arial" w:cs="Arial"/>
          <w:i/>
          <w:iCs/>
          <w:lang w:eastAsia="en-IN"/>
        </w:rPr>
        <w:t>et al.,</w:t>
      </w:r>
      <w:r w:rsidRPr="00526244">
        <w:rPr>
          <w:rFonts w:ascii="Arial" w:hAnsi="Arial" w:cs="Arial"/>
          <w:lang w:eastAsia="en-IN"/>
        </w:rPr>
        <w:t xml:space="preserve"> 2011). Soil moisture exerts a strong influence, as microbial degradation is generally the dominant pathway under aerobic conditions. Consequently, persistence and carryover potential may be higher under moisture-deficient situations.</w:t>
      </w:r>
    </w:p>
    <w:p w14:paraId="76278031" w14:textId="77777777" w:rsidR="00526244" w:rsidRPr="00526244" w:rsidRDefault="00526244" w:rsidP="00526244">
      <w:pPr>
        <w:spacing w:before="100" w:beforeAutospacing="1" w:after="100" w:afterAutospacing="1"/>
        <w:ind w:firstLine="720"/>
        <w:jc w:val="both"/>
        <w:rPr>
          <w:rFonts w:ascii="Arial" w:hAnsi="Arial" w:cs="Arial"/>
          <w:lang w:eastAsia="en-IN"/>
        </w:rPr>
      </w:pPr>
      <w:r w:rsidRPr="00526244">
        <w:rPr>
          <w:rFonts w:ascii="Arial" w:hAnsi="Arial" w:cs="Arial"/>
          <w:lang w:eastAsia="en-IN"/>
        </w:rPr>
        <w:t xml:space="preserve">Leaching forms an important component of the dissipation process and is closely linked with persistence and sorption characteristics. Although degradation reduces parent compound concentration, the transformation products of topramezone can be relatively more mobile, thereby influencing the overall leaching risk. The </w:t>
      </w:r>
      <w:r w:rsidRPr="00526244">
        <w:rPr>
          <w:rFonts w:ascii="Arial" w:hAnsi="Arial" w:cs="Arial"/>
          <w:bCs/>
          <w:lang w:eastAsia="en-IN"/>
        </w:rPr>
        <w:t>Groundwater Ubiquity Score (GUS)</w:t>
      </w:r>
      <w:r w:rsidRPr="00526244">
        <w:rPr>
          <w:rFonts w:ascii="Arial" w:hAnsi="Arial" w:cs="Arial"/>
          <w:lang w:eastAsia="en-IN"/>
        </w:rPr>
        <w:t xml:space="preserve"> index (Gustafson, 1989), which integrates degradation half-life (DT</w:t>
      </w:r>
      <w:r w:rsidRPr="00526244">
        <w:rPr>
          <w:rFonts w:ascii="Cambria Math" w:hAnsi="Cambria Math" w:cs="Cambria Math"/>
          <w:lang w:eastAsia="en-IN"/>
        </w:rPr>
        <w:t>₅₀</w:t>
      </w:r>
      <w:r w:rsidRPr="00526244">
        <w:rPr>
          <w:rFonts w:ascii="Arial" w:hAnsi="Arial" w:cs="Arial"/>
          <w:lang w:eastAsia="en-IN"/>
        </w:rPr>
        <w:t>) and organic carbon–normalized sorption coefficient (Koc), is widely used to classify the leaching potential of herbicides under field conditions.</w:t>
      </w:r>
    </w:p>
    <w:p w14:paraId="17735FC0" w14:textId="340BE9C2" w:rsidR="00790ADA" w:rsidRPr="00526244" w:rsidRDefault="00526244" w:rsidP="00526244">
      <w:pPr>
        <w:spacing w:before="100" w:beforeAutospacing="1" w:after="100" w:afterAutospacing="1"/>
        <w:ind w:firstLine="720"/>
        <w:jc w:val="both"/>
        <w:rPr>
          <w:rFonts w:ascii="Arial" w:hAnsi="Arial" w:cs="Arial"/>
          <w:lang w:eastAsia="en-IN"/>
        </w:rPr>
      </w:pPr>
      <w:r w:rsidRPr="00526244">
        <w:rPr>
          <w:rFonts w:ascii="Arial" w:hAnsi="Arial" w:cs="Arial"/>
          <w:lang w:eastAsia="en-IN"/>
        </w:rPr>
        <w:t xml:space="preserve">Despite its widespread use in maize cultivation, information on the dissipation dynamics and leaching potential of topramezone under Indian tropical conditions is lacking. </w:t>
      </w:r>
      <w:r w:rsidRPr="00526244">
        <w:rPr>
          <w:rFonts w:ascii="Arial" w:hAnsi="Arial" w:cs="Arial"/>
          <w:lang w:eastAsia="en-IN"/>
        </w:rPr>
        <w:lastRenderedPageBreak/>
        <w:t xml:space="preserve">Telangana’s two major soil types </w:t>
      </w:r>
      <w:r w:rsidRPr="00526244">
        <w:rPr>
          <w:rFonts w:ascii="Arial" w:hAnsi="Arial" w:cs="Arial"/>
          <w:bCs/>
          <w:lang w:eastAsia="en-IN"/>
        </w:rPr>
        <w:t>red sandy loam (</w:t>
      </w:r>
      <w:proofErr w:type="spellStart"/>
      <w:r w:rsidRPr="00526244">
        <w:rPr>
          <w:rFonts w:ascii="Arial" w:hAnsi="Arial" w:cs="Arial"/>
          <w:bCs/>
          <w:lang w:eastAsia="en-IN"/>
        </w:rPr>
        <w:t>Alfisol</w:t>
      </w:r>
      <w:proofErr w:type="spellEnd"/>
      <w:r w:rsidRPr="00526244">
        <w:rPr>
          <w:rFonts w:ascii="Arial" w:hAnsi="Arial" w:cs="Arial"/>
          <w:bCs/>
          <w:lang w:eastAsia="en-IN"/>
        </w:rPr>
        <w:t>)</w:t>
      </w:r>
      <w:r w:rsidRPr="00526244">
        <w:rPr>
          <w:rFonts w:ascii="Arial" w:hAnsi="Arial" w:cs="Arial"/>
          <w:lang w:eastAsia="en-IN"/>
        </w:rPr>
        <w:t xml:space="preserve"> and </w:t>
      </w:r>
      <w:r w:rsidRPr="00526244">
        <w:rPr>
          <w:rFonts w:ascii="Arial" w:hAnsi="Arial" w:cs="Arial"/>
          <w:bCs/>
          <w:lang w:eastAsia="en-IN"/>
        </w:rPr>
        <w:t>black clay (</w:t>
      </w:r>
      <w:proofErr w:type="spellStart"/>
      <w:r w:rsidRPr="00526244">
        <w:rPr>
          <w:rFonts w:ascii="Arial" w:hAnsi="Arial" w:cs="Arial"/>
          <w:bCs/>
          <w:lang w:eastAsia="en-IN"/>
        </w:rPr>
        <w:t>Vertisol</w:t>
      </w:r>
      <w:proofErr w:type="spellEnd"/>
      <w:r w:rsidRPr="00526244">
        <w:rPr>
          <w:rFonts w:ascii="Arial" w:hAnsi="Arial" w:cs="Arial"/>
          <w:bCs/>
          <w:lang w:eastAsia="en-IN"/>
        </w:rPr>
        <w:t xml:space="preserve">) </w:t>
      </w:r>
      <w:r w:rsidRPr="00526244">
        <w:rPr>
          <w:rFonts w:ascii="Arial" w:hAnsi="Arial" w:cs="Arial"/>
          <w:lang w:eastAsia="en-IN"/>
        </w:rPr>
        <w:t xml:space="preserve">exhibit wide contrasts in texture, pH, organic matter, and water-holding capacity, all of which can significantly influence persistence and downward mobility of herbicides. Hence, this study was undertaken to </w:t>
      </w:r>
      <w:r w:rsidRPr="00526244">
        <w:rPr>
          <w:rFonts w:ascii="Arial" w:hAnsi="Arial" w:cs="Arial"/>
          <w:bCs/>
          <w:lang w:eastAsia="en-IN"/>
        </w:rPr>
        <w:t>quantify the dissipation kinetics of topramezone under controlled laboratory conditions in red and black soils at two moisture regimes (field capacity and 50% field capacity), determine the degradation rate constants (</w:t>
      </w:r>
      <w:r w:rsidRPr="00526244">
        <w:rPr>
          <w:rFonts w:ascii="Arial" w:hAnsi="Arial" w:cs="Arial"/>
          <w:bCs/>
          <w:i/>
          <w:lang w:eastAsia="en-IN"/>
        </w:rPr>
        <w:t>k</w:t>
      </w:r>
      <w:r w:rsidRPr="00526244">
        <w:rPr>
          <w:rFonts w:ascii="Arial" w:hAnsi="Arial" w:cs="Arial"/>
          <w:bCs/>
          <w:lang w:eastAsia="en-IN"/>
        </w:rPr>
        <w:t>), half-lives (</w:t>
      </w:r>
      <w:r w:rsidRPr="00526244">
        <w:rPr>
          <w:rFonts w:ascii="Arial" w:hAnsi="Arial" w:cs="Arial"/>
          <w:bCs/>
          <w:i/>
          <w:lang w:eastAsia="en-IN"/>
        </w:rPr>
        <w:t>DT</w:t>
      </w:r>
      <w:r w:rsidRPr="00526244">
        <w:rPr>
          <w:rFonts w:ascii="Cambria Math" w:hAnsi="Cambria Math" w:cs="Cambria Math"/>
          <w:bCs/>
          <w:lang w:eastAsia="en-IN"/>
        </w:rPr>
        <w:t>₅₀</w:t>
      </w:r>
      <w:r w:rsidRPr="00526244">
        <w:rPr>
          <w:rFonts w:ascii="Arial" w:hAnsi="Arial" w:cs="Arial"/>
          <w:bCs/>
          <w:lang w:eastAsia="en-IN"/>
        </w:rPr>
        <w:t>) using first-order kinetic models, and assess the potential leachability of the</w:t>
      </w:r>
      <w:r w:rsidRPr="00526244">
        <w:rPr>
          <w:rFonts w:ascii="Arial" w:hAnsi="Arial" w:cs="Arial"/>
          <w:b/>
          <w:bCs/>
          <w:lang w:eastAsia="en-IN"/>
        </w:rPr>
        <w:t xml:space="preserve"> </w:t>
      </w:r>
      <w:r w:rsidRPr="00526244">
        <w:rPr>
          <w:rFonts w:ascii="Arial" w:hAnsi="Arial" w:cs="Arial"/>
          <w:bCs/>
          <w:lang w:eastAsia="en-IN"/>
        </w:rPr>
        <w:t>compound through</w:t>
      </w:r>
      <w:r w:rsidRPr="00526244">
        <w:rPr>
          <w:rFonts w:ascii="Arial" w:hAnsi="Arial" w:cs="Arial"/>
          <w:b/>
          <w:bCs/>
          <w:lang w:eastAsia="en-IN"/>
        </w:rPr>
        <w:t xml:space="preserve"> </w:t>
      </w:r>
      <w:r w:rsidRPr="00526244">
        <w:rPr>
          <w:rFonts w:ascii="Arial" w:hAnsi="Arial" w:cs="Arial"/>
          <w:bCs/>
          <w:lang w:eastAsia="en-IN"/>
        </w:rPr>
        <w:t>GUS index estimation using experimentally determined degradation and sorption data</w:t>
      </w:r>
      <w:r w:rsidRPr="00526244">
        <w:rPr>
          <w:rFonts w:ascii="Arial" w:hAnsi="Arial" w:cs="Arial"/>
          <w:b/>
          <w:bCs/>
          <w:lang w:eastAsia="en-IN"/>
        </w:rPr>
        <w:t>.</w:t>
      </w:r>
      <w:r w:rsidRPr="00526244">
        <w:rPr>
          <w:rFonts w:ascii="Arial" w:hAnsi="Arial" w:cs="Arial"/>
          <w:lang w:eastAsia="en-IN"/>
        </w:rPr>
        <w:t xml:space="preserve"> The findings will contribute to a better understanding of topramezone persistence and movement in Indian soils and help refine herbicide use strategies to minimize environmental and crop-rotation risks in maize-based systems.</w:t>
      </w:r>
    </w:p>
    <w:p w14:paraId="1C3EE76E" w14:textId="2EF13270" w:rsidR="00790ADA" w:rsidRPr="00571CE3" w:rsidRDefault="00902823" w:rsidP="00441B6F">
      <w:pPr>
        <w:pStyle w:val="AbstHead"/>
        <w:spacing w:after="0"/>
        <w:jc w:val="both"/>
        <w:rPr>
          <w:rFonts w:ascii="Arial" w:hAnsi="Arial" w:cs="Arial"/>
        </w:rPr>
      </w:pPr>
      <w:r w:rsidRPr="00571CE3">
        <w:rPr>
          <w:rFonts w:ascii="Arial" w:hAnsi="Arial" w:cs="Arial"/>
        </w:rPr>
        <w:t>2. material and method</w:t>
      </w:r>
      <w:r w:rsidR="00000F8F" w:rsidRPr="00571CE3">
        <w:rPr>
          <w:rFonts w:ascii="Arial" w:hAnsi="Arial" w:cs="Arial"/>
        </w:rPr>
        <w:t xml:space="preserve">s </w:t>
      </w:r>
    </w:p>
    <w:p w14:paraId="7F1AF233" w14:textId="77777777" w:rsidR="00A6655E" w:rsidRPr="00571CE3" w:rsidRDefault="00A6655E" w:rsidP="00441B6F">
      <w:pPr>
        <w:pStyle w:val="AbstHead"/>
        <w:spacing w:after="0"/>
        <w:jc w:val="both"/>
        <w:rPr>
          <w:rFonts w:ascii="Arial" w:hAnsi="Arial" w:cs="Arial"/>
        </w:rPr>
      </w:pPr>
    </w:p>
    <w:p w14:paraId="6C0E3F8D" w14:textId="77777777" w:rsidR="00526244" w:rsidRPr="00526244" w:rsidRDefault="00526244" w:rsidP="00526244">
      <w:pPr>
        <w:pStyle w:val="Heading4"/>
        <w:spacing w:line="240" w:lineRule="auto"/>
        <w:rPr>
          <w:rFonts w:ascii="Arial" w:hAnsi="Arial" w:cs="Arial"/>
          <w:b/>
          <w:i w:val="0"/>
          <w:iCs w:val="0"/>
          <w:color w:val="auto"/>
          <w:sz w:val="20"/>
          <w:szCs w:val="20"/>
        </w:rPr>
      </w:pPr>
      <w:r w:rsidRPr="00526244">
        <w:rPr>
          <w:rFonts w:ascii="Arial" w:hAnsi="Arial" w:cs="Arial"/>
          <w:b/>
          <w:i w:val="0"/>
          <w:iCs w:val="0"/>
          <w:color w:val="auto"/>
          <w:sz w:val="20"/>
          <w:szCs w:val="20"/>
        </w:rPr>
        <w:t>Soil sampling and characterization</w:t>
      </w:r>
    </w:p>
    <w:p w14:paraId="79A8FF54" w14:textId="77777777" w:rsidR="00526244" w:rsidRPr="00526244" w:rsidRDefault="00526244" w:rsidP="00526244">
      <w:pPr>
        <w:pStyle w:val="Heading4"/>
        <w:spacing w:line="240" w:lineRule="auto"/>
        <w:ind w:firstLine="720"/>
        <w:jc w:val="both"/>
        <w:rPr>
          <w:rFonts w:ascii="Arial" w:hAnsi="Arial" w:cs="Arial"/>
          <w:i w:val="0"/>
          <w:color w:val="auto"/>
          <w:sz w:val="20"/>
          <w:szCs w:val="20"/>
        </w:rPr>
      </w:pPr>
      <w:r w:rsidRPr="00526244">
        <w:rPr>
          <w:rFonts w:ascii="Arial" w:hAnsi="Arial" w:cs="Arial"/>
          <w:i w:val="0"/>
          <w:color w:val="auto"/>
          <w:sz w:val="20"/>
          <w:szCs w:val="20"/>
        </w:rPr>
        <w:t>Composite soil samples representing red sandy loam (</w:t>
      </w:r>
      <w:proofErr w:type="spellStart"/>
      <w:r w:rsidRPr="00526244">
        <w:rPr>
          <w:rFonts w:ascii="Arial" w:hAnsi="Arial" w:cs="Arial"/>
          <w:i w:val="0"/>
          <w:color w:val="auto"/>
          <w:sz w:val="20"/>
          <w:szCs w:val="20"/>
        </w:rPr>
        <w:t>Alfisol</w:t>
      </w:r>
      <w:proofErr w:type="spellEnd"/>
      <w:r w:rsidRPr="00526244">
        <w:rPr>
          <w:rFonts w:ascii="Arial" w:hAnsi="Arial" w:cs="Arial"/>
          <w:i w:val="0"/>
          <w:color w:val="auto"/>
          <w:sz w:val="20"/>
          <w:szCs w:val="20"/>
        </w:rPr>
        <w:t>) and black soil (</w:t>
      </w:r>
      <w:proofErr w:type="spellStart"/>
      <w:r w:rsidRPr="00526244">
        <w:rPr>
          <w:rFonts w:ascii="Arial" w:hAnsi="Arial" w:cs="Arial"/>
          <w:i w:val="0"/>
          <w:color w:val="auto"/>
          <w:sz w:val="20"/>
          <w:szCs w:val="20"/>
        </w:rPr>
        <w:t>Vertisol</w:t>
      </w:r>
      <w:proofErr w:type="spellEnd"/>
      <w:r w:rsidRPr="00526244">
        <w:rPr>
          <w:rFonts w:ascii="Arial" w:hAnsi="Arial" w:cs="Arial"/>
          <w:i w:val="0"/>
          <w:color w:val="auto"/>
          <w:sz w:val="20"/>
          <w:szCs w:val="20"/>
        </w:rPr>
        <w:t xml:space="preserve">) were collected from maize-growing fields in Telangana, India. After collection, the soils were air-dried in shade, lightly crushed, and passed through a 2 mm sieve before further analysis. Soil pH and electrical conductivity (EC) were measured in a 1:2.5 soil-to-water suspension using a digital pH meter and conductivity bridge. Organic carbon content was determined by the Walkley and Black, 1934 wet oxidation method. The cation exchange capacity (CEC) was estimated according to Richards </w:t>
      </w:r>
      <w:r w:rsidRPr="00526244">
        <w:rPr>
          <w:rFonts w:ascii="Arial" w:hAnsi="Arial" w:cs="Arial"/>
          <w:iCs w:val="0"/>
          <w:color w:val="auto"/>
          <w:sz w:val="20"/>
          <w:szCs w:val="20"/>
        </w:rPr>
        <w:t>et al.,</w:t>
      </w:r>
      <w:r w:rsidRPr="00526244">
        <w:rPr>
          <w:rFonts w:ascii="Arial" w:hAnsi="Arial" w:cs="Arial"/>
          <w:i w:val="0"/>
          <w:color w:val="auto"/>
          <w:sz w:val="20"/>
          <w:szCs w:val="20"/>
        </w:rPr>
        <w:t xml:space="preserve"> 1954.</w:t>
      </w:r>
    </w:p>
    <w:p w14:paraId="63582423" w14:textId="77777777" w:rsidR="00526244" w:rsidRPr="00526244" w:rsidRDefault="00526244" w:rsidP="00526244">
      <w:pPr>
        <w:pStyle w:val="Heading4"/>
        <w:spacing w:line="240" w:lineRule="auto"/>
        <w:rPr>
          <w:rFonts w:ascii="Arial" w:hAnsi="Arial" w:cs="Arial"/>
          <w:b/>
          <w:i w:val="0"/>
          <w:iCs w:val="0"/>
          <w:color w:val="auto"/>
          <w:sz w:val="20"/>
          <w:szCs w:val="20"/>
        </w:rPr>
      </w:pPr>
      <w:r w:rsidRPr="00526244">
        <w:rPr>
          <w:rFonts w:ascii="Arial" w:hAnsi="Arial" w:cs="Arial"/>
          <w:b/>
          <w:i w:val="0"/>
          <w:iCs w:val="0"/>
          <w:color w:val="auto"/>
          <w:sz w:val="20"/>
          <w:szCs w:val="20"/>
        </w:rPr>
        <w:t>Dissipation studies</w:t>
      </w:r>
    </w:p>
    <w:p w14:paraId="476F3ED6" w14:textId="77777777" w:rsidR="00526244" w:rsidRPr="00526244" w:rsidRDefault="00526244" w:rsidP="00526244">
      <w:pPr>
        <w:pStyle w:val="NormalWeb"/>
        <w:ind w:firstLine="720"/>
        <w:jc w:val="both"/>
        <w:rPr>
          <w:rFonts w:ascii="Arial" w:hAnsi="Arial" w:cs="Arial"/>
          <w:sz w:val="20"/>
          <w:szCs w:val="20"/>
        </w:rPr>
      </w:pPr>
      <w:r w:rsidRPr="00526244">
        <w:rPr>
          <w:rFonts w:ascii="Arial" w:hAnsi="Arial" w:cs="Arial"/>
          <w:sz w:val="20"/>
          <w:szCs w:val="20"/>
        </w:rPr>
        <w:t>The dissipation behaviour of topramezone in soil was studied under controlled laboratory conditions simulating tropical field temperature. Air-dried, sieved soil (2 mm) was treated uniformly with analytical-grade topramezone to achieve an initial concentration equivalent to recommended field application rates (approximately 0.2 mg kg</w:t>
      </w:r>
      <w:r w:rsidRPr="00526244">
        <w:rPr>
          <w:rFonts w:ascii="Cambria Math" w:hAnsi="Cambria Math" w:cs="Cambria Math"/>
          <w:sz w:val="20"/>
          <w:szCs w:val="20"/>
        </w:rPr>
        <w:t>⁻</w:t>
      </w:r>
      <w:r w:rsidRPr="00526244">
        <w:rPr>
          <w:rFonts w:ascii="Arial" w:hAnsi="Arial" w:cs="Arial"/>
          <w:sz w:val="20"/>
          <w:szCs w:val="20"/>
        </w:rPr>
        <w:t xml:space="preserve">¹ soil). The herbicide was applied in methanol solution, mixed thoroughly to ensure homogeneous distribution, and the solvent was allowed to evaporate under ambient conditions before incubation. The samples were sealed in polythene bags to minimise moisture loss and incubated at </w:t>
      </w:r>
      <w:r w:rsidRPr="00526244">
        <w:rPr>
          <w:rStyle w:val="Strong"/>
          <w:rFonts w:ascii="Arial" w:eastAsiaTheme="majorEastAsia" w:hAnsi="Arial" w:cs="Arial"/>
          <w:sz w:val="20"/>
          <w:szCs w:val="20"/>
        </w:rPr>
        <w:t>27 ± 0.2 °C</w:t>
      </w:r>
      <w:r w:rsidRPr="00526244">
        <w:rPr>
          <w:rFonts w:ascii="Arial" w:hAnsi="Arial" w:cs="Arial"/>
          <w:b/>
          <w:sz w:val="20"/>
          <w:szCs w:val="20"/>
        </w:rPr>
        <w:t>.</w:t>
      </w:r>
      <w:r w:rsidRPr="00526244">
        <w:rPr>
          <w:rFonts w:ascii="Arial" w:hAnsi="Arial" w:cs="Arial"/>
          <w:sz w:val="20"/>
          <w:szCs w:val="20"/>
        </w:rPr>
        <w:t xml:space="preserve"> Duplicate control samples without herbicide were maintained under identical conditions. Soil subsamples were collected at 0, 7, 15, 30, 45, 60, 90, and 120 days after treatment for residue analysis.</w:t>
      </w:r>
    </w:p>
    <w:p w14:paraId="11CA75B5" w14:textId="77777777" w:rsidR="00526244" w:rsidRPr="00526244" w:rsidRDefault="00526244" w:rsidP="00526244">
      <w:pPr>
        <w:pStyle w:val="NormalWeb"/>
        <w:ind w:firstLine="720"/>
        <w:jc w:val="both"/>
        <w:rPr>
          <w:rFonts w:ascii="Arial" w:hAnsi="Arial" w:cs="Arial"/>
          <w:sz w:val="20"/>
          <w:szCs w:val="20"/>
        </w:rPr>
      </w:pPr>
      <w:r w:rsidRPr="00526244">
        <w:rPr>
          <w:rFonts w:ascii="Arial" w:hAnsi="Arial" w:cs="Arial"/>
          <w:sz w:val="20"/>
          <w:szCs w:val="20"/>
        </w:rPr>
        <w:t xml:space="preserve">Residues were extracted using a </w:t>
      </w:r>
      <w:r w:rsidRPr="00526244">
        <w:rPr>
          <w:rStyle w:val="Strong"/>
          <w:rFonts w:ascii="Arial" w:eastAsiaTheme="majorEastAsia" w:hAnsi="Arial" w:cs="Arial"/>
          <w:sz w:val="20"/>
          <w:szCs w:val="20"/>
        </w:rPr>
        <w:t>methanol: water (80: 20, v/v)</w:t>
      </w:r>
      <w:r w:rsidRPr="00526244">
        <w:rPr>
          <w:rFonts w:ascii="Arial" w:hAnsi="Arial" w:cs="Arial"/>
          <w:sz w:val="20"/>
          <w:szCs w:val="20"/>
        </w:rPr>
        <w:t xml:space="preserve"> mixture acidified to pH 2.5 with 0.1 % H</w:t>
      </w:r>
      <w:r w:rsidRPr="00526244">
        <w:rPr>
          <w:rFonts w:ascii="Cambria Math" w:hAnsi="Cambria Math" w:cs="Cambria Math"/>
          <w:sz w:val="20"/>
          <w:szCs w:val="20"/>
        </w:rPr>
        <w:t>₃</w:t>
      </w:r>
      <w:r w:rsidRPr="00526244">
        <w:rPr>
          <w:rFonts w:ascii="Arial" w:hAnsi="Arial" w:cs="Arial"/>
          <w:sz w:val="20"/>
          <w:szCs w:val="20"/>
        </w:rPr>
        <w:t>PO</w:t>
      </w:r>
      <w:r w:rsidRPr="00526244">
        <w:rPr>
          <w:rFonts w:ascii="Cambria Math" w:hAnsi="Cambria Math" w:cs="Cambria Math"/>
          <w:sz w:val="20"/>
          <w:szCs w:val="20"/>
        </w:rPr>
        <w:t>₄</w:t>
      </w:r>
      <w:r w:rsidRPr="00526244">
        <w:rPr>
          <w:rFonts w:ascii="Arial" w:hAnsi="Arial" w:cs="Arial"/>
          <w:sz w:val="20"/>
          <w:szCs w:val="20"/>
        </w:rPr>
        <w:t xml:space="preserve">, shaken for 30 min, centrifuged, and the supernatant cleaned using </w:t>
      </w:r>
      <w:r w:rsidRPr="00526244">
        <w:rPr>
          <w:rStyle w:val="Strong"/>
          <w:rFonts w:ascii="Arial" w:eastAsiaTheme="majorEastAsia" w:hAnsi="Arial" w:cs="Arial"/>
          <w:sz w:val="20"/>
          <w:szCs w:val="20"/>
        </w:rPr>
        <w:t>C</w:t>
      </w:r>
      <w:r w:rsidRPr="00526244">
        <w:rPr>
          <w:rStyle w:val="Strong"/>
          <w:rFonts w:ascii="Arial" w:eastAsiaTheme="majorEastAsia" w:hAnsi="Arial" w:cs="Arial"/>
          <w:sz w:val="20"/>
          <w:szCs w:val="20"/>
          <w:vertAlign w:val="subscript"/>
        </w:rPr>
        <w:t>18</w:t>
      </w:r>
      <w:r w:rsidRPr="00526244">
        <w:rPr>
          <w:rStyle w:val="Strong"/>
          <w:rFonts w:ascii="Arial" w:eastAsiaTheme="majorEastAsia" w:hAnsi="Arial" w:cs="Arial"/>
          <w:sz w:val="20"/>
          <w:szCs w:val="20"/>
        </w:rPr>
        <w:t xml:space="preserve"> solid-phase extraction (SPE)</w:t>
      </w:r>
      <w:r w:rsidRPr="00526244">
        <w:rPr>
          <w:rFonts w:ascii="Arial" w:hAnsi="Arial" w:cs="Arial"/>
          <w:sz w:val="20"/>
          <w:szCs w:val="20"/>
        </w:rPr>
        <w:t xml:space="preserve"> cartridges preconditioned with methanol and water. The eluate was concentrated to dryness under nitrogen and reconstituted in the HPLC mobile phase prior to quantification. The HPLC-UV conditions were identical to those described above. The </w:t>
      </w:r>
      <w:r w:rsidRPr="00526244">
        <w:rPr>
          <w:rStyle w:val="Strong"/>
          <w:rFonts w:ascii="Arial" w:eastAsiaTheme="majorEastAsia" w:hAnsi="Arial" w:cs="Arial"/>
          <w:sz w:val="20"/>
          <w:szCs w:val="20"/>
        </w:rPr>
        <w:t>limit of detection (LOD)</w:t>
      </w:r>
      <w:r w:rsidRPr="00526244">
        <w:rPr>
          <w:rFonts w:ascii="Arial" w:hAnsi="Arial" w:cs="Arial"/>
          <w:b/>
          <w:sz w:val="20"/>
          <w:szCs w:val="20"/>
        </w:rPr>
        <w:t xml:space="preserve"> </w:t>
      </w:r>
      <w:r w:rsidRPr="00526244">
        <w:rPr>
          <w:rFonts w:ascii="Arial" w:hAnsi="Arial" w:cs="Arial"/>
          <w:sz w:val="20"/>
          <w:szCs w:val="20"/>
        </w:rPr>
        <w:t>and</w:t>
      </w:r>
      <w:r w:rsidRPr="00526244">
        <w:rPr>
          <w:rFonts w:ascii="Arial" w:hAnsi="Arial" w:cs="Arial"/>
          <w:b/>
          <w:sz w:val="20"/>
          <w:szCs w:val="20"/>
        </w:rPr>
        <w:t xml:space="preserve"> </w:t>
      </w:r>
      <w:r w:rsidRPr="00526244">
        <w:rPr>
          <w:rStyle w:val="Strong"/>
          <w:rFonts w:ascii="Arial" w:eastAsiaTheme="majorEastAsia" w:hAnsi="Arial" w:cs="Arial"/>
          <w:sz w:val="20"/>
          <w:szCs w:val="20"/>
        </w:rPr>
        <w:t>limit of quantification (LOQ)</w:t>
      </w:r>
      <w:r w:rsidRPr="00526244">
        <w:rPr>
          <w:rFonts w:ascii="Arial" w:hAnsi="Arial" w:cs="Arial"/>
          <w:b/>
          <w:sz w:val="20"/>
          <w:szCs w:val="20"/>
        </w:rPr>
        <w:t xml:space="preserve"> </w:t>
      </w:r>
      <w:r w:rsidRPr="00526244">
        <w:rPr>
          <w:rFonts w:ascii="Arial" w:hAnsi="Arial" w:cs="Arial"/>
          <w:sz w:val="20"/>
          <w:szCs w:val="20"/>
        </w:rPr>
        <w:t>were 0.007 mg kg</w:t>
      </w:r>
      <w:r w:rsidRPr="00526244">
        <w:rPr>
          <w:rFonts w:ascii="Cambria Math" w:hAnsi="Cambria Math" w:cs="Cambria Math"/>
          <w:sz w:val="20"/>
          <w:szCs w:val="20"/>
        </w:rPr>
        <w:t>⁻</w:t>
      </w:r>
      <w:r w:rsidRPr="00526244">
        <w:rPr>
          <w:rFonts w:ascii="Arial" w:hAnsi="Arial" w:cs="Arial"/>
          <w:sz w:val="20"/>
          <w:szCs w:val="20"/>
        </w:rPr>
        <w:t>¹ and 0.020 mg kg</w:t>
      </w:r>
      <w:r w:rsidRPr="00526244">
        <w:rPr>
          <w:rFonts w:ascii="Cambria Math" w:hAnsi="Cambria Math" w:cs="Cambria Math"/>
          <w:sz w:val="20"/>
          <w:szCs w:val="20"/>
        </w:rPr>
        <w:t>⁻</w:t>
      </w:r>
      <w:r w:rsidRPr="00526244">
        <w:rPr>
          <w:rFonts w:ascii="Arial" w:hAnsi="Arial" w:cs="Arial"/>
          <w:sz w:val="20"/>
          <w:szCs w:val="20"/>
        </w:rPr>
        <w:t xml:space="preserve">¹, respectively, and mean recoveries ranged from </w:t>
      </w:r>
      <w:r w:rsidRPr="00526244">
        <w:rPr>
          <w:rStyle w:val="Strong"/>
          <w:rFonts w:ascii="Arial" w:eastAsiaTheme="majorEastAsia" w:hAnsi="Arial" w:cs="Arial"/>
          <w:sz w:val="20"/>
          <w:szCs w:val="20"/>
        </w:rPr>
        <w:t>84.8 % to 91.2 %</w:t>
      </w:r>
      <w:r w:rsidRPr="00526244">
        <w:rPr>
          <w:rFonts w:ascii="Arial" w:hAnsi="Arial" w:cs="Arial"/>
          <w:sz w:val="20"/>
          <w:szCs w:val="20"/>
        </w:rPr>
        <w:t xml:space="preserve"> across both soils, confirming method reliability.</w:t>
      </w:r>
    </w:p>
    <w:p w14:paraId="1F124BB1" w14:textId="77777777" w:rsidR="00526244" w:rsidRPr="00526244" w:rsidRDefault="00526244" w:rsidP="00526244">
      <w:pPr>
        <w:pStyle w:val="Heading4"/>
        <w:spacing w:line="240" w:lineRule="auto"/>
        <w:rPr>
          <w:rFonts w:ascii="Arial" w:hAnsi="Arial" w:cs="Arial"/>
          <w:b/>
          <w:i w:val="0"/>
          <w:iCs w:val="0"/>
          <w:color w:val="auto"/>
          <w:sz w:val="20"/>
          <w:szCs w:val="20"/>
        </w:rPr>
      </w:pPr>
      <w:r w:rsidRPr="00526244">
        <w:rPr>
          <w:rFonts w:ascii="Arial" w:hAnsi="Arial" w:cs="Arial"/>
          <w:b/>
          <w:i w:val="0"/>
          <w:iCs w:val="0"/>
          <w:color w:val="auto"/>
          <w:sz w:val="20"/>
          <w:szCs w:val="20"/>
        </w:rPr>
        <w:t>Kinetic analysis</w:t>
      </w:r>
    </w:p>
    <w:p w14:paraId="1BEE7BDA" w14:textId="77777777" w:rsidR="00526244" w:rsidRPr="00526244" w:rsidRDefault="00526244" w:rsidP="00526244">
      <w:pPr>
        <w:pStyle w:val="NormalWeb"/>
        <w:rPr>
          <w:rFonts w:ascii="Arial" w:hAnsi="Arial" w:cs="Arial"/>
          <w:b/>
          <w:sz w:val="20"/>
          <w:szCs w:val="20"/>
        </w:rPr>
      </w:pPr>
      <w:r w:rsidRPr="00526244">
        <w:rPr>
          <w:rFonts w:ascii="Arial" w:hAnsi="Arial" w:cs="Arial"/>
          <w:sz w:val="20"/>
          <w:szCs w:val="20"/>
        </w:rPr>
        <w:t xml:space="preserve">The dissipation kinetics of topramezone were analysed assuming a </w:t>
      </w:r>
      <w:r w:rsidRPr="00526244">
        <w:rPr>
          <w:rStyle w:val="Strong"/>
          <w:rFonts w:ascii="Arial" w:eastAsiaTheme="majorEastAsia" w:hAnsi="Arial" w:cs="Arial"/>
          <w:sz w:val="20"/>
          <w:szCs w:val="20"/>
        </w:rPr>
        <w:t>first-order rate equation</w:t>
      </w:r>
      <w:r w:rsidRPr="00526244">
        <w:rPr>
          <w:rFonts w:ascii="Arial" w:hAnsi="Arial" w:cs="Arial"/>
          <w:b/>
          <w:sz w:val="20"/>
          <w:szCs w:val="20"/>
        </w:rPr>
        <w:t>:</w:t>
      </w:r>
    </w:p>
    <w:p w14:paraId="271216AA" w14:textId="77777777" w:rsidR="00526244" w:rsidRPr="00526244" w:rsidRDefault="00526244" w:rsidP="00526244">
      <w:pPr>
        <w:jc w:val="center"/>
        <w:rPr>
          <w:rFonts w:ascii="Arial" w:hAnsi="Arial" w:cs="Arial"/>
          <w:i/>
        </w:rPr>
      </w:pPr>
      <w:r w:rsidRPr="00526244">
        <w:rPr>
          <w:rStyle w:val="katex-mathml"/>
          <w:rFonts w:ascii="Arial" w:hAnsi="Arial" w:cs="Arial"/>
          <w:i/>
        </w:rPr>
        <w:t>C</w:t>
      </w:r>
      <w:r w:rsidRPr="00526244">
        <w:rPr>
          <w:rStyle w:val="katex-mathml"/>
          <w:rFonts w:ascii="Arial" w:hAnsi="Arial" w:cs="Arial"/>
          <w:i/>
          <w:vertAlign w:val="subscript"/>
        </w:rPr>
        <w:t>t</w:t>
      </w:r>
      <w:r w:rsidRPr="00526244">
        <w:rPr>
          <w:rStyle w:val="katex-mathml"/>
          <w:rFonts w:ascii="Arial" w:hAnsi="Arial" w:cs="Arial"/>
          <w:i/>
        </w:rPr>
        <w:t>=C</w:t>
      </w:r>
      <w:proofErr w:type="gramStart"/>
      <w:r w:rsidRPr="00526244">
        <w:rPr>
          <w:rStyle w:val="katex-mathml"/>
          <w:rFonts w:ascii="Arial" w:hAnsi="Arial" w:cs="Arial"/>
          <w:i/>
          <w:vertAlign w:val="subscript"/>
        </w:rPr>
        <w:t>0 .</w:t>
      </w:r>
      <w:proofErr w:type="gramEnd"/>
      <w:r w:rsidRPr="00526244">
        <w:rPr>
          <w:rStyle w:val="katex-mathml"/>
          <w:rFonts w:ascii="Arial" w:hAnsi="Arial" w:cs="Arial"/>
          <w:i/>
          <w:vertAlign w:val="subscript"/>
        </w:rPr>
        <w:t xml:space="preserve"> </w:t>
      </w:r>
      <w:r w:rsidRPr="00526244">
        <w:rPr>
          <w:rStyle w:val="katex-mathml"/>
          <w:rFonts w:ascii="Arial" w:hAnsi="Arial" w:cs="Arial"/>
          <w:i/>
        </w:rPr>
        <w:t>e</w:t>
      </w:r>
      <w:r w:rsidRPr="00526244">
        <w:rPr>
          <w:rStyle w:val="katex-mathml"/>
          <w:rFonts w:ascii="Arial" w:hAnsi="Arial" w:cs="Arial"/>
          <w:i/>
          <w:vertAlign w:val="superscript"/>
        </w:rPr>
        <w:t>−kt</w:t>
      </w:r>
    </w:p>
    <w:p w14:paraId="7BFC41A2" w14:textId="77777777" w:rsidR="00526244" w:rsidRPr="00526244" w:rsidRDefault="00526244" w:rsidP="00526244">
      <w:pPr>
        <w:pStyle w:val="NormalWeb"/>
        <w:rPr>
          <w:rFonts w:ascii="Arial" w:hAnsi="Arial" w:cs="Arial"/>
          <w:sz w:val="20"/>
          <w:szCs w:val="20"/>
        </w:rPr>
      </w:pPr>
      <w:r w:rsidRPr="00526244">
        <w:rPr>
          <w:rFonts w:ascii="Arial" w:hAnsi="Arial" w:cs="Arial"/>
          <w:sz w:val="20"/>
          <w:szCs w:val="20"/>
        </w:rPr>
        <w:lastRenderedPageBreak/>
        <w:t xml:space="preserve">where </w:t>
      </w:r>
      <w:r w:rsidRPr="00526244">
        <w:rPr>
          <w:rStyle w:val="Emphasis"/>
          <w:rFonts w:ascii="Arial" w:eastAsiaTheme="majorEastAsia" w:hAnsi="Arial" w:cs="Arial"/>
          <w:sz w:val="20"/>
          <w:szCs w:val="20"/>
        </w:rPr>
        <w:t>C</w:t>
      </w:r>
      <w:r w:rsidRPr="00526244">
        <w:rPr>
          <w:rStyle w:val="Emphasis"/>
          <w:rFonts w:ascii="Cambria Math" w:eastAsiaTheme="majorEastAsia" w:hAnsi="Cambria Math" w:cs="Cambria Math"/>
          <w:sz w:val="20"/>
          <w:szCs w:val="20"/>
        </w:rPr>
        <w:t>₀</w:t>
      </w:r>
      <w:r w:rsidRPr="00526244">
        <w:rPr>
          <w:rFonts w:ascii="Arial" w:hAnsi="Arial" w:cs="Arial"/>
          <w:sz w:val="20"/>
          <w:szCs w:val="20"/>
        </w:rPr>
        <w:t xml:space="preserve"> and </w:t>
      </w:r>
      <w:r w:rsidRPr="00526244">
        <w:rPr>
          <w:rStyle w:val="Emphasis"/>
          <w:rFonts w:ascii="Arial" w:eastAsiaTheme="majorEastAsia" w:hAnsi="Arial" w:cs="Arial"/>
          <w:sz w:val="20"/>
          <w:szCs w:val="20"/>
        </w:rPr>
        <w:t>C</w:t>
      </w:r>
      <w:r w:rsidRPr="00526244">
        <w:rPr>
          <w:rStyle w:val="Emphasis"/>
          <w:rFonts w:ascii="Cambria Math" w:eastAsiaTheme="majorEastAsia" w:hAnsi="Cambria Math" w:cs="Cambria Math"/>
          <w:sz w:val="20"/>
          <w:szCs w:val="20"/>
        </w:rPr>
        <w:t>ₜ</w:t>
      </w:r>
      <w:r w:rsidRPr="00526244">
        <w:rPr>
          <w:rFonts w:ascii="Arial" w:hAnsi="Arial" w:cs="Arial"/>
          <w:sz w:val="20"/>
          <w:szCs w:val="20"/>
        </w:rPr>
        <w:t xml:space="preserve"> are the initial and residual concentrations (mg kg</w:t>
      </w:r>
      <w:r w:rsidRPr="00526244">
        <w:rPr>
          <w:rFonts w:ascii="Cambria Math" w:hAnsi="Cambria Math" w:cs="Cambria Math"/>
          <w:sz w:val="20"/>
          <w:szCs w:val="20"/>
        </w:rPr>
        <w:t>⁻</w:t>
      </w:r>
      <w:r w:rsidRPr="00526244">
        <w:rPr>
          <w:rFonts w:ascii="Arial" w:hAnsi="Arial" w:cs="Arial"/>
          <w:sz w:val="20"/>
          <w:szCs w:val="20"/>
        </w:rPr>
        <w:t xml:space="preserve">¹) at time </w:t>
      </w:r>
      <w:r w:rsidRPr="00526244">
        <w:rPr>
          <w:rStyle w:val="Emphasis"/>
          <w:rFonts w:ascii="Arial" w:eastAsiaTheme="majorEastAsia" w:hAnsi="Arial" w:cs="Arial"/>
          <w:sz w:val="20"/>
          <w:szCs w:val="20"/>
        </w:rPr>
        <w:t>t</w:t>
      </w:r>
      <w:r w:rsidRPr="00526244">
        <w:rPr>
          <w:rFonts w:ascii="Arial" w:hAnsi="Arial" w:cs="Arial"/>
          <w:sz w:val="20"/>
          <w:szCs w:val="20"/>
        </w:rPr>
        <w:t xml:space="preserve"> (days), and </w:t>
      </w:r>
      <w:r w:rsidRPr="00526244">
        <w:rPr>
          <w:rStyle w:val="Emphasis"/>
          <w:rFonts w:ascii="Arial" w:eastAsiaTheme="majorEastAsia" w:hAnsi="Arial" w:cs="Arial"/>
          <w:sz w:val="20"/>
          <w:szCs w:val="20"/>
        </w:rPr>
        <w:t>k</w:t>
      </w:r>
      <w:r w:rsidRPr="00526244">
        <w:rPr>
          <w:rFonts w:ascii="Arial" w:hAnsi="Arial" w:cs="Arial"/>
          <w:sz w:val="20"/>
          <w:szCs w:val="20"/>
        </w:rPr>
        <w:t xml:space="preserve"> is the first-order rate constant (day</w:t>
      </w:r>
      <w:r w:rsidRPr="00526244">
        <w:rPr>
          <w:rFonts w:ascii="Cambria Math" w:hAnsi="Cambria Math" w:cs="Cambria Math"/>
          <w:sz w:val="20"/>
          <w:szCs w:val="20"/>
        </w:rPr>
        <w:t>⁻</w:t>
      </w:r>
      <w:r w:rsidRPr="00526244">
        <w:rPr>
          <w:rFonts w:ascii="Arial" w:hAnsi="Arial" w:cs="Arial"/>
          <w:sz w:val="20"/>
          <w:szCs w:val="20"/>
        </w:rPr>
        <w:t>¹). The equation was linearized as</w:t>
      </w:r>
    </w:p>
    <w:p w14:paraId="176EE7CE" w14:textId="77777777" w:rsidR="00526244" w:rsidRPr="00526244" w:rsidRDefault="00526244" w:rsidP="00526244">
      <w:pPr>
        <w:jc w:val="center"/>
        <w:rPr>
          <w:rFonts w:ascii="Arial" w:hAnsi="Arial" w:cs="Arial"/>
        </w:rPr>
      </w:pPr>
      <w:r w:rsidRPr="00526244">
        <w:rPr>
          <w:rStyle w:val="katex-mathml"/>
          <w:rFonts w:ascii="Arial" w:hAnsi="Arial" w:cs="Arial"/>
        </w:rPr>
        <w:t xml:space="preserve">log </w:t>
      </w:r>
      <w:r w:rsidRPr="00526244">
        <w:rPr>
          <w:rStyle w:val="katex-mathml"/>
          <w:rFonts w:ascii="Arial" w:hAnsi="Arial" w:cs="Arial"/>
          <w:i/>
        </w:rPr>
        <w:t>C</w:t>
      </w:r>
      <w:r w:rsidRPr="00526244">
        <w:rPr>
          <w:rStyle w:val="katex-mathml"/>
          <w:rFonts w:ascii="Arial" w:hAnsi="Arial" w:cs="Arial"/>
          <w:i/>
          <w:vertAlign w:val="subscript"/>
        </w:rPr>
        <w:t>t</w:t>
      </w:r>
      <w:r w:rsidRPr="00526244">
        <w:rPr>
          <w:rStyle w:val="katex-mathml"/>
          <w:rFonts w:ascii="Arial" w:hAnsi="Arial" w:cs="Arial"/>
        </w:rPr>
        <w:t xml:space="preserve"> = log </w:t>
      </w:r>
      <w:r w:rsidRPr="00526244">
        <w:rPr>
          <w:rStyle w:val="katex-mathml"/>
          <w:rFonts w:ascii="Arial" w:hAnsi="Arial" w:cs="Arial"/>
          <w:i/>
        </w:rPr>
        <w:t>C</w:t>
      </w:r>
      <w:r w:rsidRPr="00526244">
        <w:rPr>
          <w:rStyle w:val="katex-mathml"/>
          <w:rFonts w:ascii="Arial" w:hAnsi="Arial" w:cs="Arial"/>
          <w:i/>
          <w:vertAlign w:val="subscript"/>
        </w:rPr>
        <w:t xml:space="preserve">0 </w:t>
      </w:r>
      <w:r w:rsidRPr="00526244">
        <w:rPr>
          <w:rStyle w:val="katex-mathml"/>
          <w:rFonts w:ascii="Arial" w:hAnsi="Arial" w:cs="Arial"/>
        </w:rPr>
        <w:t>− (</w:t>
      </w:r>
      <w:r w:rsidRPr="00526244">
        <w:rPr>
          <w:rStyle w:val="katex-mathml"/>
          <w:rFonts w:ascii="Arial" w:hAnsi="Arial" w:cs="Arial"/>
          <w:i/>
        </w:rPr>
        <w:t>k</w:t>
      </w:r>
      <w:r w:rsidRPr="00526244">
        <w:rPr>
          <w:rStyle w:val="katex-mathml"/>
          <w:rFonts w:ascii="Arial" w:hAnsi="Arial" w:cs="Arial"/>
          <w:i/>
          <w:vertAlign w:val="subscript"/>
        </w:rPr>
        <w:t>t</w:t>
      </w:r>
      <w:r w:rsidRPr="00526244">
        <w:rPr>
          <w:rStyle w:val="katex-mathml"/>
          <w:rFonts w:ascii="Arial" w:hAnsi="Arial" w:cs="Arial"/>
          <w:i/>
        </w:rPr>
        <w:t xml:space="preserve"> /2</w:t>
      </w:r>
      <w:r w:rsidRPr="00526244">
        <w:rPr>
          <w:rStyle w:val="katex-mathml"/>
          <w:rFonts w:ascii="Arial" w:hAnsi="Arial" w:cs="Arial"/>
        </w:rPr>
        <w:t>.</w:t>
      </w:r>
      <w:proofErr w:type="gramStart"/>
      <w:r w:rsidRPr="00526244">
        <w:rPr>
          <w:rStyle w:val="katex-mathml"/>
          <w:rFonts w:ascii="Arial" w:hAnsi="Arial" w:cs="Arial"/>
        </w:rPr>
        <w:t>303)</w:t>
      </w:r>
      <w:r w:rsidRPr="00526244">
        <w:rPr>
          <w:rStyle w:val="vlist-s"/>
          <w:rFonts w:ascii="Arial" w:hAnsi="Arial" w:cs="Arial"/>
        </w:rPr>
        <w:t>​</w:t>
      </w:r>
      <w:proofErr w:type="gramEnd"/>
    </w:p>
    <w:p w14:paraId="18122186" w14:textId="07CB7CCB" w:rsidR="00526244" w:rsidRDefault="00526244" w:rsidP="00BF7AB2">
      <w:pPr>
        <w:pStyle w:val="NormalWeb"/>
        <w:spacing w:before="0" w:beforeAutospacing="0" w:after="0" w:afterAutospacing="0"/>
        <w:jc w:val="both"/>
        <w:rPr>
          <w:rFonts w:ascii="Arial" w:hAnsi="Arial" w:cs="Arial"/>
          <w:sz w:val="20"/>
          <w:szCs w:val="20"/>
        </w:rPr>
      </w:pPr>
      <w:r w:rsidRPr="00526244">
        <w:rPr>
          <w:rFonts w:ascii="Arial" w:hAnsi="Arial" w:cs="Arial"/>
          <w:sz w:val="20"/>
          <w:szCs w:val="20"/>
        </w:rPr>
        <w:t xml:space="preserve">and regression analysis of log </w:t>
      </w:r>
      <w:r w:rsidRPr="00526244">
        <w:rPr>
          <w:rStyle w:val="Emphasis"/>
          <w:rFonts w:ascii="Arial" w:eastAsiaTheme="majorEastAsia" w:hAnsi="Arial" w:cs="Arial"/>
          <w:sz w:val="20"/>
          <w:szCs w:val="20"/>
        </w:rPr>
        <w:t>C</w:t>
      </w:r>
      <w:r w:rsidRPr="00526244">
        <w:rPr>
          <w:rStyle w:val="Emphasis"/>
          <w:rFonts w:ascii="Cambria Math" w:eastAsiaTheme="majorEastAsia" w:hAnsi="Cambria Math" w:cs="Cambria Math"/>
          <w:sz w:val="20"/>
          <w:szCs w:val="20"/>
        </w:rPr>
        <w:t>ₜ</w:t>
      </w:r>
      <w:r w:rsidRPr="00526244">
        <w:rPr>
          <w:rFonts w:ascii="Arial" w:hAnsi="Arial" w:cs="Arial"/>
          <w:sz w:val="20"/>
          <w:szCs w:val="20"/>
        </w:rPr>
        <w:t xml:space="preserve"> versus </w:t>
      </w:r>
      <w:r w:rsidRPr="00526244">
        <w:rPr>
          <w:rStyle w:val="Emphasis"/>
          <w:rFonts w:ascii="Arial" w:eastAsiaTheme="majorEastAsia" w:hAnsi="Arial" w:cs="Arial"/>
          <w:sz w:val="20"/>
          <w:szCs w:val="20"/>
        </w:rPr>
        <w:t>t</w:t>
      </w:r>
      <w:r w:rsidRPr="00526244">
        <w:rPr>
          <w:rFonts w:ascii="Arial" w:hAnsi="Arial" w:cs="Arial"/>
          <w:sz w:val="20"/>
          <w:szCs w:val="20"/>
        </w:rPr>
        <w:t xml:space="preserve"> was used to derive </w:t>
      </w:r>
      <w:r w:rsidRPr="00526244">
        <w:rPr>
          <w:rStyle w:val="Emphasis"/>
          <w:rFonts w:ascii="Arial" w:eastAsiaTheme="majorEastAsia" w:hAnsi="Arial" w:cs="Arial"/>
          <w:sz w:val="20"/>
          <w:szCs w:val="20"/>
        </w:rPr>
        <w:t>k</w:t>
      </w:r>
      <w:r w:rsidRPr="00526244">
        <w:rPr>
          <w:rFonts w:ascii="Arial" w:hAnsi="Arial" w:cs="Arial"/>
          <w:sz w:val="20"/>
          <w:szCs w:val="20"/>
        </w:rPr>
        <w:t xml:space="preserve"> and the </w:t>
      </w:r>
      <w:r w:rsidRPr="00526244">
        <w:rPr>
          <w:rStyle w:val="Strong"/>
          <w:rFonts w:ascii="Arial" w:eastAsiaTheme="majorEastAsia" w:hAnsi="Arial" w:cs="Arial"/>
          <w:sz w:val="20"/>
          <w:szCs w:val="20"/>
        </w:rPr>
        <w:t>half-life (DT</w:t>
      </w:r>
      <w:r w:rsidRPr="00526244">
        <w:rPr>
          <w:rStyle w:val="Strong"/>
          <w:rFonts w:ascii="Cambria Math" w:eastAsiaTheme="majorEastAsia" w:hAnsi="Cambria Math" w:cs="Cambria Math"/>
          <w:sz w:val="20"/>
          <w:szCs w:val="20"/>
        </w:rPr>
        <w:t>₅₀</w:t>
      </w:r>
      <w:r w:rsidRPr="00526244">
        <w:rPr>
          <w:rStyle w:val="Strong"/>
          <w:rFonts w:ascii="Arial" w:eastAsiaTheme="majorEastAsia" w:hAnsi="Arial" w:cs="Arial"/>
          <w:sz w:val="20"/>
          <w:szCs w:val="20"/>
        </w:rPr>
        <w:t xml:space="preserve"> = 0.693 / k)</w:t>
      </w:r>
      <w:r w:rsidRPr="00526244">
        <w:rPr>
          <w:rFonts w:ascii="Arial" w:hAnsi="Arial" w:cs="Arial"/>
          <w:b/>
          <w:sz w:val="20"/>
          <w:szCs w:val="20"/>
        </w:rPr>
        <w:t>.</w:t>
      </w:r>
      <w:r w:rsidRPr="00526244">
        <w:rPr>
          <w:rFonts w:ascii="Arial" w:hAnsi="Arial" w:cs="Arial"/>
          <w:sz w:val="20"/>
          <w:szCs w:val="20"/>
        </w:rPr>
        <w:t xml:space="preserve"> The coefficient of determination (</w:t>
      </w:r>
      <w:r w:rsidRPr="00526244">
        <w:rPr>
          <w:rStyle w:val="Emphasis"/>
          <w:rFonts w:ascii="Arial" w:eastAsiaTheme="majorEastAsia" w:hAnsi="Arial" w:cs="Arial"/>
          <w:sz w:val="20"/>
          <w:szCs w:val="20"/>
        </w:rPr>
        <w:t>R²</w:t>
      </w:r>
      <w:r w:rsidRPr="00526244">
        <w:rPr>
          <w:rFonts w:ascii="Arial" w:hAnsi="Arial" w:cs="Arial"/>
          <w:sz w:val="20"/>
          <w:szCs w:val="20"/>
        </w:rPr>
        <w:t xml:space="preserve">) was used to assess model fit, and only regressions with </w:t>
      </w:r>
      <w:r w:rsidRPr="00526244">
        <w:rPr>
          <w:rStyle w:val="Emphasis"/>
          <w:rFonts w:ascii="Arial" w:eastAsiaTheme="majorEastAsia" w:hAnsi="Arial" w:cs="Arial"/>
          <w:sz w:val="20"/>
          <w:szCs w:val="20"/>
        </w:rPr>
        <w:t>R² &gt; 0.90</w:t>
      </w:r>
      <w:r w:rsidRPr="00526244">
        <w:rPr>
          <w:rFonts w:ascii="Arial" w:hAnsi="Arial" w:cs="Arial"/>
          <w:sz w:val="20"/>
          <w:szCs w:val="20"/>
        </w:rPr>
        <w:t xml:space="preserve"> were accepted. Comparative evaluation of dissipation constants across soil types provided insights into the influence of soil texture, organic matter, and aeration on the degradation of topramezone.</w:t>
      </w:r>
    </w:p>
    <w:p w14:paraId="366DBAC9" w14:textId="77777777" w:rsidR="00BF7AB2" w:rsidRPr="00BF7AB2" w:rsidRDefault="00BF7AB2" w:rsidP="00BF7AB2">
      <w:pPr>
        <w:pStyle w:val="NormalWeb"/>
        <w:spacing w:before="0" w:beforeAutospacing="0" w:after="0" w:afterAutospacing="0"/>
        <w:jc w:val="both"/>
        <w:rPr>
          <w:rFonts w:ascii="Arial" w:hAnsi="Arial" w:cs="Arial"/>
          <w:sz w:val="20"/>
          <w:szCs w:val="20"/>
        </w:rPr>
      </w:pPr>
    </w:p>
    <w:p w14:paraId="5BF4FEFF" w14:textId="49592974" w:rsidR="00BF7AB2" w:rsidRDefault="00000F8F" w:rsidP="00BF7AB2">
      <w:pPr>
        <w:pStyle w:val="Head1"/>
        <w:spacing w:after="0"/>
        <w:jc w:val="both"/>
        <w:rPr>
          <w:rFonts w:ascii="Arial" w:hAnsi="Arial" w:cs="Arial"/>
          <w:sz w:val="20"/>
        </w:rPr>
      </w:pPr>
      <w:r w:rsidRPr="00571CE3">
        <w:rPr>
          <w:rFonts w:ascii="Arial" w:hAnsi="Arial" w:cs="Arial"/>
          <w:sz w:val="20"/>
        </w:rPr>
        <w:t>3</w:t>
      </w:r>
      <w:r w:rsidR="00902823" w:rsidRPr="00571CE3">
        <w:rPr>
          <w:rFonts w:ascii="Arial" w:hAnsi="Arial" w:cs="Arial"/>
          <w:sz w:val="20"/>
        </w:rPr>
        <w:t xml:space="preserve">. </w:t>
      </w:r>
      <w:r w:rsidRPr="00571CE3">
        <w:rPr>
          <w:rFonts w:ascii="Arial" w:hAnsi="Arial" w:cs="Arial"/>
          <w:sz w:val="20"/>
        </w:rPr>
        <w:t>results and discussion</w:t>
      </w:r>
    </w:p>
    <w:p w14:paraId="7C151241" w14:textId="77777777" w:rsidR="00BF7AB2" w:rsidRPr="00BF7AB2" w:rsidRDefault="00BF7AB2" w:rsidP="00BF7AB2">
      <w:pPr>
        <w:pStyle w:val="Head1"/>
        <w:spacing w:after="0"/>
        <w:jc w:val="both"/>
        <w:rPr>
          <w:rFonts w:ascii="Arial" w:hAnsi="Arial" w:cs="Arial"/>
          <w:sz w:val="20"/>
        </w:rPr>
      </w:pPr>
    </w:p>
    <w:p w14:paraId="20D7D4C3" w14:textId="752307F4" w:rsidR="00BF7AB2" w:rsidRPr="00BF7AB2" w:rsidRDefault="00BF7AB2" w:rsidP="00BF7AB2">
      <w:pPr>
        <w:ind w:firstLine="720"/>
        <w:jc w:val="both"/>
        <w:rPr>
          <w:rFonts w:ascii="Arial" w:hAnsi="Arial" w:cs="Arial"/>
          <w:lang w:eastAsia="en-IN"/>
        </w:rPr>
      </w:pPr>
      <w:r w:rsidRPr="00BF7AB2">
        <w:rPr>
          <w:rFonts w:ascii="Arial" w:hAnsi="Arial" w:cs="Arial"/>
          <w:lang w:eastAsia="en-IN"/>
        </w:rPr>
        <w:t xml:space="preserve">The red and black soils of Telangana differed distinctly in their </w:t>
      </w:r>
      <w:proofErr w:type="spellStart"/>
      <w:r w:rsidRPr="00BF7AB2">
        <w:rPr>
          <w:rFonts w:ascii="Arial" w:hAnsi="Arial" w:cs="Arial"/>
          <w:lang w:eastAsia="en-IN"/>
        </w:rPr>
        <w:t>physico</w:t>
      </w:r>
      <w:proofErr w:type="spellEnd"/>
      <w:r w:rsidRPr="00BF7AB2">
        <w:rPr>
          <w:rFonts w:ascii="Arial" w:hAnsi="Arial" w:cs="Arial"/>
          <w:lang w:eastAsia="en-IN"/>
        </w:rPr>
        <w:t xml:space="preserve">-chemical characteristics, influencing the sorption </w:t>
      </w:r>
      <w:proofErr w:type="spellStart"/>
      <w:r w:rsidRPr="00BF7AB2">
        <w:rPr>
          <w:rFonts w:ascii="Arial" w:hAnsi="Arial" w:cs="Arial"/>
          <w:lang w:eastAsia="en-IN"/>
        </w:rPr>
        <w:t>behaviour</w:t>
      </w:r>
      <w:proofErr w:type="spellEnd"/>
      <w:r w:rsidRPr="00BF7AB2">
        <w:rPr>
          <w:rFonts w:ascii="Arial" w:hAnsi="Arial" w:cs="Arial"/>
          <w:lang w:eastAsia="en-IN"/>
        </w:rPr>
        <w:t xml:space="preserve"> of topramezone. The red soil was neutral in reaction (pH 6.62), sandy loam in texture, with medium organic carbon (0.56%) and a cation exchange capacity (CEC) of 16.21 </w:t>
      </w:r>
      <w:proofErr w:type="spellStart"/>
      <w:r w:rsidRPr="00BF7AB2">
        <w:rPr>
          <w:rFonts w:ascii="Arial" w:hAnsi="Arial" w:cs="Arial"/>
          <w:lang w:eastAsia="en-IN"/>
        </w:rPr>
        <w:t>cmol</w:t>
      </w:r>
      <w:proofErr w:type="spellEnd"/>
      <w:r w:rsidRPr="00BF7AB2">
        <w:rPr>
          <w:rFonts w:ascii="Arial" w:hAnsi="Arial" w:cs="Arial"/>
          <w:lang w:eastAsia="en-IN"/>
        </w:rPr>
        <w:t>(p</w:t>
      </w:r>
      <w:r w:rsidRPr="00BF7AB2">
        <w:rPr>
          <w:rFonts w:ascii="Cambria Math" w:hAnsi="Cambria Math" w:cs="Cambria Math"/>
          <w:lang w:eastAsia="en-IN"/>
        </w:rPr>
        <w:t>⁺</w:t>
      </w:r>
      <w:r w:rsidRPr="00BF7AB2">
        <w:rPr>
          <w:rFonts w:ascii="Arial" w:hAnsi="Arial" w:cs="Arial"/>
          <w:lang w:eastAsia="en-IN"/>
        </w:rPr>
        <w:t>) kg</w:t>
      </w:r>
      <w:r w:rsidRPr="00BF7AB2">
        <w:rPr>
          <w:rFonts w:ascii="Cambria Math" w:hAnsi="Cambria Math" w:cs="Cambria Math"/>
          <w:lang w:eastAsia="en-IN"/>
        </w:rPr>
        <w:t>⁻</w:t>
      </w:r>
      <w:r w:rsidRPr="00BF7AB2">
        <w:rPr>
          <w:rFonts w:ascii="Arial" w:hAnsi="Arial" w:cs="Arial"/>
          <w:lang w:eastAsia="en-IN"/>
        </w:rPr>
        <w:t xml:space="preserve">¹, whereas the black soil was slightly alkaline (pH 8.12), clayey in texture, with low organic carbon (0.49%) and higher CEC (28.65 </w:t>
      </w:r>
      <w:proofErr w:type="spellStart"/>
      <w:r w:rsidRPr="00BF7AB2">
        <w:rPr>
          <w:rFonts w:ascii="Arial" w:hAnsi="Arial" w:cs="Arial"/>
          <w:lang w:eastAsia="en-IN"/>
        </w:rPr>
        <w:t>cmol</w:t>
      </w:r>
      <w:proofErr w:type="spellEnd"/>
      <w:r w:rsidRPr="00BF7AB2">
        <w:rPr>
          <w:rFonts w:ascii="Arial" w:hAnsi="Arial" w:cs="Arial"/>
          <w:lang w:eastAsia="en-IN"/>
        </w:rPr>
        <w:t>(p</w:t>
      </w:r>
      <w:r w:rsidRPr="00BF7AB2">
        <w:rPr>
          <w:rFonts w:ascii="Cambria Math" w:hAnsi="Cambria Math" w:cs="Cambria Math"/>
          <w:lang w:eastAsia="en-IN"/>
        </w:rPr>
        <w:t>⁺</w:t>
      </w:r>
      <w:r w:rsidRPr="00BF7AB2">
        <w:rPr>
          <w:rFonts w:ascii="Arial" w:hAnsi="Arial" w:cs="Arial"/>
          <w:lang w:eastAsia="en-IN"/>
        </w:rPr>
        <w:t>) kg</w:t>
      </w:r>
      <w:r w:rsidRPr="00BF7AB2">
        <w:rPr>
          <w:rFonts w:ascii="Cambria Math" w:hAnsi="Cambria Math" w:cs="Cambria Math"/>
          <w:lang w:eastAsia="en-IN"/>
        </w:rPr>
        <w:t>⁻</w:t>
      </w:r>
      <w:r w:rsidRPr="00BF7AB2">
        <w:rPr>
          <w:rFonts w:ascii="Arial" w:hAnsi="Arial" w:cs="Arial"/>
          <w:lang w:eastAsia="en-IN"/>
        </w:rPr>
        <w:t xml:space="preserve">¹). </w:t>
      </w:r>
    </w:p>
    <w:p w14:paraId="1309F171" w14:textId="77777777" w:rsidR="00BF7AB2" w:rsidRPr="00BF7AB2" w:rsidRDefault="00BF7AB2" w:rsidP="00BF7AB2">
      <w:pPr>
        <w:jc w:val="both"/>
        <w:rPr>
          <w:rFonts w:ascii="Arial" w:hAnsi="Arial" w:cs="Arial"/>
          <w:b/>
        </w:rPr>
      </w:pPr>
      <w:r w:rsidRPr="00BF7AB2">
        <w:rPr>
          <w:rFonts w:ascii="Arial" w:hAnsi="Arial" w:cs="Arial"/>
          <w:b/>
          <w:noProof/>
        </w:rPr>
        <w:t>Table :</w:t>
      </w:r>
      <w:r w:rsidRPr="00BF7AB2">
        <w:rPr>
          <w:rFonts w:ascii="Arial" w:hAnsi="Arial" w:cs="Arial"/>
          <w:b/>
        </w:rPr>
        <w:t xml:space="preserve"> 1. Physico-chemical properties of the selected soil samples</w:t>
      </w:r>
    </w:p>
    <w:tbl>
      <w:tblPr>
        <w:tblStyle w:val="TableGrid"/>
        <w:tblW w:w="6198" w:type="dxa"/>
        <w:jc w:val="center"/>
        <w:tblLayout w:type="fixed"/>
        <w:tblLook w:val="04A0" w:firstRow="1" w:lastRow="0" w:firstColumn="1" w:lastColumn="0" w:noHBand="0" w:noVBand="1"/>
      </w:tblPr>
      <w:tblGrid>
        <w:gridCol w:w="2906"/>
        <w:gridCol w:w="1177"/>
        <w:gridCol w:w="2115"/>
      </w:tblGrid>
      <w:tr w:rsidR="00BF7AB2" w:rsidRPr="00BF7AB2" w14:paraId="592EB66F" w14:textId="77777777" w:rsidTr="007510DE">
        <w:trPr>
          <w:trHeight w:val="300"/>
          <w:jc w:val="center"/>
        </w:trPr>
        <w:tc>
          <w:tcPr>
            <w:tcW w:w="2906" w:type="dxa"/>
            <w:noWrap/>
          </w:tcPr>
          <w:p w14:paraId="7F804327" w14:textId="77777777" w:rsidR="00BF7AB2" w:rsidRPr="00BF7AB2" w:rsidRDefault="00BF7AB2" w:rsidP="00BF7AB2">
            <w:pPr>
              <w:rPr>
                <w:rFonts w:ascii="Arial" w:hAnsi="Arial" w:cs="Arial"/>
                <w:b/>
                <w:bCs/>
                <w:sz w:val="20"/>
                <w:szCs w:val="20"/>
                <w:lang w:bidi="hi-IN"/>
              </w:rPr>
            </w:pPr>
            <w:r w:rsidRPr="00BF7AB2">
              <w:rPr>
                <w:rFonts w:ascii="Arial" w:hAnsi="Arial" w:cs="Arial"/>
                <w:b/>
                <w:bCs/>
                <w:sz w:val="20"/>
                <w:szCs w:val="20"/>
                <w:lang w:bidi="hi-IN"/>
              </w:rPr>
              <w:t>Adsorption parameter</w:t>
            </w:r>
          </w:p>
        </w:tc>
        <w:tc>
          <w:tcPr>
            <w:tcW w:w="1177" w:type="dxa"/>
            <w:noWrap/>
          </w:tcPr>
          <w:p w14:paraId="769D3DD4" w14:textId="77777777" w:rsidR="00BF7AB2" w:rsidRPr="00BF7AB2" w:rsidRDefault="00BF7AB2" w:rsidP="00BF7AB2">
            <w:pPr>
              <w:jc w:val="right"/>
              <w:rPr>
                <w:rFonts w:ascii="Arial" w:hAnsi="Arial" w:cs="Arial"/>
                <w:b/>
                <w:bCs/>
                <w:sz w:val="20"/>
                <w:szCs w:val="20"/>
              </w:rPr>
            </w:pPr>
            <w:r w:rsidRPr="00BF7AB2">
              <w:rPr>
                <w:rFonts w:ascii="Arial" w:hAnsi="Arial" w:cs="Arial"/>
                <w:b/>
                <w:bCs/>
                <w:sz w:val="20"/>
                <w:szCs w:val="20"/>
              </w:rPr>
              <w:t>Red soil</w:t>
            </w:r>
          </w:p>
        </w:tc>
        <w:tc>
          <w:tcPr>
            <w:tcW w:w="2115" w:type="dxa"/>
          </w:tcPr>
          <w:p w14:paraId="0959E83A" w14:textId="77777777" w:rsidR="00BF7AB2" w:rsidRPr="00BF7AB2" w:rsidRDefault="00BF7AB2" w:rsidP="00BF7AB2">
            <w:pPr>
              <w:jc w:val="center"/>
              <w:rPr>
                <w:rFonts w:ascii="Arial" w:hAnsi="Arial" w:cs="Arial"/>
                <w:b/>
                <w:bCs/>
                <w:sz w:val="20"/>
                <w:szCs w:val="20"/>
              </w:rPr>
            </w:pPr>
            <w:r w:rsidRPr="00BF7AB2">
              <w:rPr>
                <w:rFonts w:ascii="Arial" w:hAnsi="Arial" w:cs="Arial"/>
                <w:b/>
                <w:bCs/>
                <w:sz w:val="20"/>
                <w:szCs w:val="20"/>
              </w:rPr>
              <w:t>Black soil</w:t>
            </w:r>
          </w:p>
        </w:tc>
      </w:tr>
      <w:tr w:rsidR="00BF7AB2" w:rsidRPr="00BF7AB2" w14:paraId="194D6D93" w14:textId="77777777" w:rsidTr="007510DE">
        <w:trPr>
          <w:trHeight w:val="300"/>
          <w:jc w:val="center"/>
        </w:trPr>
        <w:tc>
          <w:tcPr>
            <w:tcW w:w="2906" w:type="dxa"/>
            <w:noWrap/>
            <w:hideMark/>
          </w:tcPr>
          <w:p w14:paraId="7019B775" w14:textId="77777777" w:rsidR="00BF7AB2" w:rsidRPr="00BF7AB2" w:rsidRDefault="00BF7AB2" w:rsidP="00BF7AB2">
            <w:pPr>
              <w:rPr>
                <w:rFonts w:ascii="Arial" w:hAnsi="Arial" w:cs="Arial"/>
                <w:sz w:val="20"/>
                <w:szCs w:val="20"/>
                <w:lang w:bidi="hi-IN"/>
              </w:rPr>
            </w:pPr>
            <w:r w:rsidRPr="00BF7AB2">
              <w:rPr>
                <w:rFonts w:ascii="Arial" w:hAnsi="Arial" w:cs="Arial"/>
                <w:sz w:val="20"/>
                <w:szCs w:val="20"/>
                <w:lang w:bidi="hi-IN"/>
              </w:rPr>
              <w:t>pH</w:t>
            </w:r>
          </w:p>
        </w:tc>
        <w:tc>
          <w:tcPr>
            <w:tcW w:w="1177" w:type="dxa"/>
            <w:noWrap/>
            <w:hideMark/>
          </w:tcPr>
          <w:p w14:paraId="259FFC5D" w14:textId="77777777" w:rsidR="00BF7AB2" w:rsidRPr="00BF7AB2" w:rsidRDefault="00BF7AB2" w:rsidP="00BF7AB2">
            <w:pPr>
              <w:jc w:val="center"/>
              <w:rPr>
                <w:rFonts w:ascii="Arial" w:hAnsi="Arial" w:cs="Arial"/>
                <w:sz w:val="20"/>
                <w:szCs w:val="20"/>
                <w:lang w:bidi="hi-IN"/>
              </w:rPr>
            </w:pPr>
            <w:r w:rsidRPr="00BF7AB2">
              <w:rPr>
                <w:rFonts w:ascii="Arial" w:hAnsi="Arial" w:cs="Arial"/>
                <w:sz w:val="20"/>
                <w:szCs w:val="20"/>
                <w:lang w:bidi="hi-IN"/>
              </w:rPr>
              <w:t>6.62</w:t>
            </w:r>
          </w:p>
        </w:tc>
        <w:tc>
          <w:tcPr>
            <w:tcW w:w="2115" w:type="dxa"/>
          </w:tcPr>
          <w:p w14:paraId="05A1552E" w14:textId="77777777" w:rsidR="00BF7AB2" w:rsidRPr="00BF7AB2" w:rsidRDefault="00BF7AB2" w:rsidP="00BF7AB2">
            <w:pPr>
              <w:ind w:left="747" w:hanging="747"/>
              <w:jc w:val="center"/>
              <w:rPr>
                <w:rFonts w:ascii="Arial" w:eastAsiaTheme="minorEastAsia" w:hAnsi="Arial" w:cs="Arial"/>
                <w:sz w:val="20"/>
                <w:szCs w:val="20"/>
                <w:lang w:bidi="hi-IN"/>
              </w:rPr>
            </w:pPr>
            <w:r w:rsidRPr="00BF7AB2">
              <w:rPr>
                <w:rFonts w:ascii="Arial" w:eastAsiaTheme="minorEastAsia" w:hAnsi="Arial" w:cs="Arial"/>
                <w:sz w:val="20"/>
                <w:szCs w:val="20"/>
                <w:lang w:bidi="hi-IN"/>
              </w:rPr>
              <w:t>8.12</w:t>
            </w:r>
          </w:p>
        </w:tc>
      </w:tr>
      <w:tr w:rsidR="00BF7AB2" w:rsidRPr="00BF7AB2" w14:paraId="2EF428C4" w14:textId="77777777" w:rsidTr="007510DE">
        <w:trPr>
          <w:trHeight w:val="300"/>
          <w:jc w:val="center"/>
        </w:trPr>
        <w:tc>
          <w:tcPr>
            <w:tcW w:w="2906" w:type="dxa"/>
            <w:noWrap/>
            <w:hideMark/>
          </w:tcPr>
          <w:p w14:paraId="4A716C28" w14:textId="77777777" w:rsidR="00BF7AB2" w:rsidRPr="00BF7AB2" w:rsidRDefault="00BF7AB2" w:rsidP="00BF7AB2">
            <w:pPr>
              <w:rPr>
                <w:rFonts w:ascii="Arial" w:hAnsi="Arial" w:cs="Arial"/>
                <w:sz w:val="20"/>
                <w:szCs w:val="20"/>
                <w:lang w:bidi="hi-IN"/>
              </w:rPr>
            </w:pPr>
            <w:r w:rsidRPr="00BF7AB2">
              <w:rPr>
                <w:rFonts w:ascii="Arial" w:hAnsi="Arial" w:cs="Arial"/>
                <w:sz w:val="20"/>
                <w:szCs w:val="20"/>
              </w:rPr>
              <w:t>CEC (C mol (p</w:t>
            </w:r>
            <w:r w:rsidRPr="00BF7AB2">
              <w:rPr>
                <w:rFonts w:ascii="Arial" w:hAnsi="Arial" w:cs="Arial"/>
                <w:sz w:val="20"/>
                <w:szCs w:val="20"/>
                <w:vertAlign w:val="superscript"/>
              </w:rPr>
              <w:t>+</w:t>
            </w:r>
            <w:r w:rsidRPr="00BF7AB2">
              <w:rPr>
                <w:rFonts w:ascii="Arial" w:hAnsi="Arial" w:cs="Arial"/>
                <w:sz w:val="20"/>
                <w:szCs w:val="20"/>
              </w:rPr>
              <w:t>)/kg</w:t>
            </w:r>
            <w:r w:rsidRPr="00BF7AB2">
              <w:rPr>
                <w:rFonts w:ascii="Arial" w:hAnsi="Arial" w:cs="Arial"/>
                <w:sz w:val="20"/>
                <w:szCs w:val="20"/>
                <w:lang w:bidi="hi-IN"/>
              </w:rPr>
              <w:t>)</w:t>
            </w:r>
          </w:p>
        </w:tc>
        <w:tc>
          <w:tcPr>
            <w:tcW w:w="1177" w:type="dxa"/>
            <w:noWrap/>
            <w:hideMark/>
          </w:tcPr>
          <w:p w14:paraId="7C4F0681" w14:textId="77777777" w:rsidR="00BF7AB2" w:rsidRPr="00BF7AB2" w:rsidRDefault="00BF7AB2" w:rsidP="00BF7AB2">
            <w:pPr>
              <w:jc w:val="center"/>
              <w:rPr>
                <w:rFonts w:ascii="Arial" w:hAnsi="Arial" w:cs="Arial"/>
                <w:sz w:val="20"/>
                <w:szCs w:val="20"/>
                <w:lang w:bidi="hi-IN"/>
              </w:rPr>
            </w:pPr>
            <w:r w:rsidRPr="00BF7AB2">
              <w:rPr>
                <w:rFonts w:ascii="Arial" w:hAnsi="Arial" w:cs="Arial"/>
                <w:sz w:val="20"/>
                <w:szCs w:val="20"/>
                <w:lang w:bidi="hi-IN"/>
              </w:rPr>
              <w:t>16.21</w:t>
            </w:r>
          </w:p>
        </w:tc>
        <w:tc>
          <w:tcPr>
            <w:tcW w:w="2115" w:type="dxa"/>
          </w:tcPr>
          <w:p w14:paraId="7EB98A1B" w14:textId="77777777" w:rsidR="00BF7AB2" w:rsidRPr="00BF7AB2" w:rsidRDefault="00BF7AB2" w:rsidP="00BF7AB2">
            <w:pPr>
              <w:jc w:val="center"/>
              <w:rPr>
                <w:rFonts w:ascii="Arial" w:eastAsiaTheme="minorEastAsia" w:hAnsi="Arial" w:cs="Arial"/>
                <w:sz w:val="20"/>
                <w:szCs w:val="20"/>
                <w:lang w:bidi="hi-IN"/>
              </w:rPr>
            </w:pPr>
            <w:r w:rsidRPr="00BF7AB2">
              <w:rPr>
                <w:rFonts w:ascii="Arial" w:eastAsiaTheme="minorEastAsia" w:hAnsi="Arial" w:cs="Arial"/>
                <w:sz w:val="20"/>
                <w:szCs w:val="20"/>
                <w:lang w:bidi="hi-IN"/>
              </w:rPr>
              <w:t>28.65</w:t>
            </w:r>
          </w:p>
        </w:tc>
      </w:tr>
      <w:tr w:rsidR="00BF7AB2" w:rsidRPr="00BF7AB2" w14:paraId="71628084" w14:textId="77777777" w:rsidTr="007510DE">
        <w:trPr>
          <w:trHeight w:val="300"/>
          <w:jc w:val="center"/>
        </w:trPr>
        <w:tc>
          <w:tcPr>
            <w:tcW w:w="2906" w:type="dxa"/>
            <w:noWrap/>
            <w:hideMark/>
          </w:tcPr>
          <w:p w14:paraId="67CCC3E3" w14:textId="77777777" w:rsidR="00BF7AB2" w:rsidRPr="00BF7AB2" w:rsidRDefault="00BF7AB2" w:rsidP="00BF7AB2">
            <w:pPr>
              <w:rPr>
                <w:rFonts w:ascii="Arial" w:hAnsi="Arial" w:cs="Arial"/>
                <w:sz w:val="20"/>
                <w:szCs w:val="20"/>
              </w:rPr>
            </w:pPr>
            <w:r w:rsidRPr="00BF7AB2">
              <w:rPr>
                <w:rFonts w:ascii="Arial" w:hAnsi="Arial" w:cs="Arial"/>
                <w:sz w:val="20"/>
                <w:szCs w:val="20"/>
                <w:lang w:bidi="hi-IN"/>
              </w:rPr>
              <w:t>Organic carbon (%)</w:t>
            </w:r>
          </w:p>
        </w:tc>
        <w:tc>
          <w:tcPr>
            <w:tcW w:w="1177" w:type="dxa"/>
            <w:noWrap/>
            <w:hideMark/>
          </w:tcPr>
          <w:p w14:paraId="3583CFC1"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0.56</w:t>
            </w:r>
          </w:p>
        </w:tc>
        <w:tc>
          <w:tcPr>
            <w:tcW w:w="2115" w:type="dxa"/>
          </w:tcPr>
          <w:p w14:paraId="1CC5F55C"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0.49</w:t>
            </w:r>
          </w:p>
        </w:tc>
      </w:tr>
      <w:tr w:rsidR="00BF7AB2" w:rsidRPr="00BF7AB2" w14:paraId="686B5D25" w14:textId="77777777" w:rsidTr="007510DE">
        <w:trPr>
          <w:trHeight w:val="300"/>
          <w:jc w:val="center"/>
        </w:trPr>
        <w:tc>
          <w:tcPr>
            <w:tcW w:w="2906" w:type="dxa"/>
            <w:noWrap/>
            <w:hideMark/>
          </w:tcPr>
          <w:p w14:paraId="6AE94DB3" w14:textId="77777777" w:rsidR="00BF7AB2" w:rsidRPr="00BF7AB2" w:rsidRDefault="00BF7AB2" w:rsidP="00BF7AB2">
            <w:pPr>
              <w:rPr>
                <w:rFonts w:ascii="Arial" w:hAnsi="Arial" w:cs="Arial"/>
                <w:sz w:val="20"/>
                <w:szCs w:val="20"/>
                <w:lang w:bidi="hi-IN"/>
              </w:rPr>
            </w:pPr>
            <w:r w:rsidRPr="00BF7AB2">
              <w:rPr>
                <w:rFonts w:ascii="Arial" w:hAnsi="Arial" w:cs="Arial"/>
                <w:sz w:val="20"/>
                <w:szCs w:val="20"/>
                <w:lang w:bidi="hi-IN"/>
              </w:rPr>
              <w:t>Clay (%)</w:t>
            </w:r>
          </w:p>
        </w:tc>
        <w:tc>
          <w:tcPr>
            <w:tcW w:w="1177" w:type="dxa"/>
            <w:noWrap/>
            <w:hideMark/>
          </w:tcPr>
          <w:p w14:paraId="1356AEB6" w14:textId="77777777" w:rsidR="00BF7AB2" w:rsidRPr="00BF7AB2" w:rsidRDefault="00BF7AB2" w:rsidP="00BF7AB2">
            <w:pPr>
              <w:jc w:val="center"/>
              <w:rPr>
                <w:rFonts w:ascii="Arial" w:hAnsi="Arial" w:cs="Arial"/>
                <w:sz w:val="20"/>
                <w:szCs w:val="20"/>
                <w:lang w:bidi="hi-IN"/>
              </w:rPr>
            </w:pPr>
            <w:r w:rsidRPr="00BF7AB2">
              <w:rPr>
                <w:rFonts w:ascii="Arial" w:hAnsi="Arial" w:cs="Arial"/>
                <w:sz w:val="20"/>
                <w:szCs w:val="20"/>
                <w:lang w:bidi="hi-IN"/>
              </w:rPr>
              <w:t>24.5</w:t>
            </w:r>
          </w:p>
        </w:tc>
        <w:tc>
          <w:tcPr>
            <w:tcW w:w="2115" w:type="dxa"/>
          </w:tcPr>
          <w:p w14:paraId="7F793822" w14:textId="77777777" w:rsidR="00BF7AB2" w:rsidRPr="00BF7AB2" w:rsidRDefault="00BF7AB2" w:rsidP="00BF7AB2">
            <w:pPr>
              <w:jc w:val="center"/>
              <w:rPr>
                <w:rFonts w:ascii="Arial" w:eastAsiaTheme="minorEastAsia" w:hAnsi="Arial" w:cs="Arial"/>
                <w:sz w:val="20"/>
                <w:szCs w:val="20"/>
                <w:lang w:bidi="hi-IN"/>
              </w:rPr>
            </w:pPr>
            <w:r w:rsidRPr="00BF7AB2">
              <w:rPr>
                <w:rFonts w:ascii="Arial" w:eastAsiaTheme="minorEastAsia" w:hAnsi="Arial" w:cs="Arial"/>
                <w:sz w:val="20"/>
                <w:szCs w:val="20"/>
                <w:lang w:bidi="hi-IN"/>
              </w:rPr>
              <w:t>36.2</w:t>
            </w:r>
          </w:p>
        </w:tc>
      </w:tr>
      <w:tr w:rsidR="00BF7AB2" w:rsidRPr="00BF7AB2" w14:paraId="0E602FCD" w14:textId="77777777" w:rsidTr="007510DE">
        <w:trPr>
          <w:trHeight w:val="300"/>
          <w:jc w:val="center"/>
        </w:trPr>
        <w:tc>
          <w:tcPr>
            <w:tcW w:w="2906" w:type="dxa"/>
            <w:noWrap/>
            <w:hideMark/>
          </w:tcPr>
          <w:p w14:paraId="79E14AC0" w14:textId="77777777" w:rsidR="00BF7AB2" w:rsidRPr="00BF7AB2" w:rsidRDefault="00BF7AB2" w:rsidP="00BF7AB2">
            <w:pPr>
              <w:rPr>
                <w:rFonts w:ascii="Arial" w:hAnsi="Arial" w:cs="Arial"/>
                <w:sz w:val="20"/>
                <w:szCs w:val="20"/>
                <w:lang w:bidi="hi-IN"/>
              </w:rPr>
            </w:pPr>
            <w:r w:rsidRPr="00BF7AB2">
              <w:rPr>
                <w:rFonts w:ascii="Arial" w:hAnsi="Arial" w:cs="Arial"/>
                <w:sz w:val="20"/>
                <w:szCs w:val="20"/>
                <w:lang w:bidi="hi-IN"/>
              </w:rPr>
              <w:t>Silt (%)</w:t>
            </w:r>
          </w:p>
        </w:tc>
        <w:tc>
          <w:tcPr>
            <w:tcW w:w="1177" w:type="dxa"/>
            <w:noWrap/>
            <w:hideMark/>
          </w:tcPr>
          <w:p w14:paraId="52FDA0AF" w14:textId="77777777" w:rsidR="00BF7AB2" w:rsidRPr="00BF7AB2" w:rsidRDefault="00BF7AB2" w:rsidP="00BF7AB2">
            <w:pPr>
              <w:jc w:val="center"/>
              <w:rPr>
                <w:rFonts w:ascii="Arial" w:hAnsi="Arial" w:cs="Arial"/>
                <w:sz w:val="20"/>
                <w:szCs w:val="20"/>
                <w:lang w:bidi="hi-IN"/>
              </w:rPr>
            </w:pPr>
            <w:r w:rsidRPr="00BF7AB2">
              <w:rPr>
                <w:rFonts w:ascii="Arial" w:hAnsi="Arial" w:cs="Arial"/>
                <w:sz w:val="20"/>
                <w:szCs w:val="20"/>
                <w:lang w:bidi="hi-IN"/>
              </w:rPr>
              <w:t>12.8</w:t>
            </w:r>
          </w:p>
        </w:tc>
        <w:tc>
          <w:tcPr>
            <w:tcW w:w="2115" w:type="dxa"/>
          </w:tcPr>
          <w:p w14:paraId="670A3A01" w14:textId="77777777" w:rsidR="00BF7AB2" w:rsidRPr="00BF7AB2" w:rsidRDefault="00BF7AB2" w:rsidP="00BF7AB2">
            <w:pPr>
              <w:jc w:val="center"/>
              <w:rPr>
                <w:rFonts w:ascii="Arial" w:eastAsiaTheme="minorEastAsia" w:hAnsi="Arial" w:cs="Arial"/>
                <w:sz w:val="20"/>
                <w:szCs w:val="20"/>
                <w:lang w:bidi="hi-IN"/>
              </w:rPr>
            </w:pPr>
            <w:r w:rsidRPr="00BF7AB2">
              <w:rPr>
                <w:rFonts w:ascii="Arial" w:eastAsiaTheme="minorEastAsia" w:hAnsi="Arial" w:cs="Arial"/>
                <w:sz w:val="20"/>
                <w:szCs w:val="20"/>
                <w:lang w:bidi="hi-IN"/>
              </w:rPr>
              <w:t>16.9</w:t>
            </w:r>
          </w:p>
        </w:tc>
      </w:tr>
      <w:tr w:rsidR="00BF7AB2" w:rsidRPr="00BF7AB2" w14:paraId="7EC265E7" w14:textId="77777777" w:rsidTr="007510DE">
        <w:trPr>
          <w:trHeight w:val="300"/>
          <w:jc w:val="center"/>
        </w:trPr>
        <w:tc>
          <w:tcPr>
            <w:tcW w:w="2906" w:type="dxa"/>
            <w:noWrap/>
            <w:hideMark/>
          </w:tcPr>
          <w:p w14:paraId="1B16937B" w14:textId="77777777" w:rsidR="00BF7AB2" w:rsidRPr="00BF7AB2" w:rsidRDefault="00BF7AB2" w:rsidP="00BF7AB2">
            <w:pPr>
              <w:rPr>
                <w:rFonts w:ascii="Arial" w:hAnsi="Arial" w:cs="Arial"/>
                <w:sz w:val="20"/>
                <w:szCs w:val="20"/>
                <w:lang w:bidi="hi-IN"/>
              </w:rPr>
            </w:pPr>
            <w:r w:rsidRPr="00BF7AB2">
              <w:rPr>
                <w:rFonts w:ascii="Arial" w:hAnsi="Arial" w:cs="Arial"/>
                <w:sz w:val="20"/>
                <w:szCs w:val="20"/>
                <w:lang w:bidi="hi-IN"/>
              </w:rPr>
              <w:t>Sand (%)</w:t>
            </w:r>
          </w:p>
        </w:tc>
        <w:tc>
          <w:tcPr>
            <w:tcW w:w="1177" w:type="dxa"/>
            <w:noWrap/>
            <w:hideMark/>
          </w:tcPr>
          <w:p w14:paraId="4C249E83" w14:textId="77777777" w:rsidR="00BF7AB2" w:rsidRPr="00BF7AB2" w:rsidRDefault="00BF7AB2" w:rsidP="00BF7AB2">
            <w:pPr>
              <w:jc w:val="center"/>
              <w:rPr>
                <w:rFonts w:ascii="Arial" w:hAnsi="Arial" w:cs="Arial"/>
                <w:sz w:val="20"/>
                <w:szCs w:val="20"/>
                <w:lang w:bidi="hi-IN"/>
              </w:rPr>
            </w:pPr>
            <w:r w:rsidRPr="00BF7AB2">
              <w:rPr>
                <w:rFonts w:ascii="Arial" w:hAnsi="Arial" w:cs="Arial"/>
                <w:sz w:val="20"/>
                <w:szCs w:val="20"/>
                <w:lang w:bidi="hi-IN"/>
              </w:rPr>
              <w:t>62.7</w:t>
            </w:r>
          </w:p>
        </w:tc>
        <w:tc>
          <w:tcPr>
            <w:tcW w:w="2115" w:type="dxa"/>
          </w:tcPr>
          <w:p w14:paraId="33E1F6B6" w14:textId="77777777" w:rsidR="00BF7AB2" w:rsidRPr="00BF7AB2" w:rsidRDefault="00BF7AB2" w:rsidP="00BF7AB2">
            <w:pPr>
              <w:jc w:val="center"/>
              <w:rPr>
                <w:rFonts w:ascii="Arial" w:eastAsiaTheme="minorEastAsia" w:hAnsi="Arial" w:cs="Arial"/>
                <w:sz w:val="20"/>
                <w:szCs w:val="20"/>
                <w:lang w:bidi="hi-IN"/>
              </w:rPr>
            </w:pPr>
            <w:r w:rsidRPr="00BF7AB2">
              <w:rPr>
                <w:rFonts w:ascii="Arial" w:eastAsiaTheme="minorEastAsia" w:hAnsi="Arial" w:cs="Arial"/>
                <w:sz w:val="20"/>
                <w:szCs w:val="20"/>
                <w:lang w:bidi="hi-IN"/>
              </w:rPr>
              <w:t>46.9</w:t>
            </w:r>
          </w:p>
        </w:tc>
      </w:tr>
    </w:tbl>
    <w:p w14:paraId="02CC3B32" w14:textId="77777777" w:rsidR="00BF7AB2" w:rsidRPr="00BF7AB2" w:rsidRDefault="00BF7AB2" w:rsidP="00BF7AB2">
      <w:pPr>
        <w:jc w:val="both"/>
        <w:rPr>
          <w:rFonts w:ascii="Arial" w:hAnsi="Arial" w:cs="Arial"/>
          <w:b/>
          <w:i/>
        </w:rPr>
      </w:pPr>
    </w:p>
    <w:p w14:paraId="70078C68" w14:textId="77777777" w:rsidR="00BF7AB2" w:rsidRPr="00BF7AB2" w:rsidRDefault="00BF7AB2" w:rsidP="00BF7AB2">
      <w:pPr>
        <w:jc w:val="both"/>
        <w:rPr>
          <w:rFonts w:ascii="Arial" w:hAnsi="Arial" w:cs="Arial"/>
          <w:b/>
          <w:iCs/>
        </w:rPr>
      </w:pPr>
      <w:r w:rsidRPr="00BF7AB2">
        <w:rPr>
          <w:rFonts w:ascii="Arial" w:hAnsi="Arial" w:cs="Arial"/>
          <w:b/>
          <w:iCs/>
        </w:rPr>
        <w:t>Dissipation studies</w:t>
      </w:r>
    </w:p>
    <w:p w14:paraId="6CA2682B" w14:textId="77777777" w:rsidR="00BF7AB2" w:rsidRPr="00BF7AB2" w:rsidRDefault="00BF7AB2" w:rsidP="00BF7AB2">
      <w:pPr>
        <w:spacing w:before="100" w:beforeAutospacing="1" w:after="100" w:afterAutospacing="1"/>
        <w:ind w:firstLine="720"/>
        <w:jc w:val="both"/>
        <w:rPr>
          <w:rFonts w:ascii="Arial" w:hAnsi="Arial" w:cs="Arial"/>
          <w:lang w:eastAsia="en-IN"/>
        </w:rPr>
      </w:pPr>
      <w:r w:rsidRPr="00BF7AB2">
        <w:rPr>
          <w:rFonts w:ascii="Arial" w:hAnsi="Arial" w:cs="Arial"/>
          <w:lang w:eastAsia="en-IN"/>
        </w:rPr>
        <w:t xml:space="preserve">The dissipation of </w:t>
      </w:r>
      <w:r w:rsidRPr="00BF7AB2">
        <w:rPr>
          <w:rFonts w:ascii="Arial" w:hAnsi="Arial" w:cs="Arial"/>
          <w:bCs/>
          <w:lang w:eastAsia="en-IN"/>
        </w:rPr>
        <w:t>topramezone</w:t>
      </w:r>
      <w:r w:rsidRPr="00BF7AB2">
        <w:rPr>
          <w:rFonts w:ascii="Arial" w:hAnsi="Arial" w:cs="Arial"/>
          <w:lang w:eastAsia="en-IN"/>
        </w:rPr>
        <w:t xml:space="preserve"> in the red (</w:t>
      </w:r>
      <w:proofErr w:type="spellStart"/>
      <w:r w:rsidRPr="00BF7AB2">
        <w:rPr>
          <w:rFonts w:ascii="Arial" w:hAnsi="Arial" w:cs="Arial"/>
          <w:lang w:eastAsia="en-IN"/>
        </w:rPr>
        <w:t>Alfisol</w:t>
      </w:r>
      <w:proofErr w:type="spellEnd"/>
      <w:r w:rsidRPr="00BF7AB2">
        <w:rPr>
          <w:rFonts w:ascii="Arial" w:hAnsi="Arial" w:cs="Arial"/>
          <w:lang w:eastAsia="en-IN"/>
        </w:rPr>
        <w:t>) and black (</w:t>
      </w:r>
      <w:proofErr w:type="spellStart"/>
      <w:r w:rsidRPr="00BF7AB2">
        <w:rPr>
          <w:rFonts w:ascii="Arial" w:hAnsi="Arial" w:cs="Arial"/>
          <w:lang w:eastAsia="en-IN"/>
        </w:rPr>
        <w:t>Vertisol</w:t>
      </w:r>
      <w:proofErr w:type="spellEnd"/>
      <w:r w:rsidRPr="00BF7AB2">
        <w:rPr>
          <w:rFonts w:ascii="Arial" w:hAnsi="Arial" w:cs="Arial"/>
          <w:lang w:eastAsia="en-IN"/>
        </w:rPr>
        <w:t xml:space="preserve">) soils of Telangana followed a gradual decline with time, and the pattern was well described by a </w:t>
      </w:r>
      <w:r w:rsidRPr="00BF7AB2">
        <w:rPr>
          <w:rFonts w:ascii="Arial" w:hAnsi="Arial" w:cs="Arial"/>
          <w:bCs/>
          <w:lang w:eastAsia="en-IN"/>
        </w:rPr>
        <w:t>first-order exponential decay model</w:t>
      </w:r>
      <w:r w:rsidRPr="00BF7AB2">
        <w:rPr>
          <w:rFonts w:ascii="Arial" w:hAnsi="Arial" w:cs="Arial"/>
          <w:lang w:eastAsia="en-IN"/>
        </w:rPr>
        <w:t xml:space="preserve">, indicating that the rate of degradation was directly proportional to the amount of herbicide remaining in the soil. The initial detected amount (IDA) of topramezone, measured 2 hours after application, ranged from </w:t>
      </w:r>
      <w:r w:rsidRPr="00BF7AB2">
        <w:rPr>
          <w:rFonts w:ascii="Arial" w:hAnsi="Arial" w:cs="Arial"/>
          <w:bCs/>
          <w:lang w:eastAsia="en-IN"/>
        </w:rPr>
        <w:t xml:space="preserve">90.61 </w:t>
      </w:r>
      <w:r w:rsidRPr="00BF7AB2">
        <w:rPr>
          <w:rFonts w:ascii="Arial" w:hAnsi="Arial" w:cs="Arial"/>
          <w:lang w:eastAsia="en-IN"/>
        </w:rPr>
        <w:t xml:space="preserve">in red soil and </w:t>
      </w:r>
      <w:r w:rsidRPr="00BF7AB2">
        <w:rPr>
          <w:rFonts w:ascii="Arial" w:hAnsi="Arial" w:cs="Arial"/>
          <w:bCs/>
          <w:lang w:eastAsia="en-IN"/>
        </w:rPr>
        <w:t xml:space="preserve">92.12 </w:t>
      </w:r>
      <w:r w:rsidRPr="00BF7AB2">
        <w:rPr>
          <w:rFonts w:ascii="Arial" w:hAnsi="Arial" w:cs="Arial"/>
          <w:lang w:eastAsia="en-IN"/>
        </w:rPr>
        <w:t xml:space="preserve">in black soil, respectively. The residue levels declined progressively with incubation time, and after 135 days, detectable residues were </w:t>
      </w:r>
      <w:r w:rsidRPr="00BF7AB2">
        <w:rPr>
          <w:rFonts w:ascii="Arial" w:hAnsi="Arial" w:cs="Arial"/>
          <w:bCs/>
          <w:lang w:eastAsia="en-IN"/>
        </w:rPr>
        <w:t>40.21 µg 10 g</w:t>
      </w:r>
      <w:r w:rsidRPr="00BF7AB2">
        <w:rPr>
          <w:rFonts w:ascii="Cambria Math" w:hAnsi="Cambria Math" w:cs="Cambria Math"/>
          <w:bCs/>
          <w:lang w:eastAsia="en-IN"/>
        </w:rPr>
        <w:t>⁻</w:t>
      </w:r>
      <w:r w:rsidRPr="00BF7AB2">
        <w:rPr>
          <w:rFonts w:ascii="Arial" w:hAnsi="Arial" w:cs="Arial"/>
          <w:bCs/>
          <w:lang w:eastAsia="en-IN"/>
        </w:rPr>
        <w:t>¹</w:t>
      </w:r>
      <w:r w:rsidRPr="00BF7AB2">
        <w:rPr>
          <w:rFonts w:ascii="Arial" w:hAnsi="Arial" w:cs="Arial"/>
          <w:lang w:eastAsia="en-IN"/>
        </w:rPr>
        <w:t xml:space="preserve"> in red soil and </w:t>
      </w:r>
      <w:r w:rsidRPr="00BF7AB2">
        <w:rPr>
          <w:rFonts w:ascii="Arial" w:hAnsi="Arial" w:cs="Arial"/>
          <w:bCs/>
          <w:lang w:eastAsia="en-IN"/>
        </w:rPr>
        <w:t>38.65 µg 10 g</w:t>
      </w:r>
      <w:r w:rsidRPr="00BF7AB2">
        <w:rPr>
          <w:rFonts w:ascii="Cambria Math" w:hAnsi="Cambria Math" w:cs="Cambria Math"/>
          <w:bCs/>
          <w:lang w:eastAsia="en-IN"/>
        </w:rPr>
        <w:t>⁻</w:t>
      </w:r>
      <w:r w:rsidRPr="00BF7AB2">
        <w:rPr>
          <w:rFonts w:ascii="Arial" w:hAnsi="Arial" w:cs="Arial"/>
          <w:bCs/>
          <w:lang w:eastAsia="en-IN"/>
        </w:rPr>
        <w:t>¹</w:t>
      </w:r>
      <w:r w:rsidRPr="00BF7AB2">
        <w:rPr>
          <w:rFonts w:ascii="Arial" w:hAnsi="Arial" w:cs="Arial"/>
          <w:lang w:eastAsia="en-IN"/>
        </w:rPr>
        <w:t xml:space="preserve"> in black soil.</w:t>
      </w:r>
    </w:p>
    <w:p w14:paraId="2D832A3D" w14:textId="77777777" w:rsidR="00BF7AB2" w:rsidRPr="00BF7AB2" w:rsidRDefault="00BF7AB2" w:rsidP="00BF7AB2">
      <w:pPr>
        <w:ind w:left="1350" w:hanging="1440"/>
        <w:rPr>
          <w:rFonts w:ascii="Arial" w:hAnsi="Arial" w:cs="Arial"/>
          <w:b/>
        </w:rPr>
      </w:pPr>
      <w:r w:rsidRPr="00BF7AB2">
        <w:rPr>
          <w:rFonts w:ascii="Arial" w:hAnsi="Arial" w:cs="Arial"/>
          <w:b/>
          <w:noProof/>
        </w:rPr>
        <w:t>Table :</w:t>
      </w:r>
      <w:r w:rsidRPr="00BF7AB2">
        <w:rPr>
          <w:rFonts w:ascii="Arial" w:hAnsi="Arial" w:cs="Arial"/>
          <w:b/>
        </w:rPr>
        <w:t xml:space="preserve">  2 Amount of extractable </w:t>
      </w:r>
      <w:r w:rsidRPr="00BF7AB2">
        <w:rPr>
          <w:rFonts w:ascii="Arial" w:hAnsi="Arial" w:cs="Arial"/>
          <w:b/>
          <w:noProof/>
        </w:rPr>
        <w:t>pyrithiobac</w:t>
      </w:r>
      <w:r w:rsidRPr="00BF7AB2">
        <w:rPr>
          <w:rFonts w:ascii="Arial" w:hAnsi="Arial" w:cs="Arial"/>
          <w:b/>
        </w:rPr>
        <w:t xml:space="preserve"> sodium at different day intervals in </w:t>
      </w:r>
      <w:r w:rsidRPr="00BF7AB2">
        <w:rPr>
          <w:rFonts w:ascii="Arial" w:hAnsi="Arial" w:cs="Arial"/>
          <w:b/>
          <w:noProof/>
        </w:rPr>
        <w:t>red</w:t>
      </w:r>
      <w:r w:rsidRPr="00BF7AB2">
        <w:rPr>
          <w:rFonts w:ascii="Arial" w:hAnsi="Arial" w:cs="Arial"/>
          <w:b/>
        </w:rPr>
        <w:t xml:space="preserve"> and black soil samples</w:t>
      </w:r>
    </w:p>
    <w:tbl>
      <w:tblPr>
        <w:tblStyle w:val="TableGrid"/>
        <w:tblW w:w="6811" w:type="dxa"/>
        <w:jc w:val="center"/>
        <w:tblLook w:val="04A0" w:firstRow="1" w:lastRow="0" w:firstColumn="1" w:lastColumn="0" w:noHBand="0" w:noVBand="1"/>
      </w:tblPr>
      <w:tblGrid>
        <w:gridCol w:w="2125"/>
        <w:gridCol w:w="2303"/>
        <w:gridCol w:w="2383"/>
      </w:tblGrid>
      <w:tr w:rsidR="00BF7AB2" w:rsidRPr="00BF7AB2" w14:paraId="32C840A2" w14:textId="77777777" w:rsidTr="007510DE">
        <w:trPr>
          <w:trHeight w:val="56"/>
          <w:jc w:val="center"/>
        </w:trPr>
        <w:tc>
          <w:tcPr>
            <w:tcW w:w="2125" w:type="dxa"/>
          </w:tcPr>
          <w:p w14:paraId="1BF8404D" w14:textId="77777777" w:rsidR="00BF7AB2" w:rsidRPr="00BF7AB2" w:rsidRDefault="00BF7AB2" w:rsidP="00BF7AB2">
            <w:pPr>
              <w:jc w:val="center"/>
              <w:rPr>
                <w:rFonts w:ascii="Arial" w:hAnsi="Arial" w:cs="Arial"/>
                <w:b/>
                <w:sz w:val="20"/>
                <w:szCs w:val="20"/>
              </w:rPr>
            </w:pPr>
            <w:r w:rsidRPr="00BF7AB2">
              <w:rPr>
                <w:rFonts w:ascii="Arial" w:hAnsi="Arial" w:cs="Arial"/>
                <w:b/>
                <w:sz w:val="20"/>
                <w:szCs w:val="20"/>
              </w:rPr>
              <w:t>Days</w:t>
            </w:r>
          </w:p>
        </w:tc>
        <w:tc>
          <w:tcPr>
            <w:tcW w:w="2303" w:type="dxa"/>
          </w:tcPr>
          <w:p w14:paraId="1DC79128" w14:textId="77777777" w:rsidR="00BF7AB2" w:rsidRPr="00BF7AB2" w:rsidRDefault="00BF7AB2" w:rsidP="00BF7AB2">
            <w:pPr>
              <w:jc w:val="center"/>
              <w:rPr>
                <w:rFonts w:ascii="Arial" w:hAnsi="Arial" w:cs="Arial"/>
                <w:b/>
                <w:sz w:val="20"/>
                <w:szCs w:val="20"/>
              </w:rPr>
            </w:pPr>
            <w:r w:rsidRPr="00BF7AB2">
              <w:rPr>
                <w:rFonts w:ascii="Arial" w:hAnsi="Arial" w:cs="Arial"/>
                <w:b/>
                <w:sz w:val="20"/>
                <w:szCs w:val="20"/>
              </w:rPr>
              <w:t>Red soil</w:t>
            </w:r>
          </w:p>
          <w:p w14:paraId="0C187471" w14:textId="77777777" w:rsidR="00BF7AB2" w:rsidRPr="00BF7AB2" w:rsidRDefault="00BF7AB2" w:rsidP="00BF7AB2">
            <w:pPr>
              <w:jc w:val="center"/>
              <w:rPr>
                <w:rFonts w:ascii="Arial" w:hAnsi="Arial" w:cs="Arial"/>
                <w:b/>
                <w:sz w:val="20"/>
                <w:szCs w:val="20"/>
              </w:rPr>
            </w:pPr>
            <w:r w:rsidRPr="00BF7AB2">
              <w:rPr>
                <w:rFonts w:ascii="Arial" w:hAnsi="Arial" w:cs="Arial"/>
                <w:b/>
                <w:sz w:val="20"/>
                <w:szCs w:val="20"/>
              </w:rPr>
              <w:t>(µg /10 g soil)</w:t>
            </w:r>
          </w:p>
        </w:tc>
        <w:tc>
          <w:tcPr>
            <w:tcW w:w="2383" w:type="dxa"/>
          </w:tcPr>
          <w:p w14:paraId="2137BC6A" w14:textId="77777777" w:rsidR="00BF7AB2" w:rsidRPr="00BF7AB2" w:rsidRDefault="00BF7AB2" w:rsidP="00BF7AB2">
            <w:pPr>
              <w:jc w:val="center"/>
              <w:rPr>
                <w:rFonts w:ascii="Arial" w:hAnsi="Arial" w:cs="Arial"/>
                <w:b/>
                <w:sz w:val="20"/>
                <w:szCs w:val="20"/>
              </w:rPr>
            </w:pPr>
            <w:r w:rsidRPr="00BF7AB2">
              <w:rPr>
                <w:rFonts w:ascii="Arial" w:hAnsi="Arial" w:cs="Arial"/>
                <w:b/>
                <w:sz w:val="20"/>
                <w:szCs w:val="20"/>
              </w:rPr>
              <w:t>Black soil</w:t>
            </w:r>
          </w:p>
          <w:p w14:paraId="7243EC2C" w14:textId="77777777" w:rsidR="00BF7AB2" w:rsidRPr="00BF7AB2" w:rsidRDefault="00BF7AB2" w:rsidP="00BF7AB2">
            <w:pPr>
              <w:jc w:val="center"/>
              <w:rPr>
                <w:rFonts w:ascii="Arial" w:hAnsi="Arial" w:cs="Arial"/>
                <w:b/>
                <w:sz w:val="20"/>
                <w:szCs w:val="20"/>
              </w:rPr>
            </w:pPr>
            <w:r w:rsidRPr="00BF7AB2">
              <w:rPr>
                <w:rFonts w:ascii="Arial" w:hAnsi="Arial" w:cs="Arial"/>
                <w:b/>
                <w:sz w:val="20"/>
                <w:szCs w:val="20"/>
              </w:rPr>
              <w:t>(µg /10 g soil)</w:t>
            </w:r>
          </w:p>
        </w:tc>
      </w:tr>
      <w:tr w:rsidR="00BF7AB2" w:rsidRPr="00BF7AB2" w14:paraId="125D6710" w14:textId="77777777" w:rsidTr="007510DE">
        <w:trPr>
          <w:trHeight w:val="296"/>
          <w:jc w:val="center"/>
        </w:trPr>
        <w:tc>
          <w:tcPr>
            <w:tcW w:w="2125" w:type="dxa"/>
          </w:tcPr>
          <w:p w14:paraId="47644903"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0</w:t>
            </w:r>
          </w:p>
        </w:tc>
        <w:tc>
          <w:tcPr>
            <w:tcW w:w="2303" w:type="dxa"/>
            <w:vAlign w:val="bottom"/>
          </w:tcPr>
          <w:p w14:paraId="6D51E0D6"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90.61</w:t>
            </w:r>
          </w:p>
        </w:tc>
        <w:tc>
          <w:tcPr>
            <w:tcW w:w="2383" w:type="dxa"/>
            <w:vAlign w:val="center"/>
          </w:tcPr>
          <w:p w14:paraId="792B6F65"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92.12</w:t>
            </w:r>
          </w:p>
        </w:tc>
      </w:tr>
      <w:tr w:rsidR="00BF7AB2" w:rsidRPr="00BF7AB2" w14:paraId="43166ECC" w14:textId="77777777" w:rsidTr="007510DE">
        <w:trPr>
          <w:trHeight w:val="170"/>
          <w:jc w:val="center"/>
        </w:trPr>
        <w:tc>
          <w:tcPr>
            <w:tcW w:w="2125" w:type="dxa"/>
          </w:tcPr>
          <w:p w14:paraId="24477D8C"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15</w:t>
            </w:r>
          </w:p>
        </w:tc>
        <w:tc>
          <w:tcPr>
            <w:tcW w:w="2303" w:type="dxa"/>
            <w:vAlign w:val="bottom"/>
          </w:tcPr>
          <w:p w14:paraId="65A82831"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80.12</w:t>
            </w:r>
          </w:p>
        </w:tc>
        <w:tc>
          <w:tcPr>
            <w:tcW w:w="2383" w:type="dxa"/>
            <w:vAlign w:val="center"/>
          </w:tcPr>
          <w:p w14:paraId="7F1AD2D0"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84.25</w:t>
            </w:r>
          </w:p>
        </w:tc>
      </w:tr>
      <w:tr w:rsidR="00BF7AB2" w:rsidRPr="00BF7AB2" w14:paraId="07B6B2CE" w14:textId="77777777" w:rsidTr="007510DE">
        <w:trPr>
          <w:trHeight w:val="56"/>
          <w:jc w:val="center"/>
        </w:trPr>
        <w:tc>
          <w:tcPr>
            <w:tcW w:w="2125" w:type="dxa"/>
          </w:tcPr>
          <w:p w14:paraId="4EA55E0D"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30</w:t>
            </w:r>
          </w:p>
        </w:tc>
        <w:tc>
          <w:tcPr>
            <w:tcW w:w="2303" w:type="dxa"/>
            <w:vAlign w:val="bottom"/>
          </w:tcPr>
          <w:p w14:paraId="3915FFAD"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69.54</w:t>
            </w:r>
          </w:p>
        </w:tc>
        <w:tc>
          <w:tcPr>
            <w:tcW w:w="2383" w:type="dxa"/>
            <w:vAlign w:val="center"/>
          </w:tcPr>
          <w:p w14:paraId="1BFE595B"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73.65</w:t>
            </w:r>
          </w:p>
        </w:tc>
      </w:tr>
      <w:tr w:rsidR="00BF7AB2" w:rsidRPr="00BF7AB2" w14:paraId="7C0C1356" w14:textId="77777777" w:rsidTr="007510DE">
        <w:trPr>
          <w:trHeight w:val="233"/>
          <w:jc w:val="center"/>
        </w:trPr>
        <w:tc>
          <w:tcPr>
            <w:tcW w:w="2125" w:type="dxa"/>
          </w:tcPr>
          <w:p w14:paraId="06F64BE7"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45</w:t>
            </w:r>
          </w:p>
        </w:tc>
        <w:tc>
          <w:tcPr>
            <w:tcW w:w="2303" w:type="dxa"/>
            <w:vAlign w:val="bottom"/>
          </w:tcPr>
          <w:p w14:paraId="31CA7FD6"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60.23</w:t>
            </w:r>
          </w:p>
        </w:tc>
        <w:tc>
          <w:tcPr>
            <w:tcW w:w="2383" w:type="dxa"/>
            <w:vAlign w:val="center"/>
          </w:tcPr>
          <w:p w14:paraId="409700F2"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65.25</w:t>
            </w:r>
          </w:p>
        </w:tc>
      </w:tr>
      <w:tr w:rsidR="00BF7AB2" w:rsidRPr="00BF7AB2" w14:paraId="4BC599BC" w14:textId="77777777" w:rsidTr="007510DE">
        <w:trPr>
          <w:trHeight w:val="56"/>
          <w:jc w:val="center"/>
        </w:trPr>
        <w:tc>
          <w:tcPr>
            <w:tcW w:w="2125" w:type="dxa"/>
          </w:tcPr>
          <w:p w14:paraId="764EB8C2"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60</w:t>
            </w:r>
          </w:p>
        </w:tc>
        <w:tc>
          <w:tcPr>
            <w:tcW w:w="2303" w:type="dxa"/>
            <w:vAlign w:val="bottom"/>
          </w:tcPr>
          <w:p w14:paraId="4512E7AF"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56.12</w:t>
            </w:r>
          </w:p>
        </w:tc>
        <w:tc>
          <w:tcPr>
            <w:tcW w:w="2383" w:type="dxa"/>
            <w:vAlign w:val="center"/>
          </w:tcPr>
          <w:p w14:paraId="014EEC23"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58.65</w:t>
            </w:r>
          </w:p>
        </w:tc>
      </w:tr>
      <w:tr w:rsidR="00BF7AB2" w:rsidRPr="00BF7AB2" w14:paraId="52FFB91B" w14:textId="77777777" w:rsidTr="007510DE">
        <w:trPr>
          <w:trHeight w:val="56"/>
          <w:jc w:val="center"/>
        </w:trPr>
        <w:tc>
          <w:tcPr>
            <w:tcW w:w="2125" w:type="dxa"/>
          </w:tcPr>
          <w:p w14:paraId="76A7A2C7"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90</w:t>
            </w:r>
          </w:p>
        </w:tc>
        <w:tc>
          <w:tcPr>
            <w:tcW w:w="2303" w:type="dxa"/>
            <w:vAlign w:val="bottom"/>
          </w:tcPr>
          <w:p w14:paraId="181C9DAA"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50.74</w:t>
            </w:r>
          </w:p>
        </w:tc>
        <w:tc>
          <w:tcPr>
            <w:tcW w:w="2383" w:type="dxa"/>
            <w:vAlign w:val="center"/>
          </w:tcPr>
          <w:p w14:paraId="1CD92F7E"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53.26</w:t>
            </w:r>
          </w:p>
        </w:tc>
      </w:tr>
      <w:tr w:rsidR="00BF7AB2" w:rsidRPr="00BF7AB2" w14:paraId="3B1BB50C" w14:textId="77777777" w:rsidTr="007510DE">
        <w:trPr>
          <w:trHeight w:val="56"/>
          <w:jc w:val="center"/>
        </w:trPr>
        <w:tc>
          <w:tcPr>
            <w:tcW w:w="2125" w:type="dxa"/>
          </w:tcPr>
          <w:p w14:paraId="376D33D3"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120</w:t>
            </w:r>
          </w:p>
        </w:tc>
        <w:tc>
          <w:tcPr>
            <w:tcW w:w="2303" w:type="dxa"/>
            <w:vAlign w:val="bottom"/>
          </w:tcPr>
          <w:p w14:paraId="7369F885"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44.25</w:t>
            </w:r>
          </w:p>
        </w:tc>
        <w:tc>
          <w:tcPr>
            <w:tcW w:w="2383" w:type="dxa"/>
            <w:vAlign w:val="center"/>
          </w:tcPr>
          <w:p w14:paraId="43700279"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46.54</w:t>
            </w:r>
          </w:p>
        </w:tc>
      </w:tr>
      <w:tr w:rsidR="00BF7AB2" w:rsidRPr="00BF7AB2" w14:paraId="0550648F" w14:textId="77777777" w:rsidTr="007510DE">
        <w:trPr>
          <w:trHeight w:val="56"/>
          <w:jc w:val="center"/>
        </w:trPr>
        <w:tc>
          <w:tcPr>
            <w:tcW w:w="2125" w:type="dxa"/>
          </w:tcPr>
          <w:p w14:paraId="30FD6613"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lastRenderedPageBreak/>
              <w:t>135</w:t>
            </w:r>
          </w:p>
        </w:tc>
        <w:tc>
          <w:tcPr>
            <w:tcW w:w="2303" w:type="dxa"/>
            <w:vAlign w:val="bottom"/>
          </w:tcPr>
          <w:p w14:paraId="0441C325"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40.21</w:t>
            </w:r>
          </w:p>
        </w:tc>
        <w:tc>
          <w:tcPr>
            <w:tcW w:w="2383" w:type="dxa"/>
            <w:vAlign w:val="center"/>
          </w:tcPr>
          <w:p w14:paraId="69E8068E"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38.65</w:t>
            </w:r>
          </w:p>
        </w:tc>
      </w:tr>
    </w:tbl>
    <w:p w14:paraId="782E75CC" w14:textId="77777777" w:rsidR="00BF7AB2" w:rsidRPr="00BF7AB2" w:rsidRDefault="00BF7AB2" w:rsidP="00BF7AB2">
      <w:pPr>
        <w:spacing w:before="100" w:beforeAutospacing="1" w:after="100" w:afterAutospacing="1"/>
        <w:ind w:firstLine="720"/>
        <w:jc w:val="both"/>
        <w:rPr>
          <w:rFonts w:ascii="Arial" w:hAnsi="Arial" w:cs="Arial"/>
          <w:lang w:eastAsia="en-IN"/>
        </w:rPr>
      </w:pPr>
      <w:r w:rsidRPr="00BF7AB2">
        <w:rPr>
          <w:rFonts w:ascii="Arial" w:hAnsi="Arial" w:cs="Arial"/>
          <w:lang w:eastAsia="en-IN"/>
        </w:rPr>
        <w:t xml:space="preserve">The dissipation curves generated from these data fitted best to an </w:t>
      </w:r>
      <w:r w:rsidRPr="00BF7AB2">
        <w:rPr>
          <w:rFonts w:ascii="Arial" w:hAnsi="Arial" w:cs="Arial"/>
          <w:bCs/>
          <w:lang w:eastAsia="en-IN"/>
        </w:rPr>
        <w:t>exponential decay model</w:t>
      </w:r>
      <w:r w:rsidRPr="00BF7AB2">
        <w:rPr>
          <w:rFonts w:ascii="Arial" w:hAnsi="Arial" w:cs="Arial"/>
          <w:lang w:eastAsia="en-IN"/>
        </w:rPr>
        <w:t xml:space="preserve"> compared to linear, logarithmic, or polynomial models, with </w:t>
      </w:r>
      <w:r w:rsidRPr="00BF7AB2">
        <w:rPr>
          <w:rFonts w:ascii="Arial" w:hAnsi="Arial" w:cs="Arial"/>
          <w:bCs/>
          <w:lang w:eastAsia="en-IN"/>
        </w:rPr>
        <w:t>R² values exceeding 0.97</w:t>
      </w:r>
      <w:r w:rsidRPr="00BF7AB2">
        <w:rPr>
          <w:rFonts w:ascii="Arial" w:hAnsi="Arial" w:cs="Arial"/>
          <w:lang w:eastAsia="en-IN"/>
        </w:rPr>
        <w:t xml:space="preserve"> across treatments, confirming a first-order kinetic relationship as expressed by the equation</w:t>
      </w:r>
    </w:p>
    <w:p w14:paraId="296A07A0" w14:textId="77777777" w:rsidR="00BF7AB2" w:rsidRPr="00BF7AB2" w:rsidRDefault="00BF7AB2" w:rsidP="00BF7AB2">
      <w:pPr>
        <w:spacing w:before="100" w:beforeAutospacing="1" w:after="100" w:afterAutospacing="1"/>
        <w:ind w:firstLine="720"/>
        <w:jc w:val="both"/>
        <w:rPr>
          <w:rFonts w:ascii="Arial" w:hAnsi="Arial" w:cs="Arial"/>
          <w:lang w:eastAsia="en-IN"/>
        </w:rPr>
      </w:pPr>
      <w:r w:rsidRPr="00BF7AB2">
        <w:rPr>
          <w:rFonts w:ascii="Arial" w:hAnsi="Arial" w:cs="Arial"/>
          <w:i/>
          <w:iCs/>
          <w:lang w:eastAsia="en-IN"/>
        </w:rPr>
        <w:t xml:space="preserve">C = </w:t>
      </w:r>
      <w:proofErr w:type="spellStart"/>
      <w:r w:rsidRPr="00BF7AB2">
        <w:rPr>
          <w:rFonts w:ascii="Arial" w:hAnsi="Arial" w:cs="Arial"/>
          <w:i/>
          <w:iCs/>
          <w:lang w:eastAsia="en-IN"/>
        </w:rPr>
        <w:t>C</w:t>
      </w:r>
      <w:r w:rsidRPr="00BF7AB2">
        <w:rPr>
          <w:rFonts w:ascii="Cambria Math" w:hAnsi="Cambria Math" w:cs="Cambria Math"/>
          <w:i/>
          <w:iCs/>
          <w:lang w:eastAsia="en-IN"/>
        </w:rPr>
        <w:t>₀</w:t>
      </w:r>
      <w:r w:rsidRPr="00BF7AB2">
        <w:rPr>
          <w:rFonts w:ascii="Arial" w:hAnsi="Arial" w:cs="Arial"/>
          <w:i/>
          <w:iCs/>
          <w:lang w:eastAsia="en-IN"/>
        </w:rPr>
        <w:t>e</w:t>
      </w:r>
      <w:proofErr w:type="spellEnd"/>
      <w:r w:rsidRPr="00BF7AB2">
        <w:rPr>
          <w:rFonts w:ascii="Cambria Math" w:hAnsi="Cambria Math" w:cs="Cambria Math"/>
          <w:i/>
          <w:iCs/>
          <w:lang w:eastAsia="en-IN"/>
        </w:rPr>
        <w:t>⁻</w:t>
      </w:r>
      <w:r w:rsidRPr="00BF7AB2">
        <w:rPr>
          <w:rFonts w:ascii="Arial" w:hAnsi="Arial" w:cs="Arial"/>
          <w:i/>
          <w:iCs/>
          <w:lang w:eastAsia="en-IN"/>
        </w:rPr>
        <w:t>ᵏᵗ</w:t>
      </w:r>
      <w:r w:rsidRPr="00BF7AB2">
        <w:rPr>
          <w:rFonts w:ascii="Arial" w:hAnsi="Arial" w:cs="Arial"/>
          <w:lang w:eastAsia="en-IN"/>
        </w:rPr>
        <w:t xml:space="preserve">. </w:t>
      </w:r>
    </w:p>
    <w:tbl>
      <w:tblPr>
        <w:tblStyle w:val="TableGrid"/>
        <w:tblW w:w="9378" w:type="dxa"/>
        <w:tblLook w:val="04A0" w:firstRow="1" w:lastRow="0" w:firstColumn="1" w:lastColumn="0" w:noHBand="0" w:noVBand="1"/>
      </w:tblPr>
      <w:tblGrid>
        <w:gridCol w:w="4812"/>
        <w:gridCol w:w="4566"/>
      </w:tblGrid>
      <w:tr w:rsidR="00BF7AB2" w:rsidRPr="00BF7AB2" w14:paraId="1B0BA66D" w14:textId="77777777" w:rsidTr="007510DE">
        <w:trPr>
          <w:trHeight w:val="3284"/>
        </w:trPr>
        <w:tc>
          <w:tcPr>
            <w:tcW w:w="4812" w:type="dxa"/>
          </w:tcPr>
          <w:p w14:paraId="63B349FB" w14:textId="77777777" w:rsidR="00BF7AB2" w:rsidRPr="00BF7AB2" w:rsidRDefault="00BF7AB2" w:rsidP="00BF7AB2">
            <w:pPr>
              <w:spacing w:before="100" w:beforeAutospacing="1" w:after="100" w:afterAutospacing="1"/>
              <w:rPr>
                <w:rFonts w:ascii="Arial" w:hAnsi="Arial" w:cs="Arial"/>
                <w:sz w:val="20"/>
                <w:szCs w:val="20"/>
                <w:lang w:eastAsia="en-IN"/>
              </w:rPr>
            </w:pPr>
            <w:r w:rsidRPr="00BF7AB2">
              <w:rPr>
                <w:rFonts w:ascii="Arial" w:hAnsi="Arial" w:cs="Arial"/>
                <w:noProof/>
                <w:lang w:eastAsia="en-IN"/>
              </w:rPr>
              <w:drawing>
                <wp:inline distT="0" distB="0" distL="0" distR="0" wp14:anchorId="6988DDB7" wp14:editId="42AEA9FE">
                  <wp:extent cx="2856016" cy="1733797"/>
                  <wp:effectExtent l="0" t="0" r="190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566" w:type="dxa"/>
          </w:tcPr>
          <w:p w14:paraId="702A1F9C" w14:textId="77777777" w:rsidR="00BF7AB2" w:rsidRPr="00BF7AB2" w:rsidRDefault="00BF7AB2" w:rsidP="00BF7AB2">
            <w:pPr>
              <w:spacing w:before="100" w:beforeAutospacing="1" w:after="100" w:afterAutospacing="1"/>
              <w:rPr>
                <w:rFonts w:ascii="Arial" w:hAnsi="Arial" w:cs="Arial"/>
                <w:sz w:val="20"/>
                <w:szCs w:val="20"/>
                <w:lang w:eastAsia="en-IN"/>
              </w:rPr>
            </w:pPr>
            <w:r w:rsidRPr="00BF7AB2">
              <w:rPr>
                <w:rFonts w:ascii="Arial" w:hAnsi="Arial" w:cs="Arial"/>
                <w:noProof/>
                <w:lang w:eastAsia="en-IN"/>
              </w:rPr>
              <w:drawing>
                <wp:inline distT="0" distB="0" distL="0" distR="0" wp14:anchorId="41BC606C" wp14:editId="72CBDF54">
                  <wp:extent cx="2701636" cy="1751610"/>
                  <wp:effectExtent l="0" t="0" r="3810" b="1270"/>
                  <wp:docPr id="1724067097" name="Chart 17240670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BF7AB2" w:rsidRPr="00BF7AB2" w14:paraId="737187E6" w14:textId="77777777" w:rsidTr="007510DE">
        <w:trPr>
          <w:trHeight w:val="468"/>
        </w:trPr>
        <w:tc>
          <w:tcPr>
            <w:tcW w:w="9378" w:type="dxa"/>
            <w:gridSpan w:val="2"/>
          </w:tcPr>
          <w:p w14:paraId="28FC55BA" w14:textId="77777777" w:rsidR="00BF7AB2" w:rsidRPr="00BF7AB2" w:rsidRDefault="00BF7AB2" w:rsidP="00BF7AB2">
            <w:pPr>
              <w:spacing w:before="100" w:beforeAutospacing="1" w:after="100" w:afterAutospacing="1"/>
              <w:jc w:val="center"/>
              <w:rPr>
                <w:rFonts w:ascii="Arial" w:hAnsi="Arial" w:cs="Arial"/>
                <w:b/>
                <w:bCs/>
                <w:sz w:val="20"/>
                <w:szCs w:val="20"/>
                <w:lang w:eastAsia="en-IN"/>
              </w:rPr>
            </w:pPr>
            <w:r w:rsidRPr="00BF7AB2">
              <w:rPr>
                <w:rFonts w:ascii="Arial" w:hAnsi="Arial" w:cs="Arial"/>
                <w:b/>
                <w:bCs/>
                <w:sz w:val="20"/>
                <w:szCs w:val="20"/>
                <w:lang w:eastAsia="en-IN"/>
              </w:rPr>
              <w:t>Fig.1. Dissipation of topramezone in red and black soils</w:t>
            </w:r>
          </w:p>
        </w:tc>
      </w:tr>
    </w:tbl>
    <w:p w14:paraId="028C4F12" w14:textId="77777777" w:rsidR="00BF7AB2" w:rsidRDefault="00BF7AB2" w:rsidP="00BF7AB2">
      <w:pPr>
        <w:jc w:val="both"/>
        <w:rPr>
          <w:rFonts w:ascii="Arial" w:hAnsi="Arial" w:cs="Arial"/>
          <w:lang w:eastAsia="en-IN"/>
        </w:rPr>
      </w:pPr>
    </w:p>
    <w:p w14:paraId="18BB0C79" w14:textId="77777777" w:rsidR="00BF7AB2" w:rsidRDefault="00BF7AB2" w:rsidP="00BF7AB2">
      <w:pPr>
        <w:jc w:val="both"/>
        <w:rPr>
          <w:rFonts w:ascii="Arial" w:hAnsi="Arial" w:cs="Arial"/>
          <w:lang w:eastAsia="en-IN"/>
        </w:rPr>
      </w:pPr>
    </w:p>
    <w:p w14:paraId="4C35C3BF" w14:textId="77777777" w:rsidR="00BF7AB2" w:rsidRDefault="00BF7AB2" w:rsidP="00BF7AB2">
      <w:pPr>
        <w:jc w:val="both"/>
        <w:rPr>
          <w:rFonts w:ascii="Arial" w:hAnsi="Arial" w:cs="Arial"/>
          <w:lang w:eastAsia="en-IN"/>
        </w:rPr>
      </w:pPr>
    </w:p>
    <w:p w14:paraId="0DF52ED6" w14:textId="77777777" w:rsidR="00BF7AB2" w:rsidRDefault="00BF7AB2" w:rsidP="00BF7AB2">
      <w:pPr>
        <w:jc w:val="both"/>
        <w:rPr>
          <w:rFonts w:ascii="Arial" w:hAnsi="Arial" w:cs="Arial"/>
          <w:lang w:eastAsia="en-IN"/>
        </w:rPr>
      </w:pPr>
    </w:p>
    <w:p w14:paraId="65777FC2" w14:textId="795005A3" w:rsidR="00BF7AB2" w:rsidRPr="00BF7AB2" w:rsidRDefault="00BF7AB2" w:rsidP="00BF7AB2">
      <w:pPr>
        <w:jc w:val="both"/>
        <w:rPr>
          <w:rFonts w:ascii="Arial" w:hAnsi="Arial" w:cs="Arial"/>
          <w:lang w:eastAsia="en-IN"/>
        </w:rPr>
      </w:pPr>
      <w:r w:rsidRPr="00BF7AB2">
        <w:rPr>
          <w:rFonts w:ascii="Arial" w:hAnsi="Arial" w:cs="Arial"/>
          <w:lang w:eastAsia="en-IN"/>
        </w:rPr>
        <w:t>Regression of log(C</w:t>
      </w:r>
      <w:r w:rsidRPr="00BF7AB2">
        <w:rPr>
          <w:rFonts w:ascii="Cambria Math" w:hAnsi="Cambria Math" w:cs="Cambria Math"/>
          <w:lang w:eastAsia="en-IN"/>
        </w:rPr>
        <w:t>ₜ</w:t>
      </w:r>
      <w:r w:rsidRPr="00BF7AB2">
        <w:rPr>
          <w:rFonts w:ascii="Arial" w:hAnsi="Arial" w:cs="Arial"/>
          <w:lang w:eastAsia="en-IN"/>
        </w:rPr>
        <w:t>/C</w:t>
      </w:r>
      <w:r w:rsidRPr="00BF7AB2">
        <w:rPr>
          <w:rFonts w:ascii="Cambria Math" w:hAnsi="Cambria Math" w:cs="Cambria Math"/>
          <w:lang w:eastAsia="en-IN"/>
        </w:rPr>
        <w:t>₀</w:t>
      </w:r>
      <w:r w:rsidRPr="00BF7AB2">
        <w:rPr>
          <w:rFonts w:ascii="Arial" w:hAnsi="Arial" w:cs="Arial"/>
          <w:lang w:eastAsia="en-IN"/>
        </w:rPr>
        <w:t>) versus time yielded highly significant fits (R² &gt;0.97) for all treatments. The dissipation equations derived for the four conditions were as follows:</w:t>
      </w:r>
    </w:p>
    <w:p w14:paraId="346D2366" w14:textId="77777777" w:rsidR="00BF7AB2" w:rsidRPr="00BF7AB2" w:rsidRDefault="00BF7AB2" w:rsidP="00BF7AB2">
      <w:pPr>
        <w:ind w:left="1440"/>
        <w:rPr>
          <w:rFonts w:ascii="Arial" w:hAnsi="Arial" w:cs="Arial"/>
          <w:lang w:eastAsia="en-IN"/>
        </w:rPr>
      </w:pPr>
      <w:r w:rsidRPr="00BF7AB2">
        <w:rPr>
          <w:rFonts w:ascii="Arial" w:hAnsi="Arial" w:cs="Arial"/>
          <w:lang w:eastAsia="en-IN"/>
        </w:rPr>
        <w:t>Red soil (FC):</w:t>
      </w:r>
      <w:r w:rsidRPr="00BF7AB2">
        <w:rPr>
          <w:rFonts w:ascii="Arial" w:hAnsi="Arial" w:cs="Arial"/>
          <w:lang w:eastAsia="en-IN"/>
        </w:rPr>
        <w:t> </w:t>
      </w:r>
      <w:r w:rsidRPr="00BF7AB2">
        <w:rPr>
          <w:rFonts w:ascii="Arial" w:hAnsi="Arial" w:cs="Arial"/>
          <w:lang w:eastAsia="en-IN"/>
        </w:rPr>
        <w:t> </w:t>
      </w:r>
      <w:r w:rsidRPr="00BF7AB2">
        <w:rPr>
          <w:rFonts w:ascii="Arial" w:hAnsi="Arial" w:cs="Arial"/>
          <w:lang w:eastAsia="en-IN"/>
        </w:rPr>
        <w:t> </w:t>
      </w:r>
      <w:r w:rsidRPr="00BF7AB2">
        <w:rPr>
          <w:rFonts w:ascii="Arial" w:hAnsi="Arial" w:cs="Arial"/>
          <w:i/>
          <w:iCs/>
          <w:lang w:eastAsia="en-IN"/>
        </w:rPr>
        <w:t>y = 87.31 e</w:t>
      </w:r>
      <w:r w:rsidRPr="00BF7AB2">
        <w:rPr>
          <w:rFonts w:ascii="Cambria Math" w:hAnsi="Cambria Math" w:cs="Cambria Math"/>
          <w:i/>
          <w:iCs/>
          <w:lang w:eastAsia="en-IN"/>
        </w:rPr>
        <w:t>⁻</w:t>
      </w:r>
      <w:r w:rsidRPr="00BF7AB2">
        <w:rPr>
          <w:rFonts w:ascii="Arial" w:hAnsi="Arial" w:cs="Arial"/>
          <w:i/>
          <w:iCs/>
          <w:lang w:eastAsia="en-IN"/>
        </w:rPr>
        <w:t>⁰·⁰⁰⁵⁷</w:t>
      </w:r>
      <w:r w:rsidRPr="00BF7AB2">
        <w:rPr>
          <w:rFonts w:ascii="Arial" w:hAnsi="Arial" w:cs="Arial"/>
          <w:i/>
          <w:iCs/>
          <w:vertAlign w:val="superscript"/>
          <w:lang w:eastAsia="en-IN"/>
        </w:rPr>
        <w:t>x</w:t>
      </w:r>
      <w:r w:rsidRPr="00BF7AB2">
        <w:rPr>
          <w:rFonts w:ascii="Arial" w:hAnsi="Arial" w:cs="Arial"/>
          <w:lang w:eastAsia="en-IN"/>
        </w:rPr>
        <w:t> </w:t>
      </w:r>
      <w:r w:rsidRPr="00BF7AB2">
        <w:rPr>
          <w:rFonts w:ascii="Arial" w:hAnsi="Arial" w:cs="Arial"/>
          <w:lang w:eastAsia="en-IN"/>
        </w:rPr>
        <w:t> </w:t>
      </w:r>
      <w:r w:rsidRPr="00BF7AB2">
        <w:rPr>
          <w:rFonts w:ascii="Arial" w:hAnsi="Arial" w:cs="Arial"/>
          <w:lang w:eastAsia="en-IN"/>
        </w:rPr>
        <w:t>(R² = 0.964)</w:t>
      </w:r>
      <w:r w:rsidRPr="00BF7AB2">
        <w:rPr>
          <w:rFonts w:ascii="Arial" w:hAnsi="Arial" w:cs="Arial"/>
          <w:lang w:eastAsia="en-IN"/>
        </w:rPr>
        <w:br/>
      </w:r>
      <w:r w:rsidRPr="00BF7AB2">
        <w:rPr>
          <w:rFonts w:ascii="Arial" w:hAnsi="Arial" w:cs="Arial"/>
          <w:lang w:eastAsia="en-IN"/>
        </w:rPr>
        <w:br/>
        <w:t>Black soil (FC):</w:t>
      </w:r>
      <w:r w:rsidRPr="00BF7AB2">
        <w:rPr>
          <w:rFonts w:ascii="Arial" w:hAnsi="Arial" w:cs="Arial"/>
          <w:lang w:eastAsia="en-IN"/>
        </w:rPr>
        <w:t> </w:t>
      </w:r>
      <w:r w:rsidRPr="00BF7AB2">
        <w:rPr>
          <w:rFonts w:ascii="Arial" w:hAnsi="Arial" w:cs="Arial"/>
          <w:lang w:eastAsia="en-IN"/>
        </w:rPr>
        <w:t> </w:t>
      </w:r>
      <w:r w:rsidRPr="00BF7AB2">
        <w:rPr>
          <w:rFonts w:ascii="Arial" w:hAnsi="Arial" w:cs="Arial"/>
          <w:i/>
          <w:iCs/>
          <w:lang w:eastAsia="en-IN"/>
        </w:rPr>
        <w:t>y = 89.62 e</w:t>
      </w:r>
      <w:r w:rsidRPr="00BF7AB2">
        <w:rPr>
          <w:rFonts w:ascii="Cambria Math" w:hAnsi="Cambria Math" w:cs="Cambria Math"/>
          <w:i/>
          <w:iCs/>
          <w:lang w:eastAsia="en-IN"/>
        </w:rPr>
        <w:t>⁻</w:t>
      </w:r>
      <w:r w:rsidRPr="00BF7AB2">
        <w:rPr>
          <w:rFonts w:ascii="Arial" w:hAnsi="Arial" w:cs="Arial"/>
          <w:i/>
          <w:iCs/>
          <w:lang w:eastAsia="en-IN"/>
        </w:rPr>
        <w:t>⁰·⁰⁰⁶⁹</w:t>
      </w:r>
      <w:r w:rsidRPr="00BF7AB2">
        <w:rPr>
          <w:rFonts w:ascii="Arial" w:hAnsi="Arial" w:cs="Arial"/>
          <w:i/>
          <w:iCs/>
          <w:vertAlign w:val="superscript"/>
          <w:lang w:eastAsia="en-IN"/>
        </w:rPr>
        <w:t>x</w:t>
      </w:r>
      <w:r w:rsidRPr="00BF7AB2">
        <w:rPr>
          <w:rFonts w:ascii="Arial" w:hAnsi="Arial" w:cs="Arial"/>
          <w:lang w:eastAsia="en-IN"/>
        </w:rPr>
        <w:t> </w:t>
      </w:r>
      <w:r w:rsidRPr="00BF7AB2">
        <w:rPr>
          <w:rFonts w:ascii="Arial" w:hAnsi="Arial" w:cs="Arial"/>
          <w:lang w:eastAsia="en-IN"/>
        </w:rPr>
        <w:t> </w:t>
      </w:r>
      <w:r w:rsidRPr="00BF7AB2">
        <w:rPr>
          <w:rFonts w:ascii="Arial" w:hAnsi="Arial" w:cs="Arial"/>
          <w:lang w:eastAsia="en-IN"/>
        </w:rPr>
        <w:t>(R² = 0.935)</w:t>
      </w:r>
      <w:r w:rsidRPr="00BF7AB2">
        <w:rPr>
          <w:rFonts w:ascii="Arial" w:hAnsi="Arial" w:cs="Arial"/>
          <w:lang w:eastAsia="en-IN"/>
        </w:rPr>
        <w:br/>
      </w:r>
    </w:p>
    <w:p w14:paraId="59F3C570" w14:textId="77777777" w:rsidR="00BF7AB2" w:rsidRPr="00BF7AB2" w:rsidRDefault="00BF7AB2" w:rsidP="00BF7AB2">
      <w:pPr>
        <w:spacing w:before="100" w:beforeAutospacing="1" w:after="100" w:afterAutospacing="1"/>
        <w:jc w:val="both"/>
        <w:rPr>
          <w:rFonts w:ascii="Arial" w:hAnsi="Arial" w:cs="Arial"/>
          <w:lang w:eastAsia="en-IN"/>
        </w:rPr>
      </w:pPr>
      <w:r w:rsidRPr="00BF7AB2">
        <w:rPr>
          <w:rFonts w:ascii="Arial" w:hAnsi="Arial" w:cs="Arial"/>
          <w:lang w:eastAsia="en-IN"/>
        </w:rPr>
        <w:t>The derived dissipation rate constants (</w:t>
      </w:r>
      <w:r w:rsidRPr="00BF7AB2">
        <w:rPr>
          <w:rFonts w:ascii="Arial" w:hAnsi="Arial" w:cs="Arial"/>
          <w:i/>
          <w:lang w:eastAsia="en-IN"/>
        </w:rPr>
        <w:t>k</w:t>
      </w:r>
      <w:r w:rsidRPr="00BF7AB2">
        <w:rPr>
          <w:rFonts w:ascii="Arial" w:hAnsi="Arial" w:cs="Arial"/>
          <w:lang w:eastAsia="en-IN"/>
        </w:rPr>
        <w:t xml:space="preserve">) varied between </w:t>
      </w:r>
      <w:r w:rsidRPr="00BF7AB2">
        <w:rPr>
          <w:rFonts w:ascii="Arial" w:hAnsi="Arial" w:cs="Arial"/>
          <w:bCs/>
          <w:lang w:eastAsia="en-IN"/>
        </w:rPr>
        <w:t>0.0057–0.0069 day</w:t>
      </w:r>
      <w:r w:rsidRPr="00BF7AB2">
        <w:rPr>
          <w:rFonts w:ascii="Cambria Math" w:hAnsi="Cambria Math" w:cs="Cambria Math"/>
          <w:bCs/>
          <w:lang w:eastAsia="en-IN"/>
        </w:rPr>
        <w:t>⁻</w:t>
      </w:r>
      <w:r w:rsidRPr="00BF7AB2">
        <w:rPr>
          <w:rFonts w:ascii="Arial" w:hAnsi="Arial" w:cs="Arial"/>
          <w:bCs/>
          <w:lang w:eastAsia="en-IN"/>
        </w:rPr>
        <w:t>¹</w:t>
      </w:r>
      <w:r w:rsidRPr="00BF7AB2">
        <w:rPr>
          <w:rFonts w:ascii="Arial" w:hAnsi="Arial" w:cs="Arial"/>
          <w:lang w:eastAsia="en-IN"/>
        </w:rPr>
        <w:t xml:space="preserve"> depending on soil type. The calculated </w:t>
      </w:r>
      <w:r w:rsidRPr="00BF7AB2">
        <w:rPr>
          <w:rFonts w:ascii="Arial" w:hAnsi="Arial" w:cs="Arial"/>
          <w:bCs/>
          <w:lang w:eastAsia="en-IN"/>
        </w:rPr>
        <w:t>half-lives (</w:t>
      </w:r>
      <w:r w:rsidRPr="00BF7AB2">
        <w:rPr>
          <w:rFonts w:ascii="Arial" w:hAnsi="Arial" w:cs="Arial"/>
          <w:bCs/>
          <w:i/>
          <w:lang w:eastAsia="en-IN"/>
        </w:rPr>
        <w:t>DT</w:t>
      </w:r>
      <w:r w:rsidRPr="00BF7AB2">
        <w:rPr>
          <w:rFonts w:ascii="Cambria Math" w:hAnsi="Cambria Math" w:cs="Cambria Math"/>
          <w:bCs/>
          <w:lang w:eastAsia="en-IN"/>
        </w:rPr>
        <w:t>₅₀</w:t>
      </w:r>
      <w:r w:rsidRPr="00BF7AB2">
        <w:rPr>
          <w:rFonts w:ascii="Arial" w:hAnsi="Arial" w:cs="Arial"/>
          <w:bCs/>
          <w:lang w:eastAsia="en-IN"/>
        </w:rPr>
        <w:t>)</w:t>
      </w:r>
      <w:r w:rsidRPr="00BF7AB2">
        <w:rPr>
          <w:rFonts w:ascii="Arial" w:hAnsi="Arial" w:cs="Arial"/>
          <w:lang w:eastAsia="en-IN"/>
        </w:rPr>
        <w:t xml:space="preserve"> revealed that persistence was relatively higher in red soil (</w:t>
      </w:r>
      <w:r w:rsidRPr="00BF7AB2">
        <w:rPr>
          <w:rFonts w:ascii="Arial" w:hAnsi="Arial" w:cs="Arial"/>
          <w:i/>
          <w:lang w:eastAsia="en-IN"/>
        </w:rPr>
        <w:t>DT</w:t>
      </w:r>
      <w:r w:rsidRPr="00BF7AB2">
        <w:rPr>
          <w:rFonts w:ascii="Cambria Math" w:hAnsi="Cambria Math" w:cs="Cambria Math"/>
          <w:lang w:eastAsia="en-IN"/>
        </w:rPr>
        <w:t>₅₀</w:t>
      </w:r>
      <w:r w:rsidRPr="00BF7AB2">
        <w:rPr>
          <w:rFonts w:ascii="Arial" w:hAnsi="Arial" w:cs="Arial"/>
          <w:lang w:eastAsia="en-IN"/>
        </w:rPr>
        <w:t xml:space="preserve"> = 121.6 days) compared with black soil (</w:t>
      </w:r>
      <w:r w:rsidRPr="00BF7AB2">
        <w:rPr>
          <w:rFonts w:ascii="Arial" w:hAnsi="Arial" w:cs="Arial"/>
          <w:i/>
          <w:lang w:eastAsia="en-IN"/>
        </w:rPr>
        <w:t>DT</w:t>
      </w:r>
      <w:r w:rsidRPr="00BF7AB2">
        <w:rPr>
          <w:rFonts w:ascii="Cambria Math" w:hAnsi="Cambria Math" w:cs="Cambria Math"/>
          <w:lang w:eastAsia="en-IN"/>
        </w:rPr>
        <w:t>₅₀</w:t>
      </w:r>
      <w:r w:rsidRPr="00BF7AB2">
        <w:rPr>
          <w:rFonts w:ascii="Arial" w:hAnsi="Arial" w:cs="Arial"/>
          <w:lang w:eastAsia="en-IN"/>
        </w:rPr>
        <w:t xml:space="preserve"> = 100.4 days). The longer </w:t>
      </w:r>
      <w:r w:rsidRPr="00BF7AB2">
        <w:rPr>
          <w:rFonts w:ascii="Arial" w:hAnsi="Arial" w:cs="Arial"/>
          <w:i/>
          <w:lang w:eastAsia="en-IN"/>
        </w:rPr>
        <w:t>DT</w:t>
      </w:r>
      <w:r w:rsidRPr="00BF7AB2">
        <w:rPr>
          <w:rFonts w:ascii="Cambria Math" w:hAnsi="Cambria Math" w:cs="Cambria Math"/>
          <w:lang w:eastAsia="en-IN"/>
        </w:rPr>
        <w:t>₅₀</w:t>
      </w:r>
      <w:r w:rsidRPr="00BF7AB2">
        <w:rPr>
          <w:rFonts w:ascii="Arial" w:hAnsi="Arial" w:cs="Arial"/>
          <w:lang w:eastAsia="en-IN"/>
        </w:rPr>
        <w:t xml:space="preserve"> values under low moisture levels present in red soils indicate that </w:t>
      </w:r>
      <w:r w:rsidRPr="00BF7AB2">
        <w:rPr>
          <w:rFonts w:ascii="Arial" w:hAnsi="Arial" w:cs="Arial"/>
          <w:bCs/>
          <w:lang w:eastAsia="en-IN"/>
        </w:rPr>
        <w:t>microbial degradation</w:t>
      </w:r>
      <w:r w:rsidRPr="00BF7AB2">
        <w:rPr>
          <w:rFonts w:ascii="Arial" w:hAnsi="Arial" w:cs="Arial"/>
          <w:lang w:eastAsia="en-IN"/>
        </w:rPr>
        <w:t>, the dominant dissipation pathway for topramezone (US EPA, 2013), was limited under drier conditions due to reduced microbial activity.</w:t>
      </w:r>
    </w:p>
    <w:p w14:paraId="77EA3B2B" w14:textId="77777777" w:rsidR="00BF7AB2" w:rsidRPr="00BF7AB2" w:rsidRDefault="00BF7AB2" w:rsidP="00BF7AB2">
      <w:pPr>
        <w:spacing w:before="100" w:beforeAutospacing="1" w:after="100" w:afterAutospacing="1"/>
        <w:ind w:firstLine="720"/>
        <w:jc w:val="both"/>
        <w:rPr>
          <w:rFonts w:ascii="Arial" w:hAnsi="Arial" w:cs="Arial"/>
          <w:lang w:eastAsia="en-IN"/>
        </w:rPr>
      </w:pPr>
      <w:r w:rsidRPr="00BF7AB2">
        <w:rPr>
          <w:rFonts w:ascii="Arial" w:hAnsi="Arial" w:cs="Arial"/>
          <w:lang w:eastAsia="en-IN"/>
        </w:rPr>
        <w:t xml:space="preserve">The higher persistence in red soil compared with black soil may be attributed to its lower clay and organic carbon content, which limits microbial colonization and enzymatic degradation potential, even though sorption was relatively stronger. In contrast, the slightly higher clay in black soil may enhance microbial proliferation, promoting faster degradation. Similar soil-type effects on dissipation of HPPD-inhibiting herbicides have been reported for </w:t>
      </w:r>
      <w:proofErr w:type="spellStart"/>
      <w:r w:rsidRPr="00BF7AB2">
        <w:rPr>
          <w:rFonts w:ascii="Arial" w:hAnsi="Arial" w:cs="Arial"/>
          <w:bCs/>
          <w:lang w:eastAsia="en-IN"/>
        </w:rPr>
        <w:t>mesotrione</w:t>
      </w:r>
      <w:proofErr w:type="spellEnd"/>
      <w:r w:rsidRPr="00BF7AB2">
        <w:rPr>
          <w:rFonts w:ascii="Arial" w:hAnsi="Arial" w:cs="Arial"/>
          <w:lang w:eastAsia="en-IN"/>
        </w:rPr>
        <w:t xml:space="preserve"> and </w:t>
      </w:r>
      <w:proofErr w:type="spellStart"/>
      <w:r w:rsidRPr="00BF7AB2">
        <w:rPr>
          <w:rFonts w:ascii="Arial" w:hAnsi="Arial" w:cs="Arial"/>
          <w:bCs/>
          <w:lang w:eastAsia="en-IN"/>
        </w:rPr>
        <w:t>tembotrione</w:t>
      </w:r>
      <w:proofErr w:type="spellEnd"/>
      <w:r w:rsidRPr="00BF7AB2">
        <w:rPr>
          <w:rFonts w:ascii="Arial" w:hAnsi="Arial" w:cs="Arial"/>
          <w:lang w:eastAsia="en-IN"/>
        </w:rPr>
        <w:t xml:space="preserve"> by </w:t>
      </w:r>
      <w:proofErr w:type="spellStart"/>
      <w:r w:rsidRPr="00BF7AB2">
        <w:rPr>
          <w:rFonts w:ascii="Arial" w:hAnsi="Arial" w:cs="Arial"/>
          <w:bCs/>
          <w:lang w:eastAsia="en-IN"/>
        </w:rPr>
        <w:t>Pusino</w:t>
      </w:r>
      <w:proofErr w:type="spellEnd"/>
      <w:r w:rsidRPr="00BF7AB2">
        <w:rPr>
          <w:rFonts w:ascii="Arial" w:hAnsi="Arial" w:cs="Arial"/>
          <w:b/>
          <w:bCs/>
          <w:lang w:eastAsia="en-IN"/>
        </w:rPr>
        <w:t xml:space="preserve"> </w:t>
      </w:r>
      <w:r w:rsidRPr="00BF7AB2">
        <w:rPr>
          <w:rFonts w:ascii="Arial" w:hAnsi="Arial" w:cs="Arial"/>
          <w:bCs/>
          <w:i/>
          <w:iCs/>
          <w:lang w:eastAsia="en-IN"/>
        </w:rPr>
        <w:t>et al.,</w:t>
      </w:r>
      <w:r w:rsidRPr="00BF7AB2">
        <w:rPr>
          <w:rFonts w:ascii="Arial" w:hAnsi="Arial" w:cs="Arial"/>
          <w:bCs/>
          <w:lang w:eastAsia="en-IN"/>
        </w:rPr>
        <w:t xml:space="preserve"> 2010</w:t>
      </w:r>
      <w:r w:rsidRPr="00BF7AB2">
        <w:rPr>
          <w:rFonts w:ascii="Arial" w:hAnsi="Arial" w:cs="Arial"/>
          <w:lang w:eastAsia="en-IN"/>
        </w:rPr>
        <w:t xml:space="preserve"> and </w:t>
      </w:r>
      <w:r w:rsidRPr="00BF7AB2">
        <w:rPr>
          <w:rFonts w:ascii="Arial" w:hAnsi="Arial" w:cs="Arial"/>
          <w:bCs/>
          <w:lang w:eastAsia="en-IN"/>
        </w:rPr>
        <w:t>Hollaway</w:t>
      </w:r>
      <w:r w:rsidRPr="00BF7AB2">
        <w:rPr>
          <w:rFonts w:ascii="Arial" w:hAnsi="Arial" w:cs="Arial"/>
          <w:b/>
          <w:bCs/>
          <w:lang w:eastAsia="en-IN"/>
        </w:rPr>
        <w:t xml:space="preserve"> </w:t>
      </w:r>
      <w:r w:rsidRPr="00BF7AB2">
        <w:rPr>
          <w:rFonts w:ascii="Arial" w:hAnsi="Arial" w:cs="Arial"/>
          <w:bCs/>
          <w:i/>
          <w:iCs/>
          <w:lang w:eastAsia="en-IN"/>
        </w:rPr>
        <w:t>et al.,</w:t>
      </w:r>
      <w:r w:rsidRPr="00BF7AB2">
        <w:rPr>
          <w:rFonts w:ascii="Arial" w:hAnsi="Arial" w:cs="Arial"/>
          <w:bCs/>
          <w:lang w:eastAsia="en-IN"/>
        </w:rPr>
        <w:t xml:space="preserve"> 2013</w:t>
      </w:r>
      <w:r w:rsidRPr="00BF7AB2">
        <w:rPr>
          <w:rFonts w:ascii="Arial" w:hAnsi="Arial" w:cs="Arial"/>
          <w:lang w:eastAsia="en-IN"/>
        </w:rPr>
        <w:t>, who observed slower degradation under dry or low-temperature conditions and more rapid loss under moist, aerobic environments.</w:t>
      </w:r>
    </w:p>
    <w:p w14:paraId="6FECC685" w14:textId="77777777" w:rsidR="00BF7AB2" w:rsidRPr="00BF7AB2" w:rsidRDefault="00BF7AB2" w:rsidP="00BF7AB2">
      <w:pPr>
        <w:spacing w:before="100" w:beforeAutospacing="1" w:after="100" w:afterAutospacing="1"/>
        <w:ind w:firstLine="720"/>
        <w:jc w:val="both"/>
        <w:rPr>
          <w:rFonts w:ascii="Arial" w:hAnsi="Arial" w:cs="Arial"/>
          <w:lang w:eastAsia="en-IN"/>
        </w:rPr>
      </w:pPr>
      <w:r w:rsidRPr="00BF7AB2">
        <w:rPr>
          <w:rFonts w:ascii="Arial" w:hAnsi="Arial" w:cs="Arial"/>
          <w:lang w:eastAsia="en-IN"/>
        </w:rPr>
        <w:lastRenderedPageBreak/>
        <w:t xml:space="preserve">Topramezone’s relatively prolonged persistence observed in this study is consistent with earlier reports from temperate regions, where aerobic soil half-lives ranged from </w:t>
      </w:r>
      <w:r w:rsidRPr="00BF7AB2">
        <w:rPr>
          <w:rFonts w:ascii="Arial" w:hAnsi="Arial" w:cs="Arial"/>
          <w:bCs/>
          <w:lang w:eastAsia="en-IN"/>
        </w:rPr>
        <w:t>125 to 365 days</w:t>
      </w:r>
      <w:r w:rsidRPr="00BF7AB2">
        <w:rPr>
          <w:rFonts w:ascii="Arial" w:hAnsi="Arial" w:cs="Arial"/>
          <w:lang w:eastAsia="en-IN"/>
        </w:rPr>
        <w:t xml:space="preserve"> depending on soil texture and organic matter (EFSA, 2014; </w:t>
      </w:r>
      <w:proofErr w:type="spellStart"/>
      <w:r w:rsidRPr="00BF7AB2">
        <w:rPr>
          <w:rFonts w:ascii="Arial" w:hAnsi="Arial" w:cs="Arial"/>
          <w:lang w:eastAsia="en-IN"/>
        </w:rPr>
        <w:t>Ramanatham</w:t>
      </w:r>
      <w:proofErr w:type="spellEnd"/>
      <w:r w:rsidRPr="00BF7AB2">
        <w:rPr>
          <w:rFonts w:ascii="Arial" w:hAnsi="Arial" w:cs="Arial"/>
          <w:lang w:eastAsia="en-IN"/>
        </w:rPr>
        <w:t xml:space="preserve"> et al, 2022). The persistence values obtained under Telangana conditions thus confirm its potential for </w:t>
      </w:r>
      <w:r w:rsidRPr="00BF7AB2">
        <w:rPr>
          <w:rFonts w:ascii="Arial" w:hAnsi="Arial" w:cs="Arial"/>
          <w:bCs/>
          <w:lang w:eastAsia="en-IN"/>
        </w:rPr>
        <w:t>carryover and residual phytotoxicity</w:t>
      </w:r>
      <w:r w:rsidRPr="00BF7AB2">
        <w:rPr>
          <w:rFonts w:ascii="Arial" w:hAnsi="Arial" w:cs="Arial"/>
          <w:lang w:eastAsia="en-IN"/>
        </w:rPr>
        <w:t xml:space="preserve">, especially in rotational crops such as pearl millet and sorghum. The findings reinforce that environmental variables, particularly soil moisture and temperature, strongly influence degradation kinetics of weakly acidic, HPPD-inhibiting herbicides (Zanella </w:t>
      </w:r>
      <w:r w:rsidRPr="00BF7AB2">
        <w:rPr>
          <w:rFonts w:ascii="Arial" w:hAnsi="Arial" w:cs="Arial"/>
          <w:i/>
          <w:iCs/>
          <w:lang w:eastAsia="en-IN"/>
        </w:rPr>
        <w:t>et al.,</w:t>
      </w:r>
      <w:r w:rsidRPr="00BF7AB2">
        <w:rPr>
          <w:rFonts w:ascii="Arial" w:hAnsi="Arial" w:cs="Arial"/>
          <w:lang w:eastAsia="en-IN"/>
        </w:rPr>
        <w:t xml:space="preserve"> 2011; </w:t>
      </w:r>
      <w:proofErr w:type="spellStart"/>
      <w:r w:rsidRPr="00BF7AB2">
        <w:rPr>
          <w:rFonts w:ascii="Arial" w:hAnsi="Arial" w:cs="Arial"/>
          <w:lang w:eastAsia="en-IN"/>
        </w:rPr>
        <w:t>Mervosh</w:t>
      </w:r>
      <w:proofErr w:type="spellEnd"/>
      <w:r w:rsidRPr="00BF7AB2">
        <w:rPr>
          <w:rFonts w:ascii="Arial" w:hAnsi="Arial" w:cs="Arial"/>
          <w:lang w:eastAsia="en-IN"/>
        </w:rPr>
        <w:t xml:space="preserve"> </w:t>
      </w:r>
      <w:r w:rsidRPr="00BF7AB2">
        <w:rPr>
          <w:rFonts w:ascii="Arial" w:hAnsi="Arial" w:cs="Arial"/>
          <w:i/>
          <w:iCs/>
          <w:lang w:eastAsia="en-IN"/>
        </w:rPr>
        <w:t>et al.,</w:t>
      </w:r>
      <w:r w:rsidRPr="00BF7AB2">
        <w:rPr>
          <w:rFonts w:ascii="Arial" w:hAnsi="Arial" w:cs="Arial"/>
          <w:lang w:eastAsia="en-IN"/>
        </w:rPr>
        <w:t xml:space="preserve"> 2016). Consequently, management strategies involving proper irrigation scheduling and rotation planning are essential to minimize the risk of residual injury from topramezone residues in tropical agroecosystems.</w:t>
      </w:r>
    </w:p>
    <w:p w14:paraId="06D0B359" w14:textId="77777777" w:rsidR="00B01FCD" w:rsidRPr="00571CE3" w:rsidRDefault="00000F8F" w:rsidP="00441B6F">
      <w:pPr>
        <w:pStyle w:val="ConcHead"/>
        <w:spacing w:after="0"/>
        <w:jc w:val="both"/>
        <w:rPr>
          <w:rFonts w:ascii="Arial" w:hAnsi="Arial" w:cs="Arial"/>
        </w:rPr>
      </w:pPr>
      <w:r w:rsidRPr="00571CE3">
        <w:rPr>
          <w:rFonts w:ascii="Arial" w:hAnsi="Arial" w:cs="Arial"/>
        </w:rPr>
        <w:t xml:space="preserve">4. </w:t>
      </w:r>
      <w:r w:rsidR="00B01FCD" w:rsidRPr="00571CE3">
        <w:rPr>
          <w:rFonts w:ascii="Arial" w:hAnsi="Arial" w:cs="Arial"/>
        </w:rPr>
        <w:t>Conclusion</w:t>
      </w:r>
    </w:p>
    <w:p w14:paraId="0F7D2125" w14:textId="77777777" w:rsidR="00790ADA" w:rsidRPr="00571CE3" w:rsidRDefault="00790ADA" w:rsidP="00441B6F">
      <w:pPr>
        <w:pStyle w:val="ConcHead"/>
        <w:spacing w:after="0"/>
        <w:jc w:val="both"/>
        <w:rPr>
          <w:rFonts w:ascii="Arial" w:hAnsi="Arial" w:cs="Arial"/>
        </w:rPr>
      </w:pPr>
    </w:p>
    <w:p w14:paraId="24587421" w14:textId="079569B4" w:rsidR="00BF7AB2" w:rsidRDefault="00BF7AB2" w:rsidP="00BF7AB2">
      <w:pPr>
        <w:pStyle w:val="NormalWeb"/>
        <w:jc w:val="both"/>
        <w:rPr>
          <w:rFonts w:ascii="Arial" w:hAnsi="Arial" w:cs="Arial"/>
          <w:sz w:val="20"/>
          <w:szCs w:val="20"/>
        </w:rPr>
      </w:pPr>
      <w:r w:rsidRPr="00BF7AB2">
        <w:rPr>
          <w:rFonts w:ascii="Arial" w:hAnsi="Arial" w:cs="Arial"/>
          <w:sz w:val="20"/>
          <w:szCs w:val="20"/>
        </w:rPr>
        <w:t xml:space="preserve">Topramezone dissipated according to first-order kinetics in both Telangana soils, with high model fit (R² &gt; 0.97), </w:t>
      </w:r>
      <w:r w:rsidRPr="00BF7AB2">
        <w:rPr>
          <w:rFonts w:ascii="Arial" w:hAnsi="Arial" w:cs="Arial"/>
          <w:i/>
          <w:sz w:val="20"/>
          <w:szCs w:val="20"/>
        </w:rPr>
        <w:t>k</w:t>
      </w:r>
      <w:r w:rsidRPr="00BF7AB2">
        <w:rPr>
          <w:rFonts w:ascii="Arial" w:hAnsi="Arial" w:cs="Arial"/>
          <w:sz w:val="20"/>
          <w:szCs w:val="20"/>
        </w:rPr>
        <w:t xml:space="preserve"> = 0.0057–0.0069 day</w:t>
      </w:r>
      <w:r w:rsidRPr="00BF7AB2">
        <w:rPr>
          <w:rFonts w:ascii="Cambria Math" w:hAnsi="Cambria Math" w:cs="Cambria Math"/>
          <w:sz w:val="20"/>
          <w:szCs w:val="20"/>
        </w:rPr>
        <w:t>⁻</w:t>
      </w:r>
      <w:r w:rsidRPr="00BF7AB2">
        <w:rPr>
          <w:rFonts w:ascii="Arial" w:hAnsi="Arial" w:cs="Arial"/>
          <w:sz w:val="20"/>
          <w:szCs w:val="20"/>
        </w:rPr>
        <w:t>¹, DT</w:t>
      </w:r>
      <w:r w:rsidRPr="00BF7AB2">
        <w:rPr>
          <w:rFonts w:ascii="Cambria Math" w:hAnsi="Cambria Math" w:cs="Cambria Math"/>
          <w:sz w:val="20"/>
          <w:szCs w:val="20"/>
        </w:rPr>
        <w:t>₅₀</w:t>
      </w:r>
      <w:r w:rsidRPr="00BF7AB2">
        <w:rPr>
          <w:rFonts w:ascii="Arial" w:hAnsi="Arial" w:cs="Arial"/>
          <w:sz w:val="20"/>
          <w:szCs w:val="20"/>
        </w:rPr>
        <w:t xml:space="preserve"> ≈ 122 days (red) and 100 days (black), and DT</w:t>
      </w:r>
      <w:r w:rsidRPr="00BF7AB2">
        <w:rPr>
          <w:rFonts w:ascii="Cambria Math" w:hAnsi="Cambria Math" w:cs="Cambria Math"/>
          <w:sz w:val="20"/>
          <w:szCs w:val="20"/>
        </w:rPr>
        <w:t>₉₀</w:t>
      </w:r>
      <w:r w:rsidRPr="00BF7AB2">
        <w:rPr>
          <w:rFonts w:ascii="Arial" w:hAnsi="Arial" w:cs="Arial"/>
          <w:sz w:val="20"/>
          <w:szCs w:val="20"/>
        </w:rPr>
        <w:t xml:space="preserve"> ≈ 404 and 334 days, respectively. Greater persistence in the red soil indicates moisture-limited microbial degradation, whereas the black soil’s shorter half-life values reflect more favourable biodegradation conditions. Coupled with weak-acid behaviour and reduced sorption at higher pH, this kinetics imply meaningful leaching potential in neutral–alkaline soils. Management should prioritise irrigation scheduling, conservative rotation intervals for sensitive crops, and residue surveillance. GUS screening using measured DT</w:t>
      </w:r>
      <w:r w:rsidRPr="00BF7AB2">
        <w:rPr>
          <w:rFonts w:ascii="Cambria Math" w:hAnsi="Cambria Math" w:cs="Cambria Math"/>
          <w:sz w:val="20"/>
          <w:szCs w:val="20"/>
        </w:rPr>
        <w:t>₅₀</w:t>
      </w:r>
      <w:r w:rsidRPr="00BF7AB2">
        <w:rPr>
          <w:rFonts w:ascii="Arial" w:hAnsi="Arial" w:cs="Arial"/>
          <w:sz w:val="20"/>
          <w:szCs w:val="20"/>
        </w:rPr>
        <w:t xml:space="preserve"> and </w:t>
      </w:r>
      <w:r w:rsidRPr="00BF7AB2">
        <w:rPr>
          <w:rFonts w:ascii="Arial" w:hAnsi="Arial" w:cs="Arial"/>
          <w:i/>
          <w:sz w:val="20"/>
          <w:szCs w:val="20"/>
        </w:rPr>
        <w:t>Koc</w:t>
      </w:r>
      <w:r w:rsidRPr="00BF7AB2">
        <w:rPr>
          <w:rFonts w:ascii="Arial" w:hAnsi="Arial" w:cs="Arial"/>
          <w:sz w:val="20"/>
          <w:szCs w:val="20"/>
        </w:rPr>
        <w:t xml:space="preserve"> offers a practical, soil-specific basis for leachability risk assessment</w:t>
      </w:r>
    </w:p>
    <w:p w14:paraId="0A04E294" w14:textId="7875067A" w:rsidR="00E4099F" w:rsidRDefault="00E4099F" w:rsidP="00BF7AB2">
      <w:pPr>
        <w:pStyle w:val="NormalWeb"/>
        <w:jc w:val="both"/>
        <w:rPr>
          <w:rFonts w:ascii="Arial" w:hAnsi="Arial" w:cs="Arial"/>
          <w:sz w:val="20"/>
          <w:szCs w:val="20"/>
        </w:rPr>
      </w:pPr>
    </w:p>
    <w:p w14:paraId="3C8677CC" w14:textId="0DAEA228" w:rsidR="00E4099F" w:rsidRDefault="00E4099F" w:rsidP="00BF7AB2">
      <w:pPr>
        <w:pStyle w:val="NormalWeb"/>
        <w:jc w:val="both"/>
        <w:rPr>
          <w:rFonts w:ascii="Arial" w:hAnsi="Arial" w:cs="Arial"/>
          <w:sz w:val="20"/>
          <w:szCs w:val="20"/>
        </w:rPr>
      </w:pPr>
    </w:p>
    <w:p w14:paraId="41E98FAA" w14:textId="77777777" w:rsidR="00E4099F" w:rsidRPr="00DE5619" w:rsidRDefault="00E4099F" w:rsidP="00E4099F">
      <w:pPr>
        <w:rPr>
          <w:rFonts w:ascii="Calibri" w:eastAsia="Calibri" w:hAnsi="Calibri"/>
          <w:b/>
          <w:kern w:val="2"/>
          <w:highlight w:val="yellow"/>
        </w:rPr>
      </w:pPr>
      <w:bookmarkStart w:id="0" w:name="_Hlk197682619"/>
      <w:bookmarkStart w:id="1" w:name="_Hlk180402183"/>
      <w:bookmarkStart w:id="2" w:name="_Hlk183680988"/>
      <w:bookmarkStart w:id="3" w:name="_Hlk197351200"/>
      <w:bookmarkStart w:id="4" w:name="_Hlk213410455"/>
      <w:r w:rsidRPr="00DE5619">
        <w:rPr>
          <w:rFonts w:ascii="Calibri" w:eastAsia="Calibri" w:hAnsi="Calibri"/>
          <w:b/>
          <w:kern w:val="2"/>
          <w:highlight w:val="yellow"/>
        </w:rPr>
        <w:t>Disclaimer (Artificial intelligence)</w:t>
      </w:r>
    </w:p>
    <w:p w14:paraId="38394972" w14:textId="77777777" w:rsidR="00E4099F" w:rsidRPr="009C5487" w:rsidRDefault="00E4099F" w:rsidP="00E4099F">
      <w:pPr>
        <w:rPr>
          <w:rFonts w:ascii="Calibri" w:eastAsia="Calibri" w:hAnsi="Calibri"/>
          <w:kern w:val="2"/>
          <w:highlight w:val="yellow"/>
        </w:rPr>
      </w:pPr>
      <w:r w:rsidRPr="009C5487">
        <w:rPr>
          <w:rFonts w:ascii="Calibri" w:eastAsia="Calibri" w:hAnsi="Calibri"/>
          <w:kern w:val="2"/>
          <w:highlight w:val="yellow"/>
        </w:rPr>
        <w:t xml:space="preserve">Option 1: </w:t>
      </w:r>
    </w:p>
    <w:p w14:paraId="08C36858" w14:textId="77777777" w:rsidR="00E4099F" w:rsidRPr="009C5487" w:rsidRDefault="00E4099F" w:rsidP="00E4099F">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bookmarkStart w:id="5" w:name="_GoBack"/>
      <w:bookmarkEnd w:id="5"/>
    </w:p>
    <w:p w14:paraId="4B86A7D9" w14:textId="77777777" w:rsidR="00E4099F" w:rsidRPr="009C5487" w:rsidRDefault="00E4099F" w:rsidP="00E4099F">
      <w:pPr>
        <w:rPr>
          <w:rFonts w:ascii="Calibri" w:eastAsia="Calibri" w:hAnsi="Calibri"/>
          <w:kern w:val="2"/>
          <w:highlight w:val="yellow"/>
        </w:rPr>
      </w:pPr>
      <w:r w:rsidRPr="009C5487">
        <w:rPr>
          <w:rFonts w:ascii="Calibri" w:eastAsia="Calibri" w:hAnsi="Calibri"/>
          <w:kern w:val="2"/>
          <w:highlight w:val="yellow"/>
        </w:rPr>
        <w:t xml:space="preserve">Option 2: </w:t>
      </w:r>
    </w:p>
    <w:p w14:paraId="07E20C4C" w14:textId="77777777" w:rsidR="00E4099F" w:rsidRPr="009C5487" w:rsidRDefault="00E4099F" w:rsidP="00E4099F">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FE78A2" w14:textId="77777777" w:rsidR="00E4099F" w:rsidRPr="009C5487" w:rsidRDefault="00E4099F" w:rsidP="00E4099F">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E669B19" w14:textId="77777777" w:rsidR="00E4099F" w:rsidRPr="009C5487" w:rsidRDefault="00E4099F" w:rsidP="00E4099F">
      <w:pPr>
        <w:rPr>
          <w:rFonts w:ascii="Calibri" w:eastAsia="Calibri" w:hAnsi="Calibri"/>
          <w:kern w:val="2"/>
          <w:highlight w:val="yellow"/>
        </w:rPr>
      </w:pPr>
      <w:r w:rsidRPr="009C5487">
        <w:rPr>
          <w:rFonts w:ascii="Calibri" w:eastAsia="Calibri" w:hAnsi="Calibri"/>
          <w:kern w:val="2"/>
          <w:highlight w:val="yellow"/>
        </w:rPr>
        <w:t>1.</w:t>
      </w:r>
    </w:p>
    <w:p w14:paraId="1158C30F" w14:textId="77777777" w:rsidR="00E4099F" w:rsidRPr="009C5487" w:rsidRDefault="00E4099F" w:rsidP="00E4099F">
      <w:pPr>
        <w:rPr>
          <w:rFonts w:ascii="Calibri" w:eastAsia="Calibri" w:hAnsi="Calibri"/>
          <w:kern w:val="2"/>
          <w:highlight w:val="yellow"/>
        </w:rPr>
      </w:pPr>
      <w:r w:rsidRPr="009C5487">
        <w:rPr>
          <w:rFonts w:ascii="Calibri" w:eastAsia="Calibri" w:hAnsi="Calibri"/>
          <w:kern w:val="2"/>
          <w:highlight w:val="yellow"/>
        </w:rPr>
        <w:t>2.</w:t>
      </w:r>
    </w:p>
    <w:p w14:paraId="153FDA0A" w14:textId="77777777" w:rsidR="00E4099F" w:rsidRPr="00F870EF" w:rsidRDefault="00E4099F" w:rsidP="00E4099F">
      <w:pPr>
        <w:rPr>
          <w:rFonts w:ascii="Calibri" w:eastAsia="Calibri" w:hAnsi="Calibri"/>
          <w:kern w:val="2"/>
        </w:rPr>
      </w:pPr>
      <w:bookmarkStart w:id="6" w:name="_Hlk197682629"/>
      <w:bookmarkEnd w:id="0"/>
      <w:r w:rsidRPr="009C5487">
        <w:rPr>
          <w:rFonts w:ascii="Calibri" w:eastAsia="Calibri" w:hAnsi="Calibri"/>
          <w:kern w:val="2"/>
          <w:highlight w:val="yellow"/>
        </w:rPr>
        <w:t>3.</w:t>
      </w:r>
      <w:bookmarkStart w:id="7" w:name="_Hlk187485061"/>
      <w:bookmarkEnd w:id="1"/>
      <w:bookmarkEnd w:id="2"/>
      <w:bookmarkEnd w:id="6"/>
    </w:p>
    <w:bookmarkEnd w:id="3"/>
    <w:bookmarkEnd w:id="4"/>
    <w:bookmarkEnd w:id="7"/>
    <w:p w14:paraId="7F8F9239" w14:textId="77777777" w:rsidR="00E4099F" w:rsidRPr="00BF7AB2" w:rsidRDefault="00E4099F" w:rsidP="00BF7AB2">
      <w:pPr>
        <w:pStyle w:val="NormalWeb"/>
        <w:jc w:val="both"/>
        <w:rPr>
          <w:rFonts w:ascii="Arial" w:hAnsi="Arial" w:cs="Arial"/>
          <w:sz w:val="20"/>
          <w:szCs w:val="20"/>
        </w:rPr>
      </w:pPr>
    </w:p>
    <w:p w14:paraId="2589B723" w14:textId="77777777" w:rsidR="00790ADA" w:rsidRPr="00571CE3" w:rsidRDefault="00790ADA" w:rsidP="00441B6F">
      <w:pPr>
        <w:pStyle w:val="AcknHead"/>
        <w:spacing w:after="0"/>
        <w:jc w:val="both"/>
        <w:rPr>
          <w:rFonts w:ascii="Arial" w:hAnsi="Arial" w:cs="Arial"/>
        </w:rPr>
      </w:pPr>
    </w:p>
    <w:p w14:paraId="0E4558F2" w14:textId="77777777" w:rsidR="00B01FCD" w:rsidRPr="00571CE3" w:rsidRDefault="00B01FCD" w:rsidP="00441B6F">
      <w:pPr>
        <w:pStyle w:val="ReferHead"/>
        <w:spacing w:after="0"/>
        <w:jc w:val="both"/>
        <w:rPr>
          <w:rFonts w:ascii="Arial" w:hAnsi="Arial" w:cs="Arial"/>
        </w:rPr>
      </w:pPr>
      <w:r w:rsidRPr="00571CE3">
        <w:rPr>
          <w:rFonts w:ascii="Arial" w:hAnsi="Arial" w:cs="Arial"/>
        </w:rPr>
        <w:t>References</w:t>
      </w:r>
    </w:p>
    <w:p w14:paraId="54E8894B" w14:textId="77777777" w:rsidR="00136701" w:rsidRPr="00571CE3" w:rsidRDefault="00136701" w:rsidP="00136701">
      <w:pPr>
        <w:pStyle w:val="Body"/>
        <w:spacing w:after="0"/>
        <w:rPr>
          <w:rFonts w:ascii="Arial" w:hAnsi="Arial" w:cs="Arial"/>
        </w:rPr>
      </w:pPr>
    </w:p>
    <w:p w14:paraId="660BB075" w14:textId="2CCD3972" w:rsidR="00BF7AB2" w:rsidRPr="007402E4" w:rsidRDefault="00BF7AB2" w:rsidP="007402E4">
      <w:pPr>
        <w:spacing w:before="100" w:beforeAutospacing="1" w:after="100" w:afterAutospacing="1"/>
        <w:jc w:val="both"/>
        <w:rPr>
          <w:rFonts w:ascii="Arial" w:hAnsi="Arial" w:cs="Arial"/>
          <w:lang w:eastAsia="en-IN"/>
        </w:rPr>
      </w:pPr>
      <w:r w:rsidRPr="007402E4">
        <w:rPr>
          <w:rFonts w:ascii="Arial" w:hAnsi="Arial" w:cs="Arial"/>
          <w:lang w:eastAsia="en-IN"/>
        </w:rPr>
        <w:lastRenderedPageBreak/>
        <w:t xml:space="preserve">APVMA. </w:t>
      </w:r>
      <w:r w:rsidR="005458A1" w:rsidRPr="007402E4">
        <w:rPr>
          <w:rFonts w:ascii="Arial" w:hAnsi="Arial" w:cs="Arial"/>
          <w:lang w:eastAsia="en-IN"/>
        </w:rPr>
        <w:t>(</w:t>
      </w:r>
      <w:r w:rsidRPr="007402E4">
        <w:rPr>
          <w:rFonts w:ascii="Arial" w:hAnsi="Arial" w:cs="Arial"/>
          <w:lang w:eastAsia="en-IN"/>
        </w:rPr>
        <w:t>2019</w:t>
      </w:r>
      <w:r w:rsidR="005458A1" w:rsidRPr="007402E4">
        <w:rPr>
          <w:rFonts w:ascii="Arial" w:hAnsi="Arial" w:cs="Arial"/>
          <w:lang w:eastAsia="en-IN"/>
        </w:rPr>
        <w:t>)</w:t>
      </w:r>
      <w:r w:rsidRPr="007402E4">
        <w:rPr>
          <w:rFonts w:ascii="Arial" w:hAnsi="Arial" w:cs="Arial"/>
          <w:lang w:eastAsia="en-IN"/>
        </w:rPr>
        <w:t>. Public release summary on evaluation of the new active constituent topramezone in the product “Frequency Herbicide.” Australian Pesticides and Veterinary Medicines Authority, Canberra.</w:t>
      </w:r>
    </w:p>
    <w:p w14:paraId="697D5CC1" w14:textId="107861BF" w:rsidR="00BF7AB2" w:rsidRPr="007402E4" w:rsidRDefault="00BF7AB2" w:rsidP="007402E4">
      <w:pPr>
        <w:spacing w:before="100" w:beforeAutospacing="1" w:after="100" w:afterAutospacing="1"/>
        <w:jc w:val="both"/>
        <w:rPr>
          <w:rFonts w:ascii="Arial" w:hAnsi="Arial" w:cs="Arial"/>
          <w:lang w:eastAsia="en-IN"/>
        </w:rPr>
      </w:pPr>
      <w:r w:rsidRPr="007402E4">
        <w:rPr>
          <w:rFonts w:ascii="Arial" w:hAnsi="Arial" w:cs="Arial"/>
          <w:lang w:eastAsia="en-IN"/>
        </w:rPr>
        <w:t xml:space="preserve">Baumann, P.A., </w:t>
      </w:r>
      <w:proofErr w:type="spellStart"/>
      <w:r w:rsidRPr="007402E4">
        <w:rPr>
          <w:rFonts w:ascii="Arial" w:hAnsi="Arial" w:cs="Arial"/>
          <w:lang w:eastAsia="en-IN"/>
        </w:rPr>
        <w:t>Dotray</w:t>
      </w:r>
      <w:proofErr w:type="spellEnd"/>
      <w:r w:rsidRPr="007402E4">
        <w:rPr>
          <w:rFonts w:ascii="Arial" w:hAnsi="Arial" w:cs="Arial"/>
          <w:lang w:eastAsia="en-IN"/>
        </w:rPr>
        <w:t>, P.A</w:t>
      </w:r>
      <w:r w:rsidR="00530D85" w:rsidRPr="007402E4">
        <w:rPr>
          <w:rFonts w:ascii="Arial" w:hAnsi="Arial" w:cs="Arial"/>
          <w:lang w:eastAsia="en-IN"/>
        </w:rPr>
        <w:t>, &amp;</w:t>
      </w:r>
      <w:r w:rsidRPr="007402E4">
        <w:rPr>
          <w:rFonts w:ascii="Arial" w:hAnsi="Arial" w:cs="Arial"/>
          <w:lang w:eastAsia="en-IN"/>
        </w:rPr>
        <w:t xml:space="preserve"> McGinty, J.A. </w:t>
      </w:r>
      <w:r w:rsidR="005458A1" w:rsidRPr="007402E4">
        <w:rPr>
          <w:rFonts w:ascii="Arial" w:hAnsi="Arial" w:cs="Arial"/>
          <w:lang w:eastAsia="en-IN"/>
        </w:rPr>
        <w:t>(</w:t>
      </w:r>
      <w:r w:rsidRPr="007402E4">
        <w:rPr>
          <w:rFonts w:ascii="Arial" w:hAnsi="Arial" w:cs="Arial"/>
          <w:lang w:eastAsia="en-IN"/>
        </w:rPr>
        <w:t>2014</w:t>
      </w:r>
      <w:r w:rsidR="005458A1" w:rsidRPr="007402E4">
        <w:rPr>
          <w:rFonts w:ascii="Arial" w:hAnsi="Arial" w:cs="Arial"/>
          <w:lang w:eastAsia="en-IN"/>
        </w:rPr>
        <w:t>)</w:t>
      </w:r>
      <w:r w:rsidRPr="007402E4">
        <w:rPr>
          <w:rFonts w:ascii="Arial" w:hAnsi="Arial" w:cs="Arial"/>
          <w:lang w:eastAsia="en-IN"/>
        </w:rPr>
        <w:t xml:space="preserve">. Environmental </w:t>
      </w:r>
      <w:proofErr w:type="spellStart"/>
      <w:r w:rsidRPr="007402E4">
        <w:rPr>
          <w:rFonts w:ascii="Arial" w:hAnsi="Arial" w:cs="Arial"/>
          <w:lang w:eastAsia="en-IN"/>
        </w:rPr>
        <w:t>behaviour</w:t>
      </w:r>
      <w:proofErr w:type="spellEnd"/>
      <w:r w:rsidRPr="007402E4">
        <w:rPr>
          <w:rFonts w:ascii="Arial" w:hAnsi="Arial" w:cs="Arial"/>
          <w:lang w:eastAsia="en-IN"/>
        </w:rPr>
        <w:t xml:space="preserve"> and mobility of HPPD-inhibiting herbicides. </w:t>
      </w:r>
      <w:r w:rsidRPr="007402E4">
        <w:rPr>
          <w:rFonts w:ascii="Arial" w:hAnsi="Arial" w:cs="Arial"/>
          <w:i/>
          <w:iCs/>
          <w:lang w:eastAsia="en-IN"/>
        </w:rPr>
        <w:t xml:space="preserve">Weed Technology, </w:t>
      </w:r>
      <w:r w:rsidRPr="007402E4">
        <w:rPr>
          <w:rFonts w:ascii="Arial" w:hAnsi="Arial" w:cs="Arial"/>
          <w:lang w:eastAsia="en-IN"/>
        </w:rPr>
        <w:t>28</w:t>
      </w:r>
      <w:r w:rsidR="005458A1" w:rsidRPr="007402E4">
        <w:rPr>
          <w:rFonts w:ascii="Arial" w:hAnsi="Arial" w:cs="Arial"/>
          <w:lang w:eastAsia="en-IN"/>
        </w:rPr>
        <w:t>,</w:t>
      </w:r>
      <w:r w:rsidRPr="007402E4">
        <w:rPr>
          <w:rFonts w:ascii="Arial" w:hAnsi="Arial" w:cs="Arial"/>
          <w:lang w:eastAsia="en-IN"/>
        </w:rPr>
        <w:t xml:space="preserve"> 356–364.</w:t>
      </w:r>
    </w:p>
    <w:p w14:paraId="095C59AB" w14:textId="2C851163" w:rsidR="00BF7AB2" w:rsidRPr="007402E4" w:rsidRDefault="00130A1B" w:rsidP="007402E4">
      <w:pPr>
        <w:spacing w:before="100" w:beforeAutospacing="1" w:after="100" w:afterAutospacing="1"/>
        <w:jc w:val="both"/>
        <w:rPr>
          <w:rFonts w:ascii="Arial" w:hAnsi="Arial" w:cs="Arial"/>
          <w:lang w:eastAsia="en-IN"/>
        </w:rPr>
      </w:pPr>
      <w:r w:rsidRPr="007402E4">
        <w:rPr>
          <w:rFonts w:ascii="Arial" w:hAnsi="Arial" w:cs="Arial"/>
          <w:lang w:eastAsia="en-IN"/>
        </w:rPr>
        <w:t xml:space="preserve">European Food Safety Authority. (2014). Conclusion on the peer review of the pesticide risk assessment of the active substance topramezone. EFSA Journal, 12(2), 3540. </w:t>
      </w:r>
      <w:hyperlink r:id="rId16" w:history="1">
        <w:r w:rsidRPr="007402E4">
          <w:rPr>
            <w:rStyle w:val="Hyperlink"/>
            <w:rFonts w:ascii="Arial" w:hAnsi="Arial" w:cs="Arial"/>
            <w:lang w:eastAsia="en-IN"/>
          </w:rPr>
          <w:t>https://doi.org/10.2903/j.efsa.2014.3540</w:t>
        </w:r>
      </w:hyperlink>
      <w:r w:rsidRPr="007402E4">
        <w:rPr>
          <w:rFonts w:ascii="Arial" w:hAnsi="Arial" w:cs="Arial"/>
          <w:lang w:eastAsia="en-IN"/>
        </w:rPr>
        <w:t xml:space="preserve"> </w:t>
      </w:r>
    </w:p>
    <w:p w14:paraId="36E8AAC5" w14:textId="3AE015FB" w:rsidR="00BF7AB2" w:rsidRPr="007402E4" w:rsidRDefault="001D4EBC" w:rsidP="007402E4">
      <w:pPr>
        <w:spacing w:before="100" w:beforeAutospacing="1" w:after="100" w:afterAutospacing="1"/>
        <w:jc w:val="both"/>
        <w:rPr>
          <w:rFonts w:ascii="Arial" w:hAnsi="Arial" w:cs="Arial"/>
          <w:lang w:eastAsia="en-IN"/>
        </w:rPr>
      </w:pPr>
      <w:r w:rsidRPr="007402E4">
        <w:rPr>
          <w:rFonts w:ascii="Arial" w:hAnsi="Arial" w:cs="Arial"/>
        </w:rPr>
        <w:t xml:space="preserve">Gustafson, D. I. (1989). Groundwater ubiquity score: A simple method for assessing pesticide leachability. Environmental Toxicology and Chemistry, 8(4), 339–357. </w:t>
      </w:r>
      <w:hyperlink r:id="rId17" w:history="1">
        <w:r w:rsidRPr="007402E4">
          <w:rPr>
            <w:rStyle w:val="Hyperlink"/>
            <w:rFonts w:ascii="Arial" w:hAnsi="Arial" w:cs="Arial"/>
          </w:rPr>
          <w:t>https://doi.org/10.1002/etc.5620080411</w:t>
        </w:r>
      </w:hyperlink>
      <w:r w:rsidRPr="007402E4">
        <w:rPr>
          <w:rFonts w:ascii="Arial" w:hAnsi="Arial" w:cs="Arial"/>
        </w:rPr>
        <w:t xml:space="preserve"> </w:t>
      </w:r>
      <w:r w:rsidR="00BF7AB2" w:rsidRPr="007402E4">
        <w:rPr>
          <w:rFonts w:ascii="Arial" w:hAnsi="Arial" w:cs="Arial"/>
        </w:rPr>
        <w:t xml:space="preserve"> </w:t>
      </w:r>
    </w:p>
    <w:p w14:paraId="16EC2382" w14:textId="739723EB" w:rsidR="00BF7AB2" w:rsidRPr="007402E4" w:rsidRDefault="00BF7AB2" w:rsidP="007402E4">
      <w:pPr>
        <w:spacing w:before="100" w:beforeAutospacing="1" w:after="100" w:afterAutospacing="1"/>
        <w:jc w:val="both"/>
        <w:rPr>
          <w:rFonts w:ascii="Arial" w:hAnsi="Arial" w:cs="Arial"/>
          <w:lang w:eastAsia="en-IN"/>
        </w:rPr>
      </w:pPr>
      <w:r w:rsidRPr="007402E4">
        <w:rPr>
          <w:rFonts w:ascii="Arial" w:hAnsi="Arial" w:cs="Arial"/>
          <w:lang w:eastAsia="en-IN"/>
        </w:rPr>
        <w:t>Hollaway, K.L., Walker, S.R</w:t>
      </w:r>
      <w:r w:rsidR="00530D85" w:rsidRPr="007402E4">
        <w:rPr>
          <w:rFonts w:ascii="Arial" w:hAnsi="Arial" w:cs="Arial"/>
          <w:lang w:eastAsia="en-IN"/>
        </w:rPr>
        <w:t>, &amp;</w:t>
      </w:r>
      <w:r w:rsidRPr="007402E4">
        <w:rPr>
          <w:rFonts w:ascii="Arial" w:hAnsi="Arial" w:cs="Arial"/>
          <w:lang w:eastAsia="en-IN"/>
        </w:rPr>
        <w:t xml:space="preserve"> Preston, C. </w:t>
      </w:r>
      <w:r w:rsidR="00530D85" w:rsidRPr="007402E4">
        <w:rPr>
          <w:rFonts w:ascii="Arial" w:hAnsi="Arial" w:cs="Arial"/>
          <w:lang w:eastAsia="en-IN"/>
        </w:rPr>
        <w:t>(</w:t>
      </w:r>
      <w:r w:rsidRPr="007402E4">
        <w:rPr>
          <w:rFonts w:ascii="Arial" w:hAnsi="Arial" w:cs="Arial"/>
          <w:lang w:eastAsia="en-IN"/>
        </w:rPr>
        <w:t>2013</w:t>
      </w:r>
      <w:r w:rsidR="00530D85" w:rsidRPr="007402E4">
        <w:rPr>
          <w:rFonts w:ascii="Arial" w:hAnsi="Arial" w:cs="Arial"/>
          <w:lang w:eastAsia="en-IN"/>
        </w:rPr>
        <w:t>)</w:t>
      </w:r>
      <w:r w:rsidRPr="007402E4">
        <w:rPr>
          <w:rFonts w:ascii="Arial" w:hAnsi="Arial" w:cs="Arial"/>
          <w:lang w:eastAsia="en-IN"/>
        </w:rPr>
        <w:t xml:space="preserve">. Influence of soil pH and organic carbon on sorption and degradation of </w:t>
      </w:r>
      <w:proofErr w:type="spellStart"/>
      <w:r w:rsidRPr="007402E4">
        <w:rPr>
          <w:rFonts w:ascii="Arial" w:hAnsi="Arial" w:cs="Arial"/>
          <w:lang w:eastAsia="en-IN"/>
        </w:rPr>
        <w:t>mesotrione</w:t>
      </w:r>
      <w:proofErr w:type="spellEnd"/>
      <w:r w:rsidRPr="007402E4">
        <w:rPr>
          <w:rFonts w:ascii="Arial" w:hAnsi="Arial" w:cs="Arial"/>
          <w:lang w:eastAsia="en-IN"/>
        </w:rPr>
        <w:t xml:space="preserve"> and </w:t>
      </w:r>
      <w:proofErr w:type="spellStart"/>
      <w:r w:rsidRPr="007402E4">
        <w:rPr>
          <w:rFonts w:ascii="Arial" w:hAnsi="Arial" w:cs="Arial"/>
          <w:lang w:eastAsia="en-IN"/>
        </w:rPr>
        <w:t>tembotrione</w:t>
      </w:r>
      <w:proofErr w:type="spellEnd"/>
      <w:r w:rsidRPr="007402E4">
        <w:rPr>
          <w:rFonts w:ascii="Arial" w:hAnsi="Arial" w:cs="Arial"/>
          <w:lang w:eastAsia="en-IN"/>
        </w:rPr>
        <w:t xml:space="preserve">. </w:t>
      </w:r>
      <w:r w:rsidRPr="007402E4">
        <w:rPr>
          <w:rFonts w:ascii="Arial" w:hAnsi="Arial" w:cs="Arial"/>
          <w:i/>
          <w:iCs/>
          <w:lang w:eastAsia="en-IN"/>
        </w:rPr>
        <w:t>Pest Management Science</w:t>
      </w:r>
      <w:r w:rsidR="00530D85" w:rsidRPr="007402E4">
        <w:rPr>
          <w:rFonts w:ascii="Arial" w:hAnsi="Arial" w:cs="Arial"/>
          <w:lang w:eastAsia="en-IN"/>
        </w:rPr>
        <w:t>.</w:t>
      </w:r>
      <w:r w:rsidRPr="007402E4">
        <w:rPr>
          <w:rFonts w:ascii="Arial" w:hAnsi="Arial" w:cs="Arial"/>
          <w:lang w:eastAsia="en-IN"/>
        </w:rPr>
        <w:t xml:space="preserve"> 69</w:t>
      </w:r>
      <w:r w:rsidR="00530D85" w:rsidRPr="007402E4">
        <w:rPr>
          <w:rFonts w:ascii="Arial" w:hAnsi="Arial" w:cs="Arial"/>
          <w:lang w:eastAsia="en-IN"/>
        </w:rPr>
        <w:t>,</w:t>
      </w:r>
      <w:r w:rsidRPr="007402E4">
        <w:rPr>
          <w:rFonts w:ascii="Arial" w:hAnsi="Arial" w:cs="Arial"/>
          <w:lang w:eastAsia="en-IN"/>
        </w:rPr>
        <w:t xml:space="preserve"> 1492–1498.</w:t>
      </w:r>
    </w:p>
    <w:p w14:paraId="7C1AE0D4" w14:textId="16BF8237" w:rsidR="00BF7AB2" w:rsidRPr="007402E4" w:rsidRDefault="008443F3" w:rsidP="007402E4">
      <w:pPr>
        <w:spacing w:before="100" w:beforeAutospacing="1" w:after="100" w:afterAutospacing="1"/>
        <w:jc w:val="both"/>
        <w:rPr>
          <w:rFonts w:ascii="Arial" w:hAnsi="Arial" w:cs="Arial"/>
          <w:lang w:eastAsia="en-IN"/>
        </w:rPr>
      </w:pPr>
      <w:r w:rsidRPr="007402E4">
        <w:rPr>
          <w:rStyle w:val="author0"/>
          <w:rFonts w:ascii="Arial" w:hAnsi="Arial" w:cs="Arial"/>
          <w:color w:val="1C1D1E"/>
          <w:shd w:val="clear" w:color="auto" w:fill="FFFFFF"/>
        </w:rPr>
        <w:t xml:space="preserve">Madhavi, M., Prakash, T. R., Srinivas, A., &amp; </w:t>
      </w:r>
      <w:proofErr w:type="spellStart"/>
      <w:r w:rsidRPr="007402E4">
        <w:rPr>
          <w:rStyle w:val="author0"/>
          <w:rFonts w:ascii="Arial" w:hAnsi="Arial" w:cs="Arial"/>
          <w:color w:val="1C1D1E"/>
          <w:shd w:val="clear" w:color="auto" w:fill="FFFFFF"/>
        </w:rPr>
        <w:t>Yakadri</w:t>
      </w:r>
      <w:proofErr w:type="spellEnd"/>
      <w:r w:rsidRPr="007402E4">
        <w:rPr>
          <w:rStyle w:val="author0"/>
          <w:rFonts w:ascii="Arial" w:hAnsi="Arial" w:cs="Arial"/>
          <w:color w:val="1C1D1E"/>
          <w:shd w:val="clear" w:color="auto" w:fill="FFFFFF"/>
        </w:rPr>
        <w:t>, M. (2013). Integrated weed management in maize (</w:t>
      </w:r>
      <w:proofErr w:type="spellStart"/>
      <w:r w:rsidRPr="007402E4">
        <w:rPr>
          <w:rStyle w:val="author0"/>
          <w:rFonts w:ascii="Arial" w:hAnsi="Arial" w:cs="Arial"/>
          <w:color w:val="1C1D1E"/>
          <w:shd w:val="clear" w:color="auto" w:fill="FFFFFF"/>
        </w:rPr>
        <w:t>Zea</w:t>
      </w:r>
      <w:proofErr w:type="spellEnd"/>
      <w:r w:rsidRPr="007402E4">
        <w:rPr>
          <w:rStyle w:val="author0"/>
          <w:rFonts w:ascii="Arial" w:hAnsi="Arial" w:cs="Arial"/>
          <w:color w:val="1C1D1E"/>
          <w:shd w:val="clear" w:color="auto" w:fill="FFFFFF"/>
        </w:rPr>
        <w:t xml:space="preserve"> mays L.) for supporting food security in Andhra Pradesh, India. The role of weed science in supporting food security by 2020. In *Proceedings of the 24th Asian-Pacific Weed Science Society Conference*, Bandung, Indonesia (pp. 510–516). </w:t>
      </w:r>
      <w:hyperlink r:id="rId18" w:history="1">
        <w:r w:rsidRPr="007402E4">
          <w:rPr>
            <w:rStyle w:val="Hyperlink"/>
            <w:rFonts w:ascii="Arial" w:hAnsi="Arial" w:cs="Arial"/>
            <w:shd w:val="clear" w:color="auto" w:fill="FFFFFF"/>
          </w:rPr>
          <w:t>https://oar.icrisat.org/8000/1/Proceedings_of_the_24th_Asian-Pacific_Weed_Science_Society_Conference_October_22-25,_2013,_Bandung_Indonesia.pdf</w:t>
        </w:r>
      </w:hyperlink>
      <w:r w:rsidRPr="007402E4">
        <w:rPr>
          <w:rStyle w:val="author0"/>
          <w:rFonts w:ascii="Arial" w:hAnsi="Arial" w:cs="Arial"/>
          <w:color w:val="1C1D1E"/>
          <w:shd w:val="clear" w:color="auto" w:fill="FFFFFF"/>
        </w:rPr>
        <w:t xml:space="preserve"> </w:t>
      </w:r>
    </w:p>
    <w:p w14:paraId="2E302478" w14:textId="30DF494F" w:rsidR="00BF7AB2" w:rsidRPr="007402E4" w:rsidRDefault="001A3870" w:rsidP="007402E4">
      <w:pPr>
        <w:spacing w:before="100" w:beforeAutospacing="1" w:after="100" w:afterAutospacing="1"/>
        <w:jc w:val="both"/>
        <w:rPr>
          <w:rFonts w:ascii="Arial" w:hAnsi="Arial" w:cs="Arial"/>
          <w:lang w:eastAsia="en-IN"/>
        </w:rPr>
      </w:pPr>
      <w:r w:rsidRPr="007402E4">
        <w:rPr>
          <w:rFonts w:ascii="Arial" w:hAnsi="Arial" w:cs="Arial"/>
          <w:lang w:eastAsia="en-IN"/>
        </w:rPr>
        <w:t xml:space="preserve">Mitchell, G., Bartlett, D. W., Fraser, T. E., Hawkes, T. R., Holt, D. C., Townson, J. K., &amp; </w:t>
      </w:r>
      <w:proofErr w:type="spellStart"/>
      <w:r w:rsidRPr="007402E4">
        <w:rPr>
          <w:rFonts w:ascii="Arial" w:hAnsi="Arial" w:cs="Arial"/>
          <w:lang w:eastAsia="en-IN"/>
        </w:rPr>
        <w:t>Wichert</w:t>
      </w:r>
      <w:proofErr w:type="spellEnd"/>
      <w:r w:rsidRPr="007402E4">
        <w:rPr>
          <w:rFonts w:ascii="Arial" w:hAnsi="Arial" w:cs="Arial"/>
          <w:lang w:eastAsia="en-IN"/>
        </w:rPr>
        <w:t xml:space="preserve">, R. A. (2001). </w:t>
      </w:r>
      <w:proofErr w:type="spellStart"/>
      <w:r w:rsidRPr="007402E4">
        <w:rPr>
          <w:rFonts w:ascii="Arial" w:hAnsi="Arial" w:cs="Arial"/>
          <w:lang w:eastAsia="en-IN"/>
        </w:rPr>
        <w:t>Mesotrione</w:t>
      </w:r>
      <w:proofErr w:type="spellEnd"/>
      <w:r w:rsidRPr="007402E4">
        <w:rPr>
          <w:rFonts w:ascii="Arial" w:hAnsi="Arial" w:cs="Arial"/>
          <w:lang w:eastAsia="en-IN"/>
        </w:rPr>
        <w:t xml:space="preserve">: a new selective herbicide for use in maize. Pest Management Science, 57(2), 120-128. </w:t>
      </w:r>
      <w:hyperlink r:id="rId19" w:history="1">
        <w:r w:rsidRPr="007402E4">
          <w:rPr>
            <w:rStyle w:val="Hyperlink"/>
            <w:rFonts w:ascii="Arial" w:hAnsi="Arial" w:cs="Arial"/>
            <w:lang w:eastAsia="en-IN"/>
          </w:rPr>
          <w:t>https://doi.org/10.1002/1526-4998(200102)57:2&lt;120::AID-PS254&gt;3.0.CO;2-E</w:t>
        </w:r>
      </w:hyperlink>
      <w:r w:rsidRPr="007402E4">
        <w:rPr>
          <w:rFonts w:ascii="Arial" w:hAnsi="Arial" w:cs="Arial"/>
          <w:lang w:eastAsia="en-IN"/>
        </w:rPr>
        <w:t xml:space="preserve"> </w:t>
      </w:r>
    </w:p>
    <w:p w14:paraId="07F3E863" w14:textId="4F9B4BD8" w:rsidR="00BF7AB2" w:rsidRPr="007402E4" w:rsidRDefault="00BF7AB2" w:rsidP="007402E4">
      <w:pPr>
        <w:spacing w:before="100" w:beforeAutospacing="1" w:after="100" w:afterAutospacing="1"/>
        <w:jc w:val="both"/>
        <w:rPr>
          <w:rFonts w:ascii="Arial" w:hAnsi="Arial" w:cs="Arial"/>
          <w:lang w:eastAsia="en-IN"/>
        </w:rPr>
      </w:pPr>
      <w:proofErr w:type="spellStart"/>
      <w:r w:rsidRPr="007402E4">
        <w:rPr>
          <w:rFonts w:ascii="Arial" w:hAnsi="Arial" w:cs="Arial"/>
          <w:lang w:eastAsia="en-IN"/>
        </w:rPr>
        <w:t>Pusino</w:t>
      </w:r>
      <w:proofErr w:type="spellEnd"/>
      <w:r w:rsidRPr="007402E4">
        <w:rPr>
          <w:rFonts w:ascii="Arial" w:hAnsi="Arial" w:cs="Arial"/>
          <w:lang w:eastAsia="en-IN"/>
        </w:rPr>
        <w:t xml:space="preserve">, A., </w:t>
      </w:r>
      <w:proofErr w:type="spellStart"/>
      <w:r w:rsidRPr="007402E4">
        <w:rPr>
          <w:rFonts w:ascii="Arial" w:hAnsi="Arial" w:cs="Arial"/>
          <w:lang w:eastAsia="en-IN"/>
        </w:rPr>
        <w:t>Petretto</w:t>
      </w:r>
      <w:proofErr w:type="spellEnd"/>
      <w:r w:rsidRPr="007402E4">
        <w:rPr>
          <w:rFonts w:ascii="Arial" w:hAnsi="Arial" w:cs="Arial"/>
          <w:lang w:eastAsia="en-IN"/>
        </w:rPr>
        <w:t xml:space="preserve">, S </w:t>
      </w:r>
      <w:r w:rsidR="00530D85" w:rsidRPr="007402E4">
        <w:rPr>
          <w:rFonts w:ascii="Arial" w:hAnsi="Arial" w:cs="Arial"/>
          <w:lang w:eastAsia="en-IN"/>
        </w:rPr>
        <w:t>&amp;</w:t>
      </w:r>
      <w:r w:rsidRPr="007402E4">
        <w:rPr>
          <w:rFonts w:ascii="Arial" w:hAnsi="Arial" w:cs="Arial"/>
          <w:lang w:eastAsia="en-IN"/>
        </w:rPr>
        <w:t xml:space="preserve"> </w:t>
      </w:r>
      <w:proofErr w:type="spellStart"/>
      <w:r w:rsidRPr="007402E4">
        <w:rPr>
          <w:rFonts w:ascii="Arial" w:hAnsi="Arial" w:cs="Arial"/>
          <w:lang w:eastAsia="en-IN"/>
        </w:rPr>
        <w:t>Gessa</w:t>
      </w:r>
      <w:proofErr w:type="spellEnd"/>
      <w:r w:rsidRPr="007402E4">
        <w:rPr>
          <w:rFonts w:ascii="Arial" w:hAnsi="Arial" w:cs="Arial"/>
          <w:lang w:eastAsia="en-IN"/>
        </w:rPr>
        <w:t xml:space="preserve">, C. </w:t>
      </w:r>
      <w:r w:rsidR="00530D85" w:rsidRPr="007402E4">
        <w:rPr>
          <w:rFonts w:ascii="Arial" w:hAnsi="Arial" w:cs="Arial"/>
          <w:lang w:eastAsia="en-IN"/>
        </w:rPr>
        <w:t>(</w:t>
      </w:r>
      <w:r w:rsidRPr="007402E4">
        <w:rPr>
          <w:rFonts w:ascii="Arial" w:hAnsi="Arial" w:cs="Arial"/>
          <w:lang w:eastAsia="en-IN"/>
        </w:rPr>
        <w:t>2010</w:t>
      </w:r>
      <w:r w:rsidR="00530D85" w:rsidRPr="007402E4">
        <w:rPr>
          <w:rFonts w:ascii="Arial" w:hAnsi="Arial" w:cs="Arial"/>
          <w:lang w:eastAsia="en-IN"/>
        </w:rPr>
        <w:t>)</w:t>
      </w:r>
      <w:r w:rsidRPr="007402E4">
        <w:rPr>
          <w:rFonts w:ascii="Arial" w:hAnsi="Arial" w:cs="Arial"/>
          <w:lang w:eastAsia="en-IN"/>
        </w:rPr>
        <w:t xml:space="preserve">. Adsorption and desorption of </w:t>
      </w:r>
      <w:proofErr w:type="spellStart"/>
      <w:r w:rsidRPr="007402E4">
        <w:rPr>
          <w:rFonts w:ascii="Arial" w:hAnsi="Arial" w:cs="Arial"/>
          <w:lang w:eastAsia="en-IN"/>
        </w:rPr>
        <w:t>mesotrione</w:t>
      </w:r>
      <w:proofErr w:type="spellEnd"/>
      <w:r w:rsidRPr="007402E4">
        <w:rPr>
          <w:rFonts w:ascii="Arial" w:hAnsi="Arial" w:cs="Arial"/>
          <w:lang w:eastAsia="en-IN"/>
        </w:rPr>
        <w:t xml:space="preserve"> on agricultural soils. </w:t>
      </w:r>
      <w:r w:rsidRPr="007402E4">
        <w:rPr>
          <w:rFonts w:ascii="Arial" w:hAnsi="Arial" w:cs="Arial"/>
          <w:i/>
          <w:iCs/>
          <w:lang w:eastAsia="en-IN"/>
        </w:rPr>
        <w:t>Journal of Environmental Science and Health,</w:t>
      </w:r>
      <w:r w:rsidRPr="007402E4">
        <w:rPr>
          <w:rFonts w:ascii="Arial" w:hAnsi="Arial" w:cs="Arial"/>
          <w:lang w:eastAsia="en-IN"/>
        </w:rPr>
        <w:t xml:space="preserve"> 45</w:t>
      </w:r>
      <w:r w:rsidR="00530D85" w:rsidRPr="007402E4">
        <w:rPr>
          <w:rFonts w:ascii="Arial" w:hAnsi="Arial" w:cs="Arial"/>
          <w:lang w:eastAsia="en-IN"/>
        </w:rPr>
        <w:t>,</w:t>
      </w:r>
      <w:r w:rsidRPr="007402E4">
        <w:rPr>
          <w:rFonts w:ascii="Arial" w:hAnsi="Arial" w:cs="Arial"/>
          <w:lang w:eastAsia="en-IN"/>
        </w:rPr>
        <w:t xml:space="preserve"> 539–543.</w:t>
      </w:r>
    </w:p>
    <w:p w14:paraId="3326DACF" w14:textId="50BAE19A" w:rsidR="00BF7AB2" w:rsidRPr="007402E4" w:rsidRDefault="00BF7AB2" w:rsidP="007402E4">
      <w:pPr>
        <w:spacing w:before="100" w:beforeAutospacing="1" w:after="100" w:afterAutospacing="1"/>
        <w:jc w:val="both"/>
        <w:rPr>
          <w:rFonts w:ascii="Arial" w:hAnsi="Arial" w:cs="Arial"/>
          <w:lang w:eastAsia="en-IN"/>
        </w:rPr>
      </w:pPr>
      <w:r w:rsidRPr="007402E4">
        <w:rPr>
          <w:rFonts w:ascii="Arial" w:hAnsi="Arial" w:cs="Arial"/>
          <w:lang w:eastAsia="en-IN"/>
        </w:rPr>
        <w:t>Ramanathan, R., Jordan, D.L</w:t>
      </w:r>
      <w:r w:rsidR="00530D85" w:rsidRPr="007402E4">
        <w:rPr>
          <w:rFonts w:ascii="Arial" w:hAnsi="Arial" w:cs="Arial"/>
          <w:lang w:eastAsia="en-IN"/>
        </w:rPr>
        <w:t xml:space="preserve">, &amp; </w:t>
      </w:r>
      <w:r w:rsidRPr="007402E4">
        <w:rPr>
          <w:rFonts w:ascii="Arial" w:hAnsi="Arial" w:cs="Arial"/>
          <w:lang w:eastAsia="en-IN"/>
        </w:rPr>
        <w:t xml:space="preserve">Monks, D.W. </w:t>
      </w:r>
      <w:r w:rsidR="00530D85" w:rsidRPr="007402E4">
        <w:rPr>
          <w:rFonts w:ascii="Arial" w:hAnsi="Arial" w:cs="Arial"/>
          <w:lang w:eastAsia="en-IN"/>
        </w:rPr>
        <w:t>(</w:t>
      </w:r>
      <w:r w:rsidRPr="007402E4">
        <w:rPr>
          <w:rFonts w:ascii="Arial" w:hAnsi="Arial" w:cs="Arial"/>
          <w:lang w:eastAsia="en-IN"/>
        </w:rPr>
        <w:t>2022</w:t>
      </w:r>
      <w:r w:rsidR="00530D85" w:rsidRPr="007402E4">
        <w:rPr>
          <w:rFonts w:ascii="Arial" w:hAnsi="Arial" w:cs="Arial"/>
          <w:lang w:eastAsia="en-IN"/>
        </w:rPr>
        <w:t>0</w:t>
      </w:r>
      <w:r w:rsidRPr="007402E4">
        <w:rPr>
          <w:rFonts w:ascii="Arial" w:hAnsi="Arial" w:cs="Arial"/>
          <w:lang w:eastAsia="en-IN"/>
        </w:rPr>
        <w:t xml:space="preserve">. Field persistence and efficacy of topramezone in warm-season maize systems. </w:t>
      </w:r>
      <w:r w:rsidRPr="007402E4">
        <w:rPr>
          <w:rFonts w:ascii="Arial" w:hAnsi="Arial" w:cs="Arial"/>
          <w:i/>
          <w:iCs/>
          <w:lang w:eastAsia="en-IN"/>
        </w:rPr>
        <w:t>Agron</w:t>
      </w:r>
      <w:r w:rsidR="004456E6" w:rsidRPr="007402E4">
        <w:rPr>
          <w:rFonts w:ascii="Arial" w:hAnsi="Arial" w:cs="Arial"/>
          <w:i/>
          <w:iCs/>
          <w:lang w:eastAsia="en-IN"/>
        </w:rPr>
        <w:t>omy</w:t>
      </w:r>
      <w:r w:rsidRPr="007402E4">
        <w:rPr>
          <w:rFonts w:ascii="Arial" w:hAnsi="Arial" w:cs="Arial"/>
          <w:i/>
          <w:iCs/>
          <w:lang w:eastAsia="en-IN"/>
        </w:rPr>
        <w:t xml:space="preserve"> J</w:t>
      </w:r>
      <w:r w:rsidR="004456E6" w:rsidRPr="007402E4">
        <w:rPr>
          <w:rFonts w:ascii="Arial" w:hAnsi="Arial" w:cs="Arial"/>
          <w:i/>
          <w:iCs/>
          <w:lang w:eastAsia="en-IN"/>
        </w:rPr>
        <w:t>ournal,</w:t>
      </w:r>
      <w:r w:rsidRPr="007402E4">
        <w:rPr>
          <w:rFonts w:ascii="Arial" w:hAnsi="Arial" w:cs="Arial"/>
          <w:lang w:eastAsia="en-IN"/>
        </w:rPr>
        <w:t xml:space="preserve"> 114</w:t>
      </w:r>
      <w:r w:rsidR="004456E6" w:rsidRPr="007402E4">
        <w:rPr>
          <w:rFonts w:ascii="Arial" w:hAnsi="Arial" w:cs="Arial"/>
          <w:lang w:eastAsia="en-IN"/>
        </w:rPr>
        <w:t>,</w:t>
      </w:r>
      <w:r w:rsidRPr="007402E4">
        <w:rPr>
          <w:rFonts w:ascii="Arial" w:hAnsi="Arial" w:cs="Arial"/>
          <w:lang w:eastAsia="en-IN"/>
        </w:rPr>
        <w:t xml:space="preserve"> 2910–2922.</w:t>
      </w:r>
    </w:p>
    <w:p w14:paraId="74A4FD8E" w14:textId="5B968A7C" w:rsidR="00BF7AB2" w:rsidRPr="007402E4" w:rsidRDefault="003C4ABE" w:rsidP="007402E4">
      <w:pPr>
        <w:spacing w:before="100" w:beforeAutospacing="1" w:after="100" w:afterAutospacing="1"/>
        <w:jc w:val="both"/>
        <w:rPr>
          <w:rFonts w:ascii="Arial" w:hAnsi="Arial" w:cs="Arial"/>
        </w:rPr>
      </w:pPr>
      <w:r w:rsidRPr="007402E4">
        <w:rPr>
          <w:rFonts w:ascii="Arial" w:hAnsi="Arial" w:cs="Arial"/>
        </w:rPr>
        <w:t xml:space="preserve">Rao, P. L., </w:t>
      </w:r>
      <w:proofErr w:type="spellStart"/>
      <w:r w:rsidRPr="007402E4">
        <w:rPr>
          <w:rFonts w:ascii="Arial" w:hAnsi="Arial" w:cs="Arial"/>
        </w:rPr>
        <w:t>Jayasree</w:t>
      </w:r>
      <w:proofErr w:type="spellEnd"/>
      <w:r w:rsidRPr="007402E4">
        <w:rPr>
          <w:rFonts w:ascii="Arial" w:hAnsi="Arial" w:cs="Arial"/>
        </w:rPr>
        <w:t>, G., Pratibha, G., &amp; Ram Prakash, T. (2017). Effect of Soil Amendments on Physical Properties of Soil in Maize (</w:t>
      </w:r>
      <w:proofErr w:type="spellStart"/>
      <w:r w:rsidRPr="007402E4">
        <w:rPr>
          <w:rFonts w:ascii="Arial" w:hAnsi="Arial" w:cs="Arial"/>
        </w:rPr>
        <w:t>Zea</w:t>
      </w:r>
      <w:proofErr w:type="spellEnd"/>
      <w:r w:rsidRPr="007402E4">
        <w:rPr>
          <w:rFonts w:ascii="Arial" w:hAnsi="Arial" w:cs="Arial"/>
        </w:rPr>
        <w:t xml:space="preserve"> mays L.). International Journal of Current Microbiology and Applied Sciences, 6(6), 2082-2091 </w:t>
      </w:r>
      <w:hyperlink r:id="rId20" w:history="1">
        <w:r w:rsidRPr="007402E4">
          <w:rPr>
            <w:rStyle w:val="Hyperlink"/>
            <w:rFonts w:ascii="Arial" w:hAnsi="Arial" w:cs="Arial"/>
          </w:rPr>
          <w:t>https://doi.org/10.20546/ijcmas.2017.606.247</w:t>
        </w:r>
      </w:hyperlink>
      <w:r w:rsidRPr="007402E4">
        <w:rPr>
          <w:rFonts w:ascii="Arial" w:hAnsi="Arial" w:cs="Arial"/>
        </w:rPr>
        <w:t xml:space="preserve"> </w:t>
      </w:r>
    </w:p>
    <w:p w14:paraId="78A01FED" w14:textId="21E9AB9E" w:rsidR="00BF7AB2" w:rsidRPr="007402E4" w:rsidRDefault="008E419E" w:rsidP="007402E4">
      <w:pPr>
        <w:spacing w:before="100" w:beforeAutospacing="1" w:after="100" w:afterAutospacing="1"/>
        <w:jc w:val="both"/>
        <w:rPr>
          <w:rFonts w:ascii="Arial" w:hAnsi="Arial" w:cs="Arial"/>
        </w:rPr>
      </w:pPr>
      <w:r w:rsidRPr="007402E4">
        <w:rPr>
          <w:rFonts w:ascii="Arial" w:hAnsi="Arial" w:cs="Arial"/>
        </w:rPr>
        <w:t xml:space="preserve">Richards, L. A. (Ed.). (1954). Diagnosis and improvement of saline and alkali soils. USDA Handbook No. 60. U.S. Salinity Laboratory, U.S. Department of Agriculture. </w:t>
      </w:r>
      <w:hyperlink r:id="rId21" w:history="1">
        <w:r w:rsidRPr="007402E4">
          <w:rPr>
            <w:rStyle w:val="Hyperlink"/>
            <w:rFonts w:ascii="Arial" w:hAnsi="Arial" w:cs="Arial"/>
          </w:rPr>
          <w:t>https://www.ars.usda.gov/pacific-west-area/riverside-ca/ussl/docs/handbook-no-60/</w:t>
        </w:r>
      </w:hyperlink>
      <w:r w:rsidRPr="007402E4">
        <w:rPr>
          <w:rFonts w:ascii="Arial" w:hAnsi="Arial" w:cs="Arial"/>
        </w:rPr>
        <w:t xml:space="preserve"> </w:t>
      </w:r>
    </w:p>
    <w:p w14:paraId="31F5C44E" w14:textId="3F03D99F" w:rsidR="00BF7AB2" w:rsidRPr="007402E4" w:rsidRDefault="00BF7AB2" w:rsidP="007402E4">
      <w:pPr>
        <w:spacing w:before="100" w:beforeAutospacing="1" w:after="100" w:afterAutospacing="1"/>
        <w:jc w:val="both"/>
        <w:rPr>
          <w:rFonts w:ascii="Arial" w:hAnsi="Arial" w:cs="Arial"/>
          <w:lang w:eastAsia="en-IN"/>
        </w:rPr>
      </w:pPr>
      <w:r w:rsidRPr="007402E4">
        <w:rPr>
          <w:rFonts w:ascii="Arial" w:hAnsi="Arial" w:cs="Arial"/>
        </w:rPr>
        <w:t xml:space="preserve">U.S. EPA. </w:t>
      </w:r>
      <w:r w:rsidR="00760D48" w:rsidRPr="007402E4">
        <w:rPr>
          <w:rFonts w:ascii="Arial" w:hAnsi="Arial" w:cs="Arial"/>
        </w:rPr>
        <w:t>(</w:t>
      </w:r>
      <w:r w:rsidRPr="007402E4">
        <w:rPr>
          <w:rFonts w:ascii="Arial" w:hAnsi="Arial" w:cs="Arial"/>
        </w:rPr>
        <w:t>2013</w:t>
      </w:r>
      <w:r w:rsidR="00760D48" w:rsidRPr="007402E4">
        <w:rPr>
          <w:rFonts w:ascii="Arial" w:hAnsi="Arial" w:cs="Arial"/>
        </w:rPr>
        <w:t>)</w:t>
      </w:r>
      <w:r w:rsidRPr="007402E4">
        <w:rPr>
          <w:rFonts w:ascii="Arial" w:hAnsi="Arial" w:cs="Arial"/>
        </w:rPr>
        <w:t xml:space="preserve">. </w:t>
      </w:r>
      <w:r w:rsidRPr="007402E4">
        <w:rPr>
          <w:rStyle w:val="Emphasis"/>
          <w:rFonts w:ascii="Arial" w:eastAsiaTheme="majorEastAsia" w:hAnsi="Arial" w:cs="Arial"/>
        </w:rPr>
        <w:t>Environmental Fate and Ecological Risk Assessment for Topramezone</w:t>
      </w:r>
      <w:r w:rsidRPr="007402E4">
        <w:rPr>
          <w:rFonts w:ascii="Arial" w:hAnsi="Arial" w:cs="Arial"/>
        </w:rPr>
        <w:t>. Office of Pesticide Programs, Washington D.C</w:t>
      </w:r>
    </w:p>
    <w:p w14:paraId="3C78ABE5" w14:textId="297BA67D" w:rsidR="00BF7AB2" w:rsidRPr="007402E4" w:rsidRDefault="00BF7AB2" w:rsidP="007402E4">
      <w:pPr>
        <w:spacing w:before="100" w:beforeAutospacing="1" w:after="100" w:afterAutospacing="1"/>
        <w:jc w:val="both"/>
        <w:rPr>
          <w:rFonts w:ascii="Arial" w:hAnsi="Arial" w:cs="Arial"/>
          <w:lang w:eastAsia="en-IN"/>
        </w:rPr>
      </w:pPr>
      <w:r w:rsidRPr="007402E4">
        <w:rPr>
          <w:rFonts w:ascii="Arial" w:hAnsi="Arial" w:cs="Arial"/>
          <w:lang w:eastAsia="en-IN"/>
        </w:rPr>
        <w:lastRenderedPageBreak/>
        <w:t xml:space="preserve">Walker A. </w:t>
      </w:r>
      <w:r w:rsidR="00760D48" w:rsidRPr="007402E4">
        <w:rPr>
          <w:rFonts w:ascii="Arial" w:hAnsi="Arial" w:cs="Arial"/>
          <w:lang w:eastAsia="en-IN"/>
        </w:rPr>
        <w:t>(</w:t>
      </w:r>
      <w:r w:rsidRPr="007402E4">
        <w:rPr>
          <w:rFonts w:ascii="Arial" w:hAnsi="Arial" w:cs="Arial"/>
          <w:lang w:eastAsia="en-IN"/>
        </w:rPr>
        <w:t>1974</w:t>
      </w:r>
      <w:r w:rsidR="00760D48" w:rsidRPr="007402E4">
        <w:rPr>
          <w:rFonts w:ascii="Arial" w:hAnsi="Arial" w:cs="Arial"/>
          <w:lang w:eastAsia="en-IN"/>
        </w:rPr>
        <w:t>)</w:t>
      </w:r>
      <w:r w:rsidRPr="007402E4">
        <w:rPr>
          <w:rFonts w:ascii="Arial" w:hAnsi="Arial" w:cs="Arial"/>
          <w:lang w:eastAsia="en-IN"/>
        </w:rPr>
        <w:t>. A simulation model for prediction of herbicide persistence.</w:t>
      </w:r>
      <w:r w:rsidRPr="007402E4">
        <w:rPr>
          <w:rFonts w:ascii="Arial" w:hAnsi="Arial" w:cs="Arial"/>
          <w:i/>
          <w:iCs/>
          <w:lang w:eastAsia="en-IN"/>
        </w:rPr>
        <w:t xml:space="preserve"> Journal of Environmental Quality,</w:t>
      </w:r>
      <w:r w:rsidRPr="007402E4">
        <w:rPr>
          <w:rFonts w:ascii="Arial" w:hAnsi="Arial" w:cs="Arial"/>
          <w:b/>
          <w:bCs/>
          <w:lang w:eastAsia="en-IN"/>
        </w:rPr>
        <w:t xml:space="preserve"> </w:t>
      </w:r>
      <w:r w:rsidRPr="007402E4">
        <w:rPr>
          <w:rFonts w:ascii="Arial" w:hAnsi="Arial" w:cs="Arial"/>
          <w:lang w:eastAsia="en-IN"/>
        </w:rPr>
        <w:t>3</w:t>
      </w:r>
      <w:r w:rsidR="00760D48" w:rsidRPr="007402E4">
        <w:rPr>
          <w:rFonts w:ascii="Arial" w:hAnsi="Arial" w:cs="Arial"/>
          <w:lang w:eastAsia="en-IN"/>
        </w:rPr>
        <w:t xml:space="preserve">, </w:t>
      </w:r>
      <w:r w:rsidRPr="007402E4">
        <w:rPr>
          <w:rFonts w:ascii="Arial" w:hAnsi="Arial" w:cs="Arial"/>
          <w:lang w:eastAsia="en-IN"/>
        </w:rPr>
        <w:t>396–401.</w:t>
      </w:r>
    </w:p>
    <w:p w14:paraId="7C673592" w14:textId="2F30BF47" w:rsidR="00BF7AB2" w:rsidRPr="007402E4" w:rsidRDefault="001E6790" w:rsidP="007402E4">
      <w:pPr>
        <w:spacing w:before="100" w:beforeAutospacing="1" w:after="100" w:afterAutospacing="1"/>
        <w:jc w:val="both"/>
        <w:rPr>
          <w:rFonts w:ascii="Arial" w:hAnsi="Arial" w:cs="Arial"/>
          <w:lang w:eastAsia="en-IN"/>
        </w:rPr>
      </w:pPr>
      <w:r w:rsidRPr="007402E4">
        <w:rPr>
          <w:rFonts w:ascii="Arial" w:hAnsi="Arial" w:cs="Arial"/>
        </w:rPr>
        <w:t xml:space="preserve">Walkley, A., &amp; Black, I. A. (1934). An examination of the </w:t>
      </w:r>
      <w:proofErr w:type="spellStart"/>
      <w:r w:rsidRPr="007402E4">
        <w:rPr>
          <w:rFonts w:ascii="Arial" w:hAnsi="Arial" w:cs="Arial"/>
        </w:rPr>
        <w:t>Degtjareff</w:t>
      </w:r>
      <w:proofErr w:type="spellEnd"/>
      <w:r w:rsidRPr="007402E4">
        <w:rPr>
          <w:rFonts w:ascii="Arial" w:hAnsi="Arial" w:cs="Arial"/>
        </w:rPr>
        <w:t xml:space="preserve"> method for determining soil organic matter and a proposed modification of the chromic acid titration method. Soil Science, 37, 29–38. </w:t>
      </w:r>
      <w:hyperlink r:id="rId22" w:history="1">
        <w:r w:rsidRPr="007402E4">
          <w:rPr>
            <w:rStyle w:val="Hyperlink"/>
            <w:rFonts w:ascii="Arial" w:hAnsi="Arial" w:cs="Arial"/>
          </w:rPr>
          <w:t>https://doi.org/10.1097/00010694-193401000-00003</w:t>
        </w:r>
      </w:hyperlink>
      <w:r w:rsidRPr="007402E4">
        <w:rPr>
          <w:rFonts w:ascii="Arial" w:hAnsi="Arial" w:cs="Arial"/>
        </w:rPr>
        <w:t xml:space="preserve"> </w:t>
      </w:r>
    </w:p>
    <w:p w14:paraId="1F4300F3" w14:textId="42C0A8FF" w:rsidR="00BF7AB2" w:rsidRDefault="00811D49" w:rsidP="005458A1">
      <w:pPr>
        <w:pStyle w:val="Body"/>
        <w:spacing w:after="0"/>
        <w:rPr>
          <w:rFonts w:ascii="Arial" w:hAnsi="Arial" w:cs="Arial"/>
          <w:highlight w:val="yellow"/>
        </w:rPr>
      </w:pPr>
      <w:proofErr w:type="spellStart"/>
      <w:r w:rsidRPr="00DD6F0A">
        <w:rPr>
          <w:rFonts w:ascii="Arial" w:hAnsi="Arial" w:cs="Arial"/>
          <w:highlight w:val="yellow"/>
        </w:rPr>
        <w:t>Sondhia</w:t>
      </w:r>
      <w:proofErr w:type="spellEnd"/>
      <w:r w:rsidRPr="00DD6F0A">
        <w:rPr>
          <w:rFonts w:ascii="Arial" w:hAnsi="Arial" w:cs="Arial"/>
          <w:highlight w:val="yellow"/>
        </w:rPr>
        <w:t xml:space="preserve">, S. (2025). Evaluating the Environmental Impact of Topramezone in Maize Fields: A Comprehensive Assessment of Risk, Degradation Kinetics, and Residue Dynamics. Journal of Food Composition and Analysis, 108022. </w:t>
      </w:r>
      <w:hyperlink r:id="rId23" w:history="1">
        <w:r w:rsidR="00351625" w:rsidRPr="00DD6F0A">
          <w:rPr>
            <w:rStyle w:val="Hyperlink"/>
            <w:rFonts w:ascii="Arial" w:hAnsi="Arial" w:cs="Arial"/>
            <w:highlight w:val="yellow"/>
          </w:rPr>
          <w:t>https://doi.org/10.1016/j.jfca.2025.108022</w:t>
        </w:r>
      </w:hyperlink>
    </w:p>
    <w:p w14:paraId="4FA4F471" w14:textId="742023DD" w:rsidR="00351625" w:rsidRDefault="00351625" w:rsidP="005458A1">
      <w:pPr>
        <w:pStyle w:val="Body"/>
        <w:spacing w:after="0"/>
        <w:rPr>
          <w:rFonts w:ascii="Arial" w:hAnsi="Arial" w:cs="Arial"/>
        </w:rPr>
      </w:pPr>
    </w:p>
    <w:p w14:paraId="100CBE56" w14:textId="3924AF8D" w:rsidR="00351625" w:rsidRDefault="00351625" w:rsidP="005458A1">
      <w:pPr>
        <w:pStyle w:val="Body"/>
        <w:spacing w:after="0"/>
        <w:rPr>
          <w:rFonts w:ascii="Arial" w:hAnsi="Arial" w:cs="Arial"/>
          <w:highlight w:val="yellow"/>
        </w:rPr>
      </w:pPr>
      <w:r w:rsidRPr="00DD6F0A">
        <w:rPr>
          <w:rFonts w:ascii="Arial" w:hAnsi="Arial" w:cs="Arial"/>
          <w:highlight w:val="yellow"/>
        </w:rPr>
        <w:t xml:space="preserve">K. T. Jadhav, S. S. Mane, P. G. Chavan, and V. S. </w:t>
      </w:r>
      <w:proofErr w:type="spellStart"/>
      <w:r w:rsidRPr="00DD6F0A">
        <w:rPr>
          <w:rFonts w:ascii="Arial" w:hAnsi="Arial" w:cs="Arial"/>
          <w:highlight w:val="yellow"/>
        </w:rPr>
        <w:t>Gavande</w:t>
      </w:r>
      <w:proofErr w:type="spellEnd"/>
      <w:r w:rsidRPr="00DD6F0A">
        <w:rPr>
          <w:rFonts w:ascii="Arial" w:hAnsi="Arial" w:cs="Arial"/>
          <w:highlight w:val="yellow"/>
        </w:rPr>
        <w:t>. 2022. “Effect of Herbicide Combinations on Growth and Yield of Kharif Maize (</w:t>
      </w:r>
      <w:proofErr w:type="spellStart"/>
      <w:r w:rsidRPr="00DD6F0A">
        <w:rPr>
          <w:rFonts w:ascii="Arial" w:hAnsi="Arial" w:cs="Arial"/>
          <w:highlight w:val="yellow"/>
        </w:rPr>
        <w:t>Zea</w:t>
      </w:r>
      <w:proofErr w:type="spellEnd"/>
      <w:r w:rsidRPr="00DD6F0A">
        <w:rPr>
          <w:rFonts w:ascii="Arial" w:hAnsi="Arial" w:cs="Arial"/>
          <w:highlight w:val="yellow"/>
        </w:rPr>
        <w:t xml:space="preserve"> Mays L.)”. International Journal of Plant &amp; Soil Science 34 (23):1617–1623. </w:t>
      </w:r>
      <w:hyperlink r:id="rId24" w:history="1">
        <w:r w:rsidRPr="00DD6F0A">
          <w:rPr>
            <w:rStyle w:val="Hyperlink"/>
            <w:rFonts w:ascii="Arial" w:hAnsi="Arial" w:cs="Arial"/>
            <w:highlight w:val="yellow"/>
          </w:rPr>
          <w:t>https://doi.org/10.9734/ijpss/2022/v34i232583</w:t>
        </w:r>
      </w:hyperlink>
      <w:r w:rsidRPr="00DD6F0A">
        <w:rPr>
          <w:rFonts w:ascii="Arial" w:hAnsi="Arial" w:cs="Arial"/>
          <w:highlight w:val="yellow"/>
        </w:rPr>
        <w:t>.</w:t>
      </w:r>
    </w:p>
    <w:p w14:paraId="4E6713A6" w14:textId="4F6F8A17" w:rsidR="00351625" w:rsidRDefault="00351625" w:rsidP="005458A1">
      <w:pPr>
        <w:pStyle w:val="Body"/>
        <w:spacing w:after="0"/>
        <w:rPr>
          <w:rFonts w:ascii="Arial" w:hAnsi="Arial" w:cs="Arial"/>
        </w:rPr>
      </w:pPr>
    </w:p>
    <w:p w14:paraId="1F33FA8B" w14:textId="77777777" w:rsidR="00351625" w:rsidRPr="00351625" w:rsidRDefault="00351625" w:rsidP="00351625">
      <w:pPr>
        <w:rPr>
          <w:rFonts w:ascii="Arial" w:hAnsi="Arial" w:cs="Arial"/>
        </w:rPr>
      </w:pPr>
      <w:proofErr w:type="spellStart"/>
      <w:r w:rsidRPr="00DD6F0A">
        <w:rPr>
          <w:rFonts w:ascii="Arial" w:hAnsi="Arial" w:cs="Arial"/>
          <w:highlight w:val="yellow"/>
        </w:rPr>
        <w:t>Uwamungu</w:t>
      </w:r>
      <w:proofErr w:type="spellEnd"/>
      <w:r w:rsidRPr="00DD6F0A">
        <w:rPr>
          <w:rFonts w:ascii="Arial" w:hAnsi="Arial" w:cs="Arial"/>
          <w:highlight w:val="yellow"/>
        </w:rPr>
        <w:t xml:space="preserve">, J. Y., Nartey, O. D., </w:t>
      </w:r>
      <w:proofErr w:type="spellStart"/>
      <w:r w:rsidRPr="00DD6F0A">
        <w:rPr>
          <w:rFonts w:ascii="Arial" w:hAnsi="Arial" w:cs="Arial"/>
          <w:highlight w:val="yellow"/>
        </w:rPr>
        <w:t>Uwimpaye</w:t>
      </w:r>
      <w:proofErr w:type="spellEnd"/>
      <w:r w:rsidRPr="00DD6F0A">
        <w:rPr>
          <w:rFonts w:ascii="Arial" w:hAnsi="Arial" w:cs="Arial"/>
          <w:highlight w:val="yellow"/>
        </w:rPr>
        <w:t>, F., Dong, W., &amp; Hu, C. (2019). Evaluating Biochar Impact on Topramezone Adsorption Behavior on Soil under No-Tillage and Rotary Tillage Treatments: Isotherms and Kinetics. International Journal of Environmental Research and Public Health, 16(24), 5034. https://doi.org/10.3390/ijerph16245034</w:t>
      </w:r>
    </w:p>
    <w:p w14:paraId="05117458" w14:textId="271C9D9D" w:rsidR="00351625" w:rsidRDefault="00351625" w:rsidP="005458A1">
      <w:pPr>
        <w:pStyle w:val="Body"/>
        <w:spacing w:after="0"/>
        <w:rPr>
          <w:rFonts w:ascii="Arial" w:hAnsi="Arial" w:cs="Arial"/>
        </w:rPr>
      </w:pPr>
    </w:p>
    <w:p w14:paraId="0FD7647C" w14:textId="69D8AE28" w:rsidR="00DD6F0A" w:rsidRPr="005458A1" w:rsidRDefault="00DD6F0A" w:rsidP="005458A1">
      <w:pPr>
        <w:pStyle w:val="Body"/>
        <w:spacing w:after="0"/>
        <w:rPr>
          <w:rFonts w:ascii="Arial" w:hAnsi="Arial" w:cs="Arial"/>
        </w:rPr>
      </w:pPr>
      <w:r w:rsidRPr="00DD6F0A">
        <w:rPr>
          <w:rFonts w:ascii="Arial" w:hAnsi="Arial" w:cs="Arial"/>
          <w:highlight w:val="yellow"/>
        </w:rPr>
        <w:t xml:space="preserve">Sunil Kumar, Gajanand, </w:t>
      </w:r>
      <w:proofErr w:type="spellStart"/>
      <w:r w:rsidRPr="00DD6F0A">
        <w:rPr>
          <w:rFonts w:ascii="Arial" w:hAnsi="Arial" w:cs="Arial"/>
          <w:highlight w:val="yellow"/>
        </w:rPr>
        <w:t>Amrendra</w:t>
      </w:r>
      <w:proofErr w:type="spellEnd"/>
      <w:r w:rsidRPr="00DD6F0A">
        <w:rPr>
          <w:rFonts w:ascii="Arial" w:hAnsi="Arial" w:cs="Arial"/>
          <w:highlight w:val="yellow"/>
        </w:rPr>
        <w:t xml:space="preserve"> Kumar, R.S. Singh, and </w:t>
      </w:r>
      <w:proofErr w:type="spellStart"/>
      <w:r w:rsidRPr="00DD6F0A">
        <w:rPr>
          <w:rFonts w:ascii="Arial" w:hAnsi="Arial" w:cs="Arial"/>
          <w:highlight w:val="yellow"/>
        </w:rPr>
        <w:t>Devilal</w:t>
      </w:r>
      <w:proofErr w:type="spellEnd"/>
      <w:r w:rsidRPr="00DD6F0A">
        <w:rPr>
          <w:rFonts w:ascii="Arial" w:hAnsi="Arial" w:cs="Arial"/>
          <w:highlight w:val="yellow"/>
        </w:rPr>
        <w:t xml:space="preserve"> Birla. 2025. “Effect of New Generation Herbicides on Weed Dynamics and Yield of Chickpea (</w:t>
      </w:r>
      <w:proofErr w:type="spellStart"/>
      <w:r w:rsidRPr="00DD6F0A">
        <w:rPr>
          <w:rFonts w:ascii="Arial" w:hAnsi="Arial" w:cs="Arial"/>
          <w:highlight w:val="yellow"/>
        </w:rPr>
        <w:t>Cicer</w:t>
      </w:r>
      <w:proofErr w:type="spellEnd"/>
      <w:r w:rsidRPr="00DD6F0A">
        <w:rPr>
          <w:rFonts w:ascii="Arial" w:hAnsi="Arial" w:cs="Arial"/>
          <w:highlight w:val="yellow"/>
        </w:rPr>
        <w:t xml:space="preserve"> Arietinum L.)”. Journal of Advances in Biology &amp; Biotechnology 28 (2):691–694. https://doi.org/10.9734/jabb/2025/v28i22029.</w:t>
      </w:r>
    </w:p>
    <w:sectPr w:rsidR="00DD6F0A" w:rsidRPr="005458A1" w:rsidSect="00291AD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FDBAA" w14:textId="77777777" w:rsidR="00A30A94" w:rsidRDefault="00A30A94" w:rsidP="00C37E61">
      <w:r>
        <w:separator/>
      </w:r>
    </w:p>
  </w:endnote>
  <w:endnote w:type="continuationSeparator" w:id="0">
    <w:p w14:paraId="4A7D3776" w14:textId="77777777" w:rsidR="00A30A94" w:rsidRDefault="00A30A9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090E" w14:textId="77777777" w:rsidR="00291AD5" w:rsidRDefault="00291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D262E" w14:textId="77777777" w:rsidR="00291AD5" w:rsidRDefault="00291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15F7" w14:textId="2991B910" w:rsidR="00754C9A" w:rsidRPr="00942456" w:rsidRDefault="00754C9A" w:rsidP="00942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F3757" w14:textId="77777777" w:rsidR="00A30A94" w:rsidRDefault="00A30A94" w:rsidP="00C37E61">
      <w:r>
        <w:separator/>
      </w:r>
    </w:p>
  </w:footnote>
  <w:footnote w:type="continuationSeparator" w:id="0">
    <w:p w14:paraId="3DC850E9" w14:textId="77777777" w:rsidR="00A30A94" w:rsidRDefault="00A30A9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FC43" w14:textId="66E9743B" w:rsidR="00291AD5" w:rsidRDefault="00A30A94">
    <w:pPr>
      <w:pStyle w:val="Header"/>
    </w:pPr>
    <w:r>
      <w:rPr>
        <w:noProof/>
      </w:rPr>
      <w:pict w14:anchorId="577CB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59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98895" w14:textId="3D57FB13" w:rsidR="00291AD5" w:rsidRDefault="00A30A94">
    <w:pPr>
      <w:pStyle w:val="Header"/>
    </w:pPr>
    <w:r>
      <w:rPr>
        <w:noProof/>
      </w:rPr>
      <w:pict w14:anchorId="09DB4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59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A8F5" w14:textId="1B167B0E" w:rsidR="00296529" w:rsidRPr="00296529" w:rsidRDefault="00A30A94" w:rsidP="00296529">
    <w:pPr>
      <w:ind w:left="2160"/>
      <w:jc w:val="center"/>
      <w:rPr>
        <w:rFonts w:ascii="Times New Roman" w:eastAsia="Calibri" w:hAnsi="Times New Roman"/>
        <w:i/>
        <w:sz w:val="18"/>
        <w:szCs w:val="22"/>
      </w:rPr>
    </w:pPr>
    <w:r>
      <w:rPr>
        <w:noProof/>
      </w:rPr>
      <w:pict w14:anchorId="3F5E2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59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F38F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CE8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0549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DE06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992B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26D73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CB0F40"/>
    <w:multiLevelType w:val="hybridMultilevel"/>
    <w:tmpl w:val="6820F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3MTA0MDA2tzQwNTRT0lEKTi0uzszPAykwrAUAAH/ffC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A1B"/>
    <w:rsid w:val="00130F17"/>
    <w:rsid w:val="001320BF"/>
    <w:rsid w:val="00136701"/>
    <w:rsid w:val="00163BC4"/>
    <w:rsid w:val="00191062"/>
    <w:rsid w:val="00192B72"/>
    <w:rsid w:val="00197F3F"/>
    <w:rsid w:val="001A29D8"/>
    <w:rsid w:val="001A3870"/>
    <w:rsid w:val="001A5CAA"/>
    <w:rsid w:val="001A6BB1"/>
    <w:rsid w:val="001B0427"/>
    <w:rsid w:val="001C3200"/>
    <w:rsid w:val="001D3A51"/>
    <w:rsid w:val="001D4EBC"/>
    <w:rsid w:val="001E10D2"/>
    <w:rsid w:val="001E25B4"/>
    <w:rsid w:val="001E44FE"/>
    <w:rsid w:val="001E6790"/>
    <w:rsid w:val="00200595"/>
    <w:rsid w:val="00204835"/>
    <w:rsid w:val="00213B6E"/>
    <w:rsid w:val="00231920"/>
    <w:rsid w:val="0023195C"/>
    <w:rsid w:val="0024282C"/>
    <w:rsid w:val="002460DC"/>
    <w:rsid w:val="00250985"/>
    <w:rsid w:val="002556F6"/>
    <w:rsid w:val="00283105"/>
    <w:rsid w:val="00284C4C"/>
    <w:rsid w:val="00287E68"/>
    <w:rsid w:val="00291AD5"/>
    <w:rsid w:val="00296529"/>
    <w:rsid w:val="002B27FB"/>
    <w:rsid w:val="002B685A"/>
    <w:rsid w:val="002C57D2"/>
    <w:rsid w:val="002E0D56"/>
    <w:rsid w:val="00315186"/>
    <w:rsid w:val="0033343E"/>
    <w:rsid w:val="003512C2"/>
    <w:rsid w:val="00351625"/>
    <w:rsid w:val="00371FB6"/>
    <w:rsid w:val="003763C1"/>
    <w:rsid w:val="00376BBE"/>
    <w:rsid w:val="00381209"/>
    <w:rsid w:val="0039224F"/>
    <w:rsid w:val="003A43A4"/>
    <w:rsid w:val="003A7E18"/>
    <w:rsid w:val="003C4ABE"/>
    <w:rsid w:val="003C4C86"/>
    <w:rsid w:val="003C6258"/>
    <w:rsid w:val="003E0ACD"/>
    <w:rsid w:val="003E2904"/>
    <w:rsid w:val="00401927"/>
    <w:rsid w:val="0041027F"/>
    <w:rsid w:val="00412475"/>
    <w:rsid w:val="00423789"/>
    <w:rsid w:val="0043463D"/>
    <w:rsid w:val="00440F43"/>
    <w:rsid w:val="00441B6F"/>
    <w:rsid w:val="004456E6"/>
    <w:rsid w:val="00446221"/>
    <w:rsid w:val="00450E62"/>
    <w:rsid w:val="004539DB"/>
    <w:rsid w:val="00465C84"/>
    <w:rsid w:val="00471A80"/>
    <w:rsid w:val="004D305E"/>
    <w:rsid w:val="004D4277"/>
    <w:rsid w:val="00502516"/>
    <w:rsid w:val="00505F06"/>
    <w:rsid w:val="005060BA"/>
    <w:rsid w:val="00506828"/>
    <w:rsid w:val="00526244"/>
    <w:rsid w:val="0053056E"/>
    <w:rsid w:val="00530D85"/>
    <w:rsid w:val="005458A1"/>
    <w:rsid w:val="00554FDA"/>
    <w:rsid w:val="00571CE3"/>
    <w:rsid w:val="0058619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0AB"/>
    <w:rsid w:val="006D30FF"/>
    <w:rsid w:val="006D6940"/>
    <w:rsid w:val="006F11EC"/>
    <w:rsid w:val="0070082C"/>
    <w:rsid w:val="007369E6"/>
    <w:rsid w:val="007402E4"/>
    <w:rsid w:val="00742C49"/>
    <w:rsid w:val="00746E59"/>
    <w:rsid w:val="00754C9A"/>
    <w:rsid w:val="0075599A"/>
    <w:rsid w:val="00760D48"/>
    <w:rsid w:val="00761D52"/>
    <w:rsid w:val="0077749E"/>
    <w:rsid w:val="00790ADA"/>
    <w:rsid w:val="007D2288"/>
    <w:rsid w:val="007E088F"/>
    <w:rsid w:val="007F7B32"/>
    <w:rsid w:val="00804BC2"/>
    <w:rsid w:val="00811D49"/>
    <w:rsid w:val="0081431A"/>
    <w:rsid w:val="0083216F"/>
    <w:rsid w:val="008443F3"/>
    <w:rsid w:val="00852A0B"/>
    <w:rsid w:val="00860000"/>
    <w:rsid w:val="00863BD3"/>
    <w:rsid w:val="008641ED"/>
    <w:rsid w:val="00866D66"/>
    <w:rsid w:val="008671C6"/>
    <w:rsid w:val="00875803"/>
    <w:rsid w:val="00891C4F"/>
    <w:rsid w:val="00892FF4"/>
    <w:rsid w:val="008A794B"/>
    <w:rsid w:val="008B459E"/>
    <w:rsid w:val="008E13AE"/>
    <w:rsid w:val="008E1506"/>
    <w:rsid w:val="008E419E"/>
    <w:rsid w:val="008E710C"/>
    <w:rsid w:val="008F69D6"/>
    <w:rsid w:val="00902823"/>
    <w:rsid w:val="00915CA6"/>
    <w:rsid w:val="00927834"/>
    <w:rsid w:val="00942456"/>
    <w:rsid w:val="009500A6"/>
    <w:rsid w:val="00957C18"/>
    <w:rsid w:val="009631D3"/>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A94"/>
    <w:rsid w:val="00A347C0"/>
    <w:rsid w:val="00A40F38"/>
    <w:rsid w:val="00A51431"/>
    <w:rsid w:val="00A539AD"/>
    <w:rsid w:val="00A6655E"/>
    <w:rsid w:val="00A94063"/>
    <w:rsid w:val="00AA6219"/>
    <w:rsid w:val="00AA74E0"/>
    <w:rsid w:val="00AB703F"/>
    <w:rsid w:val="00AC391E"/>
    <w:rsid w:val="00AC6BB8"/>
    <w:rsid w:val="00AE008F"/>
    <w:rsid w:val="00B01FCD"/>
    <w:rsid w:val="00B1776C"/>
    <w:rsid w:val="00B52583"/>
    <w:rsid w:val="00B52896"/>
    <w:rsid w:val="00B923A0"/>
    <w:rsid w:val="00B95236"/>
    <w:rsid w:val="00B96BD9"/>
    <w:rsid w:val="00BA1B01"/>
    <w:rsid w:val="00BA2641"/>
    <w:rsid w:val="00BB37AA"/>
    <w:rsid w:val="00BC53A0"/>
    <w:rsid w:val="00BE62AD"/>
    <w:rsid w:val="00BF121F"/>
    <w:rsid w:val="00BF1F80"/>
    <w:rsid w:val="00BF7AB2"/>
    <w:rsid w:val="00C166EF"/>
    <w:rsid w:val="00C17EB0"/>
    <w:rsid w:val="00C27F5F"/>
    <w:rsid w:val="00C30A0F"/>
    <w:rsid w:val="00C37E61"/>
    <w:rsid w:val="00C57985"/>
    <w:rsid w:val="00C70F1B"/>
    <w:rsid w:val="00C71A47"/>
    <w:rsid w:val="00C7464C"/>
    <w:rsid w:val="00C85588"/>
    <w:rsid w:val="00CD6755"/>
    <w:rsid w:val="00CD6856"/>
    <w:rsid w:val="00CE0089"/>
    <w:rsid w:val="00CE793C"/>
    <w:rsid w:val="00CF193C"/>
    <w:rsid w:val="00D173F1"/>
    <w:rsid w:val="00D67967"/>
    <w:rsid w:val="00D74CB0"/>
    <w:rsid w:val="00D8295D"/>
    <w:rsid w:val="00DC2A65"/>
    <w:rsid w:val="00DD6F0A"/>
    <w:rsid w:val="00DE15F0"/>
    <w:rsid w:val="00DE5619"/>
    <w:rsid w:val="00DE5663"/>
    <w:rsid w:val="00DE78AA"/>
    <w:rsid w:val="00E053D0"/>
    <w:rsid w:val="00E15994"/>
    <w:rsid w:val="00E3114E"/>
    <w:rsid w:val="00E31A70"/>
    <w:rsid w:val="00E35B02"/>
    <w:rsid w:val="00E4099F"/>
    <w:rsid w:val="00E66496"/>
    <w:rsid w:val="00E66B35"/>
    <w:rsid w:val="00E66E10"/>
    <w:rsid w:val="00E769F6"/>
    <w:rsid w:val="00E829B0"/>
    <w:rsid w:val="00E8407C"/>
    <w:rsid w:val="00E84F3C"/>
    <w:rsid w:val="00E92AAF"/>
    <w:rsid w:val="00EA012C"/>
    <w:rsid w:val="00EC6A55"/>
    <w:rsid w:val="00ED0288"/>
    <w:rsid w:val="00EE52CB"/>
    <w:rsid w:val="00EF581D"/>
    <w:rsid w:val="00EF7FD8"/>
    <w:rsid w:val="00F06F59"/>
    <w:rsid w:val="00F0779E"/>
    <w:rsid w:val="00F17988"/>
    <w:rsid w:val="00F207C6"/>
    <w:rsid w:val="00F469F0"/>
    <w:rsid w:val="00F53273"/>
    <w:rsid w:val="00F755E4"/>
    <w:rsid w:val="00F77D02"/>
    <w:rsid w:val="00F9460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3B13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8120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7F3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2624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891C4F"/>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891C4F"/>
    <w:rPr>
      <w:b/>
      <w:bCs/>
    </w:rPr>
  </w:style>
  <w:style w:type="character" w:customStyle="1" w:styleId="Heading3Char">
    <w:name w:val="Heading 3 Char"/>
    <w:basedOn w:val="DefaultParagraphFont"/>
    <w:link w:val="Heading3"/>
    <w:semiHidden/>
    <w:rsid w:val="00197F3F"/>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rsid w:val="00197F3F"/>
  </w:style>
  <w:style w:type="character" w:customStyle="1" w:styleId="vlist-s">
    <w:name w:val="vlist-s"/>
    <w:basedOn w:val="DefaultParagraphFont"/>
    <w:rsid w:val="00197F3F"/>
  </w:style>
  <w:style w:type="character" w:customStyle="1" w:styleId="Heading2Char">
    <w:name w:val="Heading 2 Char"/>
    <w:basedOn w:val="DefaultParagraphFont"/>
    <w:link w:val="Heading2"/>
    <w:uiPriority w:val="9"/>
    <w:semiHidden/>
    <w:rsid w:val="00381209"/>
    <w:rPr>
      <w:rFonts w:asciiTheme="majorHAnsi" w:eastAsiaTheme="majorEastAsia" w:hAnsiTheme="majorHAnsi" w:cstheme="majorBidi"/>
      <w:color w:val="365F91" w:themeColor="accent1" w:themeShade="BF"/>
      <w:sz w:val="26"/>
      <w:szCs w:val="26"/>
    </w:rPr>
  </w:style>
  <w:style w:type="character" w:customStyle="1" w:styleId="nlmstring-name">
    <w:name w:val="nlm_string-name"/>
    <w:basedOn w:val="DefaultParagraphFont"/>
    <w:rsid w:val="00B923A0"/>
  </w:style>
  <w:style w:type="character" w:customStyle="1" w:styleId="nlmarticle-title">
    <w:name w:val="nlm_article-title"/>
    <w:basedOn w:val="DefaultParagraphFont"/>
    <w:rsid w:val="00B923A0"/>
  </w:style>
  <w:style w:type="character" w:customStyle="1" w:styleId="nlmyear">
    <w:name w:val="nlm_year"/>
    <w:basedOn w:val="DefaultParagraphFont"/>
    <w:rsid w:val="00B923A0"/>
  </w:style>
  <w:style w:type="character" w:customStyle="1" w:styleId="nlmvolume">
    <w:name w:val="nlm_volume"/>
    <w:basedOn w:val="DefaultParagraphFont"/>
    <w:rsid w:val="00B923A0"/>
  </w:style>
  <w:style w:type="character" w:customStyle="1" w:styleId="nlmfpage">
    <w:name w:val="nlm_fpage"/>
    <w:basedOn w:val="DefaultParagraphFont"/>
    <w:rsid w:val="00B923A0"/>
  </w:style>
  <w:style w:type="character" w:customStyle="1" w:styleId="nlmlpage">
    <w:name w:val="nlm_lpage"/>
    <w:basedOn w:val="DefaultParagraphFont"/>
    <w:rsid w:val="00B923A0"/>
  </w:style>
  <w:style w:type="character" w:customStyle="1" w:styleId="Heading4Char">
    <w:name w:val="Heading 4 Char"/>
    <w:basedOn w:val="DefaultParagraphFont"/>
    <w:link w:val="Heading4"/>
    <w:uiPriority w:val="9"/>
    <w:semiHidden/>
    <w:rsid w:val="00526244"/>
    <w:rPr>
      <w:rFonts w:asciiTheme="majorHAnsi" w:eastAsiaTheme="majorEastAsia" w:hAnsiTheme="majorHAnsi" w:cstheme="majorBidi"/>
      <w:i/>
      <w:iCs/>
      <w:color w:val="365F91" w:themeColor="accent1" w:themeShade="BF"/>
      <w:sz w:val="22"/>
      <w:szCs w:val="22"/>
      <w:lang w:val="en-IN"/>
    </w:rPr>
  </w:style>
  <w:style w:type="character" w:customStyle="1" w:styleId="author0">
    <w:name w:val="author"/>
    <w:basedOn w:val="DefaultParagraphFont"/>
    <w:rsid w:val="00BF7AB2"/>
  </w:style>
  <w:style w:type="character" w:customStyle="1" w:styleId="othertitle">
    <w:name w:val="othertitle"/>
    <w:basedOn w:val="DefaultParagraphFont"/>
    <w:rsid w:val="00BF7AB2"/>
  </w:style>
  <w:style w:type="character" w:customStyle="1" w:styleId="vol">
    <w:name w:val="vol"/>
    <w:basedOn w:val="DefaultParagraphFont"/>
    <w:rsid w:val="00BF7AB2"/>
  </w:style>
  <w:style w:type="character" w:customStyle="1" w:styleId="pagefirst">
    <w:name w:val="pagefirst"/>
    <w:basedOn w:val="DefaultParagraphFont"/>
    <w:rsid w:val="00BF7AB2"/>
  </w:style>
  <w:style w:type="character" w:customStyle="1" w:styleId="pagelast">
    <w:name w:val="pagelast"/>
    <w:basedOn w:val="DefaultParagraphFont"/>
    <w:rsid w:val="00BF7AB2"/>
  </w:style>
  <w:style w:type="paragraph" w:styleId="ListParagraph">
    <w:name w:val="List Paragraph"/>
    <w:basedOn w:val="Normal"/>
    <w:uiPriority w:val="34"/>
    <w:qFormat/>
    <w:rsid w:val="00130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450668">
      <w:bodyDiv w:val="1"/>
      <w:marLeft w:val="0"/>
      <w:marRight w:val="0"/>
      <w:marTop w:val="0"/>
      <w:marBottom w:val="0"/>
      <w:divBdr>
        <w:top w:val="none" w:sz="0" w:space="0" w:color="auto"/>
        <w:left w:val="none" w:sz="0" w:space="0" w:color="auto"/>
        <w:bottom w:val="none" w:sz="0" w:space="0" w:color="auto"/>
        <w:right w:val="none" w:sz="0" w:space="0" w:color="auto"/>
      </w:divBdr>
      <w:divsChild>
        <w:div w:id="267930636">
          <w:marLeft w:val="0"/>
          <w:marRight w:val="0"/>
          <w:marTop w:val="0"/>
          <w:marBottom w:val="0"/>
          <w:divBdr>
            <w:top w:val="none" w:sz="0" w:space="0" w:color="auto"/>
            <w:left w:val="none" w:sz="0" w:space="0" w:color="auto"/>
            <w:bottom w:val="none" w:sz="0" w:space="0" w:color="auto"/>
            <w:right w:val="none" w:sz="0" w:space="0" w:color="auto"/>
          </w:divBdr>
          <w:divsChild>
            <w:div w:id="1407072921">
              <w:marLeft w:val="0"/>
              <w:marRight w:val="0"/>
              <w:marTop w:val="0"/>
              <w:marBottom w:val="0"/>
              <w:divBdr>
                <w:top w:val="none" w:sz="0" w:space="0" w:color="auto"/>
                <w:left w:val="none" w:sz="0" w:space="0" w:color="auto"/>
                <w:bottom w:val="none" w:sz="0" w:space="0" w:color="auto"/>
                <w:right w:val="none" w:sz="0" w:space="0" w:color="auto"/>
              </w:divBdr>
              <w:divsChild>
                <w:div w:id="856039789">
                  <w:marLeft w:val="0"/>
                  <w:marRight w:val="0"/>
                  <w:marTop w:val="0"/>
                  <w:marBottom w:val="0"/>
                  <w:divBdr>
                    <w:top w:val="none" w:sz="0" w:space="0" w:color="auto"/>
                    <w:left w:val="none" w:sz="0" w:space="0" w:color="auto"/>
                    <w:bottom w:val="none" w:sz="0" w:space="0" w:color="auto"/>
                    <w:right w:val="none" w:sz="0" w:space="0" w:color="auto"/>
                  </w:divBdr>
                  <w:divsChild>
                    <w:div w:id="11787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4877086">
      <w:bodyDiv w:val="1"/>
      <w:marLeft w:val="0"/>
      <w:marRight w:val="0"/>
      <w:marTop w:val="0"/>
      <w:marBottom w:val="0"/>
      <w:divBdr>
        <w:top w:val="none" w:sz="0" w:space="0" w:color="auto"/>
        <w:left w:val="none" w:sz="0" w:space="0" w:color="auto"/>
        <w:bottom w:val="none" w:sz="0" w:space="0" w:color="auto"/>
        <w:right w:val="none" w:sz="0" w:space="0" w:color="auto"/>
      </w:divBdr>
      <w:divsChild>
        <w:div w:id="606623919">
          <w:marLeft w:val="0"/>
          <w:marRight w:val="0"/>
          <w:marTop w:val="0"/>
          <w:marBottom w:val="0"/>
          <w:divBdr>
            <w:top w:val="none" w:sz="0" w:space="0" w:color="auto"/>
            <w:left w:val="none" w:sz="0" w:space="0" w:color="auto"/>
            <w:bottom w:val="none" w:sz="0" w:space="0" w:color="auto"/>
            <w:right w:val="none" w:sz="0" w:space="0" w:color="auto"/>
          </w:divBdr>
          <w:divsChild>
            <w:div w:id="11955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0581379">
      <w:bodyDiv w:val="1"/>
      <w:marLeft w:val="0"/>
      <w:marRight w:val="0"/>
      <w:marTop w:val="0"/>
      <w:marBottom w:val="0"/>
      <w:divBdr>
        <w:top w:val="none" w:sz="0" w:space="0" w:color="auto"/>
        <w:left w:val="none" w:sz="0" w:space="0" w:color="auto"/>
        <w:bottom w:val="none" w:sz="0" w:space="0" w:color="auto"/>
        <w:right w:val="none" w:sz="0" w:space="0" w:color="auto"/>
      </w:divBdr>
      <w:divsChild>
        <w:div w:id="716125314">
          <w:marLeft w:val="0"/>
          <w:marRight w:val="0"/>
          <w:marTop w:val="0"/>
          <w:marBottom w:val="0"/>
          <w:divBdr>
            <w:top w:val="none" w:sz="0" w:space="0" w:color="auto"/>
            <w:left w:val="none" w:sz="0" w:space="0" w:color="auto"/>
            <w:bottom w:val="none" w:sz="0" w:space="0" w:color="auto"/>
            <w:right w:val="none" w:sz="0" w:space="0" w:color="auto"/>
          </w:divBdr>
          <w:divsChild>
            <w:div w:id="1083990961">
              <w:marLeft w:val="0"/>
              <w:marRight w:val="0"/>
              <w:marTop w:val="0"/>
              <w:marBottom w:val="0"/>
              <w:divBdr>
                <w:top w:val="none" w:sz="0" w:space="0" w:color="auto"/>
                <w:left w:val="none" w:sz="0" w:space="0" w:color="auto"/>
                <w:bottom w:val="none" w:sz="0" w:space="0" w:color="auto"/>
                <w:right w:val="none" w:sz="0" w:space="0" w:color="auto"/>
              </w:divBdr>
              <w:divsChild>
                <w:div w:id="667824443">
                  <w:marLeft w:val="0"/>
                  <w:marRight w:val="0"/>
                  <w:marTop w:val="0"/>
                  <w:marBottom w:val="0"/>
                  <w:divBdr>
                    <w:top w:val="none" w:sz="0" w:space="0" w:color="auto"/>
                    <w:left w:val="none" w:sz="0" w:space="0" w:color="auto"/>
                    <w:bottom w:val="none" w:sz="0" w:space="0" w:color="auto"/>
                    <w:right w:val="none" w:sz="0" w:space="0" w:color="auto"/>
                  </w:divBdr>
                  <w:divsChild>
                    <w:div w:id="16219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ar.icrisat.org/8000/1/Proceedings_of_the_24th_Asian-Pacific_Weed_Science_Society_Conference_October_22-25,_2013,_Bandung_Indonesia.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rs.usda.gov/pacific-west-area/riverside-ca/ussl/docs/handbook-no-6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2/etc.562008041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903/j.efsa.2014.3540" TargetMode="External"/><Relationship Id="rId20" Type="http://schemas.openxmlformats.org/officeDocument/2006/relationships/hyperlink" Target="https://doi.org/10.20546/ijcmas.2017.606.2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ijpss/2022/v34i232583"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16/j.jfca.2025.108022" TargetMode="External"/><Relationship Id="rId10" Type="http://schemas.openxmlformats.org/officeDocument/2006/relationships/footer" Target="footer1.xml"/><Relationship Id="rId19" Type="http://schemas.openxmlformats.org/officeDocument/2006/relationships/hyperlink" Target="https://doi.org/10.1002/1526-4998(200102)57:2%3c120::AID-PS254%3e3.0.CO;2-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97/00010694-193401000-00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a:solidFill>
                  <a:sysClr val="windowText" lastClr="000000"/>
                </a:solidFill>
              </a:rPr>
              <a:t>Red soil</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403971242725094"/>
          <c:y val="3.8275398502016514E-2"/>
          <c:w val="0.79839507018144473"/>
          <c:h val="0.83490740486707449"/>
        </c:manualLayout>
      </c:layout>
      <c:scatterChart>
        <c:scatterStyle val="smoothMarker"/>
        <c:varyColors val="0"/>
        <c:ser>
          <c:idx val="0"/>
          <c:order val="0"/>
          <c:tx>
            <c:strRef>
              <c:f>'Diss red (3)'!$D$3</c:f>
              <c:strCache>
                <c:ptCount val="1"/>
                <c:pt idx="0">
                  <c:v>Field Capacity</c:v>
                </c:pt>
              </c:strCache>
            </c:strRef>
          </c:tx>
          <c:spPr>
            <a:ln w="12700" cap="rnd">
              <a:solidFill>
                <a:sysClr val="windowText" lastClr="000000"/>
              </a:solidFill>
              <a:round/>
            </a:ln>
            <a:effectLst/>
          </c:spPr>
          <c:marker>
            <c:symbol val="circle"/>
            <c:size val="5"/>
            <c:spPr>
              <a:solidFill>
                <a:schemeClr val="tx1"/>
              </a:solidFill>
              <a:ln w="12700">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8.8358468200147436E-2"/>
                  <c:y val="-0.36408006691471256"/>
                </c:manualLayout>
              </c:layout>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baseline="0">
                        <a:solidFill>
                          <a:sysClr val="windowText" lastClr="000000"/>
                        </a:solidFill>
                      </a:rPr>
                      <a:t>y = 87.316e</a:t>
                    </a:r>
                    <a:r>
                      <a:rPr lang="en-US" baseline="30000">
                        <a:solidFill>
                          <a:sysClr val="windowText" lastClr="000000"/>
                        </a:solidFill>
                      </a:rPr>
                      <a:t>-0.0057x</a:t>
                    </a:r>
                    <a:br>
                      <a:rPr lang="en-US" baseline="0">
                        <a:solidFill>
                          <a:sysClr val="windowText" lastClr="000000"/>
                        </a:solidFill>
                      </a:rPr>
                    </a:br>
                    <a:r>
                      <a:rPr lang="en-US" baseline="0">
                        <a:solidFill>
                          <a:sysClr val="windowText" lastClr="000000"/>
                        </a:solidFill>
                      </a:rPr>
                      <a:t>R² = 0.9709</a:t>
                    </a:r>
                    <a:endParaRPr lang="en-US">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'Diss red (3)'!$C$4:$C$11</c:f>
              <c:numCache>
                <c:formatCode>General</c:formatCode>
                <c:ptCount val="8"/>
                <c:pt idx="0">
                  <c:v>0</c:v>
                </c:pt>
                <c:pt idx="1">
                  <c:v>15</c:v>
                </c:pt>
                <c:pt idx="2">
                  <c:v>30</c:v>
                </c:pt>
                <c:pt idx="3">
                  <c:v>45</c:v>
                </c:pt>
                <c:pt idx="4">
                  <c:v>60</c:v>
                </c:pt>
                <c:pt idx="5">
                  <c:v>90</c:v>
                </c:pt>
                <c:pt idx="6">
                  <c:v>120</c:v>
                </c:pt>
                <c:pt idx="7">
                  <c:v>135</c:v>
                </c:pt>
              </c:numCache>
            </c:numRef>
          </c:xVal>
          <c:yVal>
            <c:numRef>
              <c:f>'Diss red (3)'!$D$4:$D$11</c:f>
              <c:numCache>
                <c:formatCode>General</c:formatCode>
                <c:ptCount val="8"/>
                <c:pt idx="0">
                  <c:v>90.61</c:v>
                </c:pt>
                <c:pt idx="1">
                  <c:v>80.209999999999994</c:v>
                </c:pt>
                <c:pt idx="2">
                  <c:v>69.22</c:v>
                </c:pt>
                <c:pt idx="3">
                  <c:v>60.23</c:v>
                </c:pt>
                <c:pt idx="4">
                  <c:v>56.12</c:v>
                </c:pt>
                <c:pt idx="5">
                  <c:v>50.74</c:v>
                </c:pt>
                <c:pt idx="6">
                  <c:v>42.56</c:v>
                </c:pt>
                <c:pt idx="7">
                  <c:v>32.119999999999997</c:v>
                </c:pt>
              </c:numCache>
            </c:numRef>
          </c:yVal>
          <c:smooth val="1"/>
          <c:extLst>
            <c:ext xmlns:c16="http://schemas.microsoft.com/office/drawing/2014/chart" uri="{C3380CC4-5D6E-409C-BE32-E72D297353CC}">
              <c16:uniqueId val="{00000001-DC0E-40A0-B0AF-BE5CA6FC4AF1}"/>
            </c:ext>
          </c:extLst>
        </c:ser>
        <c:dLbls>
          <c:showLegendKey val="0"/>
          <c:showVal val="0"/>
          <c:showCatName val="0"/>
          <c:showSerName val="0"/>
          <c:showPercent val="0"/>
          <c:showBubbleSize val="0"/>
        </c:dLbls>
        <c:axId val="1434589391"/>
        <c:axId val="1434590223"/>
      </c:scatterChart>
      <c:valAx>
        <c:axId val="143458939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90223"/>
        <c:crosses val="autoZero"/>
        <c:crossBetween val="midCat"/>
      </c:valAx>
      <c:valAx>
        <c:axId val="1434590223"/>
        <c:scaling>
          <c:orientation val="minMax"/>
          <c:max val="95"/>
          <c:min val="25"/>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345893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Black</a:t>
            </a:r>
            <a:r>
              <a:rPr lang="en-US" sz="1200" baseline="0">
                <a:solidFill>
                  <a:sysClr val="windowText" lastClr="000000"/>
                </a:solidFill>
              </a:rPr>
              <a:t> </a:t>
            </a:r>
            <a:r>
              <a:rPr lang="en-US" sz="1200">
                <a:solidFill>
                  <a:sysClr val="windowText" lastClr="000000"/>
                </a:solidFill>
              </a:rPr>
              <a:t>soil</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412850897163947"/>
          <c:y val="8.7672226250906468E-2"/>
          <c:w val="0.78199749008806907"/>
          <c:h val="0.74410248211359364"/>
        </c:manualLayout>
      </c:layout>
      <c:scatterChart>
        <c:scatterStyle val="smoothMarker"/>
        <c:varyColors val="0"/>
        <c:ser>
          <c:idx val="0"/>
          <c:order val="0"/>
          <c:tx>
            <c:strRef>
              <c:f>'Diss Black (2)'!$D$3</c:f>
              <c:strCache>
                <c:ptCount val="1"/>
                <c:pt idx="0">
                  <c:v>Field Capacity</c:v>
                </c:pt>
              </c:strCache>
            </c:strRef>
          </c:tx>
          <c:spPr>
            <a:ln w="12700" cap="rnd">
              <a:solidFill>
                <a:sysClr val="windowText" lastClr="000000"/>
              </a:solidFill>
              <a:round/>
            </a:ln>
            <a:effectLst/>
          </c:spPr>
          <c:marker>
            <c:symbol val="circle"/>
            <c:size val="5"/>
            <c:spPr>
              <a:solidFill>
                <a:schemeClr val="tx1"/>
              </a:solidFill>
              <a:ln w="12700">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7.5684580330138557E-2"/>
                  <c:y val="-0.33162967573215785"/>
                </c:manualLayout>
              </c:layout>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baseline="0">
                        <a:solidFill>
                          <a:sysClr val="windowText" lastClr="000000"/>
                        </a:solidFill>
                      </a:rPr>
                      <a:t>y = 89.262e</a:t>
                    </a:r>
                    <a:r>
                      <a:rPr lang="en-US" baseline="30000">
                        <a:solidFill>
                          <a:sysClr val="windowText" lastClr="000000"/>
                        </a:solidFill>
                      </a:rPr>
                      <a:t>-0.0069x</a:t>
                    </a:r>
                    <a:br>
                      <a:rPr lang="en-US" baseline="0">
                        <a:solidFill>
                          <a:sysClr val="windowText" lastClr="000000"/>
                        </a:solidFill>
                      </a:rPr>
                    </a:br>
                    <a:r>
                      <a:rPr lang="en-US" baseline="0">
                        <a:solidFill>
                          <a:sysClr val="windowText" lastClr="000000"/>
                        </a:solidFill>
                      </a:rPr>
                      <a:t>R² = 0.9778</a:t>
                    </a:r>
                    <a:endParaRPr lang="en-US">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'Diss Black (2)'!$C$4:$C$11</c:f>
              <c:numCache>
                <c:formatCode>General</c:formatCode>
                <c:ptCount val="8"/>
                <c:pt idx="0">
                  <c:v>0</c:v>
                </c:pt>
                <c:pt idx="1">
                  <c:v>15</c:v>
                </c:pt>
                <c:pt idx="2">
                  <c:v>30</c:v>
                </c:pt>
                <c:pt idx="3">
                  <c:v>45</c:v>
                </c:pt>
                <c:pt idx="4">
                  <c:v>60</c:v>
                </c:pt>
                <c:pt idx="5">
                  <c:v>90</c:v>
                </c:pt>
                <c:pt idx="6">
                  <c:v>120</c:v>
                </c:pt>
                <c:pt idx="7">
                  <c:v>135</c:v>
                </c:pt>
              </c:numCache>
            </c:numRef>
          </c:xVal>
          <c:yVal>
            <c:numRef>
              <c:f>'Diss Black (2)'!$D$4:$D$11</c:f>
              <c:numCache>
                <c:formatCode>General</c:formatCode>
                <c:ptCount val="8"/>
                <c:pt idx="0">
                  <c:v>92.12</c:v>
                </c:pt>
                <c:pt idx="1">
                  <c:v>80.12</c:v>
                </c:pt>
                <c:pt idx="2">
                  <c:v>68.650000000000006</c:v>
                </c:pt>
                <c:pt idx="3">
                  <c:v>63.12</c:v>
                </c:pt>
                <c:pt idx="4">
                  <c:v>54.56</c:v>
                </c:pt>
                <c:pt idx="5">
                  <c:v>46.56</c:v>
                </c:pt>
                <c:pt idx="6">
                  <c:v>37.450000000000003</c:v>
                </c:pt>
                <c:pt idx="7">
                  <c:v>29.56</c:v>
                </c:pt>
              </c:numCache>
            </c:numRef>
          </c:yVal>
          <c:smooth val="1"/>
          <c:extLst>
            <c:ext xmlns:c16="http://schemas.microsoft.com/office/drawing/2014/chart" uri="{C3380CC4-5D6E-409C-BE32-E72D297353CC}">
              <c16:uniqueId val="{00000001-A0CA-4B40-A8E7-482CD36CD602}"/>
            </c:ext>
          </c:extLst>
        </c:ser>
        <c:dLbls>
          <c:showLegendKey val="0"/>
          <c:showVal val="0"/>
          <c:showCatName val="0"/>
          <c:showSerName val="0"/>
          <c:showPercent val="0"/>
          <c:showBubbleSize val="0"/>
        </c:dLbls>
        <c:axId val="1434589391"/>
        <c:axId val="1434590223"/>
      </c:scatterChart>
      <c:valAx>
        <c:axId val="143458939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90223"/>
        <c:crosses val="autoZero"/>
        <c:crossBetween val="midCat"/>
      </c:valAx>
      <c:valAx>
        <c:axId val="1434590223"/>
        <c:scaling>
          <c:orientation val="minMax"/>
          <c:min val="25"/>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345893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16ADD-D775-4133-858A-AACA5A25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8</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21853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22</cp:revision>
  <cp:lastPrinted>1999-07-06T11:00:00Z</cp:lastPrinted>
  <dcterms:created xsi:type="dcterms:W3CDTF">2025-12-22T09:49:00Z</dcterms:created>
  <dcterms:modified xsi:type="dcterms:W3CDTF">2026-01-02T10:13:00Z</dcterms:modified>
</cp:coreProperties>
</file>