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8E8" w:rsidRPr="009B155B" w:rsidRDefault="007C58E8" w:rsidP="000A0021">
      <w:pPr>
        <w:spacing w:after="0" w:line="360" w:lineRule="auto"/>
        <w:jc w:val="center"/>
        <w:rPr>
          <w:rFonts w:ascii="Times New Roman" w:eastAsia="Arial" w:hAnsi="Times New Roman" w:cs="Times New Roman"/>
          <w:b/>
          <w:bCs/>
          <w:iCs/>
          <w:sz w:val="28"/>
          <w:szCs w:val="28"/>
        </w:rPr>
      </w:pPr>
      <w:r w:rsidRPr="009B155B">
        <w:rPr>
          <w:rFonts w:ascii="Times New Roman" w:eastAsia="Arial" w:hAnsi="Times New Roman" w:cs="Times New Roman"/>
          <w:b/>
          <w:bCs/>
          <w:sz w:val="28"/>
          <w:szCs w:val="28"/>
        </w:rPr>
        <w:t xml:space="preserve">Integrated Nutrient Management </w:t>
      </w:r>
      <w:r w:rsidR="00DB3AA6">
        <w:rPr>
          <w:rFonts w:ascii="Times New Roman" w:eastAsia="Arial" w:hAnsi="Times New Roman" w:cs="Times New Roman"/>
          <w:b/>
          <w:bCs/>
          <w:sz w:val="28"/>
          <w:szCs w:val="28"/>
        </w:rPr>
        <w:t xml:space="preserve">practices </w:t>
      </w:r>
      <w:r w:rsidRPr="009B155B">
        <w:rPr>
          <w:rFonts w:ascii="Times New Roman" w:eastAsia="Arial" w:hAnsi="Times New Roman" w:cs="Times New Roman"/>
          <w:b/>
          <w:bCs/>
          <w:sz w:val="28"/>
          <w:szCs w:val="28"/>
        </w:rPr>
        <w:t>on growth, yield</w:t>
      </w:r>
      <w:r w:rsidR="00DB3AA6">
        <w:rPr>
          <w:rFonts w:ascii="Times New Roman" w:eastAsia="Arial" w:hAnsi="Times New Roman" w:cs="Times New Roman"/>
          <w:b/>
          <w:bCs/>
          <w:sz w:val="28"/>
          <w:szCs w:val="28"/>
        </w:rPr>
        <w:t xml:space="preserve"> attributes</w:t>
      </w:r>
      <w:r w:rsidRPr="009B155B">
        <w:rPr>
          <w:rFonts w:ascii="Times New Roman" w:eastAsia="Arial" w:hAnsi="Times New Roman" w:cs="Times New Roman"/>
          <w:b/>
          <w:bCs/>
          <w:sz w:val="28"/>
          <w:szCs w:val="28"/>
        </w:rPr>
        <w:t xml:space="preserve"> and quality of Cowpea (</w:t>
      </w:r>
      <w:proofErr w:type="spellStart"/>
      <w:r w:rsidR="007267C0">
        <w:rPr>
          <w:rFonts w:ascii="Times New Roman" w:eastAsia="Arial" w:hAnsi="Times New Roman" w:cs="Times New Roman"/>
          <w:b/>
          <w:bCs/>
          <w:i/>
          <w:sz w:val="28"/>
          <w:szCs w:val="28"/>
        </w:rPr>
        <w:t>V</w:t>
      </w:r>
      <w:r w:rsidRPr="009B155B">
        <w:rPr>
          <w:rFonts w:ascii="Times New Roman" w:eastAsia="Arial" w:hAnsi="Times New Roman" w:cs="Times New Roman"/>
          <w:b/>
          <w:bCs/>
          <w:i/>
          <w:sz w:val="28"/>
          <w:szCs w:val="28"/>
        </w:rPr>
        <w:t>ingna</w:t>
      </w:r>
      <w:proofErr w:type="spellEnd"/>
      <w:r w:rsidRPr="009B155B">
        <w:rPr>
          <w:rFonts w:ascii="Times New Roman" w:eastAsia="Arial" w:hAnsi="Times New Roman" w:cs="Times New Roman"/>
          <w:b/>
          <w:bCs/>
          <w:i/>
          <w:sz w:val="28"/>
          <w:szCs w:val="28"/>
        </w:rPr>
        <w:t xml:space="preserve"> </w:t>
      </w:r>
      <w:proofErr w:type="spellStart"/>
      <w:r w:rsidRPr="009B155B">
        <w:rPr>
          <w:rFonts w:ascii="Times New Roman" w:eastAsia="Arial" w:hAnsi="Times New Roman" w:cs="Times New Roman"/>
          <w:b/>
          <w:bCs/>
          <w:i/>
          <w:sz w:val="28"/>
          <w:szCs w:val="28"/>
        </w:rPr>
        <w:t>unguiculata</w:t>
      </w:r>
      <w:proofErr w:type="spellEnd"/>
      <w:r w:rsidRPr="009B155B">
        <w:rPr>
          <w:rFonts w:ascii="Times New Roman" w:eastAsia="Arial" w:hAnsi="Times New Roman" w:cs="Times New Roman"/>
          <w:b/>
          <w:bCs/>
          <w:i/>
          <w:sz w:val="28"/>
          <w:szCs w:val="28"/>
        </w:rPr>
        <w:t xml:space="preserve"> </w:t>
      </w:r>
      <w:r w:rsidRPr="009B155B">
        <w:rPr>
          <w:rFonts w:ascii="Times New Roman" w:eastAsia="Arial" w:hAnsi="Times New Roman" w:cs="Times New Roman"/>
          <w:b/>
          <w:bCs/>
          <w:iCs/>
          <w:sz w:val="28"/>
          <w:szCs w:val="28"/>
        </w:rPr>
        <w:t>L.)</w:t>
      </w:r>
    </w:p>
    <w:p w:rsidR="00555993" w:rsidRPr="006B3530" w:rsidRDefault="00537FBE" w:rsidP="006B3530">
      <w:pPr>
        <w:spacing w:after="0" w:line="360" w:lineRule="auto"/>
        <w:jc w:val="center"/>
        <w:rPr>
          <w:rFonts w:ascii="Times New Roman" w:hAnsi="Times New Roman" w:cs="Times New Roman"/>
          <w:b/>
          <w:bCs/>
          <w:sz w:val="24"/>
          <w:szCs w:val="24"/>
        </w:rPr>
      </w:pPr>
      <w:r w:rsidRPr="006B3530">
        <w:rPr>
          <w:rFonts w:ascii="Times New Roman" w:hAnsi="Times New Roman" w:cs="Times New Roman"/>
          <w:b/>
          <w:bCs/>
          <w:sz w:val="24"/>
          <w:szCs w:val="24"/>
        </w:rPr>
        <w:t>Abstract</w:t>
      </w:r>
    </w:p>
    <w:p w:rsidR="00651A79" w:rsidRPr="00651A79" w:rsidRDefault="00651A79" w:rsidP="00651A79">
      <w:pPr>
        <w:spacing w:after="0" w:line="360" w:lineRule="auto"/>
        <w:ind w:firstLine="720"/>
        <w:jc w:val="both"/>
        <w:rPr>
          <w:rFonts w:ascii="Times New Roman" w:hAnsi="Times New Roman" w:cs="Times New Roman"/>
          <w:sz w:val="24"/>
          <w:szCs w:val="24"/>
        </w:rPr>
      </w:pPr>
      <w:r w:rsidRPr="00651A79">
        <w:rPr>
          <w:rFonts w:ascii="Times New Roman" w:hAnsi="Times New Roman" w:cs="Times New Roman"/>
          <w:sz w:val="24"/>
          <w:szCs w:val="24"/>
        </w:rPr>
        <w:t>An investigation was undertaken to evaluate the effect of Integrated Nutrient Management (INM) on growth, yield, and quality of cowpea (</w:t>
      </w:r>
      <w:r w:rsidRPr="008702FB">
        <w:rPr>
          <w:rFonts w:ascii="Times New Roman" w:hAnsi="Times New Roman" w:cs="Times New Roman"/>
          <w:i/>
          <w:iCs/>
          <w:sz w:val="24"/>
          <w:szCs w:val="24"/>
        </w:rPr>
        <w:t>Vigna unguiculata</w:t>
      </w:r>
      <w:r w:rsidRPr="00651A79">
        <w:rPr>
          <w:rFonts w:ascii="Times New Roman" w:hAnsi="Times New Roman" w:cs="Times New Roman"/>
          <w:sz w:val="24"/>
          <w:szCs w:val="24"/>
        </w:rPr>
        <w:t xml:space="preserve"> L.). The field experiment was conducted during the Rabi season of 2022 at the Research Farm of the Department of Horticulture, School of Agriculture Science, Technology &amp; Research, Sardar Patel University, </w:t>
      </w:r>
      <w:proofErr w:type="spellStart"/>
      <w:r w:rsidRPr="00651A79">
        <w:rPr>
          <w:rFonts w:ascii="Times New Roman" w:hAnsi="Times New Roman" w:cs="Times New Roman"/>
          <w:sz w:val="24"/>
          <w:szCs w:val="24"/>
        </w:rPr>
        <w:t>Balaghat</w:t>
      </w:r>
      <w:proofErr w:type="spellEnd"/>
      <w:r w:rsidRPr="00651A79">
        <w:rPr>
          <w:rFonts w:ascii="Times New Roman" w:hAnsi="Times New Roman" w:cs="Times New Roman"/>
          <w:sz w:val="24"/>
          <w:szCs w:val="24"/>
        </w:rPr>
        <w:t xml:space="preserve"> (Madhya Pradesh). The experiment was laid out in a Randomized Block Design (RBD) with three replications to minimize experimental error and to ensure uniformity of soil and environmental conditions. A total of eight treatments comprising different combinations of recommended dose of fertilizers (RDF) and organic manures were evaluated under the integrated nutrient management approach. The application of nutrients through integrated sources significantly influenced the growth, yield attributes, yield, and quality parameters of cowpea. Among the different treatments, T₅ (100% RDF + 2 tonnes FYM ha⁻¹) recorded superior performance in terms of plant height, number of pods per plant, number of seeds per pod, and seed yield per hectare. The enhanced growth under this treatment may be attributed to the balanced and sustained supply of nutrients from both inorganic fertilizers and farmyard manure, which improved soil physical condition, nutrient availability, microbial activity, and overall plant </w:t>
      </w:r>
      <w:proofErr w:type="spellStart"/>
      <w:r w:rsidRPr="00651A79">
        <w:rPr>
          <w:rFonts w:ascii="Times New Roman" w:hAnsi="Times New Roman" w:cs="Times New Roman"/>
          <w:sz w:val="24"/>
          <w:szCs w:val="24"/>
        </w:rPr>
        <w:t>vigor</w:t>
      </w:r>
      <w:proofErr w:type="spellEnd"/>
      <w:r w:rsidRPr="00651A79">
        <w:rPr>
          <w:rFonts w:ascii="Times New Roman" w:hAnsi="Times New Roman" w:cs="Times New Roman"/>
          <w:sz w:val="24"/>
          <w:szCs w:val="24"/>
        </w:rPr>
        <w:t xml:space="preserve">. In addition to yield improvement, treatment T₅ also resulted in the highest benefit–cost (B:C) ratio, indicating better economic returns compared to other treatments. The integration of FYM with chemical fertilizers not only reduced dependency on sole inorganic fertilizers but also improved nutrient use efficiency, leading to higher productivity and profitability. Overall, the study clearly demonstrated that integrated nutrient management involving 100% RDF in combination with 2 t FYM ha⁻¹ is an effective and economically viable nutrient management strategy for cowpea cultivation under the </w:t>
      </w:r>
      <w:proofErr w:type="spellStart"/>
      <w:r w:rsidRPr="00651A79">
        <w:rPr>
          <w:rFonts w:ascii="Times New Roman" w:hAnsi="Times New Roman" w:cs="Times New Roman"/>
          <w:sz w:val="24"/>
          <w:szCs w:val="24"/>
        </w:rPr>
        <w:t>agro</w:t>
      </w:r>
      <w:proofErr w:type="spellEnd"/>
      <w:r w:rsidRPr="00651A79">
        <w:rPr>
          <w:rFonts w:ascii="Times New Roman" w:hAnsi="Times New Roman" w:cs="Times New Roman"/>
          <w:sz w:val="24"/>
          <w:szCs w:val="24"/>
        </w:rPr>
        <w:t xml:space="preserve">-climatic conditions of </w:t>
      </w:r>
      <w:proofErr w:type="spellStart"/>
      <w:r w:rsidRPr="00651A79">
        <w:rPr>
          <w:rFonts w:ascii="Times New Roman" w:hAnsi="Times New Roman" w:cs="Times New Roman"/>
          <w:sz w:val="24"/>
          <w:szCs w:val="24"/>
        </w:rPr>
        <w:t>Balaghat</w:t>
      </w:r>
      <w:proofErr w:type="spellEnd"/>
      <w:r w:rsidRPr="00651A79">
        <w:rPr>
          <w:rFonts w:ascii="Times New Roman" w:hAnsi="Times New Roman" w:cs="Times New Roman"/>
          <w:sz w:val="24"/>
          <w:szCs w:val="24"/>
        </w:rPr>
        <w:t>, Madhya Pradesh. This approach can be recommended for sustainable cowpea production with improved growth, yield, quality, and soil health.</w:t>
      </w:r>
    </w:p>
    <w:p w:rsidR="0044494A" w:rsidRPr="006B3530" w:rsidRDefault="00537FBE" w:rsidP="009B2701">
      <w:pPr>
        <w:spacing w:before="240" w:after="0" w:line="360" w:lineRule="auto"/>
        <w:jc w:val="both"/>
        <w:rPr>
          <w:rFonts w:ascii="Times New Roman" w:hAnsi="Times New Roman" w:cs="Times New Roman"/>
          <w:sz w:val="24"/>
          <w:szCs w:val="24"/>
        </w:rPr>
      </w:pPr>
      <w:r w:rsidRPr="006B3530">
        <w:rPr>
          <w:rFonts w:ascii="Times New Roman" w:hAnsi="Times New Roman" w:cs="Times New Roman"/>
          <w:b/>
          <w:bCs/>
          <w:i/>
          <w:iCs/>
          <w:sz w:val="24"/>
          <w:szCs w:val="24"/>
        </w:rPr>
        <w:t>Keywords:</w:t>
      </w:r>
      <w:r w:rsidR="00FB79DF">
        <w:rPr>
          <w:rFonts w:ascii="Times New Roman" w:hAnsi="Times New Roman" w:cs="Times New Roman"/>
          <w:b/>
          <w:bCs/>
          <w:i/>
          <w:iCs/>
          <w:sz w:val="24"/>
          <w:szCs w:val="24"/>
        </w:rPr>
        <w:t xml:space="preserve"> </w:t>
      </w:r>
      <w:r w:rsidR="00E073A4" w:rsidRPr="006B3530">
        <w:rPr>
          <w:rFonts w:ascii="Times New Roman" w:eastAsia="Arial" w:hAnsi="Times New Roman" w:cs="Times New Roman"/>
          <w:sz w:val="24"/>
          <w:szCs w:val="24"/>
        </w:rPr>
        <w:t xml:space="preserve">Integrated, Nutrient, vermicompost, </w:t>
      </w:r>
      <w:r w:rsidR="00E073A4" w:rsidRPr="006B3530">
        <w:rPr>
          <w:rFonts w:ascii="Times New Roman" w:hAnsi="Times New Roman" w:cs="Times New Roman"/>
          <w:sz w:val="24"/>
          <w:szCs w:val="24"/>
        </w:rPr>
        <w:t xml:space="preserve">significantly increased, </w:t>
      </w:r>
      <w:r w:rsidR="00E073A4" w:rsidRPr="006B3530">
        <w:rPr>
          <w:rFonts w:ascii="Times New Roman" w:eastAsia="Arial" w:hAnsi="Times New Roman" w:cs="Times New Roman"/>
          <w:sz w:val="24"/>
          <w:szCs w:val="24"/>
        </w:rPr>
        <w:t>Cowpea</w:t>
      </w:r>
    </w:p>
    <w:p w:rsidR="00251904" w:rsidRPr="006B3530" w:rsidRDefault="00251904" w:rsidP="009B2701">
      <w:pPr>
        <w:spacing w:before="240" w:after="0" w:line="360" w:lineRule="auto"/>
        <w:jc w:val="both"/>
        <w:rPr>
          <w:rFonts w:ascii="Times New Roman" w:hAnsi="Times New Roman" w:cs="Times New Roman"/>
          <w:b/>
          <w:bCs/>
          <w:sz w:val="24"/>
          <w:szCs w:val="24"/>
        </w:rPr>
      </w:pPr>
      <w:r w:rsidRPr="006B3530">
        <w:rPr>
          <w:rFonts w:ascii="Times New Roman" w:hAnsi="Times New Roman" w:cs="Times New Roman"/>
          <w:b/>
          <w:bCs/>
          <w:sz w:val="24"/>
          <w:szCs w:val="24"/>
        </w:rPr>
        <w:t>Introduction</w:t>
      </w:r>
    </w:p>
    <w:p w:rsidR="00E073A4" w:rsidRPr="006B3530" w:rsidRDefault="00AE5EE6" w:rsidP="006B3530">
      <w:pPr>
        <w:spacing w:line="36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w:t>
      </w:r>
      <w:r w:rsidR="00E073A4" w:rsidRPr="006B3530">
        <w:rPr>
          <w:rFonts w:ascii="Times New Roman" w:eastAsia="Arial" w:hAnsi="Times New Roman" w:cs="Times New Roman"/>
          <w:sz w:val="24"/>
          <w:szCs w:val="24"/>
        </w:rPr>
        <w:t>Cowpea [</w:t>
      </w:r>
      <w:r w:rsidR="00E073A4" w:rsidRPr="006B3530">
        <w:rPr>
          <w:rFonts w:ascii="Times New Roman" w:eastAsia="Arial" w:hAnsi="Times New Roman" w:cs="Times New Roman"/>
          <w:i/>
          <w:sz w:val="24"/>
          <w:szCs w:val="24"/>
        </w:rPr>
        <w:t xml:space="preserve">Vigna </w:t>
      </w:r>
      <w:proofErr w:type="spellStart"/>
      <w:r w:rsidR="00E073A4" w:rsidRPr="006B3530">
        <w:rPr>
          <w:rFonts w:ascii="Times New Roman" w:eastAsia="Arial" w:hAnsi="Times New Roman" w:cs="Times New Roman"/>
          <w:i/>
          <w:sz w:val="24"/>
          <w:szCs w:val="24"/>
        </w:rPr>
        <w:t>unguiculata</w:t>
      </w:r>
      <w:proofErr w:type="spellEnd"/>
      <w:r w:rsidR="00E073A4" w:rsidRPr="006B3530">
        <w:rPr>
          <w:rFonts w:ascii="Times New Roman" w:eastAsia="Arial" w:hAnsi="Times New Roman" w:cs="Times New Roman"/>
          <w:i/>
          <w:sz w:val="24"/>
          <w:szCs w:val="24"/>
        </w:rPr>
        <w:t xml:space="preserve"> </w:t>
      </w:r>
      <w:r w:rsidR="00E073A4" w:rsidRPr="006B3530">
        <w:rPr>
          <w:rFonts w:ascii="Times New Roman" w:eastAsia="Arial" w:hAnsi="Times New Roman" w:cs="Times New Roman"/>
          <w:sz w:val="24"/>
          <w:szCs w:val="24"/>
        </w:rPr>
        <w:t xml:space="preserve">(L.)] is also known as black eye pea, southern pea and Crowder pea. It is an important legume vegetable crop. The crop is used for variety of ways, </w:t>
      </w:r>
      <w:r w:rsidR="00E073A4" w:rsidRPr="006B3530">
        <w:rPr>
          <w:rFonts w:ascii="Times New Roman" w:eastAsia="Arial" w:hAnsi="Times New Roman" w:cs="Times New Roman"/>
          <w:sz w:val="24"/>
          <w:szCs w:val="24"/>
        </w:rPr>
        <w:lastRenderedPageBreak/>
        <w:t>as vegetable it is grown for its long tender green pods which are used as a vegetable. Mature but green seeds are also used as a vegetable purpose</w:t>
      </w:r>
      <w:r>
        <w:rPr>
          <w:rFonts w:ascii="Times New Roman" w:eastAsia="Arial" w:hAnsi="Times New Roman" w:cs="Times New Roman"/>
          <w:sz w:val="24"/>
          <w:szCs w:val="24"/>
        </w:rPr>
        <w:t>”</w:t>
      </w:r>
      <w:r w:rsidR="00FB79DF">
        <w:rPr>
          <w:rFonts w:ascii="Times New Roman" w:eastAsia="Arial" w:hAnsi="Times New Roman" w:cs="Times New Roman"/>
          <w:sz w:val="24"/>
          <w:szCs w:val="24"/>
        </w:rPr>
        <w:t xml:space="preserve"> </w:t>
      </w:r>
      <w:r w:rsidR="00FB79DF" w:rsidRPr="00FB79DF">
        <w:rPr>
          <w:rFonts w:ascii="Times New Roman" w:eastAsia="Arial" w:hAnsi="Times New Roman" w:cs="Times New Roman"/>
          <w:sz w:val="24"/>
          <w:szCs w:val="24"/>
        </w:rPr>
        <w:t>(</w:t>
      </w:r>
      <w:r w:rsidRPr="00AE5EE6">
        <w:rPr>
          <w:rFonts w:ascii="Times New Roman" w:eastAsia="Arial" w:hAnsi="Times New Roman" w:cs="Times New Roman"/>
          <w:sz w:val="24"/>
          <w:szCs w:val="24"/>
        </w:rPr>
        <w:t>Singh</w:t>
      </w:r>
      <w:r>
        <w:rPr>
          <w:rFonts w:ascii="Times New Roman" w:eastAsia="Arial" w:hAnsi="Times New Roman" w:cs="Times New Roman"/>
          <w:sz w:val="24"/>
          <w:szCs w:val="24"/>
        </w:rPr>
        <w:t xml:space="preserve"> et al., 2018;</w:t>
      </w:r>
      <w:r w:rsidRPr="00AE5EE6">
        <w:rPr>
          <w:rFonts w:ascii="Times New Roman" w:eastAsia="Arial" w:hAnsi="Times New Roman" w:cs="Times New Roman"/>
          <w:sz w:val="24"/>
          <w:szCs w:val="24"/>
        </w:rPr>
        <w:t xml:space="preserve"> </w:t>
      </w:r>
      <w:r w:rsidR="00FB79DF" w:rsidRPr="00FB79DF">
        <w:rPr>
          <w:rFonts w:ascii="Times New Roman" w:eastAsia="Arial" w:hAnsi="Times New Roman" w:cs="Times New Roman"/>
          <w:sz w:val="24"/>
          <w:szCs w:val="24"/>
        </w:rPr>
        <w:t>Joshi et al., 2024)</w:t>
      </w:r>
      <w:r w:rsidR="00E073A4" w:rsidRPr="006B3530">
        <w:rPr>
          <w:rFonts w:ascii="Times New Roman" w:eastAsia="Arial" w:hAnsi="Times New Roman" w:cs="Times New Roman"/>
          <w:sz w:val="24"/>
          <w:szCs w:val="24"/>
        </w:rPr>
        <w:t xml:space="preserve">. </w:t>
      </w:r>
    </w:p>
    <w:p w:rsidR="00E073A4" w:rsidRPr="006B3530" w:rsidRDefault="00246355" w:rsidP="006B3530">
      <w:pPr>
        <w:spacing w:line="36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w:t>
      </w:r>
      <w:r w:rsidR="00E073A4" w:rsidRPr="006B3530">
        <w:rPr>
          <w:rFonts w:ascii="Times New Roman" w:eastAsia="Arial" w:hAnsi="Times New Roman" w:cs="Times New Roman"/>
          <w:sz w:val="24"/>
          <w:szCs w:val="24"/>
        </w:rPr>
        <w:t>Biological nitrogen fixation, green manuring, forage yield, high-quality hay and silage production, nutritional product synthesis, weed suppression, food production, revenue generation, and a source of protein are some of the common ways it is utilized to improve soil fertility</w:t>
      </w:r>
      <w:r>
        <w:rPr>
          <w:rFonts w:ascii="Times New Roman" w:eastAsia="Arial" w:hAnsi="Times New Roman" w:cs="Times New Roman"/>
          <w:sz w:val="24"/>
          <w:szCs w:val="24"/>
        </w:rPr>
        <w:t>”</w:t>
      </w:r>
      <w:r w:rsidR="00FB79DF">
        <w:rPr>
          <w:rFonts w:ascii="Times New Roman" w:eastAsia="Arial" w:hAnsi="Times New Roman" w:cs="Times New Roman"/>
          <w:sz w:val="24"/>
          <w:szCs w:val="24"/>
        </w:rPr>
        <w:t xml:space="preserve"> (</w:t>
      </w:r>
      <w:proofErr w:type="spellStart"/>
      <w:r w:rsidR="00FB79DF" w:rsidRPr="00FB79DF">
        <w:rPr>
          <w:rFonts w:ascii="Times New Roman" w:eastAsia="Arial" w:hAnsi="Times New Roman" w:cs="Times New Roman"/>
          <w:sz w:val="24"/>
          <w:szCs w:val="24"/>
        </w:rPr>
        <w:t>Gabasawa</w:t>
      </w:r>
      <w:proofErr w:type="spellEnd"/>
      <w:r w:rsidR="00FB79DF">
        <w:rPr>
          <w:rFonts w:ascii="Times New Roman" w:eastAsia="Arial" w:hAnsi="Times New Roman" w:cs="Times New Roman"/>
          <w:sz w:val="24"/>
          <w:szCs w:val="24"/>
        </w:rPr>
        <w:t xml:space="preserve"> et al., 2014)</w:t>
      </w:r>
      <w:r w:rsidR="00E073A4" w:rsidRPr="006B3530">
        <w:rPr>
          <w:rFonts w:ascii="Times New Roman" w:eastAsia="Arial" w:hAnsi="Times New Roman" w:cs="Times New Roman"/>
          <w:sz w:val="24"/>
          <w:szCs w:val="24"/>
        </w:rPr>
        <w:t>. Due to the availability of short-duration, high-yielding, and quickly growing cultivars, this crop is extremely important. Cowpea pods, which are soft green pods used as vegetables, are rich in calcium, phosphorus, and iron and contain 84.6% moisture, 4.3% protein, 8.0% carbohydrate, and 0.2% fat.</w:t>
      </w:r>
    </w:p>
    <w:p w:rsidR="00E073A4" w:rsidRPr="006B3530" w:rsidRDefault="006E7258" w:rsidP="006B353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E073A4" w:rsidRPr="006B3530">
        <w:rPr>
          <w:rFonts w:ascii="Times New Roman" w:hAnsi="Times New Roman" w:cs="Times New Roman"/>
          <w:sz w:val="24"/>
          <w:szCs w:val="24"/>
        </w:rPr>
        <w:t xml:space="preserve">The basic concept underlying the integrated nutrient management system (INMS), nevertheless, remains the maintenance and possible improvement of soil fertility for sustained crop productivity on long </w:t>
      </w:r>
      <w:r w:rsidR="00535598" w:rsidRPr="006B3530">
        <w:rPr>
          <w:rFonts w:ascii="Times New Roman" w:hAnsi="Times New Roman" w:cs="Times New Roman"/>
          <w:sz w:val="24"/>
          <w:szCs w:val="24"/>
        </w:rPr>
        <w:t>term basis</w:t>
      </w:r>
      <w:r w:rsidR="00E073A4" w:rsidRPr="006B3530">
        <w:rPr>
          <w:rFonts w:ascii="Times New Roman" w:hAnsi="Times New Roman" w:cs="Times New Roman"/>
          <w:sz w:val="24"/>
          <w:szCs w:val="24"/>
        </w:rPr>
        <w:t xml:space="preserve"> and also to reduce inorganic (fertilizer) input cost</w:t>
      </w:r>
      <w:r>
        <w:rPr>
          <w:rFonts w:ascii="Times New Roman" w:hAnsi="Times New Roman" w:cs="Times New Roman"/>
          <w:sz w:val="24"/>
          <w:szCs w:val="24"/>
        </w:rPr>
        <w:t>”</w:t>
      </w:r>
      <w:r w:rsidR="00E073A4" w:rsidRPr="006B3530">
        <w:rPr>
          <w:rFonts w:ascii="Times New Roman" w:hAnsi="Times New Roman" w:cs="Times New Roman"/>
          <w:sz w:val="24"/>
          <w:szCs w:val="24"/>
        </w:rPr>
        <w:t xml:space="preserve"> (Kumar and Chopra, 2010 and </w:t>
      </w:r>
      <w:proofErr w:type="spellStart"/>
      <w:r w:rsidR="00E073A4" w:rsidRPr="006B3530">
        <w:rPr>
          <w:rFonts w:ascii="Times New Roman" w:hAnsi="Times New Roman" w:cs="Times New Roman"/>
          <w:sz w:val="24"/>
          <w:szCs w:val="24"/>
        </w:rPr>
        <w:t>Kalhapure</w:t>
      </w:r>
      <w:r w:rsidR="001F2306" w:rsidRPr="001F2306">
        <w:rPr>
          <w:rFonts w:ascii="Times New Roman" w:hAnsi="Times New Roman" w:cs="Times New Roman"/>
          <w:i/>
          <w:iCs/>
          <w:sz w:val="24"/>
          <w:szCs w:val="24"/>
        </w:rPr>
        <w:t>et</w:t>
      </w:r>
      <w:proofErr w:type="spellEnd"/>
      <w:r w:rsidR="001F2306" w:rsidRPr="001F2306">
        <w:rPr>
          <w:rFonts w:ascii="Times New Roman" w:hAnsi="Times New Roman" w:cs="Times New Roman"/>
          <w:i/>
          <w:iCs/>
          <w:sz w:val="24"/>
          <w:szCs w:val="24"/>
        </w:rPr>
        <w:t xml:space="preserve"> al</w:t>
      </w:r>
      <w:r w:rsidR="00E073A4" w:rsidRPr="006B3530">
        <w:rPr>
          <w:rFonts w:ascii="Times New Roman" w:hAnsi="Times New Roman" w:cs="Times New Roman"/>
          <w:sz w:val="24"/>
          <w:szCs w:val="24"/>
        </w:rPr>
        <w:t xml:space="preserve">., 2013). Thus, </w:t>
      </w:r>
      <w:r>
        <w:rPr>
          <w:rFonts w:ascii="Times New Roman" w:hAnsi="Times New Roman" w:cs="Times New Roman"/>
          <w:sz w:val="24"/>
          <w:szCs w:val="24"/>
        </w:rPr>
        <w:t>“</w:t>
      </w:r>
      <w:r w:rsidR="00E073A4" w:rsidRPr="006B3530">
        <w:rPr>
          <w:rFonts w:ascii="Times New Roman" w:hAnsi="Times New Roman" w:cs="Times New Roman"/>
          <w:sz w:val="24"/>
          <w:szCs w:val="24"/>
        </w:rPr>
        <w:t xml:space="preserve">integrated nutrient supply/management (INM) aims at </w:t>
      </w:r>
      <w:r w:rsidR="00535598" w:rsidRPr="006B3530">
        <w:rPr>
          <w:rFonts w:ascii="Times New Roman" w:hAnsi="Times New Roman" w:cs="Times New Roman"/>
          <w:sz w:val="24"/>
          <w:szCs w:val="24"/>
        </w:rPr>
        <w:t xml:space="preserve">the </w:t>
      </w:r>
      <w:r w:rsidR="00E073A4" w:rsidRPr="006B3530">
        <w:rPr>
          <w:rFonts w:ascii="Times New Roman" w:hAnsi="Times New Roman" w:cs="Times New Roman"/>
          <w:sz w:val="24"/>
          <w:szCs w:val="24"/>
        </w:rPr>
        <w:t xml:space="preserve">maintenance or adjustment of soil fertility and plant nutrient supply to an optimum level for sustaining the desired crop productivity through </w:t>
      </w:r>
      <w:r w:rsidR="00535598" w:rsidRPr="006B3530">
        <w:rPr>
          <w:rFonts w:ascii="Times New Roman" w:hAnsi="Times New Roman" w:cs="Times New Roman"/>
          <w:sz w:val="24"/>
          <w:szCs w:val="24"/>
        </w:rPr>
        <w:t xml:space="preserve">the </w:t>
      </w:r>
      <w:r w:rsidR="00E073A4" w:rsidRPr="006B3530">
        <w:rPr>
          <w:rFonts w:ascii="Times New Roman" w:hAnsi="Times New Roman" w:cs="Times New Roman"/>
          <w:sz w:val="24"/>
          <w:szCs w:val="24"/>
        </w:rPr>
        <w:t xml:space="preserve">optimization of </w:t>
      </w:r>
      <w:r w:rsidR="00535598" w:rsidRPr="006B3530">
        <w:rPr>
          <w:rFonts w:ascii="Times New Roman" w:hAnsi="Times New Roman" w:cs="Times New Roman"/>
          <w:sz w:val="24"/>
          <w:szCs w:val="24"/>
        </w:rPr>
        <w:t>benefits</w:t>
      </w:r>
      <w:r w:rsidR="00E073A4" w:rsidRPr="006B3530">
        <w:rPr>
          <w:rFonts w:ascii="Times New Roman" w:hAnsi="Times New Roman" w:cs="Times New Roman"/>
          <w:sz w:val="24"/>
          <w:szCs w:val="24"/>
        </w:rPr>
        <w:t xml:space="preserve"> from all possible sources of plant nutrients in an integrated manner</w:t>
      </w:r>
      <w:r>
        <w:rPr>
          <w:rFonts w:ascii="Times New Roman" w:hAnsi="Times New Roman" w:cs="Times New Roman"/>
          <w:sz w:val="24"/>
          <w:szCs w:val="24"/>
        </w:rPr>
        <w:t>”</w:t>
      </w:r>
      <w:r w:rsidR="00E073A4" w:rsidRPr="006B3530">
        <w:rPr>
          <w:rFonts w:ascii="Times New Roman" w:hAnsi="Times New Roman" w:cs="Times New Roman"/>
          <w:sz w:val="24"/>
          <w:szCs w:val="24"/>
        </w:rPr>
        <w:t xml:space="preserve"> (Kannan </w:t>
      </w:r>
      <w:r w:rsidR="001F2306" w:rsidRPr="001F2306">
        <w:rPr>
          <w:rFonts w:ascii="Times New Roman" w:hAnsi="Times New Roman" w:cs="Times New Roman"/>
          <w:i/>
          <w:iCs/>
          <w:sz w:val="24"/>
          <w:szCs w:val="24"/>
        </w:rPr>
        <w:t>et al</w:t>
      </w:r>
      <w:r w:rsidR="00E073A4" w:rsidRPr="006B3530">
        <w:rPr>
          <w:rFonts w:ascii="Times New Roman" w:hAnsi="Times New Roman" w:cs="Times New Roman"/>
          <w:sz w:val="24"/>
          <w:szCs w:val="24"/>
        </w:rPr>
        <w:t xml:space="preserve">., 2013 and Jat </w:t>
      </w:r>
      <w:r w:rsidR="001F2306" w:rsidRPr="001F2306">
        <w:rPr>
          <w:rFonts w:ascii="Times New Roman" w:hAnsi="Times New Roman" w:cs="Times New Roman"/>
          <w:i/>
          <w:iCs/>
          <w:sz w:val="24"/>
          <w:szCs w:val="24"/>
        </w:rPr>
        <w:t>et al</w:t>
      </w:r>
      <w:r w:rsidR="00E073A4" w:rsidRPr="006B3530">
        <w:rPr>
          <w:rFonts w:ascii="Times New Roman" w:hAnsi="Times New Roman" w:cs="Times New Roman"/>
          <w:sz w:val="24"/>
          <w:szCs w:val="24"/>
        </w:rPr>
        <w:t xml:space="preserve">., 2015). </w:t>
      </w:r>
      <w:r w:rsidR="00246355">
        <w:rPr>
          <w:rFonts w:ascii="Times New Roman" w:hAnsi="Times New Roman" w:cs="Times New Roman"/>
          <w:sz w:val="24"/>
          <w:szCs w:val="24"/>
        </w:rPr>
        <w:t>“</w:t>
      </w:r>
      <w:r w:rsidR="00E073A4" w:rsidRPr="006B3530">
        <w:rPr>
          <w:rFonts w:ascii="Times New Roman" w:hAnsi="Times New Roman" w:cs="Times New Roman"/>
          <w:sz w:val="24"/>
          <w:szCs w:val="24"/>
        </w:rPr>
        <w:t xml:space="preserve">In plant nutrition, organic matter level of a soil is the key property that decides the availability status of essential nutrients. The fertility status of soils in </w:t>
      </w:r>
      <w:r w:rsidR="00535598" w:rsidRPr="006B3530">
        <w:rPr>
          <w:rFonts w:ascii="Times New Roman" w:hAnsi="Times New Roman" w:cs="Times New Roman"/>
          <w:sz w:val="24"/>
          <w:szCs w:val="24"/>
        </w:rPr>
        <w:t xml:space="preserve">the </w:t>
      </w:r>
      <w:r w:rsidR="00E073A4" w:rsidRPr="006B3530">
        <w:rPr>
          <w:rFonts w:ascii="Times New Roman" w:hAnsi="Times New Roman" w:cs="Times New Roman"/>
          <w:sz w:val="24"/>
          <w:szCs w:val="24"/>
        </w:rPr>
        <w:t>semi-arid region of M.P. is also poor and low organic carbon status due to high temperature</w:t>
      </w:r>
      <w:r w:rsidR="00246355">
        <w:rPr>
          <w:rFonts w:ascii="Times New Roman" w:hAnsi="Times New Roman" w:cs="Times New Roman"/>
          <w:sz w:val="24"/>
          <w:szCs w:val="24"/>
        </w:rPr>
        <w:t>” (</w:t>
      </w:r>
      <w:proofErr w:type="spellStart"/>
      <w:r w:rsidR="00246355" w:rsidRPr="006B3530">
        <w:rPr>
          <w:rFonts w:ascii="Times New Roman" w:hAnsi="Times New Roman" w:cs="Times New Roman"/>
          <w:sz w:val="24"/>
          <w:szCs w:val="24"/>
        </w:rPr>
        <w:t>Kalhapure</w:t>
      </w:r>
      <w:r w:rsidR="00246355" w:rsidRPr="001F2306">
        <w:rPr>
          <w:rFonts w:ascii="Times New Roman" w:hAnsi="Times New Roman" w:cs="Times New Roman"/>
          <w:i/>
          <w:iCs/>
          <w:sz w:val="24"/>
          <w:szCs w:val="24"/>
        </w:rPr>
        <w:t>et</w:t>
      </w:r>
      <w:proofErr w:type="spellEnd"/>
      <w:r w:rsidR="00246355" w:rsidRPr="001F2306">
        <w:rPr>
          <w:rFonts w:ascii="Times New Roman" w:hAnsi="Times New Roman" w:cs="Times New Roman"/>
          <w:i/>
          <w:iCs/>
          <w:sz w:val="24"/>
          <w:szCs w:val="24"/>
        </w:rPr>
        <w:t xml:space="preserve"> al</w:t>
      </w:r>
      <w:r w:rsidR="00246355" w:rsidRPr="006B3530">
        <w:rPr>
          <w:rFonts w:ascii="Times New Roman" w:hAnsi="Times New Roman" w:cs="Times New Roman"/>
          <w:sz w:val="24"/>
          <w:szCs w:val="24"/>
        </w:rPr>
        <w:t>., 2013</w:t>
      </w:r>
      <w:r w:rsidR="00246355">
        <w:rPr>
          <w:rFonts w:ascii="Times New Roman" w:hAnsi="Times New Roman" w:cs="Times New Roman"/>
          <w:sz w:val="24"/>
          <w:szCs w:val="24"/>
        </w:rPr>
        <w:t>)</w:t>
      </w:r>
      <w:r w:rsidR="00E073A4" w:rsidRPr="006B3530">
        <w:rPr>
          <w:rFonts w:ascii="Times New Roman" w:hAnsi="Times New Roman" w:cs="Times New Roman"/>
          <w:sz w:val="24"/>
          <w:szCs w:val="24"/>
        </w:rPr>
        <w:t>.</w:t>
      </w:r>
    </w:p>
    <w:p w:rsidR="00E073A4" w:rsidRPr="006B3530" w:rsidRDefault="006E7258" w:rsidP="006B3530">
      <w:pPr>
        <w:spacing w:line="36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w:t>
      </w:r>
      <w:r w:rsidR="00E073A4" w:rsidRPr="006B3530">
        <w:rPr>
          <w:rFonts w:ascii="Times New Roman" w:eastAsia="Arial" w:hAnsi="Times New Roman" w:cs="Times New Roman"/>
          <w:sz w:val="24"/>
          <w:szCs w:val="24"/>
        </w:rPr>
        <w:t xml:space="preserve">Rhizobium inoculation increased the root nodulation through better root development and more nutrient availability, resulting in vigorous plant growth and dry matter production which resulted in better flowering, fruiting and pod formation and ultimately there was </w:t>
      </w:r>
      <w:r w:rsidR="00535598" w:rsidRPr="006B3530">
        <w:rPr>
          <w:rFonts w:ascii="Times New Roman" w:eastAsia="Arial" w:hAnsi="Times New Roman" w:cs="Times New Roman"/>
          <w:sz w:val="24"/>
          <w:szCs w:val="24"/>
        </w:rPr>
        <w:t xml:space="preserve">a </w:t>
      </w:r>
      <w:r w:rsidR="00E073A4" w:rsidRPr="006B3530">
        <w:rPr>
          <w:rFonts w:ascii="Times New Roman" w:eastAsia="Arial" w:hAnsi="Times New Roman" w:cs="Times New Roman"/>
          <w:sz w:val="24"/>
          <w:szCs w:val="24"/>
        </w:rPr>
        <w:t>beneficial effect on seed yield</w:t>
      </w:r>
      <w:r>
        <w:rPr>
          <w:rFonts w:ascii="Times New Roman" w:eastAsia="Arial" w:hAnsi="Times New Roman" w:cs="Times New Roman"/>
          <w:sz w:val="24"/>
          <w:szCs w:val="24"/>
        </w:rPr>
        <w:t>” (</w:t>
      </w:r>
      <w:r w:rsidRPr="006E7258">
        <w:rPr>
          <w:rFonts w:ascii="Times New Roman" w:eastAsia="Arial" w:hAnsi="Times New Roman" w:cs="Times New Roman"/>
          <w:sz w:val="24"/>
          <w:szCs w:val="24"/>
        </w:rPr>
        <w:t>Singh</w:t>
      </w:r>
      <w:r>
        <w:rPr>
          <w:rFonts w:ascii="Times New Roman" w:eastAsia="Arial" w:hAnsi="Times New Roman" w:cs="Times New Roman"/>
          <w:sz w:val="24"/>
          <w:szCs w:val="24"/>
        </w:rPr>
        <w:t xml:space="preserve"> et al., 2017)</w:t>
      </w:r>
      <w:r w:rsidR="00E073A4" w:rsidRPr="006B3530">
        <w:rPr>
          <w:rFonts w:ascii="Times New Roman" w:eastAsia="Arial" w:hAnsi="Times New Roman" w:cs="Times New Roman"/>
          <w:sz w:val="24"/>
          <w:szCs w:val="24"/>
        </w:rPr>
        <w:t>.</w:t>
      </w:r>
    </w:p>
    <w:p w:rsidR="00E073A4" w:rsidRPr="006B3530" w:rsidRDefault="00246355" w:rsidP="006B3530">
      <w:pPr>
        <w:spacing w:line="360" w:lineRule="auto"/>
        <w:ind w:firstLine="720"/>
        <w:jc w:val="both"/>
        <w:rPr>
          <w:rFonts w:ascii="Times New Roman" w:eastAsia="Arial" w:hAnsi="Times New Roman" w:cs="Times New Roman"/>
          <w:bCs/>
          <w:sz w:val="24"/>
          <w:szCs w:val="24"/>
        </w:rPr>
      </w:pPr>
      <w:r>
        <w:rPr>
          <w:rFonts w:ascii="Times New Roman" w:eastAsia="Arial" w:hAnsi="Times New Roman" w:cs="Times New Roman"/>
          <w:bCs/>
          <w:sz w:val="24"/>
          <w:szCs w:val="24"/>
        </w:rPr>
        <w:t>“</w:t>
      </w:r>
      <w:r w:rsidR="00E073A4" w:rsidRPr="006B3530">
        <w:rPr>
          <w:rFonts w:ascii="Times New Roman" w:eastAsia="Arial" w:hAnsi="Times New Roman" w:cs="Times New Roman"/>
          <w:bCs/>
          <w:sz w:val="24"/>
          <w:szCs w:val="24"/>
        </w:rPr>
        <w:t xml:space="preserve">Vermicompost is a biofertilizer that is enriched with all beneficial soil microbes and contains all the essential plant nutrients, such as N, P, and K. It has been emerging as a significant source to supplement chemical fertilizer in agriculture in view of sustainable development following the Rio Conference. Because vermicompost promotes soil microbial activity, which in turn increases nutrient solubility and, ultimately, plant availability, microorganisms are known to modify soil pH at microsites, chelate the organic acids they produce, and facilitate </w:t>
      </w:r>
      <w:r w:rsidR="00535598" w:rsidRPr="006B3530">
        <w:rPr>
          <w:rFonts w:ascii="Times New Roman" w:eastAsia="Arial" w:hAnsi="Times New Roman" w:cs="Times New Roman"/>
          <w:bCs/>
          <w:sz w:val="24"/>
          <w:szCs w:val="24"/>
        </w:rPr>
        <w:t>intraday</w:t>
      </w:r>
      <w:r w:rsidR="00E073A4" w:rsidRPr="006B3530">
        <w:rPr>
          <w:rFonts w:ascii="Times New Roman" w:eastAsia="Arial" w:hAnsi="Times New Roman" w:cs="Times New Roman"/>
          <w:bCs/>
          <w:sz w:val="24"/>
          <w:szCs w:val="24"/>
        </w:rPr>
        <w:t xml:space="preserve"> mobility in fungal filaments</w:t>
      </w:r>
      <w:r>
        <w:rPr>
          <w:rFonts w:ascii="Times New Roman" w:eastAsia="Arial" w:hAnsi="Times New Roman" w:cs="Times New Roman"/>
          <w:bCs/>
          <w:sz w:val="24"/>
          <w:szCs w:val="24"/>
        </w:rPr>
        <w:t>” (</w:t>
      </w:r>
      <w:proofErr w:type="spellStart"/>
      <w:r w:rsidRPr="006B3530">
        <w:rPr>
          <w:rFonts w:ascii="Times New Roman" w:hAnsi="Times New Roman" w:cs="Times New Roman"/>
          <w:sz w:val="24"/>
          <w:szCs w:val="24"/>
        </w:rPr>
        <w:t>Kalhapure</w:t>
      </w:r>
      <w:r w:rsidRPr="001F2306">
        <w:rPr>
          <w:rFonts w:ascii="Times New Roman" w:hAnsi="Times New Roman" w:cs="Times New Roman"/>
          <w:i/>
          <w:iCs/>
          <w:sz w:val="24"/>
          <w:szCs w:val="24"/>
        </w:rPr>
        <w:t>et</w:t>
      </w:r>
      <w:proofErr w:type="spellEnd"/>
      <w:r w:rsidRPr="001F2306">
        <w:rPr>
          <w:rFonts w:ascii="Times New Roman" w:hAnsi="Times New Roman" w:cs="Times New Roman"/>
          <w:i/>
          <w:iCs/>
          <w:sz w:val="24"/>
          <w:szCs w:val="24"/>
        </w:rPr>
        <w:t xml:space="preserve"> al</w:t>
      </w:r>
      <w:r w:rsidRPr="006B3530">
        <w:rPr>
          <w:rFonts w:ascii="Times New Roman" w:hAnsi="Times New Roman" w:cs="Times New Roman"/>
          <w:sz w:val="24"/>
          <w:szCs w:val="24"/>
        </w:rPr>
        <w:t>., 2013</w:t>
      </w:r>
      <w:r>
        <w:rPr>
          <w:rFonts w:ascii="Times New Roman" w:eastAsia="Arial" w:hAnsi="Times New Roman" w:cs="Times New Roman"/>
          <w:bCs/>
          <w:sz w:val="24"/>
          <w:szCs w:val="24"/>
        </w:rPr>
        <w:t>)</w:t>
      </w:r>
      <w:r w:rsidR="00E073A4" w:rsidRPr="006B3530">
        <w:rPr>
          <w:rFonts w:ascii="Times New Roman" w:eastAsia="Arial" w:hAnsi="Times New Roman" w:cs="Times New Roman"/>
          <w:bCs/>
          <w:sz w:val="24"/>
          <w:szCs w:val="24"/>
        </w:rPr>
        <w:t>.</w:t>
      </w:r>
    </w:p>
    <w:p w:rsidR="00E073A4" w:rsidRPr="006B3530" w:rsidRDefault="006E7258" w:rsidP="006B3530">
      <w:pPr>
        <w:spacing w:line="360" w:lineRule="auto"/>
        <w:ind w:firstLine="720"/>
        <w:jc w:val="both"/>
        <w:rPr>
          <w:rFonts w:ascii="Times New Roman" w:eastAsia="Arial" w:hAnsi="Times New Roman" w:cs="Times New Roman"/>
          <w:bCs/>
          <w:sz w:val="24"/>
          <w:szCs w:val="24"/>
        </w:rPr>
      </w:pPr>
      <w:r>
        <w:rPr>
          <w:rFonts w:ascii="Times New Roman" w:eastAsia="Arial" w:hAnsi="Times New Roman" w:cs="Times New Roman"/>
          <w:bCs/>
          <w:sz w:val="24"/>
          <w:szCs w:val="24"/>
        </w:rPr>
        <w:lastRenderedPageBreak/>
        <w:t>“</w:t>
      </w:r>
      <w:r w:rsidR="00E073A4" w:rsidRPr="006B3530">
        <w:rPr>
          <w:rFonts w:ascii="Times New Roman" w:eastAsia="Arial" w:hAnsi="Times New Roman" w:cs="Times New Roman"/>
          <w:bCs/>
          <w:sz w:val="24"/>
          <w:szCs w:val="24"/>
        </w:rPr>
        <w:t xml:space="preserve">Vermicompost is eco-friendly low cost effective and an effective way to recycle agricultural and kitchen waste. Vermicompost is a recent innovation in composting technology. It is a mixture of </w:t>
      </w:r>
      <w:r w:rsidR="00535598" w:rsidRPr="006B3530">
        <w:rPr>
          <w:rFonts w:ascii="Times New Roman" w:eastAsia="Arial" w:hAnsi="Times New Roman" w:cs="Times New Roman"/>
          <w:bCs/>
          <w:sz w:val="24"/>
          <w:szCs w:val="24"/>
        </w:rPr>
        <w:t>earthworm</w:t>
      </w:r>
      <w:r w:rsidR="00E073A4" w:rsidRPr="006B3530">
        <w:rPr>
          <w:rFonts w:ascii="Times New Roman" w:eastAsia="Arial" w:hAnsi="Times New Roman" w:cs="Times New Roman"/>
          <w:bCs/>
          <w:sz w:val="24"/>
          <w:szCs w:val="24"/>
        </w:rPr>
        <w:t xml:space="preserve"> castings, organic materials humus and other organisms. Agricultural residues, animal wastes, dairy and poultry wastes, food industry wastes, sludge can all be recycled to give vermicompost. In recent years, use of vermicompost has been advocated in integrated nutrient management system in field crops</w:t>
      </w:r>
      <w:r>
        <w:rPr>
          <w:rFonts w:ascii="Times New Roman" w:eastAsia="Arial" w:hAnsi="Times New Roman" w:cs="Times New Roman"/>
          <w:bCs/>
          <w:sz w:val="24"/>
          <w:szCs w:val="24"/>
        </w:rPr>
        <w:t>” (</w:t>
      </w:r>
      <w:r w:rsidRPr="006E7258">
        <w:rPr>
          <w:rFonts w:ascii="Times New Roman" w:eastAsia="Arial" w:hAnsi="Times New Roman" w:cs="Times New Roman"/>
          <w:bCs/>
          <w:sz w:val="24"/>
          <w:szCs w:val="24"/>
        </w:rPr>
        <w:t>Pradeep</w:t>
      </w:r>
      <w:r>
        <w:rPr>
          <w:rFonts w:ascii="Times New Roman" w:eastAsia="Arial" w:hAnsi="Times New Roman" w:cs="Times New Roman"/>
          <w:bCs/>
          <w:sz w:val="24"/>
          <w:szCs w:val="24"/>
        </w:rPr>
        <w:t xml:space="preserve"> et al., 2024)</w:t>
      </w:r>
      <w:r w:rsidR="00E073A4" w:rsidRPr="006B3530">
        <w:rPr>
          <w:rFonts w:ascii="Times New Roman" w:eastAsia="Arial" w:hAnsi="Times New Roman" w:cs="Times New Roman"/>
          <w:bCs/>
          <w:sz w:val="24"/>
          <w:szCs w:val="24"/>
        </w:rPr>
        <w:t xml:space="preserve">. </w:t>
      </w:r>
      <w:r w:rsidR="009B155B" w:rsidRPr="006B3530">
        <w:rPr>
          <w:rFonts w:ascii="Times New Roman" w:hAnsi="Times New Roman" w:cs="Times New Roman"/>
          <w:sz w:val="24"/>
          <w:szCs w:val="24"/>
        </w:rPr>
        <w:t xml:space="preserve">Pioneers advise </w:t>
      </w:r>
      <w:r>
        <w:rPr>
          <w:rFonts w:ascii="Times New Roman" w:hAnsi="Times New Roman" w:cs="Times New Roman"/>
          <w:sz w:val="24"/>
          <w:szCs w:val="24"/>
        </w:rPr>
        <w:t>“</w:t>
      </w:r>
      <w:r w:rsidR="009B155B" w:rsidRPr="006B3530">
        <w:rPr>
          <w:rFonts w:ascii="Times New Roman" w:hAnsi="Times New Roman" w:cs="Times New Roman"/>
          <w:sz w:val="24"/>
          <w:szCs w:val="24"/>
        </w:rPr>
        <w:t>Vermicompost as organic compost and substitute for chemical fertilizer</w:t>
      </w:r>
      <w:r w:rsidR="00E073A4" w:rsidRPr="006B3530">
        <w:rPr>
          <w:rFonts w:ascii="Times New Roman" w:hAnsi="Times New Roman" w:cs="Times New Roman"/>
          <w:sz w:val="24"/>
          <w:szCs w:val="24"/>
        </w:rPr>
        <w:t xml:space="preserve"> of organic farming. </w:t>
      </w:r>
      <w:r w:rsidR="00535598" w:rsidRPr="006B3530">
        <w:rPr>
          <w:rFonts w:ascii="Times New Roman" w:hAnsi="Times New Roman" w:cs="Times New Roman"/>
          <w:sz w:val="24"/>
          <w:szCs w:val="24"/>
        </w:rPr>
        <w:t>Earthworm-processed</w:t>
      </w:r>
      <w:r w:rsidR="00E073A4" w:rsidRPr="006B3530">
        <w:rPr>
          <w:rFonts w:ascii="Times New Roman" w:hAnsi="Times New Roman" w:cs="Times New Roman"/>
          <w:sz w:val="24"/>
          <w:szCs w:val="24"/>
        </w:rPr>
        <w:t xml:space="preserve"> organic waste, often referred to as vermicompost are finely divided peat-like materials with high porosity, aeration, drain ability and </w:t>
      </w:r>
      <w:r w:rsidR="00535598" w:rsidRPr="006B3530">
        <w:rPr>
          <w:rFonts w:ascii="Times New Roman" w:hAnsi="Times New Roman" w:cs="Times New Roman"/>
          <w:sz w:val="24"/>
          <w:szCs w:val="24"/>
        </w:rPr>
        <w:t>water-holding</w:t>
      </w:r>
      <w:r w:rsidR="00E073A4" w:rsidRPr="006B3530">
        <w:rPr>
          <w:rFonts w:ascii="Times New Roman" w:hAnsi="Times New Roman" w:cs="Times New Roman"/>
          <w:sz w:val="24"/>
          <w:szCs w:val="24"/>
        </w:rPr>
        <w:t xml:space="preserve"> capacity</w:t>
      </w:r>
      <w:r>
        <w:rPr>
          <w:rFonts w:ascii="Times New Roman" w:hAnsi="Times New Roman" w:cs="Times New Roman"/>
          <w:sz w:val="24"/>
          <w:szCs w:val="24"/>
        </w:rPr>
        <w:t>”</w:t>
      </w:r>
      <w:r w:rsidR="00E073A4" w:rsidRPr="006B3530">
        <w:rPr>
          <w:rFonts w:ascii="Times New Roman" w:hAnsi="Times New Roman" w:cs="Times New Roman"/>
          <w:sz w:val="24"/>
          <w:szCs w:val="24"/>
        </w:rPr>
        <w:t xml:space="preserve"> (Khan </w:t>
      </w:r>
      <w:r w:rsidR="001F2306" w:rsidRPr="001F2306">
        <w:rPr>
          <w:rFonts w:ascii="Times New Roman" w:hAnsi="Times New Roman" w:cs="Times New Roman"/>
          <w:i/>
          <w:iCs/>
          <w:sz w:val="24"/>
          <w:szCs w:val="24"/>
        </w:rPr>
        <w:t>et al</w:t>
      </w:r>
      <w:r w:rsidR="00E073A4" w:rsidRPr="006B3530">
        <w:rPr>
          <w:rFonts w:ascii="Times New Roman" w:hAnsi="Times New Roman" w:cs="Times New Roman"/>
          <w:sz w:val="24"/>
          <w:szCs w:val="24"/>
        </w:rPr>
        <w:t>., 2013).</w:t>
      </w:r>
    </w:p>
    <w:p w:rsidR="00B3203D" w:rsidRPr="006B3530" w:rsidRDefault="00B3203D" w:rsidP="006B3530">
      <w:pPr>
        <w:spacing w:after="0" w:line="360" w:lineRule="auto"/>
        <w:jc w:val="both"/>
        <w:rPr>
          <w:rFonts w:ascii="Times New Roman" w:hAnsi="Times New Roman" w:cs="Times New Roman"/>
          <w:b/>
          <w:bCs/>
          <w:sz w:val="24"/>
          <w:szCs w:val="24"/>
        </w:rPr>
      </w:pPr>
      <w:r w:rsidRPr="006B3530">
        <w:rPr>
          <w:rFonts w:ascii="Times New Roman" w:hAnsi="Times New Roman" w:cs="Times New Roman"/>
          <w:b/>
          <w:bCs/>
          <w:sz w:val="24"/>
          <w:szCs w:val="24"/>
        </w:rPr>
        <w:t>Material and methods</w:t>
      </w:r>
    </w:p>
    <w:p w:rsidR="00182FD3" w:rsidRDefault="00182FD3" w:rsidP="00182FD3">
      <w:pPr>
        <w:spacing w:after="0" w:line="360" w:lineRule="auto"/>
        <w:ind w:firstLine="720"/>
        <w:jc w:val="both"/>
        <w:rPr>
          <w:rFonts w:ascii="Times New Roman" w:hAnsi="Times New Roman" w:cs="Times New Roman"/>
          <w:sz w:val="24"/>
          <w:szCs w:val="24"/>
        </w:rPr>
      </w:pPr>
      <w:r w:rsidRPr="00182FD3">
        <w:rPr>
          <w:rFonts w:ascii="Times New Roman" w:hAnsi="Times New Roman" w:cs="Times New Roman"/>
          <w:sz w:val="24"/>
          <w:szCs w:val="24"/>
        </w:rPr>
        <w:t xml:space="preserve">The study was carried out during the Rabi season of 2022–23 at the Research Farm of the Department of Horticulture (Vegetable Science), School of Agriculture Science, Technology &amp; Research, Sardar Patel University, </w:t>
      </w:r>
      <w:proofErr w:type="spellStart"/>
      <w:r w:rsidRPr="00182FD3">
        <w:rPr>
          <w:rFonts w:ascii="Times New Roman" w:hAnsi="Times New Roman" w:cs="Times New Roman"/>
          <w:sz w:val="24"/>
          <w:szCs w:val="24"/>
        </w:rPr>
        <w:t>Balaghat</w:t>
      </w:r>
      <w:proofErr w:type="spellEnd"/>
      <w:r w:rsidRPr="00182FD3">
        <w:rPr>
          <w:rFonts w:ascii="Times New Roman" w:hAnsi="Times New Roman" w:cs="Times New Roman"/>
          <w:sz w:val="24"/>
          <w:szCs w:val="24"/>
        </w:rPr>
        <w:t xml:space="preserve"> (Madhya Pradesh), to evaluate the effect of integrated nutrient management on cowpea. The experimental field had sandy loam soil, which was low in available nitrogen, medium in phosphorus and potassium, and moderately alkaline in reaction, conditions considered suitable for cowpea cultivation. The experiment was laid out in a Randomized Block Design (RBD) with three replications. Eight nutrient management treatments were evaluated to study their effect on crop performance. Treatment T₁ served as the control with no nutrien</w:t>
      </w:r>
      <w:bookmarkStart w:id="0" w:name="_GoBack"/>
      <w:bookmarkEnd w:id="0"/>
      <w:r w:rsidRPr="00182FD3">
        <w:rPr>
          <w:rFonts w:ascii="Times New Roman" w:hAnsi="Times New Roman" w:cs="Times New Roman"/>
          <w:sz w:val="24"/>
          <w:szCs w:val="24"/>
        </w:rPr>
        <w:t>t application, while T₂ consisted of 5 t FYM per hectare. Treatments T₃ and T₄ comprised integrated use of inorganic fertilizers and vermicompost at 50% RDF + 50% vermicompost and 75% RDF + 25% vermicompost per hectare, respectively, whereas T₅ received 100% recommended dose of fertilizers (RDF). Treatment T₆ involved application of 5 t vermicompost per hectare alone. Similarly, T₇ and T₈ included integrated application of RDF and FYM at 50% RDF + 50% FYM and 75% RDF + 25% FYM per hectare, respectively. Observations on various growth, yield and quality parameters were recorded from five randomly selected plants in each plot. The recorded data were statistically analyzed using the Analysis of Variance (ANOVA), and the significance of treatment effects was tested at the 5 per cent level of significance.</w:t>
      </w:r>
    </w:p>
    <w:p w:rsidR="00DC48E3" w:rsidRPr="006B3530" w:rsidRDefault="00961D63" w:rsidP="006B3530">
      <w:pPr>
        <w:spacing w:after="0" w:line="360" w:lineRule="auto"/>
        <w:jc w:val="both"/>
        <w:rPr>
          <w:rFonts w:ascii="Times New Roman" w:hAnsi="Times New Roman" w:cs="Times New Roman"/>
          <w:b/>
          <w:bCs/>
          <w:sz w:val="24"/>
          <w:szCs w:val="24"/>
        </w:rPr>
      </w:pPr>
      <w:r w:rsidRPr="006B3530">
        <w:rPr>
          <w:rFonts w:ascii="Times New Roman" w:hAnsi="Times New Roman" w:cs="Times New Roman"/>
          <w:b/>
          <w:bCs/>
          <w:sz w:val="24"/>
          <w:szCs w:val="24"/>
        </w:rPr>
        <w:t>Results and discussion</w:t>
      </w:r>
    </w:p>
    <w:p w:rsidR="00DC48E3" w:rsidRPr="006B3530" w:rsidRDefault="004B1D9D" w:rsidP="006B3530">
      <w:pPr>
        <w:spacing w:after="0" w:line="360" w:lineRule="auto"/>
        <w:ind w:firstLine="140"/>
        <w:jc w:val="both"/>
        <w:rPr>
          <w:rFonts w:ascii="Times New Roman" w:hAnsi="Times New Roman" w:cs="Times New Roman"/>
          <w:sz w:val="24"/>
          <w:szCs w:val="24"/>
        </w:rPr>
      </w:pPr>
      <w:r w:rsidRPr="006B3530">
        <w:rPr>
          <w:rFonts w:ascii="Times New Roman" w:hAnsi="Times New Roman" w:cs="Times New Roman"/>
          <w:sz w:val="24"/>
          <w:szCs w:val="24"/>
        </w:rPr>
        <w:t>Applicationofdifferentlevelsofintegratednutrientmanagementsignificantlyincreased the plant height, number of branches per plant and fresh weight of rootnodulesofcowpea(table1</w:t>
      </w:r>
      <w:r w:rsidR="001D0DC7">
        <w:rPr>
          <w:rFonts w:ascii="Times New Roman" w:hAnsi="Times New Roman" w:cs="Times New Roman"/>
          <w:sz w:val="24"/>
          <w:szCs w:val="24"/>
        </w:rPr>
        <w:t xml:space="preserve"> and figure 1</w:t>
      </w:r>
      <w:r w:rsidRPr="006B3530">
        <w:rPr>
          <w:rFonts w:ascii="Times New Roman" w:hAnsi="Times New Roman" w:cs="Times New Roman"/>
          <w:sz w:val="24"/>
          <w:szCs w:val="24"/>
        </w:rPr>
        <w:t>).Theapplicationof</w:t>
      </w:r>
      <w:r w:rsidR="00A66DC7">
        <w:rPr>
          <w:rFonts w:ascii="Times New Roman" w:hAnsi="Times New Roman" w:cs="Times New Roman"/>
          <w:sz w:val="24"/>
          <w:szCs w:val="24"/>
        </w:rPr>
        <w:t>1</w:t>
      </w:r>
      <w:r w:rsidRPr="006B3530">
        <w:rPr>
          <w:rFonts w:ascii="Times New Roman" w:hAnsi="Times New Roman" w:cs="Times New Roman"/>
          <w:sz w:val="24"/>
          <w:szCs w:val="24"/>
        </w:rPr>
        <w:t>00%RDF+2tonvermicompost per ha</w:t>
      </w:r>
      <w:r w:rsidRPr="006B3530">
        <w:rPr>
          <w:rFonts w:ascii="Times New Roman" w:hAnsi="Times New Roman" w:cs="Times New Roman"/>
          <w:position w:val="8"/>
          <w:sz w:val="24"/>
          <w:szCs w:val="24"/>
        </w:rPr>
        <w:t>-1</w:t>
      </w:r>
      <w:r w:rsidRPr="006B3530">
        <w:rPr>
          <w:rFonts w:ascii="Times New Roman" w:hAnsi="Times New Roman" w:cs="Times New Roman"/>
          <w:sz w:val="24"/>
          <w:szCs w:val="24"/>
        </w:rPr>
        <w:t xml:space="preserve">recorded maximum value </w:t>
      </w:r>
      <w:r w:rsidRPr="006B3530">
        <w:rPr>
          <w:rFonts w:ascii="Times New Roman" w:hAnsi="Times New Roman" w:cs="Times New Roman"/>
          <w:sz w:val="24"/>
          <w:szCs w:val="24"/>
        </w:rPr>
        <w:lastRenderedPageBreak/>
        <w:t>of these parameters. This may beattributed primarily to the beneficial effect of fertility on overall physical condition of thesoil.</w:t>
      </w:r>
    </w:p>
    <w:p w:rsidR="008C1C48" w:rsidRPr="006B3530" w:rsidRDefault="008C1C48" w:rsidP="006B3530">
      <w:pPr>
        <w:spacing w:after="0" w:line="360" w:lineRule="auto"/>
        <w:jc w:val="both"/>
        <w:rPr>
          <w:rFonts w:ascii="Times New Roman" w:hAnsi="Times New Roman" w:cs="Times New Roman"/>
          <w:sz w:val="24"/>
          <w:szCs w:val="24"/>
        </w:rPr>
      </w:pPr>
      <w:r w:rsidRPr="008C1C48">
        <w:rPr>
          <w:rFonts w:ascii="Times New Roman" w:hAnsi="Times New Roman" w:cs="Times New Roman"/>
          <w:b/>
          <w:bCs/>
          <w:sz w:val="24"/>
          <w:szCs w:val="24"/>
        </w:rPr>
        <w:t>Growth Parameters</w:t>
      </w:r>
    </w:p>
    <w:p w:rsidR="00EC5BFF" w:rsidRPr="005E6E17" w:rsidRDefault="00EC5BFF" w:rsidP="006B3530">
      <w:pPr>
        <w:spacing w:after="0" w:line="360" w:lineRule="auto"/>
        <w:ind w:firstLine="720"/>
        <w:jc w:val="both"/>
        <w:rPr>
          <w:rFonts w:ascii="Times New Roman" w:hAnsi="Times New Roman" w:cs="Times New Roman"/>
          <w:sz w:val="24"/>
          <w:szCs w:val="24"/>
        </w:rPr>
      </w:pPr>
      <w:r w:rsidRPr="005E6E17">
        <w:rPr>
          <w:rFonts w:ascii="Times New Roman" w:hAnsi="Times New Roman" w:cs="Times New Roman"/>
          <w:sz w:val="24"/>
          <w:szCs w:val="24"/>
        </w:rPr>
        <w:t xml:space="preserve">The enhanced growth and development observed across the treatments can be primarily attributed to the improved availability of nitrogen and phosphorus, initially supplied through chemical fertilizers and subsequently sustained by vermicompost throughout the crop growth cycle. Among all the treatments, the application of 100% Recommended Dose of Fertilizers (RDF) along with 2 t vermicompost ha⁻¹ produced the best results with respect to growth parameters, recording the maximum plant height (67.60 cm) and number of pods per plant (12.88). Vermicompost played a crucial role in enhancing root growth by supplying essential macro- and micronutrients and by improving the </w:t>
      </w:r>
      <w:proofErr w:type="spellStart"/>
      <w:r w:rsidRPr="005E6E17">
        <w:rPr>
          <w:rFonts w:ascii="Times New Roman" w:hAnsi="Times New Roman" w:cs="Times New Roman"/>
          <w:sz w:val="24"/>
          <w:szCs w:val="24"/>
        </w:rPr>
        <w:t>rhizospheric</w:t>
      </w:r>
      <w:proofErr w:type="spellEnd"/>
      <w:r w:rsidRPr="005E6E17">
        <w:rPr>
          <w:rFonts w:ascii="Times New Roman" w:hAnsi="Times New Roman" w:cs="Times New Roman"/>
          <w:sz w:val="24"/>
          <w:szCs w:val="24"/>
        </w:rPr>
        <w:t xml:space="preserve"> environment, which in turn promoted better nodule formation and biological nitrogen fixation. Additionally, vermicompost acted as a slow-release nutrient reservoir, ensuring a continuous supply of nutrients at various growth stages, thereby improving nutrient uptake efficiency, plant vigour, and overall growth performance of cowpea. Similar findings were also reported by Sinha </w:t>
      </w:r>
      <w:r w:rsidRPr="005E6E17">
        <w:rPr>
          <w:rFonts w:ascii="Times New Roman" w:hAnsi="Times New Roman" w:cs="Times New Roman"/>
          <w:i/>
          <w:iCs/>
          <w:sz w:val="24"/>
          <w:szCs w:val="24"/>
        </w:rPr>
        <w:t>et al</w:t>
      </w:r>
      <w:r w:rsidRPr="005E6E17">
        <w:rPr>
          <w:rFonts w:ascii="Times New Roman" w:hAnsi="Times New Roman" w:cs="Times New Roman"/>
          <w:sz w:val="24"/>
          <w:szCs w:val="24"/>
        </w:rPr>
        <w:t>. (2010), who observed that integrated use of vermicompost and inorganic fertilizers significantly improved crop growth and productivity due to enhanced nutrient availability and soil biological activity.</w:t>
      </w:r>
    </w:p>
    <w:p w:rsidR="008C1C48" w:rsidRPr="006B3530" w:rsidRDefault="008C1C48" w:rsidP="005145D6">
      <w:pPr>
        <w:spacing w:after="0" w:line="360" w:lineRule="auto"/>
        <w:jc w:val="both"/>
        <w:rPr>
          <w:rFonts w:ascii="Times New Roman" w:hAnsi="Times New Roman" w:cs="Times New Roman"/>
          <w:sz w:val="24"/>
          <w:szCs w:val="24"/>
        </w:rPr>
      </w:pPr>
      <w:proofErr w:type="spellStart"/>
      <w:r w:rsidRPr="008C1C48">
        <w:rPr>
          <w:rFonts w:ascii="Times New Roman" w:hAnsi="Times New Roman" w:cs="Times New Roman"/>
          <w:b/>
          <w:bCs/>
          <w:sz w:val="24"/>
          <w:szCs w:val="24"/>
        </w:rPr>
        <w:t>Rhizospheric</w:t>
      </w:r>
      <w:proofErr w:type="spellEnd"/>
      <w:r w:rsidRPr="008C1C48">
        <w:rPr>
          <w:rFonts w:ascii="Times New Roman" w:hAnsi="Times New Roman" w:cs="Times New Roman"/>
          <w:b/>
          <w:bCs/>
          <w:sz w:val="24"/>
          <w:szCs w:val="24"/>
        </w:rPr>
        <w:t xml:space="preserve"> Environment and Microbial Activity</w:t>
      </w:r>
    </w:p>
    <w:p w:rsidR="008C1C48" w:rsidRPr="008C1C48" w:rsidRDefault="008C1C48" w:rsidP="006B3530">
      <w:pPr>
        <w:spacing w:after="0" w:line="360" w:lineRule="auto"/>
        <w:ind w:firstLine="720"/>
        <w:jc w:val="both"/>
        <w:rPr>
          <w:rFonts w:ascii="Times New Roman" w:hAnsi="Times New Roman" w:cs="Times New Roman"/>
          <w:sz w:val="24"/>
          <w:szCs w:val="24"/>
        </w:rPr>
      </w:pPr>
      <w:r w:rsidRPr="008C1C48">
        <w:rPr>
          <w:rFonts w:ascii="Times New Roman" w:hAnsi="Times New Roman" w:cs="Times New Roman"/>
          <w:sz w:val="24"/>
          <w:szCs w:val="24"/>
        </w:rPr>
        <w:t xml:space="preserve">The </w:t>
      </w:r>
      <w:proofErr w:type="spellStart"/>
      <w:r w:rsidRPr="008C1C48">
        <w:rPr>
          <w:rFonts w:ascii="Times New Roman" w:hAnsi="Times New Roman" w:cs="Times New Roman"/>
          <w:sz w:val="24"/>
          <w:szCs w:val="24"/>
        </w:rPr>
        <w:t>favorable</w:t>
      </w:r>
      <w:proofErr w:type="spellEnd"/>
      <w:r w:rsidRPr="008C1C48">
        <w:rPr>
          <w:rFonts w:ascii="Times New Roman" w:hAnsi="Times New Roman" w:cs="Times New Roman"/>
          <w:sz w:val="24"/>
          <w:szCs w:val="24"/>
        </w:rPr>
        <w:t xml:space="preserve"> effects of vermicompost are also linked to its ability to support a higher population of beneficial soil microorganisms. These microbes facilitate root colonization and infection, resulting in the formation of more healthy and efficient root nodules with elevated leghaemoglobin content. This improved </w:t>
      </w:r>
      <w:proofErr w:type="spellStart"/>
      <w:r w:rsidRPr="008C1C48">
        <w:rPr>
          <w:rFonts w:ascii="Times New Roman" w:hAnsi="Times New Roman" w:cs="Times New Roman"/>
          <w:sz w:val="24"/>
          <w:szCs w:val="24"/>
        </w:rPr>
        <w:t>rhizospheric</w:t>
      </w:r>
      <w:proofErr w:type="spellEnd"/>
      <w:r w:rsidRPr="008C1C48">
        <w:rPr>
          <w:rFonts w:ascii="Times New Roman" w:hAnsi="Times New Roman" w:cs="Times New Roman"/>
          <w:sz w:val="24"/>
          <w:szCs w:val="24"/>
        </w:rPr>
        <w:t xml:space="preserve"> environment encourages extensive root proliferation, allowing the plants to access water and nutrients from a broader soil volume and deeper layers. As a result, nutrient uptake improves significantly, promoting higher carbohydrate synthesis and efficient translocation to various plant parts. This process contributes to better vegetative growth and robust reproductive development. The current findings align with those reported by Das </w:t>
      </w:r>
      <w:r w:rsidR="001F2306" w:rsidRPr="001F2306">
        <w:rPr>
          <w:rFonts w:ascii="Times New Roman" w:hAnsi="Times New Roman" w:cs="Times New Roman"/>
          <w:i/>
          <w:iCs/>
          <w:sz w:val="24"/>
          <w:szCs w:val="24"/>
        </w:rPr>
        <w:t>et al</w:t>
      </w:r>
      <w:r w:rsidRPr="008C1C48">
        <w:rPr>
          <w:rFonts w:ascii="Times New Roman" w:hAnsi="Times New Roman" w:cs="Times New Roman"/>
          <w:sz w:val="24"/>
          <w:szCs w:val="24"/>
        </w:rPr>
        <w:t xml:space="preserve">. (2002), Kumar </w:t>
      </w:r>
      <w:r w:rsidR="001F2306" w:rsidRPr="001F2306">
        <w:rPr>
          <w:rFonts w:ascii="Times New Roman" w:hAnsi="Times New Roman" w:cs="Times New Roman"/>
          <w:i/>
          <w:iCs/>
          <w:sz w:val="24"/>
          <w:szCs w:val="24"/>
        </w:rPr>
        <w:t>et al</w:t>
      </w:r>
      <w:r w:rsidRPr="008C1C48">
        <w:rPr>
          <w:rFonts w:ascii="Times New Roman" w:hAnsi="Times New Roman" w:cs="Times New Roman"/>
          <w:sz w:val="24"/>
          <w:szCs w:val="24"/>
        </w:rPr>
        <w:t xml:space="preserve">. (2003), More </w:t>
      </w:r>
      <w:r w:rsidR="001F2306" w:rsidRPr="001F2306">
        <w:rPr>
          <w:rFonts w:ascii="Times New Roman" w:hAnsi="Times New Roman" w:cs="Times New Roman"/>
          <w:i/>
          <w:iCs/>
          <w:sz w:val="24"/>
          <w:szCs w:val="24"/>
        </w:rPr>
        <w:t>et al</w:t>
      </w:r>
      <w:r w:rsidRPr="008C1C48">
        <w:rPr>
          <w:rFonts w:ascii="Times New Roman" w:hAnsi="Times New Roman" w:cs="Times New Roman"/>
          <w:sz w:val="24"/>
          <w:szCs w:val="24"/>
        </w:rPr>
        <w:t xml:space="preserve">. (2008), </w:t>
      </w:r>
      <w:proofErr w:type="spellStart"/>
      <w:r w:rsidRPr="008C1C48">
        <w:rPr>
          <w:rFonts w:ascii="Times New Roman" w:hAnsi="Times New Roman" w:cs="Times New Roman"/>
          <w:sz w:val="24"/>
          <w:szCs w:val="24"/>
        </w:rPr>
        <w:t>Sammauria</w:t>
      </w:r>
      <w:r w:rsidR="001F2306" w:rsidRPr="001F2306">
        <w:rPr>
          <w:rFonts w:ascii="Times New Roman" w:hAnsi="Times New Roman" w:cs="Times New Roman"/>
          <w:i/>
          <w:iCs/>
          <w:sz w:val="24"/>
          <w:szCs w:val="24"/>
        </w:rPr>
        <w:t>et</w:t>
      </w:r>
      <w:proofErr w:type="spellEnd"/>
      <w:r w:rsidR="001F2306" w:rsidRPr="001F2306">
        <w:rPr>
          <w:rFonts w:ascii="Times New Roman" w:hAnsi="Times New Roman" w:cs="Times New Roman"/>
          <w:i/>
          <w:iCs/>
          <w:sz w:val="24"/>
          <w:szCs w:val="24"/>
        </w:rPr>
        <w:t xml:space="preserve"> al</w:t>
      </w:r>
      <w:r w:rsidRPr="008C1C48">
        <w:rPr>
          <w:rFonts w:ascii="Times New Roman" w:hAnsi="Times New Roman" w:cs="Times New Roman"/>
          <w:sz w:val="24"/>
          <w:szCs w:val="24"/>
        </w:rPr>
        <w:t>. (2009), and Choudhary and Yadav (2011), who also highlighted the positive influence of integrated nutrient management on root health and plant development.</w:t>
      </w:r>
    </w:p>
    <w:p w:rsidR="008C1C48" w:rsidRPr="006B3530" w:rsidRDefault="008C1C48" w:rsidP="006B3530">
      <w:pPr>
        <w:spacing w:after="0" w:line="360" w:lineRule="auto"/>
        <w:jc w:val="both"/>
        <w:rPr>
          <w:rFonts w:ascii="Times New Roman" w:hAnsi="Times New Roman" w:cs="Times New Roman"/>
          <w:sz w:val="24"/>
          <w:szCs w:val="24"/>
        </w:rPr>
      </w:pPr>
      <w:r w:rsidRPr="008C1C48">
        <w:rPr>
          <w:rFonts w:ascii="Times New Roman" w:hAnsi="Times New Roman" w:cs="Times New Roman"/>
          <w:b/>
          <w:bCs/>
          <w:sz w:val="24"/>
          <w:szCs w:val="24"/>
        </w:rPr>
        <w:t>Yield Attributes</w:t>
      </w:r>
    </w:p>
    <w:p w:rsidR="008C1C48" w:rsidRPr="008C1C48" w:rsidRDefault="008C1C48" w:rsidP="005145D6">
      <w:pPr>
        <w:spacing w:after="0" w:line="360" w:lineRule="auto"/>
        <w:ind w:firstLine="720"/>
        <w:jc w:val="both"/>
        <w:rPr>
          <w:rFonts w:ascii="Times New Roman" w:hAnsi="Times New Roman" w:cs="Times New Roman"/>
          <w:sz w:val="24"/>
          <w:szCs w:val="24"/>
        </w:rPr>
      </w:pPr>
      <w:r w:rsidRPr="008C1C48">
        <w:rPr>
          <w:rFonts w:ascii="Times New Roman" w:hAnsi="Times New Roman" w:cs="Times New Roman"/>
          <w:sz w:val="24"/>
          <w:szCs w:val="24"/>
        </w:rPr>
        <w:t>Different fertility levels had a significant impact on cowpea yield attributes, such as the number of pods per plant, seeds per pod, test weight, and green pod yie</w:t>
      </w:r>
      <w:r w:rsidR="005F4E5E">
        <w:rPr>
          <w:rFonts w:ascii="Times New Roman" w:hAnsi="Times New Roman" w:cs="Times New Roman"/>
          <w:sz w:val="24"/>
          <w:szCs w:val="24"/>
        </w:rPr>
        <w:t>ld, as illustrated in Table 1 and figure 1</w:t>
      </w:r>
      <w:r w:rsidRPr="008C1C48">
        <w:rPr>
          <w:rFonts w:ascii="Times New Roman" w:hAnsi="Times New Roman" w:cs="Times New Roman"/>
          <w:sz w:val="24"/>
          <w:szCs w:val="24"/>
        </w:rPr>
        <w:t xml:space="preserve">. Notably, the treatment involving 100% RDF combined with 2 tons of </w:t>
      </w:r>
      <w:r w:rsidRPr="008C1C48">
        <w:rPr>
          <w:rFonts w:ascii="Times New Roman" w:hAnsi="Times New Roman" w:cs="Times New Roman"/>
          <w:sz w:val="24"/>
          <w:szCs w:val="24"/>
        </w:rPr>
        <w:lastRenderedPageBreak/>
        <w:t xml:space="preserve">vermicompost consistently outperformed </w:t>
      </w:r>
      <w:r w:rsidR="007C7BE6">
        <w:rPr>
          <w:rFonts w:ascii="Times New Roman" w:hAnsi="Times New Roman" w:cs="Times New Roman"/>
          <w:sz w:val="24"/>
          <w:szCs w:val="24"/>
        </w:rPr>
        <w:t>in number of seeds per pod (12.42) and seed yield (q/ha) (12.98 q/ha)as compared to</w:t>
      </w:r>
      <w:r w:rsidRPr="008C1C48">
        <w:rPr>
          <w:rFonts w:ascii="Times New Roman" w:hAnsi="Times New Roman" w:cs="Times New Roman"/>
          <w:sz w:val="24"/>
          <w:szCs w:val="24"/>
        </w:rPr>
        <w:t xml:space="preserve"> combinations across these parameters. This performance underscores the synergistic effect of integrating organic and inorganic nutrient sources. Vermicompost contributed to a more balanced carbon-to-nitrogen (</w:t>
      </w:r>
      <w:proofErr w:type="gramStart"/>
      <w:r w:rsidRPr="008C1C48">
        <w:rPr>
          <w:rFonts w:ascii="Times New Roman" w:hAnsi="Times New Roman" w:cs="Times New Roman"/>
          <w:sz w:val="24"/>
          <w:szCs w:val="24"/>
        </w:rPr>
        <w:t>C:N</w:t>
      </w:r>
      <w:proofErr w:type="gramEnd"/>
      <w:r w:rsidRPr="008C1C48">
        <w:rPr>
          <w:rFonts w:ascii="Times New Roman" w:hAnsi="Times New Roman" w:cs="Times New Roman"/>
          <w:sz w:val="24"/>
          <w:szCs w:val="24"/>
        </w:rPr>
        <w:t xml:space="preserve">) ratio in the soil, which enhanced carbohydrate synthesis and energy availability within the plant. Consequently, plants exhibited greater vegetative growth, dry matter accumulation, and branching, resulting in more pod-bearing sites. The increased number of pods and seeds per pod significantly contributed to overall yield improvement, corroborating earlier findings by Yadav (2001), Das </w:t>
      </w:r>
      <w:r w:rsidR="001F2306" w:rsidRPr="001F2306">
        <w:rPr>
          <w:rFonts w:ascii="Times New Roman" w:hAnsi="Times New Roman" w:cs="Times New Roman"/>
          <w:i/>
          <w:iCs/>
          <w:sz w:val="24"/>
          <w:szCs w:val="24"/>
        </w:rPr>
        <w:t>et al</w:t>
      </w:r>
      <w:r w:rsidRPr="008C1C48">
        <w:rPr>
          <w:rFonts w:ascii="Times New Roman" w:hAnsi="Times New Roman" w:cs="Times New Roman"/>
          <w:sz w:val="24"/>
          <w:szCs w:val="24"/>
        </w:rPr>
        <w:t xml:space="preserve">. (2002), </w:t>
      </w:r>
      <w:proofErr w:type="spellStart"/>
      <w:r w:rsidRPr="008C1C48">
        <w:rPr>
          <w:rFonts w:ascii="Times New Roman" w:hAnsi="Times New Roman" w:cs="Times New Roman"/>
          <w:sz w:val="24"/>
          <w:szCs w:val="24"/>
        </w:rPr>
        <w:t>Sammauria</w:t>
      </w:r>
      <w:r w:rsidR="001F2306" w:rsidRPr="001F2306">
        <w:rPr>
          <w:rFonts w:ascii="Times New Roman" w:hAnsi="Times New Roman" w:cs="Times New Roman"/>
          <w:i/>
          <w:iCs/>
          <w:sz w:val="24"/>
          <w:szCs w:val="24"/>
        </w:rPr>
        <w:t>et</w:t>
      </w:r>
      <w:proofErr w:type="spellEnd"/>
      <w:r w:rsidR="001F2306" w:rsidRPr="001F2306">
        <w:rPr>
          <w:rFonts w:ascii="Times New Roman" w:hAnsi="Times New Roman" w:cs="Times New Roman"/>
          <w:i/>
          <w:iCs/>
          <w:sz w:val="24"/>
          <w:szCs w:val="24"/>
        </w:rPr>
        <w:t xml:space="preserve"> al</w:t>
      </w:r>
      <w:r w:rsidRPr="008C1C48">
        <w:rPr>
          <w:rFonts w:ascii="Times New Roman" w:hAnsi="Times New Roman" w:cs="Times New Roman"/>
          <w:sz w:val="24"/>
          <w:szCs w:val="24"/>
        </w:rPr>
        <w:t>. (2009), and Choudhary and Yadav (2011).</w:t>
      </w:r>
    </w:p>
    <w:p w:rsidR="008C1C48" w:rsidRPr="006B3530" w:rsidRDefault="008C1C48" w:rsidP="005145D6">
      <w:pPr>
        <w:spacing w:after="0" w:line="360" w:lineRule="auto"/>
        <w:jc w:val="both"/>
        <w:rPr>
          <w:rFonts w:ascii="Times New Roman" w:hAnsi="Times New Roman" w:cs="Times New Roman"/>
          <w:sz w:val="24"/>
          <w:szCs w:val="24"/>
        </w:rPr>
      </w:pPr>
      <w:r w:rsidRPr="008C1C48">
        <w:rPr>
          <w:rFonts w:ascii="Times New Roman" w:hAnsi="Times New Roman" w:cs="Times New Roman"/>
          <w:b/>
          <w:bCs/>
          <w:sz w:val="24"/>
          <w:szCs w:val="24"/>
        </w:rPr>
        <w:t xml:space="preserve">Economic </w:t>
      </w:r>
      <w:r w:rsidR="00DB3AA6" w:rsidRPr="00DB3AA6">
        <w:rPr>
          <w:rFonts w:ascii="Times New Roman" w:hAnsi="Times New Roman" w:cs="Times New Roman"/>
          <w:b/>
          <w:sz w:val="24"/>
          <w:szCs w:val="24"/>
        </w:rPr>
        <w:t>perspective</w:t>
      </w:r>
    </w:p>
    <w:p w:rsidR="0093132B" w:rsidRPr="0093132B" w:rsidRDefault="0093132B" w:rsidP="005145D6">
      <w:pPr>
        <w:spacing w:after="0" w:line="360" w:lineRule="auto"/>
        <w:ind w:firstLine="720"/>
        <w:jc w:val="both"/>
        <w:rPr>
          <w:rFonts w:ascii="Times New Roman" w:hAnsi="Times New Roman" w:cs="Times New Roman"/>
          <w:sz w:val="24"/>
          <w:szCs w:val="24"/>
        </w:rPr>
      </w:pPr>
      <w:r w:rsidRPr="0093132B">
        <w:rPr>
          <w:rFonts w:ascii="Times New Roman" w:hAnsi="Times New Roman" w:cs="Times New Roman"/>
          <w:sz w:val="24"/>
          <w:szCs w:val="24"/>
        </w:rPr>
        <w:t>From an economic perspective, the combined application of 100% RDF</w:t>
      </w:r>
      <w:r>
        <w:rPr>
          <w:rFonts w:ascii="Times New Roman" w:hAnsi="Times New Roman" w:cs="Times New Roman"/>
          <w:sz w:val="24"/>
          <w:szCs w:val="24"/>
        </w:rPr>
        <w:t>, along with 2 t ha⁻¹ of vermicompost, resulted in a significantly higher net return compared to treatments receiving only chemical fertilisers</w:t>
      </w:r>
      <w:r w:rsidRPr="0093132B">
        <w:rPr>
          <w:rFonts w:ascii="Times New Roman" w:hAnsi="Times New Roman" w:cs="Times New Roman"/>
          <w:sz w:val="24"/>
          <w:szCs w:val="24"/>
        </w:rPr>
        <w:t xml:space="preserve"> or lower levels of organic inputs. The integration of vermicompost enhanced both seed and straw yields, as reflected in Table 1, which ultimately increased gross and net monetary returns. These yield advantages more than compensated for the additional cost of organic inputs, leading to a superior benefit–cost ratio. The observed economic gains can be attributed to improved nutrient use efficiency, sustained nutrient availability, and better soil health under integrated nutrient management practices. Similar findings have been reported by Ali and Kumar (2019), who observed higher profitability of pulse crops under INM practices, while Kumar, Singh and Meena (2018) emphasized that the combined use of organic and inorganic nutrient sources significantly improves productivity and farm income. Furthermore, Sinha, Herat, </w:t>
      </w:r>
      <w:proofErr w:type="spellStart"/>
      <w:r w:rsidRPr="0093132B">
        <w:rPr>
          <w:rFonts w:ascii="Times New Roman" w:hAnsi="Times New Roman" w:cs="Times New Roman"/>
          <w:sz w:val="24"/>
          <w:szCs w:val="24"/>
        </w:rPr>
        <w:t>Bharambe</w:t>
      </w:r>
      <w:proofErr w:type="spellEnd"/>
      <w:r w:rsidRPr="0093132B">
        <w:rPr>
          <w:rFonts w:ascii="Times New Roman" w:hAnsi="Times New Roman" w:cs="Times New Roman"/>
          <w:sz w:val="24"/>
          <w:szCs w:val="24"/>
        </w:rPr>
        <w:t xml:space="preserve"> and </w:t>
      </w:r>
      <w:proofErr w:type="spellStart"/>
      <w:r w:rsidRPr="0093132B">
        <w:rPr>
          <w:rFonts w:ascii="Times New Roman" w:hAnsi="Times New Roman" w:cs="Times New Roman"/>
          <w:sz w:val="24"/>
          <w:szCs w:val="24"/>
        </w:rPr>
        <w:t>Brahambhatt</w:t>
      </w:r>
      <w:proofErr w:type="spellEnd"/>
      <w:r w:rsidRPr="0093132B">
        <w:rPr>
          <w:rFonts w:ascii="Times New Roman" w:hAnsi="Times New Roman" w:cs="Times New Roman"/>
          <w:sz w:val="24"/>
          <w:szCs w:val="24"/>
        </w:rPr>
        <w:t xml:space="preserve"> (2010) highlighted the role of vermicompost in enhancing crop yields and economic returns due to improved soil biological activity and nutrient dynamics. These results clearly indicate that the integration of vermicompost with chemical fertilizers is not only agronomically effective but also economically viable and financially sustainable for cowpea cultivation.</w:t>
      </w:r>
    </w:p>
    <w:p w:rsidR="0093132B" w:rsidRDefault="00816ED1" w:rsidP="0093132B">
      <w:pPr>
        <w:spacing w:after="0" w:line="360" w:lineRule="auto"/>
        <w:jc w:val="both"/>
        <w:rPr>
          <w:rFonts w:ascii="Times New Roman" w:hAnsi="Times New Roman" w:cs="Times New Roman"/>
          <w:b/>
          <w:bCs/>
          <w:sz w:val="24"/>
          <w:szCs w:val="24"/>
        </w:rPr>
      </w:pPr>
      <w:r w:rsidRPr="006B3530">
        <w:rPr>
          <w:rFonts w:ascii="Times New Roman" w:hAnsi="Times New Roman" w:cs="Times New Roman"/>
          <w:b/>
          <w:bCs/>
          <w:sz w:val="24"/>
          <w:szCs w:val="24"/>
        </w:rPr>
        <w:t>Conclusion</w:t>
      </w:r>
    </w:p>
    <w:p w:rsidR="00816ED1" w:rsidRPr="0093132B" w:rsidRDefault="00816ED1" w:rsidP="0093132B">
      <w:pPr>
        <w:spacing w:after="0" w:line="360" w:lineRule="auto"/>
        <w:ind w:firstLine="720"/>
        <w:jc w:val="both"/>
        <w:rPr>
          <w:rFonts w:ascii="Times New Roman" w:hAnsi="Times New Roman" w:cs="Times New Roman"/>
          <w:b/>
          <w:bCs/>
          <w:sz w:val="24"/>
          <w:szCs w:val="24"/>
        </w:rPr>
      </w:pPr>
      <w:r w:rsidRPr="006B3530">
        <w:rPr>
          <w:rFonts w:ascii="Times New Roman" w:hAnsi="Times New Roman" w:cs="Times New Roman"/>
        </w:rPr>
        <w:t xml:space="preserve">The combined application of 100% Recommended Dose of Fertilizers (RDF) with 2 tons of vermicompost consistently outperformed all other treatments in enhancing key growth, yield, and economic parameters of the cowpea crop. This integrated nutrient management approach resulted in the highest plant height, number of branches, fresh root nodule weight, pods per plant, seeds per pod, test weight, and green pod yield. Economically, it also delivered the greatest net returns and benefit-cost ratio. In contrast, the control plots without fertilizer or vermicompost consistently recorded the lowest values across all measured parameters. These results clearly demonstrate that combining </w:t>
      </w:r>
      <w:r w:rsidRPr="006B3530">
        <w:rPr>
          <w:rFonts w:ascii="Times New Roman" w:hAnsi="Times New Roman" w:cs="Times New Roman"/>
        </w:rPr>
        <w:lastRenderedPageBreak/>
        <w:t>inorganic fertilizers with organic vermicompost significantly improves both crop productivity and profitability.</w:t>
      </w:r>
    </w:p>
    <w:p w:rsidR="00CC7B3F" w:rsidRPr="0025172A" w:rsidRDefault="00CC7B3F" w:rsidP="00CC7B3F">
      <w:pPr>
        <w:spacing w:line="360" w:lineRule="auto"/>
        <w:ind w:hanging="90"/>
        <w:rPr>
          <w:rFonts w:ascii="Times New Roman" w:hAnsi="Times New Roman" w:cs="Times New Roman"/>
          <w:b/>
          <w:bCs/>
          <w:sz w:val="24"/>
          <w:szCs w:val="24"/>
        </w:rPr>
      </w:pPr>
      <w:r w:rsidRPr="0025172A">
        <w:rPr>
          <w:rFonts w:ascii="Times New Roman" w:hAnsi="Times New Roman" w:cs="Times New Roman"/>
          <w:b/>
          <w:bCs/>
          <w:sz w:val="24"/>
          <w:szCs w:val="24"/>
        </w:rPr>
        <w:t>Disclaimer (Artificial Intelligence)</w:t>
      </w:r>
    </w:p>
    <w:p w:rsidR="00CC7B3F" w:rsidRDefault="00CC7B3F" w:rsidP="00CC7B3F">
      <w:pPr>
        <w:spacing w:line="360" w:lineRule="auto"/>
        <w:ind w:right="27"/>
        <w:jc w:val="both"/>
        <w:rPr>
          <w:rFonts w:ascii="Times New Roman" w:hAnsi="Times New Roman" w:cs="Times New Roman"/>
          <w:sz w:val="24"/>
          <w:szCs w:val="24"/>
        </w:rPr>
      </w:pPr>
      <w:r>
        <w:rPr>
          <w:rFonts w:ascii="Times New Roman" w:hAnsi="Times New Roman" w:cs="Times New Roman"/>
          <w:sz w:val="24"/>
          <w:szCs w:val="24"/>
        </w:rPr>
        <w:t>I hereby declare that NO generative AI technologies such as Large Language Models (ChatGPT, COPILOT, etc.) and text-to-image generators have been used during writing or editing of this manuscript.</w:t>
      </w:r>
    </w:p>
    <w:p w:rsidR="00DA0C6E" w:rsidRDefault="00DA0C6E" w:rsidP="005145D6">
      <w:pPr>
        <w:pStyle w:val="Heading3"/>
        <w:tabs>
          <w:tab w:val="left" w:pos="544"/>
        </w:tabs>
        <w:spacing w:before="198" w:line="360" w:lineRule="auto"/>
        <w:ind w:left="0"/>
        <w:jc w:val="both"/>
        <w:rPr>
          <w:rFonts w:ascii="Times New Roman" w:hAnsi="Times New Roman" w:cs="Times New Roman"/>
          <w:b w:val="0"/>
          <w:bCs w:val="0"/>
          <w:lang w:val="en-IN"/>
        </w:rPr>
      </w:pPr>
    </w:p>
    <w:p w:rsidR="00DA0C6E" w:rsidRDefault="00DA0C6E" w:rsidP="005145D6">
      <w:pPr>
        <w:pStyle w:val="Heading3"/>
        <w:tabs>
          <w:tab w:val="left" w:pos="544"/>
        </w:tabs>
        <w:spacing w:before="198" w:line="360" w:lineRule="auto"/>
        <w:ind w:left="0"/>
        <w:jc w:val="both"/>
        <w:rPr>
          <w:rFonts w:ascii="Times New Roman" w:hAnsi="Times New Roman" w:cs="Times New Roman"/>
          <w:b w:val="0"/>
          <w:bCs w:val="0"/>
          <w:lang w:val="en-IN"/>
        </w:rPr>
      </w:pPr>
    </w:p>
    <w:p w:rsidR="00B30D38" w:rsidRPr="006B3530" w:rsidRDefault="00B30D38"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b/>
          <w:bCs/>
          <w:sz w:val="24"/>
          <w:szCs w:val="24"/>
        </w:rPr>
        <w:t xml:space="preserve">Table 1: </w:t>
      </w:r>
      <w:r w:rsidRPr="006B3530">
        <w:rPr>
          <w:rFonts w:ascii="Times New Roman" w:eastAsia="Arial" w:hAnsi="Times New Roman" w:cs="Times New Roman"/>
          <w:b/>
          <w:bCs/>
          <w:sz w:val="24"/>
          <w:szCs w:val="24"/>
        </w:rPr>
        <w:t xml:space="preserve">Effect of Integrated Nutrient Management on growth, yield and quality of </w:t>
      </w:r>
      <w:r w:rsidR="00156642">
        <w:rPr>
          <w:rFonts w:ascii="Times New Roman" w:eastAsia="Arial" w:hAnsi="Times New Roman" w:cs="Times New Roman"/>
          <w:b/>
          <w:bCs/>
          <w:sz w:val="24"/>
          <w:szCs w:val="24"/>
        </w:rPr>
        <w:br/>
      </w:r>
      <w:r w:rsidRPr="006B3530">
        <w:rPr>
          <w:rFonts w:ascii="Times New Roman" w:eastAsia="Arial" w:hAnsi="Times New Roman" w:cs="Times New Roman"/>
          <w:b/>
          <w:bCs/>
          <w:sz w:val="24"/>
          <w:szCs w:val="24"/>
        </w:rPr>
        <w:t>Cowpea (</w:t>
      </w:r>
      <w:proofErr w:type="spellStart"/>
      <w:r w:rsidR="00535598" w:rsidRPr="006B3530">
        <w:rPr>
          <w:rFonts w:ascii="Times New Roman" w:eastAsia="Arial" w:hAnsi="Times New Roman" w:cs="Times New Roman"/>
          <w:b/>
          <w:bCs/>
          <w:i/>
          <w:sz w:val="24"/>
          <w:szCs w:val="24"/>
        </w:rPr>
        <w:t>V</w:t>
      </w:r>
      <w:r w:rsidRPr="006B3530">
        <w:rPr>
          <w:rFonts w:ascii="Times New Roman" w:eastAsia="Arial" w:hAnsi="Times New Roman" w:cs="Times New Roman"/>
          <w:b/>
          <w:bCs/>
          <w:i/>
          <w:sz w:val="24"/>
          <w:szCs w:val="24"/>
        </w:rPr>
        <w:t>ingna</w:t>
      </w:r>
      <w:proofErr w:type="spellEnd"/>
      <w:r w:rsidRPr="006B3530">
        <w:rPr>
          <w:rFonts w:ascii="Times New Roman" w:eastAsia="Arial" w:hAnsi="Times New Roman" w:cs="Times New Roman"/>
          <w:b/>
          <w:bCs/>
          <w:i/>
          <w:sz w:val="24"/>
          <w:szCs w:val="24"/>
        </w:rPr>
        <w:t xml:space="preserve"> </w:t>
      </w:r>
      <w:proofErr w:type="spellStart"/>
      <w:r w:rsidRPr="006B3530">
        <w:rPr>
          <w:rFonts w:ascii="Times New Roman" w:eastAsia="Arial" w:hAnsi="Times New Roman" w:cs="Times New Roman"/>
          <w:b/>
          <w:bCs/>
          <w:i/>
          <w:sz w:val="24"/>
          <w:szCs w:val="24"/>
        </w:rPr>
        <w:t>unguiculata</w:t>
      </w:r>
      <w:proofErr w:type="spellEnd"/>
      <w:r w:rsidRPr="006B3530">
        <w:rPr>
          <w:rFonts w:ascii="Times New Roman" w:eastAsia="Arial" w:hAnsi="Times New Roman" w:cs="Times New Roman"/>
          <w:b/>
          <w:bCs/>
          <w:i/>
          <w:sz w:val="24"/>
          <w:szCs w:val="24"/>
        </w:rPr>
        <w:t xml:space="preserve"> </w:t>
      </w:r>
      <w:r w:rsidRPr="006B3530">
        <w:rPr>
          <w:rFonts w:ascii="Times New Roman" w:eastAsia="Arial" w:hAnsi="Times New Roman" w:cs="Times New Roman"/>
          <w:b/>
          <w:bCs/>
          <w:iCs/>
          <w:sz w:val="24"/>
          <w:szCs w:val="24"/>
        </w:rPr>
        <w:t>L.)</w:t>
      </w:r>
    </w:p>
    <w:tbl>
      <w:tblPr>
        <w:tblW w:w="1037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3"/>
        <w:gridCol w:w="2614"/>
        <w:gridCol w:w="1620"/>
        <w:gridCol w:w="1419"/>
        <w:gridCol w:w="1426"/>
        <w:gridCol w:w="1141"/>
        <w:gridCol w:w="950"/>
      </w:tblGrid>
      <w:tr w:rsidR="00F950F3" w:rsidRPr="006B3530" w:rsidTr="00563D1B">
        <w:trPr>
          <w:trHeight w:val="779"/>
        </w:trPr>
        <w:tc>
          <w:tcPr>
            <w:tcW w:w="1203" w:type="dxa"/>
            <w:tcBorders>
              <w:top w:val="single" w:sz="4" w:space="0" w:color="000000"/>
              <w:left w:val="single" w:sz="4" w:space="0" w:color="000000"/>
              <w:right w:val="single" w:sz="4" w:space="0" w:color="auto"/>
            </w:tcBorders>
          </w:tcPr>
          <w:p w:rsidR="00F950F3" w:rsidRPr="006B3530" w:rsidRDefault="00F950F3" w:rsidP="006B35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Notations</w:t>
            </w:r>
          </w:p>
        </w:tc>
        <w:tc>
          <w:tcPr>
            <w:tcW w:w="2614" w:type="dxa"/>
            <w:tcBorders>
              <w:top w:val="single" w:sz="4" w:space="0" w:color="000000"/>
              <w:left w:val="single" w:sz="4" w:space="0" w:color="000000"/>
              <w:right w:val="single" w:sz="4" w:space="0" w:color="auto"/>
            </w:tcBorders>
          </w:tcPr>
          <w:p w:rsidR="00F950F3" w:rsidRPr="006B3530" w:rsidRDefault="00F950F3" w:rsidP="006B3530">
            <w:pPr>
              <w:spacing w:after="0" w:line="240" w:lineRule="auto"/>
              <w:jc w:val="both"/>
              <w:rPr>
                <w:rFonts w:ascii="Times New Roman" w:hAnsi="Times New Roman" w:cs="Times New Roman"/>
                <w:b/>
                <w:sz w:val="24"/>
                <w:szCs w:val="24"/>
              </w:rPr>
            </w:pPr>
            <w:r w:rsidRPr="006B3530">
              <w:rPr>
                <w:rFonts w:ascii="Times New Roman" w:hAnsi="Times New Roman" w:cs="Times New Roman"/>
                <w:b/>
                <w:sz w:val="24"/>
                <w:szCs w:val="24"/>
              </w:rPr>
              <w:t xml:space="preserve"> Treatments</w:t>
            </w:r>
          </w:p>
        </w:tc>
        <w:tc>
          <w:tcPr>
            <w:tcW w:w="1620" w:type="dxa"/>
            <w:tcBorders>
              <w:top w:val="single" w:sz="4" w:space="0" w:color="000000"/>
              <w:left w:val="single" w:sz="4" w:space="0" w:color="auto"/>
              <w:right w:val="single" w:sz="4" w:space="0" w:color="auto"/>
            </w:tcBorders>
          </w:tcPr>
          <w:p w:rsidR="00F950F3" w:rsidRPr="006B3530" w:rsidRDefault="00F950F3" w:rsidP="006B3530">
            <w:pPr>
              <w:spacing w:after="0" w:line="240" w:lineRule="auto"/>
              <w:jc w:val="both"/>
              <w:rPr>
                <w:rFonts w:ascii="Times New Roman" w:hAnsi="Times New Roman" w:cs="Times New Roman"/>
                <w:b/>
                <w:sz w:val="24"/>
                <w:szCs w:val="24"/>
              </w:rPr>
            </w:pPr>
            <w:r w:rsidRPr="006B3530">
              <w:rPr>
                <w:rFonts w:ascii="Times New Roman" w:hAnsi="Times New Roman" w:cs="Times New Roman"/>
                <w:b/>
                <w:sz w:val="24"/>
                <w:szCs w:val="24"/>
              </w:rPr>
              <w:t>Plant height (cm)</w:t>
            </w:r>
          </w:p>
          <w:p w:rsidR="00F950F3" w:rsidRPr="006B3530" w:rsidRDefault="00F950F3" w:rsidP="006B3530">
            <w:pPr>
              <w:spacing w:after="0" w:line="240" w:lineRule="auto"/>
              <w:jc w:val="both"/>
              <w:rPr>
                <w:rFonts w:ascii="Times New Roman" w:hAnsi="Times New Roman" w:cs="Times New Roman"/>
                <w:b/>
                <w:sz w:val="24"/>
                <w:szCs w:val="24"/>
              </w:rPr>
            </w:pPr>
            <w:r w:rsidRPr="006B3530">
              <w:rPr>
                <w:rFonts w:ascii="Times New Roman" w:hAnsi="Times New Roman" w:cs="Times New Roman"/>
                <w:b/>
                <w:sz w:val="24"/>
                <w:szCs w:val="24"/>
              </w:rPr>
              <w:t>atharvest</w:t>
            </w:r>
          </w:p>
        </w:tc>
        <w:tc>
          <w:tcPr>
            <w:tcW w:w="1419" w:type="dxa"/>
            <w:tcBorders>
              <w:top w:val="single" w:sz="4" w:space="0" w:color="000000"/>
              <w:left w:val="single" w:sz="4" w:space="0" w:color="auto"/>
              <w:right w:val="single" w:sz="4" w:space="0" w:color="auto"/>
            </w:tcBorders>
          </w:tcPr>
          <w:p w:rsidR="00F950F3" w:rsidRPr="006B3530" w:rsidRDefault="00F950F3" w:rsidP="006B3530">
            <w:pPr>
              <w:spacing w:after="0" w:line="240" w:lineRule="auto"/>
              <w:jc w:val="both"/>
              <w:rPr>
                <w:rFonts w:ascii="Times New Roman" w:hAnsi="Times New Roman" w:cs="Times New Roman"/>
                <w:b/>
                <w:sz w:val="24"/>
                <w:szCs w:val="24"/>
              </w:rPr>
            </w:pPr>
            <w:r w:rsidRPr="006B3530">
              <w:rPr>
                <w:rFonts w:ascii="Times New Roman" w:eastAsia="Arial" w:hAnsi="Times New Roman" w:cs="Times New Roman"/>
                <w:b/>
                <w:sz w:val="24"/>
                <w:szCs w:val="24"/>
              </w:rPr>
              <w:t>Numbers of pods per plants</w:t>
            </w:r>
          </w:p>
        </w:tc>
        <w:tc>
          <w:tcPr>
            <w:tcW w:w="1426" w:type="dxa"/>
            <w:tcBorders>
              <w:top w:val="single" w:sz="4" w:space="0" w:color="000000"/>
              <w:left w:val="single" w:sz="4" w:space="0" w:color="auto"/>
              <w:right w:val="single" w:sz="4" w:space="0" w:color="auto"/>
            </w:tcBorders>
          </w:tcPr>
          <w:p w:rsidR="00F950F3" w:rsidRPr="006B3530" w:rsidRDefault="00F950F3" w:rsidP="006B3530">
            <w:pPr>
              <w:spacing w:after="0" w:line="240" w:lineRule="auto"/>
              <w:jc w:val="both"/>
              <w:rPr>
                <w:rFonts w:ascii="Times New Roman" w:hAnsi="Times New Roman" w:cs="Times New Roman"/>
                <w:b/>
                <w:sz w:val="24"/>
                <w:szCs w:val="24"/>
              </w:rPr>
            </w:pPr>
            <w:r w:rsidRPr="006B3530">
              <w:rPr>
                <w:rFonts w:ascii="Times New Roman" w:hAnsi="Times New Roman" w:cs="Times New Roman"/>
                <w:b/>
                <w:sz w:val="24"/>
                <w:szCs w:val="24"/>
              </w:rPr>
              <w:t>Numbers of Seeds per pod</w:t>
            </w:r>
          </w:p>
        </w:tc>
        <w:tc>
          <w:tcPr>
            <w:tcW w:w="1141" w:type="dxa"/>
            <w:tcBorders>
              <w:top w:val="single" w:sz="4" w:space="0" w:color="000000"/>
              <w:left w:val="single" w:sz="4" w:space="0" w:color="auto"/>
              <w:right w:val="single" w:sz="4" w:space="0" w:color="auto"/>
            </w:tcBorders>
          </w:tcPr>
          <w:p w:rsidR="00F950F3" w:rsidRPr="006B3530" w:rsidRDefault="00F950F3" w:rsidP="006B3530">
            <w:pPr>
              <w:spacing w:after="0" w:line="240" w:lineRule="auto"/>
              <w:jc w:val="both"/>
              <w:rPr>
                <w:rFonts w:ascii="Times New Roman" w:hAnsi="Times New Roman" w:cs="Times New Roman"/>
                <w:b/>
                <w:sz w:val="24"/>
                <w:szCs w:val="24"/>
              </w:rPr>
            </w:pPr>
            <w:r w:rsidRPr="006B3530">
              <w:rPr>
                <w:rFonts w:ascii="Times New Roman" w:hAnsi="Times New Roman" w:cs="Times New Roman"/>
                <w:b/>
                <w:sz w:val="24"/>
                <w:szCs w:val="24"/>
              </w:rPr>
              <w:t>Seed Yield (q/ha)</w:t>
            </w:r>
          </w:p>
        </w:tc>
        <w:tc>
          <w:tcPr>
            <w:tcW w:w="950" w:type="dxa"/>
            <w:tcBorders>
              <w:top w:val="single" w:sz="4" w:space="0" w:color="000000"/>
              <w:left w:val="single" w:sz="4" w:space="0" w:color="auto"/>
              <w:right w:val="single" w:sz="4" w:space="0" w:color="auto"/>
            </w:tcBorders>
          </w:tcPr>
          <w:p w:rsidR="00F950F3" w:rsidRPr="006B3530" w:rsidRDefault="00F950F3" w:rsidP="006B3530">
            <w:pPr>
              <w:spacing w:after="0" w:line="240" w:lineRule="auto"/>
              <w:jc w:val="both"/>
              <w:rPr>
                <w:rFonts w:ascii="Times New Roman" w:hAnsi="Times New Roman" w:cs="Times New Roman"/>
                <w:b/>
                <w:sz w:val="24"/>
                <w:szCs w:val="24"/>
              </w:rPr>
            </w:pPr>
            <w:r w:rsidRPr="006B3530">
              <w:rPr>
                <w:rFonts w:ascii="Times New Roman" w:hAnsi="Times New Roman" w:cs="Times New Roman"/>
                <w:b/>
                <w:sz w:val="24"/>
                <w:szCs w:val="24"/>
              </w:rPr>
              <w:t>Benefit cost ratio</w:t>
            </w:r>
          </w:p>
        </w:tc>
      </w:tr>
      <w:tr w:rsidR="00F950F3" w:rsidRPr="006B3530" w:rsidTr="00563D1B">
        <w:trPr>
          <w:trHeight w:val="441"/>
        </w:trPr>
        <w:tc>
          <w:tcPr>
            <w:tcW w:w="1203" w:type="dxa"/>
            <w:tcBorders>
              <w:top w:val="single" w:sz="4" w:space="0" w:color="000000"/>
              <w:left w:val="single" w:sz="4" w:space="0" w:color="000000"/>
              <w:bottom w:val="single" w:sz="4" w:space="0" w:color="000000"/>
              <w:right w:val="single" w:sz="4" w:space="0" w:color="000000"/>
            </w:tcBorders>
          </w:tcPr>
          <w:p w:rsidR="00F950F3" w:rsidRPr="006B3530" w:rsidRDefault="00F950F3" w:rsidP="006B3530">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T1</w:t>
            </w:r>
          </w:p>
        </w:tc>
        <w:tc>
          <w:tcPr>
            <w:tcW w:w="2614" w:type="dxa"/>
            <w:tcBorders>
              <w:top w:val="single" w:sz="4" w:space="0" w:color="000000"/>
              <w:left w:val="single" w:sz="4" w:space="0" w:color="000000"/>
              <w:bottom w:val="single" w:sz="4" w:space="0" w:color="000000"/>
              <w:right w:val="single" w:sz="4" w:space="0" w:color="000000"/>
            </w:tcBorders>
            <w:vAlign w:val="bottom"/>
            <w:hideMark/>
          </w:tcPr>
          <w:p w:rsidR="00F950F3" w:rsidRPr="006B3530" w:rsidRDefault="00F950F3" w:rsidP="006B3530">
            <w:pPr>
              <w:spacing w:after="0" w:line="360" w:lineRule="auto"/>
              <w:jc w:val="both"/>
              <w:rPr>
                <w:rFonts w:ascii="Times New Roman" w:hAnsi="Times New Roman" w:cs="Times New Roman"/>
                <w:b/>
                <w:sz w:val="24"/>
                <w:szCs w:val="24"/>
              </w:rPr>
            </w:pPr>
            <w:r w:rsidRPr="006B3530">
              <w:rPr>
                <w:rFonts w:ascii="Times New Roman" w:eastAsia="Arial" w:hAnsi="Times New Roman" w:cs="Times New Roman"/>
                <w:sz w:val="24"/>
                <w:szCs w:val="24"/>
              </w:rPr>
              <w:t>Control</w:t>
            </w:r>
          </w:p>
        </w:tc>
        <w:tc>
          <w:tcPr>
            <w:tcW w:w="1620"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57.33</w:t>
            </w:r>
          </w:p>
        </w:tc>
        <w:tc>
          <w:tcPr>
            <w:tcW w:w="1419"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10.26</w:t>
            </w:r>
          </w:p>
        </w:tc>
        <w:tc>
          <w:tcPr>
            <w:tcW w:w="1426"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9.83</w:t>
            </w:r>
          </w:p>
        </w:tc>
        <w:tc>
          <w:tcPr>
            <w:tcW w:w="1141"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9.36</w:t>
            </w:r>
          </w:p>
        </w:tc>
        <w:tc>
          <w:tcPr>
            <w:tcW w:w="950"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2.64</w:t>
            </w:r>
          </w:p>
        </w:tc>
      </w:tr>
      <w:tr w:rsidR="00F950F3" w:rsidRPr="006B3530" w:rsidTr="00563D1B">
        <w:trPr>
          <w:trHeight w:val="451"/>
        </w:trPr>
        <w:tc>
          <w:tcPr>
            <w:tcW w:w="1203" w:type="dxa"/>
            <w:tcBorders>
              <w:top w:val="single" w:sz="4" w:space="0" w:color="000000"/>
              <w:left w:val="single" w:sz="4" w:space="0" w:color="000000"/>
              <w:bottom w:val="single" w:sz="4" w:space="0" w:color="000000"/>
              <w:right w:val="single" w:sz="4" w:space="0" w:color="000000"/>
            </w:tcBorders>
          </w:tcPr>
          <w:p w:rsidR="00F950F3" w:rsidRPr="006B3530" w:rsidRDefault="00F950F3" w:rsidP="006B3530">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T2</w:t>
            </w:r>
          </w:p>
        </w:tc>
        <w:tc>
          <w:tcPr>
            <w:tcW w:w="2614" w:type="dxa"/>
            <w:tcBorders>
              <w:top w:val="single" w:sz="4" w:space="0" w:color="000000"/>
              <w:left w:val="single" w:sz="4" w:space="0" w:color="000000"/>
              <w:bottom w:val="single" w:sz="4" w:space="0" w:color="000000"/>
              <w:right w:val="single" w:sz="4" w:space="0" w:color="000000"/>
            </w:tcBorders>
            <w:vAlign w:val="bottom"/>
            <w:hideMark/>
          </w:tcPr>
          <w:p w:rsidR="00F950F3" w:rsidRPr="006B3530" w:rsidRDefault="00F950F3" w:rsidP="006B3530">
            <w:pPr>
              <w:spacing w:after="0" w:line="360" w:lineRule="auto"/>
              <w:jc w:val="both"/>
              <w:rPr>
                <w:rFonts w:ascii="Times New Roman" w:hAnsi="Times New Roman" w:cs="Times New Roman"/>
                <w:b/>
                <w:sz w:val="24"/>
                <w:szCs w:val="24"/>
              </w:rPr>
            </w:pPr>
            <w:r w:rsidRPr="006B3530">
              <w:rPr>
                <w:rFonts w:ascii="Times New Roman" w:eastAsia="Arial" w:hAnsi="Times New Roman" w:cs="Times New Roman"/>
                <w:sz w:val="24"/>
                <w:szCs w:val="24"/>
              </w:rPr>
              <w:t>5ton FYM/ha</w:t>
            </w:r>
          </w:p>
        </w:tc>
        <w:tc>
          <w:tcPr>
            <w:tcW w:w="1620"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61.83</w:t>
            </w:r>
          </w:p>
        </w:tc>
        <w:tc>
          <w:tcPr>
            <w:tcW w:w="1419"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11.75</w:t>
            </w:r>
          </w:p>
        </w:tc>
        <w:tc>
          <w:tcPr>
            <w:tcW w:w="1426"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11.14</w:t>
            </w:r>
          </w:p>
        </w:tc>
        <w:tc>
          <w:tcPr>
            <w:tcW w:w="1141"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10.90</w:t>
            </w:r>
          </w:p>
        </w:tc>
        <w:tc>
          <w:tcPr>
            <w:tcW w:w="950"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2.63</w:t>
            </w:r>
          </w:p>
        </w:tc>
      </w:tr>
      <w:tr w:rsidR="00F950F3" w:rsidRPr="006B3530" w:rsidTr="00563D1B">
        <w:trPr>
          <w:trHeight w:val="415"/>
        </w:trPr>
        <w:tc>
          <w:tcPr>
            <w:tcW w:w="1203" w:type="dxa"/>
            <w:tcBorders>
              <w:top w:val="single" w:sz="4" w:space="0" w:color="000000"/>
              <w:left w:val="single" w:sz="4" w:space="0" w:color="000000"/>
              <w:bottom w:val="single" w:sz="4" w:space="0" w:color="000000"/>
              <w:right w:val="single" w:sz="4" w:space="0" w:color="000000"/>
            </w:tcBorders>
          </w:tcPr>
          <w:p w:rsidR="00F950F3" w:rsidRPr="006B3530" w:rsidRDefault="00F950F3" w:rsidP="006B3530">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T3</w:t>
            </w:r>
          </w:p>
        </w:tc>
        <w:tc>
          <w:tcPr>
            <w:tcW w:w="2614" w:type="dxa"/>
            <w:tcBorders>
              <w:top w:val="single" w:sz="4" w:space="0" w:color="000000"/>
              <w:left w:val="single" w:sz="4" w:space="0" w:color="000000"/>
              <w:bottom w:val="single" w:sz="4" w:space="0" w:color="000000"/>
              <w:right w:val="single" w:sz="4" w:space="0" w:color="000000"/>
            </w:tcBorders>
            <w:vAlign w:val="bottom"/>
            <w:hideMark/>
          </w:tcPr>
          <w:p w:rsidR="00F950F3" w:rsidRPr="006B3530" w:rsidRDefault="00F950F3" w:rsidP="006B3530">
            <w:pPr>
              <w:spacing w:after="0" w:line="360" w:lineRule="auto"/>
              <w:jc w:val="both"/>
              <w:rPr>
                <w:rFonts w:ascii="Times New Roman" w:hAnsi="Times New Roman" w:cs="Times New Roman"/>
                <w:b/>
                <w:sz w:val="24"/>
                <w:szCs w:val="24"/>
              </w:rPr>
            </w:pPr>
            <w:r w:rsidRPr="006B3530">
              <w:rPr>
                <w:rFonts w:ascii="Times New Roman" w:eastAsia="Arial" w:hAnsi="Times New Roman" w:cs="Times New Roman"/>
                <w:sz w:val="24"/>
                <w:szCs w:val="24"/>
              </w:rPr>
              <w:t xml:space="preserve">50% RDF + 50% vermicompost/ha </w:t>
            </w:r>
          </w:p>
        </w:tc>
        <w:tc>
          <w:tcPr>
            <w:tcW w:w="1620"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63.71</w:t>
            </w:r>
          </w:p>
        </w:tc>
        <w:tc>
          <w:tcPr>
            <w:tcW w:w="1419"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12.07</w:t>
            </w:r>
          </w:p>
        </w:tc>
        <w:tc>
          <w:tcPr>
            <w:tcW w:w="1426"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11.54</w:t>
            </w:r>
          </w:p>
        </w:tc>
        <w:tc>
          <w:tcPr>
            <w:tcW w:w="1141"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11.71</w:t>
            </w:r>
          </w:p>
        </w:tc>
        <w:tc>
          <w:tcPr>
            <w:tcW w:w="950"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2.78</w:t>
            </w:r>
          </w:p>
        </w:tc>
      </w:tr>
      <w:tr w:rsidR="00F950F3" w:rsidRPr="006B3530" w:rsidTr="00563D1B">
        <w:trPr>
          <w:trHeight w:val="460"/>
        </w:trPr>
        <w:tc>
          <w:tcPr>
            <w:tcW w:w="1203" w:type="dxa"/>
            <w:tcBorders>
              <w:top w:val="single" w:sz="4" w:space="0" w:color="000000"/>
              <w:left w:val="single" w:sz="4" w:space="0" w:color="000000"/>
              <w:bottom w:val="single" w:sz="4" w:space="0" w:color="000000"/>
              <w:right w:val="single" w:sz="4" w:space="0" w:color="000000"/>
            </w:tcBorders>
          </w:tcPr>
          <w:p w:rsidR="00F950F3" w:rsidRPr="006B3530" w:rsidRDefault="00F950F3" w:rsidP="006B3530">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T4</w:t>
            </w:r>
          </w:p>
        </w:tc>
        <w:tc>
          <w:tcPr>
            <w:tcW w:w="2614" w:type="dxa"/>
            <w:tcBorders>
              <w:top w:val="single" w:sz="4" w:space="0" w:color="000000"/>
              <w:left w:val="single" w:sz="4" w:space="0" w:color="000000"/>
              <w:bottom w:val="single" w:sz="4" w:space="0" w:color="000000"/>
              <w:right w:val="single" w:sz="4" w:space="0" w:color="000000"/>
            </w:tcBorders>
            <w:vAlign w:val="bottom"/>
            <w:hideMark/>
          </w:tcPr>
          <w:p w:rsidR="00F950F3" w:rsidRPr="006B3530" w:rsidRDefault="00F950F3" w:rsidP="006B3530">
            <w:pPr>
              <w:spacing w:after="0" w:line="360" w:lineRule="auto"/>
              <w:jc w:val="both"/>
              <w:rPr>
                <w:rFonts w:ascii="Times New Roman" w:hAnsi="Times New Roman" w:cs="Times New Roman"/>
                <w:b/>
                <w:sz w:val="24"/>
                <w:szCs w:val="24"/>
              </w:rPr>
            </w:pPr>
            <w:r w:rsidRPr="006B3530">
              <w:rPr>
                <w:rFonts w:ascii="Times New Roman" w:eastAsia="Arial" w:hAnsi="Times New Roman" w:cs="Times New Roman"/>
                <w:sz w:val="24"/>
                <w:szCs w:val="24"/>
              </w:rPr>
              <w:t xml:space="preserve">75% RDF + 25% vermicompost/ha </w:t>
            </w:r>
          </w:p>
        </w:tc>
        <w:tc>
          <w:tcPr>
            <w:tcW w:w="1620"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67.18</w:t>
            </w:r>
          </w:p>
        </w:tc>
        <w:tc>
          <w:tcPr>
            <w:tcW w:w="1419"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12.62</w:t>
            </w:r>
          </w:p>
        </w:tc>
        <w:tc>
          <w:tcPr>
            <w:tcW w:w="1426"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12.19</w:t>
            </w:r>
          </w:p>
        </w:tc>
        <w:tc>
          <w:tcPr>
            <w:tcW w:w="1141"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12.42</w:t>
            </w:r>
          </w:p>
        </w:tc>
        <w:tc>
          <w:tcPr>
            <w:tcW w:w="950"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2.75</w:t>
            </w:r>
          </w:p>
        </w:tc>
      </w:tr>
      <w:tr w:rsidR="00F950F3" w:rsidRPr="006B3530" w:rsidTr="00563D1B">
        <w:trPr>
          <w:trHeight w:val="385"/>
        </w:trPr>
        <w:tc>
          <w:tcPr>
            <w:tcW w:w="1203" w:type="dxa"/>
            <w:tcBorders>
              <w:top w:val="single" w:sz="4" w:space="0" w:color="000000"/>
              <w:left w:val="single" w:sz="4" w:space="0" w:color="000000"/>
              <w:bottom w:val="single" w:sz="4" w:space="0" w:color="000000"/>
              <w:right w:val="single" w:sz="4" w:space="0" w:color="000000"/>
            </w:tcBorders>
          </w:tcPr>
          <w:p w:rsidR="00F950F3" w:rsidRPr="006B3530" w:rsidRDefault="00F950F3" w:rsidP="006B3530">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T5</w:t>
            </w:r>
          </w:p>
        </w:tc>
        <w:tc>
          <w:tcPr>
            <w:tcW w:w="2614" w:type="dxa"/>
            <w:tcBorders>
              <w:top w:val="single" w:sz="4" w:space="0" w:color="000000"/>
              <w:left w:val="single" w:sz="4" w:space="0" w:color="000000"/>
              <w:bottom w:val="single" w:sz="4" w:space="0" w:color="000000"/>
              <w:right w:val="single" w:sz="4" w:space="0" w:color="000000"/>
            </w:tcBorders>
            <w:vAlign w:val="bottom"/>
            <w:hideMark/>
          </w:tcPr>
          <w:p w:rsidR="00F950F3" w:rsidRPr="006B3530" w:rsidRDefault="00F950F3" w:rsidP="006B3530">
            <w:pPr>
              <w:spacing w:after="0" w:line="360" w:lineRule="auto"/>
              <w:jc w:val="both"/>
              <w:rPr>
                <w:rFonts w:ascii="Times New Roman" w:hAnsi="Times New Roman" w:cs="Times New Roman"/>
                <w:b/>
                <w:sz w:val="24"/>
                <w:szCs w:val="24"/>
              </w:rPr>
            </w:pPr>
            <w:r w:rsidRPr="006B3530">
              <w:rPr>
                <w:rFonts w:ascii="Times New Roman" w:eastAsia="Arial" w:hAnsi="Times New Roman" w:cs="Times New Roman"/>
                <w:sz w:val="24"/>
                <w:szCs w:val="24"/>
              </w:rPr>
              <w:t xml:space="preserve">100% RDF </w:t>
            </w:r>
            <w:r>
              <w:rPr>
                <w:rFonts w:ascii="Times New Roman" w:eastAsia="Arial" w:hAnsi="Times New Roman" w:cs="Times New Roman"/>
                <w:sz w:val="24"/>
                <w:szCs w:val="24"/>
              </w:rPr>
              <w:t>+ FYM (2 ton/ha)</w:t>
            </w:r>
          </w:p>
        </w:tc>
        <w:tc>
          <w:tcPr>
            <w:tcW w:w="1620"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67.60</w:t>
            </w:r>
          </w:p>
        </w:tc>
        <w:tc>
          <w:tcPr>
            <w:tcW w:w="1419"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12.88</w:t>
            </w:r>
          </w:p>
        </w:tc>
        <w:tc>
          <w:tcPr>
            <w:tcW w:w="1426"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12.42</w:t>
            </w:r>
          </w:p>
        </w:tc>
        <w:tc>
          <w:tcPr>
            <w:tcW w:w="1141"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12.98</w:t>
            </w:r>
          </w:p>
        </w:tc>
        <w:tc>
          <w:tcPr>
            <w:tcW w:w="950"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2.86</w:t>
            </w:r>
          </w:p>
        </w:tc>
      </w:tr>
      <w:tr w:rsidR="00F950F3" w:rsidRPr="006B3530" w:rsidTr="00563D1B">
        <w:trPr>
          <w:trHeight w:val="408"/>
        </w:trPr>
        <w:tc>
          <w:tcPr>
            <w:tcW w:w="1203" w:type="dxa"/>
            <w:tcBorders>
              <w:top w:val="single" w:sz="4" w:space="0" w:color="000000"/>
              <w:left w:val="single" w:sz="4" w:space="0" w:color="000000"/>
              <w:bottom w:val="single" w:sz="4" w:space="0" w:color="000000"/>
              <w:right w:val="single" w:sz="4" w:space="0" w:color="000000"/>
            </w:tcBorders>
          </w:tcPr>
          <w:p w:rsidR="00F950F3" w:rsidRPr="006B3530" w:rsidRDefault="00F950F3" w:rsidP="006B3530">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T6</w:t>
            </w:r>
          </w:p>
        </w:tc>
        <w:tc>
          <w:tcPr>
            <w:tcW w:w="2614" w:type="dxa"/>
            <w:tcBorders>
              <w:top w:val="single" w:sz="4" w:space="0" w:color="000000"/>
              <w:left w:val="single" w:sz="4" w:space="0" w:color="000000"/>
              <w:bottom w:val="single" w:sz="4" w:space="0" w:color="000000"/>
              <w:right w:val="single" w:sz="4" w:space="0" w:color="000000"/>
            </w:tcBorders>
            <w:vAlign w:val="bottom"/>
            <w:hideMark/>
          </w:tcPr>
          <w:p w:rsidR="00F950F3" w:rsidRPr="006B3530" w:rsidRDefault="00F950F3" w:rsidP="006B3530">
            <w:pPr>
              <w:spacing w:after="0" w:line="360" w:lineRule="auto"/>
              <w:jc w:val="both"/>
              <w:rPr>
                <w:rFonts w:ascii="Times New Roman" w:hAnsi="Times New Roman" w:cs="Times New Roman"/>
                <w:b/>
                <w:sz w:val="24"/>
                <w:szCs w:val="24"/>
              </w:rPr>
            </w:pPr>
            <w:r w:rsidRPr="006B3530">
              <w:rPr>
                <w:rFonts w:ascii="Times New Roman" w:eastAsia="Arial" w:hAnsi="Times New Roman" w:cs="Times New Roman"/>
                <w:sz w:val="24"/>
                <w:szCs w:val="24"/>
              </w:rPr>
              <w:t>5ton vermicompost/ha</w:t>
            </w:r>
          </w:p>
        </w:tc>
        <w:tc>
          <w:tcPr>
            <w:tcW w:w="1620"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63.04</w:t>
            </w:r>
          </w:p>
        </w:tc>
        <w:tc>
          <w:tcPr>
            <w:tcW w:w="1419"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11.88</w:t>
            </w:r>
          </w:p>
        </w:tc>
        <w:tc>
          <w:tcPr>
            <w:tcW w:w="1426"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11.35</w:t>
            </w:r>
          </w:p>
        </w:tc>
        <w:tc>
          <w:tcPr>
            <w:tcW w:w="1141"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11.35</w:t>
            </w:r>
          </w:p>
        </w:tc>
        <w:tc>
          <w:tcPr>
            <w:tcW w:w="950"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2.73</w:t>
            </w:r>
          </w:p>
        </w:tc>
      </w:tr>
      <w:tr w:rsidR="00F950F3" w:rsidRPr="006B3530" w:rsidTr="00563D1B">
        <w:trPr>
          <w:trHeight w:val="430"/>
        </w:trPr>
        <w:tc>
          <w:tcPr>
            <w:tcW w:w="1203" w:type="dxa"/>
            <w:tcBorders>
              <w:top w:val="single" w:sz="4" w:space="0" w:color="000000"/>
              <w:left w:val="single" w:sz="4" w:space="0" w:color="000000"/>
              <w:bottom w:val="single" w:sz="4" w:space="0" w:color="000000"/>
              <w:right w:val="single" w:sz="4" w:space="0" w:color="000000"/>
            </w:tcBorders>
          </w:tcPr>
          <w:p w:rsidR="00F950F3" w:rsidRPr="006B3530" w:rsidRDefault="00F950F3" w:rsidP="006B3530">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T7</w:t>
            </w:r>
          </w:p>
        </w:tc>
        <w:tc>
          <w:tcPr>
            <w:tcW w:w="2614" w:type="dxa"/>
            <w:tcBorders>
              <w:top w:val="single" w:sz="4" w:space="0" w:color="000000"/>
              <w:left w:val="single" w:sz="4" w:space="0" w:color="000000"/>
              <w:bottom w:val="single" w:sz="4" w:space="0" w:color="000000"/>
              <w:right w:val="single" w:sz="4" w:space="0" w:color="000000"/>
            </w:tcBorders>
            <w:vAlign w:val="bottom"/>
            <w:hideMark/>
          </w:tcPr>
          <w:p w:rsidR="00F950F3" w:rsidRPr="006B3530" w:rsidRDefault="00F950F3" w:rsidP="006B3530">
            <w:pPr>
              <w:spacing w:after="0" w:line="360" w:lineRule="auto"/>
              <w:jc w:val="both"/>
              <w:rPr>
                <w:rFonts w:ascii="Times New Roman" w:hAnsi="Times New Roman" w:cs="Times New Roman"/>
                <w:b/>
                <w:sz w:val="24"/>
                <w:szCs w:val="24"/>
              </w:rPr>
            </w:pPr>
            <w:r w:rsidRPr="006B3530">
              <w:rPr>
                <w:rFonts w:ascii="Times New Roman" w:eastAsia="Arial" w:hAnsi="Times New Roman" w:cs="Times New Roman"/>
                <w:sz w:val="24"/>
                <w:szCs w:val="24"/>
              </w:rPr>
              <w:t>50% RDF + 50% FYM/ha</w:t>
            </w:r>
          </w:p>
        </w:tc>
        <w:tc>
          <w:tcPr>
            <w:tcW w:w="1620"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64.19</w:t>
            </w:r>
          </w:p>
        </w:tc>
        <w:tc>
          <w:tcPr>
            <w:tcW w:w="1419"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12.20</w:t>
            </w:r>
          </w:p>
        </w:tc>
        <w:tc>
          <w:tcPr>
            <w:tcW w:w="1426"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11.68</w:t>
            </w:r>
          </w:p>
        </w:tc>
        <w:tc>
          <w:tcPr>
            <w:tcW w:w="1141"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11.98</w:t>
            </w:r>
          </w:p>
        </w:tc>
        <w:tc>
          <w:tcPr>
            <w:tcW w:w="950"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2.83</w:t>
            </w:r>
          </w:p>
        </w:tc>
      </w:tr>
      <w:tr w:rsidR="00F950F3" w:rsidRPr="006B3530" w:rsidTr="00563D1B">
        <w:trPr>
          <w:trHeight w:val="397"/>
        </w:trPr>
        <w:tc>
          <w:tcPr>
            <w:tcW w:w="1203" w:type="dxa"/>
            <w:tcBorders>
              <w:top w:val="single" w:sz="4" w:space="0" w:color="000000"/>
              <w:left w:val="single" w:sz="4" w:space="0" w:color="000000"/>
              <w:bottom w:val="single" w:sz="4" w:space="0" w:color="000000"/>
              <w:right w:val="single" w:sz="4" w:space="0" w:color="000000"/>
            </w:tcBorders>
          </w:tcPr>
          <w:p w:rsidR="00F950F3" w:rsidRPr="006B3530" w:rsidRDefault="00F950F3" w:rsidP="006B3530">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T8</w:t>
            </w:r>
          </w:p>
        </w:tc>
        <w:tc>
          <w:tcPr>
            <w:tcW w:w="2614" w:type="dxa"/>
            <w:tcBorders>
              <w:top w:val="single" w:sz="4" w:space="0" w:color="000000"/>
              <w:left w:val="single" w:sz="4" w:space="0" w:color="000000"/>
              <w:bottom w:val="single" w:sz="4" w:space="0" w:color="000000"/>
              <w:right w:val="single" w:sz="4" w:space="0" w:color="000000"/>
            </w:tcBorders>
            <w:vAlign w:val="bottom"/>
            <w:hideMark/>
          </w:tcPr>
          <w:p w:rsidR="00F950F3" w:rsidRPr="006B3530" w:rsidRDefault="00F950F3" w:rsidP="006B3530">
            <w:pPr>
              <w:spacing w:after="0" w:line="360" w:lineRule="auto"/>
              <w:jc w:val="both"/>
              <w:rPr>
                <w:rFonts w:ascii="Times New Roman" w:hAnsi="Times New Roman" w:cs="Times New Roman"/>
                <w:b/>
                <w:sz w:val="24"/>
                <w:szCs w:val="24"/>
              </w:rPr>
            </w:pPr>
            <w:r w:rsidRPr="006B3530">
              <w:rPr>
                <w:rFonts w:ascii="Times New Roman" w:eastAsia="Arial" w:hAnsi="Times New Roman" w:cs="Times New Roman"/>
                <w:sz w:val="24"/>
                <w:szCs w:val="24"/>
              </w:rPr>
              <w:t xml:space="preserve">75% RDF + 25% FYM/ha </w:t>
            </w:r>
          </w:p>
        </w:tc>
        <w:tc>
          <w:tcPr>
            <w:tcW w:w="1620"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64.68</w:t>
            </w:r>
          </w:p>
        </w:tc>
        <w:tc>
          <w:tcPr>
            <w:tcW w:w="1419"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12.40</w:t>
            </w:r>
          </w:p>
        </w:tc>
        <w:tc>
          <w:tcPr>
            <w:tcW w:w="1426"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11.97</w:t>
            </w:r>
          </w:p>
        </w:tc>
        <w:tc>
          <w:tcPr>
            <w:tcW w:w="1141"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12.12</w:t>
            </w:r>
          </w:p>
        </w:tc>
        <w:tc>
          <w:tcPr>
            <w:tcW w:w="950"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2.72</w:t>
            </w:r>
          </w:p>
        </w:tc>
      </w:tr>
      <w:tr w:rsidR="00F950F3" w:rsidRPr="006B3530" w:rsidTr="00563D1B">
        <w:trPr>
          <w:trHeight w:val="268"/>
        </w:trPr>
        <w:tc>
          <w:tcPr>
            <w:tcW w:w="1203" w:type="dxa"/>
            <w:tcBorders>
              <w:top w:val="single" w:sz="4" w:space="0" w:color="000000"/>
              <w:left w:val="single" w:sz="4" w:space="0" w:color="000000"/>
              <w:bottom w:val="single" w:sz="4" w:space="0" w:color="000000"/>
              <w:right w:val="single" w:sz="4" w:space="0" w:color="000000"/>
            </w:tcBorders>
          </w:tcPr>
          <w:p w:rsidR="00F950F3" w:rsidRPr="006B3530" w:rsidRDefault="00F950F3" w:rsidP="006B3530">
            <w:pPr>
              <w:spacing w:after="0" w:line="360" w:lineRule="auto"/>
              <w:jc w:val="both"/>
              <w:rPr>
                <w:rFonts w:ascii="Times New Roman" w:hAnsi="Times New Roman" w:cs="Times New Roman"/>
                <w:b/>
                <w:sz w:val="24"/>
                <w:szCs w:val="24"/>
              </w:rPr>
            </w:pPr>
          </w:p>
        </w:tc>
        <w:tc>
          <w:tcPr>
            <w:tcW w:w="2614" w:type="dxa"/>
            <w:tcBorders>
              <w:top w:val="single" w:sz="4" w:space="0" w:color="000000"/>
              <w:left w:val="single" w:sz="4" w:space="0" w:color="000000"/>
              <w:bottom w:val="single" w:sz="4" w:space="0" w:color="000000"/>
              <w:right w:val="single" w:sz="4" w:space="0" w:color="000000"/>
            </w:tcBorders>
            <w:hideMark/>
          </w:tcPr>
          <w:p w:rsidR="00F950F3" w:rsidRPr="006B3530" w:rsidRDefault="00F950F3" w:rsidP="006B3530">
            <w:pPr>
              <w:spacing w:after="0" w:line="360" w:lineRule="auto"/>
              <w:jc w:val="both"/>
              <w:rPr>
                <w:rFonts w:ascii="Times New Roman" w:hAnsi="Times New Roman" w:cs="Times New Roman"/>
                <w:b/>
                <w:sz w:val="24"/>
                <w:szCs w:val="24"/>
                <w:u w:val="single"/>
              </w:rPr>
            </w:pPr>
            <w:proofErr w:type="spellStart"/>
            <w:r w:rsidRPr="006B3530">
              <w:rPr>
                <w:rFonts w:ascii="Times New Roman" w:hAnsi="Times New Roman" w:cs="Times New Roman"/>
                <w:b/>
                <w:sz w:val="24"/>
                <w:szCs w:val="24"/>
              </w:rPr>
              <w:t>S.Em</w:t>
            </w:r>
            <w:proofErr w:type="spellEnd"/>
            <w:r w:rsidRPr="006B3530">
              <w:rPr>
                <w:rFonts w:ascii="Times New Roman" w:hAnsi="Times New Roman" w:cs="Times New Roman"/>
                <w:b/>
                <w:sz w:val="24"/>
                <w:szCs w:val="24"/>
              </w:rPr>
              <w:t xml:space="preserve">. </w:t>
            </w:r>
            <w:r w:rsidRPr="006B3530">
              <w:rPr>
                <w:rFonts w:ascii="Times New Roman" w:hAnsi="Times New Roman" w:cs="Times New Roman"/>
                <w:b/>
                <w:sz w:val="24"/>
                <w:szCs w:val="24"/>
                <w:u w:val="single"/>
              </w:rPr>
              <w:t>+</w:t>
            </w:r>
          </w:p>
        </w:tc>
        <w:tc>
          <w:tcPr>
            <w:tcW w:w="1620"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b/>
                <w:sz w:val="24"/>
                <w:szCs w:val="24"/>
              </w:rPr>
            </w:pPr>
            <w:r w:rsidRPr="006B3530">
              <w:rPr>
                <w:rFonts w:ascii="Times New Roman" w:hAnsi="Times New Roman" w:cs="Times New Roman"/>
                <w:b/>
                <w:sz w:val="24"/>
                <w:szCs w:val="24"/>
              </w:rPr>
              <w:t>1.64</w:t>
            </w:r>
          </w:p>
        </w:tc>
        <w:tc>
          <w:tcPr>
            <w:tcW w:w="1419"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b/>
                <w:sz w:val="24"/>
                <w:szCs w:val="24"/>
              </w:rPr>
            </w:pPr>
            <w:r w:rsidRPr="006B3530">
              <w:rPr>
                <w:rFonts w:ascii="Times New Roman" w:hAnsi="Times New Roman" w:cs="Times New Roman"/>
                <w:b/>
                <w:sz w:val="24"/>
                <w:szCs w:val="24"/>
              </w:rPr>
              <w:t>0.33</w:t>
            </w:r>
          </w:p>
        </w:tc>
        <w:tc>
          <w:tcPr>
            <w:tcW w:w="1426"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b/>
                <w:sz w:val="24"/>
                <w:szCs w:val="24"/>
              </w:rPr>
            </w:pPr>
            <w:r w:rsidRPr="006B3530">
              <w:rPr>
                <w:rFonts w:ascii="Times New Roman" w:hAnsi="Times New Roman" w:cs="Times New Roman"/>
                <w:b/>
                <w:sz w:val="24"/>
                <w:szCs w:val="24"/>
              </w:rPr>
              <w:t>0.37</w:t>
            </w:r>
          </w:p>
        </w:tc>
        <w:tc>
          <w:tcPr>
            <w:tcW w:w="1141"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b/>
                <w:sz w:val="24"/>
                <w:szCs w:val="24"/>
              </w:rPr>
            </w:pPr>
            <w:r w:rsidRPr="006B3530">
              <w:rPr>
                <w:rFonts w:ascii="Times New Roman" w:hAnsi="Times New Roman" w:cs="Times New Roman"/>
                <w:b/>
                <w:sz w:val="24"/>
                <w:szCs w:val="24"/>
              </w:rPr>
              <w:t>0.33</w:t>
            </w:r>
          </w:p>
        </w:tc>
        <w:tc>
          <w:tcPr>
            <w:tcW w:w="950" w:type="dxa"/>
            <w:tcBorders>
              <w:top w:val="single" w:sz="4" w:space="0" w:color="000000"/>
              <w:left w:val="single" w:sz="4" w:space="0" w:color="000000"/>
              <w:bottom w:val="single" w:sz="4" w:space="0" w:color="000000"/>
              <w:right w:val="single" w:sz="4" w:space="0" w:color="000000"/>
            </w:tcBorders>
          </w:tcPr>
          <w:p w:rsidR="00F950F3" w:rsidRPr="006B3530" w:rsidRDefault="00F950F3" w:rsidP="006B3530">
            <w:pPr>
              <w:spacing w:after="0" w:line="360" w:lineRule="auto"/>
              <w:jc w:val="both"/>
              <w:rPr>
                <w:rFonts w:ascii="Times New Roman" w:hAnsi="Times New Roman" w:cs="Times New Roman"/>
                <w:b/>
                <w:sz w:val="24"/>
                <w:szCs w:val="24"/>
              </w:rPr>
            </w:pPr>
          </w:p>
        </w:tc>
      </w:tr>
      <w:tr w:rsidR="00F950F3" w:rsidRPr="006B3530" w:rsidTr="00563D1B">
        <w:trPr>
          <w:trHeight w:val="330"/>
        </w:trPr>
        <w:tc>
          <w:tcPr>
            <w:tcW w:w="1203" w:type="dxa"/>
            <w:tcBorders>
              <w:top w:val="single" w:sz="4" w:space="0" w:color="000000"/>
              <w:left w:val="single" w:sz="4" w:space="0" w:color="000000"/>
              <w:bottom w:val="single" w:sz="4" w:space="0" w:color="000000"/>
              <w:right w:val="single" w:sz="4" w:space="0" w:color="000000"/>
            </w:tcBorders>
          </w:tcPr>
          <w:p w:rsidR="00F950F3" w:rsidRPr="006B3530" w:rsidRDefault="00F950F3" w:rsidP="006B3530">
            <w:pPr>
              <w:spacing w:after="0" w:line="360" w:lineRule="auto"/>
              <w:jc w:val="both"/>
              <w:rPr>
                <w:rFonts w:ascii="Times New Roman" w:hAnsi="Times New Roman" w:cs="Times New Roman"/>
                <w:b/>
                <w:sz w:val="24"/>
                <w:szCs w:val="24"/>
              </w:rPr>
            </w:pPr>
          </w:p>
        </w:tc>
        <w:tc>
          <w:tcPr>
            <w:tcW w:w="2614" w:type="dxa"/>
            <w:tcBorders>
              <w:top w:val="single" w:sz="4" w:space="0" w:color="000000"/>
              <w:left w:val="single" w:sz="4" w:space="0" w:color="000000"/>
              <w:bottom w:val="single" w:sz="4" w:space="0" w:color="000000"/>
              <w:right w:val="single" w:sz="4" w:space="0" w:color="000000"/>
            </w:tcBorders>
            <w:hideMark/>
          </w:tcPr>
          <w:p w:rsidR="00F950F3" w:rsidRPr="006B3530" w:rsidRDefault="00F950F3" w:rsidP="006B3530">
            <w:pPr>
              <w:spacing w:after="0" w:line="360" w:lineRule="auto"/>
              <w:jc w:val="both"/>
              <w:rPr>
                <w:rFonts w:ascii="Times New Roman" w:hAnsi="Times New Roman" w:cs="Times New Roman"/>
                <w:b/>
                <w:sz w:val="24"/>
                <w:szCs w:val="24"/>
              </w:rPr>
            </w:pPr>
            <w:r w:rsidRPr="006B3530">
              <w:rPr>
                <w:rFonts w:ascii="Times New Roman" w:hAnsi="Times New Roman" w:cs="Times New Roman"/>
                <w:b/>
                <w:sz w:val="24"/>
                <w:szCs w:val="24"/>
              </w:rPr>
              <w:t>C.D.  5%</w:t>
            </w:r>
          </w:p>
        </w:tc>
        <w:tc>
          <w:tcPr>
            <w:tcW w:w="1620"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b/>
                <w:sz w:val="24"/>
                <w:szCs w:val="24"/>
              </w:rPr>
            </w:pPr>
            <w:r w:rsidRPr="006B3530">
              <w:rPr>
                <w:rFonts w:ascii="Times New Roman" w:hAnsi="Times New Roman" w:cs="Times New Roman"/>
                <w:b/>
                <w:sz w:val="24"/>
                <w:szCs w:val="24"/>
              </w:rPr>
              <w:t>4.80</w:t>
            </w:r>
          </w:p>
        </w:tc>
        <w:tc>
          <w:tcPr>
            <w:tcW w:w="1419"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b/>
                <w:sz w:val="24"/>
                <w:szCs w:val="24"/>
              </w:rPr>
            </w:pPr>
            <w:r w:rsidRPr="006B3530">
              <w:rPr>
                <w:rFonts w:ascii="Times New Roman" w:hAnsi="Times New Roman" w:cs="Times New Roman"/>
                <w:b/>
                <w:sz w:val="24"/>
                <w:szCs w:val="24"/>
              </w:rPr>
              <w:t>0.97</w:t>
            </w:r>
          </w:p>
        </w:tc>
        <w:tc>
          <w:tcPr>
            <w:tcW w:w="1426"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b/>
                <w:sz w:val="24"/>
                <w:szCs w:val="24"/>
              </w:rPr>
            </w:pPr>
            <w:r w:rsidRPr="006B3530">
              <w:rPr>
                <w:rFonts w:ascii="Times New Roman" w:hAnsi="Times New Roman" w:cs="Times New Roman"/>
                <w:b/>
                <w:sz w:val="24"/>
                <w:szCs w:val="24"/>
              </w:rPr>
              <w:t>1.09</w:t>
            </w:r>
          </w:p>
        </w:tc>
        <w:tc>
          <w:tcPr>
            <w:tcW w:w="1141" w:type="dxa"/>
            <w:tcBorders>
              <w:top w:val="single" w:sz="4" w:space="0" w:color="000000"/>
              <w:left w:val="single" w:sz="4" w:space="0" w:color="000000"/>
              <w:bottom w:val="single" w:sz="4" w:space="0" w:color="000000"/>
              <w:right w:val="single" w:sz="4" w:space="0" w:color="000000"/>
            </w:tcBorders>
            <w:vAlign w:val="bottom"/>
          </w:tcPr>
          <w:p w:rsidR="00F950F3" w:rsidRPr="006B3530" w:rsidRDefault="00F950F3" w:rsidP="006B3530">
            <w:pPr>
              <w:spacing w:after="0" w:line="360" w:lineRule="auto"/>
              <w:jc w:val="both"/>
              <w:rPr>
                <w:rFonts w:ascii="Times New Roman" w:hAnsi="Times New Roman" w:cs="Times New Roman"/>
                <w:b/>
                <w:sz w:val="24"/>
                <w:szCs w:val="24"/>
              </w:rPr>
            </w:pPr>
            <w:r w:rsidRPr="006B3530">
              <w:rPr>
                <w:rFonts w:ascii="Times New Roman" w:hAnsi="Times New Roman" w:cs="Times New Roman"/>
                <w:b/>
                <w:sz w:val="24"/>
                <w:szCs w:val="24"/>
              </w:rPr>
              <w:t>0.97</w:t>
            </w:r>
          </w:p>
        </w:tc>
        <w:tc>
          <w:tcPr>
            <w:tcW w:w="950" w:type="dxa"/>
            <w:tcBorders>
              <w:top w:val="single" w:sz="4" w:space="0" w:color="000000"/>
              <w:left w:val="single" w:sz="4" w:space="0" w:color="000000"/>
              <w:bottom w:val="single" w:sz="4" w:space="0" w:color="000000"/>
              <w:right w:val="single" w:sz="4" w:space="0" w:color="000000"/>
            </w:tcBorders>
          </w:tcPr>
          <w:p w:rsidR="00F950F3" w:rsidRPr="006B3530" w:rsidRDefault="00F950F3" w:rsidP="006B3530">
            <w:pPr>
              <w:spacing w:after="0" w:line="360" w:lineRule="auto"/>
              <w:jc w:val="both"/>
              <w:rPr>
                <w:rFonts w:ascii="Times New Roman" w:hAnsi="Times New Roman" w:cs="Times New Roman"/>
                <w:b/>
                <w:sz w:val="24"/>
                <w:szCs w:val="24"/>
              </w:rPr>
            </w:pPr>
          </w:p>
        </w:tc>
      </w:tr>
    </w:tbl>
    <w:p w:rsidR="00563D1B" w:rsidRDefault="00563D1B" w:rsidP="006B3530">
      <w:pPr>
        <w:spacing w:after="0" w:line="360" w:lineRule="auto"/>
        <w:jc w:val="both"/>
        <w:rPr>
          <w:rFonts w:ascii="Times New Roman" w:hAnsi="Times New Roman" w:cs="Times New Roman"/>
          <w:b/>
          <w:bCs/>
          <w:sz w:val="24"/>
          <w:szCs w:val="24"/>
        </w:rPr>
      </w:pPr>
    </w:p>
    <w:p w:rsidR="00563D1B" w:rsidRDefault="00563D1B" w:rsidP="006B3530">
      <w:pPr>
        <w:spacing w:after="0" w:line="360" w:lineRule="auto"/>
        <w:jc w:val="both"/>
        <w:rPr>
          <w:rFonts w:ascii="Times New Roman" w:hAnsi="Times New Roman" w:cs="Times New Roman"/>
          <w:b/>
          <w:bCs/>
          <w:sz w:val="24"/>
          <w:szCs w:val="24"/>
        </w:rPr>
      </w:pPr>
    </w:p>
    <w:p w:rsidR="00563D1B" w:rsidRDefault="00563D1B" w:rsidP="006B3530">
      <w:pPr>
        <w:spacing w:after="0" w:line="360" w:lineRule="auto"/>
        <w:jc w:val="both"/>
        <w:rPr>
          <w:rFonts w:ascii="Times New Roman" w:hAnsi="Times New Roman" w:cs="Times New Roman"/>
          <w:b/>
          <w:bCs/>
          <w:sz w:val="24"/>
          <w:szCs w:val="24"/>
        </w:rPr>
      </w:pPr>
    </w:p>
    <w:p w:rsidR="00563D1B" w:rsidRDefault="00563D1B" w:rsidP="006B3530">
      <w:pPr>
        <w:spacing w:after="0" w:line="360" w:lineRule="auto"/>
        <w:jc w:val="both"/>
        <w:rPr>
          <w:rFonts w:ascii="Times New Roman" w:hAnsi="Times New Roman" w:cs="Times New Roman"/>
          <w:b/>
          <w:bCs/>
          <w:sz w:val="24"/>
          <w:szCs w:val="24"/>
        </w:rPr>
      </w:pPr>
    </w:p>
    <w:p w:rsidR="00563D1B" w:rsidRDefault="00563D1B" w:rsidP="006B3530">
      <w:pPr>
        <w:spacing w:after="0" w:line="360" w:lineRule="auto"/>
        <w:jc w:val="both"/>
        <w:rPr>
          <w:rFonts w:ascii="Times New Roman" w:hAnsi="Times New Roman" w:cs="Times New Roman"/>
          <w:b/>
          <w:bCs/>
          <w:sz w:val="24"/>
          <w:szCs w:val="24"/>
        </w:rPr>
      </w:pPr>
    </w:p>
    <w:p w:rsidR="00563D1B" w:rsidRDefault="00563D1B" w:rsidP="006B3530">
      <w:pPr>
        <w:spacing w:after="0" w:line="360" w:lineRule="auto"/>
        <w:jc w:val="both"/>
        <w:rPr>
          <w:rFonts w:ascii="Times New Roman" w:hAnsi="Times New Roman" w:cs="Times New Roman"/>
          <w:b/>
          <w:bCs/>
          <w:sz w:val="24"/>
          <w:szCs w:val="24"/>
        </w:rPr>
      </w:pPr>
    </w:p>
    <w:p w:rsidR="00563D1B" w:rsidRDefault="00563D1B" w:rsidP="006B3530">
      <w:pPr>
        <w:spacing w:after="0" w:line="360" w:lineRule="auto"/>
        <w:jc w:val="both"/>
        <w:rPr>
          <w:rFonts w:ascii="Times New Roman" w:hAnsi="Times New Roman" w:cs="Times New Roman"/>
          <w:b/>
          <w:bCs/>
          <w:sz w:val="24"/>
          <w:szCs w:val="24"/>
        </w:rPr>
      </w:pPr>
    </w:p>
    <w:p w:rsidR="00563D1B" w:rsidRDefault="00563D1B" w:rsidP="006B3530">
      <w:pPr>
        <w:spacing w:after="0" w:line="360" w:lineRule="auto"/>
        <w:jc w:val="both"/>
        <w:rPr>
          <w:rFonts w:ascii="Times New Roman" w:hAnsi="Times New Roman" w:cs="Times New Roman"/>
          <w:b/>
          <w:bCs/>
          <w:sz w:val="24"/>
          <w:szCs w:val="24"/>
        </w:rPr>
      </w:pPr>
    </w:p>
    <w:p w:rsidR="00563D1B" w:rsidRDefault="00563D1B" w:rsidP="006B3530">
      <w:pPr>
        <w:spacing w:after="0" w:line="360" w:lineRule="auto"/>
        <w:jc w:val="both"/>
        <w:rPr>
          <w:rFonts w:ascii="Times New Roman" w:hAnsi="Times New Roman" w:cs="Times New Roman"/>
          <w:b/>
          <w:bCs/>
          <w:sz w:val="24"/>
          <w:szCs w:val="24"/>
        </w:rPr>
      </w:pPr>
    </w:p>
    <w:p w:rsidR="00563D1B" w:rsidRDefault="00563D1B" w:rsidP="006B3530">
      <w:pPr>
        <w:spacing w:after="0" w:line="360" w:lineRule="auto"/>
        <w:jc w:val="both"/>
        <w:rPr>
          <w:rFonts w:ascii="Times New Roman" w:hAnsi="Times New Roman" w:cs="Times New Roman"/>
          <w:b/>
          <w:bCs/>
          <w:sz w:val="24"/>
          <w:szCs w:val="24"/>
        </w:rPr>
      </w:pPr>
    </w:p>
    <w:p w:rsidR="00563D1B" w:rsidRDefault="00563D1B" w:rsidP="006B3530">
      <w:pPr>
        <w:spacing w:after="0" w:line="360" w:lineRule="auto"/>
        <w:jc w:val="both"/>
        <w:rPr>
          <w:rFonts w:ascii="Times New Roman" w:hAnsi="Times New Roman" w:cs="Times New Roman"/>
          <w:b/>
          <w:bCs/>
          <w:sz w:val="24"/>
          <w:szCs w:val="24"/>
        </w:rPr>
      </w:pPr>
    </w:p>
    <w:p w:rsidR="00563D1B" w:rsidRDefault="00563D1B" w:rsidP="006B3530">
      <w:pPr>
        <w:spacing w:after="0" w:line="360" w:lineRule="auto"/>
        <w:jc w:val="both"/>
        <w:rPr>
          <w:rFonts w:ascii="Times New Roman" w:hAnsi="Times New Roman" w:cs="Times New Roman"/>
          <w:b/>
          <w:bCs/>
          <w:sz w:val="24"/>
          <w:szCs w:val="24"/>
        </w:rPr>
      </w:pPr>
    </w:p>
    <w:p w:rsidR="00563D1B" w:rsidRDefault="00563D1B" w:rsidP="006B3530">
      <w:pPr>
        <w:spacing w:after="0" w:line="360" w:lineRule="auto"/>
        <w:jc w:val="both"/>
        <w:rPr>
          <w:rFonts w:ascii="Times New Roman" w:hAnsi="Times New Roman" w:cs="Times New Roman"/>
          <w:b/>
          <w:bCs/>
          <w:sz w:val="24"/>
          <w:szCs w:val="24"/>
        </w:rPr>
      </w:pPr>
    </w:p>
    <w:p w:rsidR="00563D1B" w:rsidRDefault="00563D1B" w:rsidP="006B3530">
      <w:pPr>
        <w:spacing w:after="0" w:line="360" w:lineRule="auto"/>
        <w:jc w:val="both"/>
        <w:rPr>
          <w:rFonts w:ascii="Times New Roman" w:hAnsi="Times New Roman" w:cs="Times New Roman"/>
          <w:b/>
          <w:bCs/>
          <w:sz w:val="24"/>
          <w:szCs w:val="24"/>
        </w:rPr>
      </w:pPr>
    </w:p>
    <w:p w:rsidR="00DC48E3" w:rsidRPr="006B3530" w:rsidRDefault="00DC48E3" w:rsidP="006B3530">
      <w:pPr>
        <w:spacing w:after="0" w:line="360" w:lineRule="auto"/>
        <w:jc w:val="both"/>
        <w:rPr>
          <w:rFonts w:ascii="Times New Roman" w:hAnsi="Times New Roman" w:cs="Times New Roman"/>
          <w:b/>
          <w:bCs/>
          <w:sz w:val="24"/>
          <w:szCs w:val="24"/>
        </w:rPr>
      </w:pPr>
      <w:r w:rsidRPr="006B3530">
        <w:rPr>
          <w:rFonts w:ascii="Times New Roman" w:hAnsi="Times New Roman" w:cs="Times New Roman"/>
          <w:noProof/>
          <w:sz w:val="24"/>
          <w:szCs w:val="24"/>
          <w:lang w:val="en-US" w:bidi="mr-IN"/>
        </w:rPr>
        <w:drawing>
          <wp:anchor distT="0" distB="0" distL="114300" distR="114300" simplePos="0" relativeHeight="251659264" behindDoc="1" locked="0" layoutInCell="1" allowOverlap="1">
            <wp:simplePos x="0" y="0"/>
            <wp:positionH relativeFrom="column">
              <wp:posOffset>0</wp:posOffset>
            </wp:positionH>
            <wp:positionV relativeFrom="paragraph">
              <wp:posOffset>263525</wp:posOffset>
            </wp:positionV>
            <wp:extent cx="5943600" cy="4404360"/>
            <wp:effectExtent l="0" t="0" r="0" b="15240"/>
            <wp:wrapNone/>
            <wp:docPr id="674129741" name="Chart 1">
              <a:extLst xmlns:a="http://schemas.openxmlformats.org/drawingml/2006/main">
                <a:ext uri="{FF2B5EF4-FFF2-40B4-BE49-F238E27FC236}">
                  <a16:creationId xmlns:a16="http://schemas.microsoft.com/office/drawing/2014/main" id="{C10C4F2C-9207-EDB4-17BF-4EA21777E7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rsidR="00DC48E3" w:rsidRPr="006B3530" w:rsidRDefault="00DC48E3" w:rsidP="006B3530">
      <w:pPr>
        <w:spacing w:after="0" w:line="360" w:lineRule="auto"/>
        <w:jc w:val="both"/>
        <w:rPr>
          <w:rFonts w:ascii="Times New Roman" w:hAnsi="Times New Roman" w:cs="Times New Roman"/>
          <w:b/>
          <w:bCs/>
          <w:sz w:val="24"/>
          <w:szCs w:val="24"/>
        </w:rPr>
      </w:pPr>
    </w:p>
    <w:p w:rsidR="00DC48E3" w:rsidRPr="006B3530" w:rsidRDefault="00DC48E3" w:rsidP="006B3530">
      <w:pPr>
        <w:spacing w:after="0" w:line="360" w:lineRule="auto"/>
        <w:jc w:val="both"/>
        <w:rPr>
          <w:rFonts w:ascii="Times New Roman" w:hAnsi="Times New Roman" w:cs="Times New Roman"/>
          <w:b/>
          <w:bCs/>
          <w:sz w:val="24"/>
          <w:szCs w:val="24"/>
        </w:rPr>
      </w:pPr>
    </w:p>
    <w:p w:rsidR="00DC48E3" w:rsidRPr="006B3530" w:rsidRDefault="00DC48E3" w:rsidP="006B3530">
      <w:pPr>
        <w:spacing w:after="0" w:line="360" w:lineRule="auto"/>
        <w:jc w:val="both"/>
        <w:rPr>
          <w:rFonts w:ascii="Times New Roman" w:hAnsi="Times New Roman" w:cs="Times New Roman"/>
          <w:b/>
          <w:bCs/>
          <w:sz w:val="24"/>
          <w:szCs w:val="24"/>
        </w:rPr>
      </w:pPr>
    </w:p>
    <w:p w:rsidR="00DC48E3" w:rsidRPr="006B3530" w:rsidRDefault="00DC48E3" w:rsidP="006B3530">
      <w:pPr>
        <w:spacing w:after="0" w:line="360" w:lineRule="auto"/>
        <w:jc w:val="both"/>
        <w:rPr>
          <w:rFonts w:ascii="Times New Roman" w:hAnsi="Times New Roman" w:cs="Times New Roman"/>
          <w:b/>
          <w:bCs/>
          <w:sz w:val="24"/>
          <w:szCs w:val="24"/>
        </w:rPr>
      </w:pPr>
    </w:p>
    <w:p w:rsidR="00DC48E3" w:rsidRPr="006B3530" w:rsidRDefault="00DC48E3" w:rsidP="006B3530">
      <w:pPr>
        <w:spacing w:after="0" w:line="360" w:lineRule="auto"/>
        <w:jc w:val="both"/>
        <w:rPr>
          <w:rFonts w:ascii="Times New Roman" w:hAnsi="Times New Roman" w:cs="Times New Roman"/>
          <w:b/>
          <w:bCs/>
          <w:sz w:val="24"/>
          <w:szCs w:val="24"/>
        </w:rPr>
      </w:pPr>
    </w:p>
    <w:p w:rsidR="00DC48E3" w:rsidRPr="006B3530" w:rsidRDefault="00DC48E3" w:rsidP="006B3530">
      <w:pPr>
        <w:spacing w:after="0" w:line="360" w:lineRule="auto"/>
        <w:jc w:val="both"/>
        <w:rPr>
          <w:rFonts w:ascii="Times New Roman" w:hAnsi="Times New Roman" w:cs="Times New Roman"/>
          <w:b/>
          <w:bCs/>
          <w:sz w:val="24"/>
          <w:szCs w:val="24"/>
        </w:rPr>
      </w:pPr>
    </w:p>
    <w:p w:rsidR="00DC48E3" w:rsidRPr="006B3530" w:rsidRDefault="00DC48E3" w:rsidP="006B3530">
      <w:pPr>
        <w:spacing w:after="0" w:line="360" w:lineRule="auto"/>
        <w:jc w:val="both"/>
        <w:rPr>
          <w:rFonts w:ascii="Times New Roman" w:hAnsi="Times New Roman" w:cs="Times New Roman"/>
          <w:b/>
          <w:bCs/>
          <w:sz w:val="24"/>
          <w:szCs w:val="24"/>
        </w:rPr>
      </w:pPr>
    </w:p>
    <w:p w:rsidR="00DC48E3" w:rsidRPr="006B3530" w:rsidRDefault="00DC48E3" w:rsidP="006B3530">
      <w:pPr>
        <w:spacing w:after="0" w:line="360" w:lineRule="auto"/>
        <w:jc w:val="both"/>
        <w:rPr>
          <w:rFonts w:ascii="Times New Roman" w:hAnsi="Times New Roman" w:cs="Times New Roman"/>
          <w:b/>
          <w:bCs/>
          <w:sz w:val="24"/>
          <w:szCs w:val="24"/>
        </w:rPr>
      </w:pPr>
    </w:p>
    <w:p w:rsidR="00DC48E3" w:rsidRPr="006B3530" w:rsidRDefault="00DC48E3" w:rsidP="006B3530">
      <w:pPr>
        <w:spacing w:after="0" w:line="360" w:lineRule="auto"/>
        <w:jc w:val="both"/>
        <w:rPr>
          <w:rFonts w:ascii="Times New Roman" w:hAnsi="Times New Roman" w:cs="Times New Roman"/>
          <w:b/>
          <w:bCs/>
          <w:sz w:val="24"/>
          <w:szCs w:val="24"/>
        </w:rPr>
      </w:pPr>
    </w:p>
    <w:p w:rsidR="00DC48E3" w:rsidRPr="006B3530" w:rsidRDefault="00DC48E3" w:rsidP="006B3530">
      <w:pPr>
        <w:spacing w:after="0" w:line="360" w:lineRule="auto"/>
        <w:jc w:val="both"/>
        <w:rPr>
          <w:rFonts w:ascii="Times New Roman" w:hAnsi="Times New Roman" w:cs="Times New Roman"/>
          <w:b/>
          <w:bCs/>
          <w:sz w:val="24"/>
          <w:szCs w:val="24"/>
        </w:rPr>
      </w:pPr>
    </w:p>
    <w:p w:rsidR="00DC48E3" w:rsidRPr="006B3530" w:rsidRDefault="00DC48E3" w:rsidP="006B3530">
      <w:pPr>
        <w:spacing w:after="0" w:line="360" w:lineRule="auto"/>
        <w:jc w:val="both"/>
        <w:rPr>
          <w:rFonts w:ascii="Times New Roman" w:hAnsi="Times New Roman" w:cs="Times New Roman"/>
          <w:b/>
          <w:bCs/>
          <w:sz w:val="24"/>
          <w:szCs w:val="24"/>
        </w:rPr>
      </w:pPr>
    </w:p>
    <w:p w:rsidR="00DC48E3" w:rsidRPr="006B3530" w:rsidRDefault="00DC48E3" w:rsidP="006B3530">
      <w:pPr>
        <w:spacing w:after="0" w:line="360" w:lineRule="auto"/>
        <w:jc w:val="both"/>
        <w:rPr>
          <w:rFonts w:ascii="Times New Roman" w:hAnsi="Times New Roman" w:cs="Times New Roman"/>
          <w:b/>
          <w:bCs/>
          <w:sz w:val="24"/>
          <w:szCs w:val="24"/>
        </w:rPr>
      </w:pPr>
    </w:p>
    <w:p w:rsidR="00DC48E3" w:rsidRPr="006B3530" w:rsidRDefault="00DC48E3" w:rsidP="006B3530">
      <w:pPr>
        <w:spacing w:after="0" w:line="360" w:lineRule="auto"/>
        <w:jc w:val="both"/>
        <w:rPr>
          <w:rFonts w:ascii="Times New Roman" w:hAnsi="Times New Roman" w:cs="Times New Roman"/>
          <w:b/>
          <w:bCs/>
          <w:sz w:val="24"/>
          <w:szCs w:val="24"/>
        </w:rPr>
      </w:pPr>
    </w:p>
    <w:p w:rsidR="00563D1B" w:rsidRDefault="00563D1B" w:rsidP="006B3530">
      <w:pPr>
        <w:spacing w:after="0" w:line="360" w:lineRule="auto"/>
        <w:jc w:val="both"/>
        <w:rPr>
          <w:rFonts w:ascii="Times New Roman" w:hAnsi="Times New Roman" w:cs="Times New Roman"/>
          <w:b/>
          <w:bCs/>
          <w:sz w:val="24"/>
          <w:szCs w:val="24"/>
        </w:rPr>
      </w:pPr>
    </w:p>
    <w:p w:rsidR="00563D1B" w:rsidRDefault="00563D1B" w:rsidP="006B3530">
      <w:pPr>
        <w:spacing w:after="0" w:line="360" w:lineRule="auto"/>
        <w:jc w:val="both"/>
        <w:rPr>
          <w:rFonts w:ascii="Times New Roman" w:hAnsi="Times New Roman" w:cs="Times New Roman"/>
          <w:b/>
          <w:bCs/>
          <w:sz w:val="24"/>
          <w:szCs w:val="24"/>
        </w:rPr>
      </w:pPr>
    </w:p>
    <w:p w:rsidR="00563D1B" w:rsidRDefault="00563D1B" w:rsidP="006B3530">
      <w:pPr>
        <w:spacing w:after="0" w:line="360" w:lineRule="auto"/>
        <w:jc w:val="both"/>
        <w:rPr>
          <w:rFonts w:ascii="Times New Roman" w:hAnsi="Times New Roman" w:cs="Times New Roman"/>
          <w:b/>
          <w:bCs/>
          <w:sz w:val="24"/>
          <w:szCs w:val="24"/>
        </w:rPr>
      </w:pPr>
    </w:p>
    <w:p w:rsidR="00563D1B" w:rsidRDefault="00563D1B" w:rsidP="006B3530">
      <w:pPr>
        <w:spacing w:after="0" w:line="360" w:lineRule="auto"/>
        <w:jc w:val="both"/>
        <w:rPr>
          <w:rFonts w:ascii="Times New Roman" w:hAnsi="Times New Roman" w:cs="Times New Roman"/>
          <w:b/>
          <w:bCs/>
          <w:sz w:val="24"/>
          <w:szCs w:val="24"/>
        </w:rPr>
      </w:pPr>
    </w:p>
    <w:p w:rsidR="00563D1B" w:rsidRDefault="00563D1B" w:rsidP="006B3530">
      <w:pPr>
        <w:spacing w:after="0" w:line="360" w:lineRule="auto"/>
        <w:jc w:val="both"/>
        <w:rPr>
          <w:rFonts w:ascii="Times New Roman" w:hAnsi="Times New Roman" w:cs="Times New Roman"/>
          <w:b/>
          <w:bCs/>
          <w:sz w:val="24"/>
          <w:szCs w:val="24"/>
        </w:rPr>
      </w:pPr>
    </w:p>
    <w:p w:rsidR="00CC54F9" w:rsidRPr="006B3530" w:rsidRDefault="00CC54F9" w:rsidP="006B3530">
      <w:pPr>
        <w:spacing w:after="0" w:line="360" w:lineRule="auto"/>
        <w:jc w:val="both"/>
        <w:rPr>
          <w:rFonts w:ascii="Times New Roman" w:hAnsi="Times New Roman" w:cs="Times New Roman"/>
          <w:b/>
          <w:bCs/>
          <w:sz w:val="24"/>
          <w:szCs w:val="24"/>
        </w:rPr>
      </w:pPr>
      <w:r w:rsidRPr="006B3530">
        <w:rPr>
          <w:rFonts w:ascii="Times New Roman" w:hAnsi="Times New Roman" w:cs="Times New Roman"/>
          <w:b/>
          <w:bCs/>
          <w:sz w:val="24"/>
          <w:szCs w:val="24"/>
        </w:rPr>
        <w:t>References</w:t>
      </w:r>
    </w:p>
    <w:p w:rsidR="0090081C" w:rsidRDefault="0090081C" w:rsidP="00FB79DF">
      <w:pPr>
        <w:pStyle w:val="BodyText"/>
        <w:numPr>
          <w:ilvl w:val="0"/>
          <w:numId w:val="3"/>
        </w:numPr>
        <w:spacing w:line="360" w:lineRule="auto"/>
        <w:ind w:right="-46"/>
        <w:jc w:val="both"/>
      </w:pPr>
      <w:r>
        <w:t xml:space="preserve">Ali, M., &amp; Kumar, S. (2019). Effect of integrated nutrient management on yield, quality and economics of pulses. </w:t>
      </w:r>
      <w:r>
        <w:rPr>
          <w:rStyle w:val="Emphasis"/>
        </w:rPr>
        <w:t>Journal of Food Legumes, 32</w:t>
      </w:r>
      <w:r>
        <w:t>(2), 89–94.</w:t>
      </w:r>
    </w:p>
    <w:p w:rsidR="0090081C" w:rsidRDefault="0090081C" w:rsidP="00FB79DF">
      <w:pPr>
        <w:pStyle w:val="BodyText"/>
        <w:numPr>
          <w:ilvl w:val="0"/>
          <w:numId w:val="3"/>
        </w:numPr>
        <w:spacing w:line="360" w:lineRule="auto"/>
        <w:ind w:right="-46"/>
        <w:jc w:val="both"/>
        <w:rPr>
          <w:rFonts w:ascii="Times New Roman" w:hAnsi="Times New Roman" w:cs="Times New Roman"/>
        </w:rPr>
      </w:pPr>
      <w:r w:rsidRPr="006B3530">
        <w:rPr>
          <w:rFonts w:ascii="Times New Roman" w:hAnsi="Times New Roman" w:cs="Times New Roman"/>
        </w:rPr>
        <w:t>Das, P.K. Sarangi, D. Jena, M.K. and Mohanty, S. 2002. Response of cowpea (</w:t>
      </w:r>
      <w:r w:rsidRPr="006B3530">
        <w:rPr>
          <w:rFonts w:ascii="Times New Roman" w:hAnsi="Times New Roman" w:cs="Times New Roman"/>
          <w:i/>
        </w:rPr>
        <w:t xml:space="preserve">Vigna radiata </w:t>
      </w:r>
      <w:r w:rsidRPr="006B3530">
        <w:rPr>
          <w:rFonts w:ascii="Times New Roman" w:hAnsi="Times New Roman" w:cs="Times New Roman"/>
        </w:rPr>
        <w:t xml:space="preserve">L.) to integrated application of vermicompost and chemical fertilizers in acid lateritic soil. </w:t>
      </w:r>
      <w:r w:rsidRPr="006B3530">
        <w:rPr>
          <w:rFonts w:ascii="Times New Roman" w:hAnsi="Times New Roman" w:cs="Times New Roman"/>
          <w:i/>
        </w:rPr>
        <w:t xml:space="preserve">Indian Agriculture, </w:t>
      </w:r>
      <w:r w:rsidRPr="006B3530">
        <w:rPr>
          <w:rFonts w:ascii="Times New Roman" w:hAnsi="Times New Roman" w:cs="Times New Roman"/>
        </w:rPr>
        <w:t>46: 97-87.</w:t>
      </w:r>
    </w:p>
    <w:p w:rsidR="0090081C" w:rsidRDefault="0090081C" w:rsidP="00FB79DF">
      <w:pPr>
        <w:pStyle w:val="BodyText"/>
        <w:numPr>
          <w:ilvl w:val="0"/>
          <w:numId w:val="3"/>
        </w:numPr>
        <w:spacing w:line="360" w:lineRule="auto"/>
        <w:ind w:right="-46"/>
        <w:jc w:val="both"/>
        <w:rPr>
          <w:rFonts w:ascii="Times New Roman" w:hAnsi="Times New Roman" w:cs="Times New Roman"/>
        </w:rPr>
      </w:pPr>
      <w:r w:rsidRPr="006B3530">
        <w:rPr>
          <w:rFonts w:ascii="Times New Roman" w:hAnsi="Times New Roman" w:cs="Times New Roman"/>
        </w:rPr>
        <w:lastRenderedPageBreak/>
        <w:t>Das, P.K. Sarangi, D. Jena, M.K. and Mohanty, S. 2002. Response of cowpea (</w:t>
      </w:r>
      <w:r w:rsidRPr="006B3530">
        <w:rPr>
          <w:rFonts w:ascii="Times New Roman" w:hAnsi="Times New Roman" w:cs="Times New Roman"/>
          <w:i/>
        </w:rPr>
        <w:t xml:space="preserve">Vigna radiata </w:t>
      </w:r>
      <w:r w:rsidRPr="006B3530">
        <w:rPr>
          <w:rFonts w:ascii="Times New Roman" w:hAnsi="Times New Roman" w:cs="Times New Roman"/>
        </w:rPr>
        <w:t xml:space="preserve">L.) to integrated application of vermicompost and chemical fertilizers in acid lateritic soil. </w:t>
      </w:r>
      <w:r w:rsidRPr="006B3530">
        <w:rPr>
          <w:rFonts w:ascii="Times New Roman" w:hAnsi="Times New Roman" w:cs="Times New Roman"/>
          <w:i/>
        </w:rPr>
        <w:t xml:space="preserve">Indian Agriculture, </w:t>
      </w:r>
      <w:r w:rsidRPr="006B3530">
        <w:rPr>
          <w:rFonts w:ascii="Times New Roman" w:hAnsi="Times New Roman" w:cs="Times New Roman"/>
        </w:rPr>
        <w:t>46: 97-87.</w:t>
      </w:r>
    </w:p>
    <w:p w:rsidR="0090081C" w:rsidRDefault="0090081C" w:rsidP="00FB79DF">
      <w:pPr>
        <w:pStyle w:val="BodyText"/>
        <w:numPr>
          <w:ilvl w:val="0"/>
          <w:numId w:val="3"/>
        </w:numPr>
        <w:spacing w:line="360" w:lineRule="auto"/>
        <w:ind w:right="-46"/>
        <w:jc w:val="both"/>
        <w:rPr>
          <w:rFonts w:ascii="Times New Roman" w:hAnsi="Times New Roman" w:cs="Times New Roman"/>
        </w:rPr>
      </w:pPr>
      <w:r w:rsidRPr="0090081C">
        <w:rPr>
          <w:rFonts w:ascii="Times New Roman" w:hAnsi="Times New Roman" w:cs="Times New Roman"/>
        </w:rPr>
        <w:t xml:space="preserve">Jat, L.K., Singh, Y.V., Meena, S.K., Meena, S.K., Parihar, M., Jatav, H. S., Meena, R.K. and Meena, V.S. (2015). Does Integrated Nutrient Management, Enhance Agricultural Productivity. </w:t>
      </w:r>
      <w:r w:rsidRPr="0090081C">
        <w:rPr>
          <w:rFonts w:ascii="Times New Roman" w:hAnsi="Times New Roman" w:cs="Times New Roman"/>
          <w:i/>
          <w:iCs/>
        </w:rPr>
        <w:t>Journal of Pure and Applied Microbiology</w:t>
      </w:r>
      <w:r w:rsidRPr="0090081C">
        <w:rPr>
          <w:rFonts w:ascii="Times New Roman" w:hAnsi="Times New Roman" w:cs="Times New Roman"/>
        </w:rPr>
        <w:t>, 9 (2): 1211- 1221.</w:t>
      </w:r>
    </w:p>
    <w:p w:rsidR="0090081C" w:rsidRDefault="0090081C" w:rsidP="00FB79DF">
      <w:pPr>
        <w:pStyle w:val="BodyText"/>
        <w:numPr>
          <w:ilvl w:val="0"/>
          <w:numId w:val="3"/>
        </w:numPr>
        <w:spacing w:line="360" w:lineRule="auto"/>
        <w:ind w:right="-46"/>
        <w:jc w:val="both"/>
        <w:rPr>
          <w:rFonts w:ascii="Times New Roman" w:hAnsi="Times New Roman" w:cs="Times New Roman"/>
        </w:rPr>
      </w:pPr>
      <w:proofErr w:type="spellStart"/>
      <w:r w:rsidRPr="0090081C">
        <w:rPr>
          <w:rFonts w:ascii="Times New Roman" w:hAnsi="Times New Roman" w:cs="Times New Roman"/>
        </w:rPr>
        <w:t>Kalhapure</w:t>
      </w:r>
      <w:proofErr w:type="spellEnd"/>
      <w:r w:rsidRPr="0090081C">
        <w:rPr>
          <w:rFonts w:ascii="Times New Roman" w:hAnsi="Times New Roman" w:cs="Times New Roman"/>
        </w:rPr>
        <w:t xml:space="preserve">, A.H., </w:t>
      </w:r>
      <w:proofErr w:type="spellStart"/>
      <w:r w:rsidRPr="0090081C">
        <w:rPr>
          <w:rFonts w:ascii="Times New Roman" w:hAnsi="Times New Roman" w:cs="Times New Roman"/>
        </w:rPr>
        <w:t>Shete</w:t>
      </w:r>
      <w:proofErr w:type="spellEnd"/>
      <w:r w:rsidRPr="0090081C">
        <w:rPr>
          <w:rFonts w:ascii="Times New Roman" w:hAnsi="Times New Roman" w:cs="Times New Roman"/>
        </w:rPr>
        <w:t xml:space="preserve">, B.T. and </w:t>
      </w:r>
      <w:proofErr w:type="spellStart"/>
      <w:r w:rsidRPr="0090081C">
        <w:rPr>
          <w:rFonts w:ascii="Times New Roman" w:hAnsi="Times New Roman" w:cs="Times New Roman"/>
        </w:rPr>
        <w:t>Dhonde</w:t>
      </w:r>
      <w:proofErr w:type="spellEnd"/>
      <w:r w:rsidRPr="0090081C">
        <w:rPr>
          <w:rFonts w:ascii="Times New Roman" w:hAnsi="Times New Roman" w:cs="Times New Roman"/>
        </w:rPr>
        <w:t>, M.B. (2013). Integrated nutrient management in maize (</w:t>
      </w:r>
      <w:r w:rsidRPr="0090081C">
        <w:rPr>
          <w:rFonts w:ascii="Times New Roman" w:hAnsi="Times New Roman" w:cs="Times New Roman"/>
          <w:i/>
          <w:iCs/>
        </w:rPr>
        <w:t>Zea Mays</w:t>
      </w:r>
      <w:r w:rsidRPr="0090081C">
        <w:rPr>
          <w:rFonts w:ascii="Times New Roman" w:hAnsi="Times New Roman" w:cs="Times New Roman"/>
        </w:rPr>
        <w:t xml:space="preserve"> L.) for increasing production with sustainability. </w:t>
      </w:r>
      <w:r w:rsidRPr="0090081C">
        <w:rPr>
          <w:rFonts w:ascii="Times New Roman" w:hAnsi="Times New Roman" w:cs="Times New Roman"/>
          <w:i/>
          <w:iCs/>
        </w:rPr>
        <w:t>International Journal of Agriculture and Food Science Technology</w:t>
      </w:r>
      <w:r w:rsidRPr="0090081C">
        <w:rPr>
          <w:rFonts w:ascii="Times New Roman" w:hAnsi="Times New Roman" w:cs="Times New Roman"/>
        </w:rPr>
        <w:t>, 4 (3): 195-206.</w:t>
      </w:r>
    </w:p>
    <w:p w:rsidR="0090081C" w:rsidRDefault="0090081C" w:rsidP="00FB79DF">
      <w:pPr>
        <w:pStyle w:val="BodyText"/>
        <w:numPr>
          <w:ilvl w:val="0"/>
          <w:numId w:val="3"/>
        </w:numPr>
        <w:spacing w:line="360" w:lineRule="auto"/>
        <w:ind w:right="-46"/>
        <w:jc w:val="both"/>
        <w:rPr>
          <w:rFonts w:ascii="Times New Roman" w:hAnsi="Times New Roman" w:cs="Times New Roman"/>
        </w:rPr>
      </w:pPr>
      <w:r w:rsidRPr="0090081C">
        <w:rPr>
          <w:rFonts w:ascii="Times New Roman" w:hAnsi="Times New Roman" w:cs="Times New Roman"/>
        </w:rPr>
        <w:t xml:space="preserve">Kannan, R.L., Dhivya, M., Abinaya, D., Krishna, R.L. and Krishnakumar, S. (2013). Effect of integrated nutrient management on soil fertility and productivity in maize. </w:t>
      </w:r>
      <w:r w:rsidRPr="0090081C">
        <w:rPr>
          <w:rFonts w:ascii="Times New Roman" w:hAnsi="Times New Roman" w:cs="Times New Roman"/>
          <w:i/>
          <w:iCs/>
        </w:rPr>
        <w:t>Bulletin of Environment, Pharmacology and Life Sciences</w:t>
      </w:r>
      <w:r w:rsidRPr="0090081C">
        <w:rPr>
          <w:rFonts w:ascii="Times New Roman" w:hAnsi="Times New Roman" w:cs="Times New Roman"/>
        </w:rPr>
        <w:t>, 2 (8): 61-67.</w:t>
      </w:r>
    </w:p>
    <w:p w:rsidR="0090081C" w:rsidRDefault="0090081C" w:rsidP="00FB79DF">
      <w:pPr>
        <w:pStyle w:val="BodyText"/>
        <w:numPr>
          <w:ilvl w:val="0"/>
          <w:numId w:val="3"/>
        </w:numPr>
        <w:spacing w:line="360" w:lineRule="auto"/>
        <w:ind w:right="-46"/>
        <w:jc w:val="both"/>
        <w:rPr>
          <w:rFonts w:ascii="Times New Roman" w:hAnsi="Times New Roman" w:cs="Times New Roman"/>
        </w:rPr>
      </w:pPr>
      <w:r w:rsidRPr="006B3530">
        <w:rPr>
          <w:rFonts w:ascii="Times New Roman" w:hAnsi="Times New Roman" w:cs="Times New Roman"/>
        </w:rPr>
        <w:t>Khan, V. M.; Manohar, K. S.; Kumawat, S. K. and Verma, H. P. (2013). Effect of vermicompost and biofertilizers on yield and soil nutrient status after harvest of Cowpea [</w:t>
      </w:r>
      <w:r w:rsidRPr="006B3530">
        <w:rPr>
          <w:rFonts w:ascii="Times New Roman" w:hAnsi="Times New Roman" w:cs="Times New Roman"/>
          <w:i/>
          <w:iCs/>
        </w:rPr>
        <w:t>Vigna unguiculata</w:t>
      </w:r>
      <w:r w:rsidRPr="006B3530">
        <w:rPr>
          <w:rFonts w:ascii="Times New Roman" w:hAnsi="Times New Roman" w:cs="Times New Roman"/>
        </w:rPr>
        <w:t xml:space="preserve"> (L.) W.]. </w:t>
      </w:r>
      <w:r w:rsidRPr="006B3530">
        <w:rPr>
          <w:rFonts w:ascii="Times New Roman" w:hAnsi="Times New Roman" w:cs="Times New Roman"/>
          <w:i/>
          <w:iCs/>
        </w:rPr>
        <w:t>Agric. Sustain. Dev</w:t>
      </w:r>
      <w:r w:rsidRPr="006B3530">
        <w:rPr>
          <w:rFonts w:ascii="Times New Roman" w:hAnsi="Times New Roman" w:cs="Times New Roman"/>
        </w:rPr>
        <w:t>. 1(1): 79-81.</w:t>
      </w:r>
    </w:p>
    <w:p w:rsidR="0090081C" w:rsidRDefault="0090081C" w:rsidP="00FB79DF">
      <w:pPr>
        <w:pStyle w:val="BodyText"/>
        <w:numPr>
          <w:ilvl w:val="0"/>
          <w:numId w:val="3"/>
        </w:numPr>
        <w:spacing w:line="360" w:lineRule="auto"/>
        <w:ind w:right="-46"/>
        <w:jc w:val="both"/>
        <w:rPr>
          <w:rFonts w:ascii="Times New Roman" w:hAnsi="Times New Roman" w:cs="Times New Roman"/>
        </w:rPr>
      </w:pPr>
      <w:r w:rsidRPr="0090081C">
        <w:rPr>
          <w:rFonts w:ascii="Times New Roman" w:hAnsi="Times New Roman" w:cs="Times New Roman"/>
        </w:rPr>
        <w:t xml:space="preserve">Kumar, S., Singh, R.C. and Kadian, V.S. 2003. Performance of cowpea as influenced by seed inoculation with </w:t>
      </w:r>
      <w:r w:rsidRPr="0090081C">
        <w:rPr>
          <w:rFonts w:ascii="Times New Roman" w:hAnsi="Times New Roman" w:cs="Times New Roman"/>
          <w:i/>
        </w:rPr>
        <w:t xml:space="preserve">Rhizobium </w:t>
      </w:r>
      <w:r w:rsidRPr="0090081C">
        <w:rPr>
          <w:rFonts w:ascii="Times New Roman" w:hAnsi="Times New Roman" w:cs="Times New Roman"/>
        </w:rPr>
        <w:t xml:space="preserve">and levels of inorganic sources of nutrients. </w:t>
      </w:r>
      <w:r w:rsidRPr="0090081C">
        <w:rPr>
          <w:rFonts w:ascii="Times New Roman" w:hAnsi="Times New Roman" w:cs="Times New Roman"/>
          <w:i/>
        </w:rPr>
        <w:t>Indian Journal of Pulses Research</w:t>
      </w:r>
      <w:r w:rsidRPr="0090081C">
        <w:rPr>
          <w:rFonts w:ascii="Times New Roman" w:hAnsi="Times New Roman" w:cs="Times New Roman"/>
        </w:rPr>
        <w:t>, 16: 67-68.</w:t>
      </w:r>
    </w:p>
    <w:p w:rsidR="0090081C" w:rsidRDefault="0090081C" w:rsidP="00FB79DF">
      <w:pPr>
        <w:pStyle w:val="BodyText"/>
        <w:numPr>
          <w:ilvl w:val="0"/>
          <w:numId w:val="3"/>
        </w:numPr>
        <w:spacing w:line="360" w:lineRule="auto"/>
        <w:ind w:right="-46"/>
        <w:jc w:val="both"/>
        <w:rPr>
          <w:rFonts w:ascii="Times New Roman" w:hAnsi="Times New Roman" w:cs="Times New Roman"/>
        </w:rPr>
      </w:pPr>
      <w:r w:rsidRPr="0090081C">
        <w:rPr>
          <w:rFonts w:ascii="Times New Roman" w:hAnsi="Times New Roman" w:cs="Times New Roman"/>
        </w:rPr>
        <w:t xml:space="preserve">Kumar, V. and Chopra, A.K. (2010). Influence of sugar mill effluent on </w:t>
      </w:r>
      <w:proofErr w:type="spellStart"/>
      <w:r w:rsidRPr="0090081C">
        <w:rPr>
          <w:rFonts w:ascii="Times New Roman" w:hAnsi="Times New Roman" w:cs="Times New Roman"/>
        </w:rPr>
        <w:t>physico</w:t>
      </w:r>
      <w:proofErr w:type="spellEnd"/>
      <w:r w:rsidRPr="0090081C">
        <w:rPr>
          <w:rFonts w:ascii="Times New Roman" w:hAnsi="Times New Roman" w:cs="Times New Roman"/>
        </w:rPr>
        <w:t xml:space="preserve">-chemical characteristics of soil at Haridwar (Uttarakhand), India. </w:t>
      </w:r>
      <w:r w:rsidRPr="0090081C">
        <w:rPr>
          <w:rFonts w:ascii="Times New Roman" w:hAnsi="Times New Roman" w:cs="Times New Roman"/>
          <w:i/>
          <w:iCs/>
        </w:rPr>
        <w:t>Journal of Applied and Natural Science</w:t>
      </w:r>
      <w:r w:rsidRPr="0090081C">
        <w:rPr>
          <w:rFonts w:ascii="Times New Roman" w:hAnsi="Times New Roman" w:cs="Times New Roman"/>
        </w:rPr>
        <w:t>, 2 (2): 269-279.</w:t>
      </w:r>
    </w:p>
    <w:p w:rsidR="0090081C" w:rsidRDefault="0090081C" w:rsidP="00FB79DF">
      <w:pPr>
        <w:pStyle w:val="BodyText"/>
        <w:numPr>
          <w:ilvl w:val="0"/>
          <w:numId w:val="3"/>
        </w:numPr>
        <w:spacing w:line="360" w:lineRule="auto"/>
        <w:ind w:right="-46"/>
        <w:jc w:val="both"/>
      </w:pPr>
      <w:r>
        <w:t xml:space="preserve">Kumar, V., Singh, M., &amp; Meena, R. S. (2018). Effect of integrated nutrient management on productivity, profitability and soil fertility of legumes. </w:t>
      </w:r>
      <w:r>
        <w:rPr>
          <w:rStyle w:val="Emphasis"/>
        </w:rPr>
        <w:t>International Journal of Chemical Studies, 6</w:t>
      </w:r>
      <w:r>
        <w:t>(5), 1701–1705.</w:t>
      </w:r>
    </w:p>
    <w:p w:rsidR="0090081C" w:rsidRDefault="0090081C" w:rsidP="00FB79DF">
      <w:pPr>
        <w:pStyle w:val="BodyText"/>
        <w:numPr>
          <w:ilvl w:val="0"/>
          <w:numId w:val="3"/>
        </w:numPr>
        <w:spacing w:line="360" w:lineRule="auto"/>
        <w:ind w:right="-46"/>
        <w:jc w:val="both"/>
        <w:rPr>
          <w:rFonts w:ascii="Times New Roman" w:hAnsi="Times New Roman" w:cs="Times New Roman"/>
        </w:rPr>
      </w:pPr>
      <w:r w:rsidRPr="006B3530">
        <w:rPr>
          <w:rFonts w:ascii="Times New Roman" w:hAnsi="Times New Roman" w:cs="Times New Roman"/>
        </w:rPr>
        <w:t xml:space="preserve">More, S.R., </w:t>
      </w:r>
      <w:proofErr w:type="spellStart"/>
      <w:r w:rsidRPr="006B3530">
        <w:rPr>
          <w:rFonts w:ascii="Times New Roman" w:hAnsi="Times New Roman" w:cs="Times New Roman"/>
        </w:rPr>
        <w:t>Mendhe</w:t>
      </w:r>
      <w:proofErr w:type="spellEnd"/>
      <w:r w:rsidRPr="006B3530">
        <w:rPr>
          <w:rFonts w:ascii="Times New Roman" w:hAnsi="Times New Roman" w:cs="Times New Roman"/>
        </w:rPr>
        <w:t xml:space="preserve">, S.N., Kolte, H.S., </w:t>
      </w:r>
      <w:proofErr w:type="spellStart"/>
      <w:r w:rsidRPr="006B3530">
        <w:rPr>
          <w:rFonts w:ascii="Times New Roman" w:hAnsi="Times New Roman" w:cs="Times New Roman"/>
        </w:rPr>
        <w:t>Yenprediwar</w:t>
      </w:r>
      <w:proofErr w:type="spellEnd"/>
      <w:r w:rsidRPr="006B3530">
        <w:rPr>
          <w:rFonts w:ascii="Times New Roman" w:hAnsi="Times New Roman" w:cs="Times New Roman"/>
        </w:rPr>
        <w:t xml:space="preserve">, M.D. and Choudhary, R.L. 2008. Growth and yield attributes of soybean as influenced by nutrient management. </w:t>
      </w:r>
      <w:r w:rsidRPr="006B3530">
        <w:rPr>
          <w:rFonts w:ascii="Times New Roman" w:hAnsi="Times New Roman" w:cs="Times New Roman"/>
          <w:i/>
        </w:rPr>
        <w:t>Journal of Soils and Crops</w:t>
      </w:r>
      <w:r w:rsidRPr="006B3530">
        <w:rPr>
          <w:rFonts w:ascii="Times New Roman" w:hAnsi="Times New Roman" w:cs="Times New Roman"/>
        </w:rPr>
        <w:t>. 18 (1</w:t>
      </w:r>
      <w:proofErr w:type="gramStart"/>
      <w:r w:rsidRPr="006B3530">
        <w:rPr>
          <w:rFonts w:ascii="Times New Roman" w:hAnsi="Times New Roman" w:cs="Times New Roman"/>
        </w:rPr>
        <w:t>) :</w:t>
      </w:r>
      <w:proofErr w:type="gramEnd"/>
      <w:r w:rsidRPr="006B3530">
        <w:rPr>
          <w:rFonts w:ascii="Times New Roman" w:hAnsi="Times New Roman" w:cs="Times New Roman"/>
        </w:rPr>
        <w:t xml:space="preserve"> 154-157.</w:t>
      </w:r>
    </w:p>
    <w:p w:rsidR="0090081C" w:rsidRDefault="0090081C" w:rsidP="00FB79DF">
      <w:pPr>
        <w:pStyle w:val="BodyText"/>
        <w:numPr>
          <w:ilvl w:val="0"/>
          <w:numId w:val="3"/>
        </w:numPr>
        <w:spacing w:line="360" w:lineRule="auto"/>
        <w:ind w:right="-46"/>
        <w:jc w:val="both"/>
        <w:rPr>
          <w:rFonts w:ascii="Times New Roman" w:hAnsi="Times New Roman" w:cs="Times New Roman"/>
        </w:rPr>
      </w:pPr>
      <w:r>
        <w:t xml:space="preserve">Sinha, R. K., Herat, S., </w:t>
      </w:r>
      <w:proofErr w:type="spellStart"/>
      <w:r>
        <w:t>Bharambe</w:t>
      </w:r>
      <w:proofErr w:type="spellEnd"/>
      <w:r>
        <w:t>, G., &amp;</w:t>
      </w:r>
      <w:proofErr w:type="spellStart"/>
      <w:r>
        <w:t>Brahambhatt</w:t>
      </w:r>
      <w:proofErr w:type="spellEnd"/>
      <w:r>
        <w:t xml:space="preserve">, A. (2010). Vermiculture and sustainable agriculture. </w:t>
      </w:r>
      <w:r>
        <w:rPr>
          <w:rStyle w:val="Emphasis"/>
        </w:rPr>
        <w:t>American-Eurasian Journal of Agricultural &amp; Environmental Sciences, 7</w:t>
      </w:r>
      <w:r>
        <w:t>(5), 562–570.</w:t>
      </w:r>
    </w:p>
    <w:p w:rsidR="0090081C" w:rsidRDefault="0090081C" w:rsidP="00FB79DF">
      <w:pPr>
        <w:pStyle w:val="BodyText"/>
        <w:numPr>
          <w:ilvl w:val="0"/>
          <w:numId w:val="3"/>
        </w:numPr>
        <w:spacing w:line="360" w:lineRule="auto"/>
        <w:ind w:right="-46"/>
        <w:jc w:val="both"/>
        <w:rPr>
          <w:rFonts w:ascii="Times New Roman" w:hAnsi="Times New Roman" w:cs="Times New Roman"/>
        </w:rPr>
      </w:pPr>
      <w:r w:rsidRPr="0090081C">
        <w:rPr>
          <w:rFonts w:ascii="Times New Roman" w:hAnsi="Times New Roman" w:cs="Times New Roman"/>
        </w:rPr>
        <w:t xml:space="preserve">Yadav, O.S. 2001. Effect of nitrogen sources and biofertilizers on growth and quality of cowpea. </w:t>
      </w:r>
      <w:r w:rsidRPr="0090081C">
        <w:rPr>
          <w:rFonts w:ascii="Times New Roman" w:hAnsi="Times New Roman" w:cs="Times New Roman"/>
          <w:i/>
        </w:rPr>
        <w:t>M. Sc. (Ag.) Thesis</w:t>
      </w:r>
      <w:r w:rsidRPr="0090081C">
        <w:rPr>
          <w:rFonts w:ascii="Times New Roman" w:hAnsi="Times New Roman" w:cs="Times New Roman"/>
        </w:rPr>
        <w:t>, Rajasthan Agricultural University, Bikaner</w:t>
      </w:r>
      <w:r>
        <w:rPr>
          <w:rFonts w:ascii="Times New Roman" w:hAnsi="Times New Roman" w:cs="Times New Roman"/>
        </w:rPr>
        <w:t>.</w:t>
      </w:r>
    </w:p>
    <w:p w:rsidR="00FB79DF" w:rsidRDefault="00FB79DF" w:rsidP="00FB79DF">
      <w:pPr>
        <w:pStyle w:val="BodyText"/>
        <w:numPr>
          <w:ilvl w:val="0"/>
          <w:numId w:val="3"/>
        </w:numPr>
        <w:spacing w:line="360" w:lineRule="auto"/>
        <w:ind w:right="-46"/>
        <w:jc w:val="both"/>
        <w:rPr>
          <w:rFonts w:ascii="Times New Roman" w:hAnsi="Times New Roman" w:cs="Times New Roman"/>
        </w:rPr>
      </w:pPr>
      <w:r w:rsidRPr="00FB79DF">
        <w:rPr>
          <w:rFonts w:ascii="Times New Roman" w:hAnsi="Times New Roman" w:cs="Times New Roman"/>
        </w:rPr>
        <w:t xml:space="preserve">Joshi, A. M., Patel, P. M., </w:t>
      </w:r>
      <w:proofErr w:type="spellStart"/>
      <w:r w:rsidRPr="00FB79DF">
        <w:rPr>
          <w:rFonts w:ascii="Times New Roman" w:hAnsi="Times New Roman" w:cs="Times New Roman"/>
        </w:rPr>
        <w:t>Dharaviya</w:t>
      </w:r>
      <w:proofErr w:type="spellEnd"/>
      <w:r w:rsidRPr="00FB79DF">
        <w:rPr>
          <w:rFonts w:ascii="Times New Roman" w:hAnsi="Times New Roman" w:cs="Times New Roman"/>
        </w:rPr>
        <w:t xml:space="preserve">, R. G., &amp; </w:t>
      </w:r>
      <w:proofErr w:type="gramStart"/>
      <w:r w:rsidRPr="00FB79DF">
        <w:rPr>
          <w:rFonts w:ascii="Times New Roman" w:hAnsi="Times New Roman" w:cs="Times New Roman"/>
        </w:rPr>
        <w:t>Patel ,</w:t>
      </w:r>
      <w:proofErr w:type="gramEnd"/>
      <w:r w:rsidRPr="00FB79DF">
        <w:rPr>
          <w:rFonts w:ascii="Times New Roman" w:hAnsi="Times New Roman" w:cs="Times New Roman"/>
        </w:rPr>
        <w:t xml:space="preserve"> J. K. (2024). Response of </w:t>
      </w:r>
      <w:r w:rsidRPr="00FB79DF">
        <w:rPr>
          <w:rFonts w:ascii="Times New Roman" w:hAnsi="Times New Roman" w:cs="Times New Roman"/>
        </w:rPr>
        <w:lastRenderedPageBreak/>
        <w:t xml:space="preserve">Summer Forage Cowpea (Vigna </w:t>
      </w:r>
      <w:proofErr w:type="spellStart"/>
      <w:r w:rsidRPr="00FB79DF">
        <w:rPr>
          <w:rFonts w:ascii="Times New Roman" w:hAnsi="Times New Roman" w:cs="Times New Roman"/>
        </w:rPr>
        <w:t>unguiculata</w:t>
      </w:r>
      <w:proofErr w:type="spellEnd"/>
      <w:r w:rsidRPr="00FB79DF">
        <w:rPr>
          <w:rFonts w:ascii="Times New Roman" w:hAnsi="Times New Roman" w:cs="Times New Roman"/>
        </w:rPr>
        <w:t xml:space="preserve"> L.) to Spacing and Seed Rate. International Journal of Plant &amp; Soil Science, 36(1), 64–71. </w:t>
      </w:r>
      <w:hyperlink r:id="rId6" w:history="1">
        <w:r w:rsidRPr="000D5923">
          <w:rPr>
            <w:rStyle w:val="Hyperlink"/>
            <w:rFonts w:ascii="Times New Roman" w:hAnsi="Times New Roman" w:cs="Times New Roman"/>
          </w:rPr>
          <w:t>https://doi.org/10.9734/ijpss/2024/v36i14330</w:t>
        </w:r>
      </w:hyperlink>
    </w:p>
    <w:p w:rsidR="00FB79DF" w:rsidRDefault="00FB79DF" w:rsidP="00FB79DF">
      <w:pPr>
        <w:pStyle w:val="BodyText"/>
        <w:numPr>
          <w:ilvl w:val="0"/>
          <w:numId w:val="3"/>
        </w:numPr>
        <w:spacing w:line="360" w:lineRule="auto"/>
        <w:ind w:right="-46"/>
        <w:jc w:val="both"/>
        <w:rPr>
          <w:rFonts w:ascii="Times New Roman" w:hAnsi="Times New Roman" w:cs="Times New Roman"/>
        </w:rPr>
      </w:pPr>
      <w:proofErr w:type="spellStart"/>
      <w:r w:rsidRPr="00FB79DF">
        <w:rPr>
          <w:rFonts w:ascii="Times New Roman" w:hAnsi="Times New Roman" w:cs="Times New Roman"/>
        </w:rPr>
        <w:t>Gabasawa</w:t>
      </w:r>
      <w:proofErr w:type="spellEnd"/>
      <w:r w:rsidRPr="00FB79DF">
        <w:rPr>
          <w:rFonts w:ascii="Times New Roman" w:hAnsi="Times New Roman" w:cs="Times New Roman"/>
        </w:rPr>
        <w:t>, A. I., Mohammed, H., &amp; Yusuf, A. A. (2014). Biological Nitrogen Fixation and Pod Yield of Groundnut (</w:t>
      </w:r>
      <w:proofErr w:type="spellStart"/>
      <w:r w:rsidRPr="00FB79DF">
        <w:rPr>
          <w:rFonts w:ascii="Times New Roman" w:hAnsi="Times New Roman" w:cs="Times New Roman"/>
        </w:rPr>
        <w:t>Arachis</w:t>
      </w:r>
      <w:proofErr w:type="spellEnd"/>
      <w:r w:rsidRPr="00FB79DF">
        <w:rPr>
          <w:rFonts w:ascii="Times New Roman" w:hAnsi="Times New Roman" w:cs="Times New Roman"/>
        </w:rPr>
        <w:t xml:space="preserve"> </w:t>
      </w:r>
      <w:proofErr w:type="spellStart"/>
      <w:r w:rsidRPr="00FB79DF">
        <w:rPr>
          <w:rFonts w:ascii="Times New Roman" w:hAnsi="Times New Roman" w:cs="Times New Roman"/>
        </w:rPr>
        <w:t>hypogaea</w:t>
      </w:r>
      <w:proofErr w:type="spellEnd"/>
      <w:r w:rsidRPr="00FB79DF">
        <w:rPr>
          <w:rFonts w:ascii="Times New Roman" w:hAnsi="Times New Roman" w:cs="Times New Roman"/>
        </w:rPr>
        <w:t xml:space="preserve"> L.) as Influenced by a Salt-affected </w:t>
      </w:r>
      <w:proofErr w:type="spellStart"/>
      <w:r w:rsidRPr="00FB79DF">
        <w:rPr>
          <w:rFonts w:ascii="Times New Roman" w:hAnsi="Times New Roman" w:cs="Times New Roman"/>
        </w:rPr>
        <w:t>Alfisol</w:t>
      </w:r>
      <w:proofErr w:type="spellEnd"/>
      <w:r w:rsidRPr="00FB79DF">
        <w:rPr>
          <w:rFonts w:ascii="Times New Roman" w:hAnsi="Times New Roman" w:cs="Times New Roman"/>
        </w:rPr>
        <w:t xml:space="preserve"> at </w:t>
      </w:r>
      <w:proofErr w:type="spellStart"/>
      <w:r w:rsidRPr="00FB79DF">
        <w:rPr>
          <w:rFonts w:ascii="Times New Roman" w:hAnsi="Times New Roman" w:cs="Times New Roman"/>
        </w:rPr>
        <w:t>Kadawa</w:t>
      </w:r>
      <w:proofErr w:type="spellEnd"/>
      <w:r w:rsidRPr="00FB79DF">
        <w:rPr>
          <w:rFonts w:ascii="Times New Roman" w:hAnsi="Times New Roman" w:cs="Times New Roman"/>
        </w:rPr>
        <w:t xml:space="preserve">, Nigeria. International Journal of Plant &amp; Soil Science, 3(11), 1479–1489. </w:t>
      </w:r>
      <w:hyperlink r:id="rId7" w:history="1">
        <w:r w:rsidR="006E7258" w:rsidRPr="000D5923">
          <w:rPr>
            <w:rStyle w:val="Hyperlink"/>
            <w:rFonts w:ascii="Times New Roman" w:hAnsi="Times New Roman" w:cs="Times New Roman"/>
          </w:rPr>
          <w:t>https://doi.org/10.9734/IJPSS/2014/11391</w:t>
        </w:r>
      </w:hyperlink>
    </w:p>
    <w:p w:rsidR="006E7258" w:rsidRDefault="006E7258" w:rsidP="00FB79DF">
      <w:pPr>
        <w:pStyle w:val="BodyText"/>
        <w:numPr>
          <w:ilvl w:val="0"/>
          <w:numId w:val="3"/>
        </w:numPr>
        <w:spacing w:line="360" w:lineRule="auto"/>
        <w:ind w:right="-46"/>
        <w:jc w:val="both"/>
        <w:rPr>
          <w:rFonts w:ascii="Times New Roman" w:hAnsi="Times New Roman" w:cs="Times New Roman"/>
        </w:rPr>
      </w:pPr>
      <w:r w:rsidRPr="006E7258">
        <w:rPr>
          <w:rFonts w:ascii="Times New Roman" w:hAnsi="Times New Roman" w:cs="Times New Roman"/>
        </w:rPr>
        <w:t>Pradeep Kumar, S., Singh, S., Yadav, V. K., Yadav, J., Singh, S., Singh, R. P., Pratap, M., Maury, A., &amp; Pandey, A. (2024). Effect of integrated nutrients management through organic sources on growth parameters and yield of chickpea (</w:t>
      </w:r>
      <w:proofErr w:type="spellStart"/>
      <w:r w:rsidRPr="006E7258">
        <w:rPr>
          <w:rFonts w:ascii="Times New Roman" w:hAnsi="Times New Roman" w:cs="Times New Roman"/>
        </w:rPr>
        <w:t>Cicer</w:t>
      </w:r>
      <w:proofErr w:type="spellEnd"/>
      <w:r w:rsidRPr="006E7258">
        <w:rPr>
          <w:rFonts w:ascii="Times New Roman" w:hAnsi="Times New Roman" w:cs="Times New Roman"/>
        </w:rPr>
        <w:t xml:space="preserve"> arietinum L.). International Journal of Research in Agronomy, 7(12S), 270–274. </w:t>
      </w:r>
      <w:hyperlink r:id="rId8" w:history="1">
        <w:r w:rsidRPr="000D5923">
          <w:rPr>
            <w:rStyle w:val="Hyperlink"/>
            <w:rFonts w:ascii="Times New Roman" w:hAnsi="Times New Roman" w:cs="Times New Roman"/>
          </w:rPr>
          <w:t>https://doi.org/10.33545/2618060X.2024.v7.i12Se.2159</w:t>
        </w:r>
      </w:hyperlink>
    </w:p>
    <w:p w:rsidR="006E7258" w:rsidRDefault="006E7258" w:rsidP="00FB79DF">
      <w:pPr>
        <w:pStyle w:val="BodyText"/>
        <w:numPr>
          <w:ilvl w:val="0"/>
          <w:numId w:val="3"/>
        </w:numPr>
        <w:spacing w:line="360" w:lineRule="auto"/>
        <w:ind w:right="-46"/>
        <w:jc w:val="both"/>
        <w:rPr>
          <w:rFonts w:ascii="Times New Roman" w:hAnsi="Times New Roman" w:cs="Times New Roman"/>
        </w:rPr>
      </w:pPr>
      <w:r w:rsidRPr="006E7258">
        <w:rPr>
          <w:rFonts w:ascii="Times New Roman" w:hAnsi="Times New Roman" w:cs="Times New Roman"/>
        </w:rPr>
        <w:t xml:space="preserve">Singh, P., Swaroop, N., Thomas, T., &amp; David, A. A. (2017). Effect of integrated nutrient management on chemical and physical properties of soil and yield of cowpea (Vigna </w:t>
      </w:r>
      <w:proofErr w:type="spellStart"/>
      <w:r w:rsidRPr="006E7258">
        <w:rPr>
          <w:rFonts w:ascii="Times New Roman" w:hAnsi="Times New Roman" w:cs="Times New Roman"/>
        </w:rPr>
        <w:t>unguiculata</w:t>
      </w:r>
      <w:proofErr w:type="spellEnd"/>
      <w:r w:rsidRPr="006E7258">
        <w:rPr>
          <w:rFonts w:ascii="Times New Roman" w:hAnsi="Times New Roman" w:cs="Times New Roman"/>
        </w:rPr>
        <w:t xml:space="preserve"> L.).</w:t>
      </w:r>
      <w:r w:rsidRPr="006E7258">
        <w:t xml:space="preserve"> </w:t>
      </w:r>
      <w:r w:rsidRPr="006E7258">
        <w:rPr>
          <w:rFonts w:ascii="Times New Roman" w:hAnsi="Times New Roman" w:cs="Times New Roman"/>
        </w:rPr>
        <w:t>Chem Sci Rev Lett 2017, 6(22), 967-970</w:t>
      </w:r>
      <w:r>
        <w:rPr>
          <w:rFonts w:ascii="Times New Roman" w:hAnsi="Times New Roman" w:cs="Times New Roman"/>
        </w:rPr>
        <w:t xml:space="preserve">. </w:t>
      </w:r>
      <w:hyperlink r:id="rId9" w:history="1">
        <w:r w:rsidRPr="000D5923">
          <w:rPr>
            <w:rStyle w:val="Hyperlink"/>
            <w:rFonts w:ascii="Times New Roman" w:hAnsi="Times New Roman" w:cs="Times New Roman"/>
          </w:rPr>
          <w:t>https://chesci.com/wp-content/uploads/2017/06/V6i22_47_CS072048043_Prabhu_967-970.pdf</w:t>
        </w:r>
      </w:hyperlink>
      <w:r>
        <w:rPr>
          <w:rFonts w:ascii="Times New Roman" w:hAnsi="Times New Roman" w:cs="Times New Roman"/>
        </w:rPr>
        <w:t xml:space="preserve"> </w:t>
      </w:r>
    </w:p>
    <w:p w:rsidR="00AE5EE6" w:rsidRPr="0090081C" w:rsidRDefault="00AE5EE6" w:rsidP="00FB79DF">
      <w:pPr>
        <w:pStyle w:val="BodyText"/>
        <w:numPr>
          <w:ilvl w:val="0"/>
          <w:numId w:val="3"/>
        </w:numPr>
        <w:spacing w:line="360" w:lineRule="auto"/>
        <w:ind w:right="-46"/>
        <w:jc w:val="both"/>
        <w:rPr>
          <w:rFonts w:ascii="Times New Roman" w:hAnsi="Times New Roman" w:cs="Times New Roman"/>
        </w:rPr>
      </w:pPr>
      <w:r w:rsidRPr="00AE5EE6">
        <w:rPr>
          <w:rFonts w:ascii="Times New Roman" w:hAnsi="Times New Roman" w:cs="Times New Roman"/>
        </w:rPr>
        <w:t xml:space="preserve">Singh, P., Swaroop, N., </w:t>
      </w:r>
      <w:proofErr w:type="spellStart"/>
      <w:r w:rsidRPr="00AE5EE6">
        <w:rPr>
          <w:rFonts w:ascii="Times New Roman" w:hAnsi="Times New Roman" w:cs="Times New Roman"/>
        </w:rPr>
        <w:t>Jajoria</w:t>
      </w:r>
      <w:proofErr w:type="spellEnd"/>
      <w:r w:rsidRPr="00AE5EE6">
        <w:rPr>
          <w:rFonts w:ascii="Times New Roman" w:hAnsi="Times New Roman" w:cs="Times New Roman"/>
        </w:rPr>
        <w:t xml:space="preserve">, M., &amp; Ola, R. (2018). Effect of integrated nutrient management on growth and yield of cowpea (Vigna </w:t>
      </w:r>
      <w:proofErr w:type="spellStart"/>
      <w:r w:rsidRPr="00AE5EE6">
        <w:rPr>
          <w:rFonts w:ascii="Times New Roman" w:hAnsi="Times New Roman" w:cs="Times New Roman"/>
        </w:rPr>
        <w:t>unguiculata</w:t>
      </w:r>
      <w:proofErr w:type="spellEnd"/>
      <w:r w:rsidRPr="00AE5EE6">
        <w:rPr>
          <w:rFonts w:ascii="Times New Roman" w:hAnsi="Times New Roman" w:cs="Times New Roman"/>
        </w:rPr>
        <w:t xml:space="preserve"> L.). International Journal of Current Microbiology and Applied Sciences, 7, 3509-12.</w:t>
      </w:r>
    </w:p>
    <w:sectPr w:rsidR="00AE5EE6" w:rsidRPr="0090081C" w:rsidSect="005728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F57F2"/>
    <w:multiLevelType w:val="hybridMultilevel"/>
    <w:tmpl w:val="3B26B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042CFF"/>
    <w:multiLevelType w:val="multilevel"/>
    <w:tmpl w:val="FC0041F0"/>
    <w:lvl w:ilvl="0">
      <w:start w:val="5"/>
      <w:numFmt w:val="decimal"/>
      <w:lvlText w:val="%1"/>
      <w:lvlJc w:val="left"/>
      <w:pPr>
        <w:ind w:left="543" w:hanging="404"/>
      </w:pPr>
      <w:rPr>
        <w:rFonts w:hint="default"/>
        <w:lang w:val="en-US" w:eastAsia="en-US" w:bidi="ar-SA"/>
      </w:rPr>
    </w:lvl>
    <w:lvl w:ilvl="1">
      <w:start w:val="1"/>
      <w:numFmt w:val="decimal"/>
      <w:lvlText w:val="%1.%2"/>
      <w:lvlJc w:val="left"/>
      <w:pPr>
        <w:ind w:left="543" w:hanging="404"/>
      </w:pPr>
      <w:rPr>
        <w:rFonts w:ascii="Arial" w:eastAsia="Arial" w:hAnsi="Arial" w:cs="Arial" w:hint="default"/>
        <w:b/>
        <w:bCs/>
        <w:w w:val="99"/>
        <w:sz w:val="24"/>
        <w:szCs w:val="24"/>
        <w:lang w:val="en-US" w:eastAsia="en-US" w:bidi="ar-SA"/>
      </w:rPr>
    </w:lvl>
    <w:lvl w:ilvl="2">
      <w:start w:val="1"/>
      <w:numFmt w:val="decimal"/>
      <w:lvlText w:val="%3."/>
      <w:lvlJc w:val="left"/>
      <w:pPr>
        <w:ind w:left="860" w:hanging="360"/>
      </w:pPr>
      <w:rPr>
        <w:rFonts w:ascii="Arial MT" w:eastAsia="Arial MT" w:hAnsi="Arial MT" w:cs="Arial MT" w:hint="default"/>
        <w:w w:val="100"/>
        <w:sz w:val="24"/>
        <w:szCs w:val="24"/>
        <w:lang w:val="en-US" w:eastAsia="en-US" w:bidi="ar-SA"/>
      </w:rPr>
    </w:lvl>
    <w:lvl w:ilvl="3">
      <w:start w:val="1"/>
      <w:numFmt w:val="upperRoman"/>
      <w:lvlText w:val="%4."/>
      <w:lvlJc w:val="left"/>
      <w:pPr>
        <w:ind w:left="1580" w:hanging="221"/>
      </w:pPr>
      <w:rPr>
        <w:rFonts w:ascii="Arial MT" w:eastAsia="Arial MT" w:hAnsi="Arial MT" w:cs="Arial MT" w:hint="default"/>
        <w:w w:val="100"/>
        <w:sz w:val="24"/>
        <w:szCs w:val="24"/>
        <w:lang w:val="en-US" w:eastAsia="en-US" w:bidi="ar-SA"/>
      </w:rPr>
    </w:lvl>
    <w:lvl w:ilvl="4">
      <w:numFmt w:val="bullet"/>
      <w:lvlText w:val="•"/>
      <w:lvlJc w:val="left"/>
      <w:pPr>
        <w:ind w:left="3600" w:hanging="221"/>
      </w:pPr>
      <w:rPr>
        <w:rFonts w:hint="default"/>
        <w:lang w:val="en-US" w:eastAsia="en-US" w:bidi="ar-SA"/>
      </w:rPr>
    </w:lvl>
    <w:lvl w:ilvl="5">
      <w:numFmt w:val="bullet"/>
      <w:lvlText w:val="•"/>
      <w:lvlJc w:val="left"/>
      <w:pPr>
        <w:ind w:left="4610" w:hanging="221"/>
      </w:pPr>
      <w:rPr>
        <w:rFonts w:hint="default"/>
        <w:lang w:val="en-US" w:eastAsia="en-US" w:bidi="ar-SA"/>
      </w:rPr>
    </w:lvl>
    <w:lvl w:ilvl="6">
      <w:numFmt w:val="bullet"/>
      <w:lvlText w:val="•"/>
      <w:lvlJc w:val="left"/>
      <w:pPr>
        <w:ind w:left="5620" w:hanging="221"/>
      </w:pPr>
      <w:rPr>
        <w:rFonts w:hint="default"/>
        <w:lang w:val="en-US" w:eastAsia="en-US" w:bidi="ar-SA"/>
      </w:rPr>
    </w:lvl>
    <w:lvl w:ilvl="7">
      <w:numFmt w:val="bullet"/>
      <w:lvlText w:val="•"/>
      <w:lvlJc w:val="left"/>
      <w:pPr>
        <w:ind w:left="6630" w:hanging="221"/>
      </w:pPr>
      <w:rPr>
        <w:rFonts w:hint="default"/>
        <w:lang w:val="en-US" w:eastAsia="en-US" w:bidi="ar-SA"/>
      </w:rPr>
    </w:lvl>
    <w:lvl w:ilvl="8">
      <w:numFmt w:val="bullet"/>
      <w:lvlText w:val="•"/>
      <w:lvlJc w:val="left"/>
      <w:pPr>
        <w:ind w:left="7640" w:hanging="221"/>
      </w:pPr>
      <w:rPr>
        <w:rFonts w:hint="default"/>
        <w:lang w:val="en-US" w:eastAsia="en-US" w:bidi="ar-SA"/>
      </w:rPr>
    </w:lvl>
  </w:abstractNum>
  <w:abstractNum w:abstractNumId="2" w15:restartNumberingAfterBreak="0">
    <w:nsid w:val="74E1342C"/>
    <w:multiLevelType w:val="hybridMultilevel"/>
    <w:tmpl w:val="6AF00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YwtrQwMzI2NTQ0MDFW0lEKTi0uzszPAykwrAUA1l6wHiwAAAA="/>
  </w:docVars>
  <w:rsids>
    <w:rsidRoot w:val="00251904"/>
    <w:rsid w:val="000161EE"/>
    <w:rsid w:val="000212D7"/>
    <w:rsid w:val="000271FA"/>
    <w:rsid w:val="0003684B"/>
    <w:rsid w:val="0003757C"/>
    <w:rsid w:val="00045B5B"/>
    <w:rsid w:val="000525CE"/>
    <w:rsid w:val="00054CC3"/>
    <w:rsid w:val="00092C87"/>
    <w:rsid w:val="00095820"/>
    <w:rsid w:val="000A0021"/>
    <w:rsid w:val="000A6572"/>
    <w:rsid w:val="000A736B"/>
    <w:rsid w:val="000C0583"/>
    <w:rsid w:val="000D20C8"/>
    <w:rsid w:val="000E39E6"/>
    <w:rsid w:val="000F0A6F"/>
    <w:rsid w:val="000F2FDB"/>
    <w:rsid w:val="000F4F9C"/>
    <w:rsid w:val="000F5360"/>
    <w:rsid w:val="00102593"/>
    <w:rsid w:val="001052D3"/>
    <w:rsid w:val="00105B35"/>
    <w:rsid w:val="00113766"/>
    <w:rsid w:val="001218AA"/>
    <w:rsid w:val="00124127"/>
    <w:rsid w:val="00127337"/>
    <w:rsid w:val="00156642"/>
    <w:rsid w:val="001578EA"/>
    <w:rsid w:val="00182FD3"/>
    <w:rsid w:val="001C296E"/>
    <w:rsid w:val="001D0DC7"/>
    <w:rsid w:val="001E13F3"/>
    <w:rsid w:val="001E308F"/>
    <w:rsid w:val="001E383E"/>
    <w:rsid w:val="001F1689"/>
    <w:rsid w:val="001F2306"/>
    <w:rsid w:val="001F343F"/>
    <w:rsid w:val="001F71C5"/>
    <w:rsid w:val="00204987"/>
    <w:rsid w:val="00217004"/>
    <w:rsid w:val="00217599"/>
    <w:rsid w:val="00244DD2"/>
    <w:rsid w:val="00246355"/>
    <w:rsid w:val="0024636B"/>
    <w:rsid w:val="00251904"/>
    <w:rsid w:val="00254222"/>
    <w:rsid w:val="00265DA3"/>
    <w:rsid w:val="00280235"/>
    <w:rsid w:val="00282393"/>
    <w:rsid w:val="00291842"/>
    <w:rsid w:val="002B696C"/>
    <w:rsid w:val="002C56C4"/>
    <w:rsid w:val="002D49A0"/>
    <w:rsid w:val="002E3D0E"/>
    <w:rsid w:val="002F2066"/>
    <w:rsid w:val="002F4E76"/>
    <w:rsid w:val="002F6DD8"/>
    <w:rsid w:val="00300067"/>
    <w:rsid w:val="003075C1"/>
    <w:rsid w:val="00324804"/>
    <w:rsid w:val="00335052"/>
    <w:rsid w:val="00336A1F"/>
    <w:rsid w:val="00340B1C"/>
    <w:rsid w:val="00345C81"/>
    <w:rsid w:val="0035333E"/>
    <w:rsid w:val="003541A8"/>
    <w:rsid w:val="0036539F"/>
    <w:rsid w:val="003669C9"/>
    <w:rsid w:val="00385311"/>
    <w:rsid w:val="003B259A"/>
    <w:rsid w:val="003B2D95"/>
    <w:rsid w:val="003B6BBE"/>
    <w:rsid w:val="003C1FF6"/>
    <w:rsid w:val="003D2882"/>
    <w:rsid w:val="003E0575"/>
    <w:rsid w:val="003F5747"/>
    <w:rsid w:val="00404A77"/>
    <w:rsid w:val="00405A8E"/>
    <w:rsid w:val="0043462B"/>
    <w:rsid w:val="00434C76"/>
    <w:rsid w:val="00437CDB"/>
    <w:rsid w:val="0044494A"/>
    <w:rsid w:val="00444956"/>
    <w:rsid w:val="00454966"/>
    <w:rsid w:val="00460F57"/>
    <w:rsid w:val="00484A1C"/>
    <w:rsid w:val="00486D11"/>
    <w:rsid w:val="004875D3"/>
    <w:rsid w:val="00495E84"/>
    <w:rsid w:val="004A0722"/>
    <w:rsid w:val="004B1D9D"/>
    <w:rsid w:val="004E252C"/>
    <w:rsid w:val="004E5E59"/>
    <w:rsid w:val="0050182C"/>
    <w:rsid w:val="00503C02"/>
    <w:rsid w:val="005145D6"/>
    <w:rsid w:val="0052276D"/>
    <w:rsid w:val="005242A1"/>
    <w:rsid w:val="00535598"/>
    <w:rsid w:val="00537FBE"/>
    <w:rsid w:val="005522D7"/>
    <w:rsid w:val="00555993"/>
    <w:rsid w:val="00556BCC"/>
    <w:rsid w:val="00563D1B"/>
    <w:rsid w:val="00567F51"/>
    <w:rsid w:val="005727E7"/>
    <w:rsid w:val="0057281A"/>
    <w:rsid w:val="00572F9F"/>
    <w:rsid w:val="00576918"/>
    <w:rsid w:val="005840FB"/>
    <w:rsid w:val="0058602A"/>
    <w:rsid w:val="005862C8"/>
    <w:rsid w:val="0059456D"/>
    <w:rsid w:val="005A4429"/>
    <w:rsid w:val="005B3CDF"/>
    <w:rsid w:val="005B55CC"/>
    <w:rsid w:val="005B7159"/>
    <w:rsid w:val="005D1870"/>
    <w:rsid w:val="005D25FC"/>
    <w:rsid w:val="005D2D9A"/>
    <w:rsid w:val="005E6392"/>
    <w:rsid w:val="005E6E17"/>
    <w:rsid w:val="005F38F1"/>
    <w:rsid w:val="005F4E5E"/>
    <w:rsid w:val="0061432A"/>
    <w:rsid w:val="00644B12"/>
    <w:rsid w:val="00644D02"/>
    <w:rsid w:val="00647371"/>
    <w:rsid w:val="00650BD0"/>
    <w:rsid w:val="006511DF"/>
    <w:rsid w:val="00651A79"/>
    <w:rsid w:val="00655025"/>
    <w:rsid w:val="00656E61"/>
    <w:rsid w:val="00661AB9"/>
    <w:rsid w:val="006655BF"/>
    <w:rsid w:val="00665EDD"/>
    <w:rsid w:val="00694BB0"/>
    <w:rsid w:val="006A67C8"/>
    <w:rsid w:val="006A6CF8"/>
    <w:rsid w:val="006B0259"/>
    <w:rsid w:val="006B3530"/>
    <w:rsid w:val="006C410A"/>
    <w:rsid w:val="006C4C84"/>
    <w:rsid w:val="006C4EA2"/>
    <w:rsid w:val="006D3575"/>
    <w:rsid w:val="006D63D6"/>
    <w:rsid w:val="006E7258"/>
    <w:rsid w:val="006F1CAA"/>
    <w:rsid w:val="007123D4"/>
    <w:rsid w:val="0072034A"/>
    <w:rsid w:val="007267C0"/>
    <w:rsid w:val="007322CB"/>
    <w:rsid w:val="007365AF"/>
    <w:rsid w:val="00750267"/>
    <w:rsid w:val="00753CB3"/>
    <w:rsid w:val="00767BC3"/>
    <w:rsid w:val="00773E37"/>
    <w:rsid w:val="00777166"/>
    <w:rsid w:val="00786D72"/>
    <w:rsid w:val="0078795F"/>
    <w:rsid w:val="00792761"/>
    <w:rsid w:val="00797F52"/>
    <w:rsid w:val="007A4174"/>
    <w:rsid w:val="007C2D9D"/>
    <w:rsid w:val="007C366F"/>
    <w:rsid w:val="007C56E6"/>
    <w:rsid w:val="007C58E8"/>
    <w:rsid w:val="007C66C9"/>
    <w:rsid w:val="007C7BE6"/>
    <w:rsid w:val="007E2784"/>
    <w:rsid w:val="007E2F25"/>
    <w:rsid w:val="007E5F33"/>
    <w:rsid w:val="007E737A"/>
    <w:rsid w:val="007F6345"/>
    <w:rsid w:val="00810373"/>
    <w:rsid w:val="00816ED1"/>
    <w:rsid w:val="00833BD2"/>
    <w:rsid w:val="00833FAE"/>
    <w:rsid w:val="00843EB6"/>
    <w:rsid w:val="00861AA9"/>
    <w:rsid w:val="00866301"/>
    <w:rsid w:val="008702FB"/>
    <w:rsid w:val="00874C9D"/>
    <w:rsid w:val="00876623"/>
    <w:rsid w:val="00877999"/>
    <w:rsid w:val="00882ABF"/>
    <w:rsid w:val="0088443E"/>
    <w:rsid w:val="008A1EAD"/>
    <w:rsid w:val="008A3157"/>
    <w:rsid w:val="008B2A8A"/>
    <w:rsid w:val="008C1C48"/>
    <w:rsid w:val="008C5A05"/>
    <w:rsid w:val="008C6DC2"/>
    <w:rsid w:val="008D22F0"/>
    <w:rsid w:val="008F17C6"/>
    <w:rsid w:val="008F34C6"/>
    <w:rsid w:val="008F3CFF"/>
    <w:rsid w:val="008F5BE9"/>
    <w:rsid w:val="0090081C"/>
    <w:rsid w:val="0090634F"/>
    <w:rsid w:val="009156EA"/>
    <w:rsid w:val="0093132B"/>
    <w:rsid w:val="009328C4"/>
    <w:rsid w:val="00944AEB"/>
    <w:rsid w:val="009470C1"/>
    <w:rsid w:val="00961D63"/>
    <w:rsid w:val="00973D32"/>
    <w:rsid w:val="009B0646"/>
    <w:rsid w:val="009B140A"/>
    <w:rsid w:val="009B155B"/>
    <w:rsid w:val="009B2701"/>
    <w:rsid w:val="009B7D22"/>
    <w:rsid w:val="009D26CE"/>
    <w:rsid w:val="009E14FB"/>
    <w:rsid w:val="009E6C44"/>
    <w:rsid w:val="009F67A2"/>
    <w:rsid w:val="00A148C6"/>
    <w:rsid w:val="00A1646E"/>
    <w:rsid w:val="00A1734A"/>
    <w:rsid w:val="00A25F85"/>
    <w:rsid w:val="00A507DD"/>
    <w:rsid w:val="00A617E1"/>
    <w:rsid w:val="00A6630F"/>
    <w:rsid w:val="00A66DC7"/>
    <w:rsid w:val="00A75FD2"/>
    <w:rsid w:val="00A82001"/>
    <w:rsid w:val="00A8323A"/>
    <w:rsid w:val="00A863AE"/>
    <w:rsid w:val="00AC0702"/>
    <w:rsid w:val="00AC2B63"/>
    <w:rsid w:val="00AC61E8"/>
    <w:rsid w:val="00AC6C89"/>
    <w:rsid w:val="00AD4099"/>
    <w:rsid w:val="00AE50A8"/>
    <w:rsid w:val="00AE5EE6"/>
    <w:rsid w:val="00AF4311"/>
    <w:rsid w:val="00AF4E6D"/>
    <w:rsid w:val="00AF697A"/>
    <w:rsid w:val="00B053FA"/>
    <w:rsid w:val="00B06098"/>
    <w:rsid w:val="00B1575F"/>
    <w:rsid w:val="00B207A0"/>
    <w:rsid w:val="00B30D38"/>
    <w:rsid w:val="00B3203D"/>
    <w:rsid w:val="00B404FE"/>
    <w:rsid w:val="00B443DA"/>
    <w:rsid w:val="00B6091D"/>
    <w:rsid w:val="00B71A35"/>
    <w:rsid w:val="00B724A5"/>
    <w:rsid w:val="00B7338D"/>
    <w:rsid w:val="00B7374E"/>
    <w:rsid w:val="00B86785"/>
    <w:rsid w:val="00BA784D"/>
    <w:rsid w:val="00BB315E"/>
    <w:rsid w:val="00BB4AA4"/>
    <w:rsid w:val="00BB5EB2"/>
    <w:rsid w:val="00BC15A5"/>
    <w:rsid w:val="00BC65CF"/>
    <w:rsid w:val="00BC6DC1"/>
    <w:rsid w:val="00BD6290"/>
    <w:rsid w:val="00BF352F"/>
    <w:rsid w:val="00C0006C"/>
    <w:rsid w:val="00C06C04"/>
    <w:rsid w:val="00C231B8"/>
    <w:rsid w:val="00C3455C"/>
    <w:rsid w:val="00C435B1"/>
    <w:rsid w:val="00C44857"/>
    <w:rsid w:val="00C65F76"/>
    <w:rsid w:val="00C84DD3"/>
    <w:rsid w:val="00C93CC8"/>
    <w:rsid w:val="00C95749"/>
    <w:rsid w:val="00CA10C5"/>
    <w:rsid w:val="00CA3CAE"/>
    <w:rsid w:val="00CB27EF"/>
    <w:rsid w:val="00CB32A8"/>
    <w:rsid w:val="00CB75D4"/>
    <w:rsid w:val="00CC0287"/>
    <w:rsid w:val="00CC540C"/>
    <w:rsid w:val="00CC54F9"/>
    <w:rsid w:val="00CC7B3F"/>
    <w:rsid w:val="00CE31CE"/>
    <w:rsid w:val="00CE4D5E"/>
    <w:rsid w:val="00CE5146"/>
    <w:rsid w:val="00CE595C"/>
    <w:rsid w:val="00CF1A0A"/>
    <w:rsid w:val="00D0568E"/>
    <w:rsid w:val="00D30751"/>
    <w:rsid w:val="00D32AF1"/>
    <w:rsid w:val="00D371E7"/>
    <w:rsid w:val="00D94AD2"/>
    <w:rsid w:val="00D94E14"/>
    <w:rsid w:val="00DA0C6E"/>
    <w:rsid w:val="00DB3AA6"/>
    <w:rsid w:val="00DC1808"/>
    <w:rsid w:val="00DC48E3"/>
    <w:rsid w:val="00DD5762"/>
    <w:rsid w:val="00DE3D23"/>
    <w:rsid w:val="00DE424C"/>
    <w:rsid w:val="00E01DB7"/>
    <w:rsid w:val="00E0245E"/>
    <w:rsid w:val="00E073A4"/>
    <w:rsid w:val="00E145C9"/>
    <w:rsid w:val="00E14D60"/>
    <w:rsid w:val="00E200DE"/>
    <w:rsid w:val="00E20A5C"/>
    <w:rsid w:val="00E226FD"/>
    <w:rsid w:val="00E27066"/>
    <w:rsid w:val="00E7082C"/>
    <w:rsid w:val="00E83067"/>
    <w:rsid w:val="00E84A23"/>
    <w:rsid w:val="00E8554B"/>
    <w:rsid w:val="00E87D5D"/>
    <w:rsid w:val="00E91993"/>
    <w:rsid w:val="00E9420E"/>
    <w:rsid w:val="00EA4158"/>
    <w:rsid w:val="00EA4351"/>
    <w:rsid w:val="00EA4943"/>
    <w:rsid w:val="00EC5BFF"/>
    <w:rsid w:val="00EC789D"/>
    <w:rsid w:val="00ED2AEF"/>
    <w:rsid w:val="00ED55EC"/>
    <w:rsid w:val="00EE4DEC"/>
    <w:rsid w:val="00F005D4"/>
    <w:rsid w:val="00F00C8C"/>
    <w:rsid w:val="00F033B7"/>
    <w:rsid w:val="00F1327E"/>
    <w:rsid w:val="00F17A50"/>
    <w:rsid w:val="00F30EC3"/>
    <w:rsid w:val="00F37D57"/>
    <w:rsid w:val="00F6377C"/>
    <w:rsid w:val="00F75DEC"/>
    <w:rsid w:val="00F84E16"/>
    <w:rsid w:val="00F86EFC"/>
    <w:rsid w:val="00F93FD0"/>
    <w:rsid w:val="00F950F3"/>
    <w:rsid w:val="00F95AC2"/>
    <w:rsid w:val="00FB5D46"/>
    <w:rsid w:val="00FB79DF"/>
    <w:rsid w:val="00FE0AA4"/>
    <w:rsid w:val="00FE4582"/>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B170F"/>
  <w15:docId w15:val="{2DBED291-AFE0-4C9A-8140-E7DD2BCC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281A"/>
  </w:style>
  <w:style w:type="paragraph" w:styleId="Heading3">
    <w:name w:val="heading 3"/>
    <w:basedOn w:val="Normal"/>
    <w:link w:val="Heading3Char"/>
    <w:uiPriority w:val="1"/>
    <w:qFormat/>
    <w:rsid w:val="00816ED1"/>
    <w:pPr>
      <w:widowControl w:val="0"/>
      <w:autoSpaceDE w:val="0"/>
      <w:autoSpaceDN w:val="0"/>
      <w:spacing w:before="81" w:after="0" w:line="240" w:lineRule="auto"/>
      <w:ind w:left="340"/>
      <w:outlineLvl w:val="2"/>
    </w:pPr>
    <w:rPr>
      <w:rFonts w:ascii="Arial" w:eastAsia="Arial" w:hAnsi="Arial" w:cs="Arial"/>
      <w:b/>
      <w:bCs/>
      <w:kern w:val="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251904"/>
  </w:style>
  <w:style w:type="character" w:styleId="Hyperlink">
    <w:name w:val="Hyperlink"/>
    <w:basedOn w:val="DefaultParagraphFont"/>
    <w:uiPriority w:val="99"/>
    <w:unhideWhenUsed/>
    <w:rsid w:val="00786D72"/>
    <w:rPr>
      <w:color w:val="0563C1" w:themeColor="hyperlink"/>
      <w:u w:val="single"/>
    </w:rPr>
  </w:style>
  <w:style w:type="character" w:customStyle="1" w:styleId="UnresolvedMention1">
    <w:name w:val="Unresolved Mention1"/>
    <w:basedOn w:val="DefaultParagraphFont"/>
    <w:uiPriority w:val="99"/>
    <w:semiHidden/>
    <w:unhideWhenUsed/>
    <w:rsid w:val="00786D72"/>
    <w:rPr>
      <w:color w:val="605E5C"/>
      <w:shd w:val="clear" w:color="auto" w:fill="E1DFDD"/>
    </w:rPr>
  </w:style>
  <w:style w:type="character" w:customStyle="1" w:styleId="lsc">
    <w:name w:val="lsc"/>
    <w:basedOn w:val="DefaultParagraphFont"/>
    <w:rsid w:val="003C1FF6"/>
  </w:style>
  <w:style w:type="table" w:styleId="TableGrid">
    <w:name w:val="Table Grid"/>
    <w:basedOn w:val="TableNormal"/>
    <w:rsid w:val="00105B35"/>
    <w:pPr>
      <w:spacing w:after="0" w:line="240" w:lineRule="auto"/>
    </w:pPr>
    <w:rPr>
      <w:kern w:val="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DD5762"/>
    <w:pPr>
      <w:widowControl w:val="0"/>
      <w:autoSpaceDE w:val="0"/>
      <w:autoSpaceDN w:val="0"/>
      <w:spacing w:after="0" w:line="240" w:lineRule="auto"/>
    </w:pPr>
    <w:rPr>
      <w:rFonts w:ascii="Arial" w:eastAsia="Arial" w:hAnsi="Arial" w:cs="Arial"/>
      <w:kern w:val="0"/>
      <w:sz w:val="24"/>
      <w:szCs w:val="24"/>
      <w:lang w:val="en-US"/>
    </w:rPr>
  </w:style>
  <w:style w:type="character" w:customStyle="1" w:styleId="BodyTextChar">
    <w:name w:val="Body Text Char"/>
    <w:basedOn w:val="DefaultParagraphFont"/>
    <w:link w:val="BodyText"/>
    <w:uiPriority w:val="1"/>
    <w:rsid w:val="00DD5762"/>
    <w:rPr>
      <w:rFonts w:ascii="Arial" w:eastAsia="Arial" w:hAnsi="Arial" w:cs="Arial"/>
      <w:kern w:val="0"/>
      <w:sz w:val="24"/>
      <w:szCs w:val="24"/>
      <w:lang w:val="en-US"/>
    </w:rPr>
  </w:style>
  <w:style w:type="character" w:customStyle="1" w:styleId="Heading3Char">
    <w:name w:val="Heading 3 Char"/>
    <w:basedOn w:val="DefaultParagraphFont"/>
    <w:link w:val="Heading3"/>
    <w:uiPriority w:val="1"/>
    <w:rsid w:val="00816ED1"/>
    <w:rPr>
      <w:rFonts w:ascii="Arial" w:eastAsia="Arial" w:hAnsi="Arial" w:cs="Arial"/>
      <w:b/>
      <w:bCs/>
      <w:kern w:val="0"/>
      <w:sz w:val="24"/>
      <w:szCs w:val="24"/>
      <w:lang w:val="en-US"/>
    </w:rPr>
  </w:style>
  <w:style w:type="paragraph" w:styleId="ListParagraph">
    <w:name w:val="List Paragraph"/>
    <w:basedOn w:val="Normal"/>
    <w:uiPriority w:val="34"/>
    <w:qFormat/>
    <w:rsid w:val="00454966"/>
    <w:pPr>
      <w:ind w:left="720"/>
      <w:contextualSpacing/>
    </w:pPr>
  </w:style>
  <w:style w:type="paragraph" w:styleId="NormalWeb">
    <w:name w:val="Normal (Web)"/>
    <w:basedOn w:val="Normal"/>
    <w:uiPriority w:val="99"/>
    <w:unhideWhenUsed/>
    <w:rsid w:val="0090081C"/>
    <w:pPr>
      <w:spacing w:before="100" w:beforeAutospacing="1" w:after="100" w:afterAutospacing="1" w:line="240" w:lineRule="auto"/>
    </w:pPr>
    <w:rPr>
      <w:rFonts w:ascii="Times New Roman" w:eastAsia="Times New Roman" w:hAnsi="Times New Roman" w:cs="Times New Roman"/>
      <w:kern w:val="0"/>
      <w:sz w:val="24"/>
      <w:szCs w:val="24"/>
      <w:lang w:eastAsia="en-IN" w:bidi="hi-IN"/>
    </w:rPr>
  </w:style>
  <w:style w:type="character" w:styleId="Emphasis">
    <w:name w:val="Emphasis"/>
    <w:basedOn w:val="DefaultParagraphFont"/>
    <w:uiPriority w:val="20"/>
    <w:qFormat/>
    <w:rsid w:val="0090081C"/>
    <w:rPr>
      <w:i/>
      <w:iCs/>
    </w:rPr>
  </w:style>
  <w:style w:type="character" w:styleId="UnresolvedMention">
    <w:name w:val="Unresolved Mention"/>
    <w:basedOn w:val="DefaultParagraphFont"/>
    <w:uiPriority w:val="99"/>
    <w:semiHidden/>
    <w:unhideWhenUsed/>
    <w:rsid w:val="00FB7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754893">
      <w:bodyDiv w:val="1"/>
      <w:marLeft w:val="0"/>
      <w:marRight w:val="0"/>
      <w:marTop w:val="0"/>
      <w:marBottom w:val="0"/>
      <w:divBdr>
        <w:top w:val="none" w:sz="0" w:space="0" w:color="auto"/>
        <w:left w:val="none" w:sz="0" w:space="0" w:color="auto"/>
        <w:bottom w:val="none" w:sz="0" w:space="0" w:color="auto"/>
        <w:right w:val="none" w:sz="0" w:space="0" w:color="auto"/>
      </w:divBdr>
    </w:div>
    <w:div w:id="1431241308">
      <w:bodyDiv w:val="1"/>
      <w:marLeft w:val="0"/>
      <w:marRight w:val="0"/>
      <w:marTop w:val="0"/>
      <w:marBottom w:val="0"/>
      <w:divBdr>
        <w:top w:val="none" w:sz="0" w:space="0" w:color="auto"/>
        <w:left w:val="none" w:sz="0" w:space="0" w:color="auto"/>
        <w:bottom w:val="none" w:sz="0" w:space="0" w:color="auto"/>
        <w:right w:val="none" w:sz="0" w:space="0" w:color="auto"/>
      </w:divBdr>
    </w:div>
    <w:div w:id="1652365009">
      <w:bodyDiv w:val="1"/>
      <w:marLeft w:val="0"/>
      <w:marRight w:val="0"/>
      <w:marTop w:val="0"/>
      <w:marBottom w:val="0"/>
      <w:divBdr>
        <w:top w:val="none" w:sz="0" w:space="0" w:color="auto"/>
        <w:left w:val="none" w:sz="0" w:space="0" w:color="auto"/>
        <w:bottom w:val="none" w:sz="0" w:space="0" w:color="auto"/>
        <w:right w:val="none" w:sz="0" w:space="0" w:color="auto"/>
      </w:divBdr>
      <w:divsChild>
        <w:div w:id="1590384512">
          <w:marLeft w:val="0"/>
          <w:marRight w:val="0"/>
          <w:marTop w:val="0"/>
          <w:marBottom w:val="0"/>
          <w:divBdr>
            <w:top w:val="none" w:sz="0" w:space="0" w:color="auto"/>
            <w:left w:val="none" w:sz="0" w:space="0" w:color="auto"/>
            <w:bottom w:val="none" w:sz="0" w:space="0" w:color="auto"/>
            <w:right w:val="none" w:sz="0" w:space="0" w:color="auto"/>
          </w:divBdr>
          <w:divsChild>
            <w:div w:id="2035880710">
              <w:marLeft w:val="0"/>
              <w:marRight w:val="0"/>
              <w:marTop w:val="0"/>
              <w:marBottom w:val="0"/>
              <w:divBdr>
                <w:top w:val="none" w:sz="0" w:space="0" w:color="auto"/>
                <w:left w:val="none" w:sz="0" w:space="0" w:color="auto"/>
                <w:bottom w:val="none" w:sz="0" w:space="0" w:color="auto"/>
                <w:right w:val="none" w:sz="0" w:space="0" w:color="auto"/>
              </w:divBdr>
              <w:divsChild>
                <w:div w:id="651105942">
                  <w:marLeft w:val="0"/>
                  <w:marRight w:val="0"/>
                  <w:marTop w:val="0"/>
                  <w:marBottom w:val="0"/>
                  <w:divBdr>
                    <w:top w:val="none" w:sz="0" w:space="0" w:color="auto"/>
                    <w:left w:val="none" w:sz="0" w:space="0" w:color="auto"/>
                    <w:bottom w:val="none" w:sz="0" w:space="0" w:color="auto"/>
                    <w:right w:val="none" w:sz="0" w:space="0" w:color="auto"/>
                  </w:divBdr>
                  <w:divsChild>
                    <w:div w:id="14736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680875">
      <w:bodyDiv w:val="1"/>
      <w:marLeft w:val="0"/>
      <w:marRight w:val="0"/>
      <w:marTop w:val="0"/>
      <w:marBottom w:val="0"/>
      <w:divBdr>
        <w:top w:val="none" w:sz="0" w:space="0" w:color="auto"/>
        <w:left w:val="none" w:sz="0" w:space="0" w:color="auto"/>
        <w:bottom w:val="none" w:sz="0" w:space="0" w:color="auto"/>
        <w:right w:val="none" w:sz="0" w:space="0" w:color="auto"/>
      </w:divBdr>
      <w:divsChild>
        <w:div w:id="1332678316">
          <w:marLeft w:val="0"/>
          <w:marRight w:val="0"/>
          <w:marTop w:val="0"/>
          <w:marBottom w:val="0"/>
          <w:divBdr>
            <w:top w:val="none" w:sz="0" w:space="0" w:color="auto"/>
            <w:left w:val="none" w:sz="0" w:space="0" w:color="auto"/>
            <w:bottom w:val="none" w:sz="0" w:space="0" w:color="auto"/>
            <w:right w:val="none" w:sz="0" w:space="0" w:color="auto"/>
          </w:divBdr>
          <w:divsChild>
            <w:div w:id="387652452">
              <w:marLeft w:val="0"/>
              <w:marRight w:val="0"/>
              <w:marTop w:val="0"/>
              <w:marBottom w:val="0"/>
              <w:divBdr>
                <w:top w:val="none" w:sz="0" w:space="0" w:color="auto"/>
                <w:left w:val="none" w:sz="0" w:space="0" w:color="auto"/>
                <w:bottom w:val="none" w:sz="0" w:space="0" w:color="auto"/>
                <w:right w:val="none" w:sz="0" w:space="0" w:color="auto"/>
              </w:divBdr>
              <w:divsChild>
                <w:div w:id="691496587">
                  <w:marLeft w:val="0"/>
                  <w:marRight w:val="0"/>
                  <w:marTop w:val="0"/>
                  <w:marBottom w:val="0"/>
                  <w:divBdr>
                    <w:top w:val="none" w:sz="0" w:space="0" w:color="auto"/>
                    <w:left w:val="none" w:sz="0" w:space="0" w:color="auto"/>
                    <w:bottom w:val="none" w:sz="0" w:space="0" w:color="auto"/>
                    <w:right w:val="none" w:sz="0" w:space="0" w:color="auto"/>
                  </w:divBdr>
                  <w:divsChild>
                    <w:div w:id="120875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64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545/2618060X.2024.v7.i12Se.2159" TargetMode="External"/><Relationship Id="rId3" Type="http://schemas.openxmlformats.org/officeDocument/2006/relationships/settings" Target="settings.xml"/><Relationship Id="rId7" Type="http://schemas.openxmlformats.org/officeDocument/2006/relationships/hyperlink" Target="https://doi.org/10.9734/IJPSS/2014/113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9734/ijpss/2024/v36i14330" TargetMode="Externa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hesci.com/wp-content/uploads/2017/06/V6i22_47_CS072048043_Prabhu_967-970.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Thesis%20work\SPU%20Thesis%20work\Horti%20Thesis\Mukund%20T.%20Rahangdale\after%20correction%20submission%202\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000" b="0">
                <a:latin typeface="Times New Roman" panose="02020603050405020304" pitchFamily="18" charset="0"/>
                <a:cs typeface="Times New Roman" panose="02020603050405020304" pitchFamily="18" charset="0"/>
              </a:rPr>
              <a:t>Fig. </a:t>
            </a:r>
            <a:r>
              <a:rPr lang="en-IN" sz="1000" b="0" i="0" u="none" strike="noStrike" baseline="0">
                <a:effectLst/>
                <a:latin typeface="Times New Roman" panose="02020603050405020304" pitchFamily="18" charset="0"/>
                <a:cs typeface="Times New Roman" panose="02020603050405020304" pitchFamily="18" charset="0"/>
              </a:rPr>
              <a:t>1: Effect of Integrated Nutrient Management on growth, yield and quality of Cowpea (</a:t>
            </a:r>
            <a:r>
              <a:rPr lang="en-IN" sz="1000" b="0" i="1" u="none" strike="noStrike" baseline="0">
                <a:effectLst/>
                <a:latin typeface="Times New Roman" panose="02020603050405020304" pitchFamily="18" charset="0"/>
                <a:cs typeface="Times New Roman" panose="02020603050405020304" pitchFamily="18" charset="0"/>
              </a:rPr>
              <a:t>Vingna unguiculata </a:t>
            </a:r>
            <a:r>
              <a:rPr lang="en-IN" sz="1000" b="0" i="0" u="none" strike="noStrike" baseline="0">
                <a:effectLst/>
                <a:latin typeface="Times New Roman" panose="02020603050405020304" pitchFamily="18" charset="0"/>
                <a:cs typeface="Times New Roman" panose="02020603050405020304" pitchFamily="18" charset="0"/>
              </a:rPr>
              <a:t>L.)</a:t>
            </a:r>
            <a:endParaRPr lang="en-IN" sz="1000" b="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6.6580927384076991E-2"/>
          <c:y val="0.1990740740740741"/>
          <c:w val="0.63983748906386728"/>
          <c:h val="0.41690252260134147"/>
        </c:manualLayout>
      </c:layout>
      <c:barChart>
        <c:barDir val="col"/>
        <c:grouping val="clustered"/>
        <c:varyColors val="0"/>
        <c:ser>
          <c:idx val="0"/>
          <c:order val="0"/>
          <c:tx>
            <c:strRef>
              <c:f>Sheet1!$B$28</c:f>
              <c:strCache>
                <c:ptCount val="1"/>
                <c:pt idx="0">
                  <c:v>Plant height (cm)</c:v>
                </c:pt>
              </c:strCache>
            </c:strRef>
          </c:tx>
          <c:spPr>
            <a:solidFill>
              <a:schemeClr val="accent1"/>
            </a:solidFill>
            <a:ln>
              <a:noFill/>
            </a:ln>
            <a:effectLst/>
          </c:spPr>
          <c:invertIfNegative val="0"/>
          <c:cat>
            <c:strRef>
              <c:f>Sheet1!$A$29:$A$37</c:f>
              <c:strCache>
                <c:ptCount val="9"/>
                <c:pt idx="1">
                  <c:v>Control</c:v>
                </c:pt>
                <c:pt idx="2">
                  <c:v>5ton FYM/ha</c:v>
                </c:pt>
                <c:pt idx="3">
                  <c:v>50% RDF + 50% vermicompost/ha </c:v>
                </c:pt>
                <c:pt idx="4">
                  <c:v>75% RDF + 25% vermicompost/ha </c:v>
                </c:pt>
                <c:pt idx="5">
                  <c:v>100% RDF </c:v>
                </c:pt>
                <c:pt idx="6">
                  <c:v>5ton vermicompost/ha</c:v>
                </c:pt>
                <c:pt idx="7">
                  <c:v>50% RDF + 50% FYM/ha</c:v>
                </c:pt>
                <c:pt idx="8">
                  <c:v>75% RDF + 25% FYM/ha </c:v>
                </c:pt>
              </c:strCache>
            </c:strRef>
          </c:cat>
          <c:val>
            <c:numRef>
              <c:f>Sheet1!$B$29:$B$37</c:f>
              <c:numCache>
                <c:formatCode>General</c:formatCode>
                <c:ptCount val="9"/>
                <c:pt idx="0">
                  <c:v>0</c:v>
                </c:pt>
                <c:pt idx="1">
                  <c:v>57.33</c:v>
                </c:pt>
                <c:pt idx="2">
                  <c:v>61.83</c:v>
                </c:pt>
                <c:pt idx="3">
                  <c:v>63.71</c:v>
                </c:pt>
                <c:pt idx="4">
                  <c:v>67.179999999999978</c:v>
                </c:pt>
                <c:pt idx="5">
                  <c:v>67.599999999999994</c:v>
                </c:pt>
                <c:pt idx="6">
                  <c:v>63.04</c:v>
                </c:pt>
                <c:pt idx="7">
                  <c:v>64.19</c:v>
                </c:pt>
                <c:pt idx="8">
                  <c:v>64.679999999999978</c:v>
                </c:pt>
              </c:numCache>
            </c:numRef>
          </c:val>
          <c:extLst>
            <c:ext xmlns:c16="http://schemas.microsoft.com/office/drawing/2014/chart" uri="{C3380CC4-5D6E-409C-BE32-E72D297353CC}">
              <c16:uniqueId val="{00000000-9195-405D-B6AF-BB7C61482639}"/>
            </c:ext>
          </c:extLst>
        </c:ser>
        <c:ser>
          <c:idx val="1"/>
          <c:order val="1"/>
          <c:tx>
            <c:strRef>
              <c:f>Sheet1!$C$28</c:f>
              <c:strCache>
                <c:ptCount val="1"/>
                <c:pt idx="0">
                  <c:v>Numbers of pods per plants</c:v>
                </c:pt>
              </c:strCache>
            </c:strRef>
          </c:tx>
          <c:spPr>
            <a:solidFill>
              <a:schemeClr val="accent2"/>
            </a:solidFill>
            <a:ln>
              <a:noFill/>
            </a:ln>
            <a:effectLst/>
          </c:spPr>
          <c:invertIfNegative val="0"/>
          <c:cat>
            <c:strRef>
              <c:f>Sheet1!$A$29:$A$37</c:f>
              <c:strCache>
                <c:ptCount val="9"/>
                <c:pt idx="1">
                  <c:v>Control</c:v>
                </c:pt>
                <c:pt idx="2">
                  <c:v>5ton FYM/ha</c:v>
                </c:pt>
                <c:pt idx="3">
                  <c:v>50% RDF + 50% vermicompost/ha </c:v>
                </c:pt>
                <c:pt idx="4">
                  <c:v>75% RDF + 25% vermicompost/ha </c:v>
                </c:pt>
                <c:pt idx="5">
                  <c:v>100% RDF </c:v>
                </c:pt>
                <c:pt idx="6">
                  <c:v>5ton vermicompost/ha</c:v>
                </c:pt>
                <c:pt idx="7">
                  <c:v>50% RDF + 50% FYM/ha</c:v>
                </c:pt>
                <c:pt idx="8">
                  <c:v>75% RDF + 25% FYM/ha </c:v>
                </c:pt>
              </c:strCache>
            </c:strRef>
          </c:cat>
          <c:val>
            <c:numRef>
              <c:f>Sheet1!$C$29:$C$37</c:f>
              <c:numCache>
                <c:formatCode>General</c:formatCode>
                <c:ptCount val="9"/>
                <c:pt idx="1">
                  <c:v>10.26</c:v>
                </c:pt>
                <c:pt idx="2">
                  <c:v>11.75</c:v>
                </c:pt>
                <c:pt idx="3">
                  <c:v>12.07</c:v>
                </c:pt>
                <c:pt idx="4">
                  <c:v>12.62</c:v>
                </c:pt>
                <c:pt idx="5">
                  <c:v>12.88</c:v>
                </c:pt>
                <c:pt idx="6">
                  <c:v>11.88</c:v>
                </c:pt>
                <c:pt idx="7">
                  <c:v>12.2</c:v>
                </c:pt>
                <c:pt idx="8">
                  <c:v>12.4</c:v>
                </c:pt>
              </c:numCache>
            </c:numRef>
          </c:val>
          <c:extLst>
            <c:ext xmlns:c16="http://schemas.microsoft.com/office/drawing/2014/chart" uri="{C3380CC4-5D6E-409C-BE32-E72D297353CC}">
              <c16:uniqueId val="{00000001-9195-405D-B6AF-BB7C61482639}"/>
            </c:ext>
          </c:extLst>
        </c:ser>
        <c:ser>
          <c:idx val="2"/>
          <c:order val="2"/>
          <c:tx>
            <c:strRef>
              <c:f>Sheet1!$D$28</c:f>
              <c:strCache>
                <c:ptCount val="1"/>
                <c:pt idx="0">
                  <c:v>Numbers of Seeds per pod</c:v>
                </c:pt>
              </c:strCache>
            </c:strRef>
          </c:tx>
          <c:spPr>
            <a:solidFill>
              <a:schemeClr val="accent3"/>
            </a:solidFill>
            <a:ln>
              <a:noFill/>
            </a:ln>
            <a:effectLst/>
          </c:spPr>
          <c:invertIfNegative val="0"/>
          <c:cat>
            <c:strRef>
              <c:f>Sheet1!$A$29:$A$37</c:f>
              <c:strCache>
                <c:ptCount val="9"/>
                <c:pt idx="1">
                  <c:v>Control</c:v>
                </c:pt>
                <c:pt idx="2">
                  <c:v>5ton FYM/ha</c:v>
                </c:pt>
                <c:pt idx="3">
                  <c:v>50% RDF + 50% vermicompost/ha </c:v>
                </c:pt>
                <c:pt idx="4">
                  <c:v>75% RDF + 25% vermicompost/ha </c:v>
                </c:pt>
                <c:pt idx="5">
                  <c:v>100% RDF </c:v>
                </c:pt>
                <c:pt idx="6">
                  <c:v>5ton vermicompost/ha</c:v>
                </c:pt>
                <c:pt idx="7">
                  <c:v>50% RDF + 50% FYM/ha</c:v>
                </c:pt>
                <c:pt idx="8">
                  <c:v>75% RDF + 25% FYM/ha </c:v>
                </c:pt>
              </c:strCache>
            </c:strRef>
          </c:cat>
          <c:val>
            <c:numRef>
              <c:f>Sheet1!$D$29:$D$37</c:f>
              <c:numCache>
                <c:formatCode>General</c:formatCode>
                <c:ptCount val="9"/>
                <c:pt idx="1">
                  <c:v>9.83</c:v>
                </c:pt>
                <c:pt idx="2">
                  <c:v>11.14</c:v>
                </c:pt>
                <c:pt idx="3">
                  <c:v>11.54</c:v>
                </c:pt>
                <c:pt idx="4">
                  <c:v>12.19</c:v>
                </c:pt>
                <c:pt idx="5">
                  <c:v>12.42</c:v>
                </c:pt>
                <c:pt idx="6">
                  <c:v>11.350000000000003</c:v>
                </c:pt>
                <c:pt idx="7">
                  <c:v>11.68</c:v>
                </c:pt>
                <c:pt idx="8">
                  <c:v>11.97</c:v>
                </c:pt>
              </c:numCache>
            </c:numRef>
          </c:val>
          <c:extLst>
            <c:ext xmlns:c16="http://schemas.microsoft.com/office/drawing/2014/chart" uri="{C3380CC4-5D6E-409C-BE32-E72D297353CC}">
              <c16:uniqueId val="{00000002-9195-405D-B6AF-BB7C61482639}"/>
            </c:ext>
          </c:extLst>
        </c:ser>
        <c:ser>
          <c:idx val="3"/>
          <c:order val="3"/>
          <c:tx>
            <c:strRef>
              <c:f>Sheet1!$E$28</c:f>
              <c:strCache>
                <c:ptCount val="1"/>
                <c:pt idx="0">
                  <c:v>Seed Yield (q/ha)</c:v>
                </c:pt>
              </c:strCache>
            </c:strRef>
          </c:tx>
          <c:spPr>
            <a:solidFill>
              <a:schemeClr val="accent4"/>
            </a:solidFill>
            <a:ln>
              <a:noFill/>
            </a:ln>
            <a:effectLst/>
          </c:spPr>
          <c:invertIfNegative val="0"/>
          <c:cat>
            <c:strRef>
              <c:f>Sheet1!$A$29:$A$37</c:f>
              <c:strCache>
                <c:ptCount val="9"/>
                <c:pt idx="1">
                  <c:v>Control</c:v>
                </c:pt>
                <c:pt idx="2">
                  <c:v>5ton FYM/ha</c:v>
                </c:pt>
                <c:pt idx="3">
                  <c:v>50% RDF + 50% vermicompost/ha </c:v>
                </c:pt>
                <c:pt idx="4">
                  <c:v>75% RDF + 25% vermicompost/ha </c:v>
                </c:pt>
                <c:pt idx="5">
                  <c:v>100% RDF </c:v>
                </c:pt>
                <c:pt idx="6">
                  <c:v>5ton vermicompost/ha</c:v>
                </c:pt>
                <c:pt idx="7">
                  <c:v>50% RDF + 50% FYM/ha</c:v>
                </c:pt>
                <c:pt idx="8">
                  <c:v>75% RDF + 25% FYM/ha </c:v>
                </c:pt>
              </c:strCache>
            </c:strRef>
          </c:cat>
          <c:val>
            <c:numRef>
              <c:f>Sheet1!$E$29:$E$37</c:f>
              <c:numCache>
                <c:formatCode>General</c:formatCode>
                <c:ptCount val="9"/>
              </c:numCache>
            </c:numRef>
          </c:val>
          <c:extLst>
            <c:ext xmlns:c16="http://schemas.microsoft.com/office/drawing/2014/chart" uri="{C3380CC4-5D6E-409C-BE32-E72D297353CC}">
              <c16:uniqueId val="{00000003-9195-405D-B6AF-BB7C61482639}"/>
            </c:ext>
          </c:extLst>
        </c:ser>
        <c:ser>
          <c:idx val="4"/>
          <c:order val="4"/>
          <c:tx>
            <c:strRef>
              <c:f>Sheet1!$F$28</c:f>
              <c:strCache>
                <c:ptCount val="1"/>
              </c:strCache>
            </c:strRef>
          </c:tx>
          <c:spPr>
            <a:solidFill>
              <a:schemeClr val="accent5"/>
            </a:solidFill>
            <a:ln>
              <a:noFill/>
            </a:ln>
            <a:effectLst/>
          </c:spPr>
          <c:invertIfNegative val="0"/>
          <c:cat>
            <c:strRef>
              <c:f>Sheet1!$A$29:$A$37</c:f>
              <c:strCache>
                <c:ptCount val="9"/>
                <c:pt idx="1">
                  <c:v>Control</c:v>
                </c:pt>
                <c:pt idx="2">
                  <c:v>5ton FYM/ha</c:v>
                </c:pt>
                <c:pt idx="3">
                  <c:v>50% RDF + 50% vermicompost/ha </c:v>
                </c:pt>
                <c:pt idx="4">
                  <c:v>75% RDF + 25% vermicompost/ha </c:v>
                </c:pt>
                <c:pt idx="5">
                  <c:v>100% RDF </c:v>
                </c:pt>
                <c:pt idx="6">
                  <c:v>5ton vermicompost/ha</c:v>
                </c:pt>
                <c:pt idx="7">
                  <c:v>50% RDF + 50% FYM/ha</c:v>
                </c:pt>
                <c:pt idx="8">
                  <c:v>75% RDF + 25% FYM/ha </c:v>
                </c:pt>
              </c:strCache>
            </c:strRef>
          </c:cat>
          <c:val>
            <c:numRef>
              <c:f>Sheet1!$F$29:$F$37</c:f>
              <c:numCache>
                <c:formatCode>General</c:formatCode>
                <c:ptCount val="9"/>
                <c:pt idx="1">
                  <c:v>9.360000000000003</c:v>
                </c:pt>
                <c:pt idx="2">
                  <c:v>10.9</c:v>
                </c:pt>
                <c:pt idx="3">
                  <c:v>11.71</c:v>
                </c:pt>
                <c:pt idx="4">
                  <c:v>12.42</c:v>
                </c:pt>
                <c:pt idx="5">
                  <c:v>12.98</c:v>
                </c:pt>
                <c:pt idx="6">
                  <c:v>11.350000000000003</c:v>
                </c:pt>
                <c:pt idx="7">
                  <c:v>11.98</c:v>
                </c:pt>
                <c:pt idx="8">
                  <c:v>12.12</c:v>
                </c:pt>
              </c:numCache>
            </c:numRef>
          </c:val>
          <c:extLst>
            <c:ext xmlns:c16="http://schemas.microsoft.com/office/drawing/2014/chart" uri="{C3380CC4-5D6E-409C-BE32-E72D297353CC}">
              <c16:uniqueId val="{00000004-9195-405D-B6AF-BB7C61482639}"/>
            </c:ext>
          </c:extLst>
        </c:ser>
        <c:dLbls>
          <c:showLegendKey val="0"/>
          <c:showVal val="0"/>
          <c:showCatName val="0"/>
          <c:showSerName val="0"/>
          <c:showPercent val="0"/>
          <c:showBubbleSize val="0"/>
        </c:dLbls>
        <c:gapWidth val="219"/>
        <c:axId val="82271232"/>
        <c:axId val="82289408"/>
      </c:barChart>
      <c:lineChart>
        <c:grouping val="standard"/>
        <c:varyColors val="0"/>
        <c:ser>
          <c:idx val="5"/>
          <c:order val="5"/>
          <c:tx>
            <c:strRef>
              <c:f>Sheet1!$G$28</c:f>
              <c:strCache>
                <c:ptCount val="1"/>
                <c:pt idx="0">
                  <c:v>Benefit cost ratio</c:v>
                </c:pt>
              </c:strCache>
            </c:strRef>
          </c:tx>
          <c:spPr>
            <a:ln w="28575" cap="rnd">
              <a:solidFill>
                <a:schemeClr val="accent6"/>
              </a:solidFill>
              <a:round/>
            </a:ln>
            <a:effectLst/>
          </c:spPr>
          <c:marker>
            <c:symbol val="none"/>
          </c:marker>
          <c:cat>
            <c:strRef>
              <c:f>Sheet1!$A$29:$A$37</c:f>
              <c:strCache>
                <c:ptCount val="9"/>
                <c:pt idx="1">
                  <c:v>Control</c:v>
                </c:pt>
                <c:pt idx="2">
                  <c:v>5ton FYM/ha</c:v>
                </c:pt>
                <c:pt idx="3">
                  <c:v>50% RDF + 50% vermicompost/ha </c:v>
                </c:pt>
                <c:pt idx="4">
                  <c:v>75% RDF + 25% vermicompost/ha </c:v>
                </c:pt>
                <c:pt idx="5">
                  <c:v>100% RDF </c:v>
                </c:pt>
                <c:pt idx="6">
                  <c:v>5ton vermicompost/ha</c:v>
                </c:pt>
                <c:pt idx="7">
                  <c:v>50% RDF + 50% FYM/ha</c:v>
                </c:pt>
                <c:pt idx="8">
                  <c:v>75% RDF + 25% FYM/ha </c:v>
                </c:pt>
              </c:strCache>
            </c:strRef>
          </c:cat>
          <c:val>
            <c:numRef>
              <c:f>Sheet1!$G$29:$G$37</c:f>
              <c:numCache>
                <c:formatCode>General</c:formatCode>
                <c:ptCount val="9"/>
                <c:pt idx="1">
                  <c:v>2.64</c:v>
                </c:pt>
                <c:pt idx="2">
                  <c:v>2.63</c:v>
                </c:pt>
                <c:pt idx="3">
                  <c:v>2.7800000000000002</c:v>
                </c:pt>
                <c:pt idx="4">
                  <c:v>2.75</c:v>
                </c:pt>
                <c:pt idx="5">
                  <c:v>2.86</c:v>
                </c:pt>
                <c:pt idx="6">
                  <c:v>2.73</c:v>
                </c:pt>
                <c:pt idx="7">
                  <c:v>2.8299999999999992</c:v>
                </c:pt>
                <c:pt idx="8">
                  <c:v>2.72</c:v>
                </c:pt>
              </c:numCache>
            </c:numRef>
          </c:val>
          <c:smooth val="0"/>
          <c:extLst>
            <c:ext xmlns:c16="http://schemas.microsoft.com/office/drawing/2014/chart" uri="{C3380CC4-5D6E-409C-BE32-E72D297353CC}">
              <c16:uniqueId val="{00000005-9195-405D-B6AF-BB7C61482639}"/>
            </c:ext>
          </c:extLst>
        </c:ser>
        <c:dLbls>
          <c:showLegendKey val="0"/>
          <c:showVal val="0"/>
          <c:showCatName val="0"/>
          <c:showSerName val="0"/>
          <c:showPercent val="0"/>
          <c:showBubbleSize val="0"/>
        </c:dLbls>
        <c:marker val="1"/>
        <c:smooth val="0"/>
        <c:axId val="82292736"/>
        <c:axId val="82290944"/>
      </c:lineChart>
      <c:catAx>
        <c:axId val="82271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289408"/>
        <c:crosses val="autoZero"/>
        <c:auto val="1"/>
        <c:lblAlgn val="ctr"/>
        <c:lblOffset val="100"/>
        <c:noMultiLvlLbl val="0"/>
      </c:catAx>
      <c:valAx>
        <c:axId val="82289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271232"/>
        <c:crosses val="autoZero"/>
        <c:crossBetween val="between"/>
      </c:valAx>
      <c:valAx>
        <c:axId val="82290944"/>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292736"/>
        <c:crosses val="max"/>
        <c:crossBetween val="between"/>
      </c:valAx>
      <c:catAx>
        <c:axId val="82292736"/>
        <c:scaling>
          <c:orientation val="minMax"/>
        </c:scaling>
        <c:delete val="1"/>
        <c:axPos val="b"/>
        <c:numFmt formatCode="General" sourceLinked="1"/>
        <c:majorTickMark val="out"/>
        <c:minorTickMark val="none"/>
        <c:tickLblPos val="nextTo"/>
        <c:crossAx val="82290944"/>
        <c:crosses val="autoZero"/>
        <c:auto val="1"/>
        <c:lblAlgn val="ctr"/>
        <c:lblOffset val="100"/>
        <c:noMultiLvlLbl val="0"/>
      </c:catAx>
      <c:spPr>
        <a:noFill/>
        <a:ln>
          <a:noFill/>
        </a:ln>
        <a:effectLst/>
      </c:spPr>
    </c:plotArea>
    <c:legend>
      <c:legendPos val="r"/>
      <c:layout>
        <c:manualLayout>
          <c:xMode val="edge"/>
          <c:yMode val="edge"/>
          <c:x val="0.76697156605424344"/>
          <c:y val="0.1886541265675124"/>
          <c:w val="0.21636176727909018"/>
          <c:h val="0.7708398950131236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2876</Words>
  <Characters>16396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 Pandey</dc:creator>
  <cp:lastModifiedBy>SDI PC New 16</cp:lastModifiedBy>
  <cp:revision>6</cp:revision>
  <cp:lastPrinted>2024-04-12T05:22:00Z</cp:lastPrinted>
  <dcterms:created xsi:type="dcterms:W3CDTF">2026-01-16T06:12:00Z</dcterms:created>
  <dcterms:modified xsi:type="dcterms:W3CDTF">2026-01-16T12:55:00Z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e7d4470a-7272-4f6a-b31a-1d422d797ca0</vt:lpwstr>
  </property>
</Properties>
</file>