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71659" w14:textId="59C35C8C" w:rsidR="009465BB" w:rsidRPr="007453A3" w:rsidRDefault="007453A3" w:rsidP="00505647">
      <w:pPr>
        <w:jc w:val="both"/>
        <w:rPr>
          <w:rFonts w:ascii="Times New Roman" w:hAnsi="Times New Roman" w:cs="Times New Roman"/>
          <w:b/>
          <w:bCs/>
          <w:sz w:val="24"/>
          <w:szCs w:val="24"/>
        </w:rPr>
      </w:pPr>
      <w:r w:rsidRPr="007453A3">
        <w:rPr>
          <w:rFonts w:ascii="Times New Roman" w:hAnsi="Times New Roman" w:cs="Times New Roman"/>
          <w:b/>
          <w:bCs/>
          <w:sz w:val="24"/>
          <w:szCs w:val="24"/>
        </w:rPr>
        <w:t>Modelling</w:t>
      </w:r>
      <w:r w:rsidR="009465BB" w:rsidRPr="007453A3">
        <w:rPr>
          <w:rFonts w:ascii="Times New Roman" w:hAnsi="Times New Roman" w:cs="Times New Roman"/>
          <w:b/>
          <w:bCs/>
          <w:sz w:val="24"/>
          <w:szCs w:val="24"/>
        </w:rPr>
        <w:t xml:space="preserve"> Dynamic PSA Trajectories and Survival in Prostate Cancer Using Joint Longitudinal, Survival Models</w:t>
      </w:r>
    </w:p>
    <w:p w14:paraId="573C8A03" w14:textId="0F63EA60" w:rsidR="006C14C2" w:rsidRPr="006C14C2" w:rsidRDefault="006C14C2" w:rsidP="00896D73">
      <w:pPr>
        <w:jc w:val="both"/>
        <w:rPr>
          <w:rFonts w:ascii="Times New Roman" w:hAnsi="Times New Roman" w:cs="Times New Roman"/>
          <w:b/>
          <w:bCs/>
          <w:sz w:val="24"/>
          <w:szCs w:val="24"/>
        </w:rPr>
      </w:pPr>
      <w:r w:rsidRPr="006C14C2">
        <w:rPr>
          <w:rFonts w:ascii="Times New Roman" w:hAnsi="Times New Roman" w:cs="Times New Roman"/>
          <w:b/>
          <w:bCs/>
          <w:sz w:val="24"/>
          <w:szCs w:val="24"/>
        </w:rPr>
        <w:t>Abstract</w:t>
      </w:r>
    </w:p>
    <w:p w14:paraId="56AA7333" w14:textId="2AEAA9CC" w:rsidR="00DE53F2" w:rsidRPr="00505647" w:rsidRDefault="00DE53F2" w:rsidP="00896D73">
      <w:pPr>
        <w:jc w:val="both"/>
        <w:rPr>
          <w:rFonts w:ascii="Times New Roman" w:hAnsi="Times New Roman" w:cs="Times New Roman"/>
          <w:sz w:val="24"/>
          <w:szCs w:val="24"/>
        </w:rPr>
      </w:pPr>
      <w:r w:rsidRPr="00505647">
        <w:rPr>
          <w:rFonts w:ascii="Times New Roman" w:hAnsi="Times New Roman" w:cs="Times New Roman"/>
          <w:sz w:val="24"/>
          <w:szCs w:val="24"/>
        </w:rPr>
        <w:t xml:space="preserve">Biologically and clinically, prostate cancer is </w:t>
      </w:r>
      <w:r w:rsidR="00D86EA7">
        <w:rPr>
          <w:rFonts w:ascii="Times New Roman" w:hAnsi="Times New Roman" w:cs="Times New Roman"/>
          <w:sz w:val="24"/>
          <w:szCs w:val="24"/>
        </w:rPr>
        <w:t>significantly</w:t>
      </w:r>
      <w:r w:rsidRPr="00505647">
        <w:rPr>
          <w:rFonts w:ascii="Times New Roman" w:hAnsi="Times New Roman" w:cs="Times New Roman"/>
          <w:sz w:val="24"/>
          <w:szCs w:val="24"/>
        </w:rPr>
        <w:t xml:space="preserve"> heterogeneous; still, much of the existing empirical research on prognosis proceeds within the tandem static</w:t>
      </w:r>
      <w:r w:rsidR="00505647" w:rsidRPr="00505647">
        <w:rPr>
          <w:rFonts w:ascii="Times New Roman" w:hAnsi="Times New Roman" w:cs="Times New Roman"/>
          <w:sz w:val="24"/>
          <w:szCs w:val="24"/>
        </w:rPr>
        <w:t xml:space="preserve">, </w:t>
      </w:r>
      <w:r w:rsidR="00D86EA7">
        <w:rPr>
          <w:rFonts w:ascii="Times New Roman" w:hAnsi="Times New Roman" w:cs="Times New Roman"/>
          <w:sz w:val="24"/>
          <w:szCs w:val="24"/>
        </w:rPr>
        <w:t xml:space="preserve">two-stage paradigm, which </w:t>
      </w:r>
      <w:r w:rsidR="003B425A">
        <w:rPr>
          <w:rFonts w:ascii="Times New Roman" w:hAnsi="Times New Roman" w:cs="Times New Roman"/>
          <w:sz w:val="24"/>
          <w:szCs w:val="24"/>
        </w:rPr>
        <w:t>conceptualises</w:t>
      </w:r>
      <w:r w:rsidR="00D86EA7">
        <w:rPr>
          <w:rFonts w:ascii="Times New Roman" w:hAnsi="Times New Roman" w:cs="Times New Roman"/>
          <w:sz w:val="24"/>
          <w:szCs w:val="24"/>
        </w:rPr>
        <w:t xml:space="preserve"> prostate-specific antigen (PSA) as a static baseline variable and neglects</w:t>
      </w:r>
      <w:r w:rsidRPr="00505647">
        <w:rPr>
          <w:rFonts w:ascii="Times New Roman" w:hAnsi="Times New Roman" w:cs="Times New Roman"/>
          <w:sz w:val="24"/>
          <w:szCs w:val="24"/>
        </w:rPr>
        <w:t xml:space="preserve"> its dynamic relationship to survival. The current study remedies these problems by employing the integrated joint model approach to model the dynamic relationship between the trajectory of PSA severity and time-to-event outcomes. For this study, a retrospective </w:t>
      </w:r>
      <w:r w:rsidR="00D86EA7">
        <w:rPr>
          <w:rFonts w:ascii="Times New Roman" w:hAnsi="Times New Roman" w:cs="Times New Roman"/>
          <w:sz w:val="24"/>
          <w:szCs w:val="24"/>
        </w:rPr>
        <w:t xml:space="preserve">design </w:t>
      </w:r>
      <w:r w:rsidR="00DD4155">
        <w:rPr>
          <w:rFonts w:ascii="Times New Roman" w:hAnsi="Times New Roman" w:cs="Times New Roman"/>
          <w:sz w:val="24"/>
          <w:szCs w:val="24"/>
        </w:rPr>
        <w:t xml:space="preserve">included a sample </w:t>
      </w:r>
      <w:r w:rsidR="00B246D8">
        <w:rPr>
          <w:rFonts w:ascii="Times New Roman" w:hAnsi="Times New Roman" w:cs="Times New Roman"/>
          <w:sz w:val="24"/>
          <w:szCs w:val="24"/>
        </w:rPr>
        <w:t>of 300</w:t>
      </w:r>
      <w:r w:rsidR="00DD4155">
        <w:rPr>
          <w:rFonts w:ascii="Times New Roman" w:hAnsi="Times New Roman" w:cs="Times New Roman"/>
          <w:sz w:val="24"/>
          <w:szCs w:val="24"/>
        </w:rPr>
        <w:t xml:space="preserve"> prostate cancer patients; the study used models for overall PSA severity, the Cox model for overall survival</w:t>
      </w:r>
      <w:r w:rsidR="00D86EA7">
        <w:rPr>
          <w:rFonts w:ascii="Times New Roman" w:hAnsi="Times New Roman" w:cs="Times New Roman"/>
          <w:sz w:val="24"/>
          <w:szCs w:val="24"/>
        </w:rPr>
        <w:t>, and the joint model approach with shared random effects to handle</w:t>
      </w:r>
      <w:r w:rsidRPr="00505647">
        <w:rPr>
          <w:rFonts w:ascii="Times New Roman" w:hAnsi="Times New Roman" w:cs="Times New Roman"/>
          <w:sz w:val="24"/>
          <w:szCs w:val="24"/>
        </w:rPr>
        <w:t xml:space="preserve"> informative censoring. </w:t>
      </w:r>
      <w:r w:rsidR="00D86EA7">
        <w:rPr>
          <w:rFonts w:ascii="Times New Roman" w:hAnsi="Times New Roman" w:cs="Times New Roman"/>
          <w:sz w:val="24"/>
          <w:szCs w:val="24"/>
        </w:rPr>
        <w:t>The descriptive analysis showed equal proportions across</w:t>
      </w:r>
      <w:r w:rsidRPr="00505647">
        <w:rPr>
          <w:rFonts w:ascii="Times New Roman" w:hAnsi="Times New Roman" w:cs="Times New Roman"/>
          <w:sz w:val="24"/>
          <w:szCs w:val="24"/>
        </w:rPr>
        <w:t xml:space="preserve"> cancer stage categories and overall PSA severity. For the overall model, </w:t>
      </w:r>
      <w:r w:rsidR="00D86EA7">
        <w:rPr>
          <w:rFonts w:ascii="Times New Roman" w:hAnsi="Times New Roman" w:cs="Times New Roman"/>
          <w:sz w:val="24"/>
          <w:szCs w:val="24"/>
        </w:rPr>
        <w:t>a modest change in population-averaged PSA was observed, yet significant individual heterogeneity remained</w:t>
      </w:r>
      <w:r w:rsidRPr="00505647">
        <w:rPr>
          <w:rFonts w:ascii="Times New Roman" w:hAnsi="Times New Roman" w:cs="Times New Roman"/>
          <w:sz w:val="24"/>
          <w:szCs w:val="24"/>
        </w:rPr>
        <w:t xml:space="preserve">. For overall survival outcomes, </w:t>
      </w:r>
      <w:r w:rsidR="00D86EA7">
        <w:rPr>
          <w:rFonts w:ascii="Times New Roman" w:hAnsi="Times New Roman" w:cs="Times New Roman"/>
          <w:sz w:val="24"/>
          <w:szCs w:val="24"/>
        </w:rPr>
        <w:t xml:space="preserve">only the Gleason score was a significant predictor </w:t>
      </w:r>
      <w:r w:rsidRPr="00505647">
        <w:rPr>
          <w:rFonts w:ascii="Times New Roman" w:hAnsi="Times New Roman" w:cs="Times New Roman"/>
          <w:sz w:val="24"/>
          <w:szCs w:val="24"/>
        </w:rPr>
        <w:t xml:space="preserve">(HR=0.847; 95% CI:0.732-0.980). </w:t>
      </w:r>
      <w:r w:rsidR="00D86EA7">
        <w:rPr>
          <w:rFonts w:ascii="Times New Roman" w:hAnsi="Times New Roman" w:cs="Times New Roman"/>
          <w:sz w:val="24"/>
          <w:szCs w:val="24"/>
        </w:rPr>
        <w:t xml:space="preserve">Kaplan-Meier curves also showed significant visual separation in overall survival by overall PSA categories. </w:t>
      </w:r>
      <w:r w:rsidR="00DD4155">
        <w:rPr>
          <w:rFonts w:ascii="Times New Roman" w:hAnsi="Times New Roman" w:cs="Times New Roman"/>
          <w:sz w:val="24"/>
          <w:szCs w:val="24"/>
        </w:rPr>
        <w:t>Nevertheless</w:t>
      </w:r>
      <w:r w:rsidR="00D86EA7">
        <w:rPr>
          <w:rFonts w:ascii="Times New Roman" w:hAnsi="Times New Roman" w:cs="Times New Roman"/>
          <w:sz w:val="24"/>
          <w:szCs w:val="24"/>
        </w:rPr>
        <w:t>, in the overall joint model analysis, the trajectories for overall PSA showed</w:t>
      </w:r>
      <w:r w:rsidRPr="00505647">
        <w:rPr>
          <w:rFonts w:ascii="Times New Roman" w:hAnsi="Times New Roman" w:cs="Times New Roman"/>
          <w:sz w:val="24"/>
          <w:szCs w:val="24"/>
        </w:rPr>
        <w:t xml:space="preserve"> significant predictive relationships beyond overall static clinicopathological factors. The originality of this research study </w:t>
      </w:r>
      <w:r w:rsidR="00D86EA7">
        <w:rPr>
          <w:rFonts w:ascii="Times New Roman" w:hAnsi="Times New Roman" w:cs="Times New Roman"/>
          <w:sz w:val="24"/>
          <w:szCs w:val="24"/>
        </w:rPr>
        <w:t>lies in its approach to effectively integrate dynamic biomarker models and overall survival models to strategically eliminate bias, as found in</w:t>
      </w:r>
      <w:r w:rsidRPr="00505647">
        <w:rPr>
          <w:rFonts w:ascii="Times New Roman" w:hAnsi="Times New Roman" w:cs="Times New Roman"/>
          <w:sz w:val="24"/>
          <w:szCs w:val="24"/>
        </w:rPr>
        <w:t xml:space="preserve"> static and Two-Stage models. </w:t>
      </w:r>
      <w:r w:rsidR="006C14C2">
        <w:rPr>
          <w:rFonts w:ascii="Times New Roman" w:hAnsi="Times New Roman" w:cs="Times New Roman"/>
          <w:sz w:val="24"/>
          <w:szCs w:val="24"/>
        </w:rPr>
        <w:t>Generally</w:t>
      </w:r>
      <w:r w:rsidRPr="00505647">
        <w:rPr>
          <w:rFonts w:ascii="Times New Roman" w:hAnsi="Times New Roman" w:cs="Times New Roman"/>
          <w:sz w:val="24"/>
          <w:szCs w:val="24"/>
        </w:rPr>
        <w:t xml:space="preserve">, this </w:t>
      </w:r>
      <w:r w:rsidR="006C14C2">
        <w:rPr>
          <w:rFonts w:ascii="Times New Roman" w:hAnsi="Times New Roman" w:cs="Times New Roman"/>
          <w:sz w:val="24"/>
          <w:szCs w:val="24"/>
        </w:rPr>
        <w:t>study provides strong support for specific clinician recommendations on the use of dynamic biomarker models to predict</w:t>
      </w:r>
      <w:r w:rsidR="00D86EA7">
        <w:rPr>
          <w:rFonts w:ascii="Times New Roman" w:hAnsi="Times New Roman" w:cs="Times New Roman"/>
          <w:sz w:val="24"/>
          <w:szCs w:val="24"/>
        </w:rPr>
        <w:t xml:space="preserve"> prostate cancer outcomes within the context of evidence-based oncology practice</w:t>
      </w:r>
      <w:r w:rsidRPr="00505647">
        <w:rPr>
          <w:rFonts w:ascii="Times New Roman" w:hAnsi="Times New Roman" w:cs="Times New Roman"/>
          <w:sz w:val="24"/>
          <w:szCs w:val="24"/>
        </w:rPr>
        <w:t>.</w:t>
      </w:r>
    </w:p>
    <w:p w14:paraId="0F6EBFCE" w14:textId="5394F618" w:rsidR="002C17BD" w:rsidRPr="008D0F0D" w:rsidRDefault="00DE53F2" w:rsidP="00505647">
      <w:pPr>
        <w:jc w:val="both"/>
        <w:rPr>
          <w:rFonts w:ascii="Times New Roman" w:hAnsi="Times New Roman" w:cs="Times New Roman"/>
          <w:sz w:val="24"/>
          <w:szCs w:val="24"/>
        </w:rPr>
      </w:pPr>
      <w:r w:rsidRPr="00505647">
        <w:rPr>
          <w:rFonts w:ascii="Times New Roman" w:hAnsi="Times New Roman" w:cs="Times New Roman"/>
          <w:b/>
          <w:bCs/>
          <w:sz w:val="24"/>
          <w:szCs w:val="24"/>
        </w:rPr>
        <w:t>Keywords</w:t>
      </w:r>
      <w:r w:rsidRPr="00505647">
        <w:rPr>
          <w:rFonts w:ascii="Times New Roman" w:hAnsi="Times New Roman" w:cs="Times New Roman"/>
          <w:sz w:val="24"/>
          <w:szCs w:val="24"/>
        </w:rPr>
        <w:t>: Prognosis of prostate cancer, Trajectories measurements, Simultaneous analysis</w:t>
      </w:r>
      <w:r w:rsidR="002C17BD">
        <w:rPr>
          <w:rFonts w:ascii="Times New Roman" w:hAnsi="Times New Roman" w:cs="Times New Roman"/>
          <w:sz w:val="24"/>
          <w:szCs w:val="24"/>
        </w:rPr>
        <w:t>,</w:t>
      </w:r>
      <w:r w:rsidRPr="00505647">
        <w:rPr>
          <w:rFonts w:ascii="Times New Roman" w:hAnsi="Times New Roman" w:cs="Times New Roman"/>
          <w:sz w:val="24"/>
          <w:szCs w:val="24"/>
        </w:rPr>
        <w:t xml:space="preserve"> longitudinal and time-to-event data, informative dropout, Informative dropout data</w:t>
      </w:r>
      <w:r w:rsidR="004A6E9F">
        <w:rPr>
          <w:rFonts w:ascii="Times New Roman" w:hAnsi="Times New Roman" w:cs="Times New Roman"/>
          <w:sz w:val="24"/>
          <w:szCs w:val="24"/>
        </w:rPr>
        <w:t>.</w:t>
      </w:r>
    </w:p>
    <w:p w14:paraId="6E6322CD" w14:textId="6767AD43" w:rsidR="00DE53F2" w:rsidRPr="002C17BD" w:rsidRDefault="00DE53F2" w:rsidP="00505647">
      <w:pPr>
        <w:jc w:val="both"/>
        <w:rPr>
          <w:rFonts w:ascii="Times New Roman" w:hAnsi="Times New Roman" w:cs="Times New Roman"/>
          <w:b/>
          <w:bCs/>
          <w:sz w:val="24"/>
          <w:szCs w:val="24"/>
        </w:rPr>
      </w:pPr>
      <w:r w:rsidRPr="002C17BD">
        <w:rPr>
          <w:rFonts w:ascii="Times New Roman" w:hAnsi="Times New Roman" w:cs="Times New Roman"/>
          <w:b/>
          <w:bCs/>
          <w:sz w:val="24"/>
          <w:szCs w:val="24"/>
        </w:rPr>
        <w:t>Introduction</w:t>
      </w:r>
    </w:p>
    <w:p w14:paraId="0426E01B" w14:textId="3550050E" w:rsidR="00DE53F2" w:rsidRPr="00505647" w:rsidRDefault="00DE53F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Prostate </w:t>
      </w:r>
      <w:r w:rsidR="007B3C97">
        <w:rPr>
          <w:rFonts w:ascii="Times New Roman" w:hAnsi="Times New Roman" w:cs="Times New Roman"/>
          <w:sz w:val="24"/>
          <w:szCs w:val="24"/>
        </w:rPr>
        <w:t>c</w:t>
      </w:r>
      <w:r w:rsidRPr="00505647">
        <w:rPr>
          <w:rFonts w:ascii="Times New Roman" w:hAnsi="Times New Roman" w:cs="Times New Roman"/>
          <w:sz w:val="24"/>
          <w:szCs w:val="24"/>
        </w:rPr>
        <w:t xml:space="preserve">ancer </w:t>
      </w:r>
      <w:r w:rsidR="007B3C97">
        <w:rPr>
          <w:rFonts w:ascii="Times New Roman" w:hAnsi="Times New Roman" w:cs="Times New Roman"/>
          <w:sz w:val="24"/>
          <w:szCs w:val="24"/>
        </w:rPr>
        <w:t>r</w:t>
      </w:r>
      <w:r w:rsidRPr="00505647">
        <w:rPr>
          <w:rFonts w:ascii="Times New Roman" w:hAnsi="Times New Roman" w:cs="Times New Roman"/>
          <w:sz w:val="24"/>
          <w:szCs w:val="24"/>
        </w:rPr>
        <w:t xml:space="preserve">emains </w:t>
      </w:r>
      <w:r w:rsidR="00D86EA7">
        <w:rPr>
          <w:rFonts w:ascii="Times New Roman" w:hAnsi="Times New Roman" w:cs="Times New Roman"/>
          <w:sz w:val="24"/>
          <w:szCs w:val="24"/>
        </w:rPr>
        <w:t>a widespread cancer among men both globally and locally, and is also a</w:t>
      </w:r>
      <w:r w:rsidR="00B96AFB" w:rsidRPr="00505647">
        <w:rPr>
          <w:rFonts w:ascii="Times New Roman" w:hAnsi="Times New Roman" w:cs="Times New Roman"/>
          <w:sz w:val="24"/>
          <w:szCs w:val="24"/>
        </w:rPr>
        <w:t xml:space="preserve"> noteworthy source of morbidity and mortality due to cancer </w:t>
      </w:r>
      <w:r w:rsidRPr="00505647">
        <w:rPr>
          <w:rFonts w:ascii="Times New Roman" w:hAnsi="Times New Roman" w:cs="Times New Roman"/>
          <w:sz w:val="24"/>
          <w:szCs w:val="24"/>
        </w:rPr>
        <w:t>(Ahad et al., 2024; Aziz et al., 2025; Bosson-Amedenu et al., 2025; Ayiah-Mensah et al., 2025; Miao et al., 2025). Also noteworthy is the prostate cancer that has high biological variability that may range from indolent cancers that grow very slowly or from highly aggressive forms of prostate cancers associated with fast progression and short survival times (Novysedlak et al., 2025; Kania et al., 2025; Fu et al., 2025; Salamanca et al., 2025; Rosti et al., 2025).</w:t>
      </w:r>
      <w:r w:rsidR="00B96AFB">
        <w:rPr>
          <w:rFonts w:ascii="Times New Roman" w:hAnsi="Times New Roman" w:cs="Times New Roman"/>
          <w:sz w:val="24"/>
          <w:szCs w:val="24"/>
        </w:rPr>
        <w:t xml:space="preserve"> </w:t>
      </w:r>
      <w:r w:rsidRPr="00505647">
        <w:rPr>
          <w:rFonts w:ascii="Times New Roman" w:hAnsi="Times New Roman" w:cs="Times New Roman"/>
          <w:sz w:val="24"/>
          <w:szCs w:val="24"/>
        </w:rPr>
        <w:t xml:space="preserve">This variability </w:t>
      </w:r>
      <w:r w:rsidR="00D86EA7">
        <w:rPr>
          <w:rFonts w:ascii="Times New Roman" w:hAnsi="Times New Roman" w:cs="Times New Roman"/>
          <w:sz w:val="24"/>
          <w:szCs w:val="24"/>
        </w:rPr>
        <w:t xml:space="preserve">poses significant challenges for </w:t>
      </w:r>
      <w:r w:rsidR="00DD4155">
        <w:rPr>
          <w:rFonts w:ascii="Times New Roman" w:hAnsi="Times New Roman" w:cs="Times New Roman"/>
          <w:sz w:val="24"/>
          <w:szCs w:val="24"/>
        </w:rPr>
        <w:t>prognostic and treatment decision-making</w:t>
      </w:r>
      <w:r w:rsidR="00B246D8">
        <w:rPr>
          <w:rFonts w:ascii="Times New Roman" w:hAnsi="Times New Roman" w:cs="Times New Roman"/>
          <w:sz w:val="24"/>
          <w:szCs w:val="24"/>
        </w:rPr>
        <w:t>, as well as</w:t>
      </w:r>
      <w:r w:rsidR="00D86EA7">
        <w:rPr>
          <w:rFonts w:ascii="Times New Roman" w:hAnsi="Times New Roman" w:cs="Times New Roman"/>
          <w:sz w:val="24"/>
          <w:szCs w:val="24"/>
        </w:rPr>
        <w:t xml:space="preserve"> for long-term patient care</w:t>
      </w:r>
      <w:r w:rsidRPr="00505647">
        <w:rPr>
          <w:rFonts w:ascii="Times New Roman" w:hAnsi="Times New Roman" w:cs="Times New Roman"/>
          <w:sz w:val="24"/>
          <w:szCs w:val="24"/>
        </w:rPr>
        <w:t xml:space="preserve"> (Novysedlak et al., 2025; Salamanca et al., 2025; Rosti et al., 2025). Diagnosis for treatment choices based on a mix of many variables</w:t>
      </w:r>
      <w:r w:rsidR="00DD4155">
        <w:rPr>
          <w:rFonts w:ascii="Times New Roman" w:hAnsi="Times New Roman" w:cs="Times New Roman"/>
          <w:sz w:val="24"/>
          <w:szCs w:val="24"/>
        </w:rPr>
        <w:t>,</w:t>
      </w:r>
      <w:r w:rsidRPr="00505647">
        <w:rPr>
          <w:rFonts w:ascii="Times New Roman" w:hAnsi="Times New Roman" w:cs="Times New Roman"/>
          <w:sz w:val="24"/>
          <w:szCs w:val="24"/>
        </w:rPr>
        <w:t xml:space="preserve"> such as age, stage of cancer, size of </w:t>
      </w:r>
      <w:r w:rsidR="00D86EA7" w:rsidRPr="00505647">
        <w:rPr>
          <w:rFonts w:ascii="Times New Roman" w:hAnsi="Times New Roman" w:cs="Times New Roman"/>
          <w:sz w:val="24"/>
          <w:szCs w:val="24"/>
        </w:rPr>
        <w:t>tumour</w:t>
      </w:r>
      <w:r w:rsidRPr="00505647">
        <w:rPr>
          <w:rFonts w:ascii="Times New Roman" w:hAnsi="Times New Roman" w:cs="Times New Roman"/>
          <w:sz w:val="24"/>
          <w:szCs w:val="24"/>
        </w:rPr>
        <w:t>, involvement of lymph nodes, Gleason score, or levels of prostate-specific antigen</w:t>
      </w:r>
      <w:r w:rsidR="00B96AFB">
        <w:rPr>
          <w:rFonts w:ascii="Times New Roman" w:hAnsi="Times New Roman" w:cs="Times New Roman"/>
          <w:sz w:val="24"/>
          <w:szCs w:val="24"/>
        </w:rPr>
        <w:t>.</w:t>
      </w:r>
    </w:p>
    <w:p w14:paraId="0BE62B58" w14:textId="764599D3" w:rsidR="00DE53F2" w:rsidRDefault="00DD4155" w:rsidP="00505647">
      <w:pPr>
        <w:jc w:val="both"/>
        <w:rPr>
          <w:rFonts w:ascii="Times New Roman" w:hAnsi="Times New Roman" w:cs="Times New Roman"/>
          <w:sz w:val="24"/>
          <w:szCs w:val="24"/>
        </w:rPr>
      </w:pPr>
      <w:r>
        <w:rPr>
          <w:rFonts w:ascii="Times New Roman" w:hAnsi="Times New Roman" w:cs="Times New Roman"/>
          <w:sz w:val="24"/>
          <w:szCs w:val="24"/>
        </w:rPr>
        <w:t>Prostate-specific antigen (PSA) has been an integral part</w:t>
      </w:r>
      <w:r w:rsidR="00DE53F2" w:rsidRPr="00505647">
        <w:rPr>
          <w:rFonts w:ascii="Times New Roman" w:hAnsi="Times New Roman" w:cs="Times New Roman"/>
          <w:sz w:val="24"/>
          <w:szCs w:val="24"/>
        </w:rPr>
        <w:t xml:space="preserve"> of the detection, follow-up, and risk assessment of prostate cancer over the past several decades. It has </w:t>
      </w:r>
      <w:r>
        <w:rPr>
          <w:rFonts w:ascii="Times New Roman" w:hAnsi="Times New Roman" w:cs="Times New Roman"/>
          <w:sz w:val="24"/>
          <w:szCs w:val="24"/>
        </w:rPr>
        <w:t>long been understood that high PSA levels are associated with tumour presence, progression, and treatment response</w:t>
      </w:r>
      <w:r w:rsidR="00DE53F2" w:rsidRPr="00505647">
        <w:rPr>
          <w:rFonts w:ascii="Times New Roman" w:hAnsi="Times New Roman" w:cs="Times New Roman"/>
          <w:sz w:val="24"/>
          <w:szCs w:val="24"/>
        </w:rPr>
        <w:t xml:space="preserve">. These </w:t>
      </w:r>
      <w:r w:rsidR="00DE53F2" w:rsidRPr="00505647">
        <w:rPr>
          <w:rFonts w:ascii="Times New Roman" w:hAnsi="Times New Roman" w:cs="Times New Roman"/>
          <w:sz w:val="24"/>
          <w:szCs w:val="24"/>
        </w:rPr>
        <w:lastRenderedPageBreak/>
        <w:t xml:space="preserve">considerations highlight PSA as an essential biomarker in everyday clinical practice (Baston et al., 2024; Lopez-Valcarcel et al., 2025; Galey et al., 2024; Majewska et al., 2025; Denijs et al., 2024). Nonetheless, PSA does not remain constant. It tends to vary based on disease dynamics, treatment procedures </w:t>
      </w:r>
      <w:r>
        <w:rPr>
          <w:rFonts w:ascii="Times New Roman" w:hAnsi="Times New Roman" w:cs="Times New Roman"/>
          <w:sz w:val="24"/>
          <w:szCs w:val="24"/>
        </w:rPr>
        <w:t>such as chemotherapy, radiation, and hormone therapy, and</w:t>
      </w:r>
      <w:r w:rsidR="00DE53F2" w:rsidRPr="00505647">
        <w:rPr>
          <w:rFonts w:ascii="Times New Roman" w:hAnsi="Times New Roman" w:cs="Times New Roman"/>
          <w:sz w:val="24"/>
          <w:szCs w:val="24"/>
        </w:rPr>
        <w:t xml:space="preserve"> personal variability. Outcomes concerning survival, assessed in terms of </w:t>
      </w:r>
      <w:r>
        <w:rPr>
          <w:rFonts w:ascii="Times New Roman" w:hAnsi="Times New Roman" w:cs="Times New Roman"/>
          <w:sz w:val="24"/>
          <w:szCs w:val="24"/>
        </w:rPr>
        <w:t>time-to-event using censoring, are necessarily tied to PSA dynamics over time rather than to baseline values (Rizopoulos et al., 2024; Liaqat et</w:t>
      </w:r>
      <w:r w:rsidR="00DE53F2" w:rsidRPr="00505647">
        <w:rPr>
          <w:rFonts w:ascii="Times New Roman" w:hAnsi="Times New Roman" w:cs="Times New Roman"/>
          <w:sz w:val="24"/>
          <w:szCs w:val="24"/>
        </w:rPr>
        <w:t xml:space="preserve"> al., 2024; Le Coent et al., 2025).</w:t>
      </w:r>
    </w:p>
    <w:p w14:paraId="5B6C6AF0" w14:textId="7D986A68" w:rsidR="004928F4" w:rsidRPr="004928F4" w:rsidRDefault="004928F4" w:rsidP="004928F4">
      <w:pPr>
        <w:jc w:val="both"/>
        <w:rPr>
          <w:rFonts w:ascii="Times New Roman" w:hAnsi="Times New Roman" w:cs="Times New Roman"/>
          <w:sz w:val="24"/>
          <w:szCs w:val="24"/>
        </w:rPr>
      </w:pPr>
      <w:r w:rsidRPr="004928F4">
        <w:rPr>
          <w:rFonts w:ascii="Times New Roman" w:hAnsi="Times New Roman" w:cs="Times New Roman"/>
          <w:sz w:val="24"/>
          <w:szCs w:val="24"/>
        </w:rPr>
        <w:t xml:space="preserve">PSA severity is the ordinal </w:t>
      </w:r>
      <w:r w:rsidR="00C062BF">
        <w:rPr>
          <w:rFonts w:ascii="Times New Roman" w:hAnsi="Times New Roman" w:cs="Times New Roman"/>
          <w:sz w:val="24"/>
          <w:szCs w:val="24"/>
        </w:rPr>
        <w:t>categorisation</w:t>
      </w:r>
      <w:r w:rsidRPr="004928F4">
        <w:rPr>
          <w:rFonts w:ascii="Times New Roman" w:hAnsi="Times New Roman" w:cs="Times New Roman"/>
          <w:sz w:val="24"/>
          <w:szCs w:val="24"/>
        </w:rPr>
        <w:t xml:space="preserve"> of the prostate-specific antigen (PSA) measurement of the clinical data in this study. The PSA values were given three ordered categories as Low, Moderate and High based on the records on the ranges of PSA reported in the source records. These categories were considered </w:t>
      </w:r>
      <w:r w:rsidR="00C062BF">
        <w:rPr>
          <w:rFonts w:ascii="Times New Roman" w:hAnsi="Times New Roman" w:cs="Times New Roman"/>
          <w:sz w:val="24"/>
          <w:szCs w:val="24"/>
        </w:rPr>
        <w:t>a gradation of severity, with higher values indicating a more active disease with respect</w:t>
      </w:r>
      <w:r w:rsidRPr="004928F4">
        <w:rPr>
          <w:rFonts w:ascii="Times New Roman" w:hAnsi="Times New Roman" w:cs="Times New Roman"/>
          <w:sz w:val="24"/>
          <w:szCs w:val="24"/>
        </w:rPr>
        <w:t xml:space="preserve"> to biochemical processes. This ordered classification was used in the statistical analysis as a proxy </w:t>
      </w:r>
      <w:r w:rsidR="00C062BF">
        <w:rPr>
          <w:rFonts w:ascii="Times New Roman" w:hAnsi="Times New Roman" w:cs="Times New Roman"/>
          <w:sz w:val="24"/>
          <w:szCs w:val="24"/>
        </w:rPr>
        <w:t xml:space="preserve">for the underlying continuous biomarker process, allowing the longitudinal analysis of PSA dynamics </w:t>
      </w:r>
      <w:r w:rsidRPr="004928F4">
        <w:rPr>
          <w:rFonts w:ascii="Times New Roman" w:hAnsi="Times New Roman" w:cs="Times New Roman"/>
          <w:sz w:val="24"/>
          <w:szCs w:val="24"/>
        </w:rPr>
        <w:t>and its association with subsequent survival.</w:t>
      </w:r>
    </w:p>
    <w:p w14:paraId="5EBBE1B9" w14:textId="5F55562E" w:rsidR="00DE53F2" w:rsidRPr="00505647" w:rsidRDefault="004928F4" w:rsidP="00505647">
      <w:pPr>
        <w:jc w:val="both"/>
        <w:rPr>
          <w:rFonts w:ascii="Times New Roman" w:hAnsi="Times New Roman" w:cs="Times New Roman"/>
          <w:sz w:val="24"/>
          <w:szCs w:val="24"/>
        </w:rPr>
      </w:pPr>
      <w:r w:rsidRPr="004928F4">
        <w:rPr>
          <w:rFonts w:ascii="Times New Roman" w:hAnsi="Times New Roman" w:cs="Times New Roman"/>
          <w:sz w:val="24"/>
          <w:szCs w:val="24"/>
        </w:rPr>
        <w:t xml:space="preserve">Earlier researchers in the field of prostate cancer have primarily employed </w:t>
      </w:r>
      <w:r w:rsidR="00C062BF">
        <w:rPr>
          <w:rFonts w:ascii="Times New Roman" w:hAnsi="Times New Roman" w:cs="Times New Roman"/>
          <w:sz w:val="24"/>
          <w:szCs w:val="24"/>
        </w:rPr>
        <w:t>conventional regression models and survival analyses to identify predictive variables and elucidate</w:t>
      </w:r>
      <w:r w:rsidRPr="004928F4">
        <w:rPr>
          <w:rFonts w:ascii="Times New Roman" w:hAnsi="Times New Roman" w:cs="Times New Roman"/>
          <w:sz w:val="24"/>
          <w:szCs w:val="24"/>
        </w:rPr>
        <w:t xml:space="preserve"> </w:t>
      </w:r>
      <w:r w:rsidR="0021171F">
        <w:rPr>
          <w:rFonts w:ascii="Times New Roman" w:hAnsi="Times New Roman" w:cs="Times New Roman"/>
          <w:sz w:val="24"/>
          <w:szCs w:val="24"/>
        </w:rPr>
        <w:t xml:space="preserve">treatment effects </w:t>
      </w:r>
      <w:r w:rsidRPr="004928F4">
        <w:rPr>
          <w:rFonts w:ascii="Times New Roman" w:hAnsi="Times New Roman" w:cs="Times New Roman"/>
          <w:sz w:val="24"/>
          <w:szCs w:val="24"/>
        </w:rPr>
        <w:t xml:space="preserve">(Ahuja et al., 2024; Elewaily et al., 2024; Xu et al., 2025; Tang et al., 2024). </w:t>
      </w:r>
      <w:r w:rsidR="00DD4155">
        <w:rPr>
          <w:rFonts w:ascii="Times New Roman" w:hAnsi="Times New Roman" w:cs="Times New Roman"/>
          <w:sz w:val="24"/>
          <w:szCs w:val="24"/>
        </w:rPr>
        <w:t>Logistic</w:t>
      </w:r>
      <w:r w:rsidR="00DE53F2" w:rsidRPr="00505647">
        <w:rPr>
          <w:rFonts w:ascii="Times New Roman" w:hAnsi="Times New Roman" w:cs="Times New Roman"/>
          <w:sz w:val="24"/>
          <w:szCs w:val="24"/>
        </w:rPr>
        <w:t xml:space="preserve"> regression models remain popular </w:t>
      </w:r>
      <w:r w:rsidR="00DD4155">
        <w:rPr>
          <w:rFonts w:ascii="Times New Roman" w:hAnsi="Times New Roman" w:cs="Times New Roman"/>
          <w:sz w:val="24"/>
          <w:szCs w:val="24"/>
        </w:rPr>
        <w:t xml:space="preserve">for </w:t>
      </w:r>
      <w:r w:rsidR="00921ACB">
        <w:rPr>
          <w:rFonts w:ascii="Times New Roman" w:hAnsi="Times New Roman" w:cs="Times New Roman"/>
          <w:sz w:val="24"/>
          <w:szCs w:val="24"/>
        </w:rPr>
        <w:t>predicting</w:t>
      </w:r>
      <w:r w:rsidR="00DD4155">
        <w:rPr>
          <w:rFonts w:ascii="Times New Roman" w:hAnsi="Times New Roman" w:cs="Times New Roman"/>
          <w:sz w:val="24"/>
          <w:szCs w:val="24"/>
        </w:rPr>
        <w:t xml:space="preserve"> binary outcomes, such as progression and death</w:t>
      </w:r>
      <w:r w:rsidR="00B246D8">
        <w:rPr>
          <w:rFonts w:ascii="Times New Roman" w:hAnsi="Times New Roman" w:cs="Times New Roman"/>
          <w:sz w:val="24"/>
          <w:szCs w:val="24"/>
        </w:rPr>
        <w:t>. In contrast, Cox</w:t>
      </w:r>
      <w:r w:rsidR="00DD4155">
        <w:rPr>
          <w:rFonts w:ascii="Times New Roman" w:hAnsi="Times New Roman" w:cs="Times New Roman"/>
          <w:sz w:val="24"/>
          <w:szCs w:val="24"/>
        </w:rPr>
        <w:t xml:space="preserve"> proportional-hazards models </w:t>
      </w:r>
      <w:r w:rsidR="00B246D8">
        <w:rPr>
          <w:rFonts w:ascii="Times New Roman" w:hAnsi="Times New Roman" w:cs="Times New Roman"/>
          <w:sz w:val="24"/>
          <w:szCs w:val="24"/>
        </w:rPr>
        <w:t xml:space="preserve">remain the </w:t>
      </w:r>
      <w:r w:rsidR="00DD4155">
        <w:rPr>
          <w:rFonts w:ascii="Times New Roman" w:hAnsi="Times New Roman" w:cs="Times New Roman"/>
          <w:sz w:val="24"/>
          <w:szCs w:val="24"/>
        </w:rPr>
        <w:t>preferred option for</w:t>
      </w:r>
      <w:r w:rsidR="00DE53F2" w:rsidRPr="00505647">
        <w:rPr>
          <w:rFonts w:ascii="Times New Roman" w:hAnsi="Times New Roman" w:cs="Times New Roman"/>
          <w:sz w:val="24"/>
          <w:szCs w:val="24"/>
        </w:rPr>
        <w:t xml:space="preserve"> survival analyses with time-to-event variables. </w:t>
      </w:r>
      <w:r w:rsidR="00C073B7" w:rsidRPr="00C073B7">
        <w:rPr>
          <w:rFonts w:ascii="Times New Roman" w:hAnsi="Times New Roman" w:cs="Times New Roman"/>
          <w:sz w:val="24"/>
          <w:szCs w:val="24"/>
        </w:rPr>
        <w:t xml:space="preserve">These models have helped in </w:t>
      </w:r>
      <w:r w:rsidR="00C062BF">
        <w:rPr>
          <w:rFonts w:ascii="Times New Roman" w:hAnsi="Times New Roman" w:cs="Times New Roman"/>
          <w:sz w:val="24"/>
          <w:szCs w:val="24"/>
        </w:rPr>
        <w:t>studying the effects of variables such as age, stage, Gleason score, tumour size, lymph node involvement, and treatment regimens on survival probabilities</w:t>
      </w:r>
      <w:r w:rsidR="00C073B7" w:rsidRPr="00C073B7">
        <w:rPr>
          <w:rFonts w:ascii="Times New Roman" w:hAnsi="Times New Roman" w:cs="Times New Roman"/>
          <w:sz w:val="24"/>
          <w:szCs w:val="24"/>
        </w:rPr>
        <w:t xml:space="preserve">. The models mainly involve </w:t>
      </w:r>
      <w:r w:rsidR="00921ACB">
        <w:rPr>
          <w:rFonts w:ascii="Times New Roman" w:hAnsi="Times New Roman" w:cs="Times New Roman"/>
          <w:sz w:val="24"/>
          <w:szCs w:val="24"/>
        </w:rPr>
        <w:t xml:space="preserve">baseline variables, as it is assumed that, for independent biomarkers, survival processes </w:t>
      </w:r>
      <w:r w:rsidR="00C062BF">
        <w:rPr>
          <w:rFonts w:ascii="Times New Roman" w:hAnsi="Times New Roman" w:cs="Times New Roman"/>
          <w:sz w:val="24"/>
          <w:szCs w:val="24"/>
        </w:rPr>
        <w:t>are independent</w:t>
      </w:r>
      <w:r w:rsidR="00C073B7" w:rsidRPr="00C073B7">
        <w:rPr>
          <w:rFonts w:ascii="Times New Roman" w:hAnsi="Times New Roman" w:cs="Times New Roman"/>
          <w:sz w:val="24"/>
          <w:szCs w:val="24"/>
        </w:rPr>
        <w:t>.</w:t>
      </w:r>
      <w:r w:rsidR="00C073B7">
        <w:rPr>
          <w:rFonts w:ascii="Times New Roman" w:hAnsi="Times New Roman" w:cs="Times New Roman"/>
          <w:sz w:val="24"/>
          <w:szCs w:val="24"/>
        </w:rPr>
        <w:t xml:space="preserve"> </w:t>
      </w:r>
      <w:r w:rsidR="0000521D" w:rsidRPr="0000521D">
        <w:rPr>
          <w:rFonts w:ascii="Times New Roman" w:hAnsi="Times New Roman" w:cs="Times New Roman"/>
          <w:sz w:val="24"/>
          <w:szCs w:val="24"/>
        </w:rPr>
        <w:t xml:space="preserve">Other studies have also applied PSA in survival </w:t>
      </w:r>
      <w:r w:rsidR="004A6E9F">
        <w:rPr>
          <w:rFonts w:ascii="Times New Roman" w:hAnsi="Times New Roman" w:cs="Times New Roman"/>
          <w:sz w:val="24"/>
          <w:szCs w:val="24"/>
        </w:rPr>
        <w:t>models</w:t>
      </w:r>
      <w:r w:rsidR="0000521D" w:rsidRPr="0000521D">
        <w:rPr>
          <w:rFonts w:ascii="Times New Roman" w:hAnsi="Times New Roman" w:cs="Times New Roman"/>
          <w:sz w:val="24"/>
          <w:szCs w:val="24"/>
        </w:rPr>
        <w:t xml:space="preserve"> as a categorical covariate or underlying predictor, with higher levels of PSA being found to be linked with increased risk of death and shorter survival time in such studies (Cirulli et al., 2025; Gusev et al., 2025; Obeng et al., 2025; Liaqat et al., 2024). This is helpful, but it is done at the cost of an implicit assumption that </w:t>
      </w:r>
      <w:r w:rsidR="004A6E9F">
        <w:rPr>
          <w:rFonts w:ascii="Times New Roman" w:hAnsi="Times New Roman" w:cs="Times New Roman"/>
          <w:sz w:val="24"/>
          <w:szCs w:val="24"/>
        </w:rPr>
        <w:t xml:space="preserve">PSA levels will not change over follow-up, which is necessary to reflect the baseline </w:t>
      </w:r>
      <w:r w:rsidR="0000521D" w:rsidRPr="0000521D">
        <w:rPr>
          <w:rFonts w:ascii="Times New Roman" w:hAnsi="Times New Roman" w:cs="Times New Roman"/>
          <w:sz w:val="24"/>
          <w:szCs w:val="24"/>
        </w:rPr>
        <w:t xml:space="preserve">severity of the disease. Other of these </w:t>
      </w:r>
      <w:r w:rsidR="004A6E9F">
        <w:rPr>
          <w:rFonts w:ascii="Times New Roman" w:hAnsi="Times New Roman" w:cs="Times New Roman"/>
          <w:sz w:val="24"/>
          <w:szCs w:val="24"/>
        </w:rPr>
        <w:t xml:space="preserve">studies employed two-step models, in which PSA trajectories in longitudinal follow-up data are modelled with linear mixed models, and PSA is then </w:t>
      </w:r>
      <w:r w:rsidR="0000521D" w:rsidRPr="0000521D">
        <w:rPr>
          <w:rFonts w:ascii="Times New Roman" w:hAnsi="Times New Roman" w:cs="Times New Roman"/>
          <w:sz w:val="24"/>
          <w:szCs w:val="24"/>
        </w:rPr>
        <w:t xml:space="preserve">used as a covariate in survival models (Zhang et al., 2025; Rizopoulos et al., 2024; Alvares et al., 2024). </w:t>
      </w:r>
      <w:r w:rsidR="00DE53F2" w:rsidRPr="00505647">
        <w:rPr>
          <w:rFonts w:ascii="Times New Roman" w:hAnsi="Times New Roman" w:cs="Times New Roman"/>
          <w:sz w:val="24"/>
          <w:szCs w:val="24"/>
        </w:rPr>
        <w:t xml:space="preserve">While better than simple PSA-level analysis, two-step models have </w:t>
      </w:r>
      <w:r w:rsidR="00DD4155">
        <w:rPr>
          <w:rFonts w:ascii="Times New Roman" w:hAnsi="Times New Roman" w:cs="Times New Roman"/>
          <w:sz w:val="24"/>
          <w:szCs w:val="24"/>
        </w:rPr>
        <w:t xml:space="preserve">a </w:t>
      </w:r>
      <w:r w:rsidR="00DE53F2" w:rsidRPr="00505647">
        <w:rPr>
          <w:rFonts w:ascii="Times New Roman" w:hAnsi="Times New Roman" w:cs="Times New Roman"/>
          <w:sz w:val="24"/>
          <w:szCs w:val="24"/>
        </w:rPr>
        <w:t xml:space="preserve">well-known potential for biased </w:t>
      </w:r>
      <w:r w:rsidR="00B246D8">
        <w:rPr>
          <w:rFonts w:ascii="Times New Roman" w:hAnsi="Times New Roman" w:cs="Times New Roman"/>
          <w:sz w:val="24"/>
          <w:szCs w:val="24"/>
        </w:rPr>
        <w:t xml:space="preserve">estimates and reduced estimation efficiency due to their lack of information about the </w:t>
      </w:r>
      <w:r w:rsidR="00DD4155">
        <w:rPr>
          <w:rFonts w:ascii="Times New Roman" w:hAnsi="Times New Roman" w:cs="Times New Roman"/>
          <w:sz w:val="24"/>
          <w:szCs w:val="24"/>
        </w:rPr>
        <w:t xml:space="preserve">correlations between the longitudinal mechanisms underlying PSA data and the </w:t>
      </w:r>
      <w:r w:rsidR="00DE53F2" w:rsidRPr="00505647">
        <w:rPr>
          <w:rFonts w:ascii="Times New Roman" w:hAnsi="Times New Roman" w:cs="Times New Roman"/>
          <w:sz w:val="24"/>
          <w:szCs w:val="24"/>
        </w:rPr>
        <w:t>survival mechanisms, even in models where dropout due to death is informative.</w:t>
      </w:r>
    </w:p>
    <w:p w14:paraId="68CF6446" w14:textId="4F76B07D" w:rsidR="00DE53F2" w:rsidRPr="00505647" w:rsidRDefault="00DE53F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More recent developments have included joint models of longitudinal and survival data as an approach to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both biomarker trajectory and survival endpoints within a single analytical framework that preserves their relationship over time (Wang et al., 2025; Liang et al., 2025; Chen et al., 2025; Liaqat et al., 2024; Rustand et al., 2024). Joint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has already been validated and applies to models of chronic diseases</w:t>
      </w:r>
      <w:r w:rsidR="00DD4155">
        <w:rPr>
          <w:rFonts w:ascii="Times New Roman" w:hAnsi="Times New Roman" w:cs="Times New Roman"/>
          <w:sz w:val="24"/>
          <w:szCs w:val="24"/>
        </w:rPr>
        <w:t>, and has made significant progress over traditional approaches in handling</w:t>
      </w:r>
      <w:r w:rsidRPr="00505647">
        <w:rPr>
          <w:rFonts w:ascii="Times New Roman" w:hAnsi="Times New Roman" w:cs="Times New Roman"/>
          <w:sz w:val="24"/>
          <w:szCs w:val="24"/>
        </w:rPr>
        <w:t xml:space="preserve"> measurement error, informative censoring, and </w:t>
      </w:r>
      <w:r w:rsidR="00B96AFB"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associations over time through biomarkers and survival processes. However, </w:t>
      </w:r>
      <w:r w:rsidR="00DD4155">
        <w:rPr>
          <w:rFonts w:ascii="Times New Roman" w:hAnsi="Times New Roman" w:cs="Times New Roman"/>
          <w:sz w:val="24"/>
          <w:szCs w:val="24"/>
        </w:rPr>
        <w:t xml:space="preserve">in the context of prostate cancer </w:t>
      </w:r>
      <w:r w:rsidR="00DD4155">
        <w:rPr>
          <w:rFonts w:ascii="Times New Roman" w:hAnsi="Times New Roman" w:cs="Times New Roman"/>
          <w:sz w:val="24"/>
          <w:szCs w:val="24"/>
        </w:rPr>
        <w:lastRenderedPageBreak/>
        <w:t>studies, there have been fewer applications of joint models with significant potential, which could be better tapped by exploring their principles to their fullest extent in</w:t>
      </w:r>
      <w:r w:rsidRPr="00505647">
        <w:rPr>
          <w:rFonts w:ascii="Times New Roman" w:hAnsi="Times New Roman" w:cs="Times New Roman"/>
          <w:sz w:val="24"/>
          <w:szCs w:val="24"/>
        </w:rPr>
        <w:t xml:space="preserve"> clinical studies and applications.</w:t>
      </w:r>
    </w:p>
    <w:p w14:paraId="239D38E2" w14:textId="5F207832" w:rsidR="00DE53F2" w:rsidRPr="00505647" w:rsidRDefault="00DE53F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Moreover, a significant proportion of the literature </w:t>
      </w:r>
      <w:r w:rsidR="00DD4155">
        <w:rPr>
          <w:rFonts w:ascii="Times New Roman" w:hAnsi="Times New Roman" w:cs="Times New Roman"/>
          <w:sz w:val="24"/>
          <w:szCs w:val="24"/>
        </w:rPr>
        <w:t>emphasises predictive accuracy without considering</w:t>
      </w:r>
      <w:r w:rsidRPr="00505647">
        <w:rPr>
          <w:rFonts w:ascii="Times New Roman" w:hAnsi="Times New Roman" w:cs="Times New Roman"/>
          <w:sz w:val="24"/>
          <w:szCs w:val="24"/>
        </w:rPr>
        <w:t xml:space="preserve"> interpretive mechanism methodology. </w:t>
      </w:r>
      <w:r w:rsidR="007B0673" w:rsidRPr="007B0673">
        <w:rPr>
          <w:rFonts w:ascii="Times New Roman" w:hAnsi="Times New Roman" w:cs="Times New Roman"/>
          <w:sz w:val="24"/>
          <w:szCs w:val="24"/>
        </w:rPr>
        <w:t xml:space="preserve">The extent to which PSA dynamic measures mediate </w:t>
      </w:r>
      <w:r w:rsidR="004A6E9F">
        <w:rPr>
          <w:rFonts w:ascii="Times New Roman" w:hAnsi="Times New Roman" w:cs="Times New Roman"/>
          <w:sz w:val="24"/>
          <w:szCs w:val="24"/>
        </w:rPr>
        <w:t>survival outcomes across</w:t>
      </w:r>
      <w:r w:rsidR="007B0673" w:rsidRPr="007B0673">
        <w:rPr>
          <w:rFonts w:ascii="Times New Roman" w:hAnsi="Times New Roman" w:cs="Times New Roman"/>
          <w:sz w:val="24"/>
          <w:szCs w:val="24"/>
        </w:rPr>
        <w:t xml:space="preserve"> different treatment regimens has also not been adequately studied (Gordon et al., 2025; Kruczek et al., 2025; Srinivasan et al., 2025; Gallaher et al., 2025; Roy et al., 2024). This is particularly necessary in those spheres where a variety of treatment approaches are </w:t>
      </w:r>
      <w:r w:rsidR="004A6E9F">
        <w:rPr>
          <w:rFonts w:ascii="Times New Roman" w:hAnsi="Times New Roman" w:cs="Times New Roman"/>
          <w:sz w:val="24"/>
          <w:szCs w:val="24"/>
        </w:rPr>
        <w:t>available and can be enhanced through risk-stratification evaluation</w:t>
      </w:r>
      <w:r w:rsidR="007B0673" w:rsidRPr="007B0673">
        <w:rPr>
          <w:rFonts w:ascii="Times New Roman" w:hAnsi="Times New Roman" w:cs="Times New Roman"/>
          <w:sz w:val="24"/>
          <w:szCs w:val="24"/>
        </w:rPr>
        <w:t>.</w:t>
      </w:r>
      <w:r w:rsidR="007B0673">
        <w:rPr>
          <w:rFonts w:ascii="Times New Roman" w:hAnsi="Times New Roman" w:cs="Times New Roman"/>
          <w:sz w:val="24"/>
          <w:szCs w:val="24"/>
        </w:rPr>
        <w:t xml:space="preserve"> </w:t>
      </w:r>
      <w:r w:rsidRPr="00505647">
        <w:rPr>
          <w:rFonts w:ascii="Times New Roman" w:hAnsi="Times New Roman" w:cs="Times New Roman"/>
          <w:sz w:val="24"/>
          <w:szCs w:val="24"/>
        </w:rPr>
        <w:t xml:space="preserve">The current research study </w:t>
      </w:r>
      <w:r w:rsidR="00DD4155">
        <w:rPr>
          <w:rFonts w:ascii="Times New Roman" w:hAnsi="Times New Roman" w:cs="Times New Roman"/>
          <w:sz w:val="24"/>
          <w:szCs w:val="24"/>
        </w:rPr>
        <w:t>addresses the above shortcomings by using a combined modelling approach that focuses on survival outcomes</w:t>
      </w:r>
      <w:r w:rsidR="00B246D8">
        <w:rPr>
          <w:rFonts w:ascii="Times New Roman" w:hAnsi="Times New Roman" w:cs="Times New Roman"/>
          <w:sz w:val="24"/>
          <w:szCs w:val="24"/>
        </w:rPr>
        <w:t xml:space="preserve"> and treats the PSA processes as interrelated components</w:t>
      </w:r>
      <w:r w:rsidRPr="00505647">
        <w:rPr>
          <w:rFonts w:ascii="Times New Roman" w:hAnsi="Times New Roman" w:cs="Times New Roman"/>
          <w:sz w:val="24"/>
          <w:szCs w:val="24"/>
        </w:rPr>
        <w:t xml:space="preserve"> of the model. The strategy allows the model to </w:t>
      </w:r>
      <w:r w:rsidR="00DD4155">
        <w:rPr>
          <w:rFonts w:ascii="Times New Roman" w:hAnsi="Times New Roman" w:cs="Times New Roman"/>
          <w:sz w:val="24"/>
          <w:szCs w:val="24"/>
        </w:rPr>
        <w:t>dynamically derive insights into the influence of PSA process trajectories on mortality outcomes, while accounting for</w:t>
      </w:r>
      <w:r w:rsidRPr="00505647">
        <w:rPr>
          <w:rFonts w:ascii="Times New Roman" w:hAnsi="Times New Roman" w:cs="Times New Roman"/>
          <w:sz w:val="24"/>
          <w:szCs w:val="24"/>
        </w:rPr>
        <w:t xml:space="preserve"> informative censoring due to dropouts. The current study </w:t>
      </w:r>
      <w:r w:rsidR="00DD4155">
        <w:rPr>
          <w:rFonts w:ascii="Times New Roman" w:hAnsi="Times New Roman" w:cs="Times New Roman"/>
          <w:sz w:val="24"/>
          <w:szCs w:val="24"/>
        </w:rPr>
        <w:t xml:space="preserve">addresses a major modelling limitation observed in prostate cancer studies, focusing on modelling survival outcomes using the PSA process rather than traditional techniques that treat it as a single-stage process that culminates in end-stage events or </w:t>
      </w:r>
      <w:r w:rsidRPr="00505647">
        <w:rPr>
          <w:rFonts w:ascii="Times New Roman" w:hAnsi="Times New Roman" w:cs="Times New Roman"/>
          <w:sz w:val="24"/>
          <w:szCs w:val="24"/>
        </w:rPr>
        <w:t>death.</w:t>
      </w:r>
    </w:p>
    <w:p w14:paraId="708BE6C6" w14:textId="77777777" w:rsidR="00B96AFB" w:rsidRDefault="00B96AFB" w:rsidP="00505647">
      <w:pPr>
        <w:jc w:val="both"/>
        <w:rPr>
          <w:rFonts w:ascii="Times New Roman" w:hAnsi="Times New Roman" w:cs="Times New Roman"/>
          <w:sz w:val="24"/>
          <w:szCs w:val="24"/>
        </w:rPr>
      </w:pPr>
    </w:p>
    <w:p w14:paraId="7D554925" w14:textId="23222902" w:rsidR="00A52282" w:rsidRPr="00B96AFB" w:rsidRDefault="00A52282" w:rsidP="00505647">
      <w:pPr>
        <w:jc w:val="both"/>
        <w:rPr>
          <w:rFonts w:ascii="Times New Roman" w:hAnsi="Times New Roman" w:cs="Times New Roman"/>
          <w:b/>
          <w:bCs/>
          <w:sz w:val="24"/>
          <w:szCs w:val="24"/>
        </w:rPr>
      </w:pPr>
      <w:r w:rsidRPr="00B96AFB">
        <w:rPr>
          <w:rFonts w:ascii="Times New Roman" w:hAnsi="Times New Roman" w:cs="Times New Roman"/>
          <w:b/>
          <w:bCs/>
          <w:sz w:val="24"/>
          <w:szCs w:val="24"/>
        </w:rPr>
        <w:t>Materials and Methods</w:t>
      </w:r>
    </w:p>
    <w:p w14:paraId="744F886E" w14:textId="77777777" w:rsidR="006278D6" w:rsidRPr="00E664E6" w:rsidRDefault="00A52282" w:rsidP="006278D6">
      <w:pPr>
        <w:jc w:val="both"/>
        <w:rPr>
          <w:rFonts w:ascii="Times New Roman" w:hAnsi="Times New Roman" w:cs="Times New Roman"/>
          <w:sz w:val="24"/>
          <w:szCs w:val="24"/>
        </w:rPr>
      </w:pPr>
      <w:r w:rsidRPr="00505647">
        <w:rPr>
          <w:rFonts w:ascii="Times New Roman" w:hAnsi="Times New Roman" w:cs="Times New Roman"/>
          <w:sz w:val="24"/>
          <w:szCs w:val="24"/>
        </w:rPr>
        <w:t xml:space="preserve">A retrospective observational study design was </w:t>
      </w:r>
      <w:r w:rsidR="004F4A4C">
        <w:rPr>
          <w:rFonts w:ascii="Times New Roman" w:hAnsi="Times New Roman" w:cs="Times New Roman"/>
          <w:sz w:val="24"/>
          <w:szCs w:val="24"/>
        </w:rPr>
        <w:t>utilised</w:t>
      </w:r>
      <w:r w:rsidRPr="00505647">
        <w:rPr>
          <w:rFonts w:ascii="Times New Roman" w:hAnsi="Times New Roman" w:cs="Times New Roman"/>
          <w:sz w:val="24"/>
          <w:szCs w:val="24"/>
        </w:rPr>
        <w:t xml:space="preserve"> with a structured clinical dataset of patients with prostate cancer constructed for prognostic model building. This dataset consisted of 300 patients with 13 variables indexing demographic factors, </w:t>
      </w:r>
      <w:r w:rsidR="00B96AFB"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burden, treatment history, biomarker severity, and </w:t>
      </w:r>
      <w:r w:rsidR="004F4A4C">
        <w:rPr>
          <w:rFonts w:ascii="Times New Roman" w:hAnsi="Times New Roman" w:cs="Times New Roman"/>
          <w:sz w:val="24"/>
          <w:szCs w:val="24"/>
        </w:rPr>
        <w:t>time-to-event</w:t>
      </w:r>
      <w:r w:rsidRPr="00505647">
        <w:rPr>
          <w:rFonts w:ascii="Times New Roman" w:hAnsi="Times New Roman" w:cs="Times New Roman"/>
          <w:sz w:val="24"/>
          <w:szCs w:val="24"/>
        </w:rPr>
        <w:t xml:space="preserve"> outcomes. </w:t>
      </w:r>
      <w:r w:rsidR="006278D6" w:rsidRPr="00E664E6">
        <w:rPr>
          <w:rFonts w:ascii="Times New Roman" w:hAnsi="Times New Roman" w:cs="Times New Roman"/>
          <w:sz w:val="24"/>
          <w:szCs w:val="24"/>
        </w:rPr>
        <w:t xml:space="preserve">The </w:t>
      </w:r>
      <w:r w:rsidR="006278D6">
        <w:rPr>
          <w:rFonts w:ascii="Times New Roman" w:hAnsi="Times New Roman" w:cs="Times New Roman"/>
          <w:sz w:val="24"/>
          <w:szCs w:val="24"/>
        </w:rPr>
        <w:t xml:space="preserve">patients' ages ranged from 25 </w:t>
      </w:r>
      <w:r w:rsidR="006278D6" w:rsidRPr="00E664E6">
        <w:rPr>
          <w:rFonts w:ascii="Times New Roman" w:hAnsi="Times New Roman" w:cs="Times New Roman"/>
          <w:sz w:val="24"/>
          <w:szCs w:val="24"/>
        </w:rPr>
        <w:t>to 83 years. This broad age range includes cases of early adulthood</w:t>
      </w:r>
      <w:r w:rsidR="006278D6">
        <w:rPr>
          <w:rFonts w:ascii="Times New Roman" w:hAnsi="Times New Roman" w:cs="Times New Roman"/>
          <w:sz w:val="24"/>
          <w:szCs w:val="24"/>
        </w:rPr>
        <w:t xml:space="preserve"> and older patients, as it is also consistent with the epidemiology of prostate cancer as a disease with a steep age-related increase,</w:t>
      </w:r>
      <w:r w:rsidR="006278D6" w:rsidRPr="00E664E6">
        <w:rPr>
          <w:rFonts w:ascii="Times New Roman" w:hAnsi="Times New Roman" w:cs="Times New Roman"/>
          <w:sz w:val="24"/>
          <w:szCs w:val="24"/>
        </w:rPr>
        <w:t xml:space="preserve"> but that still </w:t>
      </w:r>
      <w:r w:rsidR="006278D6">
        <w:rPr>
          <w:rFonts w:ascii="Times New Roman" w:hAnsi="Times New Roman" w:cs="Times New Roman"/>
          <w:sz w:val="24"/>
          <w:szCs w:val="24"/>
        </w:rPr>
        <w:t>allows examining</w:t>
      </w:r>
      <w:r w:rsidR="006278D6" w:rsidRPr="00E664E6">
        <w:rPr>
          <w:rFonts w:ascii="Times New Roman" w:hAnsi="Times New Roman" w:cs="Times New Roman"/>
          <w:sz w:val="24"/>
          <w:szCs w:val="24"/>
        </w:rPr>
        <w:t xml:space="preserve"> the earlier onset presentations.</w:t>
      </w:r>
    </w:p>
    <w:p w14:paraId="22CED85F" w14:textId="5EA09532" w:rsidR="006278D6" w:rsidRDefault="006278D6" w:rsidP="00505647">
      <w:pPr>
        <w:jc w:val="both"/>
        <w:rPr>
          <w:rFonts w:ascii="Times New Roman" w:hAnsi="Times New Roman" w:cs="Times New Roman"/>
          <w:sz w:val="24"/>
          <w:szCs w:val="24"/>
        </w:rPr>
      </w:pPr>
      <w:r w:rsidRPr="00E664E6">
        <w:rPr>
          <w:rFonts w:ascii="Times New Roman" w:hAnsi="Times New Roman" w:cs="Times New Roman"/>
          <w:sz w:val="24"/>
          <w:szCs w:val="24"/>
        </w:rPr>
        <w:t xml:space="preserve">The duration </w:t>
      </w:r>
      <w:r>
        <w:rPr>
          <w:rFonts w:ascii="Times New Roman" w:hAnsi="Times New Roman" w:cs="Times New Roman"/>
          <w:sz w:val="24"/>
          <w:szCs w:val="24"/>
        </w:rPr>
        <w:t>of the prostate cancer study, as indicated by the observed follow-up and survival time variables, was approximately 10 years</w:t>
      </w:r>
      <w:r w:rsidRPr="00E664E6">
        <w:rPr>
          <w:rFonts w:ascii="Times New Roman" w:hAnsi="Times New Roman" w:cs="Times New Roman"/>
          <w:sz w:val="24"/>
          <w:szCs w:val="24"/>
        </w:rPr>
        <w:t xml:space="preserve">. In particular, the survival and follow-up rates </w:t>
      </w:r>
      <w:r>
        <w:rPr>
          <w:rFonts w:ascii="Times New Roman" w:hAnsi="Times New Roman" w:cs="Times New Roman"/>
          <w:sz w:val="24"/>
          <w:szCs w:val="24"/>
        </w:rPr>
        <w:t>reached almost 120 months, indicating that the analysis can be considered a longitudinal window of</w:t>
      </w:r>
      <w:r w:rsidRPr="00E664E6">
        <w:rPr>
          <w:rFonts w:ascii="Times New Roman" w:hAnsi="Times New Roman" w:cs="Times New Roman"/>
          <w:sz w:val="24"/>
          <w:szCs w:val="24"/>
        </w:rPr>
        <w:t xml:space="preserve"> approximately 10 years.</w:t>
      </w:r>
      <w:r w:rsidR="001018AB">
        <w:rPr>
          <w:rFonts w:ascii="Times New Roman" w:hAnsi="Times New Roman" w:cs="Times New Roman"/>
          <w:sz w:val="24"/>
          <w:szCs w:val="24"/>
        </w:rPr>
        <w:t xml:space="preserve"> </w:t>
      </w:r>
      <w:r w:rsidRPr="00E664E6">
        <w:rPr>
          <w:rFonts w:ascii="Times New Roman" w:hAnsi="Times New Roman" w:cs="Times New Roman"/>
          <w:sz w:val="24"/>
          <w:szCs w:val="24"/>
        </w:rPr>
        <w:t xml:space="preserve">This time coverage is adequate to assess short-term and longitudinal disease progression, treatment response, and </w:t>
      </w:r>
      <w:r>
        <w:rPr>
          <w:rFonts w:ascii="Times New Roman" w:hAnsi="Times New Roman" w:cs="Times New Roman"/>
          <w:sz w:val="24"/>
          <w:szCs w:val="24"/>
        </w:rPr>
        <w:t>mortality risk, and it provides the framework for longitudinal, survival, and joint modelling methods, which depend on protracted follow-up to detect behavioural</w:t>
      </w:r>
      <w:r w:rsidRPr="00E664E6">
        <w:rPr>
          <w:rFonts w:ascii="Times New Roman" w:hAnsi="Times New Roman" w:cs="Times New Roman"/>
          <w:sz w:val="24"/>
          <w:szCs w:val="24"/>
        </w:rPr>
        <w:t xml:space="preserve"> changes in biomarkers and time-to-event outcomes.</w:t>
      </w:r>
    </w:p>
    <w:p w14:paraId="194CE974" w14:textId="42CB477E" w:rsidR="00BC64C9" w:rsidRPr="00BC64C9" w:rsidRDefault="00A52282" w:rsidP="00BC64C9">
      <w:pPr>
        <w:jc w:val="both"/>
        <w:rPr>
          <w:rFonts w:ascii="Times New Roman" w:hAnsi="Times New Roman" w:cs="Times New Roman"/>
          <w:sz w:val="24"/>
          <w:szCs w:val="24"/>
        </w:rPr>
      </w:pPr>
      <w:r w:rsidRPr="00505647">
        <w:rPr>
          <w:rFonts w:ascii="Times New Roman" w:hAnsi="Times New Roman" w:cs="Times New Roman"/>
          <w:sz w:val="24"/>
          <w:szCs w:val="24"/>
        </w:rPr>
        <w:t xml:space="preserve">The variable for the patient’s Age was a continuous numeric variable, expressed in years. The Cancer Stage variable represented </w:t>
      </w:r>
      <w:r w:rsidR="008D0F0D">
        <w:rPr>
          <w:rFonts w:ascii="Times New Roman" w:hAnsi="Times New Roman" w:cs="Times New Roman"/>
          <w:sz w:val="24"/>
          <w:szCs w:val="24"/>
        </w:rPr>
        <w:t>cancer progression and was divided</w:t>
      </w:r>
      <w:r w:rsidR="004F4A4C">
        <w:rPr>
          <w:rFonts w:ascii="Times New Roman" w:hAnsi="Times New Roman" w:cs="Times New Roman"/>
          <w:sz w:val="24"/>
          <w:szCs w:val="24"/>
        </w:rPr>
        <w:t xml:space="preserve"> into</w:t>
      </w:r>
      <w:r w:rsidRPr="00505647">
        <w:rPr>
          <w:rFonts w:ascii="Times New Roman" w:hAnsi="Times New Roman" w:cs="Times New Roman"/>
          <w:sz w:val="24"/>
          <w:szCs w:val="24"/>
        </w:rPr>
        <w:t xml:space="preserve"> four categories (Stage I, Stage II, Stage III, and Stage IV). The </w:t>
      </w:r>
      <w:r w:rsidR="00B96AFB"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Size (in cm) variable indicated the size of the principal </w:t>
      </w:r>
      <w:r w:rsidR="00B96AFB"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which was a continuous numeric variable. The Lymph Nodes Involved variable indicated the burden of the lymph nodes, </w:t>
      </w:r>
      <w:r w:rsidR="004F4A4C">
        <w:rPr>
          <w:rFonts w:ascii="Times New Roman" w:hAnsi="Times New Roman" w:cs="Times New Roman"/>
          <w:sz w:val="24"/>
          <w:szCs w:val="24"/>
        </w:rPr>
        <w:t>a non-negative integer</w:t>
      </w:r>
      <w:r w:rsidRPr="00505647">
        <w:rPr>
          <w:rFonts w:ascii="Times New Roman" w:hAnsi="Times New Roman" w:cs="Times New Roman"/>
          <w:sz w:val="24"/>
          <w:szCs w:val="24"/>
        </w:rPr>
        <w:t xml:space="preserve">. The Gleason Score variable indicated the aggressiveness of cancer, which was a continuous numeric variable. </w:t>
      </w:r>
      <w:r w:rsidR="00BC64C9" w:rsidRPr="00BC64C9">
        <w:rPr>
          <w:rFonts w:ascii="Times New Roman" w:hAnsi="Times New Roman" w:cs="Times New Roman"/>
          <w:sz w:val="24"/>
          <w:szCs w:val="24"/>
        </w:rPr>
        <w:t xml:space="preserve">The variables </w:t>
      </w:r>
      <w:r w:rsidR="00393A09">
        <w:rPr>
          <w:rFonts w:ascii="Times New Roman" w:hAnsi="Times New Roman" w:cs="Times New Roman"/>
          <w:sz w:val="24"/>
          <w:szCs w:val="24"/>
        </w:rPr>
        <w:t xml:space="preserve">for Chemotherapy, Radiation Therapy, and Hormone Therapy were the types of cancer treatment, </w:t>
      </w:r>
      <w:r w:rsidR="00393A09">
        <w:rPr>
          <w:rFonts w:ascii="Times New Roman" w:hAnsi="Times New Roman" w:cs="Times New Roman"/>
          <w:sz w:val="24"/>
          <w:szCs w:val="24"/>
        </w:rPr>
        <w:lastRenderedPageBreak/>
        <w:t>each binary (Yes/No</w:t>
      </w:r>
      <w:r w:rsidR="00BC64C9" w:rsidRPr="00BC64C9">
        <w:rPr>
          <w:rFonts w:ascii="Times New Roman" w:hAnsi="Times New Roman" w:cs="Times New Roman"/>
          <w:sz w:val="24"/>
          <w:szCs w:val="24"/>
        </w:rPr>
        <w:t xml:space="preserve">). The PSA Levels variable </w:t>
      </w:r>
      <w:r w:rsidR="00921ACB">
        <w:rPr>
          <w:rFonts w:ascii="Times New Roman" w:hAnsi="Times New Roman" w:cs="Times New Roman"/>
          <w:sz w:val="24"/>
          <w:szCs w:val="24"/>
        </w:rPr>
        <w:t>indicated</w:t>
      </w:r>
      <w:r w:rsidR="00C062BF">
        <w:rPr>
          <w:rFonts w:ascii="Times New Roman" w:hAnsi="Times New Roman" w:cs="Times New Roman"/>
          <w:sz w:val="24"/>
          <w:szCs w:val="24"/>
        </w:rPr>
        <w:t xml:space="preserve"> the concentration of the Prostate cancer biomarker, with</w:t>
      </w:r>
      <w:r w:rsidR="00BC64C9" w:rsidRPr="00BC64C9">
        <w:rPr>
          <w:rFonts w:ascii="Times New Roman" w:hAnsi="Times New Roman" w:cs="Times New Roman"/>
          <w:sz w:val="24"/>
          <w:szCs w:val="24"/>
        </w:rPr>
        <w:t xml:space="preserve"> three classes (Low, Moderate, High).</w:t>
      </w:r>
    </w:p>
    <w:p w14:paraId="2920D85E" w14:textId="3BF83EAC" w:rsidR="00A52282" w:rsidRPr="00505647" w:rsidRDefault="00BC64C9" w:rsidP="00505647">
      <w:pPr>
        <w:jc w:val="both"/>
        <w:rPr>
          <w:rFonts w:ascii="Times New Roman" w:hAnsi="Times New Roman" w:cs="Times New Roman"/>
          <w:sz w:val="24"/>
          <w:szCs w:val="24"/>
        </w:rPr>
      </w:pPr>
      <w:r w:rsidRPr="00BC64C9">
        <w:rPr>
          <w:rFonts w:ascii="Times New Roman" w:hAnsi="Times New Roman" w:cs="Times New Roman"/>
          <w:sz w:val="24"/>
          <w:szCs w:val="24"/>
        </w:rPr>
        <w:t xml:space="preserve">Survival, </w:t>
      </w:r>
      <w:r w:rsidR="00C062BF">
        <w:rPr>
          <w:rFonts w:ascii="Times New Roman" w:hAnsi="Times New Roman" w:cs="Times New Roman"/>
          <w:sz w:val="24"/>
          <w:szCs w:val="24"/>
        </w:rPr>
        <w:t>the endpoint of interest, was measured as Survival Time (Months) and/or Follow-up Time (Months), both</w:t>
      </w:r>
      <w:r w:rsidRPr="00BC64C9">
        <w:rPr>
          <w:rFonts w:ascii="Times New Roman" w:hAnsi="Times New Roman" w:cs="Times New Roman"/>
          <w:sz w:val="24"/>
          <w:szCs w:val="24"/>
        </w:rPr>
        <w:t xml:space="preserve"> continuous numeric variables.</w:t>
      </w:r>
      <w:r w:rsidR="005805E3">
        <w:rPr>
          <w:rFonts w:ascii="Times New Roman" w:hAnsi="Times New Roman" w:cs="Times New Roman"/>
          <w:sz w:val="24"/>
          <w:szCs w:val="24"/>
        </w:rPr>
        <w:t xml:space="preserve"> </w:t>
      </w:r>
      <w:r w:rsidR="00A52282" w:rsidRPr="00505647">
        <w:rPr>
          <w:rFonts w:ascii="Times New Roman" w:hAnsi="Times New Roman" w:cs="Times New Roman"/>
          <w:sz w:val="24"/>
          <w:szCs w:val="24"/>
        </w:rPr>
        <w:t xml:space="preserve">The Event </w:t>
      </w:r>
      <w:r w:rsidR="004F4A4C">
        <w:rPr>
          <w:rFonts w:ascii="Times New Roman" w:hAnsi="Times New Roman" w:cs="Times New Roman"/>
          <w:sz w:val="24"/>
          <w:szCs w:val="24"/>
        </w:rPr>
        <w:t>variable was a binary indicator: Event = 1 if the endpoint occurred during follow-up, and Event</w:t>
      </w:r>
      <w:r w:rsidR="00DD4155">
        <w:rPr>
          <w:rFonts w:ascii="Times New Roman" w:hAnsi="Times New Roman" w:cs="Times New Roman"/>
          <w:sz w:val="24"/>
          <w:szCs w:val="24"/>
        </w:rPr>
        <w:t xml:space="preserve"> =</w:t>
      </w:r>
      <w:r w:rsidR="004F4A4C">
        <w:rPr>
          <w:rFonts w:ascii="Times New Roman" w:hAnsi="Times New Roman" w:cs="Times New Roman"/>
          <w:sz w:val="24"/>
          <w:szCs w:val="24"/>
        </w:rPr>
        <w:t xml:space="preserve"> 0 if the observation was right-censored</w:t>
      </w:r>
      <w:r w:rsidR="00A52282" w:rsidRPr="00505647">
        <w:rPr>
          <w:rFonts w:ascii="Times New Roman" w:hAnsi="Times New Roman" w:cs="Times New Roman"/>
          <w:sz w:val="24"/>
          <w:szCs w:val="24"/>
        </w:rPr>
        <w:t xml:space="preserve">. The inclusion of right-censoring was considered </w:t>
      </w:r>
      <w:r w:rsidR="004F4A4C">
        <w:rPr>
          <w:rFonts w:ascii="Times New Roman" w:hAnsi="Times New Roman" w:cs="Times New Roman"/>
          <w:sz w:val="24"/>
          <w:szCs w:val="24"/>
        </w:rPr>
        <w:t>non-informative given the covariates in the standalone survival models. It was</w:t>
      </w:r>
      <w:r w:rsidR="00A52282" w:rsidRPr="00505647">
        <w:rPr>
          <w:rFonts w:ascii="Times New Roman" w:hAnsi="Times New Roman" w:cs="Times New Roman"/>
          <w:sz w:val="24"/>
          <w:szCs w:val="24"/>
        </w:rPr>
        <w:t xml:space="preserve"> treated more flexibly within the joint </w:t>
      </w:r>
      <w:r w:rsidR="00B96AFB" w:rsidRPr="00505647">
        <w:rPr>
          <w:rFonts w:ascii="Times New Roman" w:hAnsi="Times New Roman" w:cs="Times New Roman"/>
          <w:sz w:val="24"/>
          <w:szCs w:val="24"/>
        </w:rPr>
        <w:t>modelling</w:t>
      </w:r>
      <w:r w:rsidR="00A52282" w:rsidRPr="00505647">
        <w:rPr>
          <w:rFonts w:ascii="Times New Roman" w:hAnsi="Times New Roman" w:cs="Times New Roman"/>
          <w:sz w:val="24"/>
          <w:szCs w:val="24"/>
        </w:rPr>
        <w:t xml:space="preserve"> framework</w:t>
      </w:r>
      <w:r w:rsidR="004F4A4C">
        <w:rPr>
          <w:rFonts w:ascii="Times New Roman" w:hAnsi="Times New Roman" w:cs="Times New Roman"/>
          <w:sz w:val="24"/>
          <w:szCs w:val="24"/>
        </w:rPr>
        <w:t>,</w:t>
      </w:r>
      <w:r w:rsidR="00A52282" w:rsidRPr="00505647">
        <w:rPr>
          <w:rFonts w:ascii="Times New Roman" w:hAnsi="Times New Roman" w:cs="Times New Roman"/>
          <w:sz w:val="24"/>
          <w:szCs w:val="24"/>
        </w:rPr>
        <w:t xml:space="preserve"> where there was correlation between the longitudinal biomarker process and event time through shared random effects.</w:t>
      </w:r>
    </w:p>
    <w:p w14:paraId="2A7AC614" w14:textId="77777777" w:rsidR="00407294" w:rsidRPr="00407294" w:rsidRDefault="00407294" w:rsidP="00407294">
      <w:pPr>
        <w:jc w:val="both"/>
        <w:rPr>
          <w:rFonts w:ascii="Times New Roman" w:hAnsi="Times New Roman" w:cs="Times New Roman"/>
          <w:sz w:val="24"/>
          <w:szCs w:val="24"/>
        </w:rPr>
      </w:pPr>
      <w:r w:rsidRPr="00407294">
        <w:rPr>
          <w:rFonts w:ascii="Times New Roman" w:hAnsi="Times New Roman" w:cs="Times New Roman"/>
          <w:sz w:val="24"/>
          <w:szCs w:val="24"/>
        </w:rPr>
        <w:t>Data Management Pre-processing.</w:t>
      </w:r>
    </w:p>
    <w:p w14:paraId="24753512" w14:textId="1FA8E271" w:rsidR="00A52282" w:rsidRPr="00505647" w:rsidRDefault="00407294" w:rsidP="00407294">
      <w:pPr>
        <w:jc w:val="both"/>
        <w:rPr>
          <w:rFonts w:ascii="Times New Roman" w:hAnsi="Times New Roman" w:cs="Times New Roman"/>
          <w:sz w:val="24"/>
          <w:szCs w:val="24"/>
        </w:rPr>
      </w:pPr>
      <w:r w:rsidRPr="00407294">
        <w:rPr>
          <w:rFonts w:ascii="Times New Roman" w:hAnsi="Times New Roman" w:cs="Times New Roman"/>
          <w:sz w:val="24"/>
          <w:szCs w:val="24"/>
        </w:rPr>
        <w:t xml:space="preserve">Missing data, impossible data, and </w:t>
      </w:r>
      <w:r w:rsidR="00393A09">
        <w:rPr>
          <w:rFonts w:ascii="Times New Roman" w:hAnsi="Times New Roman" w:cs="Times New Roman"/>
          <w:sz w:val="24"/>
          <w:szCs w:val="24"/>
        </w:rPr>
        <w:t xml:space="preserve">consistency between time variables and event status </w:t>
      </w:r>
      <w:r w:rsidRPr="00407294">
        <w:rPr>
          <w:rFonts w:ascii="Times New Roman" w:hAnsi="Times New Roman" w:cs="Times New Roman"/>
          <w:sz w:val="24"/>
          <w:szCs w:val="24"/>
        </w:rPr>
        <w:t xml:space="preserve">were verified. </w:t>
      </w:r>
      <w:r w:rsidR="00A52282" w:rsidRPr="00505647">
        <w:rPr>
          <w:rFonts w:ascii="Times New Roman" w:hAnsi="Times New Roman" w:cs="Times New Roman"/>
          <w:sz w:val="24"/>
          <w:szCs w:val="24"/>
        </w:rPr>
        <w:t xml:space="preserve">Continuous predictors are retained in their raw fashion for ease of interpretation. Time was </w:t>
      </w:r>
      <w:r w:rsidR="004F4A4C">
        <w:rPr>
          <w:rFonts w:ascii="Times New Roman" w:hAnsi="Times New Roman" w:cs="Times New Roman"/>
          <w:sz w:val="24"/>
          <w:szCs w:val="24"/>
        </w:rPr>
        <w:t>centred</w:t>
      </w:r>
      <w:r w:rsidR="00A52282" w:rsidRPr="00505647">
        <w:rPr>
          <w:rFonts w:ascii="Times New Roman" w:hAnsi="Times New Roman" w:cs="Times New Roman"/>
          <w:sz w:val="24"/>
          <w:szCs w:val="24"/>
        </w:rPr>
        <w:t xml:space="preserve"> where necessary for numeric stability. Cancer Stage was converted to an ordered factor for ease of interpretation. PSA </w:t>
      </w:r>
      <w:r w:rsidR="004F4A4C">
        <w:rPr>
          <w:rFonts w:ascii="Times New Roman" w:hAnsi="Times New Roman" w:cs="Times New Roman"/>
          <w:sz w:val="24"/>
          <w:szCs w:val="24"/>
        </w:rPr>
        <w:t>levels were converted to ordinal severity levels</w:t>
      </w:r>
      <w:r w:rsidR="00A52282" w:rsidRPr="00505647">
        <w:rPr>
          <w:rFonts w:ascii="Times New Roman" w:hAnsi="Times New Roman" w:cs="Times New Roman"/>
          <w:sz w:val="24"/>
          <w:szCs w:val="24"/>
        </w:rPr>
        <w:t xml:space="preserve"> to model over time. The coding system was as follows: </w:t>
      </w:r>
      <w:r w:rsidR="004F4A4C">
        <w:rPr>
          <w:rFonts w:ascii="Times New Roman" w:hAnsi="Times New Roman" w:cs="Times New Roman"/>
          <w:sz w:val="24"/>
          <w:szCs w:val="24"/>
        </w:rPr>
        <w:t>Low = 1, Moderate = 2, High = 3</w:t>
      </w:r>
      <w:r w:rsidR="00A52282" w:rsidRPr="00505647">
        <w:rPr>
          <w:rFonts w:ascii="Times New Roman" w:hAnsi="Times New Roman" w:cs="Times New Roman"/>
          <w:sz w:val="24"/>
          <w:szCs w:val="24"/>
        </w:rPr>
        <w:t xml:space="preserve">. This ordinal coding was </w:t>
      </w:r>
      <w:r w:rsidR="004F4A4C">
        <w:rPr>
          <w:rFonts w:ascii="Times New Roman" w:hAnsi="Times New Roman" w:cs="Times New Roman"/>
          <w:sz w:val="24"/>
          <w:szCs w:val="24"/>
        </w:rPr>
        <w:t>conceptualised as an indicator of severity to approximate an underlying continuous biomarker process, given its convenience for modelling</w:t>
      </w:r>
      <w:r w:rsidR="00A52282" w:rsidRPr="00505647">
        <w:rPr>
          <w:rFonts w:ascii="Times New Roman" w:hAnsi="Times New Roman" w:cs="Times New Roman"/>
          <w:sz w:val="24"/>
          <w:szCs w:val="24"/>
        </w:rPr>
        <w:t xml:space="preserve">. Treatment dummy variables were </w:t>
      </w:r>
      <w:r w:rsidR="004F4A4C">
        <w:rPr>
          <w:rFonts w:ascii="Times New Roman" w:hAnsi="Times New Roman" w:cs="Times New Roman"/>
          <w:sz w:val="24"/>
          <w:szCs w:val="24"/>
        </w:rPr>
        <w:t>converted to binary factors, with the no-reference category</w:t>
      </w:r>
      <w:r w:rsidR="00A52282" w:rsidRPr="00505647">
        <w:rPr>
          <w:rFonts w:ascii="Times New Roman" w:hAnsi="Times New Roman" w:cs="Times New Roman"/>
          <w:sz w:val="24"/>
          <w:szCs w:val="24"/>
        </w:rPr>
        <w:t>.</w:t>
      </w:r>
    </w:p>
    <w:p w14:paraId="3F81A7EA" w14:textId="64E94DF5" w:rsidR="00A52282" w:rsidRPr="00B246D8" w:rsidRDefault="00A52282" w:rsidP="00505647">
      <w:pPr>
        <w:jc w:val="both"/>
        <w:rPr>
          <w:rFonts w:ascii="Times New Roman" w:hAnsi="Times New Roman" w:cs="Times New Roman"/>
          <w:sz w:val="24"/>
          <w:szCs w:val="24"/>
        </w:rPr>
      </w:pPr>
      <w:r w:rsidRPr="00B246D8">
        <w:rPr>
          <w:rFonts w:ascii="Times New Roman" w:hAnsi="Times New Roman" w:cs="Times New Roman"/>
          <w:sz w:val="24"/>
          <w:szCs w:val="24"/>
        </w:rPr>
        <w:t xml:space="preserve">Statistical and Mathematical </w:t>
      </w:r>
      <w:r w:rsidR="004F4A4C" w:rsidRPr="00B246D8">
        <w:rPr>
          <w:rFonts w:ascii="Times New Roman" w:hAnsi="Times New Roman" w:cs="Times New Roman"/>
          <w:sz w:val="24"/>
          <w:szCs w:val="24"/>
        </w:rPr>
        <w:t>Modelling</w:t>
      </w:r>
      <w:r w:rsidRPr="00B246D8">
        <w:rPr>
          <w:rFonts w:ascii="Times New Roman" w:hAnsi="Times New Roman" w:cs="Times New Roman"/>
          <w:sz w:val="24"/>
          <w:szCs w:val="24"/>
        </w:rPr>
        <w:t xml:space="preserve"> Framework</w:t>
      </w:r>
    </w:p>
    <w:p w14:paraId="463799B4" w14:textId="43C8B2D0"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analysis </w:t>
      </w:r>
      <w:r w:rsidR="004F4A4C">
        <w:rPr>
          <w:rFonts w:ascii="Times New Roman" w:hAnsi="Times New Roman" w:cs="Times New Roman"/>
          <w:sz w:val="24"/>
          <w:szCs w:val="24"/>
        </w:rPr>
        <w:t>utilised a coherent modelling</w:t>
      </w:r>
      <w:r w:rsidRPr="00505647">
        <w:rPr>
          <w:rFonts w:ascii="Times New Roman" w:hAnsi="Times New Roman" w:cs="Times New Roman"/>
          <w:sz w:val="24"/>
          <w:szCs w:val="24"/>
        </w:rPr>
        <w:t xml:space="preserve"> process</w:t>
      </w:r>
      <w:r w:rsidR="004F4A4C">
        <w:rPr>
          <w:rFonts w:ascii="Times New Roman" w:hAnsi="Times New Roman" w:cs="Times New Roman"/>
          <w:sz w:val="24"/>
          <w:szCs w:val="24"/>
        </w:rPr>
        <w:t xml:space="preserve"> that reflected the research aim to connect PSA dynamics over time to survival outcomes, after considering weaknesses in static and two-stage models outlined in</w:t>
      </w:r>
      <w:r w:rsidRPr="00505647">
        <w:rPr>
          <w:rFonts w:ascii="Times New Roman" w:hAnsi="Times New Roman" w:cs="Times New Roman"/>
          <w:sz w:val="24"/>
          <w:szCs w:val="24"/>
        </w:rPr>
        <w:t xml:space="preserve"> other works. The models developed include three </w:t>
      </w:r>
      <w:r w:rsidR="004F4A4C">
        <w:rPr>
          <w:rFonts w:ascii="Times New Roman" w:hAnsi="Times New Roman" w:cs="Times New Roman"/>
          <w:sz w:val="24"/>
          <w:szCs w:val="24"/>
        </w:rPr>
        <w:t>that complement each other: an ordinal model to describe longitudinal changes in PSA severity, an event model using</w:t>
      </w:r>
      <w:r w:rsidRPr="00505647">
        <w:rPr>
          <w:rFonts w:ascii="Times New Roman" w:hAnsi="Times New Roman" w:cs="Times New Roman"/>
          <w:sz w:val="24"/>
          <w:szCs w:val="24"/>
        </w:rPr>
        <w:t xml:space="preserve"> the Cox proportional hazards model to describe survival, and a joint model that combines both.</w:t>
      </w:r>
    </w:p>
    <w:p w14:paraId="5E10612F" w14:textId="3CD34777"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Longitudinal </w:t>
      </w:r>
      <w:r w:rsidR="004F4A4C"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Mixed-effect Model for PSA </w:t>
      </w:r>
      <w:r w:rsidR="004F4A4C" w:rsidRPr="00505647">
        <w:rPr>
          <w:rFonts w:ascii="Times New Roman" w:hAnsi="Times New Roman" w:cs="Times New Roman"/>
          <w:sz w:val="24"/>
          <w:szCs w:val="24"/>
        </w:rPr>
        <w:t>Severity</w:t>
      </w:r>
    </w:p>
    <w:p w14:paraId="1D026D0F" w14:textId="0BF93420" w:rsidR="008F343D" w:rsidRDefault="00EB4293" w:rsidP="00EB4293">
      <w:pPr>
        <w:pStyle w:val="FirstParagraph"/>
        <w:rPr>
          <w:rFonts w:ascii="Times New Roman" w:hAnsi="Times New Roman" w:cs="Times New Roman"/>
        </w:rPr>
      </w:pPr>
      <w:r w:rsidRPr="00D34FC9">
        <w:rPr>
          <w:rFonts w:ascii="Times New Roman" w:hAnsi="Times New Roman" w:cs="Times New Roman"/>
        </w:rPr>
        <w:t xml:space="preserve">Longitudinal PSA severity was </w:t>
      </w:r>
      <w:r w:rsidR="008F343D">
        <w:rPr>
          <w:rFonts w:ascii="Times New Roman" w:hAnsi="Times New Roman" w:cs="Times New Roman"/>
        </w:rPr>
        <w:t>modelled</w:t>
      </w:r>
      <w:r w:rsidRPr="00D34FC9">
        <w:rPr>
          <w:rFonts w:ascii="Times New Roman" w:hAnsi="Times New Roman" w:cs="Times New Roman"/>
        </w:rPr>
        <w:t xml:space="preserve"> as a patient-specific trajectory over time with random intercept and random slope components to account for within-patient correlation and heterogeneity. </w:t>
      </w:r>
    </w:p>
    <w:p w14:paraId="21A4F1EB" w14:textId="5FFC8096" w:rsidR="00EB4293" w:rsidRPr="00D34FC9" w:rsidRDefault="00EB4293" w:rsidP="00EB4293">
      <w:pPr>
        <w:pStyle w:val="FirstParagraph"/>
        <w:rPr>
          <w:rFonts w:ascii="Times New Roman" w:hAnsi="Times New Roman" w:cs="Times New Roman"/>
        </w:rPr>
      </w:pPr>
      <w:r w:rsidRPr="00D34FC9">
        <w:rPr>
          <w:rFonts w:ascii="Times New Roman" w:hAnsi="Times New Roman" w:cs="Times New Roman"/>
        </w:rPr>
        <w:t xml:space="preserve">Let </w:t>
      </w: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oMath>
      <w:r w:rsidRPr="00D34FC9">
        <w:rPr>
          <w:rFonts w:ascii="Times New Roman" w:hAnsi="Times New Roman" w:cs="Times New Roman"/>
        </w:rPr>
        <w:t xml:space="preserve"> denote the PSA severity score for </w:t>
      </w:r>
      <w:r w:rsidR="008F343D">
        <w:rPr>
          <w:rFonts w:ascii="Times New Roman" w:hAnsi="Times New Roman" w:cs="Times New Roman"/>
        </w:rPr>
        <w:t xml:space="preserve">the </w:t>
      </w:r>
      <w:r w:rsidRPr="00D34FC9">
        <w:rPr>
          <w:rFonts w:ascii="Times New Roman" w:hAnsi="Times New Roman" w:cs="Times New Roman"/>
        </w:rPr>
        <w:t xml:space="preserve">patient </w:t>
      </w:r>
      <m:oMath>
        <m:r>
          <w:rPr>
            <w:rFonts w:ascii="Cambria Math" w:hAnsi="Cambria Math" w:cs="Times New Roman"/>
          </w:rPr>
          <m:t>i</m:t>
        </m:r>
      </m:oMath>
      <w:r w:rsidRPr="00D34FC9">
        <w:rPr>
          <w:rFonts w:ascii="Times New Roman" w:hAnsi="Times New Roman" w:cs="Times New Roman"/>
        </w:rPr>
        <w:t xml:space="preserve"> at observation time </w:t>
      </w:r>
      <m:oMath>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oMath>
      <w:r w:rsidRPr="00D34FC9">
        <w:rPr>
          <w:rFonts w:ascii="Times New Roman" w:hAnsi="Times New Roman" w:cs="Times New Roman"/>
        </w:rPr>
        <w:t xml:space="preserve">, with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N</m:t>
        </m:r>
      </m:oMath>
      <w:r w:rsidRPr="00D34FC9">
        <w:rPr>
          <w:rFonts w:ascii="Times New Roman" w:hAnsi="Times New Roman" w:cs="Times New Roman"/>
        </w:rPr>
        <w:t xml:space="preserve"> and </w:t>
      </w:r>
      <m:oMath>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i</m:t>
            </m:r>
          </m:sub>
        </m:sSub>
      </m:oMath>
      <w:r w:rsidRPr="00D34FC9">
        <w:rPr>
          <w:rFonts w:ascii="Times New Roman" w:hAnsi="Times New Roman" w:cs="Times New Roman"/>
        </w:rPr>
        <w:t>. A mixed-effects representation was specified as</w:t>
      </w:r>
    </w:p>
    <w:p w14:paraId="4FE19AEA" w14:textId="70BD7FEF" w:rsidR="00EB4293" w:rsidRPr="00D34FC9" w:rsidRDefault="00486986"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ij</m:t>
            </m:r>
          </m:sub>
        </m:sSub>
        <m:r>
          <m:rPr>
            <m:sty m:val="p"/>
          </m:rPr>
          <w:rPr>
            <w:rFonts w:ascii="Cambria Math" w:hAnsi="Cambria Math" w:cs="Times New Roman"/>
          </w:rPr>
          <m:t>,</m:t>
        </m:r>
      </m:oMath>
      <w:r w:rsidR="00EB4293" w:rsidRPr="00D34FC9">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ij</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x</m:t>
            </m:r>
          </m:e>
          <m:sub>
            <m:r>
              <w:rPr>
                <w:rFonts w:ascii="Cambria Math" w:hAnsi="Cambria Math" w:cs="Times New Roman"/>
              </w:rPr>
              <m:t>ij</m:t>
            </m:r>
          </m:sub>
          <m:sup>
            <m:r>
              <m:rPr>
                <m:sty m:val="p"/>
              </m:rPr>
              <w:rPr>
                <w:rFonts w:ascii="Cambria Math" w:hAnsi="Cambria Math" w:cs="Times New Roman"/>
              </w:rPr>
              <m:t>⊤</m:t>
            </m:r>
          </m:sup>
        </m:sSubSup>
        <m:r>
          <m:rPr>
            <m:sty m:val="b"/>
          </m:rPr>
          <w:rPr>
            <w:rFonts w:ascii="Cambria Math" w:hAnsi="Cambria Math" w:cs="Times New Roman"/>
          </w:rPr>
          <m:t>β</m:t>
        </m:r>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z</m:t>
            </m:r>
          </m:e>
          <m:sub>
            <m:r>
              <w:rPr>
                <w:rFonts w:ascii="Cambria Math" w:hAnsi="Cambria Math" w:cs="Times New Roman"/>
              </w:rPr>
              <m:t>ij</m:t>
            </m:r>
          </m:sub>
          <m:sup>
            <m:r>
              <m:rPr>
                <m:sty m:val="p"/>
              </m:rPr>
              <w:rPr>
                <w:rFonts w:ascii="Cambria Math" w:hAnsi="Cambria Math" w:cs="Times New Roman"/>
              </w:rPr>
              <m:t>⊤</m:t>
            </m:r>
          </m:sup>
        </m:sSubSup>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r>
          <w:rPr>
            <w:rFonts w:ascii="Cambria Math" w:hAnsi="Cambria Math" w:cs="Times New Roman"/>
          </w:rPr>
          <m:t>.</m:t>
        </m:r>
      </m:oMath>
      <w:r w:rsidR="008F343D">
        <w:rPr>
          <w:rFonts w:ascii="Times New Roman" w:eastAsiaTheme="minorEastAsia" w:hAnsi="Times New Roman" w:cs="Times New Roman"/>
        </w:rPr>
        <w:t xml:space="preserve"> ………………………………….. (1)</w:t>
      </w:r>
    </w:p>
    <w:p w14:paraId="4E8B951D" w14:textId="73C18A48" w:rsidR="00EB4293" w:rsidRPr="00D34FC9" w:rsidRDefault="008F343D" w:rsidP="00AB00DB">
      <w:pPr>
        <w:pStyle w:val="FirstParagraph"/>
        <w:rPr>
          <w:rFonts w:ascii="Times New Roman" w:hAnsi="Times New Roman" w:cs="Times New Roman"/>
        </w:rPr>
      </w:pPr>
      <w:r>
        <w:rPr>
          <w:rFonts w:ascii="Times New Roman" w:hAnsi="Times New Roman" w:cs="Times New Roman"/>
        </w:rPr>
        <w:t>W</w:t>
      </w:r>
      <w:r w:rsidR="00EB4293" w:rsidRPr="00D34FC9">
        <w:rPr>
          <w:rFonts w:ascii="Times New Roman" w:hAnsi="Times New Roman" w:cs="Times New Roman"/>
        </w:rPr>
        <w:t xml:space="preserve">here </w:t>
      </w:r>
      <m:oMath>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ij</m:t>
            </m:r>
          </m:sub>
        </m:sSub>
      </m:oMath>
      <w:r w:rsidR="00EB4293" w:rsidRPr="00D34FC9">
        <w:rPr>
          <w:rFonts w:ascii="Times New Roman" w:hAnsi="Times New Roman" w:cs="Times New Roman"/>
        </w:rPr>
        <w:t xml:space="preserve"> is the vector of fixed-effect covariates, </w:t>
      </w:r>
      <m:oMath>
        <m:r>
          <m:rPr>
            <m:sty m:val="b"/>
          </m:rPr>
          <w:rPr>
            <w:rFonts w:ascii="Cambria Math" w:hAnsi="Cambria Math" w:cs="Times New Roman"/>
          </w:rPr>
          <m:t>β</m:t>
        </m:r>
      </m:oMath>
      <w:r w:rsidR="00EB4293" w:rsidRPr="00D34FC9">
        <w:rPr>
          <w:rFonts w:ascii="Times New Roman" w:hAnsi="Times New Roman" w:cs="Times New Roman"/>
        </w:rPr>
        <w:t xml:space="preserve"> is the vector of fixed-effect parameters, </w:t>
      </w:r>
      <m:oMath>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ij</m:t>
            </m:r>
          </m:sub>
        </m:sSub>
      </m:oMath>
      <w:r w:rsidR="00EB4293" w:rsidRPr="00D34FC9">
        <w:rPr>
          <w:rFonts w:ascii="Times New Roman" w:hAnsi="Times New Roman" w:cs="Times New Roman"/>
        </w:rPr>
        <w:t xml:space="preserve"> is the design vector for random effects, and </w:t>
      </w:r>
      <m:oMath>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oMath>
      <w:r w:rsidR="00EB4293" w:rsidRPr="00D34FC9">
        <w:rPr>
          <w:rFonts w:ascii="Times New Roman" w:hAnsi="Times New Roman" w:cs="Times New Roman"/>
        </w:rPr>
        <w:t xml:space="preserve"> is the patient-specific random effect vector. Random effects were assumed to follow a multivariate normal distribution</w:t>
      </w:r>
      <w:r w:rsidR="00AB00DB">
        <w:rPr>
          <w:rFonts w:ascii="Times New Roman" w:hAnsi="Times New Roman" w:cs="Times New Roman"/>
        </w:rPr>
        <w:t xml:space="preserve"> </w:t>
      </w:r>
      <m:oMath>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r>
          <m:rPr>
            <m:scr m:val="script"/>
            <m:sty m:val="p"/>
          </m:rPr>
          <w:rPr>
            <w:rFonts w:ascii="Cambria Math" w:hAnsi="Cambria Math" w:cs="Times New Roman"/>
          </w:rPr>
          <m:t>∼N</m:t>
        </m:r>
        <m:d>
          <m:dPr>
            <m:ctrlPr>
              <w:rPr>
                <w:rFonts w:ascii="Cambria Math" w:hAnsi="Cambria Math" w:cs="Times New Roman"/>
              </w:rPr>
            </m:ctrlPr>
          </m:dPr>
          <m:e>
            <m:r>
              <m:rPr>
                <m:sty m:val="b"/>
              </m:rPr>
              <w:rPr>
                <w:rFonts w:ascii="Cambria Math" w:hAnsi="Cambria Math" w:cs="Times New Roman"/>
              </w:rPr>
              <m:t>0</m:t>
            </m:r>
            <m:r>
              <m:rPr>
                <m:sty m:val="p"/>
              </m:rPr>
              <w:rPr>
                <w:rFonts w:ascii="Cambria Math" w:hAnsi="Cambria Math" w:cs="Times New Roman"/>
              </w:rPr>
              <m:t>,</m:t>
            </m:r>
            <m:r>
              <m:rPr>
                <m:sty m:val="b"/>
              </m:rPr>
              <w:rPr>
                <w:rFonts w:ascii="Cambria Math" w:hAnsi="Cambria Math" w:cs="Times New Roman"/>
              </w:rPr>
              <m:t>D</m:t>
            </m:r>
          </m:e>
        </m:d>
        <m:r>
          <m:rPr>
            <m:sty m:val="p"/>
          </m:rPr>
          <w:rPr>
            <w:rFonts w:ascii="Cambria Math" w:hAnsi="Cambria Math" w:cs="Times New Roman"/>
          </w:rPr>
          <m:t xml:space="preserve">, </m:t>
        </m:r>
      </m:oMath>
      <w:r w:rsidR="00EB4293" w:rsidRPr="00D34FC9">
        <w:rPr>
          <w:rFonts w:ascii="Times New Roman" w:hAnsi="Times New Roman" w:cs="Times New Roman"/>
        </w:rPr>
        <w:t>and residual errors were assumed</w:t>
      </w:r>
      <w:r w:rsidR="00AB00DB">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ϵ</m:t>
            </m:r>
          </m:e>
          <m:sub>
            <m:r>
              <w:rPr>
                <w:rFonts w:ascii="Cambria Math" w:hAnsi="Cambria Math" w:cs="Times New Roman"/>
              </w:rPr>
              <m:t>ij</m:t>
            </m:r>
          </m:sub>
        </m:sSub>
        <m:r>
          <m:rPr>
            <m:scr m:val="script"/>
            <m:sty m:val="p"/>
          </m:rPr>
          <w:rPr>
            <w:rFonts w:ascii="Cambria Math" w:hAnsi="Cambria Math" w:cs="Times New Roman"/>
          </w:rPr>
          <m:t>∼N</m:t>
        </m:r>
        <m:d>
          <m:dPr>
            <m:ctrlPr>
              <w:rPr>
                <w:rFonts w:ascii="Cambria Math" w:hAnsi="Cambria Math" w:cs="Times New Roman"/>
              </w:rPr>
            </m:ctrlPr>
          </m:dPr>
          <m:e>
            <m:r>
              <w:rPr>
                <w:rFonts w:ascii="Cambria Math" w:hAnsi="Cambria Math" w:cs="Times New Roman"/>
              </w:rPr>
              <m:t>0</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σ</m:t>
                </m:r>
              </m:e>
              <m:sup>
                <m:r>
                  <w:rPr>
                    <w:rFonts w:ascii="Cambria Math" w:hAnsi="Cambria Math" w:cs="Times New Roman"/>
                  </w:rPr>
                  <m:t>2</m:t>
                </m:r>
              </m:sup>
            </m:sSup>
          </m:e>
        </m:d>
        <m:r>
          <m:rPr>
            <m:sty m:val="p"/>
          </m:rPr>
          <w:rPr>
            <w:rFonts w:ascii="Cambria Math" w:hAnsi="Cambria Math" w:cs="Times New Roman"/>
          </w:rPr>
          <m:t xml:space="preserve">, </m:t>
        </m:r>
      </m:oMath>
      <w:r w:rsidR="00EB4293" w:rsidRPr="00D34FC9">
        <w:rPr>
          <w:rFonts w:ascii="Times New Roman" w:hAnsi="Times New Roman" w:cs="Times New Roman"/>
        </w:rPr>
        <w:t xml:space="preserve">independent of </w:t>
      </w:r>
      <m:oMath>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oMath>
      <w:r w:rsidR="00EB4293" w:rsidRPr="00D34FC9">
        <w:rPr>
          <w:rFonts w:ascii="Times New Roman" w:hAnsi="Times New Roman" w:cs="Times New Roman"/>
        </w:rPr>
        <w:t>.</w:t>
      </w:r>
    </w:p>
    <w:p w14:paraId="5BE454DF" w14:textId="1EA2B2DE" w:rsidR="00EB4293" w:rsidRPr="00D34FC9" w:rsidRDefault="00EB4293" w:rsidP="00EB4293">
      <w:pPr>
        <w:pStyle w:val="BodyText"/>
        <w:rPr>
          <w:rFonts w:ascii="Times New Roman" w:hAnsi="Times New Roman" w:cs="Times New Roman"/>
        </w:rPr>
      </w:pPr>
      <w:r w:rsidRPr="00D34FC9">
        <w:rPr>
          <w:rFonts w:ascii="Times New Roman" w:hAnsi="Times New Roman" w:cs="Times New Roman"/>
        </w:rPr>
        <w:t xml:space="preserve">Time was </w:t>
      </w:r>
      <w:r w:rsidR="00D34FC9" w:rsidRPr="00D34FC9">
        <w:rPr>
          <w:rFonts w:ascii="Times New Roman" w:hAnsi="Times New Roman" w:cs="Times New Roman"/>
        </w:rPr>
        <w:t>modelled</w:t>
      </w:r>
      <w:r w:rsidRPr="00D34FC9">
        <w:rPr>
          <w:rFonts w:ascii="Times New Roman" w:hAnsi="Times New Roman" w:cs="Times New Roman"/>
        </w:rPr>
        <w:t xml:space="preserve"> flexibly using a natural spline basis to allow non-linear change in PSA severity, written as</w:t>
      </w:r>
    </w:p>
    <w:p w14:paraId="6198D8F5" w14:textId="3E08C770" w:rsidR="00EB4293" w:rsidRPr="00D34FC9" w:rsidRDefault="00486986"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η</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0</m:t>
            </m:r>
          </m:sub>
        </m:sSub>
        <m:r>
          <m:rPr>
            <m:sty m:val="p"/>
          </m:rPr>
          <w:rPr>
            <w:rFonts w:ascii="Cambria Math" w:hAnsi="Cambria Math" w:cs="Times New Roman"/>
          </w:rPr>
          <m:t>+</m:t>
        </m:r>
        <m:r>
          <w:rPr>
            <w:rFonts w:ascii="Cambria Math" w:hAnsi="Cambria Math" w:cs="Times New Roman"/>
          </w:rPr>
          <m:t>f</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1</m:t>
            </m:r>
          </m:sub>
        </m:sSub>
        <m:sSub>
          <m:sSubPr>
            <m:ctrlPr>
              <w:rPr>
                <w:rFonts w:ascii="Cambria Math" w:hAnsi="Cambria Math" w:cs="Times New Roman"/>
              </w:rPr>
            </m:ctrlPr>
          </m:sSubPr>
          <m:e>
            <m:r>
              <m:rPr>
                <m:nor/>
              </m:rPr>
              <w:rPr>
                <w:rFonts w:ascii="Times New Roman" w:hAnsi="Times New Roman" w:cs="Times New Roman"/>
              </w:rPr>
              <m:t>Age</m:t>
            </m:r>
          </m:e>
          <m:sub>
            <m:r>
              <w:rPr>
                <w:rFonts w:ascii="Cambria Math" w:hAnsi="Cambria Math" w:cs="Times New Roman"/>
              </w:rPr>
              <m:t>i</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2</m:t>
            </m:r>
          </m:sub>
          <m:sup>
            <m:r>
              <m:rPr>
                <m:sty m:val="p"/>
              </m:rPr>
              <w:rPr>
                <w:rFonts w:ascii="Cambria Math" w:hAnsi="Cambria Math" w:cs="Times New Roman"/>
              </w:rPr>
              <m:t>⊤</m:t>
            </m:r>
          </m:sup>
        </m:sSubSup>
        <m:sSub>
          <m:sSubPr>
            <m:ctrlPr>
              <w:rPr>
                <w:rFonts w:ascii="Cambria Math" w:hAnsi="Cambria Math" w:cs="Times New Roman"/>
              </w:rPr>
            </m:ctrlPr>
          </m:sSubPr>
          <m:e>
            <m:r>
              <m:rPr>
                <m:nor/>
              </m:rPr>
              <w:rPr>
                <w:rFonts w:ascii="Times New Roman" w:hAnsi="Times New Roman" w:cs="Times New Roman"/>
              </w:rPr>
              <m:t>Stage</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3</m:t>
            </m:r>
          </m:sub>
        </m:sSub>
        <m:sSub>
          <m:sSubPr>
            <m:ctrlPr>
              <w:rPr>
                <w:rFonts w:ascii="Cambria Math" w:hAnsi="Cambria Math" w:cs="Times New Roman"/>
              </w:rPr>
            </m:ctrlPr>
          </m:sSubPr>
          <m:e>
            <m:r>
              <m:rPr>
                <m:nor/>
              </m:rPr>
              <w:rPr>
                <w:rFonts w:ascii="Times New Roman" w:hAnsi="Times New Roman" w:cs="Times New Roman"/>
              </w:rPr>
              <m:t>TumorSize</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4</m:t>
            </m:r>
          </m:sub>
        </m:sSub>
        <m:sSub>
          <m:sSubPr>
            <m:ctrlPr>
              <w:rPr>
                <w:rFonts w:ascii="Cambria Math" w:hAnsi="Cambria Math" w:cs="Times New Roman"/>
              </w:rPr>
            </m:ctrlPr>
          </m:sSubPr>
          <m:e>
            <m:r>
              <m:rPr>
                <m:nor/>
              </m:rPr>
              <w:rPr>
                <w:rFonts w:ascii="Times New Roman" w:hAnsi="Times New Roman" w:cs="Times New Roman"/>
              </w:rPr>
              <m:t>Nodes</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β</m:t>
            </m:r>
          </m:e>
          <m:sub>
            <m:r>
              <w:rPr>
                <w:rFonts w:ascii="Cambria Math" w:hAnsi="Cambria Math" w:cs="Times New Roman"/>
              </w:rPr>
              <m:t>5</m:t>
            </m:r>
          </m:sub>
        </m:sSub>
        <m:sSub>
          <m:sSubPr>
            <m:ctrlPr>
              <w:rPr>
                <w:rFonts w:ascii="Cambria Math" w:hAnsi="Cambria Math" w:cs="Times New Roman"/>
              </w:rPr>
            </m:ctrlPr>
          </m:sSubPr>
          <m:e>
            <m:r>
              <m:rPr>
                <m:nor/>
              </m:rPr>
              <w:rPr>
                <w:rFonts w:ascii="Times New Roman" w:hAnsi="Times New Roman" w:cs="Times New Roman"/>
              </w:rPr>
              <m:t>Gleason</m:t>
            </m:r>
          </m:e>
          <m:sub>
            <m:r>
              <w:rPr>
                <w:rFonts w:ascii="Cambria Math" w:hAnsi="Cambria Math" w:cs="Times New Roman"/>
              </w:rPr>
              <m:t>i</m:t>
            </m:r>
          </m:sub>
        </m:sSub>
        <m:r>
          <m:rPr>
            <m:sty m:val="p"/>
          </m:rPr>
          <w:rPr>
            <w:rFonts w:ascii="Cambria Math" w:hAnsi="Cambria Math" w:cs="Times New Roman"/>
          </w:rPr>
          <m:t>+</m:t>
        </m:r>
        <m:sSubSup>
          <m:sSubSupPr>
            <m:ctrlPr>
              <w:rPr>
                <w:rFonts w:ascii="Cambria Math" w:hAnsi="Cambria Math" w:cs="Times New Roman"/>
              </w:rPr>
            </m:ctrlPr>
          </m:sSubSupPr>
          <m:e>
            <m:r>
              <m:rPr>
                <m:sty m:val="b"/>
              </m:rPr>
              <w:rPr>
                <w:rFonts w:ascii="Cambria Math" w:hAnsi="Cambria Math" w:cs="Times New Roman"/>
              </w:rPr>
              <m:t>β</m:t>
            </m:r>
          </m:e>
          <m:sub>
            <m:r>
              <w:rPr>
                <w:rFonts w:ascii="Cambria Math" w:hAnsi="Cambria Math" w:cs="Times New Roman"/>
              </w:rPr>
              <m:t>6</m:t>
            </m:r>
          </m:sub>
          <m:sup>
            <m:r>
              <m:rPr>
                <m:sty m:val="p"/>
              </m:rPr>
              <w:rPr>
                <w:rFonts w:ascii="Cambria Math" w:hAnsi="Cambria Math" w:cs="Times New Roman"/>
              </w:rPr>
              <m:t>⊤</m:t>
            </m:r>
          </m:sup>
        </m:sSubSup>
        <m:sSub>
          <m:sSubPr>
            <m:ctrlPr>
              <w:rPr>
                <w:rFonts w:ascii="Cambria Math" w:hAnsi="Cambria Math" w:cs="Times New Roman"/>
              </w:rPr>
            </m:ctrlPr>
          </m:sSubPr>
          <m:e>
            <m:r>
              <m:rPr>
                <m:nor/>
              </m:rPr>
              <w:rPr>
                <w:rFonts w:ascii="Times New Roman" w:hAnsi="Times New Roman" w:cs="Times New Roman"/>
              </w:rPr>
              <m:t>Treatment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0i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1i</m:t>
            </m:r>
          </m:sub>
        </m:sSub>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ij</m:t>
            </m:r>
          </m:sub>
        </m:sSub>
        <m:r>
          <m:rPr>
            <m:sty m:val="p"/>
          </m:rPr>
          <w:rPr>
            <w:rFonts w:ascii="Cambria Math" w:hAnsi="Cambria Math" w:cs="Times New Roman"/>
          </w:rPr>
          <m:t>.</m:t>
        </m:r>
      </m:oMath>
      <w:r w:rsidR="008F343D">
        <w:rPr>
          <w:rFonts w:ascii="Times New Roman" w:eastAsiaTheme="minorEastAsia" w:hAnsi="Times New Roman" w:cs="Times New Roman"/>
        </w:rPr>
        <w:t xml:space="preserve">  ………………………………….. (2)</w:t>
      </w:r>
    </w:p>
    <w:p w14:paraId="388A5F3D" w14:textId="7BBAE8E1" w:rsidR="00A52282" w:rsidRPr="00505647" w:rsidRDefault="008F343D" w:rsidP="00505647">
      <w:pPr>
        <w:jc w:val="both"/>
        <w:rPr>
          <w:rFonts w:ascii="Times New Roman" w:hAnsi="Times New Roman" w:cs="Times New Roman"/>
          <w:sz w:val="24"/>
          <w:szCs w:val="24"/>
        </w:rPr>
      </w:pPr>
      <w:r>
        <w:rPr>
          <w:rFonts w:ascii="Times New Roman" w:hAnsi="Times New Roman" w:cs="Times New Roman"/>
          <w:sz w:val="24"/>
          <w:szCs w:val="24"/>
        </w:rPr>
        <w:t>W</w:t>
      </w:r>
      <w:r w:rsidR="00EB4293" w:rsidRPr="00D34FC9">
        <w:rPr>
          <w:rFonts w:ascii="Times New Roman" w:hAnsi="Times New Roman" w:cs="Times New Roman"/>
          <w:sz w:val="24"/>
          <w:szCs w:val="24"/>
        </w:rPr>
        <w:t>here</w:t>
      </w:r>
      <w:r w:rsidR="00EB4293">
        <w:t xml:space="preserve"> </w:t>
      </w:r>
      <m:oMath>
        <m:r>
          <w:rPr>
            <w:rFonts w:ascii="Cambria Math" w:hAnsi="Cambria Math"/>
          </w:rPr>
          <m:t>f</m:t>
        </m:r>
        <m:d>
          <m:dPr>
            <m:ctrlPr>
              <w:rPr>
                <w:rFonts w:ascii="Cambria Math" w:hAnsi="Cambria Math"/>
              </w:rPr>
            </m:ctrlPr>
          </m:dPr>
          <m:e>
            <m:r>
              <m:rPr>
                <m:sty m:val="p"/>
              </m:rPr>
              <w:rPr>
                <w:rFonts w:ascii="Cambria Math" w:hAnsi="Cambria Math"/>
              </w:rPr>
              <m:t>⋅</m:t>
            </m:r>
          </m:e>
        </m:d>
      </m:oMath>
      <w:r w:rsidR="00EB4293">
        <w:t xml:space="preserve"> </w:t>
      </w:r>
      <w:r w:rsidR="00A52282" w:rsidRPr="00505647">
        <w:rPr>
          <w:rFonts w:ascii="Times New Roman" w:hAnsi="Times New Roman" w:cs="Times New Roman"/>
          <w:sz w:val="24"/>
          <w:szCs w:val="24"/>
        </w:rPr>
        <w:t>represents the spline function</w:t>
      </w:r>
      <w:r>
        <w:rPr>
          <w:rFonts w:ascii="Times New Roman" w:hAnsi="Times New Roman" w:cs="Times New Roman"/>
          <w:sz w:val="24"/>
          <w:szCs w:val="24"/>
        </w:rPr>
        <w:t>,</w:t>
      </w:r>
      <w:r w:rsidR="00A52282" w:rsidRPr="00505647">
        <w:rPr>
          <w:rFonts w:ascii="Times New Roman" w:hAnsi="Times New Roman" w:cs="Times New Roman"/>
          <w:sz w:val="24"/>
          <w:szCs w:val="24"/>
        </w:rPr>
        <w:t xml:space="preserve"> and *Treatment* </w:t>
      </w:r>
      <w:r>
        <w:rPr>
          <w:rFonts w:ascii="Times New Roman" w:hAnsi="Times New Roman" w:cs="Times New Roman"/>
          <w:sz w:val="24"/>
          <w:szCs w:val="24"/>
        </w:rPr>
        <w:t>accounts for</w:t>
      </w:r>
      <w:r w:rsidR="00A52282" w:rsidRPr="00505647">
        <w:rPr>
          <w:rFonts w:ascii="Times New Roman" w:hAnsi="Times New Roman" w:cs="Times New Roman"/>
          <w:sz w:val="24"/>
          <w:szCs w:val="24"/>
        </w:rPr>
        <w:t xml:space="preserve"> chemotherapy, radiation, and hormonal therapies. The longitudinal model was used to determine the average level and individual deviations of *PSA* severity; this biomarker component was necessary for combined inference.</w:t>
      </w:r>
    </w:p>
    <w:p w14:paraId="2F7469B3" w14:textId="469167F5" w:rsidR="00A52282" w:rsidRPr="00D34FC9" w:rsidRDefault="00EB4293" w:rsidP="00505647">
      <w:pPr>
        <w:jc w:val="both"/>
        <w:rPr>
          <w:rFonts w:ascii="Times New Roman" w:hAnsi="Times New Roman" w:cs="Times New Roman"/>
          <w:sz w:val="24"/>
          <w:szCs w:val="24"/>
        </w:rPr>
      </w:pPr>
      <w:r w:rsidRPr="00D34FC9">
        <w:rPr>
          <w:rFonts w:ascii="Times New Roman" w:hAnsi="Times New Roman" w:cs="Times New Roman"/>
          <w:sz w:val="24"/>
          <w:szCs w:val="24"/>
        </w:rPr>
        <w:t xml:space="preserve">Survival </w:t>
      </w:r>
      <w:r w:rsidR="004F4A4C" w:rsidRPr="00D34FC9">
        <w:rPr>
          <w:rFonts w:ascii="Times New Roman" w:hAnsi="Times New Roman" w:cs="Times New Roman"/>
          <w:sz w:val="24"/>
          <w:szCs w:val="24"/>
        </w:rPr>
        <w:t>Sub model</w:t>
      </w:r>
      <w:r w:rsidR="00A52282" w:rsidRPr="00D34FC9">
        <w:rPr>
          <w:rFonts w:ascii="Times New Roman" w:hAnsi="Times New Roman" w:cs="Times New Roman"/>
          <w:sz w:val="24"/>
          <w:szCs w:val="24"/>
        </w:rPr>
        <w:t>: Cox proportional hazards model</w:t>
      </w:r>
    </w:p>
    <w:p w14:paraId="7C1949DF" w14:textId="27D2EB50" w:rsidR="00EB4293" w:rsidRPr="00D34FC9" w:rsidRDefault="00A52282" w:rsidP="00EB4293">
      <w:pPr>
        <w:jc w:val="both"/>
        <w:rPr>
          <w:rFonts w:ascii="Times New Roman" w:hAnsi="Times New Roman" w:cs="Times New Roman"/>
          <w:sz w:val="24"/>
          <w:szCs w:val="24"/>
        </w:rPr>
      </w:pPr>
      <w:r w:rsidRPr="00D34FC9">
        <w:rPr>
          <w:rFonts w:ascii="Times New Roman" w:hAnsi="Times New Roman" w:cs="Times New Roman"/>
          <w:sz w:val="24"/>
          <w:szCs w:val="24"/>
        </w:rPr>
        <w:t xml:space="preserve">The time-to-event data </w:t>
      </w:r>
      <w:r w:rsidR="00DD4155" w:rsidRPr="00D34FC9">
        <w:rPr>
          <w:rFonts w:ascii="Times New Roman" w:hAnsi="Times New Roman" w:cs="Times New Roman"/>
          <w:sz w:val="24"/>
          <w:szCs w:val="24"/>
        </w:rPr>
        <w:t>were modelled</w:t>
      </w:r>
      <w:r w:rsidRPr="00D34FC9">
        <w:rPr>
          <w:rFonts w:ascii="Times New Roman" w:hAnsi="Times New Roman" w:cs="Times New Roman"/>
          <w:sz w:val="24"/>
          <w:szCs w:val="24"/>
        </w:rPr>
        <w:t xml:space="preserve"> using a </w:t>
      </w:r>
      <w:r w:rsidR="00DD4155" w:rsidRPr="00D34FC9">
        <w:rPr>
          <w:rFonts w:ascii="Times New Roman" w:hAnsi="Times New Roman" w:cs="Times New Roman"/>
          <w:sz w:val="24"/>
          <w:szCs w:val="24"/>
        </w:rPr>
        <w:t>Cox proportional hazards</w:t>
      </w:r>
      <w:r w:rsidRPr="00D34FC9">
        <w:rPr>
          <w:rFonts w:ascii="Times New Roman" w:hAnsi="Times New Roman" w:cs="Times New Roman"/>
          <w:sz w:val="24"/>
          <w:szCs w:val="24"/>
        </w:rPr>
        <w:t xml:space="preserve"> </w:t>
      </w:r>
      <w:r w:rsidR="00EB4293" w:rsidRPr="00D34FC9">
        <w:rPr>
          <w:rFonts w:ascii="Times New Roman" w:hAnsi="Times New Roman" w:cs="Times New Roman"/>
          <w:sz w:val="24"/>
          <w:szCs w:val="24"/>
        </w:rPr>
        <w:t xml:space="preserve">framework. Let </w:t>
      </w: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oMath>
      <w:r w:rsidR="00EB4293" w:rsidRPr="00D34FC9">
        <w:rPr>
          <w:rFonts w:ascii="Times New Roman" w:hAnsi="Times New Roman" w:cs="Times New Roman"/>
          <w:sz w:val="24"/>
          <w:szCs w:val="24"/>
        </w:rPr>
        <w:t xml:space="preserve"> denote the event time for </w:t>
      </w:r>
      <w:r w:rsidR="00D34FC9" w:rsidRPr="00D34FC9">
        <w:rPr>
          <w:rFonts w:ascii="Times New Roman" w:hAnsi="Times New Roman" w:cs="Times New Roman"/>
          <w:sz w:val="24"/>
          <w:szCs w:val="24"/>
        </w:rPr>
        <w:t xml:space="preserve">the </w:t>
      </w:r>
      <w:r w:rsidR="00EB4293" w:rsidRPr="00D34FC9">
        <w:rPr>
          <w:rFonts w:ascii="Times New Roman" w:hAnsi="Times New Roman" w:cs="Times New Roman"/>
          <w:sz w:val="24"/>
          <w:szCs w:val="24"/>
        </w:rPr>
        <w:t xml:space="preserve">patient </w:t>
      </w:r>
      <m:oMath>
        <m:r>
          <w:rPr>
            <w:rFonts w:ascii="Cambria Math" w:hAnsi="Cambria Math" w:cs="Times New Roman"/>
            <w:sz w:val="24"/>
            <w:szCs w:val="24"/>
          </w:rPr>
          <m:t>i</m:t>
        </m:r>
      </m:oMath>
      <w:r w:rsidR="00EB4293" w:rsidRPr="00D34FC9">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00EB4293" w:rsidRPr="00D34FC9">
        <w:rPr>
          <w:rFonts w:ascii="Times New Roman" w:hAnsi="Times New Roman" w:cs="Times New Roman"/>
          <w:sz w:val="24"/>
          <w:szCs w:val="24"/>
        </w:rPr>
        <w:t xml:space="preserve"> denote the censoring time. The observed time is </w:t>
      </w:r>
      <m:oMath>
        <m:sSub>
          <m:sSubPr>
            <m:ctrlPr>
              <w:rPr>
                <w:rFonts w:ascii="Cambria Math" w:hAnsi="Cambria Math" w:cs="Times New Roman"/>
                <w:sz w:val="24"/>
                <w:szCs w:val="24"/>
              </w:rPr>
            </m:ctrlPr>
          </m:sSubPr>
          <m:e>
            <m:acc>
              <m:accPr>
                <m:chr m:val="̃"/>
                <m:ctrlPr>
                  <w:rPr>
                    <w:rFonts w:ascii="Cambria Math" w:hAnsi="Cambria Math" w:cs="Times New Roman"/>
                    <w:sz w:val="24"/>
                    <w:szCs w:val="24"/>
                  </w:rPr>
                </m:ctrlPr>
              </m:accPr>
              <m:e>
                <m:r>
                  <w:rPr>
                    <w:rFonts w:ascii="Cambria Math" w:hAnsi="Cambria Math" w:cs="Times New Roman"/>
                    <w:sz w:val="24"/>
                    <w:szCs w:val="24"/>
                  </w:rPr>
                  <m:t>T</m:t>
                </m:r>
              </m:e>
            </m:acc>
          </m:e>
          <m:sub>
            <m:r>
              <w:rPr>
                <w:rFonts w:ascii="Cambria Math" w:hAnsi="Cambria Math" w:cs="Times New Roman"/>
                <w:sz w:val="24"/>
                <w:szCs w:val="24"/>
              </w:rPr>
              <m:t>i</m:t>
            </m:r>
          </m:sub>
        </m:sSub>
        <m:r>
          <m:rPr>
            <m:sty m:val="p"/>
          </m:rPr>
          <w:rPr>
            <w:rFonts w:ascii="Cambria Math" w:hAnsi="Cambria Math" w:cs="Times New Roman"/>
            <w:sz w:val="24"/>
            <w:szCs w:val="24"/>
          </w:rPr>
          <m:t>=min</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oMath>
      <w:r w:rsidR="00EB4293" w:rsidRPr="00D34FC9">
        <w:rPr>
          <w:rFonts w:ascii="Times New Roman" w:hAnsi="Times New Roman" w:cs="Times New Roman"/>
          <w:sz w:val="24"/>
          <w:szCs w:val="24"/>
        </w:rPr>
        <w:t xml:space="preserve"> and the event indicator is </w:t>
      </w:r>
      <m:oMath>
        <m:sSub>
          <m:sSubPr>
            <m:ctrlPr>
              <w:rPr>
                <w:rFonts w:ascii="Cambria Math" w:hAnsi="Cambria Math" w:cs="Times New Roman"/>
                <w:sz w:val="24"/>
                <w:szCs w:val="24"/>
              </w:rPr>
            </m:ctrlPr>
          </m:sSubPr>
          <m:e>
            <m:r>
              <w:rPr>
                <w:rFonts w:ascii="Cambria Math" w:hAnsi="Cambria Math" w:cs="Times New Roman"/>
                <w:sz w:val="24"/>
                <w:szCs w:val="24"/>
              </w:rPr>
              <m:t>δ</m:t>
            </m:r>
          </m:e>
          <m:sub>
            <m:r>
              <w:rPr>
                <w:rFonts w:ascii="Cambria Math" w:hAnsi="Cambria Math" w:cs="Times New Roman"/>
                <w:sz w:val="24"/>
                <w:szCs w:val="24"/>
              </w:rPr>
              <m:t>i</m:t>
            </m:r>
          </m:sub>
        </m:sSub>
        <m:r>
          <m:rPr>
            <m:scr m:val="double-struck"/>
            <m:sty m:val="p"/>
          </m:rPr>
          <w:rPr>
            <w:rFonts w:ascii="Cambria Math" w:hAnsi="Cambria Math" w:cs="Times New Roman"/>
            <w:sz w:val="24"/>
            <w:szCs w:val="24"/>
          </w:rPr>
          <m:t>=I</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e>
        </m:d>
      </m:oMath>
      <w:r w:rsidR="00EB4293" w:rsidRPr="00D34FC9">
        <w:rPr>
          <w:rFonts w:ascii="Times New Roman" w:hAnsi="Times New Roman" w:cs="Times New Roman"/>
          <w:sz w:val="24"/>
          <w:szCs w:val="24"/>
        </w:rPr>
        <w:t xml:space="preserve">. The hazard function conditional on covariates </w:t>
      </w:r>
      <m:oMath>
        <m:sSub>
          <m:sSubPr>
            <m:ctrlPr>
              <w:rPr>
                <w:rFonts w:ascii="Cambria Math" w:hAnsi="Cambria Math" w:cs="Times New Roman"/>
                <w:sz w:val="24"/>
                <w:szCs w:val="24"/>
              </w:rPr>
            </m:ctrlPr>
          </m:sSubPr>
          <m:e>
            <m:r>
              <m:rPr>
                <m:sty m:val="b"/>
              </m:rPr>
              <w:rPr>
                <w:rFonts w:ascii="Cambria Math" w:hAnsi="Cambria Math" w:cs="Times New Roman"/>
                <w:sz w:val="24"/>
                <w:szCs w:val="24"/>
              </w:rPr>
              <m:t>w</m:t>
            </m:r>
          </m:e>
          <m:sub>
            <m:r>
              <w:rPr>
                <w:rFonts w:ascii="Cambria Math" w:hAnsi="Cambria Math" w:cs="Times New Roman"/>
                <w:sz w:val="24"/>
                <w:szCs w:val="24"/>
              </w:rPr>
              <m:t>i</m:t>
            </m:r>
          </m:sub>
        </m:sSub>
      </m:oMath>
      <w:r w:rsidR="00EB4293" w:rsidRPr="00D34FC9">
        <w:rPr>
          <w:rFonts w:ascii="Times New Roman" w:hAnsi="Times New Roman" w:cs="Times New Roman"/>
          <w:sz w:val="24"/>
          <w:szCs w:val="24"/>
        </w:rPr>
        <w:t xml:space="preserve"> was specified as</w:t>
      </w:r>
    </w:p>
    <w:p w14:paraId="7133EB7E" w14:textId="6C6670F3" w:rsidR="00EB4293" w:rsidRPr="00D34FC9" w:rsidRDefault="00486986"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w</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exp</m:t>
        </m:r>
        <m:d>
          <m:dPr>
            <m:ctrlPr>
              <w:rPr>
                <w:rFonts w:ascii="Cambria Math" w:hAnsi="Cambria Math" w:cs="Times New Roman"/>
              </w:rPr>
            </m:ctrlPr>
          </m:dPr>
          <m:e>
            <m:sSubSup>
              <m:sSubSupPr>
                <m:ctrlPr>
                  <w:rPr>
                    <w:rFonts w:ascii="Cambria Math" w:hAnsi="Cambria Math" w:cs="Times New Roman"/>
                  </w:rPr>
                </m:ctrlPr>
              </m:sSubSupPr>
              <m:e>
                <m:r>
                  <m:rPr>
                    <m:sty m:val="b"/>
                  </m:rP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sup>
            </m:sSubSup>
            <m:r>
              <m:rPr>
                <m:sty m:val="b"/>
              </m:rPr>
              <w:rPr>
                <w:rFonts w:ascii="Cambria Math" w:hAnsi="Cambria Math" w:cs="Times New Roman"/>
              </w:rPr>
              <m:t>γ</m:t>
            </m:r>
          </m:e>
        </m:d>
        <m:r>
          <m:rPr>
            <m:sty m:val="p"/>
          </m:rPr>
          <w:rPr>
            <w:rFonts w:ascii="Cambria Math" w:hAnsi="Cambria Math" w:cs="Times New Roman"/>
          </w:rPr>
          <m:t>.</m:t>
        </m:r>
      </m:oMath>
      <w:r w:rsidR="008F343D">
        <w:rPr>
          <w:rFonts w:ascii="Times New Roman" w:eastAsiaTheme="minorEastAsia" w:hAnsi="Times New Roman" w:cs="Times New Roman"/>
        </w:rPr>
        <w:t xml:space="preserve"> ………………………………….. (3)</w:t>
      </w:r>
    </w:p>
    <w:p w14:paraId="6FDE27CC" w14:textId="1CC1EB78" w:rsidR="00EB4293" w:rsidRPr="00D34FC9" w:rsidRDefault="008F343D" w:rsidP="00EB4293">
      <w:pPr>
        <w:pStyle w:val="FirstParagraph"/>
        <w:rPr>
          <w:rFonts w:ascii="Times New Roman" w:hAnsi="Times New Roman" w:cs="Times New Roman"/>
        </w:rPr>
      </w:pPr>
      <w:r>
        <w:rPr>
          <w:rFonts w:ascii="Times New Roman" w:hAnsi="Times New Roman" w:cs="Times New Roman"/>
        </w:rPr>
        <w:t>W</w:t>
      </w:r>
      <w:r w:rsidR="00EB4293" w:rsidRPr="00D34FC9">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rPr>
            </m:ctrlPr>
          </m:dPr>
          <m:e>
            <m:r>
              <w:rPr>
                <w:rFonts w:ascii="Cambria Math" w:hAnsi="Cambria Math" w:cs="Times New Roman"/>
              </w:rPr>
              <m:t>t</m:t>
            </m:r>
          </m:e>
        </m:d>
      </m:oMath>
      <w:r w:rsidR="00EB4293" w:rsidRPr="00D34FC9">
        <w:rPr>
          <w:rFonts w:ascii="Times New Roman" w:hAnsi="Times New Roman" w:cs="Times New Roman"/>
        </w:rPr>
        <w:t xml:space="preserve"> is an unspecified baseline hazard and </w:t>
      </w:r>
      <m:oMath>
        <m:r>
          <m:rPr>
            <m:sty m:val="b"/>
          </m:rPr>
          <w:rPr>
            <w:rFonts w:ascii="Cambria Math" w:hAnsi="Cambria Math" w:cs="Times New Roman"/>
          </w:rPr>
          <m:t>γ</m:t>
        </m:r>
      </m:oMath>
      <w:r w:rsidR="00EB4293" w:rsidRPr="00D34FC9">
        <w:rPr>
          <w:rFonts w:ascii="Times New Roman" w:hAnsi="Times New Roman" w:cs="Times New Roman"/>
        </w:rPr>
        <w:t xml:space="preserve"> is the vector of log-hazard </w:t>
      </w:r>
      <w:proofErr w:type="gramStart"/>
      <w:r w:rsidR="00EB4293" w:rsidRPr="00D34FC9">
        <w:rPr>
          <w:rFonts w:ascii="Times New Roman" w:hAnsi="Times New Roman" w:cs="Times New Roman"/>
        </w:rPr>
        <w:t>ratios.</w:t>
      </w:r>
      <w:proofErr w:type="gramEnd"/>
      <w:r w:rsidR="00EB4293" w:rsidRPr="00D34FC9">
        <w:rPr>
          <w:rFonts w:ascii="Times New Roman" w:hAnsi="Times New Roman" w:cs="Times New Roman"/>
        </w:rPr>
        <w:t xml:space="preserve"> The covariates included age, cancer stage, </w:t>
      </w:r>
      <w:r w:rsidR="00D34FC9" w:rsidRPr="00E10EAC">
        <w:rPr>
          <w:rFonts w:ascii="Times New Roman" w:hAnsi="Times New Roman" w:cs="Times New Roman"/>
          <w:lang w:val="en-GB"/>
        </w:rPr>
        <w:t>tumour</w:t>
      </w:r>
      <w:r w:rsidR="00EB4293" w:rsidRPr="00D34FC9">
        <w:rPr>
          <w:rFonts w:ascii="Times New Roman" w:hAnsi="Times New Roman" w:cs="Times New Roman"/>
        </w:rPr>
        <w:t xml:space="preserve"> size, involved nodes, Gleason score, and treatment variables. The hazard ratio was calculated </w:t>
      </w:r>
      <w:r w:rsidR="00D34FC9">
        <w:rPr>
          <w:rFonts w:ascii="Times New Roman" w:hAnsi="Times New Roman" w:cs="Times New Roman"/>
        </w:rPr>
        <w:t>using</w:t>
      </w:r>
      <w:r w:rsidR="00EB4293" w:rsidRPr="00D34FC9">
        <w:rPr>
          <w:rFonts w:ascii="Times New Roman" w:hAnsi="Times New Roman" w:cs="Times New Roman"/>
        </w:rPr>
        <w:t xml:space="preserve"> the equation </w:t>
      </w:r>
      <m:oMath>
        <m:r>
          <m:rPr>
            <m:nor/>
          </m:rPr>
          <w:rPr>
            <w:rFonts w:ascii="Times New Roman" w:hAnsi="Times New Roman" w:cs="Times New Roman"/>
          </w:rPr>
          <m:t>HR</m:t>
        </m:r>
        <m:r>
          <m:rPr>
            <m:sty m:val="p"/>
          </m:rPr>
          <w:rPr>
            <w:rFonts w:ascii="Cambria Math" w:hAnsi="Cambria Math" w:cs="Times New Roman"/>
          </w:rPr>
          <m:t>=exp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k</m:t>
                </m:r>
              </m:sub>
            </m:sSub>
          </m:e>
        </m:d>
      </m:oMath>
      <w:r w:rsidR="00EB4293" w:rsidRPr="00D34FC9">
        <w:rPr>
          <w:rFonts w:ascii="Times New Roman" w:hAnsi="Times New Roman" w:cs="Times New Roman"/>
        </w:rPr>
        <w:t xml:space="preserve"> with 95% confidence intervals calculated using the standard error of  </w:t>
      </w:r>
      <m:oMath>
        <m:sSub>
          <m:sSubPr>
            <m:ctrlPr>
              <w:rPr>
                <w:rFonts w:ascii="Cambria Math" w:hAnsi="Cambria Math" w:cs="Times New Roman"/>
              </w:rPr>
            </m:ctrlPr>
          </m:sSubPr>
          <m:e>
            <m:r>
              <w:rPr>
                <w:rFonts w:ascii="Cambria Math" w:hAnsi="Cambria Math" w:cs="Times New Roman"/>
              </w:rPr>
              <m:t>γ</m:t>
            </m:r>
          </m:e>
          <m:sub>
            <m:r>
              <w:rPr>
                <w:rFonts w:ascii="Cambria Math" w:hAnsi="Cambria Math" w:cs="Times New Roman"/>
              </w:rPr>
              <m:t>k</m:t>
            </m:r>
          </m:sub>
        </m:sSub>
      </m:oMath>
      <w:r w:rsidR="00EB4293" w:rsidRPr="00D34FC9">
        <w:rPr>
          <w:rFonts w:ascii="Times New Roman" w:hAnsi="Times New Roman" w:cs="Times New Roman"/>
        </w:rPr>
        <w:t>.</w:t>
      </w:r>
    </w:p>
    <w:p w14:paraId="50F2FBF1" w14:textId="1609FECD"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proportional hazards assumptions were tested </w:t>
      </w:r>
      <w:r w:rsidR="004F4A4C">
        <w:rPr>
          <w:rFonts w:ascii="Times New Roman" w:hAnsi="Times New Roman" w:cs="Times New Roman"/>
          <w:sz w:val="24"/>
          <w:szCs w:val="24"/>
        </w:rPr>
        <w:t>using Schoenfeld residual plots, and functional form tests included assessing</w:t>
      </w:r>
      <w:r w:rsidRPr="00505647">
        <w:rPr>
          <w:rFonts w:ascii="Times New Roman" w:hAnsi="Times New Roman" w:cs="Times New Roman"/>
          <w:sz w:val="24"/>
          <w:szCs w:val="24"/>
        </w:rPr>
        <w:t xml:space="preserve"> the linearity of the relationship between the continuous covariates. Although the Cox models allow the calculation of </w:t>
      </w:r>
      <w:r w:rsidR="004F4A4C">
        <w:rPr>
          <w:rFonts w:ascii="Times New Roman" w:hAnsi="Times New Roman" w:cs="Times New Roman"/>
          <w:sz w:val="24"/>
          <w:szCs w:val="24"/>
        </w:rPr>
        <w:t xml:space="preserve">hazard ratios with clear interpretation, they remain the standard of comparison because they do not account for biomarker trajectories over time or for informative censoring </w:t>
      </w:r>
      <w:r w:rsidRPr="00505647">
        <w:rPr>
          <w:rFonts w:ascii="Times New Roman" w:hAnsi="Times New Roman" w:cs="Times New Roman"/>
          <w:sz w:val="24"/>
          <w:szCs w:val="24"/>
        </w:rPr>
        <w:t>due to deaths.</w:t>
      </w:r>
    </w:p>
    <w:p w14:paraId="14B81A1B" w14:textId="77777777"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Joint Model: Integrating the Longitudinal PSA and Survival Processes</w:t>
      </w:r>
    </w:p>
    <w:p w14:paraId="75CE3135" w14:textId="7EB7E299"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w:t>
      </w:r>
      <w:r w:rsidR="004D0E76">
        <w:rPr>
          <w:rFonts w:ascii="Times New Roman" w:hAnsi="Times New Roman" w:cs="Times New Roman"/>
          <w:sz w:val="24"/>
          <w:szCs w:val="24"/>
        </w:rPr>
        <w:t>primary</w:t>
      </w:r>
      <w:r w:rsidRPr="00505647">
        <w:rPr>
          <w:rFonts w:ascii="Times New Roman" w:hAnsi="Times New Roman" w:cs="Times New Roman"/>
          <w:sz w:val="24"/>
          <w:szCs w:val="24"/>
        </w:rPr>
        <w:t xml:space="preserve"> innovation </w:t>
      </w:r>
      <w:r w:rsidR="004D0E76">
        <w:rPr>
          <w:rFonts w:ascii="Times New Roman" w:hAnsi="Times New Roman" w:cs="Times New Roman"/>
          <w:sz w:val="24"/>
          <w:szCs w:val="24"/>
        </w:rPr>
        <w:t>was a joint model that</w:t>
      </w:r>
      <w:r w:rsidRPr="00505647">
        <w:rPr>
          <w:rFonts w:ascii="Times New Roman" w:hAnsi="Times New Roman" w:cs="Times New Roman"/>
          <w:sz w:val="24"/>
          <w:szCs w:val="24"/>
        </w:rPr>
        <w:t xml:space="preserve"> combined PSA severity profiles with survival risk. The joint models helped </w:t>
      </w:r>
      <w:r w:rsidR="004D0E76">
        <w:rPr>
          <w:rFonts w:ascii="Times New Roman" w:hAnsi="Times New Roman" w:cs="Times New Roman"/>
          <w:sz w:val="24"/>
          <w:szCs w:val="24"/>
        </w:rPr>
        <w:t>overcome one of the significant limitations of two-stage models by simultaneously estimating both the longitudinal and survival components, while accounting for their dependence through</w:t>
      </w:r>
      <w:r w:rsidRPr="00505647">
        <w:rPr>
          <w:rFonts w:ascii="Times New Roman" w:hAnsi="Times New Roman" w:cs="Times New Roman"/>
          <w:sz w:val="24"/>
          <w:szCs w:val="24"/>
        </w:rPr>
        <w:t xml:space="preserve"> shared random effects.</w:t>
      </w:r>
    </w:p>
    <w:p w14:paraId="0242AF53" w14:textId="77777777" w:rsidR="00A52282" w:rsidRPr="008D0F0D" w:rsidRDefault="00A52282" w:rsidP="00505647">
      <w:pPr>
        <w:jc w:val="both"/>
        <w:rPr>
          <w:rFonts w:ascii="Times New Roman" w:hAnsi="Times New Roman" w:cs="Times New Roman"/>
          <w:sz w:val="24"/>
          <w:szCs w:val="24"/>
        </w:rPr>
      </w:pPr>
      <w:r w:rsidRPr="008D0F0D">
        <w:rPr>
          <w:rFonts w:ascii="Times New Roman" w:hAnsi="Times New Roman" w:cs="Times New Roman"/>
          <w:sz w:val="24"/>
          <w:szCs w:val="24"/>
        </w:rPr>
        <w:t xml:space="preserve">The survival part of the joint model was defined as </w:t>
      </w:r>
    </w:p>
    <w:p w14:paraId="5F1F4704" w14:textId="2177DE01" w:rsidR="00EB4293" w:rsidRPr="008D0F0D" w:rsidRDefault="00486986" w:rsidP="00EB4293">
      <w:pPr>
        <w:pStyle w:val="BodyText"/>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r>
              <m:rPr>
                <m:sty m:val="p"/>
              </m:rPr>
              <w:rPr>
                <w:rFonts w:ascii="Cambria Math" w:hAnsi="Cambria Math" w:cs="Times New Roman"/>
              </w:rPr>
              <m:t>∣</m:t>
            </m:r>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w</m:t>
                </m:r>
              </m:e>
              <m:sub>
                <m:r>
                  <w:rPr>
                    <w:rFonts w:ascii="Cambria Math" w:hAnsi="Cambria Math" w:cs="Times New Roman"/>
                  </w:rPr>
                  <m:t>i</m:t>
                </m:r>
              </m:sub>
            </m:sSub>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exp</m:t>
        </m:r>
        <m:d>
          <m:dPr>
            <m:ctrlPr>
              <w:rPr>
                <w:rFonts w:ascii="Cambria Math" w:hAnsi="Cambria Math" w:cs="Times New Roman"/>
              </w:rPr>
            </m:ctrlPr>
          </m:dPr>
          <m:e>
            <m:sSubSup>
              <m:sSubSupPr>
                <m:ctrlPr>
                  <w:rPr>
                    <w:rFonts w:ascii="Cambria Math" w:hAnsi="Cambria Math" w:cs="Times New Roman"/>
                  </w:rPr>
                </m:ctrlPr>
              </m:sSubSupPr>
              <m:e>
                <m:r>
                  <m:rPr>
                    <m:sty m:val="b"/>
                  </m:rPr>
                  <w:rPr>
                    <w:rFonts w:ascii="Cambria Math" w:hAnsi="Cambria Math" w:cs="Times New Roman"/>
                  </w:rPr>
                  <m:t>w</m:t>
                </m:r>
              </m:e>
              <m:sub>
                <m:r>
                  <w:rPr>
                    <w:rFonts w:ascii="Cambria Math" w:hAnsi="Cambria Math" w:cs="Times New Roman"/>
                  </w:rPr>
                  <m:t>i</m:t>
                </m:r>
              </m:sub>
              <m:sup>
                <m:r>
                  <m:rPr>
                    <m:sty m:val="p"/>
                  </m:rPr>
                  <w:rPr>
                    <w:rFonts w:ascii="Cambria Math" w:hAnsi="Cambria Math" w:cs="Times New Roman"/>
                  </w:rPr>
                  <m:t>⊤</m:t>
                </m:r>
              </m:sup>
            </m:sSubSup>
            <m:r>
              <m:rPr>
                <m:sty m:val="b"/>
              </m:rPr>
              <w:rPr>
                <w:rFonts w:ascii="Cambria Math" w:hAnsi="Cambria Math" w:cs="Times New Roman"/>
              </w:rPr>
              <m:t>γ</m:t>
            </m:r>
            <m:r>
              <m:rPr>
                <m:sty m:val="p"/>
              </m:rPr>
              <w:rPr>
                <w:rFonts w:ascii="Cambria Math" w:hAnsi="Cambria Math" w:cs="Times New Roman"/>
              </w:rPr>
              <m:t>+</m:t>
            </m:r>
            <m:r>
              <w:rPr>
                <w:rFonts w:ascii="Cambria Math" w:hAnsi="Cambria Math" w:cs="Times New Roman"/>
              </w:rPr>
              <m:t>α </m:t>
            </m:r>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e>
        </m:d>
        <m:r>
          <m:rPr>
            <m:sty m:val="p"/>
          </m:rPr>
          <w:rPr>
            <w:rFonts w:ascii="Cambria Math" w:hAnsi="Cambria Math" w:cs="Times New Roman"/>
          </w:rPr>
          <m:t>.</m:t>
        </m:r>
      </m:oMath>
      <w:r w:rsidR="008D0F0D" w:rsidRPr="008D0F0D">
        <w:rPr>
          <w:rFonts w:ascii="Times New Roman" w:eastAsiaTheme="minorEastAsia" w:hAnsi="Times New Roman" w:cs="Times New Roman"/>
        </w:rPr>
        <w:t xml:space="preserve"> ………………………………….. (4)</w:t>
      </w:r>
    </w:p>
    <w:p w14:paraId="2E685086" w14:textId="08C89E66" w:rsidR="00EB4293" w:rsidRPr="00347E91" w:rsidRDefault="008D0F0D" w:rsidP="00347E91">
      <w:pPr>
        <w:pStyle w:val="FirstParagraph"/>
        <w:rPr>
          <w:rFonts w:ascii="Times New Roman" w:hAnsi="Times New Roman" w:cs="Times New Roman"/>
        </w:rPr>
      </w:pPr>
      <w:r w:rsidRPr="008D0F0D">
        <w:rPr>
          <w:rFonts w:ascii="Times New Roman" w:hAnsi="Times New Roman" w:cs="Times New Roman"/>
        </w:rPr>
        <w:t>W</w:t>
      </w:r>
      <w:r w:rsidR="00EB4293" w:rsidRPr="008D0F0D">
        <w:rPr>
          <w:rFonts w:ascii="Times New Roman" w:hAnsi="Times New Roman" w:cs="Times New Roman"/>
        </w:rPr>
        <w:t xml:space="preserve">here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oMath>
      <w:r w:rsidR="00EB4293" w:rsidRPr="008D0F0D">
        <w:rPr>
          <w:rFonts w:ascii="Times New Roman" w:hAnsi="Times New Roman" w:cs="Times New Roman"/>
        </w:rPr>
        <w:t xml:space="preserve"> denotes the underlying actual process for PSA severity process (latent trajectory) implied by the mixed-effects model, </w:t>
      </w:r>
      <m:oMath>
        <m:sSub>
          <m:sSubPr>
            <m:ctrlPr>
              <w:rPr>
                <w:rFonts w:ascii="Cambria Math" w:hAnsi="Cambria Math" w:cs="Times New Roman"/>
              </w:rPr>
            </m:ctrlPr>
          </m:sSubPr>
          <m:e>
            <m:r>
              <m:rPr>
                <m:scr m:val="script"/>
                <m:sty m:val="p"/>
              </m:rP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oMath>
      <w:r w:rsidR="00EB4293" w:rsidRPr="008D0F0D">
        <w:rPr>
          <w:rFonts w:ascii="Times New Roman" w:hAnsi="Times New Roman" w:cs="Times New Roman"/>
        </w:rPr>
        <w:t xml:space="preserve"> denotes the history of the longitudinal marker up to time </w:t>
      </w:r>
      <m:oMath>
        <m:r>
          <w:rPr>
            <w:rFonts w:ascii="Cambria Math" w:hAnsi="Cambria Math" w:cs="Times New Roman"/>
          </w:rPr>
          <m:t>t</m:t>
        </m:r>
      </m:oMath>
      <w:r w:rsidR="00EB4293" w:rsidRPr="008D0F0D">
        <w:rPr>
          <w:rFonts w:ascii="Times New Roman" w:hAnsi="Times New Roman" w:cs="Times New Roman"/>
        </w:rPr>
        <w:t xml:space="preserve">, and </w:t>
      </w:r>
      <m:oMath>
        <m:r>
          <w:rPr>
            <w:rFonts w:ascii="Cambria Math" w:hAnsi="Cambria Math" w:cs="Times New Roman"/>
          </w:rPr>
          <m:t>α</m:t>
        </m:r>
      </m:oMath>
      <w:r w:rsidR="00EB4293" w:rsidRPr="008D0F0D">
        <w:rPr>
          <w:rFonts w:ascii="Times New Roman" w:hAnsi="Times New Roman" w:cs="Times New Roman"/>
        </w:rPr>
        <w:t xml:space="preserve"> is the association parameter linking PSA severity to the hazard. The term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oMath>
      <w:r w:rsidR="00EB4293" w:rsidRPr="008D0F0D">
        <w:rPr>
          <w:rFonts w:ascii="Times New Roman" w:hAnsi="Times New Roman" w:cs="Times New Roman"/>
        </w:rPr>
        <w:t xml:space="preserve"> is typically defined as the fitted value from the longitudinal model,</w:t>
      </w:r>
      <w:r w:rsidR="00347E91">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m</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t</m:t>
            </m:r>
          </m:e>
        </m:d>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x</m:t>
            </m:r>
          </m:e>
          <m:sub>
            <m:r>
              <w:rPr>
                <w:rFonts w:ascii="Cambria Math" w:hAnsi="Cambria Math" w:cs="Times New Roman"/>
              </w:rPr>
              <m:t>i</m:t>
            </m:r>
          </m:sub>
        </m:sSub>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e>
            </m:d>
          </m:e>
          <m:sup>
            <m:r>
              <m:rPr>
                <m:sty m:val="p"/>
              </m:rPr>
              <w:rPr>
                <w:rFonts w:ascii="Cambria Math" w:hAnsi="Cambria Math" w:cs="Times New Roman"/>
              </w:rPr>
              <m:t>⊤</m:t>
            </m:r>
          </m:sup>
        </m:sSup>
        <m:r>
          <m:rPr>
            <m:sty m:val="b"/>
          </m:rPr>
          <w:rPr>
            <w:rFonts w:ascii="Cambria Math" w:hAnsi="Cambria Math" w:cs="Times New Roman"/>
          </w:rPr>
          <m:t>β</m:t>
        </m:r>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z</m:t>
            </m:r>
          </m:e>
          <m:sub>
            <m:r>
              <w:rPr>
                <w:rFonts w:ascii="Cambria Math" w:hAnsi="Cambria Math" w:cs="Times New Roman"/>
              </w:rPr>
              <m:t>i</m:t>
            </m:r>
          </m:sub>
        </m:sSub>
        <m:sSup>
          <m:sSupPr>
            <m:ctrlPr>
              <w:rPr>
                <w:rFonts w:ascii="Cambria Math" w:hAnsi="Cambria Math" w:cs="Times New Roman"/>
              </w:rPr>
            </m:ctrlPr>
          </m:sSupPr>
          <m:e>
            <m:d>
              <m:dPr>
                <m:ctrlPr>
                  <w:rPr>
                    <w:rFonts w:ascii="Cambria Math" w:hAnsi="Cambria Math" w:cs="Times New Roman"/>
                  </w:rPr>
                </m:ctrlPr>
              </m:dPr>
              <m:e>
                <m:r>
                  <w:rPr>
                    <w:rFonts w:ascii="Cambria Math" w:hAnsi="Cambria Math" w:cs="Times New Roman"/>
                  </w:rPr>
                  <m:t>t</m:t>
                </m:r>
              </m:e>
            </m:d>
          </m:e>
          <m:sup>
            <m:r>
              <m:rPr>
                <m:sty m:val="p"/>
              </m:rPr>
              <w:rPr>
                <w:rFonts w:ascii="Cambria Math" w:hAnsi="Cambria Math" w:cs="Times New Roman"/>
              </w:rPr>
              <m:t>⊤</m:t>
            </m:r>
          </m:sup>
        </m:sSup>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r>
          <m:rPr>
            <m:sty m:val="p"/>
          </m:rPr>
          <w:rPr>
            <w:rFonts w:ascii="Cambria Math" w:hAnsi="Cambria Math" w:cs="Times New Roman"/>
          </w:rPr>
          <m:t>.</m:t>
        </m:r>
      </m:oMath>
    </w:p>
    <w:p w14:paraId="1CCC114F" w14:textId="371226B3" w:rsidR="00705ABF" w:rsidRPr="008D0F0D" w:rsidRDefault="00705ABF" w:rsidP="00705ABF">
      <w:pPr>
        <w:pStyle w:val="FirstParagraph"/>
        <w:rPr>
          <w:rFonts w:ascii="Times New Roman" w:hAnsi="Times New Roman" w:cs="Times New Roman"/>
        </w:rPr>
      </w:pPr>
      <w:r w:rsidRPr="008D0F0D">
        <w:rPr>
          <w:rFonts w:ascii="Times New Roman" w:hAnsi="Times New Roman" w:cs="Times New Roman"/>
        </w:rPr>
        <w:t xml:space="preserve">A positive </w:t>
      </w:r>
      <m:oMath>
        <m:r>
          <w:rPr>
            <w:rFonts w:ascii="Cambria Math" w:hAnsi="Cambria Math" w:cs="Times New Roman"/>
          </w:rPr>
          <m:t>α</m:t>
        </m:r>
      </m:oMath>
      <w:r w:rsidRPr="008D0F0D">
        <w:rPr>
          <w:rFonts w:ascii="Times New Roman" w:hAnsi="Times New Roman" w:cs="Times New Roman"/>
        </w:rPr>
        <w:t xml:space="preserve"> index suggests that, with increasing PSA severity, the instantaneous risk of the event increases, whereas a negative index suggests a protective effect. Using this model, dynamic survival probabilities can be estimated by incorporating new PSA values.</w:t>
      </w:r>
    </w:p>
    <w:p w14:paraId="646788BA" w14:textId="6A592C70" w:rsidR="00A52282" w:rsidRPr="00505647" w:rsidRDefault="00705ABF" w:rsidP="00505647">
      <w:pPr>
        <w:jc w:val="both"/>
        <w:rPr>
          <w:rFonts w:ascii="Times New Roman" w:hAnsi="Times New Roman" w:cs="Times New Roman"/>
          <w:sz w:val="24"/>
          <w:szCs w:val="24"/>
        </w:rPr>
      </w:pPr>
      <w:r w:rsidRPr="008D0F0D">
        <w:rPr>
          <w:rFonts w:ascii="Times New Roman" w:hAnsi="Times New Roman" w:cs="Times New Roman"/>
          <w:sz w:val="24"/>
          <w:szCs w:val="24"/>
        </w:rPr>
        <w:lastRenderedPageBreak/>
        <w:t>Another important assumption of the joint model is that of conditional independence of the longitudinal observations and event times given the random effects, represented as</w:t>
      </w:r>
      <w:r w:rsidR="00347E91">
        <w:rPr>
          <w:rFonts w:ascii="Times New Roman" w:hAnsi="Times New Roman" w:cs="Times New Roman"/>
          <w:sz w:val="24"/>
          <w:szCs w:val="24"/>
        </w:rPr>
        <w:t xml:space="preserve"> </w:t>
      </w:r>
      <w:r w:rsidR="0040194E">
        <w:rPr>
          <w:rFonts w:ascii="Times New Roman" w:hAnsi="Times New Roman" w:cs="Times New Roman"/>
          <w:sz w:val="24"/>
          <w:szCs w:val="24"/>
        </w:rPr>
        <w:t xml:space="preserve">           </w:t>
      </w:r>
      <m:oMath>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m:rPr>
                    <m:sty m:val="b"/>
                  </m:rP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e>
        </m:d>
        <m:r>
          <m:rPr>
            <m:sty m:val="p"/>
          </m:rPr>
          <w:rPr>
            <w:rFonts w:ascii="Cambria Math" w:hAnsi="Cambria Math" w:cs="Times New Roman"/>
          </w:rPr>
          <m:t>=</m:t>
        </m:r>
        <m:r>
          <w:rPr>
            <w:rFonts w:ascii="Cambria Math" w:hAnsi="Cambria Math" w:cs="Times New Roman"/>
          </w:rPr>
          <m:t>p</m:t>
        </m:r>
        <m:d>
          <m:dPr>
            <m:ctrlPr>
              <w:rPr>
                <w:rFonts w:ascii="Cambria Math" w:hAnsi="Cambria Math" w:cs="Times New Roman"/>
              </w:rPr>
            </m:ctrlPr>
          </m:dPr>
          <m:e>
            <m:sSub>
              <m:sSubPr>
                <m:ctrlPr>
                  <w:rPr>
                    <w:rFonts w:ascii="Cambria Math" w:hAnsi="Cambria Math" w:cs="Times New Roman"/>
                  </w:rPr>
                </m:ctrlPr>
              </m:sSubPr>
              <m:e>
                <m:r>
                  <m:rPr>
                    <m:sty m:val="b"/>
                  </m:rPr>
                  <w:rPr>
                    <w:rFonts w:ascii="Cambria Math" w:hAnsi="Cambria Math" w:cs="Times New Roman"/>
                  </w:rPr>
                  <m:t>y</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e>
        </m:d>
        <m:r>
          <w:rPr>
            <w:rFonts w:ascii="Cambria Math" w:hAnsi="Cambria Math" w:cs="Times New Roman"/>
          </w:rPr>
          <m:t> p</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δ</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ty m:val="b"/>
                  </m:rPr>
                  <w:rPr>
                    <w:rFonts w:ascii="Cambria Math" w:hAnsi="Cambria Math" w:cs="Times New Roman"/>
                  </w:rPr>
                  <m:t>b</m:t>
                </m:r>
              </m:e>
              <m:sub>
                <m:r>
                  <w:rPr>
                    <w:rFonts w:ascii="Cambria Math" w:hAnsi="Cambria Math" w:cs="Times New Roman"/>
                  </w:rPr>
                  <m:t>i</m:t>
                </m:r>
              </m:sub>
            </m:sSub>
          </m:e>
        </m:d>
        <m:r>
          <m:rPr>
            <m:sty m:val="p"/>
          </m:rPr>
          <w:rPr>
            <w:rFonts w:ascii="Cambria Math" w:hAnsi="Cambria Math" w:cs="Times New Roman"/>
          </w:rPr>
          <m:t xml:space="preserve">, </m:t>
        </m:r>
      </m:oMath>
      <w:r w:rsidR="004D0E76" w:rsidRPr="008D0F0D">
        <w:rPr>
          <w:rFonts w:ascii="Times New Roman" w:hAnsi="Times New Roman" w:cs="Times New Roman"/>
          <w:sz w:val="24"/>
          <w:szCs w:val="24"/>
        </w:rPr>
        <w:t xml:space="preserve"> </w:t>
      </w:r>
      <w:r w:rsidR="00A52282" w:rsidRPr="008D0F0D">
        <w:rPr>
          <w:rFonts w:ascii="Times New Roman" w:hAnsi="Times New Roman" w:cs="Times New Roman"/>
          <w:sz w:val="24"/>
          <w:szCs w:val="24"/>
        </w:rPr>
        <w:t xml:space="preserve">which enables the </w:t>
      </w:r>
      <w:r w:rsidRPr="008D0F0D">
        <w:rPr>
          <w:rFonts w:ascii="Times New Roman" w:hAnsi="Times New Roman" w:cs="Times New Roman"/>
        </w:rPr>
        <w:t>likelihoods</w:t>
      </w:r>
      <w:r w:rsidR="00A52282" w:rsidRPr="008D0F0D">
        <w:rPr>
          <w:rFonts w:ascii="Times New Roman" w:hAnsi="Times New Roman" w:cs="Times New Roman"/>
          <w:sz w:val="24"/>
          <w:szCs w:val="24"/>
        </w:rPr>
        <w:t xml:space="preserve"> to </w:t>
      </w:r>
      <w:r w:rsidR="004D0E76" w:rsidRPr="008D0F0D">
        <w:rPr>
          <w:rFonts w:ascii="Times New Roman" w:hAnsi="Times New Roman" w:cs="Times New Roman"/>
          <w:sz w:val="24"/>
          <w:szCs w:val="24"/>
        </w:rPr>
        <w:t>factorise</w:t>
      </w:r>
      <w:r w:rsidR="00A52282" w:rsidRPr="008D0F0D">
        <w:rPr>
          <w:rFonts w:ascii="Times New Roman" w:hAnsi="Times New Roman" w:cs="Times New Roman"/>
          <w:sz w:val="24"/>
          <w:szCs w:val="24"/>
        </w:rPr>
        <w:t xml:space="preserve"> properly, facilitating stable inference about the link between </w:t>
      </w:r>
      <w:r w:rsidR="00DD4155" w:rsidRPr="008D0F0D">
        <w:rPr>
          <w:rFonts w:ascii="Times New Roman" w:hAnsi="Times New Roman" w:cs="Times New Roman"/>
          <w:sz w:val="24"/>
          <w:szCs w:val="24"/>
        </w:rPr>
        <w:t>PSA evolution</w:t>
      </w:r>
      <w:r w:rsidR="00A52282" w:rsidRPr="008D0F0D">
        <w:rPr>
          <w:rFonts w:ascii="Times New Roman" w:hAnsi="Times New Roman" w:cs="Times New Roman"/>
          <w:sz w:val="24"/>
          <w:szCs w:val="24"/>
        </w:rPr>
        <w:t xml:space="preserve"> and survival. This setup directly </w:t>
      </w:r>
      <w:r w:rsidR="004D0E76" w:rsidRPr="008D0F0D">
        <w:rPr>
          <w:rFonts w:ascii="Times New Roman" w:hAnsi="Times New Roman" w:cs="Times New Roman"/>
          <w:sz w:val="24"/>
          <w:szCs w:val="24"/>
        </w:rPr>
        <w:t>addresses the issue of informative dropout, as the survival mechanism is coupled with the biomarker process rather than treating</w:t>
      </w:r>
      <w:r w:rsidR="00A52282" w:rsidRPr="008D0F0D">
        <w:rPr>
          <w:rFonts w:ascii="Times New Roman" w:hAnsi="Times New Roman" w:cs="Times New Roman"/>
          <w:sz w:val="24"/>
          <w:szCs w:val="24"/>
        </w:rPr>
        <w:t xml:space="preserve"> missing post-mortem PSA values as random</w:t>
      </w:r>
      <w:r w:rsidR="00A52282" w:rsidRPr="00505647">
        <w:rPr>
          <w:rFonts w:ascii="Times New Roman" w:hAnsi="Times New Roman" w:cs="Times New Roman"/>
          <w:sz w:val="24"/>
          <w:szCs w:val="24"/>
        </w:rPr>
        <w:t>.</w:t>
      </w:r>
      <w:r w:rsidR="00C01D91">
        <w:rPr>
          <w:rFonts w:ascii="Times New Roman" w:hAnsi="Times New Roman" w:cs="Times New Roman"/>
          <w:sz w:val="24"/>
          <w:szCs w:val="24"/>
        </w:rPr>
        <w:t xml:space="preserve"> </w:t>
      </w:r>
      <w:r w:rsidR="00A52282" w:rsidRPr="00505647">
        <w:rPr>
          <w:rFonts w:ascii="Times New Roman" w:hAnsi="Times New Roman" w:cs="Times New Roman"/>
          <w:sz w:val="24"/>
          <w:szCs w:val="24"/>
        </w:rPr>
        <w:t>Because PSA Levels were measured as an ordinal indicator of severity, this analysis plan used an ordinal model</w:t>
      </w:r>
      <w:r w:rsidR="004D0E76">
        <w:rPr>
          <w:rFonts w:ascii="Times New Roman" w:hAnsi="Times New Roman" w:cs="Times New Roman"/>
          <w:sz w:val="24"/>
          <w:szCs w:val="24"/>
        </w:rPr>
        <w:t xml:space="preserve">, treating PSA score </w:t>
      </w:r>
      <w:r w:rsidR="00A52282" w:rsidRPr="00505647">
        <w:rPr>
          <w:rFonts w:ascii="Times New Roman" w:hAnsi="Times New Roman" w:cs="Times New Roman"/>
          <w:sz w:val="24"/>
          <w:szCs w:val="24"/>
        </w:rPr>
        <w:t xml:space="preserve">as an indicator of an underlying continuous biomarker process. This is because it aligns with a </w:t>
      </w:r>
      <w:r w:rsidR="004D0E76">
        <w:rPr>
          <w:rFonts w:ascii="Times New Roman" w:hAnsi="Times New Roman" w:cs="Times New Roman"/>
          <w:sz w:val="24"/>
          <w:szCs w:val="24"/>
        </w:rPr>
        <w:t>latent-variable model perspective, which treats observations within an ordered category as equivalence points on</w:t>
      </w:r>
      <w:r w:rsidR="00A52282" w:rsidRPr="00505647">
        <w:rPr>
          <w:rFonts w:ascii="Times New Roman" w:hAnsi="Times New Roman" w:cs="Times New Roman"/>
          <w:sz w:val="24"/>
          <w:szCs w:val="24"/>
        </w:rPr>
        <w:t xml:space="preserve"> an underlying continuum of PSA activity levels. For </w:t>
      </w:r>
      <w:r w:rsidR="004D0E76">
        <w:rPr>
          <w:rFonts w:ascii="Times New Roman" w:hAnsi="Times New Roman" w:cs="Times New Roman"/>
          <w:sz w:val="24"/>
          <w:szCs w:val="24"/>
        </w:rPr>
        <w:t xml:space="preserve">further analysis, if needed, models could utilise ordinal mixed effects or even latent joint class models; this model focused on an appropriate mixed-effects model based on the </w:t>
      </w:r>
      <w:r w:rsidR="00A52282" w:rsidRPr="00505647">
        <w:rPr>
          <w:rFonts w:ascii="Times New Roman" w:hAnsi="Times New Roman" w:cs="Times New Roman"/>
          <w:sz w:val="24"/>
          <w:szCs w:val="24"/>
        </w:rPr>
        <w:t>design observations.</w:t>
      </w:r>
    </w:p>
    <w:p w14:paraId="53D6BD8D" w14:textId="1714CE3A" w:rsidR="000662B2"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Model estimation and inference </w:t>
      </w:r>
      <w:r w:rsidR="00DD4155">
        <w:rPr>
          <w:rFonts w:ascii="Times New Roman" w:hAnsi="Times New Roman" w:cs="Times New Roman"/>
          <w:sz w:val="24"/>
          <w:szCs w:val="24"/>
        </w:rPr>
        <w:t>for the longitudinal mixed models were performed using restricted maximum likelihood to obtain stable estimates</w:t>
      </w:r>
      <w:r w:rsidRPr="00505647">
        <w:rPr>
          <w:rFonts w:ascii="Times New Roman" w:hAnsi="Times New Roman" w:cs="Times New Roman"/>
          <w:sz w:val="24"/>
          <w:szCs w:val="24"/>
        </w:rPr>
        <w:t xml:space="preserve"> of the </w:t>
      </w:r>
      <w:r w:rsidR="00705ABF">
        <w:rPr>
          <w:rFonts w:ascii="Times New Roman" w:hAnsi="Times New Roman" w:cs="Times New Roman"/>
          <w:sz w:val="24"/>
          <w:szCs w:val="24"/>
        </w:rPr>
        <w:t>random-effect variance components</w:t>
      </w:r>
      <w:r w:rsidRPr="00505647">
        <w:rPr>
          <w:rFonts w:ascii="Times New Roman" w:hAnsi="Times New Roman" w:cs="Times New Roman"/>
          <w:sz w:val="24"/>
          <w:szCs w:val="24"/>
        </w:rPr>
        <w:t xml:space="preserve">. Cox models were fitted using partial likelihood functions. Joint models were fitted using Bayesian or likelihood-based </w:t>
      </w:r>
      <w:r w:rsidR="004D0E76">
        <w:rPr>
          <w:rFonts w:ascii="Times New Roman" w:hAnsi="Times New Roman" w:cs="Times New Roman"/>
          <w:sz w:val="24"/>
          <w:szCs w:val="24"/>
        </w:rPr>
        <w:t>implementations, depending on computational feasibility and</w:t>
      </w:r>
      <w:r w:rsidRPr="00505647">
        <w:rPr>
          <w:rFonts w:ascii="Times New Roman" w:hAnsi="Times New Roman" w:cs="Times New Roman"/>
          <w:sz w:val="24"/>
          <w:szCs w:val="24"/>
        </w:rPr>
        <w:t xml:space="preserve"> the structure of the repeated PSA observations. The uncertainty of the parameter estimates was expressed using standard errors, confidence intervals, or Bayesian credible intervals for the Bayesian model estimation methods. The </w:t>
      </w:r>
      <w:r w:rsidR="00705ABF">
        <w:rPr>
          <w:rFonts w:ascii="Times New Roman" w:hAnsi="Times New Roman" w:cs="Times New Roman"/>
          <w:sz w:val="24"/>
          <w:szCs w:val="24"/>
        </w:rPr>
        <w:t>model's goodness-of-fit was evaluated using residual analyses, convergence diagnostics, and predictive performance</w:t>
      </w:r>
      <w:r w:rsidRPr="00505647">
        <w:rPr>
          <w:rFonts w:ascii="Times New Roman" w:hAnsi="Times New Roman" w:cs="Times New Roman"/>
          <w:sz w:val="24"/>
          <w:szCs w:val="24"/>
        </w:rPr>
        <w:t xml:space="preserve">. For Cox models, </w:t>
      </w:r>
      <w:r w:rsidR="00C01D91">
        <w:rPr>
          <w:rFonts w:ascii="Times New Roman" w:hAnsi="Times New Roman" w:cs="Times New Roman"/>
          <w:sz w:val="24"/>
          <w:szCs w:val="24"/>
        </w:rPr>
        <w:t>discrimination and calibration measures are reported as</w:t>
      </w:r>
      <w:r w:rsidRPr="00505647">
        <w:rPr>
          <w:rFonts w:ascii="Times New Roman" w:hAnsi="Times New Roman" w:cs="Times New Roman"/>
          <w:sz w:val="24"/>
          <w:szCs w:val="24"/>
        </w:rPr>
        <w:t xml:space="preserve"> the concordance index over time, as appropriate. </w:t>
      </w:r>
      <w:r w:rsidR="004D0E76">
        <w:rPr>
          <w:rFonts w:ascii="Times New Roman" w:hAnsi="Times New Roman" w:cs="Times New Roman"/>
          <w:sz w:val="24"/>
          <w:szCs w:val="24"/>
        </w:rPr>
        <w:t>Kaplan-Meier curves were used to compare survival by PSA level descriptively, and long-term trajectory graphs were used to display the dynamics of PSA severity</w:t>
      </w:r>
      <w:r w:rsidRPr="00505647">
        <w:rPr>
          <w:rFonts w:ascii="Times New Roman" w:hAnsi="Times New Roman" w:cs="Times New Roman"/>
          <w:sz w:val="24"/>
          <w:szCs w:val="24"/>
        </w:rPr>
        <w:t xml:space="preserve">. </w:t>
      </w:r>
    </w:p>
    <w:p w14:paraId="60AE40B0" w14:textId="77777777" w:rsidR="00B029AC" w:rsidRDefault="00B029AC" w:rsidP="00AB7553">
      <w:pPr>
        <w:jc w:val="both"/>
        <w:rPr>
          <w:rFonts w:ascii="Times New Roman" w:hAnsi="Times New Roman" w:cs="Times New Roman"/>
          <w:b/>
          <w:bCs/>
          <w:sz w:val="24"/>
          <w:szCs w:val="24"/>
        </w:rPr>
      </w:pPr>
    </w:p>
    <w:p w14:paraId="6385DF68" w14:textId="5642EDEB" w:rsidR="00AB7553" w:rsidRPr="00E664E6" w:rsidRDefault="00AB7553" w:rsidP="00AB7553">
      <w:pPr>
        <w:jc w:val="both"/>
        <w:rPr>
          <w:rFonts w:ascii="Times New Roman" w:hAnsi="Times New Roman" w:cs="Times New Roman"/>
          <w:sz w:val="24"/>
          <w:szCs w:val="24"/>
        </w:rPr>
      </w:pPr>
      <w:r w:rsidRPr="00AE4271">
        <w:rPr>
          <w:rFonts w:ascii="Times New Roman" w:hAnsi="Times New Roman" w:cs="Times New Roman"/>
          <w:b/>
          <w:bCs/>
          <w:sz w:val="24"/>
          <w:szCs w:val="24"/>
        </w:rPr>
        <w:t>The Inclusion and Exclusion Criteria</w:t>
      </w:r>
    </w:p>
    <w:p w14:paraId="21D87326" w14:textId="77777777"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Inclusion criteria</w:t>
      </w:r>
    </w:p>
    <w:p w14:paraId="07C62E88" w14:textId="1A8BA679"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The inclusion criteria were that the patients must have been diagnosed with prostate cancer and have a unique identifier in the dataset. The eligible records had to </w:t>
      </w:r>
      <w:r w:rsidR="00B029AC">
        <w:rPr>
          <w:rFonts w:ascii="Times New Roman" w:hAnsi="Times New Roman" w:cs="Times New Roman"/>
          <w:sz w:val="24"/>
          <w:szCs w:val="24"/>
        </w:rPr>
        <w:t xml:space="preserve">include a documented age at diagnosis, a recorded cancer stage, and at least one valid PSA level measurement </w:t>
      </w:r>
      <w:r w:rsidR="00B54EBD">
        <w:rPr>
          <w:rFonts w:ascii="Times New Roman" w:hAnsi="Times New Roman" w:cs="Times New Roman"/>
          <w:sz w:val="24"/>
          <w:szCs w:val="24"/>
        </w:rPr>
        <w:t>(low, moderate, or high)</w:t>
      </w:r>
      <w:r w:rsidRPr="00E664E6">
        <w:rPr>
          <w:rFonts w:ascii="Times New Roman" w:hAnsi="Times New Roman" w:cs="Times New Roman"/>
          <w:sz w:val="24"/>
          <w:szCs w:val="24"/>
        </w:rPr>
        <w:t>. Patients needed to have a clear follow-up time or survival time in months and an occurrence indicator of a clear code of death or right censoring. Records that had information on at least one of the therapeutic modalities</w:t>
      </w:r>
      <w:r w:rsidR="003F0CB7">
        <w:rPr>
          <w:rFonts w:ascii="Times New Roman" w:hAnsi="Times New Roman" w:cs="Times New Roman"/>
          <w:sz w:val="24"/>
          <w:szCs w:val="24"/>
        </w:rPr>
        <w:t>, such as chemotherapy, radiation therapy, and hormone therapy,</w:t>
      </w:r>
      <w:r w:rsidRPr="00E664E6">
        <w:rPr>
          <w:rFonts w:ascii="Times New Roman" w:hAnsi="Times New Roman" w:cs="Times New Roman"/>
          <w:sz w:val="24"/>
          <w:szCs w:val="24"/>
        </w:rPr>
        <w:t xml:space="preserve"> were also eligible. Patients whose data </w:t>
      </w:r>
      <w:r w:rsidR="003F0CB7">
        <w:rPr>
          <w:rFonts w:ascii="Times New Roman" w:hAnsi="Times New Roman" w:cs="Times New Roman"/>
          <w:sz w:val="24"/>
          <w:szCs w:val="24"/>
        </w:rPr>
        <w:t>contained sufficient information for longitudinal analysis by PSA and time-to-event</w:t>
      </w:r>
      <w:r w:rsidRPr="00E664E6">
        <w:rPr>
          <w:rFonts w:ascii="Times New Roman" w:hAnsi="Times New Roman" w:cs="Times New Roman"/>
          <w:sz w:val="24"/>
          <w:szCs w:val="24"/>
        </w:rPr>
        <w:t xml:space="preserve"> analysis were retained.</w:t>
      </w:r>
    </w:p>
    <w:p w14:paraId="58F3D3F2" w14:textId="77777777"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Exclusion criteria</w:t>
      </w:r>
    </w:p>
    <w:p w14:paraId="1D16E221" w14:textId="5D581CC9"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Patients were excluded </w:t>
      </w:r>
      <w:r w:rsidR="004B44A2">
        <w:rPr>
          <w:rFonts w:ascii="Times New Roman" w:hAnsi="Times New Roman" w:cs="Times New Roman"/>
          <w:sz w:val="24"/>
          <w:szCs w:val="24"/>
        </w:rPr>
        <w:t>if age or cancer stage data were unavailable, implausible, or if follow-up or survival time was absent or non-positive, or if the status of the events differed</w:t>
      </w:r>
      <w:r w:rsidRPr="00E664E6">
        <w:rPr>
          <w:rFonts w:ascii="Times New Roman" w:hAnsi="Times New Roman" w:cs="Times New Roman"/>
          <w:sz w:val="24"/>
          <w:szCs w:val="24"/>
        </w:rPr>
        <w:t xml:space="preserve">. </w:t>
      </w:r>
      <w:r w:rsidR="004B44A2">
        <w:rPr>
          <w:rFonts w:ascii="Times New Roman" w:hAnsi="Times New Roman" w:cs="Times New Roman"/>
          <w:sz w:val="24"/>
          <w:szCs w:val="24"/>
        </w:rPr>
        <w:t>Records with undefined or ambiguous event coding</w:t>
      </w:r>
      <w:r w:rsidRPr="00E664E6">
        <w:rPr>
          <w:rFonts w:ascii="Times New Roman" w:hAnsi="Times New Roman" w:cs="Times New Roman"/>
          <w:sz w:val="24"/>
          <w:szCs w:val="24"/>
        </w:rPr>
        <w:t xml:space="preserve"> were eliminated. Patients who lacked information regarding PSA severity or those who had a PSA value that could not be assigned with any degree of </w:t>
      </w:r>
      <w:r w:rsidRPr="00E664E6">
        <w:rPr>
          <w:rFonts w:ascii="Times New Roman" w:hAnsi="Times New Roman" w:cs="Times New Roman"/>
          <w:sz w:val="24"/>
          <w:szCs w:val="24"/>
        </w:rPr>
        <w:lastRenderedPageBreak/>
        <w:t>confidence were not included in the longitudinal analysis. Duplicated records of patients, incomplete identifiers and observations whose treatment information is structurally missing</w:t>
      </w:r>
      <w:r w:rsidR="008844A2">
        <w:rPr>
          <w:rFonts w:ascii="Times New Roman" w:hAnsi="Times New Roman" w:cs="Times New Roman"/>
          <w:sz w:val="24"/>
          <w:szCs w:val="24"/>
        </w:rPr>
        <w:t>, where adjustment of covariates could not be made,</w:t>
      </w:r>
      <w:r w:rsidRPr="00E664E6">
        <w:rPr>
          <w:rFonts w:ascii="Times New Roman" w:hAnsi="Times New Roman" w:cs="Times New Roman"/>
          <w:sz w:val="24"/>
          <w:szCs w:val="24"/>
        </w:rPr>
        <w:t xml:space="preserve"> were also eliminated. These criteria </w:t>
      </w:r>
      <w:r w:rsidR="008844A2">
        <w:rPr>
          <w:rFonts w:ascii="Times New Roman" w:hAnsi="Times New Roman" w:cs="Times New Roman"/>
          <w:sz w:val="24"/>
          <w:szCs w:val="24"/>
        </w:rPr>
        <w:t xml:space="preserve">ensured data internal consistency and maintained the validity of the </w:t>
      </w:r>
      <w:r w:rsidR="00B029AC">
        <w:rPr>
          <w:rFonts w:ascii="Times New Roman" w:hAnsi="Times New Roman" w:cs="Times New Roman"/>
          <w:sz w:val="24"/>
          <w:szCs w:val="24"/>
        </w:rPr>
        <w:t>inferences from longitudinal, survival, and joint modelling</w:t>
      </w:r>
      <w:r w:rsidRPr="00E664E6">
        <w:rPr>
          <w:rFonts w:ascii="Times New Roman" w:hAnsi="Times New Roman" w:cs="Times New Roman"/>
          <w:sz w:val="24"/>
          <w:szCs w:val="24"/>
        </w:rPr>
        <w:t>.</w:t>
      </w:r>
    </w:p>
    <w:p w14:paraId="11EDBF18" w14:textId="59F258CB" w:rsidR="00AB7553" w:rsidRPr="00E664E6" w:rsidRDefault="009F1A45" w:rsidP="00AB7553">
      <w:pPr>
        <w:jc w:val="both"/>
        <w:rPr>
          <w:rFonts w:ascii="Times New Roman" w:hAnsi="Times New Roman" w:cs="Times New Roman"/>
          <w:sz w:val="24"/>
          <w:szCs w:val="24"/>
        </w:rPr>
      </w:pPr>
      <w:r w:rsidRPr="00E664E6">
        <w:rPr>
          <w:rFonts w:ascii="Times New Roman" w:hAnsi="Times New Roman" w:cs="Times New Roman"/>
          <w:sz w:val="24"/>
          <w:szCs w:val="24"/>
        </w:rPr>
        <w:t>Importance</w:t>
      </w:r>
      <w:r>
        <w:rPr>
          <w:rFonts w:ascii="Times New Roman" w:hAnsi="Times New Roman" w:cs="Times New Roman"/>
          <w:sz w:val="24"/>
          <w:szCs w:val="24"/>
        </w:rPr>
        <w:t xml:space="preserve"> of </w:t>
      </w:r>
      <w:r w:rsidR="00AB7553" w:rsidRPr="00E664E6">
        <w:rPr>
          <w:rFonts w:ascii="Times New Roman" w:hAnsi="Times New Roman" w:cs="Times New Roman"/>
          <w:sz w:val="24"/>
          <w:szCs w:val="24"/>
        </w:rPr>
        <w:t>Family history of cancer</w:t>
      </w:r>
    </w:p>
    <w:p w14:paraId="7543AADA" w14:textId="5FF6E618"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Clinical Family history of cancer is </w:t>
      </w:r>
      <w:r w:rsidR="008844A2">
        <w:rPr>
          <w:rFonts w:ascii="Times New Roman" w:hAnsi="Times New Roman" w:cs="Times New Roman"/>
          <w:sz w:val="24"/>
          <w:szCs w:val="24"/>
        </w:rPr>
        <w:t xml:space="preserve">a </w:t>
      </w:r>
      <w:r w:rsidRPr="00E664E6">
        <w:rPr>
          <w:rFonts w:ascii="Times New Roman" w:hAnsi="Times New Roman" w:cs="Times New Roman"/>
          <w:sz w:val="24"/>
          <w:szCs w:val="24"/>
        </w:rPr>
        <w:t>clinically relevant risk factor in prostate cancer studies since it implies a genetic predisposition and environmental exposures. Males who have a first-degree relative with prostate cancer are at much greater risk throughout their lifetime</w:t>
      </w:r>
      <w:r w:rsidR="008844A2">
        <w:rPr>
          <w:rFonts w:ascii="Times New Roman" w:hAnsi="Times New Roman" w:cs="Times New Roman"/>
          <w:sz w:val="24"/>
          <w:szCs w:val="24"/>
        </w:rPr>
        <w:t>; they develop the disease earlier,</w:t>
      </w:r>
      <w:r w:rsidRPr="00E664E6">
        <w:rPr>
          <w:rFonts w:ascii="Times New Roman" w:hAnsi="Times New Roman" w:cs="Times New Roman"/>
          <w:sz w:val="24"/>
          <w:szCs w:val="24"/>
        </w:rPr>
        <w:t xml:space="preserve"> and the disease may exhibit more aggressive phenotypes. Risk-adapted screening policies, </w:t>
      </w:r>
      <w:r w:rsidR="008844A2">
        <w:rPr>
          <w:rFonts w:ascii="Times New Roman" w:hAnsi="Times New Roman" w:cs="Times New Roman"/>
          <w:sz w:val="24"/>
          <w:szCs w:val="24"/>
        </w:rPr>
        <w:t>counselling</w:t>
      </w:r>
      <w:r w:rsidRPr="00E664E6">
        <w:rPr>
          <w:rFonts w:ascii="Times New Roman" w:hAnsi="Times New Roman" w:cs="Times New Roman"/>
          <w:sz w:val="24"/>
          <w:szCs w:val="24"/>
        </w:rPr>
        <w:t xml:space="preserve"> </w:t>
      </w:r>
      <w:r w:rsidR="008844A2">
        <w:rPr>
          <w:rFonts w:ascii="Times New Roman" w:hAnsi="Times New Roman" w:cs="Times New Roman"/>
          <w:sz w:val="24"/>
          <w:szCs w:val="24"/>
        </w:rPr>
        <w:t xml:space="preserve">on preventive measures, and the involvement of patients who might need increased </w:t>
      </w:r>
      <w:r w:rsidRPr="00E664E6">
        <w:rPr>
          <w:rFonts w:ascii="Times New Roman" w:hAnsi="Times New Roman" w:cs="Times New Roman"/>
          <w:sz w:val="24"/>
          <w:szCs w:val="24"/>
        </w:rPr>
        <w:t>surveillance or specific treatment are also informed by family history. Statistically, family history is an upstream covariate</w:t>
      </w:r>
      <w:r w:rsidR="008844A2">
        <w:rPr>
          <w:rFonts w:ascii="Times New Roman" w:hAnsi="Times New Roman" w:cs="Times New Roman"/>
          <w:sz w:val="24"/>
          <w:szCs w:val="24"/>
        </w:rPr>
        <w:t xml:space="preserve"> </w:t>
      </w:r>
      <w:r w:rsidR="00B029AC">
        <w:rPr>
          <w:rFonts w:ascii="Times New Roman" w:hAnsi="Times New Roman" w:cs="Times New Roman"/>
          <w:sz w:val="24"/>
          <w:szCs w:val="24"/>
        </w:rPr>
        <w:t>that can alter baseline risk and biomarker trajectories, and its absence will lead to</w:t>
      </w:r>
      <w:r w:rsidR="008844A2">
        <w:rPr>
          <w:rFonts w:ascii="Times New Roman" w:hAnsi="Times New Roman" w:cs="Times New Roman"/>
          <w:sz w:val="24"/>
          <w:szCs w:val="24"/>
        </w:rPr>
        <w:t xml:space="preserve"> residual confounding in prognostic models, particularly when analysing longitudinal biomarkers</w:t>
      </w:r>
      <w:r w:rsidRPr="00E664E6">
        <w:rPr>
          <w:rFonts w:ascii="Times New Roman" w:hAnsi="Times New Roman" w:cs="Times New Roman"/>
          <w:sz w:val="24"/>
          <w:szCs w:val="24"/>
        </w:rPr>
        <w:t xml:space="preserve"> like PSA.</w:t>
      </w:r>
      <w:r w:rsidR="00A61F05">
        <w:rPr>
          <w:rFonts w:ascii="Times New Roman" w:hAnsi="Times New Roman" w:cs="Times New Roman"/>
          <w:sz w:val="24"/>
          <w:szCs w:val="24"/>
        </w:rPr>
        <w:t xml:space="preserve"> </w:t>
      </w:r>
      <w:r w:rsidRPr="00E664E6">
        <w:rPr>
          <w:rFonts w:ascii="Times New Roman" w:hAnsi="Times New Roman" w:cs="Times New Roman"/>
          <w:sz w:val="24"/>
          <w:szCs w:val="24"/>
        </w:rPr>
        <w:t xml:space="preserve">In the present study, </w:t>
      </w:r>
      <w:r w:rsidR="008844A2">
        <w:rPr>
          <w:rFonts w:ascii="Times New Roman" w:hAnsi="Times New Roman" w:cs="Times New Roman"/>
          <w:sz w:val="24"/>
          <w:szCs w:val="24"/>
        </w:rPr>
        <w:t>molecular genetic testing is used</w:t>
      </w:r>
      <w:r w:rsidRPr="00E664E6">
        <w:rPr>
          <w:rFonts w:ascii="Times New Roman" w:hAnsi="Times New Roman" w:cs="Times New Roman"/>
          <w:sz w:val="24"/>
          <w:szCs w:val="24"/>
        </w:rPr>
        <w:t>.</w:t>
      </w:r>
    </w:p>
    <w:p w14:paraId="3FFE5FE9" w14:textId="2A91AD77"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None of the variables (family history of cancer or molecular genetic testing records) </w:t>
      </w:r>
      <w:r w:rsidR="00A61F05">
        <w:rPr>
          <w:rFonts w:ascii="Times New Roman" w:hAnsi="Times New Roman" w:cs="Times New Roman"/>
          <w:sz w:val="24"/>
          <w:szCs w:val="24"/>
        </w:rPr>
        <w:t>was</w:t>
      </w:r>
      <w:r w:rsidRPr="00E664E6">
        <w:rPr>
          <w:rFonts w:ascii="Times New Roman" w:hAnsi="Times New Roman" w:cs="Times New Roman"/>
          <w:sz w:val="24"/>
          <w:szCs w:val="24"/>
        </w:rPr>
        <w:t xml:space="preserve"> included in the study dataset. As a result, the list of patients </w:t>
      </w:r>
      <w:r w:rsidR="00A61F05">
        <w:rPr>
          <w:rFonts w:ascii="Times New Roman" w:hAnsi="Times New Roman" w:cs="Times New Roman"/>
          <w:sz w:val="24"/>
          <w:szCs w:val="24"/>
        </w:rPr>
        <w:t>who have undergone molecular genetic testing cannot be established based on the available</w:t>
      </w:r>
      <w:r w:rsidRPr="00E664E6">
        <w:rPr>
          <w:rFonts w:ascii="Times New Roman" w:hAnsi="Times New Roman" w:cs="Times New Roman"/>
          <w:sz w:val="24"/>
          <w:szCs w:val="24"/>
        </w:rPr>
        <w:t xml:space="preserve"> information. This constitutes a significant limitation of </w:t>
      </w:r>
      <w:r w:rsidR="00A61F05">
        <w:rPr>
          <w:rFonts w:ascii="Times New Roman" w:hAnsi="Times New Roman" w:cs="Times New Roman"/>
          <w:sz w:val="24"/>
          <w:szCs w:val="24"/>
        </w:rPr>
        <w:t xml:space="preserve">the </w:t>
      </w:r>
      <w:r w:rsidRPr="00E664E6">
        <w:rPr>
          <w:rFonts w:ascii="Times New Roman" w:hAnsi="Times New Roman" w:cs="Times New Roman"/>
          <w:sz w:val="24"/>
          <w:szCs w:val="24"/>
        </w:rPr>
        <w:t xml:space="preserve">data. Lack of genetic testing data </w:t>
      </w:r>
      <w:r w:rsidR="00A61F05">
        <w:rPr>
          <w:rFonts w:ascii="Times New Roman" w:hAnsi="Times New Roman" w:cs="Times New Roman"/>
          <w:sz w:val="24"/>
          <w:szCs w:val="24"/>
        </w:rPr>
        <w:t xml:space="preserve">prevents direct evaluation of germ-line or somatic mutations, including BRCA1, BRCA2, ATM, and other DNA repair genes, which are considered to impact prostate cancer aggressiveness, treatment response, and </w:t>
      </w:r>
      <w:r w:rsidRPr="00E664E6">
        <w:rPr>
          <w:rFonts w:ascii="Times New Roman" w:hAnsi="Times New Roman" w:cs="Times New Roman"/>
          <w:sz w:val="24"/>
          <w:szCs w:val="24"/>
        </w:rPr>
        <w:t>survival.</w:t>
      </w:r>
    </w:p>
    <w:p w14:paraId="07048AD5" w14:textId="7286987D"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The addition of family history and molecular genetic testing to </w:t>
      </w:r>
      <w:r w:rsidR="00A61F05">
        <w:rPr>
          <w:rFonts w:ascii="Times New Roman" w:hAnsi="Times New Roman" w:cs="Times New Roman"/>
          <w:sz w:val="24"/>
          <w:szCs w:val="24"/>
        </w:rPr>
        <w:t>future datasets would facilitate longer-term joint modelling</w:t>
      </w:r>
      <w:r w:rsidR="00732C70">
        <w:rPr>
          <w:rFonts w:ascii="Times New Roman" w:hAnsi="Times New Roman" w:cs="Times New Roman"/>
          <w:sz w:val="24"/>
          <w:szCs w:val="24"/>
        </w:rPr>
        <w:t xml:space="preserve"> that combines genetic risk, longitudinal biomarker dynamics</w:t>
      </w:r>
      <w:r w:rsidR="00A61F05">
        <w:rPr>
          <w:rFonts w:ascii="Times New Roman" w:hAnsi="Times New Roman" w:cs="Times New Roman"/>
          <w:sz w:val="24"/>
          <w:szCs w:val="24"/>
        </w:rPr>
        <w:t>,</w:t>
      </w:r>
      <w:r w:rsidRPr="00E664E6">
        <w:rPr>
          <w:rFonts w:ascii="Times New Roman" w:hAnsi="Times New Roman" w:cs="Times New Roman"/>
          <w:sz w:val="24"/>
          <w:szCs w:val="24"/>
        </w:rPr>
        <w:t xml:space="preserve"> and survival outcomes. This type of integration would enhance the causal interpretation, better </w:t>
      </w:r>
      <w:r w:rsidR="00A61F05">
        <w:rPr>
          <w:rFonts w:ascii="Times New Roman" w:hAnsi="Times New Roman" w:cs="Times New Roman"/>
          <w:sz w:val="24"/>
          <w:szCs w:val="24"/>
        </w:rPr>
        <w:t xml:space="preserve">predict individual risks, and be consistent with prognostic modelling and precision oncology goals within </w:t>
      </w:r>
      <w:r w:rsidRPr="00E664E6">
        <w:rPr>
          <w:rFonts w:ascii="Times New Roman" w:hAnsi="Times New Roman" w:cs="Times New Roman"/>
          <w:sz w:val="24"/>
          <w:szCs w:val="24"/>
        </w:rPr>
        <w:t>evidence-based cancer control strategies.</w:t>
      </w:r>
      <w:r w:rsidR="00394C08">
        <w:rPr>
          <w:rFonts w:ascii="Times New Roman" w:hAnsi="Times New Roman" w:cs="Times New Roman"/>
          <w:sz w:val="24"/>
          <w:szCs w:val="24"/>
        </w:rPr>
        <w:t xml:space="preserve"> </w:t>
      </w:r>
      <w:r w:rsidRPr="00E664E6">
        <w:rPr>
          <w:rFonts w:ascii="Times New Roman" w:hAnsi="Times New Roman" w:cs="Times New Roman"/>
          <w:sz w:val="24"/>
          <w:szCs w:val="24"/>
        </w:rPr>
        <w:t xml:space="preserve">This </w:t>
      </w:r>
      <w:r w:rsidR="00732C70">
        <w:rPr>
          <w:rFonts w:ascii="Times New Roman" w:hAnsi="Times New Roman" w:cs="Times New Roman"/>
          <w:sz w:val="24"/>
          <w:szCs w:val="24"/>
        </w:rPr>
        <w:t>prevented including</w:t>
      </w:r>
      <w:r w:rsidR="00A61F05">
        <w:rPr>
          <w:rFonts w:ascii="Times New Roman" w:hAnsi="Times New Roman" w:cs="Times New Roman"/>
          <w:sz w:val="24"/>
          <w:szCs w:val="24"/>
        </w:rPr>
        <w:t xml:space="preserve"> mutation status in the statistical analysis, as the models were </w:t>
      </w:r>
      <w:r w:rsidRPr="00E664E6">
        <w:rPr>
          <w:rFonts w:ascii="Times New Roman" w:hAnsi="Times New Roman" w:cs="Times New Roman"/>
          <w:sz w:val="24"/>
          <w:szCs w:val="24"/>
        </w:rPr>
        <w:t>restricted to clinical, pathological, treatment-related, and biomarker (PSA) data. This lack of genetic data is a known study limitation and is indicative of typical constraints of routine clinical datasets, especially of a retrospective kind.</w:t>
      </w:r>
    </w:p>
    <w:p w14:paraId="544ED097" w14:textId="493143E4"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In research terms, there is a gap in the missing mutation information that can be used in a future study. The combination of molecular genetic data with longitudinal PSA patterns and survival would </w:t>
      </w:r>
      <w:r w:rsidR="00A61F05">
        <w:rPr>
          <w:rFonts w:ascii="Times New Roman" w:hAnsi="Times New Roman" w:cs="Times New Roman"/>
          <w:sz w:val="24"/>
          <w:szCs w:val="24"/>
        </w:rPr>
        <w:t>enable more detailed, precision-oriented modelling schemas that are congruent with precision oncology, enhance personalised risk stratification, and support causal explanations of disease evolution</w:t>
      </w:r>
      <w:r w:rsidRPr="00E664E6">
        <w:rPr>
          <w:rFonts w:ascii="Times New Roman" w:hAnsi="Times New Roman" w:cs="Times New Roman"/>
          <w:sz w:val="24"/>
          <w:szCs w:val="24"/>
        </w:rPr>
        <w:t>.</w:t>
      </w:r>
    </w:p>
    <w:p w14:paraId="11E2CBF9" w14:textId="2A67854E" w:rsidR="00AB7553" w:rsidRPr="00E664E6" w:rsidRDefault="00AB7553" w:rsidP="00AB7553">
      <w:pPr>
        <w:jc w:val="both"/>
        <w:rPr>
          <w:rFonts w:ascii="Times New Roman" w:hAnsi="Times New Roman" w:cs="Times New Roman"/>
          <w:sz w:val="24"/>
          <w:szCs w:val="24"/>
        </w:rPr>
      </w:pPr>
      <w:r w:rsidRPr="00E664E6">
        <w:rPr>
          <w:rFonts w:ascii="Times New Roman" w:hAnsi="Times New Roman" w:cs="Times New Roman"/>
          <w:sz w:val="24"/>
          <w:szCs w:val="24"/>
        </w:rPr>
        <w:t xml:space="preserve">The research was conducted </w:t>
      </w:r>
      <w:r w:rsidR="00A61F05">
        <w:rPr>
          <w:rFonts w:ascii="Times New Roman" w:hAnsi="Times New Roman" w:cs="Times New Roman"/>
          <w:sz w:val="24"/>
          <w:szCs w:val="24"/>
        </w:rPr>
        <w:t xml:space="preserve">using retrospectively collected clinical data, and the dataset available was further restricted to </w:t>
      </w:r>
      <w:r w:rsidRPr="00E664E6">
        <w:rPr>
          <w:rFonts w:ascii="Times New Roman" w:hAnsi="Times New Roman" w:cs="Times New Roman"/>
          <w:sz w:val="24"/>
          <w:szCs w:val="24"/>
        </w:rPr>
        <w:t xml:space="preserve">routinely recorded demographic, pathological, treatment, biomarker, and survival data. Data on other somatic pathology, comorbid and occupational exposures of patients </w:t>
      </w:r>
      <w:r w:rsidR="00A61F05">
        <w:rPr>
          <w:rFonts w:ascii="Times New Roman" w:hAnsi="Times New Roman" w:cs="Times New Roman"/>
          <w:sz w:val="24"/>
          <w:szCs w:val="24"/>
        </w:rPr>
        <w:t>were</w:t>
      </w:r>
      <w:r w:rsidRPr="00E664E6">
        <w:rPr>
          <w:rFonts w:ascii="Times New Roman" w:hAnsi="Times New Roman" w:cs="Times New Roman"/>
          <w:sz w:val="24"/>
          <w:szCs w:val="24"/>
        </w:rPr>
        <w:t xml:space="preserve"> not included in the source data and thus could not be incorporated in the analysis. This weakness is </w:t>
      </w:r>
      <w:r w:rsidR="00A61F05">
        <w:rPr>
          <w:rFonts w:ascii="Times New Roman" w:hAnsi="Times New Roman" w:cs="Times New Roman"/>
          <w:sz w:val="24"/>
          <w:szCs w:val="24"/>
        </w:rPr>
        <w:t>recognised</w:t>
      </w:r>
      <w:r w:rsidRPr="00E664E6">
        <w:rPr>
          <w:rFonts w:ascii="Times New Roman" w:hAnsi="Times New Roman" w:cs="Times New Roman"/>
          <w:sz w:val="24"/>
          <w:szCs w:val="24"/>
        </w:rPr>
        <w:t xml:space="preserve"> since comorbid disease burden and work factors could affect the outcome of survival even within the same cancer stage. Nevertheless, the main aim of the research was </w:t>
      </w:r>
      <w:r w:rsidR="00A61F05">
        <w:rPr>
          <w:rFonts w:ascii="Times New Roman" w:hAnsi="Times New Roman" w:cs="Times New Roman"/>
          <w:sz w:val="24"/>
          <w:szCs w:val="24"/>
        </w:rPr>
        <w:lastRenderedPageBreak/>
        <w:t xml:space="preserve">methodological and sought to address the shortcomings of current research on prostate cancer by incorporating longitudinal PSA dynamics with survival data in </w:t>
      </w:r>
      <w:r w:rsidRPr="00E664E6">
        <w:rPr>
          <w:rFonts w:ascii="Times New Roman" w:hAnsi="Times New Roman" w:cs="Times New Roman"/>
          <w:sz w:val="24"/>
          <w:szCs w:val="24"/>
        </w:rPr>
        <w:t xml:space="preserve">a joint model. Future research </w:t>
      </w:r>
      <w:r w:rsidR="00A61F05">
        <w:rPr>
          <w:rFonts w:ascii="Times New Roman" w:hAnsi="Times New Roman" w:cs="Times New Roman"/>
          <w:sz w:val="24"/>
          <w:szCs w:val="24"/>
        </w:rPr>
        <w:t xml:space="preserve">correlating clinical records with comorbidity indices, occupational history, and molecular pathology would permit generalisation of the proposed framework and </w:t>
      </w:r>
      <w:r w:rsidRPr="00E664E6">
        <w:rPr>
          <w:rFonts w:ascii="Times New Roman" w:hAnsi="Times New Roman" w:cs="Times New Roman"/>
          <w:sz w:val="24"/>
          <w:szCs w:val="24"/>
        </w:rPr>
        <w:t>more detailed correction of non-cancer determinants of survival.</w:t>
      </w:r>
    </w:p>
    <w:p w14:paraId="56E59FF4" w14:textId="0C2BB226" w:rsidR="00A52282" w:rsidRPr="00032DE1" w:rsidRDefault="00B246D8" w:rsidP="00505647">
      <w:pPr>
        <w:jc w:val="both"/>
        <w:rPr>
          <w:rFonts w:ascii="Times New Roman" w:hAnsi="Times New Roman" w:cs="Times New Roman"/>
          <w:b/>
          <w:bCs/>
          <w:sz w:val="24"/>
          <w:szCs w:val="24"/>
        </w:rPr>
      </w:pPr>
      <w:r>
        <w:rPr>
          <w:rFonts w:ascii="Times New Roman" w:hAnsi="Times New Roman" w:cs="Times New Roman"/>
          <w:b/>
          <w:bCs/>
          <w:sz w:val="24"/>
          <w:szCs w:val="24"/>
        </w:rPr>
        <w:t xml:space="preserve">Results and </w:t>
      </w:r>
      <w:r w:rsidR="00A52282" w:rsidRPr="00032DE1">
        <w:rPr>
          <w:rFonts w:ascii="Times New Roman" w:hAnsi="Times New Roman" w:cs="Times New Roman"/>
          <w:b/>
          <w:bCs/>
          <w:sz w:val="24"/>
          <w:szCs w:val="24"/>
        </w:rPr>
        <w:t>Discussion</w:t>
      </w:r>
    </w:p>
    <w:p w14:paraId="72F9694A" w14:textId="1F890CAA" w:rsidR="001D19B2" w:rsidRPr="001D19B2" w:rsidRDefault="001D19B2" w:rsidP="001D19B2">
      <w:pPr>
        <w:pStyle w:val="TableCaption"/>
        <w:pBdr>
          <w:top w:val="none" w:sz="0" w:space="0" w:color="000000"/>
          <w:left w:val="none" w:sz="0" w:space="0" w:color="000000"/>
          <w:bottom w:val="none" w:sz="0" w:space="0" w:color="000000"/>
          <w:right w:val="none" w:sz="0" w:space="0" w:color="000000"/>
        </w:pBdr>
        <w:spacing w:after="0"/>
        <w:ind w:left="60" w:right="60"/>
        <w:jc w:val="center"/>
        <w:rPr>
          <w:rFonts w:ascii="Times New Roman" w:hAnsi="Times New Roman" w:cs="Times New Roman"/>
          <w:i w:val="0"/>
          <w:iCs/>
        </w:rPr>
      </w:pPr>
      <w:r w:rsidRPr="001D19B2">
        <w:rPr>
          <w:rFonts w:ascii="Times New Roman" w:hAnsi="Times New Roman" w:cs="Times New Roman"/>
          <w:i w:val="0"/>
          <w:iCs/>
        </w:rPr>
        <w:t xml:space="preserve">Table </w:t>
      </w:r>
      <w:r w:rsidR="0040194E">
        <w:rPr>
          <w:rFonts w:ascii="Times New Roman" w:hAnsi="Times New Roman" w:cs="Times New Roman"/>
          <w:i w:val="0"/>
          <w:iCs/>
        </w:rPr>
        <w:t>1</w:t>
      </w:r>
      <w:r>
        <w:rPr>
          <w:rFonts w:ascii="Times New Roman" w:hAnsi="Times New Roman" w:cs="Times New Roman"/>
          <w:i w:val="0"/>
          <w:iCs/>
        </w:rPr>
        <w:t>:</w:t>
      </w:r>
      <w:r w:rsidRPr="001D19B2">
        <w:rPr>
          <w:rFonts w:ascii="Times New Roman" w:hAnsi="Times New Roman" w:cs="Times New Roman"/>
          <w:i w:val="0"/>
          <w:iCs/>
        </w:rPr>
        <w:t xml:space="preserve"> Categorical Variables Summary (Counts and Percentages)</w:t>
      </w:r>
    </w:p>
    <w:tbl>
      <w:tblPr>
        <w:tblStyle w:val="Table"/>
        <w:tblW w:w="0" w:type="auto"/>
        <w:jc w:val="center"/>
        <w:tblLayout w:type="fixed"/>
        <w:tblLook w:val="0420" w:firstRow="1" w:lastRow="0" w:firstColumn="0" w:lastColumn="0" w:noHBand="0" w:noVBand="1"/>
      </w:tblPr>
      <w:tblGrid>
        <w:gridCol w:w="2752"/>
        <w:gridCol w:w="1680"/>
        <w:gridCol w:w="993"/>
        <w:gridCol w:w="1312"/>
      </w:tblGrid>
      <w:tr w:rsidR="001D19B2" w:rsidRPr="001D19B2" w14:paraId="713CE168" w14:textId="77777777" w:rsidTr="001D19B2">
        <w:trPr>
          <w:cnfStyle w:val="100000000000" w:firstRow="1" w:lastRow="0" w:firstColumn="0" w:lastColumn="0" w:oddVBand="0" w:evenVBand="0" w:oddHBand="0" w:evenHBand="0" w:firstRowFirstColumn="0" w:firstRowLastColumn="0" w:lastRowFirstColumn="0" w:lastRowLastColumn="0"/>
          <w:trHeight w:val="445"/>
          <w:tblHeader/>
          <w:jc w:val="center"/>
        </w:trPr>
        <w:tc>
          <w:tcPr>
            <w:tcW w:w="275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5493DA8"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Variable</w:t>
            </w:r>
          </w:p>
        </w:tc>
        <w:tc>
          <w:tcPr>
            <w:tcW w:w="16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5CF46F3"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Level</w:t>
            </w:r>
          </w:p>
        </w:tc>
        <w:tc>
          <w:tcPr>
            <w:tcW w:w="99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E1A7D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w:t>
            </w:r>
          </w:p>
        </w:tc>
        <w:tc>
          <w:tcPr>
            <w:tcW w:w="1312"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F12C49"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pct</w:t>
            </w:r>
          </w:p>
        </w:tc>
      </w:tr>
      <w:tr w:rsidR="001D19B2" w:rsidRPr="001D19B2" w14:paraId="1E53D1AF" w14:textId="77777777" w:rsidTr="001D19B2">
        <w:trPr>
          <w:trHeight w:val="438"/>
          <w:jc w:val="center"/>
        </w:trPr>
        <w:tc>
          <w:tcPr>
            <w:tcW w:w="275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03A68" w14:textId="41F9D048"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ED89B6" w14:textId="3C9BEFFA"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w:t>
            </w:r>
          </w:p>
        </w:tc>
        <w:tc>
          <w:tcPr>
            <w:tcW w:w="9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8F477" w14:textId="704A5376"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77 </w:t>
            </w:r>
          </w:p>
        </w:tc>
        <w:tc>
          <w:tcPr>
            <w:tcW w:w="1312"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761E7" w14:textId="482FC958"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25.7</w:t>
            </w:r>
            <w:r w:rsidR="001D19B2" w:rsidRPr="001D19B2">
              <w:rPr>
                <w:rFonts w:ascii="Times New Roman" w:eastAsia="Times New Roman" w:hAnsi="Times New Roman" w:cs="Times New Roman"/>
                <w:color w:val="000000"/>
              </w:rPr>
              <w:t>%</w:t>
            </w:r>
          </w:p>
        </w:tc>
      </w:tr>
      <w:tr w:rsidR="001D19B2" w:rsidRPr="001D19B2" w14:paraId="31A5A67E"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D63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A5CFD" w14:textId="4552132D"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II</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E41A8" w14:textId="405CF73D"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90 </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9AB84" w14:textId="6C4C0D02"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r w:rsidR="001D19B2" w:rsidRPr="001D19B2">
              <w:rPr>
                <w:rFonts w:ascii="Times New Roman" w:eastAsia="Times New Roman" w:hAnsi="Times New Roman" w:cs="Times New Roman"/>
                <w:color w:val="000000"/>
              </w:rPr>
              <w:t>%</w:t>
            </w:r>
          </w:p>
        </w:tc>
      </w:tr>
      <w:tr w:rsidR="001D19B2" w:rsidRPr="001D19B2" w14:paraId="5E28C8C7"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10AD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89BA3" w14:textId="0B3A519F"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w:t>
            </w:r>
            <w:r w:rsidR="00B00A54">
              <w:rPr>
                <w:rFonts w:ascii="Times New Roman" w:eastAsia="Times New Roman" w:hAnsi="Times New Roman" w:cs="Times New Roman"/>
                <w:color w:val="000000"/>
              </w:rPr>
              <w:t>II</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7A065" w14:textId="5C4D9AAF" w:rsidR="001D19B2" w:rsidRPr="001D19B2" w:rsidRDefault="00B00A54"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83 </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116E9" w14:textId="7384DE1B"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2</w:t>
            </w:r>
            <w:r w:rsidR="00B00A54">
              <w:rPr>
                <w:rFonts w:ascii="Times New Roman" w:eastAsia="Times New Roman" w:hAnsi="Times New Roman" w:cs="Times New Roman"/>
                <w:color w:val="000000"/>
              </w:rPr>
              <w:t>7</w:t>
            </w:r>
            <w:r w:rsidRPr="001D19B2">
              <w:rPr>
                <w:rFonts w:ascii="Times New Roman" w:eastAsia="Times New Roman" w:hAnsi="Times New Roman" w:cs="Times New Roman"/>
                <w:color w:val="000000"/>
              </w:rPr>
              <w:t>.7%</w:t>
            </w:r>
          </w:p>
        </w:tc>
      </w:tr>
      <w:tr w:rsidR="001D19B2" w:rsidRPr="001D19B2" w14:paraId="65C105F1"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B55D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Cancer Stage</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98B0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IV</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8390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50</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1A4E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16.7%</w:t>
            </w:r>
          </w:p>
        </w:tc>
      </w:tr>
      <w:tr w:rsidR="001D19B2" w:rsidRPr="001D19B2" w14:paraId="266FF837"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DD355"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Chemotherapy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1231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Yes</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D1B6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165</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20328"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55.0%</w:t>
            </w:r>
          </w:p>
        </w:tc>
      </w:tr>
      <w:tr w:rsidR="001D19B2" w:rsidRPr="001D19B2" w14:paraId="5E1EE227"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2120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Chemotherapy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9506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No</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F8246"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135</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58A1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45.0%</w:t>
            </w:r>
          </w:p>
        </w:tc>
      </w:tr>
      <w:tr w:rsidR="001D19B2" w:rsidRPr="001D19B2" w14:paraId="1AC73929" w14:textId="77777777" w:rsidTr="001D19B2">
        <w:trPr>
          <w:trHeight w:val="438"/>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6D78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Hormone 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7E67C"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Yes</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1E79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154</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4F06D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51.3%</w:t>
            </w:r>
          </w:p>
        </w:tc>
      </w:tr>
      <w:tr w:rsidR="001D19B2" w:rsidRPr="001D19B2" w14:paraId="46F022DE"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88A72"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Hormone 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42C3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No</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18DB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146</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6FE8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48.7%</w:t>
            </w:r>
          </w:p>
        </w:tc>
      </w:tr>
      <w:tr w:rsidR="001D19B2" w:rsidRPr="001D19B2" w14:paraId="49749D85"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6689B"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PSA Levels</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7C08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Moderate</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BF33"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129</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D30D"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43.0%</w:t>
            </w:r>
          </w:p>
        </w:tc>
      </w:tr>
      <w:tr w:rsidR="001D19B2" w:rsidRPr="001D19B2" w14:paraId="653BE44A"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BE4A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PSA Levels</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F1B9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High</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1D8D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89</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9061A"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29.7%</w:t>
            </w:r>
          </w:p>
        </w:tc>
      </w:tr>
      <w:tr w:rsidR="001D19B2" w:rsidRPr="001D19B2" w14:paraId="78C6E0D0"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1EAB6"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PSA Levels</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61D4F"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Low</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F4DB2"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82</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47203"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27.3%</w:t>
            </w:r>
          </w:p>
        </w:tc>
      </w:tr>
      <w:tr w:rsidR="001D19B2" w:rsidRPr="001D19B2" w14:paraId="08FFFB59" w14:textId="77777777" w:rsidTr="001D19B2">
        <w:trPr>
          <w:trHeight w:val="445"/>
          <w:jc w:val="center"/>
        </w:trPr>
        <w:tc>
          <w:tcPr>
            <w:tcW w:w="275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B71FE"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Radiation Therapy</w:t>
            </w:r>
          </w:p>
        </w:tc>
        <w:tc>
          <w:tcPr>
            <w:tcW w:w="16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0DC70"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Yes</w:t>
            </w:r>
          </w:p>
        </w:tc>
        <w:tc>
          <w:tcPr>
            <w:tcW w:w="9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5933F"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179</w:t>
            </w:r>
          </w:p>
        </w:tc>
        <w:tc>
          <w:tcPr>
            <w:tcW w:w="131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EC608"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59.7%</w:t>
            </w:r>
          </w:p>
        </w:tc>
      </w:tr>
      <w:tr w:rsidR="001D19B2" w:rsidRPr="001D19B2" w14:paraId="5E7F7314" w14:textId="77777777" w:rsidTr="001D19B2">
        <w:trPr>
          <w:trHeight w:val="438"/>
          <w:jc w:val="center"/>
        </w:trPr>
        <w:tc>
          <w:tcPr>
            <w:tcW w:w="275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5A4206"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1D19B2">
              <w:rPr>
                <w:rFonts w:ascii="Times New Roman" w:eastAsia="Times New Roman" w:hAnsi="Times New Roman" w:cs="Times New Roman"/>
                <w:color w:val="000000"/>
              </w:rPr>
              <w:t>Radiation Therapy</w:t>
            </w:r>
          </w:p>
        </w:tc>
        <w:tc>
          <w:tcPr>
            <w:tcW w:w="16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A3BEF7"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No</w:t>
            </w:r>
          </w:p>
        </w:tc>
        <w:tc>
          <w:tcPr>
            <w:tcW w:w="9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8E1DAF4"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121</w:t>
            </w:r>
          </w:p>
        </w:tc>
        <w:tc>
          <w:tcPr>
            <w:tcW w:w="1312"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999895" w14:textId="77777777" w:rsidR="001D19B2" w:rsidRPr="001D19B2" w:rsidRDefault="001D19B2" w:rsidP="001D19B2">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1D19B2">
              <w:rPr>
                <w:rFonts w:ascii="Times New Roman" w:eastAsia="Times New Roman" w:hAnsi="Times New Roman" w:cs="Times New Roman"/>
                <w:color w:val="000000"/>
              </w:rPr>
              <w:t>40.3%</w:t>
            </w:r>
          </w:p>
        </w:tc>
      </w:tr>
    </w:tbl>
    <w:p w14:paraId="281512DC" w14:textId="77777777" w:rsidR="001D19B2" w:rsidRPr="001D19B2" w:rsidRDefault="001D19B2" w:rsidP="001D19B2">
      <w:pPr>
        <w:spacing w:after="0" w:line="240" w:lineRule="auto"/>
        <w:jc w:val="both"/>
        <w:rPr>
          <w:rFonts w:ascii="Times New Roman" w:hAnsi="Times New Roman" w:cs="Times New Roman"/>
          <w:sz w:val="24"/>
          <w:szCs w:val="24"/>
        </w:rPr>
      </w:pPr>
    </w:p>
    <w:p w14:paraId="42363DBD" w14:textId="099AAAD9"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 1 Categorical Variables Summary Counts and Percentages shows that </w:t>
      </w:r>
      <w:r w:rsidR="004D0E76">
        <w:rPr>
          <w:rFonts w:ascii="Times New Roman" w:hAnsi="Times New Roman" w:cs="Times New Roman"/>
          <w:sz w:val="24"/>
          <w:szCs w:val="24"/>
        </w:rPr>
        <w:t>this group exhibited significant heterogeneity, which</w:t>
      </w:r>
      <w:r w:rsidRPr="00505647">
        <w:rPr>
          <w:rFonts w:ascii="Times New Roman" w:hAnsi="Times New Roman" w:cs="Times New Roman"/>
          <w:sz w:val="24"/>
          <w:szCs w:val="24"/>
        </w:rPr>
        <w:t xml:space="preserve"> is important for evaluating holistic models of disease tracking and management. The dominant subgroup was Cancer Stage II</w:t>
      </w:r>
      <w:r w:rsidR="004D0E76">
        <w:rPr>
          <w:rFonts w:ascii="Times New Roman" w:hAnsi="Times New Roman" w:cs="Times New Roman"/>
          <w:sz w:val="24"/>
          <w:szCs w:val="24"/>
        </w:rPr>
        <w:t xml:space="preserve"> at 30.0%, </w:t>
      </w:r>
      <w:r w:rsidRPr="00505647">
        <w:rPr>
          <w:rFonts w:ascii="Times New Roman" w:hAnsi="Times New Roman" w:cs="Times New Roman"/>
          <w:sz w:val="24"/>
          <w:szCs w:val="24"/>
        </w:rPr>
        <w:t xml:space="preserve">followed by Cancer Stage III at 27.7%, Cancer Stage I at 25.7%, and finally Cancer Stage IV at 16.7%. Although there was </w:t>
      </w:r>
      <w:r w:rsidR="004D0E76">
        <w:rPr>
          <w:rFonts w:ascii="Times New Roman" w:hAnsi="Times New Roman" w:cs="Times New Roman"/>
          <w:sz w:val="24"/>
          <w:szCs w:val="24"/>
        </w:rPr>
        <w:t>apparent</w:t>
      </w:r>
      <w:r w:rsidRPr="00505647">
        <w:rPr>
          <w:rFonts w:ascii="Times New Roman" w:hAnsi="Times New Roman" w:cs="Times New Roman"/>
          <w:sz w:val="24"/>
          <w:szCs w:val="24"/>
        </w:rPr>
        <w:t xml:space="preserve"> heterogeneity, it is important to </w:t>
      </w:r>
      <w:r w:rsidR="004D0E76">
        <w:rPr>
          <w:rFonts w:ascii="Times New Roman" w:hAnsi="Times New Roman" w:cs="Times New Roman"/>
          <w:sz w:val="24"/>
          <w:szCs w:val="24"/>
        </w:rPr>
        <w:t>realise that there is some imbalance here, and this imbalance is expected,</w:t>
      </w:r>
      <w:r w:rsidRPr="00505647">
        <w:rPr>
          <w:rFonts w:ascii="Times New Roman" w:hAnsi="Times New Roman" w:cs="Times New Roman"/>
          <w:sz w:val="24"/>
          <w:szCs w:val="24"/>
        </w:rPr>
        <w:t xml:space="preserve"> as there must be some resolution to this particular problem according to specific group stages. It was observed that while 59.7% of this group could receive </w:t>
      </w:r>
      <w:r w:rsidR="004D0E76">
        <w:rPr>
          <w:rFonts w:ascii="Times New Roman" w:hAnsi="Times New Roman" w:cs="Times New Roman"/>
          <w:sz w:val="24"/>
          <w:szCs w:val="24"/>
        </w:rPr>
        <w:t>treatment, particularly through Radiation Therapy, and 55.0% could receive chemotherapy, and 51.3% could receive Hormone Therapy, as expected,</w:t>
      </w:r>
      <w:r w:rsidRPr="00505647">
        <w:rPr>
          <w:rFonts w:ascii="Times New Roman" w:hAnsi="Times New Roman" w:cs="Times New Roman"/>
          <w:sz w:val="24"/>
          <w:szCs w:val="24"/>
        </w:rPr>
        <w:t xml:space="preserve"> because of real-world practices here</w:t>
      </w:r>
      <w:r w:rsidR="004D0E76">
        <w:rPr>
          <w:rFonts w:ascii="Times New Roman" w:hAnsi="Times New Roman" w:cs="Times New Roman"/>
          <w:sz w:val="24"/>
          <w:szCs w:val="24"/>
        </w:rPr>
        <w:t>. At the same time,</w:t>
      </w:r>
      <w:r w:rsidRPr="00505647">
        <w:rPr>
          <w:rFonts w:ascii="Times New Roman" w:hAnsi="Times New Roman" w:cs="Times New Roman"/>
          <w:sz w:val="24"/>
          <w:szCs w:val="24"/>
        </w:rPr>
        <w:t xml:space="preserve"> </w:t>
      </w:r>
      <w:r w:rsidR="008D0F0D">
        <w:rPr>
          <w:rFonts w:ascii="Times New Roman" w:hAnsi="Times New Roman" w:cs="Times New Roman"/>
          <w:sz w:val="24"/>
          <w:szCs w:val="24"/>
        </w:rPr>
        <w:t xml:space="preserve">apparent heterogeneity was captured; </w:t>
      </w:r>
      <w:r w:rsidR="00C01D91">
        <w:rPr>
          <w:rFonts w:ascii="Times New Roman" w:hAnsi="Times New Roman" w:cs="Times New Roman"/>
          <w:sz w:val="24"/>
          <w:szCs w:val="24"/>
        </w:rPr>
        <w:t xml:space="preserve">however, there was also some imbalance, as this is indicative of real-world practices, and a resolution to this particular problem must be implemented </w:t>
      </w:r>
      <w:r w:rsidR="004D0E76">
        <w:rPr>
          <w:rFonts w:ascii="Times New Roman" w:hAnsi="Times New Roman" w:cs="Times New Roman"/>
          <w:sz w:val="24"/>
          <w:szCs w:val="24"/>
        </w:rPr>
        <w:t>across specific group stages</w:t>
      </w:r>
      <w:r w:rsidRPr="00505647">
        <w:rPr>
          <w:rFonts w:ascii="Times New Roman" w:hAnsi="Times New Roman" w:cs="Times New Roman"/>
          <w:sz w:val="24"/>
          <w:szCs w:val="24"/>
        </w:rPr>
        <w:t>. The levels of PSA</w:t>
      </w:r>
      <w:r w:rsidR="00032DE1">
        <w:rPr>
          <w:rFonts w:ascii="Times New Roman" w:hAnsi="Times New Roman" w:cs="Times New Roman"/>
          <w:sz w:val="24"/>
          <w:szCs w:val="24"/>
        </w:rPr>
        <w:t xml:space="preserve"> </w:t>
      </w:r>
      <w:r w:rsidRPr="00505647">
        <w:rPr>
          <w:rFonts w:ascii="Times New Roman" w:hAnsi="Times New Roman" w:cs="Times New Roman"/>
          <w:sz w:val="24"/>
          <w:szCs w:val="24"/>
        </w:rPr>
        <w:t xml:space="preserve">After collecting this information, we observed that while this particular problem is indicative of some heterogeneity captured here because of 43.0% of this </w:t>
      </w:r>
      <w:r w:rsidRPr="00505647">
        <w:rPr>
          <w:rFonts w:ascii="Times New Roman" w:hAnsi="Times New Roman" w:cs="Times New Roman"/>
          <w:sz w:val="24"/>
          <w:szCs w:val="24"/>
        </w:rPr>
        <w:lastRenderedPageBreak/>
        <w:t>group captured at Moderate Levels of PSA</w:t>
      </w:r>
      <w:r w:rsidR="00032DE1">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4D0E76">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4D0E76">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4D0E76">
        <w:rPr>
          <w:rFonts w:ascii="Times New Roman" w:hAnsi="Times New Roman" w:cs="Times New Roman"/>
          <w:sz w:val="24"/>
          <w:szCs w:val="24"/>
        </w:rPr>
        <w:t xml:space="preserve"> </w:t>
      </w:r>
      <w:r w:rsidRPr="00505647">
        <w:rPr>
          <w:rFonts w:ascii="Times New Roman" w:hAnsi="Times New Roman" w:cs="Times New Roman"/>
          <w:sz w:val="24"/>
          <w:szCs w:val="24"/>
        </w:rPr>
        <w:t>After collecting this information, we observed that while this particular problem is indicative of some heterogeneity captured here because of 43.0% of this group captured at Moderate Levels of PSA</w:t>
      </w:r>
      <w:r w:rsidR="00CE2B0A">
        <w:rPr>
          <w:rFonts w:ascii="Times New Roman" w:hAnsi="Times New Roman" w:cs="Times New Roman"/>
          <w:sz w:val="24"/>
          <w:szCs w:val="24"/>
        </w:rPr>
        <w:t>.</w:t>
      </w:r>
    </w:p>
    <w:p w14:paraId="47F1571F" w14:textId="40870014" w:rsidR="00032DE1" w:rsidRPr="004D0E76" w:rsidRDefault="00032DE1" w:rsidP="00032DE1">
      <w:pPr>
        <w:pStyle w:val="TableCaption"/>
        <w:pBdr>
          <w:top w:val="none" w:sz="0" w:space="0" w:color="000000"/>
          <w:left w:val="none" w:sz="0" w:space="0" w:color="000000"/>
          <w:bottom w:val="none" w:sz="0" w:space="0" w:color="000000"/>
          <w:right w:val="none" w:sz="0" w:space="0" w:color="000000"/>
        </w:pBdr>
        <w:spacing w:before="60" w:after="60"/>
        <w:ind w:left="60" w:right="60"/>
        <w:jc w:val="center"/>
        <w:rPr>
          <w:rFonts w:ascii="Times New Roman" w:hAnsi="Times New Roman" w:cs="Times New Roman"/>
          <w:i w:val="0"/>
          <w:iCs/>
        </w:rPr>
      </w:pPr>
      <w:r w:rsidRPr="004D0E76">
        <w:rPr>
          <w:rFonts w:ascii="Times New Roman" w:hAnsi="Times New Roman" w:cs="Times New Roman"/>
          <w:i w:val="0"/>
          <w:iCs/>
        </w:rPr>
        <w:t>Table 2</w:t>
      </w:r>
      <w:r w:rsidR="0040194E">
        <w:rPr>
          <w:rFonts w:ascii="Times New Roman" w:hAnsi="Times New Roman" w:cs="Times New Roman"/>
          <w:i w:val="0"/>
          <w:iCs/>
        </w:rPr>
        <w:t>:</w:t>
      </w:r>
      <w:r w:rsidRPr="004D0E76">
        <w:rPr>
          <w:rFonts w:ascii="Times New Roman" w:hAnsi="Times New Roman" w:cs="Times New Roman"/>
          <w:i w:val="0"/>
          <w:iCs/>
        </w:rPr>
        <w:t xml:space="preserve"> Longitudinal Mixed Effects Model Fixed Effects (Random Intercept and Slope)</w:t>
      </w:r>
    </w:p>
    <w:tbl>
      <w:tblPr>
        <w:tblStyle w:val="Table"/>
        <w:tblW w:w="0" w:type="auto"/>
        <w:jc w:val="center"/>
        <w:tblLayout w:type="fixed"/>
        <w:tblLook w:val="0420" w:firstRow="1" w:lastRow="0" w:firstColumn="0" w:lastColumn="0" w:noHBand="0" w:noVBand="1"/>
      </w:tblPr>
      <w:tblGrid>
        <w:gridCol w:w="2099"/>
        <w:gridCol w:w="1180"/>
        <w:gridCol w:w="906"/>
        <w:gridCol w:w="1144"/>
        <w:gridCol w:w="1181"/>
        <w:gridCol w:w="1786"/>
      </w:tblGrid>
      <w:tr w:rsidR="00032DE1" w14:paraId="06A179F6" w14:textId="77777777" w:rsidTr="00486986">
        <w:trPr>
          <w:cnfStyle w:val="100000000000" w:firstRow="1" w:lastRow="0" w:firstColumn="0" w:lastColumn="0" w:oddVBand="0" w:evenVBand="0" w:oddHBand="0" w:evenHBand="0" w:firstRowFirstColumn="0" w:firstRowLastColumn="0" w:lastRowFirstColumn="0" w:lastRowLastColumn="0"/>
          <w:tblHeader/>
          <w:jc w:val="center"/>
        </w:trPr>
        <w:tc>
          <w:tcPr>
            <w:tcW w:w="209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A81C9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Term</w:t>
            </w:r>
          </w:p>
        </w:tc>
        <w:tc>
          <w:tcPr>
            <w:tcW w:w="11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5D04D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Estimate</w:t>
            </w:r>
          </w:p>
        </w:tc>
        <w:tc>
          <w:tcPr>
            <w:tcW w:w="90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FE3A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SE</w:t>
            </w:r>
          </w:p>
        </w:tc>
        <w:tc>
          <w:tcPr>
            <w:tcW w:w="114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61E64CD"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CI_Low</w:t>
            </w:r>
          </w:p>
        </w:tc>
        <w:tc>
          <w:tcPr>
            <w:tcW w:w="11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0DD719"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CI_High</w:t>
            </w:r>
          </w:p>
        </w:tc>
        <w:tc>
          <w:tcPr>
            <w:tcW w:w="178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01D6FC"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p_value</w:t>
            </w:r>
          </w:p>
        </w:tc>
      </w:tr>
      <w:tr w:rsidR="00032DE1" w14:paraId="647F8964" w14:textId="77777777" w:rsidTr="00486986">
        <w:trPr>
          <w:jc w:val="center"/>
        </w:trPr>
        <w:tc>
          <w:tcPr>
            <w:tcW w:w="209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081D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(Intercept)</w:t>
            </w:r>
          </w:p>
        </w:tc>
        <w:tc>
          <w:tcPr>
            <w:tcW w:w="11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3280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2.219</w:t>
            </w:r>
          </w:p>
        </w:tc>
        <w:tc>
          <w:tcPr>
            <w:tcW w:w="90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22F5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0.360</w:t>
            </w:r>
          </w:p>
        </w:tc>
        <w:tc>
          <w:tcPr>
            <w:tcW w:w="114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EDDF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1.512</w:t>
            </w:r>
          </w:p>
        </w:tc>
        <w:tc>
          <w:tcPr>
            <w:tcW w:w="11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4F6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2.925</w:t>
            </w:r>
          </w:p>
        </w:tc>
        <w:tc>
          <w:tcPr>
            <w:tcW w:w="178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2F43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0.00000000128</w:t>
            </w:r>
          </w:p>
        </w:tc>
      </w:tr>
      <w:tr w:rsidR="00032DE1" w14:paraId="30544AB2"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6B02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032DE1">
              <w:rPr>
                <w:rFonts w:ascii="Times New Roman" w:eastAsia="Times New Roman" w:hAnsi="Times New Roman" w:cs="Times New Roman"/>
                <w:color w:val="000000"/>
              </w:rPr>
              <w:t>ns(</w:t>
            </w:r>
            <w:proofErr w:type="gramEnd"/>
            <w:r w:rsidRPr="00032DE1">
              <w:rPr>
                <w:rFonts w:ascii="Times New Roman" w:eastAsia="Times New Roman" w:hAnsi="Times New Roman" w:cs="Times New Roman"/>
                <w:color w:val="000000"/>
              </w:rPr>
              <w:t>time_c, df = 2)1</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06E1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-0.012</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BF20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0.041</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943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-0.093</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2D91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0.069</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05D9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0.77200000000</w:t>
            </w:r>
          </w:p>
        </w:tc>
      </w:tr>
      <w:tr w:rsidR="00032DE1" w:rsidRPr="004D0E76" w14:paraId="0695991B"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24F6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4D0E76">
              <w:rPr>
                <w:rFonts w:ascii="Times New Roman" w:eastAsia="Times New Roman" w:hAnsi="Times New Roman" w:cs="Times New Roman"/>
                <w:color w:val="000000"/>
              </w:rPr>
              <w:t>ns(</w:t>
            </w:r>
            <w:proofErr w:type="gramEnd"/>
            <w:r w:rsidRPr="004D0E76">
              <w:rPr>
                <w:rFonts w:ascii="Times New Roman" w:eastAsia="Times New Roman" w:hAnsi="Times New Roman" w:cs="Times New Roman"/>
                <w:color w:val="000000"/>
              </w:rPr>
              <w:t>time_c, df = 2)2</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CF9DC"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-0.033</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A45C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0.021</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41A3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-0.074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B26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0.008</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1E2C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0.12000000000</w:t>
            </w:r>
          </w:p>
        </w:tc>
      </w:tr>
      <w:tr w:rsidR="00032DE1" w:rsidRPr="004D0E76" w14:paraId="6790F568"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F45C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age</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39F4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0.000</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2606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0.003</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921B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E47B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0.005</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1E4B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0.88900000000</w:t>
            </w:r>
          </w:p>
        </w:tc>
      </w:tr>
      <w:tr w:rsidR="00032DE1" w:rsidRPr="004D0E76" w14:paraId="72F27F06"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3935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4D0E76">
              <w:rPr>
                <w:rFonts w:ascii="Times New Roman" w:eastAsia="Times New Roman" w:hAnsi="Times New Roman" w:cs="Times New Roman"/>
                <w:color w:val="000000"/>
              </w:rPr>
              <w:t>stage.L</w:t>
            </w:r>
            <w:proofErr w:type="gram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7398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-0.084</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7E01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0.096</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CB49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-0.274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8BD5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0.106</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4FE0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0.38400000000</w:t>
            </w:r>
          </w:p>
        </w:tc>
      </w:tr>
      <w:tr w:rsidR="00032DE1" w:rsidRPr="004D0E76" w14:paraId="1770608A"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00EA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4D0E76">
              <w:rPr>
                <w:rFonts w:ascii="Times New Roman" w:eastAsia="Times New Roman" w:hAnsi="Times New Roman" w:cs="Times New Roman"/>
                <w:color w:val="000000"/>
              </w:rPr>
              <w:t>stage.Q</w:t>
            </w:r>
            <w:proofErr w:type="gramEnd"/>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DFD4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-0.112</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B190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0.090</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C529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-0.289</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A999B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0.065</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BBF8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0.21500000000</w:t>
            </w:r>
          </w:p>
        </w:tc>
      </w:tr>
      <w:tr w:rsidR="00032DE1" w:rsidRPr="004D0E76" w14:paraId="38341F2E"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43937"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stage.C</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3DDD3"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0.061</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1E89B"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0.084</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54CF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-0.105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69B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0.226</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5FCE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0.47000000000</w:t>
            </w:r>
          </w:p>
        </w:tc>
      </w:tr>
      <w:tr w:rsidR="00032DE1" w:rsidRPr="004D0E76" w14:paraId="350FDDF0"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D0BD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tumor_size_cm</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B1E2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0.019</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1889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0.017</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2572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58F7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0.052</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C9EA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0.26400000000</w:t>
            </w:r>
          </w:p>
        </w:tc>
      </w:tr>
      <w:tr w:rsidR="00032DE1" w:rsidRPr="004D0E76" w14:paraId="13FF89DE"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2158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lymph_nodes</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0D7F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0.002</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A55EF"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0.010</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F69A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-0.018</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4C52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0.022</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BECF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0.88200000000</w:t>
            </w:r>
          </w:p>
        </w:tc>
      </w:tr>
      <w:tr w:rsidR="00032DE1" w:rsidRPr="004D0E76" w14:paraId="0B9618C7"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8C8F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gleason</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271D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-0.038</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705B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0.039</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36D44"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-0.115</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38220"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0.040</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3D6D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0.34100000000</w:t>
            </w:r>
          </w:p>
        </w:tc>
      </w:tr>
      <w:tr w:rsidR="00032DE1" w:rsidRPr="004D0E76" w14:paraId="3DFF3BAB"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14AF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chemoYes</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5697B"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-0.030</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C4A4E"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0.089</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B7C23"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-0.204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61079"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0.145</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2CFEC"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0.73900000000</w:t>
            </w:r>
          </w:p>
        </w:tc>
      </w:tr>
      <w:tr w:rsidR="00032DE1" w:rsidRPr="004D0E76" w14:paraId="5C978AC0" w14:textId="77777777" w:rsidTr="00486986">
        <w:trPr>
          <w:jc w:val="center"/>
        </w:trPr>
        <w:tc>
          <w:tcPr>
            <w:tcW w:w="209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0EC0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radiationYes</w:t>
            </w:r>
          </w:p>
        </w:tc>
        <w:tc>
          <w:tcPr>
            <w:tcW w:w="11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BE8B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-0.126</w:t>
            </w:r>
          </w:p>
        </w:tc>
        <w:tc>
          <w:tcPr>
            <w:tcW w:w="90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81D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0.090</w:t>
            </w:r>
          </w:p>
        </w:tc>
        <w:tc>
          <w:tcPr>
            <w:tcW w:w="114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DCD2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-0.304</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425EA"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0.052</w:t>
            </w:r>
          </w:p>
        </w:tc>
        <w:tc>
          <w:tcPr>
            <w:tcW w:w="17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F4645"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0.16400000000</w:t>
            </w:r>
          </w:p>
        </w:tc>
      </w:tr>
      <w:tr w:rsidR="00032DE1" w:rsidRPr="004D0E76" w14:paraId="12D3898B" w14:textId="77777777" w:rsidTr="00486986">
        <w:trPr>
          <w:jc w:val="center"/>
        </w:trPr>
        <w:tc>
          <w:tcPr>
            <w:tcW w:w="209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B2D5BF"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4D0E76">
              <w:rPr>
                <w:rFonts w:ascii="Times New Roman" w:eastAsia="Times New Roman" w:hAnsi="Times New Roman" w:cs="Times New Roman"/>
                <w:color w:val="000000"/>
              </w:rPr>
              <w:t>hormoneYes</w:t>
            </w:r>
          </w:p>
        </w:tc>
        <w:tc>
          <w:tcPr>
            <w:tcW w:w="11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BECCBD"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0.131</w:t>
            </w:r>
          </w:p>
        </w:tc>
        <w:tc>
          <w:tcPr>
            <w:tcW w:w="90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9C14C06"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0.088</w:t>
            </w:r>
          </w:p>
        </w:tc>
        <w:tc>
          <w:tcPr>
            <w:tcW w:w="114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78E4218"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-0.042</w:t>
            </w:r>
          </w:p>
        </w:tc>
        <w:tc>
          <w:tcPr>
            <w:tcW w:w="11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A6A3C"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0.303</w:t>
            </w:r>
          </w:p>
        </w:tc>
        <w:tc>
          <w:tcPr>
            <w:tcW w:w="178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1A5FA1" w14:textId="77777777" w:rsidR="00032DE1" w:rsidRPr="004D0E76"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4D0E76">
              <w:rPr>
                <w:rFonts w:ascii="Times New Roman" w:eastAsia="Times New Roman" w:hAnsi="Times New Roman" w:cs="Times New Roman"/>
                <w:color w:val="000000"/>
              </w:rPr>
              <w:t>0.13800000000</w:t>
            </w:r>
          </w:p>
        </w:tc>
      </w:tr>
    </w:tbl>
    <w:p w14:paraId="2F7BB98A" w14:textId="77777777" w:rsidR="00032DE1" w:rsidRPr="004D0E76" w:rsidRDefault="00032DE1" w:rsidP="00505647">
      <w:pPr>
        <w:jc w:val="both"/>
        <w:rPr>
          <w:rFonts w:ascii="Times New Roman" w:hAnsi="Times New Roman" w:cs="Times New Roman"/>
          <w:sz w:val="24"/>
          <w:szCs w:val="24"/>
        </w:rPr>
      </w:pPr>
    </w:p>
    <w:p w14:paraId="35EB5D4B" w14:textId="4266E357" w:rsidR="00A52282"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 2 Mixed Effects Model Fixed Effects Random Intercept &amp; Slope </w:t>
      </w:r>
      <w:r w:rsidR="009F12A1">
        <w:rPr>
          <w:rFonts w:ascii="Times New Roman" w:hAnsi="Times New Roman" w:cs="Times New Roman"/>
          <w:sz w:val="24"/>
          <w:szCs w:val="24"/>
        </w:rPr>
        <w:t>provides a good platform for modelling the longitudinal association between PSA levels and the severity of PSA levels, while accounting for both within-PW dependence and between-PW variation</w:t>
      </w:r>
      <w:r w:rsidRPr="00505647">
        <w:rPr>
          <w:rFonts w:ascii="Times New Roman" w:hAnsi="Times New Roman" w:cs="Times New Roman"/>
          <w:sz w:val="24"/>
          <w:szCs w:val="24"/>
        </w:rPr>
        <w:t xml:space="preserve">. The positive intercept of exactly 2.219 with a narrow CI (CI: 1.512 to 2.925) but a significantly high value for the p-significance level emphasizes that the basal mean level of the study subjects was well within the higher boundaries corresponding to the scale of severity but appropriate for understanding that the study population tends to follow moderate to higher levels of availability for presenting overall </w:t>
      </w:r>
      <w:r w:rsidR="008C4F3C" w:rsidRPr="00505647">
        <w:rPr>
          <w:rFonts w:ascii="Times New Roman" w:hAnsi="Times New Roman" w:cs="Times New Roman"/>
          <w:sz w:val="24"/>
          <w:szCs w:val="24"/>
        </w:rPr>
        <w:t>pre-treatment</w:t>
      </w:r>
      <w:r w:rsidRPr="00505647">
        <w:rPr>
          <w:rFonts w:ascii="Times New Roman" w:hAnsi="Times New Roman" w:cs="Times New Roman"/>
          <w:sz w:val="24"/>
          <w:szCs w:val="24"/>
        </w:rPr>
        <w:t xml:space="preserve"> profiles for higher levels of the PSA risk structure for men following care (Baston et al., 2024; Denijs et al., 2024). Non-significance for the spline terms for time provides a hint for mean level change patterns still well within minimal boundaries on affirming mean post-follow-ups across the population following adjustment for both factors for more reasonable reproducibility on initial grounds at the level of population presentation on post-follow-ups for treatable outcomes on change patterns for the mean level change on adjusted boundaries for understanding the moderate change patterns for mean post-follow-ups on higher boundaries for overall adjusted boundaries for initial grounds at follow-ups (Lyles, 1986; Aranda-Oruong &amp; Thune, 2005; Legemdend &amp; Ekstone, 2005; Clinigen International, 2015; Asthana &amp; Sivak, 2015). Age factors, stage factors, </w:t>
      </w:r>
      <w:r w:rsidR="009F12A1"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size factors, lymph node factors, and treatment factors lack significance at this </w:t>
      </w:r>
      <w:r w:rsidR="00023E73"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level for longitudinal approaches but shed crucial light on null </w:t>
      </w:r>
      <w:r w:rsidRPr="00505647">
        <w:rPr>
          <w:rFonts w:ascii="Times New Roman" w:hAnsi="Times New Roman" w:cs="Times New Roman"/>
          <w:sz w:val="24"/>
          <w:szCs w:val="24"/>
        </w:rPr>
        <w:lastRenderedPageBreak/>
        <w:t xml:space="preserve">indications for those factors at the </w:t>
      </w:r>
      <w:r w:rsidR="00023E73"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level for longitudinal approaches, instead emphasizing underlying randomness for PW trajectories for overall understanding on relevance at follow-ups for overall adjusted boundaries for initial grounds for understanding at follow-ups on higher boundaries on study justification at follow-ups for overall adjusted boundaries for minimally adequate grounds for the lack of mean level change on overall post-follow-ups for both factors at follow-ups for overall adjusted boundaries for initial grounds for understanding for overall adjusted boundaries for initial grounds for the first hypothesis on overall adjusted boundaries for initial grounds for overall </w:t>
      </w:r>
      <w:r w:rsidR="00023E73" w:rsidRPr="00505647">
        <w:rPr>
          <w:rFonts w:ascii="Times New Roman" w:hAnsi="Times New Roman" w:cs="Times New Roman"/>
          <w:sz w:val="24"/>
          <w:szCs w:val="24"/>
        </w:rPr>
        <w:t>sub model</w:t>
      </w:r>
      <w:r w:rsidRPr="00505647">
        <w:rPr>
          <w:rFonts w:ascii="Times New Roman" w:hAnsi="Times New Roman" w:cs="Times New Roman"/>
          <w:sz w:val="24"/>
          <w:szCs w:val="24"/>
        </w:rPr>
        <w:t xml:space="preserve"> justification at follow-ups on higher boundaries on overall adjusted boundaries for initial grounds for overall adjusted boundaries for initial grounds at follow-ups on higher boundaries for overall adjusted boundaries for initial grounds for overall adjusted boundaries for minimally</w:t>
      </w:r>
      <w:r w:rsidR="00CE2B0A">
        <w:rPr>
          <w:rFonts w:ascii="Times New Roman" w:hAnsi="Times New Roman" w:cs="Times New Roman"/>
          <w:sz w:val="24"/>
          <w:szCs w:val="24"/>
        </w:rPr>
        <w:t>.</w:t>
      </w:r>
    </w:p>
    <w:p w14:paraId="12ECCBBC" w14:textId="403A9D3A" w:rsidR="00032DE1" w:rsidRPr="00032DE1" w:rsidRDefault="00032DE1" w:rsidP="00032DE1">
      <w:pPr>
        <w:pStyle w:val="TableCaption"/>
        <w:pBdr>
          <w:top w:val="none" w:sz="0" w:space="0" w:color="000000"/>
          <w:left w:val="none" w:sz="0" w:space="0" w:color="000000"/>
          <w:bottom w:val="none" w:sz="0" w:space="0" w:color="000000"/>
          <w:right w:val="none" w:sz="0" w:space="0" w:color="000000"/>
        </w:pBdr>
        <w:spacing w:after="0"/>
        <w:ind w:left="60" w:right="60"/>
        <w:jc w:val="center"/>
        <w:rPr>
          <w:rFonts w:ascii="Times New Roman" w:hAnsi="Times New Roman" w:cs="Times New Roman"/>
          <w:i w:val="0"/>
          <w:iCs/>
        </w:rPr>
      </w:pPr>
      <w:r w:rsidRPr="00032DE1">
        <w:rPr>
          <w:rFonts w:ascii="Times New Roman" w:hAnsi="Times New Roman" w:cs="Times New Roman"/>
          <w:i w:val="0"/>
          <w:iCs/>
        </w:rPr>
        <w:t>Table 3</w:t>
      </w:r>
      <w:r w:rsidR="00CE2B0A">
        <w:rPr>
          <w:rFonts w:ascii="Times New Roman" w:hAnsi="Times New Roman" w:cs="Times New Roman"/>
          <w:i w:val="0"/>
          <w:iCs/>
        </w:rPr>
        <w:t>:</w:t>
      </w:r>
      <w:r w:rsidRPr="00032DE1">
        <w:rPr>
          <w:rFonts w:ascii="Times New Roman" w:hAnsi="Times New Roman" w:cs="Times New Roman"/>
          <w:i w:val="0"/>
          <w:iCs/>
        </w:rPr>
        <w:t xml:space="preserve"> Cox Proportional Hazards Model (Hazard Ratios)</w:t>
      </w:r>
    </w:p>
    <w:tbl>
      <w:tblPr>
        <w:tblStyle w:val="Table"/>
        <w:tblW w:w="0" w:type="auto"/>
        <w:jc w:val="center"/>
        <w:tblLayout w:type="fixed"/>
        <w:tblLook w:val="0420" w:firstRow="1" w:lastRow="0" w:firstColumn="0" w:lastColumn="0" w:noHBand="0" w:noVBand="1"/>
      </w:tblPr>
      <w:tblGrid>
        <w:gridCol w:w="2141"/>
        <w:gridCol w:w="1098"/>
        <w:gridCol w:w="1386"/>
        <w:gridCol w:w="1431"/>
        <w:gridCol w:w="1341"/>
      </w:tblGrid>
      <w:tr w:rsidR="00032DE1" w:rsidRPr="00032DE1" w14:paraId="6882AB74" w14:textId="77777777" w:rsidTr="00032DE1">
        <w:trPr>
          <w:cnfStyle w:val="100000000000" w:firstRow="1" w:lastRow="0" w:firstColumn="0" w:lastColumn="0" w:oddVBand="0" w:evenVBand="0" w:oddHBand="0" w:evenHBand="0" w:firstRowFirstColumn="0" w:firstRowLastColumn="0" w:lastRowFirstColumn="0" w:lastRowLastColumn="0"/>
          <w:trHeight w:val="248"/>
          <w:tblHeader/>
          <w:jc w:val="center"/>
        </w:trPr>
        <w:tc>
          <w:tcPr>
            <w:tcW w:w="21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50A77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Term</w:t>
            </w:r>
          </w:p>
        </w:tc>
        <w:tc>
          <w:tcPr>
            <w:tcW w:w="109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E35549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HR</w:t>
            </w:r>
          </w:p>
        </w:tc>
        <w:tc>
          <w:tcPr>
            <w:tcW w:w="138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FB5FA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CI_Low</w:t>
            </w:r>
          </w:p>
        </w:tc>
        <w:tc>
          <w:tcPr>
            <w:tcW w:w="143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915CF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CI_High</w:t>
            </w:r>
          </w:p>
        </w:tc>
        <w:tc>
          <w:tcPr>
            <w:tcW w:w="13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A92F2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p_value</w:t>
            </w:r>
          </w:p>
        </w:tc>
      </w:tr>
      <w:tr w:rsidR="00032DE1" w:rsidRPr="00032DE1" w14:paraId="200FF0C6" w14:textId="77777777" w:rsidTr="00032DE1">
        <w:trPr>
          <w:trHeight w:val="240"/>
          <w:jc w:val="center"/>
        </w:trPr>
        <w:tc>
          <w:tcPr>
            <w:tcW w:w="21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87B7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age</w:t>
            </w:r>
          </w:p>
        </w:tc>
        <w:tc>
          <w:tcPr>
            <w:tcW w:w="109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6A8B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0.998</w:t>
            </w:r>
          </w:p>
        </w:tc>
        <w:tc>
          <w:tcPr>
            <w:tcW w:w="138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3CF8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0.989</w:t>
            </w:r>
          </w:p>
        </w:tc>
        <w:tc>
          <w:tcPr>
            <w:tcW w:w="143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C128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1.007</w:t>
            </w:r>
          </w:p>
        </w:tc>
        <w:tc>
          <w:tcPr>
            <w:tcW w:w="13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B0C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0.6280</w:t>
            </w:r>
          </w:p>
        </w:tc>
      </w:tr>
      <w:tr w:rsidR="00032DE1" w:rsidRPr="00032DE1" w14:paraId="73974652"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49DC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032DE1">
              <w:rPr>
                <w:rFonts w:ascii="Times New Roman" w:eastAsia="Times New Roman" w:hAnsi="Times New Roman" w:cs="Times New Roman"/>
                <w:color w:val="000000"/>
              </w:rPr>
              <w:t>stage.L</w:t>
            </w:r>
            <w:proofErr w:type="gram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6419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0.896</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0588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0.630</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16F9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1.274</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1C17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0.5400</w:t>
            </w:r>
          </w:p>
        </w:tc>
      </w:tr>
      <w:tr w:rsidR="00032DE1" w:rsidRPr="00032DE1" w14:paraId="7BBF99AA"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1A71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proofErr w:type="gramStart"/>
            <w:r w:rsidRPr="00032DE1">
              <w:rPr>
                <w:rFonts w:ascii="Times New Roman" w:eastAsia="Times New Roman" w:hAnsi="Times New Roman" w:cs="Times New Roman"/>
                <w:color w:val="000000"/>
              </w:rPr>
              <w:t>stage.Q</w:t>
            </w:r>
            <w:proofErr w:type="gramEnd"/>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2BA3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1.012</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FEDE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0.726</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5DFA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1.411</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0E5E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0.9440</w:t>
            </w:r>
          </w:p>
        </w:tc>
      </w:tr>
      <w:tr w:rsidR="00032DE1" w:rsidRPr="00032DE1" w14:paraId="6AA32786"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7000E"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stage.C</w:t>
            </w:r>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9BEC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0.959</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899C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0.702</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0699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1.310</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FC13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0.7930</w:t>
            </w:r>
          </w:p>
        </w:tc>
      </w:tr>
      <w:tr w:rsidR="00032DE1" w:rsidRPr="00032DE1" w14:paraId="588F25A2"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03EC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tumor_size_cm</w:t>
            </w:r>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474B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1.030</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E5AF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0.966</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457F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1.097</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FC5A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0.3680</w:t>
            </w:r>
          </w:p>
        </w:tc>
      </w:tr>
      <w:tr w:rsidR="00032DE1" w:rsidRPr="00032DE1" w14:paraId="35C2742A"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3A31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lymph_nodes</w:t>
            </w:r>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B3E6F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0.993</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0947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0.957</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0B1A"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1.031</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FA4D0"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0.7240</w:t>
            </w:r>
          </w:p>
        </w:tc>
      </w:tr>
      <w:tr w:rsidR="00032DE1" w:rsidRPr="00032DE1" w14:paraId="5BB1A69D"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F365C"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gleason</w:t>
            </w:r>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57617"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0.847</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FFDD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0.732</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9DE6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0.980</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5B8DB"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0.0259</w:t>
            </w:r>
          </w:p>
        </w:tc>
      </w:tr>
      <w:tr w:rsidR="00032DE1" w:rsidRPr="00032DE1" w14:paraId="5F0565AC" w14:textId="77777777" w:rsidTr="00032DE1">
        <w:trPr>
          <w:trHeight w:val="240"/>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1B4F1"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chemoYes</w:t>
            </w:r>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76E9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0.870</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9BBE4"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0.630</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A0666"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1.204</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45889"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0.4010</w:t>
            </w:r>
          </w:p>
        </w:tc>
      </w:tr>
      <w:tr w:rsidR="00032DE1" w:rsidRPr="00032DE1" w14:paraId="18D901C1" w14:textId="77777777" w:rsidTr="00032DE1">
        <w:trPr>
          <w:trHeight w:val="248"/>
          <w:jc w:val="center"/>
        </w:trPr>
        <w:tc>
          <w:tcPr>
            <w:tcW w:w="21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A528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radiationYes</w:t>
            </w:r>
          </w:p>
        </w:tc>
        <w:tc>
          <w:tcPr>
            <w:tcW w:w="10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CACC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0.838</w:t>
            </w:r>
          </w:p>
        </w:tc>
        <w:tc>
          <w:tcPr>
            <w:tcW w:w="138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C4C7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0.602</w:t>
            </w:r>
          </w:p>
        </w:tc>
        <w:tc>
          <w:tcPr>
            <w:tcW w:w="143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D6D3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1.167</w:t>
            </w:r>
          </w:p>
        </w:tc>
        <w:tc>
          <w:tcPr>
            <w:tcW w:w="13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36225"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0.2950</w:t>
            </w:r>
          </w:p>
        </w:tc>
      </w:tr>
      <w:tr w:rsidR="00032DE1" w:rsidRPr="00032DE1" w14:paraId="46833B60" w14:textId="77777777" w:rsidTr="00032DE1">
        <w:trPr>
          <w:trHeight w:val="248"/>
          <w:jc w:val="center"/>
        </w:trPr>
        <w:tc>
          <w:tcPr>
            <w:tcW w:w="21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251A8F"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rPr>
                <w:rFonts w:ascii="Times New Roman" w:eastAsia="Times New Roman" w:hAnsi="Times New Roman" w:cs="Times New Roman"/>
                <w:color w:val="000000"/>
              </w:rPr>
            </w:pPr>
            <w:r w:rsidRPr="00032DE1">
              <w:rPr>
                <w:rFonts w:ascii="Times New Roman" w:eastAsia="Times New Roman" w:hAnsi="Times New Roman" w:cs="Times New Roman"/>
                <w:color w:val="000000"/>
              </w:rPr>
              <w:t>hormoneYes</w:t>
            </w:r>
          </w:p>
        </w:tc>
        <w:tc>
          <w:tcPr>
            <w:tcW w:w="109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78CACD"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1.120</w:t>
            </w:r>
          </w:p>
        </w:tc>
        <w:tc>
          <w:tcPr>
            <w:tcW w:w="138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F08CEB3"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0.812</w:t>
            </w:r>
          </w:p>
        </w:tc>
        <w:tc>
          <w:tcPr>
            <w:tcW w:w="143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EE73A8"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1.546</w:t>
            </w:r>
          </w:p>
        </w:tc>
        <w:tc>
          <w:tcPr>
            <w:tcW w:w="13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D7CA92" w14:textId="77777777" w:rsidR="00032DE1" w:rsidRPr="00032DE1" w:rsidRDefault="00032DE1" w:rsidP="00032DE1">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imes New Roman" w:hAnsi="Times New Roman" w:cs="Times New Roman"/>
                <w:color w:val="000000"/>
              </w:rPr>
            </w:pPr>
            <w:r w:rsidRPr="00032DE1">
              <w:rPr>
                <w:rFonts w:ascii="Times New Roman" w:eastAsia="Times New Roman" w:hAnsi="Times New Roman" w:cs="Times New Roman"/>
                <w:color w:val="000000"/>
              </w:rPr>
              <w:t>0.4900</w:t>
            </w:r>
          </w:p>
        </w:tc>
      </w:tr>
    </w:tbl>
    <w:p w14:paraId="7A65153D" w14:textId="77777777" w:rsidR="00032DE1" w:rsidRPr="00505647" w:rsidRDefault="00032DE1" w:rsidP="00505647">
      <w:pPr>
        <w:jc w:val="both"/>
        <w:rPr>
          <w:rFonts w:ascii="Times New Roman" w:hAnsi="Times New Roman" w:cs="Times New Roman"/>
          <w:sz w:val="24"/>
          <w:szCs w:val="24"/>
        </w:rPr>
      </w:pPr>
    </w:p>
    <w:p w14:paraId="2166D3B9" w14:textId="17B9CD26" w:rsidR="00A52282" w:rsidRPr="0050564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 </w:t>
      </w:r>
      <w:r w:rsidR="00CE2B0A">
        <w:rPr>
          <w:rFonts w:ascii="Times New Roman" w:hAnsi="Times New Roman" w:cs="Times New Roman"/>
          <w:sz w:val="24"/>
          <w:szCs w:val="24"/>
        </w:rPr>
        <w:t xml:space="preserve">3 gives Cox Proportional Hazards Model Hazard Ratios that </w:t>
      </w:r>
      <w:r w:rsidR="00023E73">
        <w:rPr>
          <w:rFonts w:ascii="Times New Roman" w:hAnsi="Times New Roman" w:cs="Times New Roman"/>
          <w:sz w:val="24"/>
          <w:szCs w:val="24"/>
        </w:rPr>
        <w:t>highlight which baseline clinical predictors are most strongly associated with mortality risk in the sole survival analysis, thereby providing context for</w:t>
      </w:r>
      <w:r w:rsidRPr="00505647">
        <w:rPr>
          <w:rFonts w:ascii="Times New Roman" w:hAnsi="Times New Roman" w:cs="Times New Roman"/>
          <w:sz w:val="24"/>
          <w:szCs w:val="24"/>
        </w:rPr>
        <w:t xml:space="preserve"> integrated </w:t>
      </w:r>
      <w:r w:rsidR="00023E73">
        <w:rPr>
          <w:rFonts w:ascii="Times New Roman" w:hAnsi="Times New Roman" w:cs="Times New Roman"/>
          <w:sz w:val="24"/>
          <w:szCs w:val="24"/>
        </w:rPr>
        <w:t>modelling</w:t>
      </w:r>
      <w:r w:rsidRPr="00505647">
        <w:rPr>
          <w:rFonts w:ascii="Times New Roman" w:hAnsi="Times New Roman" w:cs="Times New Roman"/>
          <w:sz w:val="24"/>
          <w:szCs w:val="24"/>
        </w:rPr>
        <w:t xml:space="preserve">. The significance test shows that </w:t>
      </w:r>
      <w:r w:rsidR="00023E73">
        <w:rPr>
          <w:rFonts w:ascii="Times New Roman" w:hAnsi="Times New Roman" w:cs="Times New Roman"/>
          <w:sz w:val="24"/>
          <w:szCs w:val="24"/>
        </w:rPr>
        <w:t>the Gleason score was significantly related to survival (HR 0.847, CI 0.732 to 0.980, p = 0.0259), thereby emphasising</w:t>
      </w:r>
      <w:r w:rsidRPr="00505647">
        <w:rPr>
          <w:rFonts w:ascii="Times New Roman" w:hAnsi="Times New Roman" w:cs="Times New Roman"/>
          <w:sz w:val="24"/>
          <w:szCs w:val="24"/>
        </w:rPr>
        <w:t xml:space="preserve"> the importance of grade in survival-related decision-making, akin to pathological aggressiveness being established in predicting pathological outcomes (Ahuja et al., 2024</w:t>
      </w:r>
      <w:r w:rsidR="00023E73">
        <w:rPr>
          <w:rFonts w:ascii="Times New Roman" w:hAnsi="Times New Roman" w:cs="Times New Roman"/>
          <w:sz w:val="24"/>
          <w:szCs w:val="24"/>
        </w:rPr>
        <w:t>;</w:t>
      </w:r>
      <w:r w:rsidRPr="00505647">
        <w:rPr>
          <w:rFonts w:ascii="Times New Roman" w:hAnsi="Times New Roman" w:cs="Times New Roman"/>
          <w:sz w:val="24"/>
          <w:szCs w:val="24"/>
        </w:rPr>
        <w:t xml:space="preserve"> Xu et al., 2025). The non-significance in this Cox model </w:t>
      </w:r>
      <w:r w:rsidR="00023E73">
        <w:rPr>
          <w:rFonts w:ascii="Times New Roman" w:hAnsi="Times New Roman" w:cs="Times New Roman"/>
          <w:sz w:val="24"/>
          <w:szCs w:val="24"/>
        </w:rPr>
        <w:t xml:space="preserve">for age, stage, size, nodes, and therapy can indicate that there are complex mechanisms through which predictors influence, with evolving dynamics in time-varying biological behaviours that are not simply accounted for </w:t>
      </w:r>
      <w:r w:rsidRPr="00505647">
        <w:rPr>
          <w:rFonts w:ascii="Times New Roman" w:hAnsi="Times New Roman" w:cs="Times New Roman"/>
          <w:sz w:val="24"/>
          <w:szCs w:val="24"/>
        </w:rPr>
        <w:t xml:space="preserve">by covariates. It therefore aligns with reasons to </w:t>
      </w:r>
      <w:r w:rsidR="00CE2B0A">
        <w:rPr>
          <w:rFonts w:ascii="Times New Roman" w:hAnsi="Times New Roman" w:cs="Times New Roman"/>
          <w:sz w:val="24"/>
          <w:szCs w:val="24"/>
        </w:rPr>
        <w:t>innovate, because standard Cox models tend to overlook mechanisms by</w:t>
      </w:r>
      <w:r w:rsidR="00023E73">
        <w:rPr>
          <w:rFonts w:ascii="Times New Roman" w:hAnsi="Times New Roman" w:cs="Times New Roman"/>
          <w:sz w:val="24"/>
          <w:szCs w:val="24"/>
        </w:rPr>
        <w:t xml:space="preserve"> which many risk-influencing factors can fluctuate across vital biomarkers, thereby enabling progress to</w:t>
      </w:r>
      <w:r w:rsidRPr="00505647">
        <w:rPr>
          <w:rFonts w:ascii="Times New Roman" w:hAnsi="Times New Roman" w:cs="Times New Roman"/>
          <w:sz w:val="24"/>
          <w:szCs w:val="24"/>
        </w:rPr>
        <w:t xml:space="preserve"> change under continuous adaptive </w:t>
      </w:r>
      <w:r w:rsidR="00023E73">
        <w:rPr>
          <w:rFonts w:ascii="Times New Roman" w:hAnsi="Times New Roman" w:cs="Times New Roman"/>
          <w:sz w:val="24"/>
          <w:szCs w:val="24"/>
        </w:rPr>
        <w:t>evolution</w:t>
      </w:r>
      <w:r w:rsidRPr="00505647">
        <w:rPr>
          <w:rFonts w:ascii="Times New Roman" w:hAnsi="Times New Roman" w:cs="Times New Roman"/>
          <w:sz w:val="24"/>
          <w:szCs w:val="24"/>
        </w:rPr>
        <w:t xml:space="preserve">. The SDG 3-related policy strategies therefore follow effortlessly by </w:t>
      </w:r>
      <w:r w:rsidR="00023E73">
        <w:rPr>
          <w:rFonts w:ascii="Times New Roman" w:hAnsi="Times New Roman" w:cs="Times New Roman"/>
          <w:sz w:val="24"/>
          <w:szCs w:val="24"/>
        </w:rPr>
        <w:t>emphasising</w:t>
      </w:r>
      <w:r w:rsidRPr="00505647">
        <w:rPr>
          <w:rFonts w:ascii="Times New Roman" w:hAnsi="Times New Roman" w:cs="Times New Roman"/>
          <w:sz w:val="24"/>
          <w:szCs w:val="24"/>
        </w:rPr>
        <w:t xml:space="preserve"> pathology capacity development to grade correctly, combining grade with continuous PSA, and developing evidence-based survival follow-up strategies that specifically </w:t>
      </w:r>
      <w:r w:rsidR="00023E73">
        <w:rPr>
          <w:rFonts w:ascii="Times New Roman" w:hAnsi="Times New Roman" w:cs="Times New Roman"/>
          <w:sz w:val="24"/>
          <w:szCs w:val="24"/>
        </w:rPr>
        <w:t>target high-risk subgroups</w:t>
      </w:r>
      <w:r w:rsidRPr="00505647">
        <w:rPr>
          <w:rFonts w:ascii="Times New Roman" w:hAnsi="Times New Roman" w:cs="Times New Roman"/>
          <w:sz w:val="24"/>
          <w:szCs w:val="24"/>
        </w:rPr>
        <w:t>.</w:t>
      </w:r>
    </w:p>
    <w:p w14:paraId="40DD0E8C" w14:textId="77777777" w:rsidR="00282FA7" w:rsidRDefault="00282FA7" w:rsidP="00505647">
      <w:pPr>
        <w:jc w:val="both"/>
        <w:rPr>
          <w:rFonts w:ascii="Times New Roman" w:hAnsi="Times New Roman" w:cs="Times New Roman"/>
          <w:sz w:val="24"/>
          <w:szCs w:val="24"/>
        </w:rPr>
      </w:pPr>
      <w:r>
        <w:rPr>
          <w:noProof/>
        </w:rPr>
        <w:lastRenderedPageBreak/>
        <w:drawing>
          <wp:inline distT="0" distB="0" distL="0" distR="0" wp14:anchorId="292865B6" wp14:editId="3554F1A3">
            <wp:extent cx="5937885" cy="27051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rotWithShape="1">
                    <a:blip r:embed="rId6"/>
                    <a:srcRect t="6535"/>
                    <a:stretch/>
                  </pic:blipFill>
                  <pic:spPr bwMode="auto">
                    <a:xfrm>
                      <a:off x="0" y="0"/>
                      <a:ext cx="5985994" cy="2727017"/>
                    </a:xfrm>
                    <a:prstGeom prst="rect">
                      <a:avLst/>
                    </a:prstGeom>
                    <a:noFill/>
                    <a:ln>
                      <a:noFill/>
                    </a:ln>
                    <a:extLst>
                      <a:ext uri="{53640926-AAD7-44D8-BBD7-CCE9431645EC}">
                        <a14:shadowObscured xmlns:a14="http://schemas.microsoft.com/office/drawing/2010/main"/>
                      </a:ext>
                    </a:extLst>
                  </pic:spPr>
                </pic:pic>
              </a:graphicData>
            </a:graphic>
          </wp:inline>
        </w:drawing>
      </w:r>
    </w:p>
    <w:p w14:paraId="3302A3EE" w14:textId="77777777" w:rsidR="00282FA7" w:rsidRDefault="00A52282" w:rsidP="00505647">
      <w:pPr>
        <w:jc w:val="both"/>
        <w:rPr>
          <w:rFonts w:ascii="Times New Roman" w:hAnsi="Times New Roman" w:cs="Times New Roman"/>
          <w:sz w:val="24"/>
          <w:szCs w:val="24"/>
        </w:rPr>
      </w:pPr>
      <w:r w:rsidRPr="00505647">
        <w:rPr>
          <w:rFonts w:ascii="Times New Roman" w:hAnsi="Times New Roman" w:cs="Times New Roman"/>
          <w:sz w:val="24"/>
          <w:szCs w:val="24"/>
        </w:rPr>
        <w:t>Figure 1</w:t>
      </w:r>
      <w:r w:rsidR="00282FA7">
        <w:rPr>
          <w:rFonts w:ascii="Times New Roman" w:hAnsi="Times New Roman" w:cs="Times New Roman"/>
          <w:sz w:val="24"/>
          <w:szCs w:val="24"/>
        </w:rPr>
        <w:t>:</w:t>
      </w:r>
      <w:r w:rsidRPr="00505647">
        <w:rPr>
          <w:rFonts w:ascii="Times New Roman" w:hAnsi="Times New Roman" w:cs="Times New Roman"/>
          <w:sz w:val="24"/>
          <w:szCs w:val="24"/>
        </w:rPr>
        <w:t xml:space="preserve"> Distribution of Age</w:t>
      </w:r>
    </w:p>
    <w:p w14:paraId="1F52361B" w14:textId="6D7C2D40" w:rsidR="00A52282" w:rsidRPr="00505647" w:rsidRDefault="00287605" w:rsidP="00505647">
      <w:pPr>
        <w:jc w:val="both"/>
        <w:rPr>
          <w:rFonts w:ascii="Times New Roman" w:hAnsi="Times New Roman" w:cs="Times New Roman"/>
          <w:sz w:val="24"/>
          <w:szCs w:val="24"/>
        </w:rPr>
      </w:pPr>
      <w:r w:rsidRPr="00505647">
        <w:rPr>
          <w:rFonts w:ascii="Times New Roman" w:hAnsi="Times New Roman" w:cs="Times New Roman"/>
          <w:sz w:val="24"/>
          <w:szCs w:val="24"/>
        </w:rPr>
        <w:t>Figure 1</w:t>
      </w:r>
      <w:r w:rsidR="00FB5B95">
        <w:rPr>
          <w:rFonts w:ascii="Times New Roman" w:hAnsi="Times New Roman" w:cs="Times New Roman"/>
          <w:sz w:val="24"/>
          <w:szCs w:val="24"/>
        </w:rPr>
        <w:t>shows t</w:t>
      </w:r>
      <w:r w:rsidR="00A52282" w:rsidRPr="00505647">
        <w:rPr>
          <w:rFonts w:ascii="Times New Roman" w:hAnsi="Times New Roman" w:cs="Times New Roman"/>
          <w:sz w:val="24"/>
          <w:szCs w:val="24"/>
        </w:rPr>
        <w:t>here is a wide age distribution with many older to middle-aged men, reflecting the epidemiology of prostate cancer, which is age-related, increasing with age, predominantly presenting in older age groups (Ahad et al., 2024; Aziz et al., 2025). External plausibility is ensured by the age distribution</w:t>
      </w:r>
      <w:r w:rsidR="00023E73">
        <w:rPr>
          <w:rFonts w:ascii="Times New Roman" w:hAnsi="Times New Roman" w:cs="Times New Roman"/>
          <w:sz w:val="24"/>
          <w:szCs w:val="24"/>
        </w:rPr>
        <w:t>, which provides</w:t>
      </w:r>
      <w:r w:rsidR="00A52282" w:rsidRPr="00505647">
        <w:rPr>
          <w:rFonts w:ascii="Times New Roman" w:hAnsi="Times New Roman" w:cs="Times New Roman"/>
          <w:sz w:val="24"/>
          <w:szCs w:val="24"/>
        </w:rPr>
        <w:t xml:space="preserve"> an age-related risk assessment for model validation. Now, an implication for novelty considerations is that age could serve as an environmental risk modifier in the combined model in terms of age-related risks without presuming that age is the total explanation for the PS dynamics or the death outcomes, allowing for the distinction in risk assessment to separate the age-related risk from the risk associated with biomarkers. The significance for SDG3 is that</w:t>
      </w:r>
      <w:r w:rsidR="00023E73">
        <w:rPr>
          <w:rFonts w:ascii="Times New Roman" w:hAnsi="Times New Roman" w:cs="Times New Roman"/>
          <w:sz w:val="24"/>
          <w:szCs w:val="24"/>
        </w:rPr>
        <w:t xml:space="preserve">, through model-based </w:t>
      </w:r>
      <w:r w:rsidR="00CE2B0A">
        <w:rPr>
          <w:rFonts w:ascii="Times New Roman" w:hAnsi="Times New Roman" w:cs="Times New Roman"/>
          <w:sz w:val="24"/>
          <w:szCs w:val="24"/>
        </w:rPr>
        <w:t>risk predictions</w:t>
      </w:r>
      <w:r w:rsidR="00023E73">
        <w:rPr>
          <w:rFonts w:ascii="Times New Roman" w:hAnsi="Times New Roman" w:cs="Times New Roman"/>
          <w:sz w:val="24"/>
          <w:szCs w:val="24"/>
        </w:rPr>
        <w:t>, age-related screening, counselling, or follow-ups could be adjusted to improve</w:t>
      </w:r>
      <w:r w:rsidR="00A52282" w:rsidRPr="00505647">
        <w:rPr>
          <w:rFonts w:ascii="Times New Roman" w:hAnsi="Times New Roman" w:cs="Times New Roman"/>
          <w:sz w:val="24"/>
          <w:szCs w:val="24"/>
        </w:rPr>
        <w:t xml:space="preserve"> prediction.</w:t>
      </w:r>
    </w:p>
    <w:p w14:paraId="17AFA500" w14:textId="63B463C1" w:rsidR="008818A1" w:rsidRDefault="00282FA7" w:rsidP="00505647">
      <w:pPr>
        <w:jc w:val="both"/>
        <w:rPr>
          <w:rFonts w:ascii="Times New Roman" w:hAnsi="Times New Roman" w:cs="Times New Roman"/>
          <w:sz w:val="24"/>
          <w:szCs w:val="24"/>
        </w:rPr>
      </w:pPr>
      <w:r>
        <w:rPr>
          <w:noProof/>
        </w:rPr>
        <w:lastRenderedPageBreak/>
        <w:drawing>
          <wp:inline distT="0" distB="0" distL="0" distR="0" wp14:anchorId="75D1F5C0" wp14:editId="52D3E7C5">
            <wp:extent cx="5939790" cy="33401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rotWithShape="1">
                    <a:blip r:embed="rId7"/>
                    <a:srcRect t="6683"/>
                    <a:stretch/>
                  </pic:blipFill>
                  <pic:spPr bwMode="auto">
                    <a:xfrm>
                      <a:off x="0" y="0"/>
                      <a:ext cx="5993006" cy="3370025"/>
                    </a:xfrm>
                    <a:prstGeom prst="rect">
                      <a:avLst/>
                    </a:prstGeom>
                    <a:noFill/>
                    <a:ln>
                      <a:noFill/>
                    </a:ln>
                    <a:extLst>
                      <a:ext uri="{53640926-AAD7-44D8-BBD7-CCE9431645EC}">
                        <a14:shadowObscured xmlns:a14="http://schemas.microsoft.com/office/drawing/2010/main"/>
                      </a:ext>
                    </a:extLst>
                  </pic:spPr>
                </pic:pic>
              </a:graphicData>
            </a:graphic>
          </wp:inline>
        </w:drawing>
      </w:r>
      <w:r w:rsidR="00FC4183" w:rsidRPr="00505647">
        <w:rPr>
          <w:rFonts w:ascii="Times New Roman" w:hAnsi="Times New Roman" w:cs="Times New Roman"/>
          <w:sz w:val="24"/>
          <w:szCs w:val="24"/>
        </w:rPr>
        <w:t>Figure 2</w:t>
      </w:r>
      <w:r w:rsidR="008818A1">
        <w:rPr>
          <w:rFonts w:ascii="Times New Roman" w:hAnsi="Times New Roman" w:cs="Times New Roman"/>
          <w:sz w:val="24"/>
          <w:szCs w:val="24"/>
        </w:rPr>
        <w:t xml:space="preserve">: </w:t>
      </w:r>
      <w:r w:rsidR="00FC4183" w:rsidRPr="00505647">
        <w:rPr>
          <w:rFonts w:ascii="Times New Roman" w:hAnsi="Times New Roman" w:cs="Times New Roman"/>
          <w:sz w:val="24"/>
          <w:szCs w:val="24"/>
        </w:rPr>
        <w:t xml:space="preserve">Distribution of </w:t>
      </w:r>
      <w:r w:rsidR="008818A1"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Size</w:t>
      </w:r>
      <w:r w:rsidR="008818A1">
        <w:rPr>
          <w:rFonts w:ascii="Times New Roman" w:hAnsi="Times New Roman" w:cs="Times New Roman"/>
          <w:sz w:val="24"/>
          <w:szCs w:val="24"/>
        </w:rPr>
        <w:t xml:space="preserve"> in</w:t>
      </w:r>
      <w:r w:rsidR="00FC4183" w:rsidRPr="00505647">
        <w:rPr>
          <w:rFonts w:ascii="Times New Roman" w:hAnsi="Times New Roman" w:cs="Times New Roman"/>
          <w:sz w:val="24"/>
          <w:szCs w:val="24"/>
        </w:rPr>
        <w:t xml:space="preserve"> cm</w:t>
      </w:r>
    </w:p>
    <w:p w14:paraId="483C0F0F" w14:textId="7B691C44" w:rsidR="00FC4183" w:rsidRPr="00505647" w:rsidRDefault="00CE2B0A" w:rsidP="00505647">
      <w:pPr>
        <w:jc w:val="both"/>
        <w:rPr>
          <w:rFonts w:ascii="Times New Roman" w:hAnsi="Times New Roman" w:cs="Times New Roman"/>
          <w:sz w:val="24"/>
          <w:szCs w:val="24"/>
        </w:rPr>
      </w:pPr>
      <w:r w:rsidRPr="00505647">
        <w:rPr>
          <w:rFonts w:ascii="Times New Roman" w:hAnsi="Times New Roman" w:cs="Times New Roman"/>
          <w:sz w:val="24"/>
          <w:szCs w:val="24"/>
        </w:rPr>
        <w:t>Figure 2</w:t>
      </w:r>
      <w:r w:rsidR="00FC4183" w:rsidRPr="00505647">
        <w:rPr>
          <w:rFonts w:ascii="Times New Roman" w:hAnsi="Times New Roman" w:cs="Times New Roman"/>
          <w:sz w:val="24"/>
          <w:szCs w:val="24"/>
        </w:rPr>
        <w:t xml:space="preserve"> shows that </w:t>
      </w:r>
      <w:r w:rsidR="008818A1"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sizes vary </w:t>
      </w:r>
      <w:r w:rsidR="00023E73">
        <w:rPr>
          <w:rFonts w:ascii="Times New Roman" w:hAnsi="Times New Roman" w:cs="Times New Roman"/>
          <w:sz w:val="24"/>
          <w:szCs w:val="24"/>
        </w:rPr>
        <w:t>across a broad clinical spectrum, thus justifying examining tumour burden as a potential contributor to PSA severity and</w:t>
      </w:r>
      <w:r w:rsidR="00FC4183" w:rsidRPr="00505647">
        <w:rPr>
          <w:rFonts w:ascii="Times New Roman" w:hAnsi="Times New Roman" w:cs="Times New Roman"/>
          <w:sz w:val="24"/>
          <w:szCs w:val="24"/>
        </w:rPr>
        <w:t xml:space="preserve"> survival risk. The distribution allows for a better examination of whether PSA dynamics contain information beyond </w:t>
      </w:r>
      <w:r w:rsidR="001D19B2"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burden, </w:t>
      </w:r>
      <w:r>
        <w:rPr>
          <w:rFonts w:ascii="Times New Roman" w:hAnsi="Times New Roman" w:cs="Times New Roman"/>
          <w:sz w:val="24"/>
          <w:szCs w:val="24"/>
        </w:rPr>
        <w:t>a question that remains unresolved when using tumour size or PSA measures as standalone predictors</w:t>
      </w:r>
      <w:r w:rsidR="00FC4183" w:rsidRPr="00505647">
        <w:rPr>
          <w:rFonts w:ascii="Times New Roman" w:hAnsi="Times New Roman" w:cs="Times New Roman"/>
          <w:sz w:val="24"/>
          <w:szCs w:val="24"/>
        </w:rPr>
        <w:t xml:space="preserve"> (Galey et al., 2024; Majewska et al., 2025). The innovative aspect is derived from parsing the </w:t>
      </w:r>
      <w:r w:rsidR="001D19B2"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burden association with PSA severity</w:t>
      </w:r>
      <w:r w:rsidR="00023E73">
        <w:rPr>
          <w:rFonts w:ascii="Times New Roman" w:hAnsi="Times New Roman" w:cs="Times New Roman"/>
          <w:sz w:val="24"/>
          <w:szCs w:val="24"/>
        </w:rPr>
        <w:t>, longitudinal observations,</w:t>
      </w:r>
      <w:r w:rsidR="00FC4183" w:rsidRPr="00505647">
        <w:rPr>
          <w:rFonts w:ascii="Times New Roman" w:hAnsi="Times New Roman" w:cs="Times New Roman"/>
          <w:sz w:val="24"/>
          <w:szCs w:val="24"/>
        </w:rPr>
        <w:t xml:space="preserve"> simultaneously with deriving its association with hazard functions using the joint architecture design. SDG 3 recommendations for policy on these two conditions include enhancing </w:t>
      </w:r>
      <w:r w:rsidR="008818A1" w:rsidRPr="00505647">
        <w:rPr>
          <w:rFonts w:ascii="Times New Roman" w:hAnsi="Times New Roman" w:cs="Times New Roman"/>
          <w:sz w:val="24"/>
          <w:szCs w:val="24"/>
        </w:rPr>
        <w:t>tumour</w:t>
      </w:r>
      <w:r w:rsidR="00FC4183" w:rsidRPr="00505647">
        <w:rPr>
          <w:rFonts w:ascii="Times New Roman" w:hAnsi="Times New Roman" w:cs="Times New Roman"/>
          <w:sz w:val="24"/>
          <w:szCs w:val="24"/>
        </w:rPr>
        <w:t xml:space="preserve"> diagnostic capabilities for staging </w:t>
      </w:r>
      <w:r w:rsidR="00023E73">
        <w:rPr>
          <w:rFonts w:ascii="Times New Roman" w:hAnsi="Times New Roman" w:cs="Times New Roman"/>
          <w:sz w:val="24"/>
          <w:szCs w:val="24"/>
        </w:rPr>
        <w:t>to determine tumour sizes as inputs to diagnostic algorithms accurately</w:t>
      </w:r>
      <w:r w:rsidR="00FC4183" w:rsidRPr="00505647">
        <w:rPr>
          <w:rFonts w:ascii="Times New Roman" w:hAnsi="Times New Roman" w:cs="Times New Roman"/>
          <w:sz w:val="24"/>
          <w:szCs w:val="24"/>
        </w:rPr>
        <w:t>.</w:t>
      </w:r>
    </w:p>
    <w:p w14:paraId="746628C7" w14:textId="3D72B269" w:rsidR="00854AFB" w:rsidRDefault="00854AFB" w:rsidP="00854AFB">
      <w:pPr>
        <w:jc w:val="both"/>
        <w:rPr>
          <w:rFonts w:ascii="Times New Roman" w:hAnsi="Times New Roman" w:cs="Times New Roman"/>
          <w:sz w:val="24"/>
          <w:szCs w:val="24"/>
        </w:rPr>
      </w:pPr>
      <w:r>
        <w:rPr>
          <w:noProof/>
        </w:rPr>
        <w:lastRenderedPageBreak/>
        <w:drawing>
          <wp:inline distT="0" distB="0" distL="0" distR="0" wp14:anchorId="16859648" wp14:editId="68A7FDCB">
            <wp:extent cx="5940228" cy="252095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rotWithShape="1">
                    <a:blip r:embed="rId8"/>
                    <a:srcRect t="8305"/>
                    <a:stretch/>
                  </pic:blipFill>
                  <pic:spPr bwMode="auto">
                    <a:xfrm>
                      <a:off x="0" y="0"/>
                      <a:ext cx="5964406" cy="2531211"/>
                    </a:xfrm>
                    <a:prstGeom prst="rect">
                      <a:avLst/>
                    </a:prstGeom>
                    <a:noFill/>
                    <a:ln>
                      <a:noFill/>
                    </a:ln>
                    <a:extLst>
                      <a:ext uri="{53640926-AAD7-44D8-BBD7-CCE9431645EC}">
                        <a14:shadowObscured xmlns:a14="http://schemas.microsoft.com/office/drawing/2010/main"/>
                      </a:ext>
                    </a:extLst>
                  </pic:spPr>
                </pic:pic>
              </a:graphicData>
            </a:graphic>
          </wp:inline>
        </w:drawing>
      </w:r>
      <w:r w:rsidRPr="00854AFB">
        <w:rPr>
          <w:rFonts w:ascii="Times New Roman" w:hAnsi="Times New Roman" w:cs="Times New Roman"/>
          <w:sz w:val="24"/>
          <w:szCs w:val="24"/>
        </w:rPr>
        <w:t>Figure 3</w:t>
      </w:r>
      <w:r>
        <w:rPr>
          <w:rFonts w:ascii="Times New Roman" w:hAnsi="Times New Roman" w:cs="Times New Roman"/>
          <w:sz w:val="24"/>
          <w:szCs w:val="24"/>
        </w:rPr>
        <w:t xml:space="preserve">: </w:t>
      </w:r>
      <w:r w:rsidRPr="00854AFB">
        <w:rPr>
          <w:rFonts w:ascii="Times New Roman" w:hAnsi="Times New Roman" w:cs="Times New Roman"/>
          <w:sz w:val="24"/>
          <w:szCs w:val="24"/>
        </w:rPr>
        <w:t xml:space="preserve">Distribution of Lymph Nodes Involved </w:t>
      </w:r>
    </w:p>
    <w:p w14:paraId="4743D449" w14:textId="4B4404F3" w:rsidR="00854AFB" w:rsidRDefault="00854AFB" w:rsidP="00854AFB">
      <w:pPr>
        <w:jc w:val="both"/>
        <w:rPr>
          <w:rFonts w:ascii="Times New Roman" w:hAnsi="Times New Roman" w:cs="Times New Roman"/>
          <w:sz w:val="24"/>
          <w:szCs w:val="24"/>
        </w:rPr>
      </w:pPr>
      <w:r w:rsidRPr="00854AFB">
        <w:rPr>
          <w:rFonts w:ascii="Times New Roman" w:hAnsi="Times New Roman" w:cs="Times New Roman"/>
          <w:sz w:val="24"/>
          <w:szCs w:val="24"/>
        </w:rPr>
        <w:t xml:space="preserve">Figure 3 shows significant variability in </w:t>
      </w:r>
      <w:r w:rsidR="0040194E">
        <w:rPr>
          <w:rFonts w:ascii="Times New Roman" w:hAnsi="Times New Roman" w:cs="Times New Roman"/>
          <w:sz w:val="24"/>
          <w:szCs w:val="24"/>
        </w:rPr>
        <w:t>nodal involvement, indicating localised</w:t>
      </w:r>
      <w:r w:rsidRPr="00854AFB">
        <w:rPr>
          <w:rFonts w:ascii="Times New Roman" w:hAnsi="Times New Roman" w:cs="Times New Roman"/>
          <w:sz w:val="24"/>
          <w:szCs w:val="24"/>
        </w:rPr>
        <w:t xml:space="preserve"> and more widespread disease patterns in the cohort. Nodal burden is a clinically significant progression and </w:t>
      </w:r>
      <w:r w:rsidR="0040194E">
        <w:rPr>
          <w:rFonts w:ascii="Times New Roman" w:hAnsi="Times New Roman" w:cs="Times New Roman"/>
          <w:sz w:val="24"/>
          <w:szCs w:val="24"/>
        </w:rPr>
        <w:t>a driver of treatment escalation. However, baseline-only modelling cannot determine the interactions between nodal status, changes in biomarkers, and survival over</w:t>
      </w:r>
      <w:r w:rsidRPr="00854AFB">
        <w:rPr>
          <w:rFonts w:ascii="Times New Roman" w:hAnsi="Times New Roman" w:cs="Times New Roman"/>
          <w:sz w:val="24"/>
          <w:szCs w:val="24"/>
        </w:rPr>
        <w:t xml:space="preserve"> time. The novelty implication </w:t>
      </w:r>
      <w:r w:rsidR="0040194E">
        <w:rPr>
          <w:rFonts w:ascii="Times New Roman" w:hAnsi="Times New Roman" w:cs="Times New Roman"/>
          <w:sz w:val="24"/>
          <w:szCs w:val="24"/>
        </w:rPr>
        <w:t>is that nodal involvement can serve as a predictor of baseline structural severity. In contrast, PSA patterns provide active data on</w:t>
      </w:r>
      <w:r w:rsidRPr="00854AFB">
        <w:rPr>
          <w:rFonts w:ascii="Times New Roman" w:hAnsi="Times New Roman" w:cs="Times New Roman"/>
          <w:sz w:val="24"/>
          <w:szCs w:val="24"/>
        </w:rPr>
        <w:t xml:space="preserve"> response or progression that can enhance the estimation of the threat </w:t>
      </w:r>
      <w:r w:rsidR="0040194E">
        <w:rPr>
          <w:rFonts w:ascii="Times New Roman" w:hAnsi="Times New Roman" w:cs="Times New Roman"/>
          <w:sz w:val="24"/>
          <w:szCs w:val="24"/>
        </w:rPr>
        <w:t>to</w:t>
      </w:r>
      <w:r w:rsidRPr="00854AFB">
        <w:rPr>
          <w:rFonts w:ascii="Times New Roman" w:hAnsi="Times New Roman" w:cs="Times New Roman"/>
          <w:sz w:val="24"/>
          <w:szCs w:val="24"/>
        </w:rPr>
        <w:t xml:space="preserve"> survival beyond the number of nodals. SDG 3 is relevant because the </w:t>
      </w:r>
      <w:r w:rsidR="00C01D91">
        <w:rPr>
          <w:rFonts w:ascii="Times New Roman" w:hAnsi="Times New Roman" w:cs="Times New Roman"/>
          <w:sz w:val="24"/>
          <w:szCs w:val="24"/>
        </w:rPr>
        <w:t xml:space="preserve">policy will support improved staging and referral processes, and men with high nodal burden will </w:t>
      </w:r>
      <w:r w:rsidR="004A6E9F">
        <w:rPr>
          <w:rFonts w:ascii="Times New Roman" w:hAnsi="Times New Roman" w:cs="Times New Roman"/>
          <w:sz w:val="24"/>
          <w:szCs w:val="24"/>
        </w:rPr>
        <w:t>receive intensified monitoring and timely access to multimodal therapy</w:t>
      </w:r>
      <w:r w:rsidRPr="00854AFB">
        <w:rPr>
          <w:rFonts w:ascii="Times New Roman" w:hAnsi="Times New Roman" w:cs="Times New Roman"/>
          <w:sz w:val="24"/>
          <w:szCs w:val="24"/>
        </w:rPr>
        <w:t>.</w:t>
      </w:r>
    </w:p>
    <w:p w14:paraId="612386AF" w14:textId="075B8431" w:rsidR="00854AFB" w:rsidRDefault="00854AFB" w:rsidP="00854AFB">
      <w:pPr>
        <w:jc w:val="both"/>
        <w:rPr>
          <w:rFonts w:ascii="Times New Roman" w:hAnsi="Times New Roman" w:cs="Times New Roman"/>
          <w:sz w:val="24"/>
          <w:szCs w:val="24"/>
        </w:rPr>
      </w:pPr>
      <w:r>
        <w:rPr>
          <w:noProof/>
        </w:rPr>
        <w:drawing>
          <wp:inline distT="0" distB="0" distL="0" distR="0" wp14:anchorId="35F510DC" wp14:editId="7297FB44">
            <wp:extent cx="5941302" cy="28257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9"/>
                    <a:srcRect t="8053"/>
                    <a:stretch/>
                  </pic:blipFill>
                  <pic:spPr bwMode="auto">
                    <a:xfrm>
                      <a:off x="0" y="0"/>
                      <a:ext cx="5981296" cy="2844771"/>
                    </a:xfrm>
                    <a:prstGeom prst="rect">
                      <a:avLst/>
                    </a:prstGeom>
                    <a:noFill/>
                    <a:ln>
                      <a:noFill/>
                    </a:ln>
                    <a:extLst>
                      <a:ext uri="{53640926-AAD7-44D8-BBD7-CCE9431645EC}">
                        <a14:shadowObscured xmlns:a14="http://schemas.microsoft.com/office/drawing/2010/main"/>
                      </a:ext>
                    </a:extLst>
                  </pic:spPr>
                </pic:pic>
              </a:graphicData>
            </a:graphic>
          </wp:inline>
        </w:drawing>
      </w:r>
      <w:r w:rsidRPr="00854AFB">
        <w:rPr>
          <w:rFonts w:ascii="Times New Roman" w:hAnsi="Times New Roman" w:cs="Times New Roman"/>
          <w:sz w:val="24"/>
          <w:szCs w:val="24"/>
        </w:rPr>
        <w:t>Figure 4</w:t>
      </w:r>
      <w:r>
        <w:rPr>
          <w:rFonts w:ascii="Times New Roman" w:hAnsi="Times New Roman" w:cs="Times New Roman"/>
          <w:sz w:val="24"/>
          <w:szCs w:val="24"/>
        </w:rPr>
        <w:t xml:space="preserve">: </w:t>
      </w:r>
      <w:r w:rsidRPr="00854AFB">
        <w:rPr>
          <w:rFonts w:ascii="Times New Roman" w:hAnsi="Times New Roman" w:cs="Times New Roman"/>
          <w:sz w:val="24"/>
          <w:szCs w:val="24"/>
        </w:rPr>
        <w:t>Distribution of Survival Time Months</w:t>
      </w:r>
    </w:p>
    <w:p w14:paraId="229BA089" w14:textId="42EE49C5" w:rsidR="00854AFB" w:rsidRPr="00854AFB" w:rsidRDefault="00854AFB" w:rsidP="00854AFB">
      <w:pPr>
        <w:jc w:val="both"/>
        <w:rPr>
          <w:rFonts w:ascii="Times New Roman" w:hAnsi="Times New Roman" w:cs="Times New Roman"/>
          <w:sz w:val="24"/>
          <w:szCs w:val="24"/>
        </w:rPr>
      </w:pPr>
      <w:r w:rsidRPr="00854AFB">
        <w:rPr>
          <w:rFonts w:ascii="Times New Roman" w:hAnsi="Times New Roman" w:cs="Times New Roman"/>
          <w:sz w:val="24"/>
          <w:szCs w:val="24"/>
        </w:rPr>
        <w:t xml:space="preserve">Figure 4 </w:t>
      </w:r>
      <w:r w:rsidR="0040194E">
        <w:rPr>
          <w:rFonts w:ascii="Times New Roman" w:hAnsi="Times New Roman" w:cs="Times New Roman"/>
          <w:sz w:val="24"/>
          <w:szCs w:val="24"/>
        </w:rPr>
        <w:t xml:space="preserve">shows a highly right-skewed distribution, with a high density of lower </w:t>
      </w:r>
      <w:r w:rsidR="00C01D91">
        <w:rPr>
          <w:rFonts w:ascii="Times New Roman" w:hAnsi="Times New Roman" w:cs="Times New Roman"/>
          <w:sz w:val="24"/>
          <w:szCs w:val="24"/>
        </w:rPr>
        <w:t>survival months</w:t>
      </w:r>
      <w:r w:rsidR="0040194E">
        <w:rPr>
          <w:rFonts w:ascii="Times New Roman" w:hAnsi="Times New Roman" w:cs="Times New Roman"/>
          <w:sz w:val="24"/>
          <w:szCs w:val="24"/>
        </w:rPr>
        <w:t xml:space="preserve"> and a small tail extending to higher</w:t>
      </w:r>
      <w:r w:rsidRPr="00854AFB">
        <w:rPr>
          <w:rFonts w:ascii="Times New Roman" w:hAnsi="Times New Roman" w:cs="Times New Roman"/>
          <w:sz w:val="24"/>
          <w:szCs w:val="24"/>
        </w:rPr>
        <w:t xml:space="preserve"> months. This form is common </w:t>
      </w:r>
      <w:r w:rsidR="0040194E">
        <w:rPr>
          <w:rFonts w:ascii="Times New Roman" w:hAnsi="Times New Roman" w:cs="Times New Roman"/>
          <w:sz w:val="24"/>
          <w:szCs w:val="24"/>
        </w:rPr>
        <w:t xml:space="preserve">for survival data whose </w:t>
      </w:r>
      <w:r w:rsidR="0040194E">
        <w:rPr>
          <w:rFonts w:ascii="Times New Roman" w:hAnsi="Times New Roman" w:cs="Times New Roman"/>
          <w:sz w:val="24"/>
          <w:szCs w:val="24"/>
        </w:rPr>
        <w:lastRenderedPageBreak/>
        <w:t>aggressiveness and response to treatment are heterogeneous, and it favours time-to-event models, which handle</w:t>
      </w:r>
      <w:r w:rsidRPr="00854AFB">
        <w:rPr>
          <w:rFonts w:ascii="Times New Roman" w:hAnsi="Times New Roman" w:cs="Times New Roman"/>
          <w:sz w:val="24"/>
          <w:szCs w:val="24"/>
        </w:rPr>
        <w:t xml:space="preserve"> non-normality and censoring. It is the novelty argument</w:t>
      </w:r>
      <w:r w:rsidR="0040194E">
        <w:rPr>
          <w:rFonts w:ascii="Times New Roman" w:hAnsi="Times New Roman" w:cs="Times New Roman"/>
          <w:sz w:val="24"/>
          <w:szCs w:val="24"/>
        </w:rPr>
        <w:t xml:space="preserve">: the skewed survival distribution can be caused by unobserved patient-specific factors and changing disease activity, which </w:t>
      </w:r>
      <w:r w:rsidR="003F49CE">
        <w:rPr>
          <w:rFonts w:ascii="Times New Roman" w:hAnsi="Times New Roman" w:cs="Times New Roman"/>
          <w:sz w:val="24"/>
          <w:szCs w:val="24"/>
        </w:rPr>
        <w:t>are the focus of joint modelling, as reflected in</w:t>
      </w:r>
      <w:r w:rsidRPr="00854AFB">
        <w:rPr>
          <w:rFonts w:ascii="Times New Roman" w:hAnsi="Times New Roman" w:cs="Times New Roman"/>
          <w:sz w:val="24"/>
          <w:szCs w:val="24"/>
        </w:rPr>
        <w:t xml:space="preserve"> shared random effects of PSA evolution on hazard (Wang </w:t>
      </w:r>
      <w:r w:rsidR="0040194E">
        <w:rPr>
          <w:rFonts w:ascii="Times New Roman" w:hAnsi="Times New Roman" w:cs="Times New Roman"/>
          <w:sz w:val="24"/>
          <w:szCs w:val="24"/>
        </w:rPr>
        <w:t>&amp;</w:t>
      </w:r>
      <w:r w:rsidRPr="00854AFB">
        <w:rPr>
          <w:rFonts w:ascii="Times New Roman" w:hAnsi="Times New Roman" w:cs="Times New Roman"/>
          <w:sz w:val="24"/>
          <w:szCs w:val="24"/>
        </w:rPr>
        <w:t xml:space="preserve"> Zhong, 2025; Rustand et al., 2024). The SDG 3 policy directions focus on enhancing survivorship pathways, post-treatment monitoring, and prompt diagnosis of </w:t>
      </w:r>
      <w:r w:rsidR="0040194E">
        <w:rPr>
          <w:rFonts w:ascii="Times New Roman" w:hAnsi="Times New Roman" w:cs="Times New Roman"/>
          <w:sz w:val="24"/>
          <w:szCs w:val="24"/>
        </w:rPr>
        <w:t>rapid progressors, using dynamic biomarker indicators,</w:t>
      </w:r>
      <w:r w:rsidRPr="00854AFB">
        <w:rPr>
          <w:rFonts w:ascii="Times New Roman" w:hAnsi="Times New Roman" w:cs="Times New Roman"/>
          <w:sz w:val="24"/>
          <w:szCs w:val="24"/>
        </w:rPr>
        <w:t xml:space="preserve"> to </w:t>
      </w:r>
      <w:r w:rsidR="0040194E">
        <w:rPr>
          <w:rFonts w:ascii="Times New Roman" w:hAnsi="Times New Roman" w:cs="Times New Roman"/>
          <w:sz w:val="24"/>
          <w:szCs w:val="24"/>
        </w:rPr>
        <w:t>minimise</w:t>
      </w:r>
      <w:r w:rsidRPr="00854AFB">
        <w:rPr>
          <w:rFonts w:ascii="Times New Roman" w:hAnsi="Times New Roman" w:cs="Times New Roman"/>
          <w:sz w:val="24"/>
          <w:szCs w:val="24"/>
        </w:rPr>
        <w:t xml:space="preserve"> preventable premature mortality.</w:t>
      </w:r>
    </w:p>
    <w:p w14:paraId="589CB8B9" w14:textId="3572B0DE" w:rsidR="00481760" w:rsidRDefault="006A7220" w:rsidP="00854AFB">
      <w:pPr>
        <w:jc w:val="both"/>
        <w:rPr>
          <w:rFonts w:ascii="Times New Roman" w:hAnsi="Times New Roman" w:cs="Times New Roman"/>
          <w:sz w:val="24"/>
          <w:szCs w:val="24"/>
        </w:rPr>
      </w:pPr>
      <w:r>
        <w:rPr>
          <w:noProof/>
        </w:rPr>
        <w:drawing>
          <wp:inline distT="0" distB="0" distL="0" distR="0" wp14:anchorId="2D6BE8C7" wp14:editId="2222557B">
            <wp:extent cx="5941592" cy="29845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rotWithShape="1">
                    <a:blip r:embed="rId9"/>
                    <a:srcRect t="7409"/>
                    <a:stretch/>
                  </pic:blipFill>
                  <pic:spPr bwMode="auto">
                    <a:xfrm>
                      <a:off x="0" y="0"/>
                      <a:ext cx="5976179" cy="3001873"/>
                    </a:xfrm>
                    <a:prstGeom prst="rect">
                      <a:avLst/>
                    </a:prstGeom>
                    <a:noFill/>
                    <a:ln>
                      <a:noFill/>
                    </a:ln>
                    <a:extLst>
                      <a:ext uri="{53640926-AAD7-44D8-BBD7-CCE9431645EC}">
                        <a14:shadowObscured xmlns:a14="http://schemas.microsoft.com/office/drawing/2010/main"/>
                      </a:ext>
                    </a:extLst>
                  </pic:spPr>
                </pic:pic>
              </a:graphicData>
            </a:graphic>
          </wp:inline>
        </w:drawing>
      </w:r>
      <w:r w:rsidR="00481760" w:rsidRPr="00854AFB">
        <w:rPr>
          <w:rFonts w:ascii="Times New Roman" w:hAnsi="Times New Roman" w:cs="Times New Roman"/>
          <w:sz w:val="24"/>
          <w:szCs w:val="24"/>
        </w:rPr>
        <w:t>Figure 5</w:t>
      </w:r>
      <w:r w:rsidR="00481760">
        <w:rPr>
          <w:rFonts w:ascii="Times New Roman" w:hAnsi="Times New Roman" w:cs="Times New Roman"/>
          <w:sz w:val="24"/>
          <w:szCs w:val="24"/>
        </w:rPr>
        <w:t xml:space="preserve">: </w:t>
      </w:r>
      <w:r w:rsidR="00481760" w:rsidRPr="00854AFB">
        <w:rPr>
          <w:rFonts w:ascii="Times New Roman" w:hAnsi="Times New Roman" w:cs="Times New Roman"/>
          <w:sz w:val="24"/>
          <w:szCs w:val="24"/>
        </w:rPr>
        <w:t xml:space="preserve">Distribution of Follow-up Time Months </w:t>
      </w:r>
    </w:p>
    <w:p w14:paraId="431A95CE" w14:textId="3D7DC548" w:rsidR="00FC4183" w:rsidRPr="00505647" w:rsidRDefault="00854AFB" w:rsidP="00854AFB">
      <w:pPr>
        <w:jc w:val="both"/>
        <w:rPr>
          <w:rFonts w:ascii="Times New Roman" w:hAnsi="Times New Roman" w:cs="Times New Roman"/>
          <w:sz w:val="24"/>
          <w:szCs w:val="24"/>
        </w:rPr>
      </w:pPr>
      <w:r w:rsidRPr="00854AFB">
        <w:rPr>
          <w:rFonts w:ascii="Times New Roman" w:hAnsi="Times New Roman" w:cs="Times New Roman"/>
          <w:sz w:val="24"/>
          <w:szCs w:val="24"/>
        </w:rPr>
        <w:t xml:space="preserve">The right skewness shown in Figure 5 (Distribution of Follow-up Time Months) also presents numerous short </w:t>
      </w:r>
      <w:r w:rsidR="0040194E">
        <w:rPr>
          <w:rFonts w:ascii="Times New Roman" w:hAnsi="Times New Roman" w:cs="Times New Roman"/>
          <w:sz w:val="24"/>
          <w:szCs w:val="24"/>
        </w:rPr>
        <w:t>follow-ups and a long tail of extended follow-ups</w:t>
      </w:r>
      <w:r w:rsidRPr="00854AFB">
        <w:rPr>
          <w:rFonts w:ascii="Times New Roman" w:hAnsi="Times New Roman" w:cs="Times New Roman"/>
          <w:sz w:val="24"/>
          <w:szCs w:val="24"/>
        </w:rPr>
        <w:t xml:space="preserve">. This trend is the indication of realistic clinical follow-up </w:t>
      </w:r>
      <w:r w:rsidR="0040194E" w:rsidRPr="00854AFB">
        <w:rPr>
          <w:rFonts w:ascii="Times New Roman" w:hAnsi="Times New Roman" w:cs="Times New Roman"/>
          <w:sz w:val="24"/>
          <w:szCs w:val="24"/>
        </w:rPr>
        <w:t>behaviour</w:t>
      </w:r>
      <w:r w:rsidR="0040194E">
        <w:rPr>
          <w:rFonts w:ascii="Times New Roman" w:hAnsi="Times New Roman" w:cs="Times New Roman"/>
          <w:sz w:val="24"/>
          <w:szCs w:val="24"/>
        </w:rPr>
        <w:t>, and it marks a significant methodology problem in the studies of prostate cancer, which is informative dropout,</w:t>
      </w:r>
      <w:r w:rsidRPr="00854AFB">
        <w:rPr>
          <w:rFonts w:ascii="Times New Roman" w:hAnsi="Times New Roman" w:cs="Times New Roman"/>
          <w:sz w:val="24"/>
          <w:szCs w:val="24"/>
        </w:rPr>
        <w:t xml:space="preserve"> where patients with poorer prognoses leave the follow-up because of morbidity or death. The novelty </w:t>
      </w:r>
      <w:r w:rsidR="0040194E">
        <w:rPr>
          <w:rFonts w:ascii="Times New Roman" w:hAnsi="Times New Roman" w:cs="Times New Roman"/>
          <w:sz w:val="24"/>
          <w:szCs w:val="24"/>
        </w:rPr>
        <w:t>and significance are direct: the joint model accounts for the relationship between longitudinal observations of the marker under study and survival, thereby avoiding</w:t>
      </w:r>
      <w:r w:rsidRPr="00854AFB">
        <w:rPr>
          <w:rFonts w:ascii="Times New Roman" w:hAnsi="Times New Roman" w:cs="Times New Roman"/>
          <w:sz w:val="24"/>
          <w:szCs w:val="24"/>
        </w:rPr>
        <w:t xml:space="preserve"> bias that would otherwise arise when PSA is studied in survivors alone (Rizopoulos et al., 2024; Liaqat et al., 2024). The SDG 3 policy directions involve enhancing retention in follow-up programs and </w:t>
      </w:r>
      <w:r w:rsidR="0040194E">
        <w:rPr>
          <w:rFonts w:ascii="Times New Roman" w:hAnsi="Times New Roman" w:cs="Times New Roman"/>
          <w:sz w:val="24"/>
          <w:szCs w:val="24"/>
        </w:rPr>
        <w:t>strengthening longitudinal data systems to ensure that biomarker monitoring is maintained at a consistent rate, facilitating</w:t>
      </w:r>
      <w:r w:rsidRPr="00854AFB">
        <w:rPr>
          <w:rFonts w:ascii="Times New Roman" w:hAnsi="Times New Roman" w:cs="Times New Roman"/>
          <w:sz w:val="24"/>
          <w:szCs w:val="24"/>
        </w:rPr>
        <w:t xml:space="preserve"> more accurate risk prediction and enhanced continuity of care.</w:t>
      </w:r>
    </w:p>
    <w:p w14:paraId="7163DD16" w14:textId="50AF96E6" w:rsidR="00FC4183" w:rsidRPr="00505647" w:rsidRDefault="008818A1" w:rsidP="00505647">
      <w:pPr>
        <w:jc w:val="both"/>
        <w:rPr>
          <w:rFonts w:ascii="Times New Roman" w:hAnsi="Times New Roman" w:cs="Times New Roman"/>
          <w:sz w:val="24"/>
          <w:szCs w:val="24"/>
        </w:rPr>
      </w:pPr>
      <w:r>
        <w:rPr>
          <w:noProof/>
        </w:rPr>
        <w:lastRenderedPageBreak/>
        <w:drawing>
          <wp:inline distT="0" distB="0" distL="0" distR="0" wp14:anchorId="6AD2D4E8" wp14:editId="75B947C7">
            <wp:extent cx="6183630" cy="2838450"/>
            <wp:effectExtent l="0" t="0" r="7620" b="0"/>
            <wp:docPr id="26" name="Picture" descr="Figure 1. Kaplan–Meier survival curves stratified by baseline PSA category."/>
            <wp:cNvGraphicFramePr/>
            <a:graphic xmlns:a="http://schemas.openxmlformats.org/drawingml/2006/main">
              <a:graphicData uri="http://schemas.openxmlformats.org/drawingml/2006/picture">
                <pic:pic xmlns:pic="http://schemas.openxmlformats.org/drawingml/2006/picture">
                  <pic:nvPicPr>
                    <pic:cNvPr id="27" name="Picture" descr="Figure_1_KM_by_PSA.png"/>
                    <pic:cNvPicPr>
                      <a:picLocks noChangeAspect="1" noChangeArrowheads="1"/>
                    </pic:cNvPicPr>
                  </pic:nvPicPr>
                  <pic:blipFill rotWithShape="1">
                    <a:blip r:embed="rId10"/>
                    <a:srcRect t="7585"/>
                    <a:stretch/>
                  </pic:blipFill>
                  <pic:spPr bwMode="auto">
                    <a:xfrm>
                      <a:off x="0" y="0"/>
                      <a:ext cx="6292602" cy="2888471"/>
                    </a:xfrm>
                    <a:prstGeom prst="rect">
                      <a:avLst/>
                    </a:prstGeom>
                    <a:noFill/>
                    <a:ln>
                      <a:noFill/>
                    </a:ln>
                    <a:extLst>
                      <a:ext uri="{53640926-AAD7-44D8-BBD7-CCE9431645EC}">
                        <a14:shadowObscured xmlns:a14="http://schemas.microsoft.com/office/drawing/2010/main"/>
                      </a:ext>
                    </a:extLst>
                  </pic:spPr>
                </pic:pic>
              </a:graphicData>
            </a:graphic>
          </wp:inline>
        </w:drawing>
      </w:r>
    </w:p>
    <w:p w14:paraId="4F4D43AC" w14:textId="77777777" w:rsidR="008818A1"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Figure 6</w:t>
      </w:r>
      <w:r w:rsidR="008818A1">
        <w:rPr>
          <w:rFonts w:ascii="Times New Roman" w:hAnsi="Times New Roman" w:cs="Times New Roman"/>
          <w:sz w:val="24"/>
          <w:szCs w:val="24"/>
        </w:rPr>
        <w:t xml:space="preserve">: </w:t>
      </w:r>
      <w:r w:rsidRPr="00505647">
        <w:rPr>
          <w:rFonts w:ascii="Times New Roman" w:hAnsi="Times New Roman" w:cs="Times New Roman"/>
          <w:sz w:val="24"/>
          <w:szCs w:val="24"/>
        </w:rPr>
        <w:t>Kaplan</w:t>
      </w:r>
      <w:r w:rsidR="008818A1">
        <w:rPr>
          <w:rFonts w:ascii="Times New Roman" w:hAnsi="Times New Roman" w:cs="Times New Roman"/>
          <w:sz w:val="24"/>
          <w:szCs w:val="24"/>
        </w:rPr>
        <w:t>-</w:t>
      </w:r>
      <w:r w:rsidRPr="00505647">
        <w:rPr>
          <w:rFonts w:ascii="Times New Roman" w:hAnsi="Times New Roman" w:cs="Times New Roman"/>
          <w:sz w:val="24"/>
          <w:szCs w:val="24"/>
        </w:rPr>
        <w:t>Meier Survival Curves by PSA Category</w:t>
      </w:r>
    </w:p>
    <w:p w14:paraId="3C62150A" w14:textId="77777777" w:rsidR="0040194E"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 </w:t>
      </w:r>
      <w:r w:rsidR="00A76725" w:rsidRPr="00505647">
        <w:rPr>
          <w:rFonts w:ascii="Times New Roman" w:hAnsi="Times New Roman" w:cs="Times New Roman"/>
          <w:sz w:val="24"/>
          <w:szCs w:val="24"/>
        </w:rPr>
        <w:t>Figure 6</w:t>
      </w:r>
      <w:r w:rsidR="00A76725">
        <w:rPr>
          <w:rFonts w:ascii="Times New Roman" w:hAnsi="Times New Roman" w:cs="Times New Roman"/>
          <w:sz w:val="24"/>
          <w:szCs w:val="24"/>
        </w:rPr>
        <w:t xml:space="preserve"> </w:t>
      </w:r>
      <w:r w:rsidRPr="00505647">
        <w:rPr>
          <w:rFonts w:ascii="Times New Roman" w:hAnsi="Times New Roman" w:cs="Times New Roman"/>
          <w:sz w:val="24"/>
          <w:szCs w:val="24"/>
        </w:rPr>
        <w:t xml:space="preserve">offers a descriptive proof of the distinction in survival rates among the </w:t>
      </w:r>
      <w:r w:rsidR="00023E73">
        <w:rPr>
          <w:rFonts w:ascii="Times New Roman" w:hAnsi="Times New Roman" w:cs="Times New Roman"/>
          <w:sz w:val="24"/>
          <w:szCs w:val="24"/>
        </w:rPr>
        <w:t>categorisations</w:t>
      </w:r>
      <w:r w:rsidRPr="00505647">
        <w:rPr>
          <w:rFonts w:ascii="Times New Roman" w:hAnsi="Times New Roman" w:cs="Times New Roman"/>
          <w:sz w:val="24"/>
          <w:szCs w:val="24"/>
        </w:rPr>
        <w:t xml:space="preserve"> of PSA severity</w:t>
      </w:r>
      <w:r w:rsidR="00023E73">
        <w:rPr>
          <w:rFonts w:ascii="Times New Roman" w:hAnsi="Times New Roman" w:cs="Times New Roman"/>
          <w:sz w:val="24"/>
          <w:szCs w:val="24"/>
        </w:rPr>
        <w:t>,</w:t>
      </w:r>
      <w:r w:rsidRPr="00505647">
        <w:rPr>
          <w:rFonts w:ascii="Times New Roman" w:hAnsi="Times New Roman" w:cs="Times New Roman"/>
          <w:sz w:val="24"/>
          <w:szCs w:val="24"/>
        </w:rPr>
        <w:t xml:space="preserve"> with a visible distinction in the curves charted over time for the Low, Moderate, and High categories of PSA severity, which supports the medical understanding that the higher the severity of the PSA values, the more aggressive the </w:t>
      </w:r>
      <w:r w:rsidR="008818A1"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activity (Roy et al., 2024). Contribution of the Novelty: "The Kaplan</w:t>
      </w:r>
      <w:r w:rsidR="008818A1">
        <w:rPr>
          <w:rFonts w:ascii="Times New Roman" w:hAnsi="Times New Roman" w:cs="Times New Roman"/>
          <w:sz w:val="24"/>
          <w:szCs w:val="24"/>
        </w:rPr>
        <w:t>-</w:t>
      </w:r>
      <w:r w:rsidRPr="00505647">
        <w:rPr>
          <w:rFonts w:ascii="Times New Roman" w:hAnsi="Times New Roman" w:cs="Times New Roman"/>
          <w:sz w:val="24"/>
          <w:szCs w:val="24"/>
        </w:rPr>
        <w:t xml:space="preserve">Meier stratification demonstrates the benefits of an ‘integrated strategy where the value of the ‘PSA severity indicator changes over time and where the ‘model can estimate the change in ‘PSA severity as a ‘time-varying ‘covariate of ‘treatment effects.’" (Roy et al., 2025). </w:t>
      </w:r>
    </w:p>
    <w:p w14:paraId="1E23A2C9" w14:textId="3251C919" w:rsidR="008818A1" w:rsidRDefault="008818A1" w:rsidP="00505647">
      <w:pPr>
        <w:jc w:val="both"/>
        <w:rPr>
          <w:rFonts w:ascii="Times New Roman" w:hAnsi="Times New Roman" w:cs="Times New Roman"/>
          <w:sz w:val="24"/>
          <w:szCs w:val="24"/>
        </w:rPr>
      </w:pPr>
      <w:r>
        <w:rPr>
          <w:noProof/>
        </w:rPr>
        <w:drawing>
          <wp:inline distT="0" distB="0" distL="0" distR="0" wp14:anchorId="329A7013" wp14:editId="0002DB04">
            <wp:extent cx="6076950" cy="2806700"/>
            <wp:effectExtent l="0" t="0" r="0" b="0"/>
            <wp:docPr id="29" name="Picture" descr="Figure 2. PSA severity trajectories across follow-up time (observed or proxy longitudinal process)."/>
            <wp:cNvGraphicFramePr/>
            <a:graphic xmlns:a="http://schemas.openxmlformats.org/drawingml/2006/main">
              <a:graphicData uri="http://schemas.openxmlformats.org/drawingml/2006/picture">
                <pic:pic xmlns:pic="http://schemas.openxmlformats.org/drawingml/2006/picture">
                  <pic:nvPicPr>
                    <pic:cNvPr id="30" name="Picture" descr="Figure_2_PSA_Trajectories.png"/>
                    <pic:cNvPicPr>
                      <a:picLocks noChangeAspect="1" noChangeArrowheads="1"/>
                    </pic:cNvPicPr>
                  </pic:nvPicPr>
                  <pic:blipFill rotWithShape="1">
                    <a:blip r:embed="rId11"/>
                    <a:srcRect t="7055"/>
                    <a:stretch/>
                  </pic:blipFill>
                  <pic:spPr bwMode="auto">
                    <a:xfrm>
                      <a:off x="0" y="0"/>
                      <a:ext cx="6101198" cy="2817899"/>
                    </a:xfrm>
                    <a:prstGeom prst="rect">
                      <a:avLst/>
                    </a:prstGeom>
                    <a:noFill/>
                    <a:ln>
                      <a:noFill/>
                    </a:ln>
                    <a:extLst>
                      <a:ext uri="{53640926-AAD7-44D8-BBD7-CCE9431645EC}">
                        <a14:shadowObscured xmlns:a14="http://schemas.microsoft.com/office/drawing/2010/main"/>
                      </a:ext>
                    </a:extLst>
                  </pic:spPr>
                </pic:pic>
              </a:graphicData>
            </a:graphic>
          </wp:inline>
        </w:drawing>
      </w:r>
    </w:p>
    <w:p w14:paraId="1C6CFCE1" w14:textId="77777777" w:rsidR="008818A1"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Figure 7</w:t>
      </w:r>
      <w:r w:rsidR="008818A1">
        <w:rPr>
          <w:rFonts w:ascii="Times New Roman" w:hAnsi="Times New Roman" w:cs="Times New Roman"/>
          <w:sz w:val="24"/>
          <w:szCs w:val="24"/>
        </w:rPr>
        <w:t xml:space="preserve">: </w:t>
      </w:r>
      <w:r w:rsidRPr="00505647">
        <w:rPr>
          <w:rFonts w:ascii="Times New Roman" w:hAnsi="Times New Roman" w:cs="Times New Roman"/>
          <w:sz w:val="24"/>
          <w:szCs w:val="24"/>
        </w:rPr>
        <w:t>PSA Severity Trajectories Longitudinal Marker</w:t>
      </w:r>
    </w:p>
    <w:p w14:paraId="7F7D750C" w14:textId="1ED2F194"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lastRenderedPageBreak/>
        <w:t xml:space="preserve"> </w:t>
      </w:r>
      <w:r w:rsidR="00A76725" w:rsidRPr="00505647">
        <w:rPr>
          <w:rFonts w:ascii="Times New Roman" w:hAnsi="Times New Roman" w:cs="Times New Roman"/>
          <w:sz w:val="24"/>
          <w:szCs w:val="24"/>
        </w:rPr>
        <w:t>Figure 7</w:t>
      </w:r>
      <w:r w:rsidR="00A76725">
        <w:rPr>
          <w:rFonts w:ascii="Times New Roman" w:hAnsi="Times New Roman" w:cs="Times New Roman"/>
          <w:sz w:val="24"/>
          <w:szCs w:val="24"/>
        </w:rPr>
        <w:t xml:space="preserve"> </w:t>
      </w:r>
      <w:r w:rsidRPr="00505647">
        <w:rPr>
          <w:rFonts w:ascii="Times New Roman" w:hAnsi="Times New Roman" w:cs="Times New Roman"/>
          <w:sz w:val="24"/>
          <w:szCs w:val="24"/>
        </w:rPr>
        <w:t xml:space="preserve">shows variability in </w:t>
      </w:r>
      <w:r w:rsidR="00023E73">
        <w:rPr>
          <w:rFonts w:ascii="Times New Roman" w:hAnsi="Times New Roman" w:cs="Times New Roman"/>
          <w:sz w:val="24"/>
          <w:szCs w:val="24"/>
        </w:rPr>
        <w:t xml:space="preserve">the PSA severity trajectory </w:t>
      </w:r>
      <w:r w:rsidR="00C01D91">
        <w:rPr>
          <w:rFonts w:ascii="Times New Roman" w:hAnsi="Times New Roman" w:cs="Times New Roman"/>
          <w:sz w:val="24"/>
          <w:szCs w:val="24"/>
        </w:rPr>
        <w:t xml:space="preserve">among individual patients, with some having severe PSA levels and others </w:t>
      </w:r>
      <w:r w:rsidR="00023E73">
        <w:rPr>
          <w:rFonts w:ascii="Times New Roman" w:hAnsi="Times New Roman" w:cs="Times New Roman"/>
          <w:sz w:val="24"/>
          <w:szCs w:val="24"/>
        </w:rPr>
        <w:t>less severe levels</w:t>
      </w:r>
      <w:r w:rsidRPr="00505647">
        <w:rPr>
          <w:rFonts w:ascii="Times New Roman" w:hAnsi="Times New Roman" w:cs="Times New Roman"/>
          <w:sz w:val="24"/>
          <w:szCs w:val="24"/>
        </w:rPr>
        <w:t xml:space="preserve">. Therefore, this figure supports the </w:t>
      </w:r>
      <w:r w:rsidR="00023E73">
        <w:rPr>
          <w:rFonts w:ascii="Times New Roman" w:hAnsi="Times New Roman" w:cs="Times New Roman"/>
          <w:sz w:val="24"/>
          <w:szCs w:val="24"/>
        </w:rPr>
        <w:t>primary</w:t>
      </w:r>
      <w:r w:rsidRPr="00505647">
        <w:rPr>
          <w:rFonts w:ascii="Times New Roman" w:hAnsi="Times New Roman" w:cs="Times New Roman"/>
          <w:sz w:val="24"/>
          <w:szCs w:val="24"/>
        </w:rPr>
        <w:t xml:space="preserve"> </w:t>
      </w:r>
      <w:r w:rsidR="00023E73">
        <w:rPr>
          <w:rFonts w:ascii="Times New Roman" w:hAnsi="Times New Roman" w:cs="Times New Roman"/>
          <w:sz w:val="24"/>
          <w:szCs w:val="24"/>
        </w:rPr>
        <w:t>rationale for combined modelling because it shows that clinically valuable observations are embedded in more than baseline severity alone, but also in persistence, changeover, and instability patterns of PSA trajectory variables, which could mediate</w:t>
      </w:r>
      <w:r w:rsidRPr="00505647">
        <w:rPr>
          <w:rFonts w:ascii="Times New Roman" w:hAnsi="Times New Roman" w:cs="Times New Roman"/>
          <w:sz w:val="24"/>
          <w:szCs w:val="24"/>
        </w:rPr>
        <w:t xml:space="preserve"> survival outcomes and treatment response. Now, the most important aspect of this model is its capability to probabilistically associate these trajectory patterns of PSA levels with risk of survival through common random effects, thus providing direct inference on PSA mediation of mortality</w:t>
      </w:r>
      <w:r w:rsidR="00023E73">
        <w:rPr>
          <w:rFonts w:ascii="Times New Roman" w:hAnsi="Times New Roman" w:cs="Times New Roman"/>
          <w:sz w:val="24"/>
          <w:szCs w:val="24"/>
        </w:rPr>
        <w:t>,</w:t>
      </w:r>
      <w:r w:rsidRPr="00505647">
        <w:rPr>
          <w:rFonts w:ascii="Times New Roman" w:hAnsi="Times New Roman" w:cs="Times New Roman"/>
          <w:sz w:val="24"/>
          <w:szCs w:val="24"/>
        </w:rPr>
        <w:t xml:space="preserve"> adjusting for </w:t>
      </w:r>
      <w:r w:rsidR="00023E73">
        <w:rPr>
          <w:rFonts w:ascii="Times New Roman" w:hAnsi="Times New Roman" w:cs="Times New Roman"/>
          <w:sz w:val="24"/>
          <w:szCs w:val="24"/>
        </w:rPr>
        <w:t>measurement errors</w:t>
      </w:r>
      <w:r w:rsidRPr="00505647">
        <w:rPr>
          <w:rFonts w:ascii="Times New Roman" w:hAnsi="Times New Roman" w:cs="Times New Roman"/>
          <w:sz w:val="24"/>
          <w:szCs w:val="24"/>
        </w:rPr>
        <w:t xml:space="preserve"> and informative dropouts in models directly estimated from biomarker trajectory patterns compared to staged models separating biomarker from survival analyses (Rizopoulos et al., 2024; Wang &amp; Zhong, 2025; Rustand et al., 2024; Le Coent et al., 2025). In relation to SDG goal 3, this outcome </w:t>
      </w:r>
      <w:r w:rsidR="00023E73">
        <w:rPr>
          <w:rFonts w:ascii="Times New Roman" w:hAnsi="Times New Roman" w:cs="Times New Roman"/>
          <w:sz w:val="24"/>
          <w:szCs w:val="24"/>
        </w:rPr>
        <w:t>stems from supportive policy influences on the management of biomarker longitudinal phenomena within oncology healthcare infrastructure, including standardising PSA measurement intervals, implementing computerised systems to capture biomarker trajectory history, and selectively following patients with high PSA levels to inform treatment decisions</w:t>
      </w:r>
      <w:r w:rsidRPr="00505647">
        <w:rPr>
          <w:rFonts w:ascii="Times New Roman" w:hAnsi="Times New Roman" w:cs="Times New Roman"/>
          <w:sz w:val="24"/>
          <w:szCs w:val="24"/>
        </w:rPr>
        <w:t>.</w:t>
      </w:r>
    </w:p>
    <w:p w14:paraId="205D2268" w14:textId="5A7FD625"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Tables 2 (Fixed Effects Random Intercept &amp; Slope in Mixed Effects Model) &amp; 3 (hazard ratios in Cox proportional hazards model) collectively reveal that the survival model </w:t>
      </w:r>
      <w:r w:rsidR="001D19B2" w:rsidRPr="00505647">
        <w:rPr>
          <w:rFonts w:ascii="Times New Roman" w:hAnsi="Times New Roman" w:cs="Times New Roman"/>
          <w:sz w:val="24"/>
          <w:szCs w:val="24"/>
        </w:rPr>
        <w:t>analysing</w:t>
      </w:r>
      <w:r w:rsidRPr="00505647">
        <w:rPr>
          <w:rFonts w:ascii="Times New Roman" w:hAnsi="Times New Roman" w:cs="Times New Roman"/>
          <w:sz w:val="24"/>
          <w:szCs w:val="24"/>
        </w:rPr>
        <w:t xml:space="preserve"> baseline variables alone detects a very important prognostic for the Gleason score</w:t>
      </w:r>
      <w:r w:rsidR="00023E73">
        <w:rPr>
          <w:rFonts w:ascii="Times New Roman" w:hAnsi="Times New Roman" w:cs="Times New Roman"/>
          <w:sz w:val="24"/>
          <w:szCs w:val="24"/>
        </w:rPr>
        <w:t>. In contrast, in</w:t>
      </w:r>
      <w:r w:rsidRPr="00505647">
        <w:rPr>
          <w:rFonts w:ascii="Times New Roman" w:hAnsi="Times New Roman" w:cs="Times New Roman"/>
          <w:sz w:val="24"/>
          <w:szCs w:val="24"/>
        </w:rPr>
        <w:t xml:space="preserve"> the longitudinal survival model, the </w:t>
      </w:r>
      <w:r w:rsidR="00023E73">
        <w:rPr>
          <w:rFonts w:ascii="Times New Roman" w:hAnsi="Times New Roman" w:cs="Times New Roman"/>
          <w:sz w:val="24"/>
          <w:szCs w:val="24"/>
        </w:rPr>
        <w:t>population-average PSA score for severe categories shows only</w:t>
      </w:r>
      <w:r w:rsidRPr="00505647">
        <w:rPr>
          <w:rFonts w:ascii="Times New Roman" w:hAnsi="Times New Roman" w:cs="Times New Roman"/>
          <w:sz w:val="24"/>
          <w:szCs w:val="24"/>
        </w:rPr>
        <w:t xml:space="preserve"> a weak trend after accounting for individual differences in survival probabilities. This </w:t>
      </w:r>
      <w:r w:rsidR="00023E73">
        <w:rPr>
          <w:rFonts w:ascii="Times New Roman" w:hAnsi="Times New Roman" w:cs="Times New Roman"/>
          <w:sz w:val="24"/>
          <w:szCs w:val="24"/>
        </w:rPr>
        <w:t xml:space="preserve">collectively supports the </w:t>
      </w:r>
      <w:r w:rsidR="003F49CE">
        <w:rPr>
          <w:rFonts w:ascii="Times New Roman" w:hAnsi="Times New Roman" w:cs="Times New Roman"/>
          <w:sz w:val="24"/>
          <w:szCs w:val="24"/>
        </w:rPr>
        <w:t>research's novelty</w:t>
      </w:r>
      <w:r w:rsidR="00023E73">
        <w:rPr>
          <w:rFonts w:ascii="Times New Roman" w:hAnsi="Times New Roman" w:cs="Times New Roman"/>
          <w:sz w:val="24"/>
          <w:szCs w:val="24"/>
        </w:rPr>
        <w:t xml:space="preserve"> because, in this context, it is clear that stationary survival modelling can identify</w:t>
      </w:r>
      <w:r w:rsidRPr="00505647">
        <w:rPr>
          <w:rFonts w:ascii="Times New Roman" w:hAnsi="Times New Roman" w:cs="Times New Roman"/>
          <w:sz w:val="24"/>
          <w:szCs w:val="24"/>
        </w:rPr>
        <w:t xml:space="preserve"> structural aggression through pathology</w:t>
      </w:r>
      <w:r w:rsidR="00023E73">
        <w:rPr>
          <w:rFonts w:ascii="Times New Roman" w:hAnsi="Times New Roman" w:cs="Times New Roman"/>
          <w:sz w:val="24"/>
          <w:szCs w:val="24"/>
        </w:rPr>
        <w:t>. However, dynamic</w:t>
      </w:r>
      <w:r w:rsidRPr="00505647">
        <w:rPr>
          <w:rFonts w:ascii="Times New Roman" w:hAnsi="Times New Roman" w:cs="Times New Roman"/>
          <w:sz w:val="24"/>
          <w:szCs w:val="24"/>
        </w:rPr>
        <w:t xml:space="preserve"> risk might be further Patient-Specific in escalated PSA scores, not accounted for in stationary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technologies. The integrated framework for joint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is thus poised to address the identified gap in methods research for jointly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oncological survival in a single, consistent, biologically valid framework for interpreting </w:t>
      </w:r>
      <w:r w:rsidR="001D19B2" w:rsidRPr="00505647">
        <w:rPr>
          <w:rFonts w:ascii="Times New Roman" w:hAnsi="Times New Roman" w:cs="Times New Roman"/>
          <w:sz w:val="24"/>
          <w:szCs w:val="24"/>
        </w:rPr>
        <w:t>tumour</w:t>
      </w:r>
      <w:r w:rsidRPr="00505647">
        <w:rPr>
          <w:rFonts w:ascii="Times New Roman" w:hAnsi="Times New Roman" w:cs="Times New Roman"/>
          <w:sz w:val="24"/>
          <w:szCs w:val="24"/>
        </w:rPr>
        <w:t xml:space="preserve"> biologic signals from Patient-Specific trajectories of PSA, respecting the censoring structure characteristic in oncological follow-up studies (Rizopoulos et al., 2024; Liang et al., 2025; Wang &amp; Zhong, 2025). SDG 3 promotes enhanced pathology practices and longitudinal monitoring strategies because </w:t>
      </w:r>
      <w:r w:rsidR="00023E73">
        <w:rPr>
          <w:rFonts w:ascii="Times New Roman" w:hAnsi="Times New Roman" w:cs="Times New Roman"/>
          <w:sz w:val="24"/>
          <w:szCs w:val="24"/>
        </w:rPr>
        <w:t>successful</w:t>
      </w:r>
      <w:r w:rsidRPr="00505647">
        <w:rPr>
          <w:rFonts w:ascii="Times New Roman" w:hAnsi="Times New Roman" w:cs="Times New Roman"/>
          <w:sz w:val="24"/>
          <w:szCs w:val="24"/>
        </w:rPr>
        <w:t xml:space="preserve"> survival </w:t>
      </w:r>
      <w:r w:rsidR="00023E73">
        <w:rPr>
          <w:rFonts w:ascii="Times New Roman" w:hAnsi="Times New Roman" w:cs="Times New Roman"/>
          <w:sz w:val="24"/>
          <w:szCs w:val="24"/>
        </w:rPr>
        <w:t>outcomes require validated pathology practices for baseline risk assessment, as well as effective</w:t>
      </w:r>
      <w:r w:rsidR="003F49CE">
        <w:rPr>
          <w:rFonts w:ascii="Times New Roman" w:hAnsi="Times New Roman" w:cs="Times New Roman"/>
          <w:sz w:val="24"/>
          <w:szCs w:val="24"/>
        </w:rPr>
        <w:t>, time-dependent monitoring practices that depend on them</w:t>
      </w:r>
      <w:r w:rsidRPr="00505647">
        <w:rPr>
          <w:rFonts w:ascii="Times New Roman" w:hAnsi="Times New Roman" w:cs="Times New Roman"/>
          <w:sz w:val="24"/>
          <w:szCs w:val="24"/>
        </w:rPr>
        <w:t>.</w:t>
      </w:r>
    </w:p>
    <w:p w14:paraId="2073AF29" w14:textId="14BAB41B"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This work offers a comprehensive assessment of prostate cancer progression both methodologically and in terms of results by simultaneously </w:t>
      </w:r>
      <w:r w:rsidR="001D19B2" w:rsidRPr="00505647">
        <w:rPr>
          <w:rFonts w:ascii="Times New Roman" w:hAnsi="Times New Roman" w:cs="Times New Roman"/>
          <w:sz w:val="24"/>
          <w:szCs w:val="24"/>
        </w:rPr>
        <w:t>modelling</w:t>
      </w:r>
      <w:r w:rsidRPr="00505647">
        <w:rPr>
          <w:rFonts w:ascii="Times New Roman" w:hAnsi="Times New Roman" w:cs="Times New Roman"/>
          <w:sz w:val="24"/>
          <w:szCs w:val="24"/>
        </w:rPr>
        <w:t xml:space="preserve"> PSA severity and survival in a single model. The preliminary analysis revealed that the selected group was quite heterogeneous in its clinical characteristics, with cases </w:t>
      </w:r>
      <w:r w:rsidR="00023E73">
        <w:rPr>
          <w:rFonts w:ascii="Times New Roman" w:hAnsi="Times New Roman" w:cs="Times New Roman"/>
          <w:sz w:val="24"/>
          <w:szCs w:val="24"/>
        </w:rPr>
        <w:t>distributed throughout the study group by</w:t>
      </w:r>
      <w:r w:rsidRPr="00505647">
        <w:rPr>
          <w:rFonts w:ascii="Times New Roman" w:hAnsi="Times New Roman" w:cs="Times New Roman"/>
          <w:sz w:val="24"/>
          <w:szCs w:val="24"/>
        </w:rPr>
        <w:t xml:space="preserve"> PSA severity. </w:t>
      </w:r>
      <w:r w:rsidR="003B425A">
        <w:rPr>
          <w:rFonts w:ascii="Times New Roman" w:hAnsi="Times New Roman" w:cs="Times New Roman"/>
          <w:sz w:val="24"/>
          <w:szCs w:val="24"/>
        </w:rPr>
        <w:t>This heterogeneity provided a good starting point for investigating dynamic associations between biomarkers and survival rather than</w:t>
      </w:r>
      <w:r w:rsidRPr="00505647">
        <w:rPr>
          <w:rFonts w:ascii="Times New Roman" w:hAnsi="Times New Roman" w:cs="Times New Roman"/>
          <w:sz w:val="24"/>
          <w:szCs w:val="24"/>
        </w:rPr>
        <w:t xml:space="preserve"> fixed baselines.</w:t>
      </w:r>
    </w:p>
    <w:p w14:paraId="11138B85" w14:textId="40B4238B"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The longitudinal mixed-effects model analysis showed that the baseline level of PSA severity was</w:t>
      </w:r>
      <w:r w:rsidR="003B425A">
        <w:rPr>
          <w:rFonts w:ascii="Times New Roman" w:hAnsi="Times New Roman" w:cs="Times New Roman"/>
          <w:sz w:val="24"/>
          <w:szCs w:val="24"/>
        </w:rPr>
        <w:t>, on average,</w:t>
      </w:r>
      <w:r w:rsidRPr="00505647">
        <w:rPr>
          <w:rFonts w:ascii="Times New Roman" w:hAnsi="Times New Roman" w:cs="Times New Roman"/>
          <w:sz w:val="24"/>
          <w:szCs w:val="24"/>
        </w:rPr>
        <w:t xml:space="preserve"> moderate to high</w:t>
      </w:r>
      <w:r w:rsidR="003B425A">
        <w:rPr>
          <w:rFonts w:ascii="Times New Roman" w:hAnsi="Times New Roman" w:cs="Times New Roman"/>
          <w:sz w:val="24"/>
          <w:szCs w:val="24"/>
        </w:rPr>
        <w:t>. In contrast, the</w:t>
      </w:r>
      <w:r w:rsidRPr="00505647">
        <w:rPr>
          <w:rFonts w:ascii="Times New Roman" w:hAnsi="Times New Roman" w:cs="Times New Roman"/>
          <w:sz w:val="24"/>
          <w:szCs w:val="24"/>
        </w:rPr>
        <w:t xml:space="preserve"> change in PSA severity over time was mild after </w:t>
      </w:r>
      <w:r w:rsidR="003B425A">
        <w:rPr>
          <w:rFonts w:ascii="Times New Roman" w:hAnsi="Times New Roman" w:cs="Times New Roman"/>
          <w:sz w:val="24"/>
          <w:szCs w:val="24"/>
        </w:rPr>
        <w:t xml:space="preserve">adjustment for covariates and </w:t>
      </w:r>
      <w:r w:rsidRPr="00505647">
        <w:rPr>
          <w:rFonts w:ascii="Times New Roman" w:hAnsi="Times New Roman" w:cs="Times New Roman"/>
          <w:sz w:val="24"/>
          <w:szCs w:val="24"/>
        </w:rPr>
        <w:t xml:space="preserve">individual patient effects. The modest influence of time on the model </w:t>
      </w:r>
      <w:r w:rsidR="003B425A">
        <w:rPr>
          <w:rFonts w:ascii="Times New Roman" w:hAnsi="Times New Roman" w:cs="Times New Roman"/>
          <w:sz w:val="24"/>
          <w:szCs w:val="24"/>
        </w:rPr>
        <w:t>suggests that individual differences were more important in determining changes in PSA levels</w:t>
      </w:r>
      <w:r w:rsidRPr="00505647">
        <w:rPr>
          <w:rFonts w:ascii="Times New Roman" w:hAnsi="Times New Roman" w:cs="Times New Roman"/>
          <w:sz w:val="24"/>
          <w:szCs w:val="24"/>
        </w:rPr>
        <w:t xml:space="preserve">, </w:t>
      </w:r>
      <w:r w:rsidRPr="00505647">
        <w:rPr>
          <w:rFonts w:ascii="Times New Roman" w:hAnsi="Times New Roman" w:cs="Times New Roman"/>
          <w:sz w:val="24"/>
          <w:szCs w:val="24"/>
        </w:rPr>
        <w:lastRenderedPageBreak/>
        <w:t xml:space="preserve">indicating that the important information lies within the population at the individual </w:t>
      </w:r>
      <w:r w:rsidR="003B425A">
        <w:rPr>
          <w:rFonts w:ascii="Times New Roman" w:hAnsi="Times New Roman" w:cs="Times New Roman"/>
          <w:sz w:val="24"/>
          <w:szCs w:val="24"/>
        </w:rPr>
        <w:t>level</w:t>
      </w:r>
      <w:r w:rsidRPr="00505647">
        <w:rPr>
          <w:rFonts w:ascii="Times New Roman" w:hAnsi="Times New Roman" w:cs="Times New Roman"/>
          <w:sz w:val="24"/>
          <w:szCs w:val="24"/>
        </w:rPr>
        <w:t xml:space="preserve"> rather than at the population level.</w:t>
      </w:r>
    </w:p>
    <w:p w14:paraId="35DC15B4" w14:textId="2E7A3618"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Cox proportional hazards model revealed that Gleason score was the only significant baseline covariate with respect to survival, supporting the paramount prognostic importance of cancer grade. On the contrary, none of the other baseline variables, such as age, cancer stage, </w:t>
      </w:r>
      <w:r w:rsidR="003B425A">
        <w:rPr>
          <w:rFonts w:ascii="Times New Roman" w:hAnsi="Times New Roman" w:cs="Times New Roman"/>
          <w:sz w:val="24"/>
          <w:szCs w:val="24"/>
        </w:rPr>
        <w:t>tumour</w:t>
      </w:r>
      <w:r w:rsidRPr="00505647">
        <w:rPr>
          <w:rFonts w:ascii="Times New Roman" w:hAnsi="Times New Roman" w:cs="Times New Roman"/>
          <w:sz w:val="24"/>
          <w:szCs w:val="24"/>
        </w:rPr>
        <w:t xml:space="preserve"> size, nodal status, and treatment variables, were significant in the survival model. This situation </w:t>
      </w:r>
      <w:r w:rsidR="003B425A">
        <w:rPr>
          <w:rFonts w:ascii="Times New Roman" w:hAnsi="Times New Roman" w:cs="Times New Roman"/>
          <w:sz w:val="24"/>
          <w:szCs w:val="24"/>
        </w:rPr>
        <w:t xml:space="preserve">underscores an important limitation of survival analyses based solely on baseline variables: they lack sensitivity to dynamic processes occurring during the </w:t>
      </w:r>
      <w:r w:rsidRPr="00505647">
        <w:rPr>
          <w:rFonts w:ascii="Times New Roman" w:hAnsi="Times New Roman" w:cs="Times New Roman"/>
          <w:sz w:val="24"/>
          <w:szCs w:val="24"/>
        </w:rPr>
        <w:t>survival time.</w:t>
      </w:r>
    </w:p>
    <w:p w14:paraId="5739708F" w14:textId="526283FE"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Descriptive Kaplan-Meier survival curves: There clearly was a distinction between the low, moderate, and high PSA groups, where the higher the PSA, the worse the survival outcomes. Though very informative, Kaplan-Meier survival curves do not fully </w:t>
      </w:r>
      <w:r w:rsidR="003B425A">
        <w:rPr>
          <w:rFonts w:ascii="Times New Roman" w:hAnsi="Times New Roman" w:cs="Times New Roman"/>
          <w:sz w:val="24"/>
          <w:szCs w:val="24"/>
        </w:rPr>
        <w:t xml:space="preserve">utilise the power of grouping, as </w:t>
      </w:r>
      <w:r w:rsidR="003F49CE">
        <w:rPr>
          <w:rFonts w:ascii="Times New Roman" w:hAnsi="Times New Roman" w:cs="Times New Roman"/>
          <w:sz w:val="24"/>
          <w:szCs w:val="24"/>
        </w:rPr>
        <w:t xml:space="preserve">PSA group values remain static rather than dynamic </w:t>
      </w:r>
      <w:r w:rsidR="004A6E9F">
        <w:rPr>
          <w:rFonts w:ascii="Times New Roman" w:hAnsi="Times New Roman" w:cs="Times New Roman"/>
          <w:sz w:val="24"/>
          <w:szCs w:val="24"/>
        </w:rPr>
        <w:t>throughout</w:t>
      </w:r>
      <w:r w:rsidR="003F49CE">
        <w:rPr>
          <w:rFonts w:ascii="Times New Roman" w:hAnsi="Times New Roman" w:cs="Times New Roman"/>
          <w:sz w:val="24"/>
          <w:szCs w:val="24"/>
        </w:rPr>
        <w:t xml:space="preserve"> the study</w:t>
      </w:r>
      <w:r w:rsidRPr="00505647">
        <w:rPr>
          <w:rFonts w:ascii="Times New Roman" w:hAnsi="Times New Roman" w:cs="Times New Roman"/>
          <w:sz w:val="24"/>
          <w:szCs w:val="24"/>
        </w:rPr>
        <w:t xml:space="preserve">. A detailed illustration of the path </w:t>
      </w:r>
      <w:r w:rsidR="003B425A">
        <w:rPr>
          <w:rFonts w:ascii="Times New Roman" w:hAnsi="Times New Roman" w:cs="Times New Roman"/>
          <w:sz w:val="24"/>
          <w:szCs w:val="24"/>
        </w:rPr>
        <w:t>the PSA values take across subjects further revealed variability</w:t>
      </w:r>
      <w:r w:rsidR="003F49CE">
        <w:rPr>
          <w:rFonts w:ascii="Times New Roman" w:hAnsi="Times New Roman" w:cs="Times New Roman"/>
          <w:sz w:val="24"/>
          <w:szCs w:val="24"/>
        </w:rPr>
        <w:t>: some subjects had constant low-risk PSA values, others had constant high-risk PSA values, and others had</w:t>
      </w:r>
      <w:r w:rsidRPr="00505647">
        <w:rPr>
          <w:rFonts w:ascii="Times New Roman" w:hAnsi="Times New Roman" w:cs="Times New Roman"/>
          <w:sz w:val="24"/>
          <w:szCs w:val="24"/>
        </w:rPr>
        <w:t xml:space="preserve"> variable high-risk PSA values.</w:t>
      </w:r>
    </w:p>
    <w:p w14:paraId="519FF371" w14:textId="56845018" w:rsidR="00FC4183"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The joint </w:t>
      </w:r>
      <w:r w:rsidR="003B425A">
        <w:rPr>
          <w:rFonts w:ascii="Times New Roman" w:hAnsi="Times New Roman" w:cs="Times New Roman"/>
          <w:sz w:val="24"/>
          <w:szCs w:val="24"/>
        </w:rPr>
        <w:t>modelling</w:t>
      </w:r>
      <w:r w:rsidRPr="00505647">
        <w:rPr>
          <w:rFonts w:ascii="Times New Roman" w:hAnsi="Times New Roman" w:cs="Times New Roman"/>
          <w:sz w:val="24"/>
          <w:szCs w:val="24"/>
        </w:rPr>
        <w:t xml:space="preserve"> approach represented the dominant analytical methodology in this research. By </w:t>
      </w:r>
      <w:r w:rsidR="003B425A">
        <w:rPr>
          <w:rFonts w:ascii="Times New Roman" w:hAnsi="Times New Roman" w:cs="Times New Roman"/>
          <w:sz w:val="24"/>
          <w:szCs w:val="24"/>
        </w:rPr>
        <w:t xml:space="preserve">modelling the PSA severity process as directly related to the odds of death via shared random effects, the joint approach accounted for informative dropout and captured the dynamic relationship </w:t>
      </w:r>
      <w:r w:rsidRPr="00505647">
        <w:rPr>
          <w:rFonts w:ascii="Times New Roman" w:hAnsi="Times New Roman" w:cs="Times New Roman"/>
          <w:sz w:val="24"/>
          <w:szCs w:val="24"/>
        </w:rPr>
        <w:t xml:space="preserve">between PSA and survival. The approach </w:t>
      </w:r>
      <w:r w:rsidR="003B425A">
        <w:rPr>
          <w:rFonts w:ascii="Times New Roman" w:hAnsi="Times New Roman" w:cs="Times New Roman"/>
          <w:sz w:val="24"/>
          <w:szCs w:val="24"/>
        </w:rPr>
        <w:t xml:space="preserve">improved on two-stage and static models by providing unbiased and meaningful estimates of the dynamic relationship </w:t>
      </w:r>
      <w:r w:rsidRPr="00505647">
        <w:rPr>
          <w:rFonts w:ascii="Times New Roman" w:hAnsi="Times New Roman" w:cs="Times New Roman"/>
          <w:sz w:val="24"/>
          <w:szCs w:val="24"/>
        </w:rPr>
        <w:t>between PSA and survival.</w:t>
      </w:r>
    </w:p>
    <w:p w14:paraId="004B198F" w14:textId="77777777" w:rsidR="00FC4183" w:rsidRPr="001D19B2" w:rsidRDefault="00FC4183" w:rsidP="00505647">
      <w:pPr>
        <w:jc w:val="both"/>
        <w:rPr>
          <w:rFonts w:ascii="Times New Roman" w:hAnsi="Times New Roman" w:cs="Times New Roman"/>
          <w:b/>
          <w:bCs/>
          <w:sz w:val="24"/>
          <w:szCs w:val="24"/>
        </w:rPr>
      </w:pPr>
      <w:r w:rsidRPr="001D19B2">
        <w:rPr>
          <w:rFonts w:ascii="Times New Roman" w:hAnsi="Times New Roman" w:cs="Times New Roman"/>
          <w:b/>
          <w:bCs/>
          <w:sz w:val="24"/>
          <w:szCs w:val="24"/>
        </w:rPr>
        <w:t>Conclusion</w:t>
      </w:r>
    </w:p>
    <w:p w14:paraId="296C119B" w14:textId="0A55C9FE" w:rsidR="00ED2512" w:rsidRPr="00505647"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 xml:space="preserve">This study shows that </w:t>
      </w:r>
      <w:r w:rsidR="003F49CE">
        <w:rPr>
          <w:rFonts w:ascii="Times New Roman" w:hAnsi="Times New Roman" w:cs="Times New Roman"/>
          <w:sz w:val="24"/>
          <w:szCs w:val="24"/>
        </w:rPr>
        <w:t>disease prognosis can be better understood in the presence of biomarker dynamics related to the survival outcome than with standard two-stage models based solely on baseline measurements</w:t>
      </w:r>
      <w:r w:rsidRPr="00505647">
        <w:rPr>
          <w:rFonts w:ascii="Times New Roman" w:hAnsi="Times New Roman" w:cs="Times New Roman"/>
          <w:sz w:val="24"/>
          <w:szCs w:val="24"/>
        </w:rPr>
        <w:t xml:space="preserve">. This work shows that </w:t>
      </w:r>
      <w:r w:rsidR="003B425A">
        <w:rPr>
          <w:rFonts w:ascii="Times New Roman" w:hAnsi="Times New Roman" w:cs="Times New Roman"/>
          <w:sz w:val="24"/>
          <w:szCs w:val="24"/>
        </w:rPr>
        <w:t xml:space="preserve">tracking patient-specific trajectories of disease severity, as reflected in PSA severity levels, and their mediating effects in the constructed models are critical for understanding </w:t>
      </w:r>
      <w:r w:rsidRPr="00505647">
        <w:rPr>
          <w:rFonts w:ascii="Times New Roman" w:hAnsi="Times New Roman" w:cs="Times New Roman"/>
          <w:sz w:val="24"/>
          <w:szCs w:val="24"/>
        </w:rPr>
        <w:t>survival heterogeneity.</w:t>
      </w:r>
    </w:p>
    <w:p w14:paraId="5C16B6C9" w14:textId="5962BE86" w:rsidR="00FC4183" w:rsidRDefault="003B425A" w:rsidP="00505647">
      <w:pPr>
        <w:jc w:val="both"/>
        <w:rPr>
          <w:rFonts w:ascii="Times New Roman" w:hAnsi="Times New Roman" w:cs="Times New Roman"/>
          <w:sz w:val="24"/>
          <w:szCs w:val="24"/>
        </w:rPr>
      </w:pPr>
      <w:r>
        <w:rPr>
          <w:rFonts w:ascii="Times New Roman" w:hAnsi="Times New Roman" w:cs="Times New Roman"/>
          <w:sz w:val="24"/>
          <w:szCs w:val="24"/>
        </w:rPr>
        <w:t>By incorporating a joint modelling framework, the article advances the literature on prostate cancer analysis</w:t>
      </w:r>
      <w:r w:rsidR="00FC4183" w:rsidRPr="00505647">
        <w:rPr>
          <w:rFonts w:ascii="Times New Roman" w:hAnsi="Times New Roman" w:cs="Times New Roman"/>
          <w:sz w:val="24"/>
          <w:szCs w:val="24"/>
        </w:rPr>
        <w:t xml:space="preserve"> in several key areas outlined in the review. This technique </w:t>
      </w:r>
      <w:r>
        <w:rPr>
          <w:rFonts w:ascii="Times New Roman" w:hAnsi="Times New Roman" w:cs="Times New Roman"/>
          <w:sz w:val="24"/>
          <w:szCs w:val="24"/>
        </w:rPr>
        <w:t>recognises</w:t>
      </w:r>
      <w:r w:rsidR="00FC4183" w:rsidRPr="00505647">
        <w:rPr>
          <w:rFonts w:ascii="Times New Roman" w:hAnsi="Times New Roman" w:cs="Times New Roman"/>
          <w:sz w:val="24"/>
          <w:szCs w:val="24"/>
        </w:rPr>
        <w:t xml:space="preserve"> informative dropout, </w:t>
      </w:r>
      <w:r>
        <w:rPr>
          <w:rFonts w:ascii="Times New Roman" w:hAnsi="Times New Roman" w:cs="Times New Roman"/>
          <w:sz w:val="24"/>
          <w:szCs w:val="24"/>
        </w:rPr>
        <w:t>accounts for measurement error, and provides</w:t>
      </w:r>
      <w:r w:rsidR="00FC4183" w:rsidRPr="00505647">
        <w:rPr>
          <w:rFonts w:ascii="Times New Roman" w:hAnsi="Times New Roman" w:cs="Times New Roman"/>
          <w:sz w:val="24"/>
          <w:szCs w:val="24"/>
        </w:rPr>
        <w:t xml:space="preserve"> a proper way to update dynamic risk predictions as additional PSA information becomes available. From a clinical perspective, the joint </w:t>
      </w:r>
      <w:r w:rsidR="001D19B2" w:rsidRPr="00505647">
        <w:rPr>
          <w:rFonts w:ascii="Times New Roman" w:hAnsi="Times New Roman" w:cs="Times New Roman"/>
          <w:sz w:val="24"/>
          <w:szCs w:val="24"/>
        </w:rPr>
        <w:t>modelling</w:t>
      </w:r>
      <w:r w:rsidR="00FC4183" w:rsidRPr="00505647">
        <w:rPr>
          <w:rFonts w:ascii="Times New Roman" w:hAnsi="Times New Roman" w:cs="Times New Roman"/>
          <w:sz w:val="24"/>
          <w:szCs w:val="24"/>
        </w:rPr>
        <w:t xml:space="preserve"> technique allows for a move toward a more </w:t>
      </w:r>
      <w:r>
        <w:rPr>
          <w:rFonts w:ascii="Times New Roman" w:hAnsi="Times New Roman" w:cs="Times New Roman"/>
          <w:sz w:val="24"/>
          <w:szCs w:val="24"/>
        </w:rPr>
        <w:t>individualised</w:t>
      </w:r>
      <w:r w:rsidR="00FC4183" w:rsidRPr="00505647">
        <w:rPr>
          <w:rFonts w:ascii="Times New Roman" w:hAnsi="Times New Roman" w:cs="Times New Roman"/>
          <w:sz w:val="24"/>
          <w:szCs w:val="24"/>
        </w:rPr>
        <w:t xml:space="preserve"> follow-up regimen.</w:t>
      </w:r>
    </w:p>
    <w:p w14:paraId="2355172C" w14:textId="713EFD63" w:rsidR="006E1AE8" w:rsidRPr="006E1AE8" w:rsidRDefault="006E1AE8" w:rsidP="006E1AE8">
      <w:pPr>
        <w:jc w:val="both"/>
        <w:rPr>
          <w:rFonts w:ascii="Times New Roman" w:hAnsi="Times New Roman" w:cs="Times New Roman"/>
          <w:sz w:val="24"/>
          <w:szCs w:val="24"/>
        </w:rPr>
      </w:pPr>
      <w:r w:rsidRPr="006E1AE8">
        <w:rPr>
          <w:rFonts w:ascii="Times New Roman" w:hAnsi="Times New Roman" w:cs="Times New Roman"/>
          <w:sz w:val="24"/>
          <w:szCs w:val="24"/>
        </w:rPr>
        <w:t>Possible clinical implications</w:t>
      </w:r>
      <w:r w:rsidR="00DD203E">
        <w:rPr>
          <w:rFonts w:ascii="Times New Roman" w:hAnsi="Times New Roman" w:cs="Times New Roman"/>
          <w:sz w:val="24"/>
          <w:szCs w:val="24"/>
        </w:rPr>
        <w:t xml:space="preserve"> </w:t>
      </w:r>
      <w:r w:rsidR="00563373">
        <w:rPr>
          <w:rFonts w:ascii="Times New Roman" w:hAnsi="Times New Roman" w:cs="Times New Roman"/>
          <w:sz w:val="24"/>
          <w:szCs w:val="24"/>
        </w:rPr>
        <w:t>include the integrated joint modelling methodology's ability to assess risks dynamically and patient-specifically, rather than relying</w:t>
      </w:r>
      <w:r w:rsidRPr="006E1AE8">
        <w:rPr>
          <w:rFonts w:ascii="Times New Roman" w:hAnsi="Times New Roman" w:cs="Times New Roman"/>
          <w:sz w:val="24"/>
          <w:szCs w:val="24"/>
        </w:rPr>
        <w:t xml:space="preserve"> on formal baseline data. Clinicians can then update mortality risk estimates in </w:t>
      </w:r>
      <w:r w:rsidR="00386408">
        <w:rPr>
          <w:rFonts w:ascii="Times New Roman" w:hAnsi="Times New Roman" w:cs="Times New Roman"/>
          <w:sz w:val="24"/>
          <w:szCs w:val="24"/>
        </w:rPr>
        <w:t>real time as new PSA measurements become available, creating</w:t>
      </w:r>
      <w:r w:rsidRPr="006E1AE8">
        <w:rPr>
          <w:rFonts w:ascii="Times New Roman" w:hAnsi="Times New Roman" w:cs="Times New Roman"/>
          <w:sz w:val="24"/>
          <w:szCs w:val="24"/>
        </w:rPr>
        <w:t xml:space="preserve"> longitudinal PSA trajectories against survival outcomes, which allows patients whose disease is progressing despite treatment to be identified sooner. This assists with scheduling </w:t>
      </w:r>
      <w:r w:rsidR="00386408">
        <w:rPr>
          <w:rFonts w:ascii="Times New Roman" w:hAnsi="Times New Roman" w:cs="Times New Roman"/>
          <w:sz w:val="24"/>
          <w:szCs w:val="24"/>
        </w:rPr>
        <w:t>personalised</w:t>
      </w:r>
      <w:r w:rsidRPr="006E1AE8">
        <w:rPr>
          <w:rFonts w:ascii="Times New Roman" w:hAnsi="Times New Roman" w:cs="Times New Roman"/>
          <w:sz w:val="24"/>
          <w:szCs w:val="24"/>
        </w:rPr>
        <w:t xml:space="preserve"> follow-up, timely treatment escalation and monitoring of therapeutic response. The framework can also be used to differentiate between patients with less fluctuating PSA patterns </w:t>
      </w:r>
      <w:r w:rsidRPr="006E1AE8">
        <w:rPr>
          <w:rFonts w:ascii="Times New Roman" w:hAnsi="Times New Roman" w:cs="Times New Roman"/>
          <w:sz w:val="24"/>
          <w:szCs w:val="24"/>
        </w:rPr>
        <w:lastRenderedPageBreak/>
        <w:t xml:space="preserve">that might not </w:t>
      </w:r>
      <w:r w:rsidR="00386408">
        <w:rPr>
          <w:rFonts w:ascii="Times New Roman" w:hAnsi="Times New Roman" w:cs="Times New Roman"/>
          <w:sz w:val="24"/>
          <w:szCs w:val="24"/>
        </w:rPr>
        <w:t>require such a high level of monitoring and those that need more clinical care, thereby using</w:t>
      </w:r>
      <w:r w:rsidRPr="006E1AE8">
        <w:rPr>
          <w:rFonts w:ascii="Times New Roman" w:hAnsi="Times New Roman" w:cs="Times New Roman"/>
          <w:sz w:val="24"/>
          <w:szCs w:val="24"/>
        </w:rPr>
        <w:t xml:space="preserve"> resources more efficiently in oncology services. In general, the results contribute to </w:t>
      </w:r>
      <w:r w:rsidR="00386408">
        <w:rPr>
          <w:rFonts w:ascii="Times New Roman" w:hAnsi="Times New Roman" w:cs="Times New Roman"/>
          <w:sz w:val="24"/>
          <w:szCs w:val="24"/>
        </w:rPr>
        <w:t>a shift in the paradigm for biomarker-based and adaptive management of prostate cancer by aligning clinical decision-making with the principles of precision medicine and improving</w:t>
      </w:r>
      <w:r w:rsidRPr="006E1AE8">
        <w:rPr>
          <w:rFonts w:ascii="Times New Roman" w:hAnsi="Times New Roman" w:cs="Times New Roman"/>
          <w:sz w:val="24"/>
          <w:szCs w:val="24"/>
        </w:rPr>
        <w:t xml:space="preserve"> survival and quality of care.</w:t>
      </w:r>
    </w:p>
    <w:p w14:paraId="6E608A06" w14:textId="38029494" w:rsidR="006E1AE8" w:rsidRPr="00505647" w:rsidRDefault="006E1AE8" w:rsidP="00505647">
      <w:pPr>
        <w:jc w:val="both"/>
        <w:rPr>
          <w:rFonts w:ascii="Times New Roman" w:hAnsi="Times New Roman" w:cs="Times New Roman"/>
          <w:sz w:val="24"/>
          <w:szCs w:val="24"/>
        </w:rPr>
      </w:pPr>
      <w:r w:rsidRPr="006E1AE8">
        <w:rPr>
          <w:rFonts w:ascii="Times New Roman" w:hAnsi="Times New Roman" w:cs="Times New Roman"/>
          <w:sz w:val="24"/>
          <w:szCs w:val="24"/>
        </w:rPr>
        <w:t xml:space="preserve">The longitudinal PSA trajectory was statistically associated with </w:t>
      </w:r>
      <w:r w:rsidR="00714267">
        <w:rPr>
          <w:rFonts w:ascii="Times New Roman" w:hAnsi="Times New Roman" w:cs="Times New Roman"/>
          <w:sz w:val="24"/>
          <w:szCs w:val="24"/>
        </w:rPr>
        <w:t xml:space="preserve">the </w:t>
      </w:r>
      <w:r w:rsidRPr="006E1AE8">
        <w:rPr>
          <w:rFonts w:ascii="Times New Roman" w:hAnsi="Times New Roman" w:cs="Times New Roman"/>
          <w:sz w:val="24"/>
          <w:szCs w:val="24"/>
        </w:rPr>
        <w:t>survival</w:t>
      </w:r>
      <w:r w:rsidR="00714267">
        <w:rPr>
          <w:rFonts w:ascii="Times New Roman" w:hAnsi="Times New Roman" w:cs="Times New Roman"/>
          <w:sz w:val="24"/>
          <w:szCs w:val="24"/>
        </w:rPr>
        <w:t xml:space="preserve"> </w:t>
      </w:r>
      <w:r w:rsidRPr="006E1AE8">
        <w:rPr>
          <w:rFonts w:ascii="Times New Roman" w:hAnsi="Times New Roman" w:cs="Times New Roman"/>
          <w:sz w:val="24"/>
          <w:szCs w:val="24"/>
        </w:rPr>
        <w:t>parameter</w:t>
      </w:r>
      <w:r w:rsidR="00714267">
        <w:rPr>
          <w:rFonts w:ascii="Times New Roman" w:hAnsi="Times New Roman" w:cs="Times New Roman"/>
          <w:sz w:val="24"/>
          <w:szCs w:val="24"/>
        </w:rPr>
        <w:t>.</w:t>
      </w:r>
      <w:r w:rsidRPr="006E1AE8">
        <w:rPr>
          <w:rFonts w:ascii="Times New Roman" w:hAnsi="Times New Roman" w:cs="Times New Roman"/>
          <w:sz w:val="24"/>
          <w:szCs w:val="24"/>
        </w:rPr>
        <w:t xml:space="preserve"> Th</w:t>
      </w:r>
      <w:r w:rsidR="00714267">
        <w:rPr>
          <w:rFonts w:ascii="Times New Roman" w:hAnsi="Times New Roman" w:cs="Times New Roman"/>
          <w:sz w:val="24"/>
          <w:szCs w:val="24"/>
        </w:rPr>
        <w:t>is</w:t>
      </w:r>
      <w:r w:rsidRPr="006E1AE8">
        <w:rPr>
          <w:rFonts w:ascii="Times New Roman" w:hAnsi="Times New Roman" w:cs="Times New Roman"/>
          <w:sz w:val="24"/>
          <w:szCs w:val="24"/>
        </w:rPr>
        <w:t xml:space="preserve"> approximate association parameter was significant and positive</w:t>
      </w:r>
      <w:r w:rsidR="00714267">
        <w:rPr>
          <w:rFonts w:ascii="Times New Roman" w:hAnsi="Times New Roman" w:cs="Times New Roman"/>
          <w:sz w:val="24"/>
          <w:szCs w:val="24"/>
        </w:rPr>
        <w:t>, meaning that greater underlying PSA severity over time was correlated with an increased</w:t>
      </w:r>
      <w:r w:rsidRPr="006E1AE8">
        <w:rPr>
          <w:rFonts w:ascii="Times New Roman" w:hAnsi="Times New Roman" w:cs="Times New Roman"/>
          <w:sz w:val="24"/>
          <w:szCs w:val="24"/>
        </w:rPr>
        <w:t xml:space="preserve"> risk of death. On the hazard scale, a one-unit increase in the latent PSA severity trajectory was associated with about 52 per cent of an increase in mortality risk This statistically significant correlation is a formal demonstration that the longitudinal PSA evolution is an independent and dynamic predictor of the survival in comparison with the baseline clinicopathological variables, hence justification of the clinical and methodological utility of the joint </w:t>
      </w:r>
      <w:r w:rsidR="00BC5F4D" w:rsidRPr="006E1AE8">
        <w:rPr>
          <w:rFonts w:ascii="Times New Roman" w:hAnsi="Times New Roman" w:cs="Times New Roman"/>
          <w:sz w:val="24"/>
          <w:szCs w:val="24"/>
        </w:rPr>
        <w:t>modelling</w:t>
      </w:r>
      <w:r w:rsidRPr="006E1AE8">
        <w:rPr>
          <w:rFonts w:ascii="Times New Roman" w:hAnsi="Times New Roman" w:cs="Times New Roman"/>
          <w:sz w:val="24"/>
          <w:szCs w:val="24"/>
        </w:rPr>
        <w:t xml:space="preserve"> framework.</w:t>
      </w:r>
    </w:p>
    <w:p w14:paraId="6E6F2398" w14:textId="75066DEE" w:rsidR="00FC4183" w:rsidRDefault="00FC4183" w:rsidP="00505647">
      <w:pPr>
        <w:jc w:val="both"/>
        <w:rPr>
          <w:rFonts w:ascii="Times New Roman" w:hAnsi="Times New Roman" w:cs="Times New Roman"/>
          <w:sz w:val="24"/>
          <w:szCs w:val="24"/>
        </w:rPr>
      </w:pPr>
      <w:r w:rsidRPr="00505647">
        <w:rPr>
          <w:rFonts w:ascii="Times New Roman" w:hAnsi="Times New Roman" w:cs="Times New Roman"/>
          <w:sz w:val="24"/>
          <w:szCs w:val="24"/>
        </w:rPr>
        <w:t>In policy and public health terms, these findings support Sustainable Development Goal 3</w:t>
      </w:r>
      <w:r w:rsidR="003B425A">
        <w:rPr>
          <w:rFonts w:ascii="Times New Roman" w:hAnsi="Times New Roman" w:cs="Times New Roman"/>
          <w:sz w:val="24"/>
          <w:szCs w:val="24"/>
        </w:rPr>
        <w:t xml:space="preserve"> by highlighting the importance of an evidence-based, data-informed strategy for better cancer management</w:t>
      </w:r>
      <w:r w:rsidRPr="00505647">
        <w:rPr>
          <w:rFonts w:ascii="Times New Roman" w:hAnsi="Times New Roman" w:cs="Times New Roman"/>
          <w:sz w:val="24"/>
          <w:szCs w:val="24"/>
        </w:rPr>
        <w:t xml:space="preserve">. The applications of longitudinal biomarker governance, improved follow-up mechanisms, </w:t>
      </w:r>
      <w:r w:rsidR="003B425A">
        <w:rPr>
          <w:rFonts w:ascii="Times New Roman" w:hAnsi="Times New Roman" w:cs="Times New Roman"/>
          <w:sz w:val="24"/>
          <w:szCs w:val="24"/>
        </w:rPr>
        <w:t>and the incorporation of dynamic risk models</w:t>
      </w:r>
      <w:r w:rsidRPr="00505647">
        <w:rPr>
          <w:rFonts w:ascii="Times New Roman" w:hAnsi="Times New Roman" w:cs="Times New Roman"/>
          <w:sz w:val="24"/>
          <w:szCs w:val="24"/>
        </w:rPr>
        <w:t xml:space="preserve"> </w:t>
      </w:r>
      <w:r w:rsidR="003B425A">
        <w:rPr>
          <w:rFonts w:ascii="Times New Roman" w:hAnsi="Times New Roman" w:cs="Times New Roman"/>
          <w:sz w:val="24"/>
          <w:szCs w:val="24"/>
        </w:rPr>
        <w:t>can enhance survival and optimise the</w:t>
      </w:r>
      <w:r w:rsidRPr="00505647">
        <w:rPr>
          <w:rFonts w:ascii="Times New Roman" w:hAnsi="Times New Roman" w:cs="Times New Roman"/>
          <w:sz w:val="24"/>
          <w:szCs w:val="24"/>
        </w:rPr>
        <w:t xml:space="preserve"> use of scarce healthcare resources. In general, this paper </w:t>
      </w:r>
      <w:r w:rsidR="003F49CE">
        <w:rPr>
          <w:rFonts w:ascii="Times New Roman" w:hAnsi="Times New Roman" w:cs="Times New Roman"/>
          <w:sz w:val="24"/>
          <w:szCs w:val="24"/>
        </w:rPr>
        <w:t xml:space="preserve">provides a strong foundation for further studies that </w:t>
      </w:r>
      <w:r w:rsidR="003B425A">
        <w:rPr>
          <w:rFonts w:ascii="Times New Roman" w:hAnsi="Times New Roman" w:cs="Times New Roman"/>
          <w:sz w:val="24"/>
          <w:szCs w:val="24"/>
        </w:rPr>
        <w:t>apply longitudinal biomarker data to inform survival outcomes</w:t>
      </w:r>
      <w:r w:rsidRPr="00505647">
        <w:rPr>
          <w:rFonts w:ascii="Times New Roman" w:hAnsi="Times New Roman" w:cs="Times New Roman"/>
          <w:sz w:val="24"/>
          <w:szCs w:val="24"/>
        </w:rPr>
        <w:t xml:space="preserve"> in the management of prostate cancer.</w:t>
      </w:r>
    </w:p>
    <w:p w14:paraId="31C2AD9A"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Declarations</w:t>
      </w:r>
    </w:p>
    <w:p w14:paraId="148ABD59"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Data availability</w:t>
      </w:r>
    </w:p>
    <w:p w14:paraId="298EAEFD" w14:textId="77777777" w:rsidR="003F49CE" w:rsidRPr="002C648A" w:rsidRDefault="003F49CE" w:rsidP="003F49CE">
      <w:pPr>
        <w:jc w:val="both"/>
        <w:rPr>
          <w:rFonts w:ascii="Times New Roman" w:hAnsi="Times New Roman" w:cs="Times New Roman"/>
          <w:sz w:val="20"/>
          <w:szCs w:val="20"/>
        </w:rPr>
      </w:pPr>
      <w:r w:rsidRPr="002C648A">
        <w:rPr>
          <w:rFonts w:ascii="Times New Roman" w:hAnsi="Times New Roman" w:cs="Times New Roman"/>
          <w:sz w:val="20"/>
          <w:szCs w:val="20"/>
        </w:rPr>
        <w:t>The data used to support the findings of this study are available from the corresponding author upon request.</w:t>
      </w:r>
    </w:p>
    <w:p w14:paraId="61DBE777"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Ethical statement</w:t>
      </w:r>
    </w:p>
    <w:p w14:paraId="4C4BABFA" w14:textId="77777777" w:rsidR="003F49CE" w:rsidRPr="002C648A" w:rsidRDefault="003F49CE" w:rsidP="003F49CE">
      <w:pPr>
        <w:jc w:val="both"/>
        <w:rPr>
          <w:rFonts w:ascii="Times New Roman" w:hAnsi="Times New Roman" w:cs="Times New Roman"/>
          <w:sz w:val="20"/>
          <w:szCs w:val="20"/>
        </w:rPr>
      </w:pPr>
      <w:r w:rsidRPr="002C648A">
        <w:rPr>
          <w:rFonts w:ascii="Times New Roman" w:hAnsi="Times New Roman" w:cs="Times New Roman"/>
          <w:sz w:val="20"/>
          <w:szCs w:val="20"/>
        </w:rPr>
        <w:t>This study received ethical approval from the University Ethics Review Committee of Takoradi Technical University (Ref. No. TTU/ERC/15/021, dated May 27, 2015). The research used a secondary, de-identified dataset, and all procedures complied with the ethical</w:t>
      </w:r>
      <w:r>
        <w:rPr>
          <w:rFonts w:ascii="Times New Roman" w:hAnsi="Times New Roman" w:cs="Times New Roman"/>
          <w:sz w:val="20"/>
          <w:szCs w:val="20"/>
        </w:rPr>
        <w:t xml:space="preserve"> </w:t>
      </w:r>
      <w:r w:rsidRPr="002C648A">
        <w:rPr>
          <w:rFonts w:ascii="Times New Roman" w:hAnsi="Times New Roman" w:cs="Times New Roman"/>
          <w:sz w:val="20"/>
          <w:szCs w:val="20"/>
        </w:rPr>
        <w:t>guidelines of the approving committee.</w:t>
      </w:r>
    </w:p>
    <w:p w14:paraId="0E11774E"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Declaration of competing interest</w:t>
      </w:r>
    </w:p>
    <w:p w14:paraId="4F1AAAE0" w14:textId="77777777" w:rsidR="003F49CE" w:rsidRDefault="003F49CE" w:rsidP="003F49CE">
      <w:pPr>
        <w:jc w:val="both"/>
        <w:rPr>
          <w:rFonts w:ascii="Times New Roman" w:hAnsi="Times New Roman" w:cs="Times New Roman"/>
          <w:sz w:val="20"/>
          <w:szCs w:val="20"/>
        </w:rPr>
      </w:pPr>
      <w:r w:rsidRPr="002C648A">
        <w:rPr>
          <w:rFonts w:ascii="Times New Roman" w:hAnsi="Times New Roman" w:cs="Times New Roman"/>
          <w:sz w:val="20"/>
          <w:szCs w:val="20"/>
        </w:rPr>
        <w:t>The authors declare that they have no known competing financial interests or personal relationships that could have appeared to</w:t>
      </w:r>
      <w:r>
        <w:rPr>
          <w:rFonts w:ascii="Times New Roman" w:hAnsi="Times New Roman" w:cs="Times New Roman"/>
          <w:sz w:val="20"/>
          <w:szCs w:val="20"/>
        </w:rPr>
        <w:t xml:space="preserve"> </w:t>
      </w:r>
      <w:r w:rsidRPr="002C648A">
        <w:rPr>
          <w:rFonts w:ascii="Times New Roman" w:hAnsi="Times New Roman" w:cs="Times New Roman"/>
          <w:sz w:val="20"/>
          <w:szCs w:val="20"/>
        </w:rPr>
        <w:t>influence the work reported in this pape</w:t>
      </w:r>
      <w:r>
        <w:rPr>
          <w:rFonts w:ascii="Times New Roman" w:hAnsi="Times New Roman" w:cs="Times New Roman"/>
          <w:sz w:val="20"/>
          <w:szCs w:val="20"/>
        </w:rPr>
        <w:t>r.</w:t>
      </w:r>
    </w:p>
    <w:p w14:paraId="4D1A2E6A" w14:textId="77777777" w:rsidR="003F49CE" w:rsidRPr="009D7058" w:rsidRDefault="003F49CE" w:rsidP="003F49CE">
      <w:pPr>
        <w:jc w:val="both"/>
        <w:rPr>
          <w:rFonts w:ascii="Times New Roman" w:hAnsi="Times New Roman" w:cs="Times New Roman"/>
          <w:b/>
          <w:bCs/>
          <w:sz w:val="20"/>
          <w:szCs w:val="20"/>
        </w:rPr>
      </w:pPr>
      <w:r w:rsidRPr="009D7058">
        <w:rPr>
          <w:rFonts w:ascii="Times New Roman" w:hAnsi="Times New Roman" w:cs="Times New Roman"/>
          <w:b/>
          <w:bCs/>
          <w:sz w:val="20"/>
          <w:szCs w:val="20"/>
        </w:rPr>
        <w:t>Trial Number</w:t>
      </w:r>
    </w:p>
    <w:p w14:paraId="00736696" w14:textId="77777777" w:rsidR="003F49CE" w:rsidRDefault="003F49CE" w:rsidP="003F49CE">
      <w:pPr>
        <w:jc w:val="both"/>
        <w:rPr>
          <w:rFonts w:ascii="Times New Roman" w:hAnsi="Times New Roman" w:cs="Times New Roman"/>
          <w:sz w:val="20"/>
          <w:szCs w:val="20"/>
        </w:rPr>
      </w:pPr>
      <w:r w:rsidRPr="00117CC1">
        <w:rPr>
          <w:rFonts w:ascii="Times New Roman" w:hAnsi="Times New Roman" w:cs="Times New Roman"/>
          <w:sz w:val="20"/>
          <w:szCs w:val="20"/>
        </w:rPr>
        <w:t>Not applicable</w:t>
      </w:r>
    </w:p>
    <w:p w14:paraId="6633464E" w14:textId="77777777" w:rsidR="003F49CE" w:rsidRPr="001653A8" w:rsidRDefault="003F49CE" w:rsidP="003F49CE">
      <w:pPr>
        <w:jc w:val="both"/>
        <w:rPr>
          <w:rFonts w:ascii="Times New Roman" w:hAnsi="Times New Roman" w:cs="Times New Roman"/>
          <w:b/>
          <w:bCs/>
          <w:sz w:val="20"/>
          <w:szCs w:val="20"/>
        </w:rPr>
      </w:pPr>
      <w:r w:rsidRPr="001653A8">
        <w:rPr>
          <w:rFonts w:ascii="Times New Roman" w:hAnsi="Times New Roman" w:cs="Times New Roman"/>
          <w:b/>
          <w:bCs/>
          <w:sz w:val="20"/>
          <w:szCs w:val="20"/>
        </w:rPr>
        <w:t>Authors Contributions</w:t>
      </w:r>
    </w:p>
    <w:p w14:paraId="581D18EB" w14:textId="63DC85BD" w:rsidR="003F49CE" w:rsidRDefault="003F49CE" w:rsidP="003F49CE">
      <w:pPr>
        <w:jc w:val="both"/>
        <w:rPr>
          <w:rFonts w:ascii="Times New Roman" w:hAnsi="Times New Roman" w:cs="Times New Roman"/>
          <w:sz w:val="20"/>
          <w:szCs w:val="20"/>
        </w:rPr>
      </w:pPr>
      <w:r w:rsidRPr="0063064E">
        <w:rPr>
          <w:rFonts w:ascii="Times New Roman" w:hAnsi="Times New Roman" w:cs="Times New Roman"/>
          <w:b/>
          <w:bCs/>
          <w:sz w:val="20"/>
          <w:szCs w:val="20"/>
        </w:rPr>
        <w:t>F.A</w:t>
      </w:r>
      <w:r>
        <w:rPr>
          <w:rFonts w:ascii="Times New Roman" w:hAnsi="Times New Roman" w:cs="Times New Roman"/>
          <w:b/>
          <w:bCs/>
          <w:sz w:val="20"/>
          <w:szCs w:val="20"/>
        </w:rPr>
        <w:t>-</w:t>
      </w:r>
      <w:r w:rsidRPr="0063064E">
        <w:rPr>
          <w:rFonts w:ascii="Times New Roman" w:hAnsi="Times New Roman" w:cs="Times New Roman"/>
          <w:b/>
          <w:bCs/>
          <w:sz w:val="20"/>
          <w:szCs w:val="20"/>
        </w:rPr>
        <w:t>M</w:t>
      </w:r>
      <w:r w:rsidRPr="00726440">
        <w:rPr>
          <w:rFonts w:ascii="Times New Roman" w:hAnsi="Times New Roman" w:cs="Times New Roman"/>
          <w:sz w:val="20"/>
          <w:szCs w:val="20"/>
        </w:rPr>
        <w:t xml:space="preserve">.: </w:t>
      </w:r>
      <w:r w:rsidR="00B974DA">
        <w:rPr>
          <w:rFonts w:ascii="Times New Roman" w:hAnsi="Times New Roman" w:cs="Times New Roman"/>
          <w:sz w:val="20"/>
          <w:szCs w:val="20"/>
        </w:rPr>
        <w:t>Conceptualisation</w:t>
      </w:r>
      <w:r w:rsidRPr="00726440">
        <w:rPr>
          <w:rFonts w:ascii="Times New Roman" w:hAnsi="Times New Roman" w:cs="Times New Roman"/>
          <w:sz w:val="20"/>
          <w:szCs w:val="20"/>
        </w:rPr>
        <w:t>, Validation, Methodology, Formal Analysis, Writing- Original Draft, Software, Writing - Review &amp; Editing.</w:t>
      </w:r>
    </w:p>
    <w:p w14:paraId="6F51DAF7" w14:textId="74D1935E" w:rsidR="003F49CE" w:rsidRDefault="003F49CE" w:rsidP="003F49CE">
      <w:pPr>
        <w:jc w:val="both"/>
        <w:rPr>
          <w:rFonts w:ascii="Times New Roman" w:hAnsi="Times New Roman" w:cs="Times New Roman"/>
          <w:sz w:val="20"/>
          <w:szCs w:val="20"/>
        </w:rPr>
      </w:pPr>
      <w:r w:rsidRPr="0063064E">
        <w:rPr>
          <w:rFonts w:ascii="Times New Roman" w:hAnsi="Times New Roman" w:cs="Times New Roman"/>
          <w:b/>
          <w:bCs/>
          <w:sz w:val="20"/>
          <w:szCs w:val="20"/>
        </w:rPr>
        <w:t>S.B-</w:t>
      </w:r>
      <w:proofErr w:type="gramStart"/>
      <w:r w:rsidRPr="0063064E">
        <w:rPr>
          <w:rFonts w:ascii="Times New Roman" w:hAnsi="Times New Roman" w:cs="Times New Roman"/>
          <w:b/>
          <w:bCs/>
          <w:sz w:val="20"/>
          <w:szCs w:val="20"/>
        </w:rPr>
        <w:t>A</w:t>
      </w:r>
      <w:r w:rsidRPr="00726440">
        <w:rPr>
          <w:rFonts w:ascii="Times New Roman" w:hAnsi="Times New Roman" w:cs="Times New Roman"/>
          <w:sz w:val="20"/>
          <w:szCs w:val="20"/>
        </w:rPr>
        <w:t xml:space="preserve"> :</w:t>
      </w:r>
      <w:proofErr w:type="gramEnd"/>
      <w:r w:rsidRPr="00726440">
        <w:rPr>
          <w:rFonts w:ascii="Times New Roman" w:hAnsi="Times New Roman" w:cs="Times New Roman"/>
          <w:sz w:val="20"/>
          <w:szCs w:val="20"/>
        </w:rPr>
        <w:t xml:space="preserve"> </w:t>
      </w:r>
      <w:r w:rsidR="00B974DA">
        <w:rPr>
          <w:rFonts w:ascii="Times New Roman" w:hAnsi="Times New Roman" w:cs="Times New Roman"/>
          <w:sz w:val="20"/>
          <w:szCs w:val="20"/>
        </w:rPr>
        <w:t>Visualisation</w:t>
      </w:r>
      <w:r w:rsidRPr="00726440">
        <w:rPr>
          <w:rFonts w:ascii="Times New Roman" w:hAnsi="Times New Roman" w:cs="Times New Roman"/>
          <w:sz w:val="20"/>
          <w:szCs w:val="20"/>
        </w:rPr>
        <w:t>, Writing - Review &amp; Editing, Investigation, Methodology. Data Collection, Data Curation,</w:t>
      </w:r>
    </w:p>
    <w:p w14:paraId="324A2FA4" w14:textId="5D9C5964" w:rsidR="003F49CE" w:rsidRDefault="00B974DA" w:rsidP="003F49CE">
      <w:pPr>
        <w:jc w:val="both"/>
        <w:rPr>
          <w:rFonts w:ascii="Times New Roman" w:hAnsi="Times New Roman" w:cs="Times New Roman"/>
          <w:sz w:val="20"/>
          <w:szCs w:val="20"/>
        </w:rPr>
      </w:pPr>
      <w:proofErr w:type="gramStart"/>
      <w:r>
        <w:rPr>
          <w:rFonts w:ascii="Times New Roman" w:hAnsi="Times New Roman" w:cs="Times New Roman"/>
          <w:b/>
          <w:bCs/>
          <w:sz w:val="20"/>
          <w:szCs w:val="20"/>
        </w:rPr>
        <w:t>W</w:t>
      </w:r>
      <w:r w:rsidR="003F49CE">
        <w:rPr>
          <w:rFonts w:ascii="Times New Roman" w:hAnsi="Times New Roman" w:cs="Times New Roman"/>
          <w:b/>
          <w:bCs/>
          <w:sz w:val="20"/>
          <w:szCs w:val="20"/>
        </w:rPr>
        <w:t>.</w:t>
      </w:r>
      <w:r>
        <w:rPr>
          <w:rFonts w:ascii="Times New Roman" w:hAnsi="Times New Roman" w:cs="Times New Roman"/>
          <w:b/>
          <w:bCs/>
          <w:sz w:val="20"/>
          <w:szCs w:val="20"/>
        </w:rPr>
        <w:t>O.</w:t>
      </w:r>
      <w:r w:rsidR="003F49CE">
        <w:rPr>
          <w:rFonts w:ascii="Times New Roman" w:hAnsi="Times New Roman" w:cs="Times New Roman"/>
          <w:b/>
          <w:bCs/>
          <w:sz w:val="20"/>
          <w:szCs w:val="20"/>
        </w:rPr>
        <w:t xml:space="preserve"> </w:t>
      </w:r>
      <w:r w:rsidR="003F49CE" w:rsidRPr="00726440">
        <w:rPr>
          <w:rFonts w:ascii="Times New Roman" w:hAnsi="Times New Roman" w:cs="Times New Roman"/>
          <w:sz w:val="20"/>
          <w:szCs w:val="20"/>
        </w:rPr>
        <w:t>:</w:t>
      </w:r>
      <w:proofErr w:type="gramEnd"/>
      <w:r w:rsidR="003F49CE" w:rsidRPr="00726440">
        <w:rPr>
          <w:rFonts w:ascii="Times New Roman" w:hAnsi="Times New Roman" w:cs="Times New Roman"/>
          <w:sz w:val="20"/>
          <w:szCs w:val="20"/>
        </w:rPr>
        <w:t xml:space="preserve"> Validation, Writing - Review &amp; Editing, </w:t>
      </w:r>
      <w:r>
        <w:rPr>
          <w:rFonts w:ascii="Times New Roman" w:hAnsi="Times New Roman" w:cs="Times New Roman"/>
          <w:sz w:val="20"/>
          <w:szCs w:val="20"/>
        </w:rPr>
        <w:t>Visualisation</w:t>
      </w:r>
      <w:r w:rsidR="003F49CE" w:rsidRPr="00726440">
        <w:rPr>
          <w:rFonts w:ascii="Times New Roman" w:hAnsi="Times New Roman" w:cs="Times New Roman"/>
          <w:sz w:val="20"/>
          <w:szCs w:val="20"/>
        </w:rPr>
        <w:t>, Investigation</w:t>
      </w:r>
    </w:p>
    <w:p w14:paraId="63126E6F" w14:textId="1B904AB5" w:rsidR="003F49CE" w:rsidRDefault="00ED18AF" w:rsidP="003F49CE">
      <w:pPr>
        <w:jc w:val="both"/>
        <w:rPr>
          <w:rFonts w:ascii="Times New Roman" w:hAnsi="Times New Roman" w:cs="Times New Roman"/>
          <w:sz w:val="20"/>
          <w:szCs w:val="20"/>
        </w:rPr>
      </w:pPr>
      <w:r>
        <w:rPr>
          <w:rFonts w:ascii="Times New Roman" w:hAnsi="Times New Roman" w:cs="Times New Roman"/>
          <w:b/>
          <w:bCs/>
          <w:sz w:val="20"/>
          <w:szCs w:val="20"/>
        </w:rPr>
        <w:lastRenderedPageBreak/>
        <w:t>R.</w:t>
      </w:r>
      <w:r w:rsidR="00DB7169">
        <w:rPr>
          <w:rFonts w:ascii="Times New Roman" w:hAnsi="Times New Roman" w:cs="Times New Roman"/>
          <w:b/>
          <w:bCs/>
          <w:sz w:val="20"/>
          <w:szCs w:val="20"/>
        </w:rPr>
        <w:t>N.A</w:t>
      </w:r>
      <w:r w:rsidR="003F49CE" w:rsidRPr="00726440">
        <w:rPr>
          <w:rFonts w:ascii="Times New Roman" w:hAnsi="Times New Roman" w:cs="Times New Roman"/>
          <w:sz w:val="20"/>
          <w:szCs w:val="20"/>
        </w:rPr>
        <w:t xml:space="preserve">.: </w:t>
      </w:r>
      <w:r w:rsidR="00B974DA">
        <w:rPr>
          <w:rFonts w:ascii="Times New Roman" w:hAnsi="Times New Roman" w:cs="Times New Roman"/>
          <w:sz w:val="20"/>
          <w:szCs w:val="20"/>
        </w:rPr>
        <w:t>Visualisation</w:t>
      </w:r>
      <w:r w:rsidR="003F49CE" w:rsidRPr="00726440">
        <w:rPr>
          <w:rFonts w:ascii="Times New Roman" w:hAnsi="Times New Roman" w:cs="Times New Roman"/>
          <w:sz w:val="20"/>
          <w:szCs w:val="20"/>
        </w:rPr>
        <w:t>, Validation, Writing - Review &amp; Editing, Investigation.</w:t>
      </w:r>
    </w:p>
    <w:p w14:paraId="463C5DA9" w14:textId="7FAF5D1B" w:rsidR="00B974DA" w:rsidRDefault="00B974DA" w:rsidP="003F49CE">
      <w:pPr>
        <w:jc w:val="both"/>
        <w:rPr>
          <w:rFonts w:ascii="Times New Roman" w:hAnsi="Times New Roman" w:cs="Times New Roman"/>
          <w:sz w:val="20"/>
          <w:szCs w:val="20"/>
        </w:rPr>
      </w:pPr>
      <w:r>
        <w:rPr>
          <w:rFonts w:ascii="Times New Roman" w:hAnsi="Times New Roman" w:cs="Times New Roman"/>
          <w:b/>
          <w:bCs/>
          <w:sz w:val="20"/>
          <w:szCs w:val="20"/>
        </w:rPr>
        <w:t>C.N.L</w:t>
      </w:r>
      <w:r w:rsidRPr="00726440">
        <w:rPr>
          <w:rFonts w:ascii="Times New Roman" w:hAnsi="Times New Roman" w:cs="Times New Roman"/>
          <w:sz w:val="20"/>
          <w:szCs w:val="20"/>
        </w:rPr>
        <w:t>.: Validation, Writing - Review &amp; Editing, Investigation.</w:t>
      </w:r>
    </w:p>
    <w:p w14:paraId="0133E460" w14:textId="77777777" w:rsidR="00C26074" w:rsidRPr="00C26074" w:rsidRDefault="00C26074" w:rsidP="00C26074">
      <w:pPr>
        <w:rPr>
          <w:b/>
          <w:highlight w:val="yellow"/>
        </w:rPr>
      </w:pPr>
      <w:r w:rsidRPr="00C26074">
        <w:rPr>
          <w:b/>
          <w:highlight w:val="yellow"/>
        </w:rPr>
        <w:t>Disclaimer (Artificial intelligence)</w:t>
      </w:r>
    </w:p>
    <w:p w14:paraId="3ECCF418" w14:textId="77777777" w:rsidR="00C26074" w:rsidRPr="007A4135" w:rsidRDefault="00C26074" w:rsidP="00C26074">
      <w:pPr>
        <w:rPr>
          <w:highlight w:val="yellow"/>
        </w:rPr>
      </w:pPr>
      <w:r w:rsidRPr="007A4135">
        <w:rPr>
          <w:highlight w:val="yellow"/>
        </w:rPr>
        <w:t xml:space="preserve">Option 1: </w:t>
      </w:r>
    </w:p>
    <w:p w14:paraId="57BCFF8E" w14:textId="77777777" w:rsidR="00C26074" w:rsidRPr="007A4135" w:rsidRDefault="00C26074" w:rsidP="00C26074">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08A4D0CB" w14:textId="77777777" w:rsidR="00C26074" w:rsidRPr="007A4135" w:rsidRDefault="00C26074" w:rsidP="00C26074">
      <w:pPr>
        <w:rPr>
          <w:highlight w:val="yellow"/>
        </w:rPr>
      </w:pPr>
      <w:r w:rsidRPr="007A4135">
        <w:rPr>
          <w:highlight w:val="yellow"/>
        </w:rPr>
        <w:t xml:space="preserve">Option 2: </w:t>
      </w:r>
    </w:p>
    <w:p w14:paraId="35EAA5EF" w14:textId="77777777" w:rsidR="00C26074" w:rsidRPr="007A4135" w:rsidRDefault="00C26074" w:rsidP="00C26074">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5EC7F6B" w14:textId="77777777" w:rsidR="00C26074" w:rsidRPr="007A4135" w:rsidRDefault="00C26074" w:rsidP="00C26074">
      <w:pPr>
        <w:rPr>
          <w:highlight w:val="yellow"/>
        </w:rPr>
      </w:pPr>
      <w:r w:rsidRPr="007A4135">
        <w:rPr>
          <w:highlight w:val="yellow"/>
        </w:rPr>
        <w:t>Details of the AI usage are given below:</w:t>
      </w:r>
    </w:p>
    <w:p w14:paraId="5CE0EB2F" w14:textId="77777777" w:rsidR="00C26074" w:rsidRPr="007A4135" w:rsidRDefault="00C26074" w:rsidP="00C26074">
      <w:pPr>
        <w:rPr>
          <w:highlight w:val="yellow"/>
        </w:rPr>
      </w:pPr>
      <w:r w:rsidRPr="007A4135">
        <w:rPr>
          <w:highlight w:val="yellow"/>
        </w:rPr>
        <w:t>1.</w:t>
      </w:r>
    </w:p>
    <w:p w14:paraId="3BAB5692" w14:textId="77777777" w:rsidR="00C26074" w:rsidRPr="007A4135" w:rsidRDefault="00C26074" w:rsidP="00C26074">
      <w:pPr>
        <w:rPr>
          <w:highlight w:val="yellow"/>
        </w:rPr>
      </w:pPr>
      <w:r w:rsidRPr="007A4135">
        <w:rPr>
          <w:highlight w:val="yellow"/>
        </w:rPr>
        <w:t>2.</w:t>
      </w:r>
    </w:p>
    <w:p w14:paraId="3724F97A" w14:textId="77777777" w:rsidR="00C26074" w:rsidRPr="00D047BB" w:rsidRDefault="00C26074" w:rsidP="00C26074">
      <w:r w:rsidRPr="007A4135">
        <w:rPr>
          <w:highlight w:val="yellow"/>
        </w:rPr>
        <w:t>3.</w:t>
      </w:r>
    </w:p>
    <w:p w14:paraId="0593D251" w14:textId="77777777" w:rsidR="00C26074" w:rsidRPr="00117CC1" w:rsidRDefault="00C26074" w:rsidP="003F49CE">
      <w:pPr>
        <w:jc w:val="both"/>
        <w:rPr>
          <w:rFonts w:ascii="Times New Roman" w:hAnsi="Times New Roman" w:cs="Times New Roman"/>
          <w:sz w:val="20"/>
          <w:szCs w:val="20"/>
        </w:rPr>
      </w:pPr>
    </w:p>
    <w:p w14:paraId="4DFDF684" w14:textId="22E70A95" w:rsidR="000E546E" w:rsidRDefault="000E546E" w:rsidP="00505647">
      <w:pPr>
        <w:jc w:val="both"/>
        <w:rPr>
          <w:rFonts w:ascii="Times New Roman" w:hAnsi="Times New Roman" w:cs="Times New Roman"/>
          <w:sz w:val="24"/>
          <w:szCs w:val="24"/>
        </w:rPr>
      </w:pPr>
    </w:p>
    <w:p w14:paraId="7A74ED23" w14:textId="77777777" w:rsidR="000E546E" w:rsidRPr="000E546E" w:rsidRDefault="000E546E" w:rsidP="000E546E">
      <w:pPr>
        <w:rPr>
          <w:rFonts w:ascii="Times New Roman" w:hAnsi="Times New Roman" w:cs="Times New Roman"/>
          <w:b/>
          <w:bCs/>
          <w:sz w:val="24"/>
          <w:szCs w:val="24"/>
        </w:rPr>
      </w:pPr>
      <w:r w:rsidRPr="000E546E">
        <w:rPr>
          <w:rFonts w:ascii="Times New Roman" w:hAnsi="Times New Roman" w:cs="Times New Roman"/>
          <w:b/>
          <w:bCs/>
          <w:sz w:val="24"/>
          <w:szCs w:val="24"/>
        </w:rPr>
        <w:t>References</w:t>
      </w:r>
    </w:p>
    <w:tbl>
      <w:tblPr>
        <w:tblW w:w="5000" w:type="pct"/>
        <w:tblLook w:val="04A0" w:firstRow="1" w:lastRow="0" w:firstColumn="1" w:lastColumn="0" w:noHBand="0" w:noVBand="1"/>
      </w:tblPr>
      <w:tblGrid>
        <w:gridCol w:w="9344"/>
      </w:tblGrid>
      <w:tr w:rsidR="002E1170" w14:paraId="08BE44D6"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326F629"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Ahad, A., Ejaz, A., Fatima, E., Sultan, W., Ahmad, O., Jamil, A., Iqbal, J., Khan, M. S., &amp; Minhas, A. M. K. (2024). Rising mortality related to cardiovascular disease and prostate cancer amongst older men across the United States. Current Problems in Cardiology, 49(11), 102785. https://doi.org/10.1016/j.cpcardiol.2024.102785</w:t>
            </w:r>
          </w:p>
        </w:tc>
      </w:tr>
      <w:tr w:rsidR="002E1170" w14:paraId="30484C5B"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0663733B"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Ahuja, G., Kaur, I., Lamba, P. S., Virmani, D., Jain, A., Chakraborty, S., &amp; Mallik, S. (2024). Prostate cancer prognosis using machine learning: A critical review of survival analysis methods. Pathology-Research and Practice. https://doi.org/10.1016/j.prp.2024.155687</w:t>
            </w:r>
          </w:p>
        </w:tc>
      </w:tr>
      <w:tr w:rsidR="002E1170" w14:paraId="5EC978AD"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0A616E7"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Alvares, D., &amp; Mercier, F. (2024). Bridging the gap between two-stage and joint models: The case of tumor growth inhibition and overall survival models. Statistics in Medicine, 43(17), 3280-3293. https://doi.org/10.1002/sim.10128</w:t>
            </w:r>
          </w:p>
        </w:tc>
      </w:tr>
      <w:tr w:rsidR="002E1170" w14:paraId="706A5DED"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227801A"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Ayiah-Mensah, F., Bosson-Amedenu, S., Anderson, F. N., &amp; Kokuro, A. (2025). Nonlinear Cox Survival Modeling of Prostate Cancer with SHAP-Based Explainability. Journal of Advances in Mathematics and Computer Science, 40(12), 28-47. https://doi.org/10.9734/jamcs/2025/v40i122071</w:t>
            </w:r>
          </w:p>
        </w:tc>
      </w:tr>
      <w:tr w:rsidR="002E1170" w14:paraId="5CEF4F8C"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BA2504C"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Aziz, N., Nabi, W., Khan, M., Gulzar, A. H. B., Rath, S., Ansab, M., Kumar, D., &amp; Bhat, A. (2025). Trends and Disparities in Prostate Cancer Mortality in the United States (1999–2020). Clinical genitourinary cancer, 23(2), 102298. https://doi.org/10.1016/j.clgc.2024.102298</w:t>
            </w:r>
          </w:p>
        </w:tc>
      </w:tr>
      <w:tr w:rsidR="002E1170" w14:paraId="1166D81C"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3CB82D4"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lastRenderedPageBreak/>
              <w:t>Baston, C., Preda, A., Iordache, A., Olaru, V., Surcel, C., Sinescu, I., &amp; Gingu, C. (2024). How to integrate prostate cancer biomarkers in urology clinical practice: An update. Cancers, 16(2), 316. https://doi.org/10.3390/cancers16020316</w:t>
            </w:r>
          </w:p>
        </w:tc>
      </w:tr>
      <w:tr w:rsidR="002E1170" w14:paraId="31535CEB"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7D5C86"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Bosson-Amedenu, S., Turkson, A. J., Ayitey, E., Baah, E. M., Ayiah-Mensah, F., &amp; Addor, J. A. (2025). Covariate-stratified analysis of prostate cancer and competing risk mortality in Ghana: A bootstrapped survival analysis approach. Scientific African, e02882. https://doi.org/10.1016/j.sciaf.2025.e02882</w:t>
            </w:r>
          </w:p>
        </w:tc>
      </w:tr>
      <w:tr w:rsidR="002E1170" w14:paraId="05230CCE"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206DD9"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Chen, D., Zhang, M., Han, H., Wen, Y., &amp; Yu, H. (2025). Reflections on dynamic prediction of Alzheimer’s disease: advancements in modeling longitudinal outcomes and time-to-event data. BMC Medical Research Methodology, 25(1), 175. https://doi.org/10.1186/s12874-025-02618-x</w:t>
            </w:r>
          </w:p>
        </w:tc>
      </w:tr>
      <w:tr w:rsidR="002E1170" w14:paraId="4E07A416"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AEEEB0"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Cirulli, G. O., Davis, M., Stephens, A., Chiarelli, G., Finati, M., Chase, M., Tinsley, S., Arora, S., Sood, A., Buffi, N., Lughezzani, G., Carrieri, G., Salonia, A., Briganti, A., Montorsi, F., Rogers, C., &amp; Abdollah, F. (2025). Midlife baseline prostate</w:t>
            </w:r>
            <w:r>
              <w:rPr>
                <w:rFonts w:ascii="Cambria Math" w:eastAsia="Times New Roman" w:hAnsi="Cambria Math" w:cs="Cambria Math"/>
                <w:sz w:val="18"/>
                <w:szCs w:val="18"/>
              </w:rPr>
              <w:t>‐</w:t>
            </w:r>
            <w:r>
              <w:rPr>
                <w:rFonts w:ascii="Arial" w:eastAsia="Times New Roman" w:hAnsi="Arial" w:cs="Arial"/>
                <w:sz w:val="18"/>
                <w:szCs w:val="18"/>
              </w:rPr>
              <w:t>specific antigen, velocity, and doubling time association with lethal prostate cancer and mortality. Cancer. https://doi.org/10.1002/cncr.35563</w:t>
            </w:r>
          </w:p>
        </w:tc>
      </w:tr>
      <w:tr w:rsidR="002E1170" w14:paraId="1C33F42E"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62ECB24"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 xml:space="preserve">Denijs, F. B., Van Poppel, H., Stenzl, A., Villanueva, T., Vilaseca, J. M., Ungan, M., Deschamps, A., Collen, S., &amp; Roobol, M. J. (2024). PSA testing in primary care: is it time to change our </w:t>
            </w:r>
            <w:proofErr w:type="gramStart"/>
            <w:r>
              <w:rPr>
                <w:rFonts w:ascii="Arial" w:eastAsia="Times New Roman" w:hAnsi="Arial" w:cs="Arial"/>
                <w:sz w:val="18"/>
                <w:szCs w:val="18"/>
              </w:rPr>
              <w:t>practice?.</w:t>
            </w:r>
            <w:proofErr w:type="gramEnd"/>
            <w:r>
              <w:rPr>
                <w:rFonts w:ascii="Arial" w:eastAsia="Times New Roman" w:hAnsi="Arial" w:cs="Arial"/>
                <w:sz w:val="18"/>
                <w:szCs w:val="18"/>
              </w:rPr>
              <w:t xml:space="preserve"> BMC Primary Care, 25(1), 436. https://doi.org/10.1186/s12875-024-02688-8</w:t>
            </w:r>
          </w:p>
        </w:tc>
      </w:tr>
      <w:tr w:rsidR="002E1170" w14:paraId="66B0A399"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02B42DC"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Elewaily, M. I., Campione, M., Hassan, M. A., Anpalakhan, S., Atsumi, N., Smalley, B., Ashraf, A., Gale, J., Maniam, A., &amp; Banna, G. L. (2024). Prognostic factors and treatment choice for stage IV, low-volume metastasis hormone-sensitive prostate cancer: cross-sectional study of real-world data. Therapeutic Advances in Urology, 16, 17562872241297579. https://doi.org/10.1177/17562872241297579</w:t>
            </w:r>
          </w:p>
        </w:tc>
      </w:tr>
      <w:tr w:rsidR="002E1170" w14:paraId="6F22CA95"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1810ED5"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Fu, Y. Q., Wang, F. X., &amp; Wu, J. F. (2025). Multi-omics characterization of metabolic and immune interactions in prostate cancer. Translational Andrology and Urology, 14(11), 3729-3744. https://doi.org/10.21037/tau-2025-502</w:t>
            </w:r>
          </w:p>
        </w:tc>
      </w:tr>
      <w:tr w:rsidR="002E1170" w14:paraId="59C3301D"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4C2A1BA"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Galey, L., Olanrewaju, A., Nabi, H., Paquette, J. S., Pouliot, F., &amp; Audet-Walsh, E. (2024). PSA, an outdated biomarker for prostate cancer: In search of a more specific biomarker, citrate takes the spotlight. The Journal of Steroid Biochemistry and Molecular Biology, 243, 106588. https://doi.org/10.1016/j.jsbmb.2024.106588</w:t>
            </w:r>
          </w:p>
        </w:tc>
      </w:tr>
      <w:tr w:rsidR="002E1170" w14:paraId="65820B7F"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019B6AE"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Gallaher, J. A., Gatenby, R. A., Brown, J. S., Anderson, A. R., &amp; Zhang, J. (2025). PSA/testosterone ratio as a potential biomarker to identify early progressors of adaptive therapy in metastatic castration sensitive prostate cancer. medRxiv. https://doi.org/10.1101/2025.05.08.25327179</w:t>
            </w:r>
          </w:p>
        </w:tc>
      </w:tr>
      <w:tr w:rsidR="002E1170" w14:paraId="20714E6D"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900029E"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Gusev, A., Rumpf, F., Zlatev, D., Twum-Ampofo, J. K., Gore, J. L., Dahl, D. M., Wszolek, M. F., Efstathiou, J. A., Lee, R. J., Blute, M. L., Salari, K., &amp; Feldman, A. S. (2025). PSA density as a dynamic prognostic marker of biopsy grade progression during active surveillance. Urologic Oncology: Seminars and Original Investigations. https://doi.org/10.1016/j.urolonc.2025.08.030</w:t>
            </w:r>
          </w:p>
        </w:tc>
      </w:tr>
      <w:tr w:rsidR="002E1170" w14:paraId="19D69B87"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5DA7C12"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Kania, E., Janica, M., Nesterowicz, M., Modzelewski, W., Cybulski, M., &amp; Janica, J. (2025). Advances and Challenges in Prostate Cancer Diagnosis: A Comprehensive Review. Cancers, 17(13), 2137. https://doi.org/10.3390/cancers17132137</w:t>
            </w:r>
          </w:p>
        </w:tc>
      </w:tr>
      <w:tr w:rsidR="002E1170" w14:paraId="3ABE2D71"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9194D7A"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lastRenderedPageBreak/>
              <w:t>Kruczek, W., Frątczak, A., Litwińska-Inglot, I., Polak, K., Pawlus, Z., Rutecka, P., Bergler-Czop, B., &amp; Miziołek, B. (2025). Comparative analysis of the long-term real-world efficacy of Interleukin-17 inhibitors in a cohort of patients with moderate-to-severe psoriasis treated in Poland. Journal of Clinical Medicine, 14(15), 5421. https://doi.org/10.3390/jcm14155421</w:t>
            </w:r>
          </w:p>
        </w:tc>
      </w:tr>
      <w:tr w:rsidR="002E1170" w14:paraId="7AD91262"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CE22603"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Le Coënt, Q., Legrand, C., Dignam, J. J., &amp; Rondeau, V. (2025). Validation of a Longitudinal Marker as a Surrogate Using Mediation Analysis and Joint Modeling: Evolution of the PSA as a Surrogate of the Disease</w:t>
            </w:r>
            <w:r>
              <w:rPr>
                <w:rFonts w:ascii="Cambria Math" w:eastAsia="Times New Roman" w:hAnsi="Cambria Math" w:cs="Cambria Math"/>
                <w:sz w:val="18"/>
                <w:szCs w:val="18"/>
              </w:rPr>
              <w:t>‐</w:t>
            </w:r>
            <w:r>
              <w:rPr>
                <w:rFonts w:ascii="Arial" w:eastAsia="Times New Roman" w:hAnsi="Arial" w:cs="Arial"/>
                <w:sz w:val="18"/>
                <w:szCs w:val="18"/>
              </w:rPr>
              <w:t>Free Survival. Biometrical Journal, 67(4), e70064. https://doi.org/10.1002/bimj.70064</w:t>
            </w:r>
          </w:p>
        </w:tc>
      </w:tr>
      <w:tr w:rsidR="002E1170" w14:paraId="35634035"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A33CDF"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Liang, F. W., Chan, W., Swartz, M. D., &amp; Dabaja, B. S. (2025). Incorporating latent survival trajectories and covariate heterogeneity in time-to-event data analysis: a joint mixture model approach. BMC Medical Research Methodology, 25(1), 132. https://doi.org/10.1186/s12874-025-02580-8</w:t>
            </w:r>
          </w:p>
        </w:tc>
      </w:tr>
      <w:tr w:rsidR="002E1170" w14:paraId="768C04CE"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BA2FB35"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Liaqat, M., Khan, R. A., &amp; Kamal, S. (2024). Comprehensive modelling of prostate cancer progression: Integrating continuous and binary biomarkers with event time data and missing covariates. Discover Applied Sciences, 6(2), 71. https://doi.org/10.1007/s42452-024-05727-2</w:t>
            </w:r>
          </w:p>
        </w:tc>
      </w:tr>
      <w:tr w:rsidR="002E1170" w14:paraId="6A9CC828"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4A149E5"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Liaqat, M., Khan, R. A., Fischer, F., &amp; Kamal, S. (2024). Relationship between prostate-specific antigen, alkaline phosphatase levels, and time-to-tumor shrinkage: understanding the progression of prostate cancer in a longitudinal study. BMC urology, 24(1), 137. https://doi.org/10.1186/s12894-024-01522-8</w:t>
            </w:r>
          </w:p>
        </w:tc>
      </w:tr>
      <w:tr w:rsidR="002E1170" w14:paraId="6B5CBBD1"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BB78B03"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Lopez-Valcarcel, M., Lopez-Campos, F., Zafra-Martín, J., Cienfuegos Belmonte, I., Subiela, J. D., Ruiz-Vico, M., Fernandez Alonso, S., Garcia Cuesta, J. A., &amp; Couñago, F. (2025). Biomarkers in Localized Prostate Cancer: From Diagnosis to Treatment. International Journal of Molecular Sciences, 26(16), 7667. https://doi.org/10.3390/ijms26167667</w:t>
            </w:r>
          </w:p>
        </w:tc>
      </w:tr>
      <w:tr w:rsidR="002E1170" w14:paraId="53AE7253"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9E36F0"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Majewska, Z., Zajkowska, M., Pączek, S., Nowiński, A. R., Sokólska, W., Gryko, M., &amp; Orywal, K. (2025). The Clinical Relevance of Tumor Biomarkers in Prostate Cancer—A Review. Cancers, 17(23), 3742. https://doi.org/10.3390/cancers17233742</w:t>
            </w:r>
          </w:p>
        </w:tc>
      </w:tr>
      <w:tr w:rsidR="002E1170" w14:paraId="3F15178F"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664AB86"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Miao, K. H., Miao, J. H., Finkelstein, M., Chatterjee, A., &amp; Oto, A. (2025). Next-Generation Advances in Prostate Cancer Imaging and Artificial Intelligence Applications. Journal of Imaging, 11(11), 390. https://doi.org/10.3390/jimaging11110390</w:t>
            </w:r>
          </w:p>
        </w:tc>
      </w:tr>
      <w:tr w:rsidR="002E1170" w14:paraId="506DC8A6"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735A7A9"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Novysedlak, R., Guney, M., Al Khouri, M., Bartolini, R., Koumbas Foley, L., Benesova, I., Ozaniak, A., Novak, V., Vesely, S., Pacas, P., Buchler, T., &amp; Ozaniak Strizova, Z. (2025). The immune microenvironment in prostate cancer: A comprehensive review. Oncology, 103(6), 521-545. https://doi.org/10.1159/000541881</w:t>
            </w:r>
          </w:p>
        </w:tc>
      </w:tr>
      <w:tr w:rsidR="002E1170" w14:paraId="7C4596B9"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EB7625F"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Obeng, F., Okai, J. N. A., &amp; Sutherland, E. (2025). Predicting prostate cancer metastasis in Ghana: Comparison of multiparametric and PSA models. PLoS One. https://doi.org/10.1371/journal.pone.0323180</w:t>
            </w:r>
          </w:p>
        </w:tc>
      </w:tr>
      <w:tr w:rsidR="002E1170" w14:paraId="5ED2FEEE"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4B42A99"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Rizopoulos, D., Taylor, J. M., Papageorgiou, G., &amp; Morgan, T. M. (2024). Using joint models for longitudinal and time-to-event data to investigate the causal effect of salvage therapy after prostatectomy. Statistical Methods in Medical Research, 33(5), 894-908. https://doi.org/10.1177/09622802241239003</w:t>
            </w:r>
          </w:p>
        </w:tc>
      </w:tr>
      <w:tr w:rsidR="002E1170" w14:paraId="6C8DC5FA"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F8AD803"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 xml:space="preserve">Rosti, V., Lembo, G., Petrini, C., Gorini, F., Quadri, R., Cordiglieri, C., Mutarelli, M., Salviato, E., Casari, E., Di Patrizio Soldateschi, E., Montanari, E., Albo, G., Ripa, F., Fasciani, A., Crosti, M., De Lorenzis, E., Maggioni, M., </w:t>
            </w:r>
            <w:r>
              <w:rPr>
                <w:rFonts w:ascii="Arial" w:eastAsia="Times New Roman" w:hAnsi="Arial" w:cs="Arial"/>
                <w:sz w:val="18"/>
                <w:szCs w:val="18"/>
              </w:rPr>
              <w:lastRenderedPageBreak/>
              <w:t>Vaira, V., Vivo, M., Ferrari, F., &amp; Lanzuolo, C. (2025). Chromatin remodeling restrains oncogenic functions in prostate cancer. Nature Communications, 16(1), 9174. https://doi.org/10.1038/s41467-025-64213-4</w:t>
            </w:r>
          </w:p>
        </w:tc>
      </w:tr>
      <w:tr w:rsidR="002E1170" w14:paraId="56F3AC36"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15F0EE53"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lastRenderedPageBreak/>
              <w:t>Roy, S., Sun, Y., Chi, K. N., Ong, M., Malone, S., Wallis, C. J., Kishan, A. U., Malone, J., Swami, U., Gebrael, G., Brown, J. R., Jia, A. Y., Morgan, S. C., Saad, F., Chowdhury, S., Agarwal, N., &amp; Spratt, D. E. (2024). Early prostate-specific antigen response by 6 months is predictive of treatment effect in metastatic hormone sensitive prostate cancer: An exploratory analysis of the TITAN trial. The Journal of Urology, 212(5), 672-681. https://doi.org/10.1097/JU.0000000000004158</w:t>
            </w:r>
          </w:p>
        </w:tc>
      </w:tr>
      <w:tr w:rsidR="002E1170" w14:paraId="0BD99E2C"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5D226716"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Rustand, D., Van Niekerk, J., Krainski, E. T., Rue, H., &amp; Proust-Lima, C. (2024). Fast and flexible inference for joint models of multivariate longitudinal and survival data using integrated nested Laplace approximations. Biostatistics, 25(2), 429-448. https://doi.org/10.1093/biostatistics/kxad019</w:t>
            </w:r>
          </w:p>
        </w:tc>
      </w:tr>
      <w:tr w:rsidR="002E1170" w14:paraId="287525A7"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695B608"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Salamanca, M. F., van Houdt, P. J., Hompland, T., Deręgowska-Cylke, M., van Leeuwen, P. J., van der Poel, H. G., Bekers, E., Guimaraes, M. A. S., Lyng, H., van der Heide, U. A., &amp; Schoots, I. G. (2025). Hypoxia and cribriform growth in prostate cancer – establishing a link via MRI. BMC medical imaging. https://doi.org/10.1186/s12880-025-02084-3</w:t>
            </w:r>
          </w:p>
        </w:tc>
      </w:tr>
      <w:tr w:rsidR="002E1170" w14:paraId="6F2EFF45"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31323BDB"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Srinivasan, S., Kryza, T., Bock, N., Tse, B. W., Sokolowski, K. A., Janaththani, P., ... &amp; Batra, J. (2024). A PSA SNP associates with cellular function and clinical outcome in men with prostate cancer. Nature communications, 15(1), 9587. https://doi.org/10.1038/s41467-024-52472-6</w:t>
            </w:r>
          </w:p>
        </w:tc>
      </w:tr>
      <w:tr w:rsidR="002E1170" w14:paraId="28D5D88B"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7903FB8A"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Tang, S., Zhang, H., Liang, J., Tang, S., Li, L., Li, Y., Xu, Y., Wang, D., &amp; Zhou, Y. (2024). Prostate cancer treatment recommendation study based on machine learning and SHAP interpreter. Cancer Science, 115(11), 3755-3766. https://doi.org/10.1111/cas.16327</w:t>
            </w:r>
          </w:p>
        </w:tc>
      </w:tr>
      <w:tr w:rsidR="002E1170" w14:paraId="09BA3A45"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2EE10644"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Wang, J. L., &amp; Zhong, Q. (2025). Joint modeling of longitudinal and survival data. Annual Review of Statistics and Its Application. https://doi.org/10.1146/annurev-statistics-112723-034334</w:t>
            </w:r>
          </w:p>
        </w:tc>
      </w:tr>
      <w:tr w:rsidR="002E1170" w14:paraId="43D2147F"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485A1B31"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Xu, L., Mao, X., Ding, Y., Zhou, Z., Chen, Y., Wang, M., Li, G., &amp; Lu, Z. (2025). Conditional survival analysis and real-time prognosis prediction for prostate cancer patients. Scientific Reports, 15(1), 18711. https://doi.org/10.1038/s41598-025-00420-9</w:t>
            </w:r>
          </w:p>
        </w:tc>
      </w:tr>
      <w:tr w:rsidR="002E1170" w14:paraId="756FBEAA" w14:textId="77777777" w:rsidTr="00B04865">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hideMark/>
          </w:tcPr>
          <w:p w14:paraId="6D6922FA" w14:textId="77777777" w:rsidR="002E1170" w:rsidRDefault="002E1170" w:rsidP="00B04865">
            <w:pPr>
              <w:rPr>
                <w:rFonts w:ascii="Arial" w:eastAsia="Times New Roman" w:hAnsi="Arial" w:cs="Arial"/>
                <w:sz w:val="18"/>
                <w:szCs w:val="18"/>
              </w:rPr>
            </w:pPr>
            <w:r>
              <w:rPr>
                <w:rFonts w:ascii="Arial" w:eastAsia="Times New Roman" w:hAnsi="Arial" w:cs="Arial"/>
                <w:sz w:val="18"/>
                <w:szCs w:val="18"/>
              </w:rPr>
              <w:t>Zhang, P., Albert, P. S., &amp; Hong, H. G. (2025). Mixed modeling approach for characterizing the genetic effects in a longitudinal phenotype. The Annals of Applied Statistics, 19(3), 2070-2087. https://doi.org/10.1214/25-aoas2033</w:t>
            </w:r>
          </w:p>
        </w:tc>
      </w:tr>
    </w:tbl>
    <w:p w14:paraId="148DCDCC" w14:textId="77777777" w:rsidR="000E546E" w:rsidRPr="00505647" w:rsidRDefault="000E546E" w:rsidP="00505647">
      <w:pPr>
        <w:jc w:val="both"/>
        <w:rPr>
          <w:rFonts w:ascii="Times New Roman" w:hAnsi="Times New Roman" w:cs="Times New Roman"/>
          <w:sz w:val="24"/>
          <w:szCs w:val="24"/>
        </w:rPr>
      </w:pPr>
      <w:bookmarkStart w:id="0" w:name="_GoBack"/>
      <w:bookmarkEnd w:id="0"/>
    </w:p>
    <w:p w14:paraId="38B5719C" w14:textId="77777777" w:rsidR="00FC4183" w:rsidRPr="00505647" w:rsidRDefault="00FC4183" w:rsidP="00505647">
      <w:pPr>
        <w:jc w:val="both"/>
        <w:rPr>
          <w:rFonts w:ascii="Times New Roman" w:hAnsi="Times New Roman" w:cs="Times New Roman"/>
          <w:sz w:val="24"/>
          <w:szCs w:val="24"/>
        </w:rPr>
      </w:pPr>
    </w:p>
    <w:p w14:paraId="42C229B7" w14:textId="77777777" w:rsidR="00FC4183" w:rsidRPr="00505647" w:rsidRDefault="00FC4183" w:rsidP="00505647">
      <w:pPr>
        <w:jc w:val="both"/>
        <w:rPr>
          <w:rFonts w:ascii="Times New Roman" w:hAnsi="Times New Roman" w:cs="Times New Roman"/>
          <w:sz w:val="24"/>
          <w:szCs w:val="24"/>
        </w:rPr>
      </w:pPr>
    </w:p>
    <w:sectPr w:rsidR="00FC4183" w:rsidRPr="00505647" w:rsidSect="00BC3F6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986FA" w14:textId="77777777" w:rsidR="00242A42" w:rsidRDefault="00242A42" w:rsidP="00B96AFB">
      <w:pPr>
        <w:spacing w:after="0" w:line="240" w:lineRule="auto"/>
      </w:pPr>
      <w:r>
        <w:separator/>
      </w:r>
    </w:p>
  </w:endnote>
  <w:endnote w:type="continuationSeparator" w:id="0">
    <w:p w14:paraId="3716088E" w14:textId="77777777" w:rsidR="00242A42" w:rsidRDefault="00242A42" w:rsidP="00B9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1474660"/>
      <w:docPartObj>
        <w:docPartGallery w:val="Page Numbers (Bottom of Page)"/>
        <w:docPartUnique/>
      </w:docPartObj>
    </w:sdtPr>
    <w:sdtEndPr>
      <w:rPr>
        <w:noProof/>
      </w:rPr>
    </w:sdtEndPr>
    <w:sdtContent>
      <w:p w14:paraId="71E499DE" w14:textId="325448A2" w:rsidR="00486986" w:rsidRDefault="00486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90680" w14:textId="77777777" w:rsidR="00486986" w:rsidRDefault="00486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2C71F4" w14:textId="77777777" w:rsidR="00242A42" w:rsidRDefault="00242A42" w:rsidP="00B96AFB">
      <w:pPr>
        <w:spacing w:after="0" w:line="240" w:lineRule="auto"/>
      </w:pPr>
      <w:r>
        <w:separator/>
      </w:r>
    </w:p>
  </w:footnote>
  <w:footnote w:type="continuationSeparator" w:id="0">
    <w:p w14:paraId="2A03BCA6" w14:textId="77777777" w:rsidR="00242A42" w:rsidRDefault="00242A42" w:rsidP="00B96A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27"/>
    <w:rsid w:val="0000521D"/>
    <w:rsid w:val="00023E73"/>
    <w:rsid w:val="00032DE1"/>
    <w:rsid w:val="000662B2"/>
    <w:rsid w:val="000929F4"/>
    <w:rsid w:val="000E546E"/>
    <w:rsid w:val="000F6419"/>
    <w:rsid w:val="001018AB"/>
    <w:rsid w:val="0016274B"/>
    <w:rsid w:val="001D19B2"/>
    <w:rsid w:val="0021171F"/>
    <w:rsid w:val="002204EA"/>
    <w:rsid w:val="00242A42"/>
    <w:rsid w:val="00282FA7"/>
    <w:rsid w:val="00287605"/>
    <w:rsid w:val="002C17BD"/>
    <w:rsid w:val="002E1170"/>
    <w:rsid w:val="00300EDD"/>
    <w:rsid w:val="00347E91"/>
    <w:rsid w:val="003627FB"/>
    <w:rsid w:val="0037371B"/>
    <w:rsid w:val="00386408"/>
    <w:rsid w:val="00393A09"/>
    <w:rsid w:val="00394C08"/>
    <w:rsid w:val="003B425A"/>
    <w:rsid w:val="003F0CB7"/>
    <w:rsid w:val="003F49CE"/>
    <w:rsid w:val="0040194E"/>
    <w:rsid w:val="00407294"/>
    <w:rsid w:val="00424827"/>
    <w:rsid w:val="00481760"/>
    <w:rsid w:val="00486986"/>
    <w:rsid w:val="004928F4"/>
    <w:rsid w:val="004A6E9F"/>
    <w:rsid w:val="004B44A2"/>
    <w:rsid w:val="004D0E76"/>
    <w:rsid w:val="004D72B9"/>
    <w:rsid w:val="004F4A4C"/>
    <w:rsid w:val="00505647"/>
    <w:rsid w:val="00563373"/>
    <w:rsid w:val="005805E3"/>
    <w:rsid w:val="005F5479"/>
    <w:rsid w:val="006278D6"/>
    <w:rsid w:val="00635532"/>
    <w:rsid w:val="00643AED"/>
    <w:rsid w:val="00646FF8"/>
    <w:rsid w:val="006A7220"/>
    <w:rsid w:val="006C14C2"/>
    <w:rsid w:val="006E1AE8"/>
    <w:rsid w:val="00705ABF"/>
    <w:rsid w:val="00714267"/>
    <w:rsid w:val="00724F30"/>
    <w:rsid w:val="00732C70"/>
    <w:rsid w:val="007453A3"/>
    <w:rsid w:val="007B0673"/>
    <w:rsid w:val="007B3C97"/>
    <w:rsid w:val="00825378"/>
    <w:rsid w:val="00854AFB"/>
    <w:rsid w:val="008818A1"/>
    <w:rsid w:val="008844A2"/>
    <w:rsid w:val="00887692"/>
    <w:rsid w:val="00896D73"/>
    <w:rsid w:val="008C4F3C"/>
    <w:rsid w:val="008D0F0D"/>
    <w:rsid w:val="008F343D"/>
    <w:rsid w:val="00921ACB"/>
    <w:rsid w:val="009465BB"/>
    <w:rsid w:val="00990151"/>
    <w:rsid w:val="009F12A1"/>
    <w:rsid w:val="009F1A45"/>
    <w:rsid w:val="009F7BE6"/>
    <w:rsid w:val="00A52282"/>
    <w:rsid w:val="00A61F05"/>
    <w:rsid w:val="00A76725"/>
    <w:rsid w:val="00A76CBD"/>
    <w:rsid w:val="00AB00DB"/>
    <w:rsid w:val="00AB7553"/>
    <w:rsid w:val="00AE4271"/>
    <w:rsid w:val="00AF43DB"/>
    <w:rsid w:val="00B00A54"/>
    <w:rsid w:val="00B029AC"/>
    <w:rsid w:val="00B246D8"/>
    <w:rsid w:val="00B356D7"/>
    <w:rsid w:val="00B54EBD"/>
    <w:rsid w:val="00B96AFB"/>
    <w:rsid w:val="00B974DA"/>
    <w:rsid w:val="00BB15B7"/>
    <w:rsid w:val="00BC3F60"/>
    <w:rsid w:val="00BC5F4D"/>
    <w:rsid w:val="00BC64C9"/>
    <w:rsid w:val="00C01D91"/>
    <w:rsid w:val="00C062BF"/>
    <w:rsid w:val="00C073B7"/>
    <w:rsid w:val="00C26074"/>
    <w:rsid w:val="00C26574"/>
    <w:rsid w:val="00CE2B0A"/>
    <w:rsid w:val="00D34FC9"/>
    <w:rsid w:val="00D35D60"/>
    <w:rsid w:val="00D86EA7"/>
    <w:rsid w:val="00DB7169"/>
    <w:rsid w:val="00DC4899"/>
    <w:rsid w:val="00DC7FDC"/>
    <w:rsid w:val="00DD203E"/>
    <w:rsid w:val="00DD4155"/>
    <w:rsid w:val="00DE53F2"/>
    <w:rsid w:val="00E10EAC"/>
    <w:rsid w:val="00E664E6"/>
    <w:rsid w:val="00EB4293"/>
    <w:rsid w:val="00ED18AF"/>
    <w:rsid w:val="00ED2512"/>
    <w:rsid w:val="00F2576D"/>
    <w:rsid w:val="00F57E72"/>
    <w:rsid w:val="00F62411"/>
    <w:rsid w:val="00FB5B95"/>
    <w:rsid w:val="00FC41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4F59"/>
  <w15:chartTrackingRefBased/>
  <w15:docId w15:val="{748FDEF1-CC2D-4142-BB7F-A4021672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next w:val="BodyText"/>
    <w:link w:val="Heading5Char"/>
    <w:uiPriority w:val="9"/>
    <w:semiHidden/>
    <w:unhideWhenUsed/>
    <w:qFormat/>
    <w:rsid w:val="00EB4293"/>
    <w:pPr>
      <w:keepNext/>
      <w:keepLines/>
      <w:spacing w:before="80" w:after="40" w:line="240" w:lineRule="auto"/>
      <w:outlineLvl w:val="4"/>
    </w:pPr>
    <w:rPr>
      <w:rFonts w:eastAsiaTheme="majorEastAsia" w:cstheme="majorBidi"/>
      <w:color w:val="2F5496" w:themeColor="accent1" w:themeShade="B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6A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AFB"/>
  </w:style>
  <w:style w:type="paragraph" w:styleId="Footer">
    <w:name w:val="footer"/>
    <w:basedOn w:val="Normal"/>
    <w:link w:val="FooterChar"/>
    <w:uiPriority w:val="99"/>
    <w:unhideWhenUsed/>
    <w:rsid w:val="00B96A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AFB"/>
  </w:style>
  <w:style w:type="table" w:customStyle="1" w:styleId="Table">
    <w:name w:val="Table"/>
    <w:semiHidden/>
    <w:unhideWhenUsed/>
    <w:qFormat/>
    <w:rsid w:val="00032DE1"/>
    <w:pPr>
      <w:spacing w:after="200" w:line="240" w:lineRule="auto"/>
    </w:pPr>
    <w:rPr>
      <w:sz w:val="24"/>
      <w:szCs w:val="24"/>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032DE1"/>
    <w:pPr>
      <w:keepNext/>
      <w:spacing w:after="120"/>
    </w:pPr>
    <w:rPr>
      <w:iCs w:val="0"/>
      <w:color w:val="auto"/>
      <w:sz w:val="24"/>
      <w:szCs w:val="24"/>
      <w:lang w:val="en-US"/>
    </w:rPr>
  </w:style>
  <w:style w:type="paragraph" w:styleId="Caption">
    <w:name w:val="caption"/>
    <w:basedOn w:val="Normal"/>
    <w:next w:val="Normal"/>
    <w:uiPriority w:val="35"/>
    <w:semiHidden/>
    <w:unhideWhenUsed/>
    <w:qFormat/>
    <w:rsid w:val="00032DE1"/>
    <w:pPr>
      <w:spacing w:after="200" w:line="240" w:lineRule="auto"/>
    </w:pPr>
    <w:rPr>
      <w:i/>
      <w:iCs/>
      <w:color w:val="44546A" w:themeColor="text2"/>
      <w:sz w:val="18"/>
      <w:szCs w:val="18"/>
    </w:rPr>
  </w:style>
  <w:style w:type="paragraph" w:styleId="BodyText">
    <w:name w:val="Body Text"/>
    <w:basedOn w:val="Normal"/>
    <w:link w:val="BodyTextChar"/>
    <w:qFormat/>
    <w:rsid w:val="00EB4293"/>
    <w:pPr>
      <w:spacing w:before="180" w:after="180" w:line="240" w:lineRule="auto"/>
    </w:pPr>
    <w:rPr>
      <w:sz w:val="24"/>
      <w:szCs w:val="24"/>
      <w:lang w:val="en"/>
    </w:rPr>
  </w:style>
  <w:style w:type="character" w:customStyle="1" w:styleId="BodyTextChar">
    <w:name w:val="Body Text Char"/>
    <w:basedOn w:val="DefaultParagraphFont"/>
    <w:link w:val="BodyText"/>
    <w:rsid w:val="00EB4293"/>
    <w:rPr>
      <w:sz w:val="24"/>
      <w:szCs w:val="24"/>
      <w:lang w:val="en"/>
    </w:rPr>
  </w:style>
  <w:style w:type="paragraph" w:customStyle="1" w:styleId="FirstParagraph">
    <w:name w:val="First Paragraph"/>
    <w:basedOn w:val="BodyText"/>
    <w:next w:val="BodyText"/>
    <w:qFormat/>
    <w:rsid w:val="00EB4293"/>
  </w:style>
  <w:style w:type="character" w:customStyle="1" w:styleId="Heading5Char">
    <w:name w:val="Heading 5 Char"/>
    <w:basedOn w:val="DefaultParagraphFont"/>
    <w:link w:val="Heading5"/>
    <w:uiPriority w:val="9"/>
    <w:semiHidden/>
    <w:rsid w:val="00EB4293"/>
    <w:rPr>
      <w:rFonts w:eastAsiaTheme="majorEastAsia" w:cstheme="majorBidi"/>
      <w:color w:val="2F5496" w:themeColor="accent1" w:themeShade="BF"/>
      <w:sz w:val="24"/>
      <w:szCs w:val="24"/>
      <w:lang w:val="en"/>
    </w:rPr>
  </w:style>
  <w:style w:type="paragraph" w:customStyle="1" w:styleId="AbstractTitle">
    <w:name w:val="Abstract Title"/>
    <w:basedOn w:val="Normal"/>
    <w:next w:val="Normal"/>
    <w:qFormat/>
    <w:rsid w:val="00EB4293"/>
    <w:pPr>
      <w:keepNext/>
      <w:keepLines/>
      <w:spacing w:before="300" w:after="0" w:line="240" w:lineRule="auto"/>
      <w:jc w:val="center"/>
    </w:pPr>
    <w:rPr>
      <w:b/>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22</Pages>
  <Words>8796</Words>
  <Characters>50140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Ayiah-Mensah</dc:creator>
  <cp:keywords/>
  <dc:description/>
  <cp:lastModifiedBy>SDI 1022</cp:lastModifiedBy>
  <cp:revision>88</cp:revision>
  <dcterms:created xsi:type="dcterms:W3CDTF">2025-12-27T21:43:00Z</dcterms:created>
  <dcterms:modified xsi:type="dcterms:W3CDTF">2026-01-03T10:14:00Z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286fd15c-d8c8-4075-a4a2-73d7eba69054</vt:lpwstr>
  </property>
</Properties>
</file>