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F750B" w14:textId="77777777" w:rsidR="00A430D7" w:rsidRPr="00A430D7" w:rsidRDefault="00A430D7" w:rsidP="00A430D7">
      <w:pPr>
        <w:pStyle w:val="Title"/>
        <w:jc w:val="both"/>
        <w:rPr>
          <w:rFonts w:ascii="Arial" w:hAnsi="Arial" w:cs="Arial"/>
          <w:bCs/>
          <w:i/>
          <w:iCs/>
          <w:u w:val="single"/>
        </w:rPr>
      </w:pPr>
      <w:r w:rsidRPr="00A430D7">
        <w:rPr>
          <w:rFonts w:ascii="Arial" w:hAnsi="Arial" w:cs="Arial"/>
          <w:bCs/>
          <w:i/>
          <w:iCs/>
          <w:u w:val="single"/>
        </w:rPr>
        <w:t>Original Research Article</w:t>
      </w:r>
    </w:p>
    <w:p w14:paraId="5B8AE7EB" w14:textId="77777777" w:rsidR="00754C9A" w:rsidRDefault="00754C9A" w:rsidP="00441B6F">
      <w:pPr>
        <w:pStyle w:val="Title"/>
        <w:spacing w:after="0"/>
        <w:jc w:val="both"/>
        <w:rPr>
          <w:rFonts w:ascii="Arial" w:hAnsi="Arial" w:cs="Arial"/>
        </w:rPr>
      </w:pPr>
    </w:p>
    <w:p w14:paraId="66D05113" w14:textId="690395DB" w:rsidR="00A258C3" w:rsidRPr="00790ADA" w:rsidRDefault="003F12CE" w:rsidP="003F12CE">
      <w:pPr>
        <w:pStyle w:val="Author"/>
        <w:spacing w:line="240" w:lineRule="auto"/>
        <w:rPr>
          <w:rFonts w:ascii="Arial" w:hAnsi="Arial" w:cs="Arial"/>
          <w:sz w:val="36"/>
        </w:rPr>
      </w:pPr>
      <w:r w:rsidRPr="003F12CE">
        <w:rPr>
          <w:rFonts w:ascii="Arial" w:hAnsi="Arial" w:cs="Arial"/>
          <w:bCs/>
          <w:iCs/>
          <w:kern w:val="28"/>
          <w:sz w:val="36"/>
        </w:rPr>
        <w:t>CHARACTERISTICS OF</w:t>
      </w:r>
      <w:r w:rsidR="00237867">
        <w:rPr>
          <w:rFonts w:ascii="Arial" w:hAnsi="Arial" w:cs="Arial"/>
          <w:bCs/>
          <w:iCs/>
          <w:kern w:val="28"/>
          <w:sz w:val="36"/>
        </w:rPr>
        <w:t xml:space="preserve"> BREAST CANCER</w:t>
      </w:r>
      <w:r w:rsidR="00237867" w:rsidRPr="003F12CE">
        <w:rPr>
          <w:rFonts w:ascii="Arial" w:hAnsi="Arial" w:cs="Arial"/>
          <w:bCs/>
          <w:iCs/>
          <w:kern w:val="28"/>
          <w:sz w:val="36"/>
        </w:rPr>
        <w:t xml:space="preserve"> </w:t>
      </w:r>
      <w:r w:rsidRPr="003F12CE">
        <w:rPr>
          <w:rFonts w:ascii="Arial" w:hAnsi="Arial" w:cs="Arial"/>
          <w:bCs/>
          <w:iCs/>
          <w:kern w:val="28"/>
          <w:sz w:val="36"/>
        </w:rPr>
        <w:t>PATIENTS WITH BONE METASTASIS IN PROF.DR. I.G.N.G. NGOERAH GENERAL HOSPITAL DENPASAR 2022-2024</w:t>
      </w:r>
    </w:p>
    <w:p w14:paraId="1050CA17" w14:textId="77777777" w:rsidR="002C57D2" w:rsidRPr="00FB3A86" w:rsidRDefault="002C57D2" w:rsidP="00441B6F">
      <w:pPr>
        <w:pStyle w:val="Affiliation"/>
        <w:spacing w:after="0" w:line="240" w:lineRule="auto"/>
        <w:jc w:val="both"/>
        <w:rPr>
          <w:rFonts w:ascii="Arial" w:hAnsi="Arial" w:cs="Arial"/>
        </w:rPr>
      </w:pPr>
    </w:p>
    <w:p w14:paraId="06658A02" w14:textId="77777777" w:rsidR="00B01FCD" w:rsidRPr="00FB3A86" w:rsidRDefault="00A05ECA" w:rsidP="00441B6F">
      <w:pPr>
        <w:pStyle w:val="Copyright"/>
        <w:spacing w:after="0" w:line="240" w:lineRule="auto"/>
        <w:jc w:val="both"/>
        <w:rPr>
          <w:rFonts w:ascii="Arial" w:hAnsi="Arial" w:cs="Arial"/>
        </w:rPr>
        <w:sectPr w:rsidR="00B01FCD" w:rsidRPr="00FB3A86" w:rsidSect="009F112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AB0EA1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06C244E" w14:textId="41A0347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bookmarkStart w:id="0" w:name="_GoBack"/>
      <w:bookmarkEnd w:id="0"/>
    </w:p>
    <w:p w14:paraId="4FB972F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D4504D7" w14:textId="77777777" w:rsidTr="001E44FE">
        <w:tc>
          <w:tcPr>
            <w:tcW w:w="9576" w:type="dxa"/>
            <w:shd w:val="clear" w:color="auto" w:fill="F2F2F2"/>
          </w:tcPr>
          <w:p w14:paraId="5B3788EB" w14:textId="66D3FF98" w:rsidR="00BA1B01" w:rsidRPr="003F12CE" w:rsidRDefault="00BA1B01" w:rsidP="00441B6F">
            <w:pPr>
              <w:pStyle w:val="Body"/>
              <w:spacing w:after="0"/>
              <w:rPr>
                <w:rFonts w:ascii="Arial" w:eastAsia="Calibri" w:hAnsi="Arial" w:cs="Arial"/>
              </w:rPr>
            </w:pPr>
            <w:r w:rsidRPr="003F12CE">
              <w:rPr>
                <w:rFonts w:ascii="Arial" w:eastAsia="Calibri" w:hAnsi="Arial" w:cs="Arial"/>
                <w:b/>
              </w:rPr>
              <w:t xml:space="preserve">Aims: </w:t>
            </w:r>
            <w:r w:rsidR="003F12CE" w:rsidRPr="003F12CE">
              <w:rPr>
                <w:rFonts w:ascii="Arial" w:eastAsia="Calibri" w:hAnsi="Arial" w:cs="Arial"/>
              </w:rPr>
              <w:t xml:space="preserve">Breast cancer is the most common malignancy among women in Indonesia and frequently metastasizes to bone, contributing significantly to morbidity and mortality. This study aimed to describe the characteristics of breast cancer patients with bone metastasis at Prof. Dr. I.G.N.G. </w:t>
            </w:r>
            <w:proofErr w:type="spellStart"/>
            <w:r w:rsidR="003F12CE" w:rsidRPr="003F12CE">
              <w:rPr>
                <w:rFonts w:ascii="Arial" w:eastAsia="Calibri" w:hAnsi="Arial" w:cs="Arial"/>
              </w:rPr>
              <w:t>Ngoerah</w:t>
            </w:r>
            <w:proofErr w:type="spellEnd"/>
            <w:r w:rsidR="003F12CE" w:rsidRPr="003F12CE">
              <w:rPr>
                <w:rFonts w:ascii="Arial" w:eastAsia="Calibri" w:hAnsi="Arial" w:cs="Arial"/>
              </w:rPr>
              <w:t xml:space="preserve"> General Hospital Denpasar during 2022–2024.</w:t>
            </w:r>
          </w:p>
          <w:p w14:paraId="55FF089D" w14:textId="77777777" w:rsidR="003F12CE" w:rsidRPr="003F12CE" w:rsidRDefault="00BA1B01" w:rsidP="00441B6F">
            <w:pPr>
              <w:pStyle w:val="Body"/>
              <w:spacing w:after="0"/>
              <w:rPr>
                <w:rFonts w:ascii="Arial" w:hAnsi="Arial" w:cs="Arial"/>
                <w:spacing w:val="-7"/>
              </w:rPr>
            </w:pPr>
            <w:r w:rsidRPr="003F12CE">
              <w:rPr>
                <w:rFonts w:ascii="Arial" w:eastAsia="Calibri" w:hAnsi="Arial" w:cs="Arial"/>
                <w:b/>
              </w:rPr>
              <w:t>Study design:</w:t>
            </w:r>
            <w:r w:rsidRPr="003F12CE">
              <w:rPr>
                <w:rFonts w:ascii="Arial" w:eastAsia="Calibri" w:hAnsi="Arial" w:cs="Arial"/>
              </w:rPr>
              <w:t xml:space="preserve">  </w:t>
            </w:r>
            <w:r w:rsidR="003F12CE" w:rsidRPr="003F12CE">
              <w:rPr>
                <w:rFonts w:ascii="Arial" w:hAnsi="Arial" w:cs="Arial"/>
                <w:spacing w:val="-7"/>
              </w:rPr>
              <w:t xml:space="preserve">This study employed a descriptive retrospective design and was conducted following approval from the institutional ethics committee </w:t>
            </w:r>
          </w:p>
          <w:p w14:paraId="3779D71B" w14:textId="2B14BF63" w:rsidR="00BA1B01" w:rsidRPr="003F12CE" w:rsidRDefault="00BA1B01" w:rsidP="00441B6F">
            <w:pPr>
              <w:pStyle w:val="Body"/>
              <w:spacing w:after="0"/>
              <w:rPr>
                <w:rFonts w:ascii="Arial" w:eastAsia="Calibri" w:hAnsi="Arial" w:cs="Arial"/>
              </w:rPr>
            </w:pPr>
            <w:r w:rsidRPr="003F12CE">
              <w:rPr>
                <w:rFonts w:ascii="Arial" w:eastAsia="Calibri" w:hAnsi="Arial" w:cs="Arial"/>
                <w:b/>
              </w:rPr>
              <w:t>Place and Duration of Study:</w:t>
            </w:r>
            <w:r w:rsidRPr="003F12CE">
              <w:rPr>
                <w:rFonts w:ascii="Arial" w:eastAsia="Calibri" w:hAnsi="Arial" w:cs="Arial"/>
              </w:rPr>
              <w:t xml:space="preserve"> </w:t>
            </w:r>
            <w:r w:rsidR="003F12CE" w:rsidRPr="003F12CE">
              <w:rPr>
                <w:rFonts w:ascii="Arial" w:hAnsi="Arial" w:cs="Arial"/>
                <w:spacing w:val="-7"/>
              </w:rPr>
              <w:t xml:space="preserve">Data were obtained from electronic medical records of patients treated at Prof. Dr. I.G.N.G. </w:t>
            </w:r>
            <w:proofErr w:type="spellStart"/>
            <w:r w:rsidR="003F12CE" w:rsidRPr="003F12CE">
              <w:rPr>
                <w:rFonts w:ascii="Arial" w:hAnsi="Arial" w:cs="Arial"/>
                <w:spacing w:val="-7"/>
              </w:rPr>
              <w:t>Ngoerah</w:t>
            </w:r>
            <w:proofErr w:type="spellEnd"/>
            <w:r w:rsidR="003F12CE" w:rsidRPr="003F12CE">
              <w:rPr>
                <w:rFonts w:ascii="Arial" w:hAnsi="Arial" w:cs="Arial"/>
                <w:spacing w:val="-7"/>
              </w:rPr>
              <w:t xml:space="preserve"> General Hospital, Denpasar. The accessible population consisted of all patients diagnosed with bone metastasis secondary to breast cancer who attended the Oncology Outpatient Clinic between January 2022 and December 2024.</w:t>
            </w:r>
          </w:p>
          <w:p w14:paraId="583DEB38" w14:textId="576E82C5" w:rsidR="00BA1B01" w:rsidRPr="003F12CE" w:rsidRDefault="00BA1B01" w:rsidP="00441B6F">
            <w:pPr>
              <w:pStyle w:val="Body"/>
              <w:spacing w:after="0"/>
              <w:rPr>
                <w:rFonts w:ascii="Arial" w:eastAsia="Calibri" w:hAnsi="Arial" w:cs="Arial"/>
              </w:rPr>
            </w:pPr>
            <w:r w:rsidRPr="003F12CE">
              <w:rPr>
                <w:rFonts w:ascii="Arial" w:eastAsia="Calibri" w:hAnsi="Arial" w:cs="Arial"/>
                <w:b/>
                <w:bCs/>
              </w:rPr>
              <w:t>Methodology:</w:t>
            </w:r>
            <w:r w:rsidRPr="003F12CE">
              <w:rPr>
                <w:rFonts w:ascii="Arial" w:eastAsia="Calibri" w:hAnsi="Arial" w:cs="Arial"/>
              </w:rPr>
              <w:t xml:space="preserve"> </w:t>
            </w:r>
            <w:r w:rsidR="003F12CE" w:rsidRPr="003F12CE">
              <w:rPr>
                <w:rFonts w:ascii="Arial" w:eastAsia="Calibri" w:hAnsi="Arial" w:cs="Arial"/>
              </w:rPr>
              <w:t>A retrospective descriptive cross-sectional design was used, based on secondary data from medical records of eligible patients, and univariate analysis was performed to summarize clinicopathological features.</w:t>
            </w:r>
            <w:r w:rsidR="004226C0">
              <w:rPr>
                <w:rFonts w:ascii="Arial" w:eastAsia="Calibri" w:hAnsi="Arial" w:cs="Arial"/>
              </w:rPr>
              <w:t xml:space="preserve"> </w:t>
            </w:r>
            <w:r w:rsidR="004226C0" w:rsidRPr="003F12CE">
              <w:rPr>
                <w:rFonts w:ascii="Arial" w:hAnsi="Arial" w:cs="Arial"/>
              </w:rPr>
              <w:t>A total sampling technique was applied, yielding 90 eligible patients who met all inclusion and exclusion criteria.</w:t>
            </w:r>
          </w:p>
          <w:p w14:paraId="5A7596F6" w14:textId="0F6CBFD6" w:rsidR="00BA1B01" w:rsidRPr="003F12CE" w:rsidRDefault="00BA1B01" w:rsidP="00441B6F">
            <w:pPr>
              <w:pStyle w:val="Body"/>
              <w:spacing w:after="0"/>
              <w:rPr>
                <w:rFonts w:ascii="Arial" w:eastAsia="Calibri" w:hAnsi="Arial" w:cs="Arial"/>
                <w:b/>
                <w:bCs/>
              </w:rPr>
            </w:pPr>
            <w:r w:rsidRPr="003F12CE">
              <w:rPr>
                <w:rFonts w:ascii="Arial" w:eastAsia="Calibri" w:hAnsi="Arial" w:cs="Arial"/>
                <w:b/>
                <w:bCs/>
              </w:rPr>
              <w:t>Results:</w:t>
            </w:r>
            <w:r w:rsidRPr="003F12CE">
              <w:rPr>
                <w:rFonts w:ascii="Arial" w:eastAsia="Calibri" w:hAnsi="Arial" w:cs="Arial"/>
              </w:rPr>
              <w:t xml:space="preserve"> </w:t>
            </w:r>
            <w:r w:rsidR="003F12CE" w:rsidRPr="003F12CE">
              <w:rPr>
                <w:rFonts w:ascii="Arial" w:eastAsia="Calibri" w:hAnsi="Arial" w:cs="Arial"/>
              </w:rPr>
              <w:t>Of the 90 patients included, all were female, most commonly aged 50–59 years. Tumors were nearly evenly distributed between the right and left breasts, with T4 size, N1 nodal category, and grade III being the dominant characteristics. Invasive Ductal Carcinoma/No Special Type (IDC/NST) was the most frequent histopathology, and Luminal B was the most common immunohistochemical subtype. Most patients showed low TILs, negative LVI, and presented with both bone and visceral metastases. The most common treatment approach was a combination of surgery and systemic therapy.</w:t>
            </w:r>
          </w:p>
          <w:p w14:paraId="6C2D507A" w14:textId="09588959" w:rsidR="00636EB2" w:rsidRPr="003F12CE" w:rsidRDefault="00BA1B01" w:rsidP="00441B6F">
            <w:pPr>
              <w:pStyle w:val="Body"/>
              <w:spacing w:after="0"/>
              <w:rPr>
                <w:rFonts w:ascii="Arial" w:eastAsia="Calibri" w:hAnsi="Arial" w:cs="Arial"/>
              </w:rPr>
            </w:pPr>
            <w:r w:rsidRPr="003F12CE">
              <w:rPr>
                <w:rFonts w:ascii="Arial" w:eastAsia="Calibri" w:hAnsi="Arial" w:cs="Arial"/>
                <w:b/>
                <w:bCs/>
              </w:rPr>
              <w:t>Conclusion:</w:t>
            </w:r>
            <w:r w:rsidRPr="003F12CE">
              <w:rPr>
                <w:rFonts w:ascii="Arial" w:eastAsia="Calibri" w:hAnsi="Arial" w:cs="Arial"/>
              </w:rPr>
              <w:t xml:space="preserve"> </w:t>
            </w:r>
            <w:r w:rsidR="003F12CE" w:rsidRPr="003F12CE">
              <w:rPr>
                <w:rFonts w:ascii="Arial" w:eastAsia="Calibri" w:hAnsi="Arial" w:cs="Arial"/>
              </w:rPr>
              <w:t>Overall, patients tended to have large, high-grade tumors and the Luminal B subtype, indicating features associated with poorer prognosis and a higher risk of metastasis.</w:t>
            </w:r>
            <w:r w:rsidR="00CE02F4">
              <w:rPr>
                <w:rFonts w:ascii="Arial" w:eastAsia="Calibri" w:hAnsi="Arial" w:cs="Arial"/>
              </w:rPr>
              <w:t xml:space="preserve"> </w:t>
            </w:r>
            <w:r w:rsidR="00CE02F4" w:rsidRPr="00CE02F4">
              <w:rPr>
                <w:rFonts w:ascii="Arial" w:eastAsia="Calibri" w:hAnsi="Arial" w:cs="Arial"/>
              </w:rPr>
              <w:t>Multidisciplinary management should continue to be optimized to enhance quality of life and treatment effectiveness in patients with metastatic breast cancer.</w:t>
            </w:r>
            <w:r w:rsidR="004226C0">
              <w:rPr>
                <w:rFonts w:ascii="Arial" w:eastAsia="Calibri" w:hAnsi="Arial" w:cs="Arial"/>
              </w:rPr>
              <w:t xml:space="preserve"> </w:t>
            </w:r>
            <w:r w:rsidR="004226C0" w:rsidRPr="004226C0">
              <w:rPr>
                <w:rFonts w:ascii="Arial" w:eastAsia="Calibri" w:hAnsi="Arial" w:cs="Arial"/>
              </w:rPr>
              <w:t>These findings advocate for targeted interventions to mitigate late-stage presentations.</w:t>
            </w:r>
          </w:p>
          <w:p w14:paraId="217554DA" w14:textId="25A6351B" w:rsidR="00505F06" w:rsidRPr="00BA1B01" w:rsidRDefault="00505F06" w:rsidP="00441B6F">
            <w:pPr>
              <w:pStyle w:val="Body"/>
              <w:spacing w:after="0"/>
              <w:rPr>
                <w:rFonts w:ascii="Arial" w:eastAsia="Calibri" w:hAnsi="Arial" w:cs="Arial"/>
                <w:szCs w:val="22"/>
              </w:rPr>
            </w:pPr>
          </w:p>
        </w:tc>
      </w:tr>
    </w:tbl>
    <w:p w14:paraId="4BD7772F" w14:textId="77777777" w:rsidR="00636EB2" w:rsidRDefault="00636EB2" w:rsidP="00441B6F">
      <w:pPr>
        <w:pStyle w:val="Body"/>
        <w:spacing w:after="0"/>
        <w:rPr>
          <w:rFonts w:ascii="Arial" w:hAnsi="Arial" w:cs="Arial"/>
          <w:i/>
        </w:rPr>
      </w:pPr>
    </w:p>
    <w:p w14:paraId="4D4EE56C" w14:textId="376DA4AC" w:rsidR="00790ADA" w:rsidRDefault="00A24E7E" w:rsidP="00441B6F">
      <w:pPr>
        <w:pStyle w:val="Body"/>
        <w:spacing w:after="0"/>
        <w:rPr>
          <w:rFonts w:ascii="Arial" w:hAnsi="Arial" w:cs="Arial"/>
          <w:i/>
        </w:rPr>
      </w:pPr>
      <w:r>
        <w:rPr>
          <w:rFonts w:ascii="Arial" w:hAnsi="Arial" w:cs="Arial"/>
          <w:i/>
        </w:rPr>
        <w:t xml:space="preserve">Keywords: </w:t>
      </w:r>
      <w:r w:rsidR="003F12CE" w:rsidRPr="003F12CE">
        <w:rPr>
          <w:rFonts w:ascii="Arial" w:hAnsi="Arial" w:cs="Arial"/>
          <w:i/>
        </w:rPr>
        <w:t xml:space="preserve">Carcinoma mammae, bone metastasis, Prof. Dr. I.G.N.G. </w:t>
      </w:r>
      <w:proofErr w:type="spellStart"/>
      <w:r w:rsidR="003F12CE" w:rsidRPr="003F12CE">
        <w:rPr>
          <w:rFonts w:ascii="Arial" w:hAnsi="Arial" w:cs="Arial"/>
          <w:i/>
        </w:rPr>
        <w:t>Ngoerah</w:t>
      </w:r>
      <w:proofErr w:type="spellEnd"/>
      <w:r w:rsidR="003F12CE" w:rsidRPr="003F12CE">
        <w:rPr>
          <w:rFonts w:ascii="Arial" w:hAnsi="Arial" w:cs="Arial"/>
          <w:i/>
        </w:rPr>
        <w:t xml:space="preserve"> General Hospital Denpasar</w:t>
      </w:r>
    </w:p>
    <w:p w14:paraId="0CE3C669" w14:textId="77777777" w:rsidR="00505F06" w:rsidRPr="00A24E7E" w:rsidRDefault="00505F06" w:rsidP="00441B6F">
      <w:pPr>
        <w:pStyle w:val="Body"/>
        <w:spacing w:after="0"/>
        <w:rPr>
          <w:rFonts w:ascii="Arial" w:hAnsi="Arial" w:cs="Arial"/>
          <w:i/>
        </w:rPr>
      </w:pPr>
    </w:p>
    <w:p w14:paraId="193F5B73" w14:textId="0D9A2C9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EA4122F" w14:textId="77777777" w:rsidR="00790ADA" w:rsidRPr="00FB3A86" w:rsidRDefault="00790ADA" w:rsidP="00441B6F">
      <w:pPr>
        <w:pStyle w:val="AbstHead"/>
        <w:spacing w:after="0"/>
        <w:jc w:val="both"/>
        <w:rPr>
          <w:rFonts w:ascii="Arial" w:hAnsi="Arial" w:cs="Arial"/>
        </w:rPr>
      </w:pPr>
    </w:p>
    <w:p w14:paraId="7D0B9521" w14:textId="77777777" w:rsidR="003F12CE" w:rsidRPr="003F12CE" w:rsidRDefault="003F12CE" w:rsidP="003F12CE">
      <w:pPr>
        <w:pStyle w:val="Body"/>
        <w:rPr>
          <w:rFonts w:ascii="Arial" w:hAnsi="Arial" w:cs="Arial"/>
        </w:rPr>
      </w:pPr>
      <w:r w:rsidRPr="003F12CE">
        <w:rPr>
          <w:rFonts w:ascii="Arial" w:hAnsi="Arial" w:cs="Arial"/>
        </w:rPr>
        <w:t xml:space="preserve">Bone metastasis in carcinoma mammae (breast cancer) represents a pathological condition in which malignant cells disseminate from the primary breast tissue to the skeletal system. Metastatic progression generally occurs through two major phases: the migration of cancer cells from the primary tumor microenvironment to a secondary site, and the subsequent </w:t>
      </w:r>
      <w:r w:rsidRPr="003F12CE">
        <w:rPr>
          <w:rFonts w:ascii="Arial" w:hAnsi="Arial" w:cs="Arial"/>
        </w:rPr>
        <w:lastRenderedPageBreak/>
        <w:t>colonization and proliferation within the secondary microenvironment</w:t>
      </w:r>
      <w:r w:rsidRPr="0051116A">
        <w:rPr>
          <w:rFonts w:ascii="Arial" w:hAnsi="Arial" w:cs="Arial"/>
          <w:vertAlign w:val="superscript"/>
        </w:rPr>
        <w:t>1</w:t>
      </w:r>
      <w:r w:rsidRPr="003F12CE">
        <w:rPr>
          <w:rFonts w:ascii="Arial" w:hAnsi="Arial" w:cs="Arial"/>
        </w:rPr>
        <w:t>. Metastasis is facilitated when the pre-metastatic niche becomes conducive to tumor cell survival and growth, a concept initially introduced in Steven Paget’s “seed and soil” theory.</w:t>
      </w:r>
    </w:p>
    <w:p w14:paraId="40651092" w14:textId="77777777" w:rsidR="003F12CE" w:rsidRPr="003F12CE" w:rsidRDefault="003F12CE" w:rsidP="003F12CE">
      <w:pPr>
        <w:pStyle w:val="Body"/>
        <w:rPr>
          <w:rFonts w:ascii="Arial" w:hAnsi="Arial" w:cs="Arial"/>
        </w:rPr>
      </w:pPr>
      <w:r w:rsidRPr="003F12CE">
        <w:rPr>
          <w:rFonts w:ascii="Arial" w:hAnsi="Arial" w:cs="Arial"/>
        </w:rPr>
        <w:t>Bone is one of the most common metastatic sites in advanced breast carcinoma, occurring in approximately 70% of late-stage cases</w:t>
      </w:r>
      <w:r w:rsidRPr="0051116A">
        <w:rPr>
          <w:rFonts w:ascii="Arial" w:hAnsi="Arial" w:cs="Arial"/>
          <w:vertAlign w:val="superscript"/>
        </w:rPr>
        <w:t>2</w:t>
      </w:r>
      <w:r w:rsidRPr="003F12CE">
        <w:rPr>
          <w:rFonts w:ascii="Arial" w:hAnsi="Arial" w:cs="Arial"/>
        </w:rPr>
        <w:t>. A study conducted at the University of Indonesia reported that 24.4% of breast cancer patients developed bone metastases. Skeletal lesions, particularly those located in the spine, are predominantly osteolytic and are characterized by progressive bone destruction</w:t>
      </w:r>
      <w:r w:rsidRPr="0051116A">
        <w:rPr>
          <w:rFonts w:ascii="Arial" w:hAnsi="Arial" w:cs="Arial"/>
          <w:vertAlign w:val="superscript"/>
        </w:rPr>
        <w:t>3,4</w:t>
      </w:r>
      <w:r w:rsidRPr="003F12CE">
        <w:rPr>
          <w:rFonts w:ascii="Arial" w:hAnsi="Arial" w:cs="Arial"/>
        </w:rPr>
        <w:t>.</w:t>
      </w:r>
    </w:p>
    <w:p w14:paraId="00397501" w14:textId="77777777" w:rsidR="003F12CE" w:rsidRPr="003F12CE" w:rsidRDefault="003F12CE" w:rsidP="003F12CE">
      <w:pPr>
        <w:pStyle w:val="Body"/>
        <w:rPr>
          <w:rFonts w:ascii="Arial" w:hAnsi="Arial" w:cs="Arial"/>
        </w:rPr>
      </w:pPr>
      <w:r w:rsidRPr="003F12CE">
        <w:rPr>
          <w:rFonts w:ascii="Arial" w:hAnsi="Arial" w:cs="Arial"/>
        </w:rPr>
        <w:t xml:space="preserve">This destructive process arises from disruption of the physiological bone remodeling cycle, which normally depends on the regulatory balance between </w:t>
      </w:r>
      <w:proofErr w:type="spellStart"/>
      <w:r w:rsidRPr="003F12CE">
        <w:rPr>
          <w:rFonts w:ascii="Arial" w:hAnsi="Arial" w:cs="Arial"/>
        </w:rPr>
        <w:t>osteoprotegerin</w:t>
      </w:r>
      <w:proofErr w:type="spellEnd"/>
      <w:r w:rsidRPr="003F12CE">
        <w:rPr>
          <w:rFonts w:ascii="Arial" w:hAnsi="Arial" w:cs="Arial"/>
        </w:rPr>
        <w:t xml:space="preserve"> (OPG), receptor activator of nuclear factor-</w:t>
      </w:r>
      <w:proofErr w:type="spellStart"/>
      <w:r w:rsidRPr="003F12CE">
        <w:rPr>
          <w:rFonts w:ascii="Arial" w:hAnsi="Arial" w:cs="Arial"/>
        </w:rPr>
        <w:t>κB</w:t>
      </w:r>
      <w:proofErr w:type="spellEnd"/>
      <w:r w:rsidRPr="003F12CE">
        <w:rPr>
          <w:rFonts w:ascii="Arial" w:hAnsi="Arial" w:cs="Arial"/>
        </w:rPr>
        <w:t xml:space="preserve"> ligand (RANKL), and receptor activator of nuclear factor-</w:t>
      </w:r>
      <w:proofErr w:type="spellStart"/>
      <w:r w:rsidRPr="003F12CE">
        <w:rPr>
          <w:rFonts w:ascii="Arial" w:hAnsi="Arial" w:cs="Arial"/>
        </w:rPr>
        <w:t>κB</w:t>
      </w:r>
      <w:proofErr w:type="spellEnd"/>
      <w:r w:rsidRPr="003F12CE">
        <w:rPr>
          <w:rFonts w:ascii="Arial" w:hAnsi="Arial" w:cs="Arial"/>
        </w:rPr>
        <w:t xml:space="preserve"> (RANK)</w:t>
      </w:r>
      <w:r w:rsidRPr="0051116A">
        <w:rPr>
          <w:rFonts w:ascii="Arial" w:hAnsi="Arial" w:cs="Arial"/>
          <w:vertAlign w:val="superscript"/>
        </w:rPr>
        <w:t>5</w:t>
      </w:r>
      <w:r w:rsidRPr="003F12CE">
        <w:rPr>
          <w:rFonts w:ascii="Arial" w:hAnsi="Arial" w:cs="Arial"/>
        </w:rPr>
        <w:t>. Malignant infiltration into bone tissue alters this regulatory pathway, leading to excessive osteoclast activation and subsequent osteolysis, a hallmark of osteolytic bone metastasis</w:t>
      </w:r>
      <w:r w:rsidRPr="0051116A">
        <w:rPr>
          <w:rFonts w:ascii="Arial" w:hAnsi="Arial" w:cs="Arial"/>
          <w:vertAlign w:val="superscript"/>
        </w:rPr>
        <w:t>6</w:t>
      </w:r>
      <w:r w:rsidRPr="003F12CE">
        <w:rPr>
          <w:rFonts w:ascii="Arial" w:hAnsi="Arial" w:cs="Arial"/>
        </w:rPr>
        <w:t>.</w:t>
      </w:r>
    </w:p>
    <w:p w14:paraId="374A512D" w14:textId="77777777" w:rsidR="003F12CE" w:rsidRPr="003F12CE" w:rsidRDefault="003F12CE" w:rsidP="003F12CE">
      <w:pPr>
        <w:pStyle w:val="Body"/>
        <w:rPr>
          <w:rFonts w:ascii="Arial" w:hAnsi="Arial" w:cs="Arial"/>
        </w:rPr>
      </w:pPr>
      <w:r w:rsidRPr="003F12CE">
        <w:rPr>
          <w:rFonts w:ascii="Arial" w:hAnsi="Arial" w:cs="Arial"/>
        </w:rPr>
        <w:t>Clinically, bone metastases manifest with moderate to severe pain, functional impairment, and reduced mobility, ultimately limiting the patient’s ability to perform daily activities. Hypercalcemia may also occur, presenting with symptoms such as nausea and constipation. In advanced cases, pathological fractures and spinal cord compression have been documented, contributing to increased morbidity.</w:t>
      </w:r>
    </w:p>
    <w:p w14:paraId="3918EC76" w14:textId="77777777" w:rsidR="003F12CE" w:rsidRPr="003F12CE" w:rsidRDefault="003F12CE" w:rsidP="003F12CE">
      <w:pPr>
        <w:pStyle w:val="Body"/>
        <w:rPr>
          <w:rFonts w:ascii="Arial" w:hAnsi="Arial" w:cs="Arial"/>
        </w:rPr>
      </w:pPr>
      <w:r w:rsidRPr="003F12CE">
        <w:rPr>
          <w:rFonts w:ascii="Arial" w:hAnsi="Arial" w:cs="Arial"/>
        </w:rPr>
        <w:t>Radiological assessment plays a crucial role in establishing the diagnosis of bone metastasis in breast cancer. Radionuclide bone scintigraphy is frequently employed as an initial screening tool to detect skeletal involvement7. Additional imaging modalities, including computed tomography (CT) and magnetic resonance imaging (MRI), are used to confirm and characterize metastatic lesions. More advanced techniques, such as fluorodeoxyglucose positron emission tomography (FDG-PET), allow for metabolic evaluation of metastatic tumor activity</w:t>
      </w:r>
      <w:r w:rsidRPr="0051116A">
        <w:rPr>
          <w:rFonts w:ascii="Arial" w:hAnsi="Arial" w:cs="Arial"/>
          <w:vertAlign w:val="superscript"/>
        </w:rPr>
        <w:t>8</w:t>
      </w:r>
      <w:r w:rsidRPr="003F12CE">
        <w:rPr>
          <w:rFonts w:ascii="Arial" w:hAnsi="Arial" w:cs="Arial"/>
        </w:rPr>
        <w:t>. Furthermore, biochemical markers released during bone turnover, detectable in serum or urine, may assist in identifying metastatic processes</w:t>
      </w:r>
      <w:r w:rsidRPr="0051116A">
        <w:rPr>
          <w:rFonts w:ascii="Arial" w:hAnsi="Arial" w:cs="Arial"/>
          <w:vertAlign w:val="superscript"/>
        </w:rPr>
        <w:t>7</w:t>
      </w:r>
      <w:r w:rsidRPr="003F12CE">
        <w:rPr>
          <w:rFonts w:ascii="Arial" w:hAnsi="Arial" w:cs="Arial"/>
        </w:rPr>
        <w:t>.</w:t>
      </w:r>
    </w:p>
    <w:p w14:paraId="0C344D2D" w14:textId="77777777" w:rsidR="003F12CE" w:rsidRPr="003F12CE" w:rsidRDefault="003F12CE" w:rsidP="003F12CE">
      <w:pPr>
        <w:pStyle w:val="Body"/>
        <w:rPr>
          <w:rFonts w:ascii="Arial" w:hAnsi="Arial" w:cs="Arial"/>
        </w:rPr>
      </w:pPr>
      <w:r w:rsidRPr="003F12CE">
        <w:rPr>
          <w:rFonts w:ascii="Arial" w:hAnsi="Arial" w:cs="Arial"/>
        </w:rPr>
        <w:t>Therapeutic strategies for breast cancer with bone metastasis primarily aim to alleviate pain and improve patient quality of life</w:t>
      </w:r>
      <w:r w:rsidRPr="0051116A">
        <w:rPr>
          <w:rFonts w:ascii="Arial" w:hAnsi="Arial" w:cs="Arial"/>
          <w:vertAlign w:val="superscript"/>
        </w:rPr>
        <w:t>9</w:t>
      </w:r>
      <w:r w:rsidRPr="003F12CE">
        <w:rPr>
          <w:rFonts w:ascii="Arial" w:hAnsi="Arial" w:cs="Arial"/>
        </w:rPr>
        <w:t>. Management options include surgical interventions such as mastectomy to control the primary tumor and open reduction internal fixation (ORIF) in cases of pathological fractures</w:t>
      </w:r>
      <w:r w:rsidRPr="0051116A">
        <w:rPr>
          <w:rFonts w:ascii="Arial" w:hAnsi="Arial" w:cs="Arial"/>
          <w:vertAlign w:val="superscript"/>
        </w:rPr>
        <w:t>10,11</w:t>
      </w:r>
      <w:r w:rsidRPr="003F12CE">
        <w:rPr>
          <w:rFonts w:ascii="Arial" w:hAnsi="Arial" w:cs="Arial"/>
        </w:rPr>
        <w:t>. In hormone receptor–positive subtypes, including Luminal A and Luminal B, systemic chemotherapy and hormonal therapy are commonly utilized to suppress tumor progression. Radiotherapy also serves as an important modality for controlling metastatic spread and reducing skeletal complications.</w:t>
      </w:r>
    </w:p>
    <w:p w14:paraId="1342D0EC" w14:textId="653E5D4F" w:rsidR="00790ADA" w:rsidRDefault="003F12CE" w:rsidP="003F12CE">
      <w:pPr>
        <w:pStyle w:val="Body"/>
        <w:spacing w:after="0"/>
        <w:rPr>
          <w:rFonts w:ascii="Arial" w:hAnsi="Arial" w:cs="Arial"/>
        </w:rPr>
      </w:pPr>
      <w:r w:rsidRPr="003F12CE">
        <w:rPr>
          <w:rFonts w:ascii="Arial" w:hAnsi="Arial" w:cs="Arial"/>
        </w:rPr>
        <w:t xml:space="preserve">This study aims to describe the clinical and pathological characteristics of bone metastasis in breast carcinoma and </w:t>
      </w:r>
      <w:r w:rsidR="00312BCA" w:rsidRPr="00312BCA">
        <w:rPr>
          <w:rFonts w:ascii="Arial" w:hAnsi="Arial" w:cs="Arial"/>
        </w:rPr>
        <w:t>provide insights for early diagnosis</w:t>
      </w:r>
      <w:r w:rsidR="00312BCA">
        <w:rPr>
          <w:rFonts w:ascii="Arial" w:hAnsi="Arial" w:cs="Arial"/>
        </w:rPr>
        <w:t xml:space="preserve"> </w:t>
      </w:r>
      <w:r w:rsidRPr="003F12CE">
        <w:rPr>
          <w:rFonts w:ascii="Arial" w:hAnsi="Arial" w:cs="Arial"/>
        </w:rPr>
        <w:t>and perform effective treatment.</w:t>
      </w:r>
    </w:p>
    <w:p w14:paraId="0D005319" w14:textId="77777777" w:rsidR="003F12CE" w:rsidRPr="00FB3A86" w:rsidRDefault="003F12CE" w:rsidP="003F12CE">
      <w:pPr>
        <w:pStyle w:val="Body"/>
        <w:spacing w:after="0"/>
        <w:rPr>
          <w:rFonts w:ascii="Arial" w:hAnsi="Arial" w:cs="Arial"/>
        </w:rPr>
      </w:pPr>
    </w:p>
    <w:p w14:paraId="0555984C" w14:textId="40BBCF9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FC055AE" w14:textId="77777777" w:rsidR="00790ADA" w:rsidRPr="00FB3A86" w:rsidRDefault="00790ADA" w:rsidP="00441B6F">
      <w:pPr>
        <w:pStyle w:val="AbstHead"/>
        <w:spacing w:after="0"/>
        <w:jc w:val="both"/>
        <w:rPr>
          <w:rFonts w:ascii="Arial" w:hAnsi="Arial" w:cs="Arial"/>
        </w:rPr>
      </w:pPr>
    </w:p>
    <w:p w14:paraId="061EAB94" w14:textId="46018D8D" w:rsidR="00790ADA" w:rsidRDefault="003F12CE" w:rsidP="00BE0DFB">
      <w:pPr>
        <w:pStyle w:val="Body"/>
        <w:rPr>
          <w:rFonts w:ascii="Arial" w:hAnsi="Arial" w:cs="Arial"/>
        </w:rPr>
      </w:pPr>
      <w:bookmarkStart w:id="1" w:name="_Hlk217217045"/>
      <w:r w:rsidRPr="003F12CE">
        <w:rPr>
          <w:rFonts w:ascii="Arial" w:hAnsi="Arial" w:cs="Arial"/>
        </w:rPr>
        <w:t xml:space="preserve">This study employed a descriptive retrospective design and was conducted following approval from the institutional ethics committee </w:t>
      </w:r>
      <w:bookmarkEnd w:id="1"/>
      <w:r w:rsidRPr="003F12CE">
        <w:rPr>
          <w:rFonts w:ascii="Arial" w:hAnsi="Arial" w:cs="Arial"/>
        </w:rPr>
        <w:t xml:space="preserve">(Approval No. 0542/UN14.2.2.VII.14/LT/2025). Data were obtained from electronic medical records of patients treated at Prof. Dr. I.G.N.G. </w:t>
      </w:r>
      <w:proofErr w:type="spellStart"/>
      <w:r w:rsidRPr="003F12CE">
        <w:rPr>
          <w:rFonts w:ascii="Arial" w:hAnsi="Arial" w:cs="Arial"/>
        </w:rPr>
        <w:t>Ngoerah</w:t>
      </w:r>
      <w:proofErr w:type="spellEnd"/>
      <w:r w:rsidRPr="003F12CE">
        <w:rPr>
          <w:rFonts w:ascii="Arial" w:hAnsi="Arial" w:cs="Arial"/>
        </w:rPr>
        <w:t xml:space="preserve"> General Hospital, Denpasar. The accessible population consisted of all patients diagnosed with bone metastasis secondary to breast cancer who attended the Oncology Outpatient Clinic between January 2022 and December 2024.</w:t>
      </w:r>
      <w:r w:rsidR="00BE0DFB">
        <w:rPr>
          <w:rFonts w:ascii="Arial" w:hAnsi="Arial" w:cs="Arial"/>
        </w:rPr>
        <w:t xml:space="preserve"> </w:t>
      </w:r>
      <w:r w:rsidR="00BE0DFB" w:rsidRPr="00BE0DFB">
        <w:rPr>
          <w:rFonts w:ascii="Arial" w:hAnsi="Arial" w:cs="Arial"/>
        </w:rPr>
        <w:t>Inclusion criteria included complete medical record documentation with confirmed bone metastases.</w:t>
      </w:r>
      <w:r w:rsidR="00BE0DFB">
        <w:rPr>
          <w:rFonts w:ascii="Arial" w:hAnsi="Arial" w:cs="Arial"/>
        </w:rPr>
        <w:t xml:space="preserve"> </w:t>
      </w:r>
      <w:r w:rsidRPr="003F12CE">
        <w:rPr>
          <w:rFonts w:ascii="Arial" w:hAnsi="Arial" w:cs="Arial"/>
        </w:rPr>
        <w:t xml:space="preserve">Exclusion criteria encompassed incomplete medical record documentation </w:t>
      </w:r>
      <w:r w:rsidRPr="003F12CE">
        <w:rPr>
          <w:rFonts w:ascii="Arial" w:hAnsi="Arial" w:cs="Arial"/>
        </w:rPr>
        <w:lastRenderedPageBreak/>
        <w:t>and cases without confirmed bone metastasis. A total sampling technique was applied, yielding 90 eligible patients who met all inclusion and exclusion criteria. All collected variables were analyzed descriptively using univariate statistical methods with SPSS software.</w:t>
      </w:r>
    </w:p>
    <w:p w14:paraId="770DC47D" w14:textId="77777777" w:rsidR="003F12CE" w:rsidRPr="00FB3A86" w:rsidRDefault="003F12CE" w:rsidP="003F12CE">
      <w:pPr>
        <w:pStyle w:val="Body"/>
        <w:spacing w:after="0"/>
        <w:rPr>
          <w:rFonts w:ascii="Arial" w:hAnsi="Arial" w:cs="Arial"/>
        </w:rPr>
      </w:pPr>
    </w:p>
    <w:p w14:paraId="324210B5" w14:textId="435E9F11" w:rsidR="003F12CE"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183F77E7" w14:textId="7208CD2C" w:rsidR="00E72BD0" w:rsidRPr="00B80410" w:rsidRDefault="00051855" w:rsidP="00885827">
      <w:pPr>
        <w:pStyle w:val="BodyText2"/>
        <w:spacing w:line="235" w:lineRule="auto"/>
        <w:ind w:firstLine="425"/>
        <w:jc w:val="both"/>
      </w:pPr>
      <w:r>
        <w:rPr>
          <w:b/>
          <w:bCs/>
          <w:spacing w:val="-7"/>
        </w:rPr>
        <w:t>Table 1</w:t>
      </w:r>
      <w:r w:rsidR="00E72BD0">
        <w:rPr>
          <w:spacing w:val="-7"/>
        </w:rPr>
        <w:t xml:space="preserve"> shows the baseline characteristics of carcinoma mammae patients with bone metastasis treated at Prof. </w:t>
      </w:r>
      <w:proofErr w:type="spellStart"/>
      <w:r w:rsidR="00E72BD0">
        <w:rPr>
          <w:spacing w:val="-7"/>
        </w:rPr>
        <w:t>Dr.I.G.N.</w:t>
      </w:r>
      <w:proofErr w:type="gramStart"/>
      <w:r w:rsidR="00E72BD0">
        <w:rPr>
          <w:spacing w:val="-7"/>
        </w:rPr>
        <w:t>G.Ngoerah</w:t>
      </w:r>
      <w:proofErr w:type="spellEnd"/>
      <w:proofErr w:type="gramEnd"/>
      <w:r w:rsidR="00E72BD0">
        <w:rPr>
          <w:spacing w:val="-7"/>
        </w:rPr>
        <w:t xml:space="preserve"> General Hospital Denpasar throughout 2022-2024. These characteristics include gender and age. </w:t>
      </w:r>
    </w:p>
    <w:p w14:paraId="55E78BA5" w14:textId="630BD09D" w:rsidR="00E72BD0" w:rsidRPr="008C49B7" w:rsidRDefault="00E72BD0" w:rsidP="00885827">
      <w:pPr>
        <w:spacing w:after="120"/>
        <w:ind w:left="1080" w:hanging="1080"/>
        <w:jc w:val="both"/>
        <w:rPr>
          <w:b/>
          <w:iCs/>
          <w:spacing w:val="-7"/>
        </w:rPr>
      </w:pPr>
      <w:r w:rsidRPr="00B80410">
        <w:rPr>
          <w:b/>
          <w:iCs/>
          <w:spacing w:val="-7"/>
          <w:lang w:val="id-ID"/>
        </w:rPr>
        <w:t>Tab</w:t>
      </w:r>
      <w:r w:rsidR="00051855">
        <w:rPr>
          <w:b/>
          <w:iCs/>
          <w:spacing w:val="-7"/>
          <w:lang w:val="id-ID"/>
        </w:rPr>
        <w:t>le</w:t>
      </w:r>
      <w:r w:rsidRPr="00B80410">
        <w:rPr>
          <w:b/>
          <w:iCs/>
          <w:spacing w:val="-7"/>
          <w:lang w:val="id-ID"/>
        </w:rPr>
        <w:t xml:space="preserve"> 1. </w:t>
      </w:r>
      <w:r w:rsidRPr="00B80410">
        <w:rPr>
          <w:b/>
          <w:iCs/>
          <w:spacing w:val="-7"/>
          <w:lang w:val="id-ID"/>
        </w:rPr>
        <w:tab/>
      </w:r>
      <w:r>
        <w:rPr>
          <w:iCs/>
          <w:spacing w:val="-7"/>
        </w:rPr>
        <w:t xml:space="preserve">Demographic Characteristics of Research Samples </w:t>
      </w:r>
    </w:p>
    <w:tbl>
      <w:tblPr>
        <w:tblW w:w="4253" w:type="dxa"/>
        <w:jc w:val="center"/>
        <w:tblLayout w:type="fixed"/>
        <w:tblCellMar>
          <w:left w:w="28" w:type="dxa"/>
          <w:right w:w="28" w:type="dxa"/>
        </w:tblCellMar>
        <w:tblLook w:val="0000" w:firstRow="0" w:lastRow="0" w:firstColumn="0" w:lastColumn="0" w:noHBand="0" w:noVBand="0"/>
      </w:tblPr>
      <w:tblGrid>
        <w:gridCol w:w="1985"/>
        <w:gridCol w:w="1134"/>
        <w:gridCol w:w="1134"/>
      </w:tblGrid>
      <w:tr w:rsidR="00E72BD0" w:rsidRPr="00D05019" w14:paraId="60B22677" w14:textId="77777777" w:rsidTr="00885827">
        <w:trPr>
          <w:cantSplit/>
          <w:trHeight w:val="20"/>
          <w:jc w:val="center"/>
        </w:trPr>
        <w:tc>
          <w:tcPr>
            <w:tcW w:w="1985" w:type="dxa"/>
            <w:tcBorders>
              <w:top w:val="single" w:sz="4" w:space="0" w:color="auto"/>
              <w:bottom w:val="single" w:sz="4" w:space="0" w:color="auto"/>
            </w:tcBorders>
            <w:noWrap/>
          </w:tcPr>
          <w:p w14:paraId="2EE511A8" w14:textId="77777777" w:rsidR="00E72BD0" w:rsidRPr="008C49B7" w:rsidRDefault="00E72BD0" w:rsidP="00C35C14">
            <w:pPr>
              <w:spacing w:line="228" w:lineRule="auto"/>
              <w:jc w:val="center"/>
              <w:rPr>
                <w:bCs/>
                <w:spacing w:val="-7"/>
              </w:rPr>
            </w:pPr>
            <w:r>
              <w:rPr>
                <w:bCs/>
                <w:spacing w:val="-7"/>
              </w:rPr>
              <w:t>Variable</w:t>
            </w:r>
          </w:p>
        </w:tc>
        <w:tc>
          <w:tcPr>
            <w:tcW w:w="1134" w:type="dxa"/>
            <w:tcBorders>
              <w:top w:val="single" w:sz="4" w:space="0" w:color="auto"/>
              <w:bottom w:val="single" w:sz="4" w:space="0" w:color="auto"/>
            </w:tcBorders>
            <w:noWrap/>
          </w:tcPr>
          <w:p w14:paraId="24E33645" w14:textId="77777777" w:rsidR="00E72BD0" w:rsidRPr="008C49B7" w:rsidRDefault="00E72BD0" w:rsidP="00C35C14">
            <w:pPr>
              <w:spacing w:line="228" w:lineRule="auto"/>
              <w:jc w:val="center"/>
              <w:rPr>
                <w:bCs/>
                <w:spacing w:val="-7"/>
              </w:rPr>
            </w:pPr>
            <w:r>
              <w:rPr>
                <w:bCs/>
                <w:spacing w:val="-7"/>
              </w:rPr>
              <w:t>N</w:t>
            </w:r>
          </w:p>
        </w:tc>
        <w:tc>
          <w:tcPr>
            <w:tcW w:w="1134" w:type="dxa"/>
            <w:tcBorders>
              <w:top w:val="single" w:sz="4" w:space="0" w:color="auto"/>
              <w:bottom w:val="single" w:sz="4" w:space="0" w:color="auto"/>
            </w:tcBorders>
            <w:noWrap/>
          </w:tcPr>
          <w:p w14:paraId="3BA5BF8C" w14:textId="77777777" w:rsidR="00E72BD0" w:rsidRPr="008C49B7" w:rsidRDefault="00E72BD0" w:rsidP="00C35C14">
            <w:pPr>
              <w:spacing w:line="228" w:lineRule="auto"/>
              <w:jc w:val="center"/>
              <w:rPr>
                <w:bCs/>
                <w:spacing w:val="-7"/>
              </w:rPr>
            </w:pPr>
            <w:r>
              <w:rPr>
                <w:bCs/>
                <w:spacing w:val="-7"/>
              </w:rPr>
              <w:t>%</w:t>
            </w:r>
          </w:p>
        </w:tc>
      </w:tr>
      <w:tr w:rsidR="00E72BD0" w:rsidRPr="00D05019" w14:paraId="699B4DF7" w14:textId="77777777" w:rsidTr="00885827">
        <w:trPr>
          <w:trHeight w:val="20"/>
          <w:jc w:val="center"/>
        </w:trPr>
        <w:tc>
          <w:tcPr>
            <w:tcW w:w="1985" w:type="dxa"/>
            <w:tcBorders>
              <w:top w:val="single" w:sz="4" w:space="0" w:color="auto"/>
            </w:tcBorders>
            <w:noWrap/>
            <w:vAlign w:val="bottom"/>
          </w:tcPr>
          <w:p w14:paraId="2D7A7D72" w14:textId="77777777" w:rsidR="00E72BD0" w:rsidRPr="008C49B7" w:rsidRDefault="00E72BD0" w:rsidP="00C35C14">
            <w:pPr>
              <w:rPr>
                <w:iCs/>
                <w:spacing w:val="-7"/>
              </w:rPr>
            </w:pPr>
            <w:r>
              <w:rPr>
                <w:iCs/>
                <w:spacing w:val="-7"/>
              </w:rPr>
              <w:t>Gender</w:t>
            </w:r>
          </w:p>
        </w:tc>
        <w:tc>
          <w:tcPr>
            <w:tcW w:w="1134" w:type="dxa"/>
            <w:tcBorders>
              <w:top w:val="single" w:sz="4" w:space="0" w:color="auto"/>
            </w:tcBorders>
            <w:noWrap/>
            <w:vAlign w:val="bottom"/>
          </w:tcPr>
          <w:p w14:paraId="4F2B4C90" w14:textId="77777777" w:rsidR="00E72BD0" w:rsidRPr="008C49B7" w:rsidRDefault="00E72BD0" w:rsidP="00C35C14">
            <w:pPr>
              <w:jc w:val="center"/>
              <w:rPr>
                <w:spacing w:val="-7"/>
              </w:rPr>
            </w:pPr>
          </w:p>
        </w:tc>
        <w:tc>
          <w:tcPr>
            <w:tcW w:w="1134" w:type="dxa"/>
            <w:tcBorders>
              <w:top w:val="single" w:sz="4" w:space="0" w:color="auto"/>
            </w:tcBorders>
            <w:noWrap/>
            <w:vAlign w:val="bottom"/>
          </w:tcPr>
          <w:p w14:paraId="4B251B76" w14:textId="77777777" w:rsidR="00E72BD0" w:rsidRPr="00D05019" w:rsidRDefault="00E72BD0" w:rsidP="00C35C14">
            <w:pPr>
              <w:jc w:val="center"/>
              <w:rPr>
                <w:spacing w:val="-7"/>
                <w:lang w:val="id-ID"/>
              </w:rPr>
            </w:pPr>
          </w:p>
        </w:tc>
      </w:tr>
      <w:tr w:rsidR="00E72BD0" w:rsidRPr="00D05019" w14:paraId="43E35E7F" w14:textId="77777777" w:rsidTr="00885827">
        <w:trPr>
          <w:trHeight w:val="20"/>
          <w:jc w:val="center"/>
        </w:trPr>
        <w:tc>
          <w:tcPr>
            <w:tcW w:w="1985" w:type="dxa"/>
            <w:noWrap/>
            <w:vAlign w:val="bottom"/>
          </w:tcPr>
          <w:p w14:paraId="060ADD3E" w14:textId="77777777" w:rsidR="00E72BD0" w:rsidRPr="008C49B7" w:rsidRDefault="00E72BD0" w:rsidP="00C35C14">
            <w:pPr>
              <w:ind w:left="255"/>
              <w:rPr>
                <w:iCs/>
                <w:spacing w:val="-7"/>
              </w:rPr>
            </w:pPr>
            <w:r>
              <w:rPr>
                <w:iCs/>
                <w:spacing w:val="-7"/>
              </w:rPr>
              <w:t>Women</w:t>
            </w:r>
          </w:p>
        </w:tc>
        <w:tc>
          <w:tcPr>
            <w:tcW w:w="1134" w:type="dxa"/>
            <w:noWrap/>
            <w:vAlign w:val="bottom"/>
          </w:tcPr>
          <w:p w14:paraId="69D64533" w14:textId="77777777" w:rsidR="00E72BD0" w:rsidRPr="008C49B7" w:rsidRDefault="00E72BD0" w:rsidP="00C35C14">
            <w:pPr>
              <w:jc w:val="center"/>
              <w:rPr>
                <w:spacing w:val="-7"/>
              </w:rPr>
            </w:pPr>
            <w:r>
              <w:rPr>
                <w:spacing w:val="-7"/>
              </w:rPr>
              <w:t>90</w:t>
            </w:r>
          </w:p>
        </w:tc>
        <w:tc>
          <w:tcPr>
            <w:tcW w:w="1134" w:type="dxa"/>
            <w:noWrap/>
            <w:vAlign w:val="bottom"/>
          </w:tcPr>
          <w:p w14:paraId="5C299FC6" w14:textId="77777777" w:rsidR="00E72BD0" w:rsidRPr="008C49B7" w:rsidRDefault="00E72BD0" w:rsidP="00C35C14">
            <w:pPr>
              <w:jc w:val="center"/>
              <w:rPr>
                <w:spacing w:val="-7"/>
              </w:rPr>
            </w:pPr>
            <w:r>
              <w:rPr>
                <w:spacing w:val="-7"/>
              </w:rPr>
              <w:t>100</w:t>
            </w:r>
          </w:p>
        </w:tc>
      </w:tr>
      <w:tr w:rsidR="00E72BD0" w:rsidRPr="00D05019" w14:paraId="747DF3B0" w14:textId="77777777" w:rsidTr="00885827">
        <w:trPr>
          <w:trHeight w:val="20"/>
          <w:jc w:val="center"/>
        </w:trPr>
        <w:tc>
          <w:tcPr>
            <w:tcW w:w="1985" w:type="dxa"/>
            <w:noWrap/>
            <w:vAlign w:val="bottom"/>
          </w:tcPr>
          <w:p w14:paraId="04AD19BD" w14:textId="77777777" w:rsidR="00E72BD0" w:rsidRPr="008C49B7" w:rsidRDefault="00E72BD0" w:rsidP="00C35C14">
            <w:pPr>
              <w:ind w:left="255"/>
              <w:rPr>
                <w:iCs/>
                <w:spacing w:val="-7"/>
              </w:rPr>
            </w:pPr>
            <w:r>
              <w:rPr>
                <w:iCs/>
                <w:spacing w:val="-7"/>
              </w:rPr>
              <w:t>Men</w:t>
            </w:r>
          </w:p>
        </w:tc>
        <w:tc>
          <w:tcPr>
            <w:tcW w:w="1134" w:type="dxa"/>
            <w:noWrap/>
            <w:vAlign w:val="bottom"/>
          </w:tcPr>
          <w:p w14:paraId="7FC114D7" w14:textId="77777777" w:rsidR="00E72BD0" w:rsidRPr="008C49B7" w:rsidRDefault="00E72BD0" w:rsidP="00C35C14">
            <w:pPr>
              <w:jc w:val="center"/>
              <w:rPr>
                <w:spacing w:val="-7"/>
              </w:rPr>
            </w:pPr>
            <w:r>
              <w:rPr>
                <w:spacing w:val="-7"/>
              </w:rPr>
              <w:t>0</w:t>
            </w:r>
          </w:p>
        </w:tc>
        <w:tc>
          <w:tcPr>
            <w:tcW w:w="1134" w:type="dxa"/>
            <w:noWrap/>
            <w:vAlign w:val="bottom"/>
          </w:tcPr>
          <w:p w14:paraId="2D496A40" w14:textId="77777777" w:rsidR="00E72BD0" w:rsidRPr="008C49B7" w:rsidRDefault="00E72BD0" w:rsidP="00C35C14">
            <w:pPr>
              <w:jc w:val="center"/>
              <w:rPr>
                <w:spacing w:val="-7"/>
              </w:rPr>
            </w:pPr>
            <w:r>
              <w:rPr>
                <w:spacing w:val="-7"/>
              </w:rPr>
              <w:t>0,0</w:t>
            </w:r>
          </w:p>
        </w:tc>
      </w:tr>
      <w:tr w:rsidR="00E72BD0" w:rsidRPr="00D05019" w14:paraId="0FE99436" w14:textId="77777777" w:rsidTr="00885827">
        <w:trPr>
          <w:trHeight w:val="20"/>
          <w:jc w:val="center"/>
        </w:trPr>
        <w:tc>
          <w:tcPr>
            <w:tcW w:w="1985" w:type="dxa"/>
            <w:noWrap/>
            <w:vAlign w:val="bottom"/>
          </w:tcPr>
          <w:p w14:paraId="1EFA89FF" w14:textId="77777777" w:rsidR="00E72BD0" w:rsidRPr="008C49B7" w:rsidRDefault="00E72BD0" w:rsidP="00C35C14">
            <w:pPr>
              <w:rPr>
                <w:iCs/>
                <w:spacing w:val="-7"/>
              </w:rPr>
            </w:pPr>
            <w:r>
              <w:rPr>
                <w:iCs/>
                <w:spacing w:val="-7"/>
              </w:rPr>
              <w:t>Age (years)</w:t>
            </w:r>
          </w:p>
        </w:tc>
        <w:tc>
          <w:tcPr>
            <w:tcW w:w="1134" w:type="dxa"/>
            <w:noWrap/>
            <w:vAlign w:val="bottom"/>
          </w:tcPr>
          <w:p w14:paraId="0C8CB436" w14:textId="77777777" w:rsidR="00E72BD0" w:rsidRPr="008C49B7" w:rsidRDefault="00E72BD0" w:rsidP="00C35C14">
            <w:pPr>
              <w:jc w:val="center"/>
              <w:rPr>
                <w:spacing w:val="-7"/>
              </w:rPr>
            </w:pPr>
          </w:p>
        </w:tc>
        <w:tc>
          <w:tcPr>
            <w:tcW w:w="1134" w:type="dxa"/>
            <w:noWrap/>
            <w:vAlign w:val="bottom"/>
          </w:tcPr>
          <w:p w14:paraId="0CEA346B" w14:textId="77777777" w:rsidR="00E72BD0" w:rsidRPr="00D05019" w:rsidRDefault="00E72BD0" w:rsidP="00C35C14">
            <w:pPr>
              <w:jc w:val="center"/>
              <w:rPr>
                <w:spacing w:val="-7"/>
                <w:lang w:val="id-ID"/>
              </w:rPr>
            </w:pPr>
          </w:p>
        </w:tc>
      </w:tr>
      <w:tr w:rsidR="00E72BD0" w:rsidRPr="00D05019" w14:paraId="7B6BBC94" w14:textId="77777777" w:rsidTr="00885827">
        <w:trPr>
          <w:trHeight w:val="20"/>
          <w:jc w:val="center"/>
        </w:trPr>
        <w:tc>
          <w:tcPr>
            <w:tcW w:w="1985" w:type="dxa"/>
            <w:noWrap/>
            <w:vAlign w:val="bottom"/>
          </w:tcPr>
          <w:p w14:paraId="0EE79CF5" w14:textId="77777777" w:rsidR="00E72BD0" w:rsidRPr="008C49B7" w:rsidRDefault="00E72BD0" w:rsidP="00C35C14">
            <w:pPr>
              <w:ind w:left="255"/>
              <w:rPr>
                <w:iCs/>
                <w:spacing w:val="-7"/>
              </w:rPr>
            </w:pPr>
            <w:r>
              <w:rPr>
                <w:iCs/>
                <w:spacing w:val="-7"/>
              </w:rPr>
              <w:t>20-29</w:t>
            </w:r>
          </w:p>
        </w:tc>
        <w:tc>
          <w:tcPr>
            <w:tcW w:w="1134" w:type="dxa"/>
            <w:noWrap/>
            <w:vAlign w:val="bottom"/>
          </w:tcPr>
          <w:p w14:paraId="667D2577" w14:textId="77777777" w:rsidR="00E72BD0" w:rsidRPr="008C49B7" w:rsidRDefault="00E72BD0" w:rsidP="00C35C14">
            <w:pPr>
              <w:jc w:val="center"/>
              <w:rPr>
                <w:spacing w:val="-7"/>
              </w:rPr>
            </w:pPr>
            <w:r>
              <w:rPr>
                <w:spacing w:val="-7"/>
              </w:rPr>
              <w:t>0</w:t>
            </w:r>
          </w:p>
        </w:tc>
        <w:tc>
          <w:tcPr>
            <w:tcW w:w="1134" w:type="dxa"/>
            <w:noWrap/>
            <w:vAlign w:val="bottom"/>
          </w:tcPr>
          <w:p w14:paraId="6A13247D" w14:textId="77777777" w:rsidR="00E72BD0" w:rsidRPr="008C49B7" w:rsidRDefault="00E72BD0" w:rsidP="00C35C14">
            <w:pPr>
              <w:jc w:val="center"/>
              <w:rPr>
                <w:spacing w:val="-7"/>
              </w:rPr>
            </w:pPr>
            <w:r>
              <w:rPr>
                <w:spacing w:val="-7"/>
              </w:rPr>
              <w:t>0,0</w:t>
            </w:r>
          </w:p>
        </w:tc>
      </w:tr>
      <w:tr w:rsidR="00E72BD0" w:rsidRPr="00D05019" w14:paraId="2A6E2905" w14:textId="77777777" w:rsidTr="00885827">
        <w:trPr>
          <w:trHeight w:val="20"/>
          <w:jc w:val="center"/>
        </w:trPr>
        <w:tc>
          <w:tcPr>
            <w:tcW w:w="1985" w:type="dxa"/>
            <w:noWrap/>
            <w:vAlign w:val="bottom"/>
          </w:tcPr>
          <w:p w14:paraId="6F2E6C8E" w14:textId="77777777" w:rsidR="00E72BD0" w:rsidRPr="008C49B7" w:rsidRDefault="00E72BD0" w:rsidP="00C35C14">
            <w:pPr>
              <w:ind w:left="255"/>
              <w:rPr>
                <w:iCs/>
                <w:spacing w:val="-7"/>
              </w:rPr>
            </w:pPr>
            <w:r>
              <w:rPr>
                <w:iCs/>
                <w:spacing w:val="-7"/>
              </w:rPr>
              <w:t>30-39</w:t>
            </w:r>
          </w:p>
        </w:tc>
        <w:tc>
          <w:tcPr>
            <w:tcW w:w="1134" w:type="dxa"/>
            <w:noWrap/>
            <w:vAlign w:val="bottom"/>
          </w:tcPr>
          <w:p w14:paraId="630767EA" w14:textId="77777777" w:rsidR="00E72BD0" w:rsidRPr="008C49B7" w:rsidRDefault="00E72BD0" w:rsidP="00885827">
            <w:pPr>
              <w:jc w:val="center"/>
              <w:rPr>
                <w:spacing w:val="-7"/>
              </w:rPr>
            </w:pPr>
            <w:r>
              <w:rPr>
                <w:spacing w:val="-7"/>
              </w:rPr>
              <w:t>4</w:t>
            </w:r>
          </w:p>
        </w:tc>
        <w:tc>
          <w:tcPr>
            <w:tcW w:w="1134" w:type="dxa"/>
            <w:noWrap/>
            <w:vAlign w:val="bottom"/>
          </w:tcPr>
          <w:p w14:paraId="2E2A5E3D" w14:textId="77777777" w:rsidR="00E72BD0" w:rsidRPr="008C49B7" w:rsidRDefault="00E72BD0" w:rsidP="00C35C14">
            <w:pPr>
              <w:jc w:val="center"/>
              <w:rPr>
                <w:spacing w:val="-7"/>
              </w:rPr>
            </w:pPr>
            <w:r>
              <w:rPr>
                <w:spacing w:val="-7"/>
              </w:rPr>
              <w:t>4,4</w:t>
            </w:r>
          </w:p>
        </w:tc>
      </w:tr>
      <w:tr w:rsidR="00E72BD0" w:rsidRPr="00D05019" w14:paraId="50D4106B" w14:textId="77777777" w:rsidTr="00885827">
        <w:trPr>
          <w:trHeight w:val="20"/>
          <w:jc w:val="center"/>
        </w:trPr>
        <w:tc>
          <w:tcPr>
            <w:tcW w:w="1985" w:type="dxa"/>
            <w:noWrap/>
            <w:vAlign w:val="bottom"/>
          </w:tcPr>
          <w:p w14:paraId="5F287D01" w14:textId="77777777" w:rsidR="00E72BD0" w:rsidRPr="008C49B7" w:rsidRDefault="00E72BD0" w:rsidP="00C35C14">
            <w:pPr>
              <w:ind w:left="255"/>
              <w:rPr>
                <w:iCs/>
                <w:spacing w:val="-7"/>
              </w:rPr>
            </w:pPr>
            <w:r>
              <w:rPr>
                <w:iCs/>
                <w:spacing w:val="-7"/>
              </w:rPr>
              <w:t>40-49</w:t>
            </w:r>
          </w:p>
        </w:tc>
        <w:tc>
          <w:tcPr>
            <w:tcW w:w="1134" w:type="dxa"/>
            <w:noWrap/>
            <w:vAlign w:val="bottom"/>
          </w:tcPr>
          <w:p w14:paraId="2F50878D" w14:textId="77777777" w:rsidR="00E72BD0" w:rsidRPr="008C49B7" w:rsidRDefault="00E72BD0" w:rsidP="00C35C14">
            <w:pPr>
              <w:jc w:val="center"/>
              <w:rPr>
                <w:spacing w:val="-7"/>
              </w:rPr>
            </w:pPr>
            <w:r>
              <w:rPr>
                <w:spacing w:val="-7"/>
              </w:rPr>
              <w:t>26</w:t>
            </w:r>
          </w:p>
        </w:tc>
        <w:tc>
          <w:tcPr>
            <w:tcW w:w="1134" w:type="dxa"/>
            <w:noWrap/>
            <w:vAlign w:val="bottom"/>
          </w:tcPr>
          <w:p w14:paraId="3F6CED30" w14:textId="77777777" w:rsidR="00E72BD0" w:rsidRPr="008C49B7" w:rsidRDefault="00E72BD0" w:rsidP="00C35C14">
            <w:pPr>
              <w:jc w:val="center"/>
              <w:rPr>
                <w:spacing w:val="-7"/>
              </w:rPr>
            </w:pPr>
            <w:r>
              <w:rPr>
                <w:spacing w:val="-7"/>
              </w:rPr>
              <w:t>28,9</w:t>
            </w:r>
          </w:p>
        </w:tc>
      </w:tr>
      <w:tr w:rsidR="00E72BD0" w:rsidRPr="00D05019" w14:paraId="6FFF8CE0" w14:textId="77777777" w:rsidTr="00885827">
        <w:trPr>
          <w:trHeight w:val="20"/>
          <w:jc w:val="center"/>
        </w:trPr>
        <w:tc>
          <w:tcPr>
            <w:tcW w:w="1985" w:type="dxa"/>
            <w:noWrap/>
            <w:vAlign w:val="bottom"/>
          </w:tcPr>
          <w:p w14:paraId="7286CBBC" w14:textId="77777777" w:rsidR="00E72BD0" w:rsidRPr="008C49B7" w:rsidRDefault="00E72BD0" w:rsidP="00C35C14">
            <w:pPr>
              <w:ind w:left="255"/>
              <w:rPr>
                <w:iCs/>
                <w:spacing w:val="-7"/>
              </w:rPr>
            </w:pPr>
            <w:r>
              <w:rPr>
                <w:iCs/>
                <w:spacing w:val="-7"/>
              </w:rPr>
              <w:t>50-59</w:t>
            </w:r>
          </w:p>
        </w:tc>
        <w:tc>
          <w:tcPr>
            <w:tcW w:w="1134" w:type="dxa"/>
            <w:noWrap/>
            <w:vAlign w:val="bottom"/>
          </w:tcPr>
          <w:p w14:paraId="3842D698" w14:textId="77777777" w:rsidR="00E72BD0" w:rsidRPr="008C49B7" w:rsidRDefault="00E72BD0" w:rsidP="00C35C14">
            <w:pPr>
              <w:jc w:val="center"/>
              <w:rPr>
                <w:spacing w:val="-7"/>
              </w:rPr>
            </w:pPr>
            <w:r>
              <w:rPr>
                <w:spacing w:val="-7"/>
              </w:rPr>
              <w:t>32</w:t>
            </w:r>
          </w:p>
        </w:tc>
        <w:tc>
          <w:tcPr>
            <w:tcW w:w="1134" w:type="dxa"/>
            <w:noWrap/>
            <w:vAlign w:val="bottom"/>
          </w:tcPr>
          <w:p w14:paraId="772F6340" w14:textId="77777777" w:rsidR="00E72BD0" w:rsidRPr="008C49B7" w:rsidRDefault="00E72BD0" w:rsidP="00C35C14">
            <w:pPr>
              <w:jc w:val="center"/>
              <w:rPr>
                <w:spacing w:val="-7"/>
              </w:rPr>
            </w:pPr>
            <w:r>
              <w:rPr>
                <w:spacing w:val="-7"/>
              </w:rPr>
              <w:t>35,6</w:t>
            </w:r>
          </w:p>
        </w:tc>
      </w:tr>
      <w:tr w:rsidR="00E72BD0" w:rsidRPr="00D05019" w14:paraId="3475A719" w14:textId="77777777" w:rsidTr="00885827">
        <w:trPr>
          <w:trHeight w:val="20"/>
          <w:jc w:val="center"/>
        </w:trPr>
        <w:tc>
          <w:tcPr>
            <w:tcW w:w="1985" w:type="dxa"/>
            <w:tcBorders>
              <w:bottom w:val="single" w:sz="4" w:space="0" w:color="auto"/>
            </w:tcBorders>
            <w:noWrap/>
            <w:vAlign w:val="bottom"/>
          </w:tcPr>
          <w:p w14:paraId="39CC6CAE" w14:textId="77777777" w:rsidR="00E72BD0" w:rsidRPr="008C49B7" w:rsidRDefault="00E72BD0" w:rsidP="00C35C14">
            <w:pPr>
              <w:ind w:left="255"/>
              <w:rPr>
                <w:iCs/>
                <w:spacing w:val="-7"/>
              </w:rPr>
            </w:pPr>
            <w:r w:rsidRPr="00B80410">
              <w:rPr>
                <w:color w:val="000000"/>
              </w:rPr>
              <w:t>≥60</w:t>
            </w:r>
          </w:p>
        </w:tc>
        <w:tc>
          <w:tcPr>
            <w:tcW w:w="1134" w:type="dxa"/>
            <w:tcBorders>
              <w:bottom w:val="single" w:sz="4" w:space="0" w:color="auto"/>
            </w:tcBorders>
            <w:noWrap/>
            <w:vAlign w:val="bottom"/>
          </w:tcPr>
          <w:p w14:paraId="72721A10" w14:textId="77777777" w:rsidR="00E72BD0" w:rsidRPr="008C49B7" w:rsidRDefault="00E72BD0" w:rsidP="00C35C14">
            <w:pPr>
              <w:jc w:val="center"/>
              <w:rPr>
                <w:spacing w:val="-7"/>
              </w:rPr>
            </w:pPr>
            <w:r>
              <w:rPr>
                <w:spacing w:val="-7"/>
              </w:rPr>
              <w:t>28</w:t>
            </w:r>
          </w:p>
        </w:tc>
        <w:tc>
          <w:tcPr>
            <w:tcW w:w="1134" w:type="dxa"/>
            <w:tcBorders>
              <w:bottom w:val="single" w:sz="4" w:space="0" w:color="auto"/>
            </w:tcBorders>
            <w:noWrap/>
            <w:vAlign w:val="bottom"/>
          </w:tcPr>
          <w:p w14:paraId="1E5EC343" w14:textId="77777777" w:rsidR="00E72BD0" w:rsidRPr="008C49B7" w:rsidRDefault="00E72BD0" w:rsidP="00C35C14">
            <w:pPr>
              <w:jc w:val="center"/>
              <w:rPr>
                <w:spacing w:val="-7"/>
              </w:rPr>
            </w:pPr>
            <w:r>
              <w:rPr>
                <w:spacing w:val="-7"/>
              </w:rPr>
              <w:t>31,1</w:t>
            </w:r>
          </w:p>
        </w:tc>
      </w:tr>
    </w:tbl>
    <w:p w14:paraId="2098480B" w14:textId="77777777" w:rsidR="00E72BD0" w:rsidRPr="008C49B7" w:rsidRDefault="00E72BD0" w:rsidP="00E72BD0">
      <w:pPr>
        <w:pStyle w:val="BodyText2"/>
        <w:spacing w:line="235" w:lineRule="auto"/>
      </w:pPr>
      <w:r>
        <w:t>N: number of patients, %: percentage</w:t>
      </w:r>
    </w:p>
    <w:p w14:paraId="0D109F4C" w14:textId="77777777" w:rsidR="00E72BD0" w:rsidRDefault="00E72BD0" w:rsidP="00885827">
      <w:pPr>
        <w:pStyle w:val="BodyText2"/>
        <w:spacing w:line="235" w:lineRule="auto"/>
        <w:ind w:firstLine="426"/>
        <w:jc w:val="both"/>
        <w:rPr>
          <w:lang w:val="id-ID"/>
        </w:rPr>
      </w:pPr>
      <w:r w:rsidRPr="004068F6">
        <w:rPr>
          <w:lang w:val="id-ID"/>
        </w:rPr>
        <w:t xml:space="preserve">All patients included in this study were female (100%). The age distribution demonstrated that the majority of patients were within the 50–59-year age group, accounting for 35.6% of cases. This was followed by patients aged ≥60 years (31.1%) and those aged 40–49 years (28.9%). A smaller proportion of patients were within the 30–39-year age group (4.4%), and no cases were identified among individuals aged 20–29 years. </w:t>
      </w:r>
    </w:p>
    <w:p w14:paraId="51BBDD28" w14:textId="77777777" w:rsidR="00E72BD0" w:rsidRDefault="00E72BD0" w:rsidP="00885827">
      <w:pPr>
        <w:pStyle w:val="BodyText2"/>
        <w:spacing w:line="235" w:lineRule="auto"/>
        <w:ind w:firstLine="426"/>
        <w:jc w:val="both"/>
        <w:rPr>
          <w:lang w:val="id-ID"/>
        </w:rPr>
      </w:pPr>
    </w:p>
    <w:p w14:paraId="2F202A5D" w14:textId="36BF49A2" w:rsidR="00E72BD0" w:rsidRPr="00B80410" w:rsidRDefault="00051855" w:rsidP="00885827">
      <w:pPr>
        <w:pStyle w:val="BodyText2"/>
        <w:spacing w:line="235" w:lineRule="auto"/>
        <w:ind w:firstLine="425"/>
        <w:jc w:val="both"/>
      </w:pPr>
      <w:r>
        <w:rPr>
          <w:b/>
          <w:bCs/>
          <w:spacing w:val="-7"/>
        </w:rPr>
        <w:t xml:space="preserve">Table </w:t>
      </w:r>
      <w:proofErr w:type="gramStart"/>
      <w:r>
        <w:rPr>
          <w:b/>
          <w:bCs/>
          <w:spacing w:val="-7"/>
        </w:rPr>
        <w:t xml:space="preserve">2 </w:t>
      </w:r>
      <w:r w:rsidR="00E72BD0">
        <w:rPr>
          <w:spacing w:val="-7"/>
        </w:rPr>
        <w:t xml:space="preserve"> presents</w:t>
      </w:r>
      <w:proofErr w:type="gramEnd"/>
      <w:r w:rsidR="00E72BD0">
        <w:rPr>
          <w:spacing w:val="-7"/>
        </w:rPr>
        <w:t xml:space="preserve"> the clinical characteristics of carcinoma mammae patients with bone metastasis treated at Prof. </w:t>
      </w:r>
      <w:proofErr w:type="spellStart"/>
      <w:r w:rsidR="00E72BD0">
        <w:rPr>
          <w:spacing w:val="-7"/>
        </w:rPr>
        <w:t>Dr.I.G.N.G.Ngoerah</w:t>
      </w:r>
      <w:proofErr w:type="spellEnd"/>
      <w:r w:rsidR="00E72BD0">
        <w:rPr>
          <w:spacing w:val="-7"/>
        </w:rPr>
        <w:t xml:space="preserve"> General Hospital Denpasar throughout 2022-2024. </w:t>
      </w:r>
    </w:p>
    <w:p w14:paraId="0005FBAB" w14:textId="10CC7EB4" w:rsidR="00E72BD0" w:rsidRPr="008C49B7" w:rsidRDefault="00051855" w:rsidP="00885827">
      <w:pPr>
        <w:spacing w:after="120"/>
        <w:ind w:left="1080" w:hanging="1080"/>
        <w:jc w:val="both"/>
        <w:rPr>
          <w:b/>
          <w:iCs/>
          <w:spacing w:val="-7"/>
        </w:rPr>
      </w:pPr>
      <w:r>
        <w:rPr>
          <w:b/>
          <w:iCs/>
          <w:spacing w:val="-7"/>
          <w:lang w:val="id-ID"/>
        </w:rPr>
        <w:t xml:space="preserve">Table 2 </w:t>
      </w:r>
      <w:r w:rsidR="00E72BD0" w:rsidRPr="00B80410">
        <w:rPr>
          <w:b/>
          <w:iCs/>
          <w:spacing w:val="-7"/>
          <w:lang w:val="id-ID"/>
        </w:rPr>
        <w:t xml:space="preserve"> </w:t>
      </w:r>
      <w:r w:rsidR="00E72BD0" w:rsidRPr="00B80410">
        <w:rPr>
          <w:b/>
          <w:iCs/>
          <w:spacing w:val="-7"/>
          <w:lang w:val="id-ID"/>
        </w:rPr>
        <w:tab/>
      </w:r>
      <w:r w:rsidR="00E72BD0">
        <w:rPr>
          <w:iCs/>
          <w:spacing w:val="-7"/>
        </w:rPr>
        <w:t xml:space="preserve">Clinical Characteristics of Carcinoma Mammae with Bone Metastasis in Research Samples </w:t>
      </w:r>
    </w:p>
    <w:tbl>
      <w:tblPr>
        <w:tblW w:w="4253" w:type="dxa"/>
        <w:jc w:val="center"/>
        <w:tblLayout w:type="fixed"/>
        <w:tblCellMar>
          <w:left w:w="28" w:type="dxa"/>
          <w:right w:w="28" w:type="dxa"/>
        </w:tblCellMar>
        <w:tblLook w:val="0000" w:firstRow="0" w:lastRow="0" w:firstColumn="0" w:lastColumn="0" w:noHBand="0" w:noVBand="0"/>
      </w:tblPr>
      <w:tblGrid>
        <w:gridCol w:w="1985"/>
        <w:gridCol w:w="1134"/>
        <w:gridCol w:w="1134"/>
      </w:tblGrid>
      <w:tr w:rsidR="00E72BD0" w:rsidRPr="00D05019" w14:paraId="5629D571" w14:textId="77777777" w:rsidTr="00885827">
        <w:trPr>
          <w:cantSplit/>
          <w:trHeight w:val="20"/>
          <w:jc w:val="center"/>
        </w:trPr>
        <w:tc>
          <w:tcPr>
            <w:tcW w:w="1985" w:type="dxa"/>
            <w:tcBorders>
              <w:top w:val="single" w:sz="4" w:space="0" w:color="auto"/>
              <w:bottom w:val="single" w:sz="4" w:space="0" w:color="auto"/>
            </w:tcBorders>
            <w:noWrap/>
          </w:tcPr>
          <w:p w14:paraId="00948659" w14:textId="77777777" w:rsidR="00E72BD0" w:rsidRPr="008C49B7" w:rsidRDefault="00E72BD0" w:rsidP="00C35C14">
            <w:pPr>
              <w:spacing w:line="228" w:lineRule="auto"/>
              <w:jc w:val="center"/>
              <w:rPr>
                <w:bCs/>
                <w:spacing w:val="-7"/>
              </w:rPr>
            </w:pPr>
            <w:r>
              <w:rPr>
                <w:bCs/>
                <w:spacing w:val="-7"/>
              </w:rPr>
              <w:t>Variable</w:t>
            </w:r>
          </w:p>
        </w:tc>
        <w:tc>
          <w:tcPr>
            <w:tcW w:w="1134" w:type="dxa"/>
            <w:tcBorders>
              <w:top w:val="single" w:sz="4" w:space="0" w:color="auto"/>
              <w:bottom w:val="single" w:sz="4" w:space="0" w:color="auto"/>
            </w:tcBorders>
            <w:noWrap/>
          </w:tcPr>
          <w:p w14:paraId="5CF2B2CA" w14:textId="77777777" w:rsidR="00E72BD0" w:rsidRPr="008C49B7" w:rsidRDefault="00E72BD0" w:rsidP="00C35C14">
            <w:pPr>
              <w:spacing w:line="228" w:lineRule="auto"/>
              <w:jc w:val="center"/>
              <w:rPr>
                <w:bCs/>
                <w:spacing w:val="-7"/>
              </w:rPr>
            </w:pPr>
            <w:r>
              <w:rPr>
                <w:bCs/>
                <w:spacing w:val="-7"/>
              </w:rPr>
              <w:t>N</w:t>
            </w:r>
          </w:p>
        </w:tc>
        <w:tc>
          <w:tcPr>
            <w:tcW w:w="1134" w:type="dxa"/>
            <w:tcBorders>
              <w:top w:val="single" w:sz="4" w:space="0" w:color="auto"/>
              <w:bottom w:val="single" w:sz="4" w:space="0" w:color="auto"/>
            </w:tcBorders>
            <w:noWrap/>
          </w:tcPr>
          <w:p w14:paraId="65C1C830" w14:textId="77777777" w:rsidR="00E72BD0" w:rsidRPr="008C49B7" w:rsidRDefault="00E72BD0" w:rsidP="00C35C14">
            <w:pPr>
              <w:spacing w:line="228" w:lineRule="auto"/>
              <w:jc w:val="center"/>
              <w:rPr>
                <w:bCs/>
                <w:spacing w:val="-7"/>
              </w:rPr>
            </w:pPr>
            <w:r>
              <w:rPr>
                <w:bCs/>
                <w:spacing w:val="-7"/>
              </w:rPr>
              <w:t>%</w:t>
            </w:r>
          </w:p>
        </w:tc>
      </w:tr>
      <w:tr w:rsidR="00E72BD0" w:rsidRPr="00D05019" w14:paraId="4260DCED" w14:textId="77777777" w:rsidTr="00885827">
        <w:trPr>
          <w:trHeight w:val="20"/>
          <w:jc w:val="center"/>
        </w:trPr>
        <w:tc>
          <w:tcPr>
            <w:tcW w:w="1985" w:type="dxa"/>
            <w:tcBorders>
              <w:top w:val="single" w:sz="4" w:space="0" w:color="auto"/>
            </w:tcBorders>
            <w:noWrap/>
            <w:vAlign w:val="bottom"/>
          </w:tcPr>
          <w:p w14:paraId="1DEE417F" w14:textId="77777777" w:rsidR="00E72BD0" w:rsidRPr="008C49B7" w:rsidRDefault="00E72BD0" w:rsidP="00C35C14">
            <w:pPr>
              <w:rPr>
                <w:iCs/>
                <w:spacing w:val="-7"/>
              </w:rPr>
            </w:pPr>
            <w:r>
              <w:rPr>
                <w:iCs/>
                <w:spacing w:val="-7"/>
              </w:rPr>
              <w:t xml:space="preserve">Tumor lateralization </w:t>
            </w:r>
          </w:p>
        </w:tc>
        <w:tc>
          <w:tcPr>
            <w:tcW w:w="1134" w:type="dxa"/>
            <w:tcBorders>
              <w:top w:val="single" w:sz="4" w:space="0" w:color="auto"/>
            </w:tcBorders>
            <w:noWrap/>
            <w:vAlign w:val="bottom"/>
          </w:tcPr>
          <w:p w14:paraId="585358C3" w14:textId="77777777" w:rsidR="00E72BD0" w:rsidRPr="008C49B7" w:rsidRDefault="00E72BD0" w:rsidP="00C35C14">
            <w:pPr>
              <w:jc w:val="center"/>
              <w:rPr>
                <w:spacing w:val="-7"/>
              </w:rPr>
            </w:pPr>
          </w:p>
        </w:tc>
        <w:tc>
          <w:tcPr>
            <w:tcW w:w="1134" w:type="dxa"/>
            <w:tcBorders>
              <w:top w:val="single" w:sz="4" w:space="0" w:color="auto"/>
            </w:tcBorders>
            <w:noWrap/>
            <w:vAlign w:val="bottom"/>
          </w:tcPr>
          <w:p w14:paraId="10811074" w14:textId="77777777" w:rsidR="00E72BD0" w:rsidRPr="00D05019" w:rsidRDefault="00E72BD0" w:rsidP="00C35C14">
            <w:pPr>
              <w:jc w:val="center"/>
              <w:rPr>
                <w:spacing w:val="-7"/>
                <w:lang w:val="id-ID"/>
              </w:rPr>
            </w:pPr>
          </w:p>
        </w:tc>
      </w:tr>
      <w:tr w:rsidR="00E72BD0" w:rsidRPr="00D05019" w14:paraId="1FB0BFE4" w14:textId="77777777" w:rsidTr="00885827">
        <w:trPr>
          <w:trHeight w:val="20"/>
          <w:jc w:val="center"/>
        </w:trPr>
        <w:tc>
          <w:tcPr>
            <w:tcW w:w="1985" w:type="dxa"/>
            <w:noWrap/>
            <w:vAlign w:val="bottom"/>
          </w:tcPr>
          <w:p w14:paraId="19083F13" w14:textId="77777777" w:rsidR="00E72BD0" w:rsidRPr="008C49B7" w:rsidRDefault="00E72BD0" w:rsidP="00C35C14">
            <w:pPr>
              <w:ind w:left="255"/>
              <w:rPr>
                <w:iCs/>
                <w:spacing w:val="-7"/>
              </w:rPr>
            </w:pPr>
            <w:proofErr w:type="spellStart"/>
            <w:r>
              <w:rPr>
                <w:iCs/>
                <w:spacing w:val="-7"/>
              </w:rPr>
              <w:t>Mammae</w:t>
            </w:r>
            <w:proofErr w:type="spellEnd"/>
            <w:r>
              <w:rPr>
                <w:iCs/>
                <w:spacing w:val="-7"/>
              </w:rPr>
              <w:t xml:space="preserve"> </w:t>
            </w:r>
            <w:proofErr w:type="spellStart"/>
            <w:r>
              <w:rPr>
                <w:iCs/>
                <w:spacing w:val="-7"/>
              </w:rPr>
              <w:t>Dextra</w:t>
            </w:r>
            <w:proofErr w:type="spellEnd"/>
          </w:p>
        </w:tc>
        <w:tc>
          <w:tcPr>
            <w:tcW w:w="1134" w:type="dxa"/>
            <w:noWrap/>
            <w:vAlign w:val="bottom"/>
          </w:tcPr>
          <w:p w14:paraId="6C68809C" w14:textId="77777777" w:rsidR="00E72BD0" w:rsidRPr="008C49B7" w:rsidRDefault="00E72BD0" w:rsidP="00C35C14">
            <w:pPr>
              <w:jc w:val="center"/>
              <w:rPr>
                <w:spacing w:val="-7"/>
              </w:rPr>
            </w:pPr>
            <w:r>
              <w:rPr>
                <w:spacing w:val="-7"/>
              </w:rPr>
              <w:t>46</w:t>
            </w:r>
          </w:p>
        </w:tc>
        <w:tc>
          <w:tcPr>
            <w:tcW w:w="1134" w:type="dxa"/>
            <w:noWrap/>
            <w:vAlign w:val="bottom"/>
          </w:tcPr>
          <w:p w14:paraId="001AD02B" w14:textId="77777777" w:rsidR="00E72BD0" w:rsidRPr="008C49B7" w:rsidRDefault="00E72BD0" w:rsidP="00C35C14">
            <w:pPr>
              <w:jc w:val="center"/>
              <w:rPr>
                <w:spacing w:val="-7"/>
              </w:rPr>
            </w:pPr>
            <w:r>
              <w:rPr>
                <w:spacing w:val="-7"/>
              </w:rPr>
              <w:t>51,1</w:t>
            </w:r>
          </w:p>
        </w:tc>
      </w:tr>
      <w:tr w:rsidR="00E72BD0" w:rsidRPr="00D05019" w14:paraId="0F5DC741" w14:textId="77777777" w:rsidTr="00885827">
        <w:trPr>
          <w:trHeight w:val="20"/>
          <w:jc w:val="center"/>
        </w:trPr>
        <w:tc>
          <w:tcPr>
            <w:tcW w:w="1985" w:type="dxa"/>
            <w:noWrap/>
            <w:vAlign w:val="bottom"/>
          </w:tcPr>
          <w:p w14:paraId="5ABE3F22" w14:textId="77777777" w:rsidR="00E72BD0" w:rsidRPr="008C49B7" w:rsidRDefault="00E72BD0" w:rsidP="00C35C14">
            <w:pPr>
              <w:ind w:left="255"/>
              <w:rPr>
                <w:iCs/>
                <w:spacing w:val="-7"/>
              </w:rPr>
            </w:pPr>
            <w:r>
              <w:rPr>
                <w:iCs/>
                <w:spacing w:val="-7"/>
              </w:rPr>
              <w:t>Mammae Sinistra</w:t>
            </w:r>
          </w:p>
        </w:tc>
        <w:tc>
          <w:tcPr>
            <w:tcW w:w="1134" w:type="dxa"/>
            <w:noWrap/>
            <w:vAlign w:val="bottom"/>
          </w:tcPr>
          <w:p w14:paraId="4F88D125" w14:textId="77777777" w:rsidR="00E72BD0" w:rsidRPr="008C49B7" w:rsidRDefault="00E72BD0" w:rsidP="00C35C14">
            <w:pPr>
              <w:jc w:val="center"/>
              <w:rPr>
                <w:spacing w:val="-7"/>
              </w:rPr>
            </w:pPr>
            <w:r>
              <w:rPr>
                <w:spacing w:val="-7"/>
              </w:rPr>
              <w:t>44</w:t>
            </w:r>
          </w:p>
        </w:tc>
        <w:tc>
          <w:tcPr>
            <w:tcW w:w="1134" w:type="dxa"/>
            <w:noWrap/>
            <w:vAlign w:val="bottom"/>
          </w:tcPr>
          <w:p w14:paraId="4ECC5175" w14:textId="77777777" w:rsidR="00E72BD0" w:rsidRPr="008C49B7" w:rsidRDefault="00E72BD0" w:rsidP="00C35C14">
            <w:pPr>
              <w:jc w:val="center"/>
              <w:rPr>
                <w:spacing w:val="-7"/>
              </w:rPr>
            </w:pPr>
            <w:r>
              <w:rPr>
                <w:spacing w:val="-7"/>
              </w:rPr>
              <w:t>48,9</w:t>
            </w:r>
          </w:p>
        </w:tc>
      </w:tr>
      <w:tr w:rsidR="00E72BD0" w:rsidRPr="00D05019" w14:paraId="757C21B0" w14:textId="77777777" w:rsidTr="00885827">
        <w:trPr>
          <w:trHeight w:val="20"/>
          <w:jc w:val="center"/>
        </w:trPr>
        <w:tc>
          <w:tcPr>
            <w:tcW w:w="1985" w:type="dxa"/>
            <w:noWrap/>
            <w:vAlign w:val="bottom"/>
          </w:tcPr>
          <w:p w14:paraId="1BB1C29C" w14:textId="77777777" w:rsidR="00E72BD0" w:rsidRPr="008C49B7" w:rsidRDefault="00E72BD0" w:rsidP="00C35C14">
            <w:pPr>
              <w:rPr>
                <w:iCs/>
                <w:spacing w:val="-7"/>
              </w:rPr>
            </w:pPr>
            <w:r>
              <w:rPr>
                <w:iCs/>
                <w:spacing w:val="-7"/>
              </w:rPr>
              <w:t xml:space="preserve">Tumor size </w:t>
            </w:r>
          </w:p>
        </w:tc>
        <w:tc>
          <w:tcPr>
            <w:tcW w:w="1134" w:type="dxa"/>
            <w:noWrap/>
            <w:vAlign w:val="bottom"/>
          </w:tcPr>
          <w:p w14:paraId="0D83A4C8" w14:textId="77777777" w:rsidR="00E72BD0" w:rsidRPr="008C49B7" w:rsidRDefault="00E72BD0" w:rsidP="00C35C14">
            <w:pPr>
              <w:jc w:val="center"/>
              <w:rPr>
                <w:spacing w:val="-7"/>
              </w:rPr>
            </w:pPr>
          </w:p>
        </w:tc>
        <w:tc>
          <w:tcPr>
            <w:tcW w:w="1134" w:type="dxa"/>
            <w:noWrap/>
            <w:vAlign w:val="bottom"/>
          </w:tcPr>
          <w:p w14:paraId="0E55326C" w14:textId="77777777" w:rsidR="00E72BD0" w:rsidRPr="00D05019" w:rsidRDefault="00E72BD0" w:rsidP="00C35C14">
            <w:pPr>
              <w:jc w:val="center"/>
              <w:rPr>
                <w:spacing w:val="-7"/>
                <w:lang w:val="id-ID"/>
              </w:rPr>
            </w:pPr>
          </w:p>
        </w:tc>
      </w:tr>
      <w:tr w:rsidR="00E72BD0" w:rsidRPr="00D05019" w14:paraId="11F04C63" w14:textId="77777777" w:rsidTr="00885827">
        <w:trPr>
          <w:trHeight w:val="20"/>
          <w:jc w:val="center"/>
        </w:trPr>
        <w:tc>
          <w:tcPr>
            <w:tcW w:w="1985" w:type="dxa"/>
            <w:noWrap/>
            <w:vAlign w:val="bottom"/>
          </w:tcPr>
          <w:p w14:paraId="36254F94" w14:textId="77777777" w:rsidR="00E72BD0" w:rsidRPr="008C49B7" w:rsidRDefault="00E72BD0" w:rsidP="00C35C14">
            <w:pPr>
              <w:ind w:left="255"/>
              <w:rPr>
                <w:iCs/>
                <w:spacing w:val="-7"/>
              </w:rPr>
            </w:pPr>
            <w:r>
              <w:rPr>
                <w:iCs/>
                <w:spacing w:val="-7"/>
              </w:rPr>
              <w:t>T1</w:t>
            </w:r>
          </w:p>
        </w:tc>
        <w:tc>
          <w:tcPr>
            <w:tcW w:w="1134" w:type="dxa"/>
            <w:noWrap/>
            <w:vAlign w:val="bottom"/>
          </w:tcPr>
          <w:p w14:paraId="506AB74F" w14:textId="77777777" w:rsidR="00E72BD0" w:rsidRPr="008C49B7" w:rsidRDefault="00E72BD0" w:rsidP="00C35C14">
            <w:pPr>
              <w:jc w:val="center"/>
              <w:rPr>
                <w:spacing w:val="-7"/>
              </w:rPr>
            </w:pPr>
            <w:r>
              <w:rPr>
                <w:spacing w:val="-7"/>
              </w:rPr>
              <w:t>1</w:t>
            </w:r>
          </w:p>
        </w:tc>
        <w:tc>
          <w:tcPr>
            <w:tcW w:w="1134" w:type="dxa"/>
            <w:noWrap/>
            <w:vAlign w:val="bottom"/>
          </w:tcPr>
          <w:p w14:paraId="290723AC" w14:textId="77777777" w:rsidR="00E72BD0" w:rsidRPr="008C49B7" w:rsidRDefault="00E72BD0" w:rsidP="00C35C14">
            <w:pPr>
              <w:jc w:val="center"/>
              <w:rPr>
                <w:spacing w:val="-7"/>
              </w:rPr>
            </w:pPr>
            <w:r>
              <w:rPr>
                <w:spacing w:val="-7"/>
              </w:rPr>
              <w:t>1,1</w:t>
            </w:r>
          </w:p>
        </w:tc>
      </w:tr>
      <w:tr w:rsidR="00E72BD0" w:rsidRPr="00D05019" w14:paraId="0CD32A97" w14:textId="77777777" w:rsidTr="00885827">
        <w:trPr>
          <w:trHeight w:val="20"/>
          <w:jc w:val="center"/>
        </w:trPr>
        <w:tc>
          <w:tcPr>
            <w:tcW w:w="1985" w:type="dxa"/>
            <w:noWrap/>
            <w:vAlign w:val="bottom"/>
          </w:tcPr>
          <w:p w14:paraId="4AAF2FB5" w14:textId="77777777" w:rsidR="00E72BD0" w:rsidRDefault="00E72BD0" w:rsidP="00C35C14">
            <w:pPr>
              <w:ind w:left="255"/>
              <w:rPr>
                <w:iCs/>
                <w:spacing w:val="-7"/>
              </w:rPr>
            </w:pPr>
            <w:r>
              <w:rPr>
                <w:iCs/>
                <w:spacing w:val="-7"/>
              </w:rPr>
              <w:t>T2</w:t>
            </w:r>
          </w:p>
        </w:tc>
        <w:tc>
          <w:tcPr>
            <w:tcW w:w="1134" w:type="dxa"/>
            <w:noWrap/>
            <w:vAlign w:val="bottom"/>
          </w:tcPr>
          <w:p w14:paraId="3DC60001" w14:textId="77777777" w:rsidR="00E72BD0" w:rsidRPr="008C49B7" w:rsidRDefault="00E72BD0" w:rsidP="00C35C14">
            <w:pPr>
              <w:jc w:val="center"/>
              <w:rPr>
                <w:spacing w:val="-7"/>
              </w:rPr>
            </w:pPr>
            <w:r>
              <w:rPr>
                <w:spacing w:val="-7"/>
              </w:rPr>
              <w:t>21</w:t>
            </w:r>
          </w:p>
        </w:tc>
        <w:tc>
          <w:tcPr>
            <w:tcW w:w="1134" w:type="dxa"/>
            <w:noWrap/>
            <w:vAlign w:val="bottom"/>
          </w:tcPr>
          <w:p w14:paraId="6FFB0A9D" w14:textId="77777777" w:rsidR="00E72BD0" w:rsidRPr="008C49B7" w:rsidRDefault="00E72BD0" w:rsidP="00C35C14">
            <w:pPr>
              <w:jc w:val="center"/>
              <w:rPr>
                <w:spacing w:val="-7"/>
              </w:rPr>
            </w:pPr>
            <w:r>
              <w:rPr>
                <w:spacing w:val="-7"/>
              </w:rPr>
              <w:t>23,2</w:t>
            </w:r>
          </w:p>
        </w:tc>
      </w:tr>
      <w:tr w:rsidR="00E72BD0" w:rsidRPr="00D05019" w14:paraId="070BF959" w14:textId="77777777" w:rsidTr="00885827">
        <w:trPr>
          <w:trHeight w:val="20"/>
          <w:jc w:val="center"/>
        </w:trPr>
        <w:tc>
          <w:tcPr>
            <w:tcW w:w="1985" w:type="dxa"/>
            <w:noWrap/>
            <w:vAlign w:val="bottom"/>
          </w:tcPr>
          <w:p w14:paraId="1C159895" w14:textId="77777777" w:rsidR="00E72BD0" w:rsidRDefault="00E72BD0" w:rsidP="00C35C14">
            <w:pPr>
              <w:ind w:left="255"/>
              <w:rPr>
                <w:iCs/>
                <w:spacing w:val="-7"/>
              </w:rPr>
            </w:pPr>
            <w:r>
              <w:rPr>
                <w:iCs/>
                <w:spacing w:val="-7"/>
              </w:rPr>
              <w:t>T3</w:t>
            </w:r>
          </w:p>
        </w:tc>
        <w:tc>
          <w:tcPr>
            <w:tcW w:w="1134" w:type="dxa"/>
            <w:noWrap/>
            <w:vAlign w:val="bottom"/>
          </w:tcPr>
          <w:p w14:paraId="038B48AD" w14:textId="77777777" w:rsidR="00E72BD0" w:rsidRPr="008C49B7" w:rsidRDefault="00E72BD0" w:rsidP="00C35C14">
            <w:pPr>
              <w:jc w:val="center"/>
              <w:rPr>
                <w:spacing w:val="-7"/>
              </w:rPr>
            </w:pPr>
            <w:r>
              <w:rPr>
                <w:spacing w:val="-7"/>
              </w:rPr>
              <w:t>10</w:t>
            </w:r>
          </w:p>
        </w:tc>
        <w:tc>
          <w:tcPr>
            <w:tcW w:w="1134" w:type="dxa"/>
            <w:noWrap/>
            <w:vAlign w:val="bottom"/>
          </w:tcPr>
          <w:p w14:paraId="116FBF56" w14:textId="77777777" w:rsidR="00E72BD0" w:rsidRPr="008C49B7" w:rsidRDefault="00E72BD0" w:rsidP="00C35C14">
            <w:pPr>
              <w:jc w:val="center"/>
              <w:rPr>
                <w:spacing w:val="-7"/>
              </w:rPr>
            </w:pPr>
            <w:r>
              <w:rPr>
                <w:spacing w:val="-7"/>
              </w:rPr>
              <w:t>11,1</w:t>
            </w:r>
          </w:p>
        </w:tc>
      </w:tr>
      <w:tr w:rsidR="00E72BD0" w:rsidRPr="00D05019" w14:paraId="64700125" w14:textId="77777777" w:rsidTr="00885827">
        <w:trPr>
          <w:trHeight w:val="20"/>
          <w:jc w:val="center"/>
        </w:trPr>
        <w:tc>
          <w:tcPr>
            <w:tcW w:w="1985" w:type="dxa"/>
            <w:noWrap/>
            <w:vAlign w:val="bottom"/>
          </w:tcPr>
          <w:p w14:paraId="71697A29" w14:textId="77777777" w:rsidR="00E72BD0" w:rsidRDefault="00E72BD0" w:rsidP="00C35C14">
            <w:pPr>
              <w:ind w:left="255"/>
              <w:rPr>
                <w:iCs/>
                <w:spacing w:val="-7"/>
              </w:rPr>
            </w:pPr>
            <w:r>
              <w:rPr>
                <w:iCs/>
                <w:spacing w:val="-7"/>
              </w:rPr>
              <w:t>T4</w:t>
            </w:r>
          </w:p>
        </w:tc>
        <w:tc>
          <w:tcPr>
            <w:tcW w:w="1134" w:type="dxa"/>
            <w:noWrap/>
            <w:vAlign w:val="bottom"/>
          </w:tcPr>
          <w:p w14:paraId="768064E3" w14:textId="77777777" w:rsidR="00E72BD0" w:rsidRPr="008C49B7" w:rsidRDefault="00E72BD0" w:rsidP="00C35C14">
            <w:pPr>
              <w:jc w:val="center"/>
              <w:rPr>
                <w:spacing w:val="-7"/>
              </w:rPr>
            </w:pPr>
            <w:r>
              <w:rPr>
                <w:spacing w:val="-7"/>
              </w:rPr>
              <w:t>58</w:t>
            </w:r>
          </w:p>
        </w:tc>
        <w:tc>
          <w:tcPr>
            <w:tcW w:w="1134" w:type="dxa"/>
            <w:noWrap/>
            <w:vAlign w:val="bottom"/>
          </w:tcPr>
          <w:p w14:paraId="36AB4B2E" w14:textId="77777777" w:rsidR="00E72BD0" w:rsidRPr="008C49B7" w:rsidRDefault="00E72BD0" w:rsidP="00C35C14">
            <w:pPr>
              <w:jc w:val="center"/>
              <w:rPr>
                <w:spacing w:val="-7"/>
              </w:rPr>
            </w:pPr>
            <w:r>
              <w:rPr>
                <w:spacing w:val="-7"/>
              </w:rPr>
              <w:t>64,4</w:t>
            </w:r>
          </w:p>
        </w:tc>
      </w:tr>
      <w:tr w:rsidR="00E72BD0" w:rsidRPr="00D05019" w14:paraId="1D0E6B86" w14:textId="77777777" w:rsidTr="00885827">
        <w:trPr>
          <w:trHeight w:val="20"/>
          <w:jc w:val="center"/>
        </w:trPr>
        <w:tc>
          <w:tcPr>
            <w:tcW w:w="1985" w:type="dxa"/>
            <w:noWrap/>
            <w:vAlign w:val="bottom"/>
          </w:tcPr>
          <w:p w14:paraId="37E8D5B0" w14:textId="77777777" w:rsidR="00E72BD0" w:rsidRDefault="00E72BD0" w:rsidP="00C35C14">
            <w:pPr>
              <w:rPr>
                <w:iCs/>
                <w:spacing w:val="-7"/>
              </w:rPr>
            </w:pPr>
            <w:r>
              <w:rPr>
                <w:iCs/>
                <w:spacing w:val="-7"/>
              </w:rPr>
              <w:t>Lymph node involvement</w:t>
            </w:r>
          </w:p>
        </w:tc>
        <w:tc>
          <w:tcPr>
            <w:tcW w:w="1134" w:type="dxa"/>
            <w:noWrap/>
            <w:vAlign w:val="bottom"/>
          </w:tcPr>
          <w:p w14:paraId="7A5A9454" w14:textId="77777777" w:rsidR="00E72BD0" w:rsidRPr="008C49B7" w:rsidRDefault="00E72BD0" w:rsidP="00C35C14">
            <w:pPr>
              <w:jc w:val="center"/>
              <w:rPr>
                <w:spacing w:val="-7"/>
              </w:rPr>
            </w:pPr>
          </w:p>
        </w:tc>
        <w:tc>
          <w:tcPr>
            <w:tcW w:w="1134" w:type="dxa"/>
            <w:noWrap/>
            <w:vAlign w:val="bottom"/>
          </w:tcPr>
          <w:p w14:paraId="7FF96115" w14:textId="77777777" w:rsidR="00E72BD0" w:rsidRPr="008C49B7" w:rsidRDefault="00E72BD0" w:rsidP="00C35C14">
            <w:pPr>
              <w:jc w:val="center"/>
              <w:rPr>
                <w:spacing w:val="-7"/>
              </w:rPr>
            </w:pPr>
          </w:p>
        </w:tc>
      </w:tr>
      <w:tr w:rsidR="00E72BD0" w:rsidRPr="00D05019" w14:paraId="64249899" w14:textId="77777777" w:rsidTr="00885827">
        <w:trPr>
          <w:trHeight w:val="20"/>
          <w:jc w:val="center"/>
        </w:trPr>
        <w:tc>
          <w:tcPr>
            <w:tcW w:w="1985" w:type="dxa"/>
            <w:noWrap/>
            <w:vAlign w:val="bottom"/>
          </w:tcPr>
          <w:p w14:paraId="4D3FC820" w14:textId="77777777" w:rsidR="00E72BD0" w:rsidRDefault="00E72BD0" w:rsidP="00C35C14">
            <w:pPr>
              <w:ind w:left="255"/>
              <w:rPr>
                <w:iCs/>
                <w:spacing w:val="-7"/>
              </w:rPr>
            </w:pPr>
            <w:r>
              <w:rPr>
                <w:iCs/>
                <w:spacing w:val="-7"/>
              </w:rPr>
              <w:t>N1</w:t>
            </w:r>
          </w:p>
        </w:tc>
        <w:tc>
          <w:tcPr>
            <w:tcW w:w="1134" w:type="dxa"/>
            <w:noWrap/>
            <w:vAlign w:val="bottom"/>
          </w:tcPr>
          <w:p w14:paraId="22ED424D" w14:textId="77777777" w:rsidR="00E72BD0" w:rsidRPr="008C49B7" w:rsidRDefault="00E72BD0" w:rsidP="00C35C14">
            <w:pPr>
              <w:jc w:val="center"/>
              <w:rPr>
                <w:spacing w:val="-7"/>
              </w:rPr>
            </w:pPr>
            <w:r>
              <w:rPr>
                <w:spacing w:val="-7"/>
              </w:rPr>
              <w:t>48</w:t>
            </w:r>
          </w:p>
        </w:tc>
        <w:tc>
          <w:tcPr>
            <w:tcW w:w="1134" w:type="dxa"/>
            <w:noWrap/>
            <w:vAlign w:val="bottom"/>
          </w:tcPr>
          <w:p w14:paraId="0315532D" w14:textId="77777777" w:rsidR="00E72BD0" w:rsidRPr="008C49B7" w:rsidRDefault="00E72BD0" w:rsidP="00C35C14">
            <w:pPr>
              <w:jc w:val="center"/>
              <w:rPr>
                <w:spacing w:val="-7"/>
              </w:rPr>
            </w:pPr>
            <w:r>
              <w:rPr>
                <w:spacing w:val="-7"/>
              </w:rPr>
              <w:t>53,3</w:t>
            </w:r>
          </w:p>
        </w:tc>
      </w:tr>
      <w:tr w:rsidR="00E72BD0" w:rsidRPr="00D05019" w14:paraId="12234E29" w14:textId="77777777" w:rsidTr="00885827">
        <w:trPr>
          <w:trHeight w:val="20"/>
          <w:jc w:val="center"/>
        </w:trPr>
        <w:tc>
          <w:tcPr>
            <w:tcW w:w="1985" w:type="dxa"/>
            <w:noWrap/>
            <w:vAlign w:val="bottom"/>
          </w:tcPr>
          <w:p w14:paraId="6AFF08B6" w14:textId="77777777" w:rsidR="00E72BD0" w:rsidRDefault="00E72BD0" w:rsidP="00C35C14">
            <w:pPr>
              <w:ind w:left="255"/>
              <w:rPr>
                <w:iCs/>
                <w:spacing w:val="-7"/>
              </w:rPr>
            </w:pPr>
            <w:r>
              <w:rPr>
                <w:iCs/>
                <w:spacing w:val="-7"/>
              </w:rPr>
              <w:t>N2</w:t>
            </w:r>
          </w:p>
        </w:tc>
        <w:tc>
          <w:tcPr>
            <w:tcW w:w="1134" w:type="dxa"/>
            <w:noWrap/>
            <w:vAlign w:val="bottom"/>
          </w:tcPr>
          <w:p w14:paraId="54FE2ADF" w14:textId="77777777" w:rsidR="00E72BD0" w:rsidRPr="008C49B7" w:rsidRDefault="00E72BD0" w:rsidP="00C35C14">
            <w:pPr>
              <w:jc w:val="center"/>
              <w:rPr>
                <w:spacing w:val="-7"/>
              </w:rPr>
            </w:pPr>
            <w:r>
              <w:rPr>
                <w:spacing w:val="-7"/>
              </w:rPr>
              <w:t>31</w:t>
            </w:r>
          </w:p>
        </w:tc>
        <w:tc>
          <w:tcPr>
            <w:tcW w:w="1134" w:type="dxa"/>
            <w:noWrap/>
            <w:vAlign w:val="bottom"/>
          </w:tcPr>
          <w:p w14:paraId="35BF977C" w14:textId="77777777" w:rsidR="00E72BD0" w:rsidRPr="008C49B7" w:rsidRDefault="00E72BD0" w:rsidP="00C35C14">
            <w:pPr>
              <w:jc w:val="center"/>
              <w:rPr>
                <w:spacing w:val="-7"/>
              </w:rPr>
            </w:pPr>
            <w:r>
              <w:rPr>
                <w:spacing w:val="-7"/>
              </w:rPr>
              <w:t>34,4</w:t>
            </w:r>
          </w:p>
        </w:tc>
      </w:tr>
      <w:tr w:rsidR="00E72BD0" w:rsidRPr="00D05019" w14:paraId="1193A9CD" w14:textId="77777777" w:rsidTr="00885827">
        <w:trPr>
          <w:trHeight w:val="20"/>
          <w:jc w:val="center"/>
        </w:trPr>
        <w:tc>
          <w:tcPr>
            <w:tcW w:w="1985" w:type="dxa"/>
            <w:noWrap/>
            <w:vAlign w:val="bottom"/>
          </w:tcPr>
          <w:p w14:paraId="6F7A33C3" w14:textId="77777777" w:rsidR="00E72BD0" w:rsidRDefault="00E72BD0" w:rsidP="00C35C14">
            <w:pPr>
              <w:ind w:left="255"/>
              <w:rPr>
                <w:iCs/>
                <w:spacing w:val="-7"/>
              </w:rPr>
            </w:pPr>
            <w:r>
              <w:rPr>
                <w:iCs/>
                <w:spacing w:val="-7"/>
              </w:rPr>
              <w:t>N3</w:t>
            </w:r>
          </w:p>
        </w:tc>
        <w:tc>
          <w:tcPr>
            <w:tcW w:w="1134" w:type="dxa"/>
            <w:noWrap/>
            <w:vAlign w:val="bottom"/>
          </w:tcPr>
          <w:p w14:paraId="3E20BADF" w14:textId="77777777" w:rsidR="00E72BD0" w:rsidRPr="008C49B7" w:rsidRDefault="00E72BD0" w:rsidP="00C35C14">
            <w:pPr>
              <w:jc w:val="center"/>
              <w:rPr>
                <w:spacing w:val="-7"/>
              </w:rPr>
            </w:pPr>
            <w:r>
              <w:rPr>
                <w:spacing w:val="-7"/>
              </w:rPr>
              <w:t>11</w:t>
            </w:r>
          </w:p>
        </w:tc>
        <w:tc>
          <w:tcPr>
            <w:tcW w:w="1134" w:type="dxa"/>
            <w:noWrap/>
            <w:vAlign w:val="bottom"/>
          </w:tcPr>
          <w:p w14:paraId="08ADE0BF" w14:textId="77777777" w:rsidR="00E72BD0" w:rsidRPr="008C49B7" w:rsidRDefault="00E72BD0" w:rsidP="00C35C14">
            <w:pPr>
              <w:jc w:val="center"/>
              <w:rPr>
                <w:spacing w:val="-7"/>
              </w:rPr>
            </w:pPr>
            <w:r>
              <w:rPr>
                <w:spacing w:val="-7"/>
              </w:rPr>
              <w:t>12,2</w:t>
            </w:r>
          </w:p>
        </w:tc>
      </w:tr>
      <w:tr w:rsidR="00E72BD0" w:rsidRPr="00D05019" w14:paraId="46FA747A" w14:textId="77777777" w:rsidTr="00885827">
        <w:trPr>
          <w:trHeight w:val="20"/>
          <w:jc w:val="center"/>
        </w:trPr>
        <w:tc>
          <w:tcPr>
            <w:tcW w:w="1985" w:type="dxa"/>
            <w:noWrap/>
            <w:vAlign w:val="bottom"/>
          </w:tcPr>
          <w:p w14:paraId="68E5C99A" w14:textId="77777777" w:rsidR="00E72BD0" w:rsidRDefault="00E72BD0" w:rsidP="00C35C14">
            <w:pPr>
              <w:rPr>
                <w:iCs/>
                <w:spacing w:val="-7"/>
              </w:rPr>
            </w:pPr>
            <w:r>
              <w:rPr>
                <w:iCs/>
                <w:spacing w:val="-7"/>
              </w:rPr>
              <w:t xml:space="preserve">Tumor grade </w:t>
            </w:r>
          </w:p>
        </w:tc>
        <w:tc>
          <w:tcPr>
            <w:tcW w:w="1134" w:type="dxa"/>
            <w:noWrap/>
            <w:vAlign w:val="bottom"/>
          </w:tcPr>
          <w:p w14:paraId="5274189F" w14:textId="77777777" w:rsidR="00E72BD0" w:rsidRPr="008C49B7" w:rsidRDefault="00E72BD0" w:rsidP="00C35C14">
            <w:pPr>
              <w:jc w:val="center"/>
              <w:rPr>
                <w:spacing w:val="-7"/>
              </w:rPr>
            </w:pPr>
          </w:p>
        </w:tc>
        <w:tc>
          <w:tcPr>
            <w:tcW w:w="1134" w:type="dxa"/>
            <w:noWrap/>
            <w:vAlign w:val="bottom"/>
          </w:tcPr>
          <w:p w14:paraId="4AE17962" w14:textId="77777777" w:rsidR="00E72BD0" w:rsidRPr="008C49B7" w:rsidRDefault="00E72BD0" w:rsidP="00C35C14">
            <w:pPr>
              <w:jc w:val="center"/>
              <w:rPr>
                <w:spacing w:val="-7"/>
              </w:rPr>
            </w:pPr>
          </w:p>
        </w:tc>
      </w:tr>
      <w:tr w:rsidR="00E72BD0" w:rsidRPr="00D05019" w14:paraId="08C51BE1" w14:textId="77777777" w:rsidTr="00885827">
        <w:trPr>
          <w:trHeight w:val="20"/>
          <w:jc w:val="center"/>
        </w:trPr>
        <w:tc>
          <w:tcPr>
            <w:tcW w:w="1985" w:type="dxa"/>
            <w:noWrap/>
            <w:vAlign w:val="bottom"/>
          </w:tcPr>
          <w:p w14:paraId="115337ED" w14:textId="77777777" w:rsidR="00E72BD0" w:rsidRDefault="00E72BD0" w:rsidP="00C35C14">
            <w:pPr>
              <w:ind w:left="255"/>
              <w:rPr>
                <w:iCs/>
                <w:spacing w:val="-7"/>
              </w:rPr>
            </w:pPr>
            <w:r>
              <w:rPr>
                <w:iCs/>
                <w:spacing w:val="-7"/>
              </w:rPr>
              <w:t>I (Low)</w:t>
            </w:r>
          </w:p>
        </w:tc>
        <w:tc>
          <w:tcPr>
            <w:tcW w:w="1134" w:type="dxa"/>
            <w:noWrap/>
            <w:vAlign w:val="bottom"/>
          </w:tcPr>
          <w:p w14:paraId="40953D23" w14:textId="77777777" w:rsidR="00E72BD0" w:rsidRPr="008C49B7" w:rsidRDefault="00E72BD0" w:rsidP="00C35C14">
            <w:pPr>
              <w:jc w:val="center"/>
              <w:rPr>
                <w:spacing w:val="-7"/>
              </w:rPr>
            </w:pPr>
            <w:r>
              <w:rPr>
                <w:spacing w:val="-7"/>
              </w:rPr>
              <w:t>6</w:t>
            </w:r>
          </w:p>
        </w:tc>
        <w:tc>
          <w:tcPr>
            <w:tcW w:w="1134" w:type="dxa"/>
            <w:noWrap/>
            <w:vAlign w:val="bottom"/>
          </w:tcPr>
          <w:p w14:paraId="385750D7" w14:textId="77777777" w:rsidR="00E72BD0" w:rsidRPr="008C49B7" w:rsidRDefault="00E72BD0" w:rsidP="00C35C14">
            <w:pPr>
              <w:jc w:val="center"/>
              <w:rPr>
                <w:spacing w:val="-7"/>
              </w:rPr>
            </w:pPr>
            <w:r>
              <w:rPr>
                <w:spacing w:val="-7"/>
              </w:rPr>
              <w:t>6,7</w:t>
            </w:r>
          </w:p>
        </w:tc>
      </w:tr>
      <w:tr w:rsidR="00E72BD0" w:rsidRPr="00D05019" w14:paraId="68493E74" w14:textId="77777777" w:rsidTr="00885827">
        <w:trPr>
          <w:trHeight w:val="20"/>
          <w:jc w:val="center"/>
        </w:trPr>
        <w:tc>
          <w:tcPr>
            <w:tcW w:w="1985" w:type="dxa"/>
            <w:noWrap/>
            <w:vAlign w:val="bottom"/>
          </w:tcPr>
          <w:p w14:paraId="0CCB3D11" w14:textId="77777777" w:rsidR="00E72BD0" w:rsidRDefault="00E72BD0" w:rsidP="00C35C14">
            <w:pPr>
              <w:ind w:left="255"/>
              <w:rPr>
                <w:iCs/>
                <w:spacing w:val="-7"/>
              </w:rPr>
            </w:pPr>
            <w:r>
              <w:rPr>
                <w:iCs/>
                <w:spacing w:val="-7"/>
              </w:rPr>
              <w:t>II (Intermediate)</w:t>
            </w:r>
          </w:p>
        </w:tc>
        <w:tc>
          <w:tcPr>
            <w:tcW w:w="1134" w:type="dxa"/>
            <w:noWrap/>
            <w:vAlign w:val="bottom"/>
          </w:tcPr>
          <w:p w14:paraId="6BF25CBC" w14:textId="77777777" w:rsidR="00E72BD0" w:rsidRPr="008C49B7" w:rsidRDefault="00E72BD0" w:rsidP="00C35C14">
            <w:pPr>
              <w:jc w:val="center"/>
              <w:rPr>
                <w:spacing w:val="-7"/>
              </w:rPr>
            </w:pPr>
            <w:r>
              <w:rPr>
                <w:spacing w:val="-7"/>
              </w:rPr>
              <w:t>37</w:t>
            </w:r>
          </w:p>
        </w:tc>
        <w:tc>
          <w:tcPr>
            <w:tcW w:w="1134" w:type="dxa"/>
            <w:noWrap/>
            <w:vAlign w:val="bottom"/>
          </w:tcPr>
          <w:p w14:paraId="4BDC94E7" w14:textId="77777777" w:rsidR="00E72BD0" w:rsidRPr="008C49B7" w:rsidRDefault="00E72BD0" w:rsidP="00C35C14">
            <w:pPr>
              <w:jc w:val="center"/>
              <w:rPr>
                <w:spacing w:val="-7"/>
              </w:rPr>
            </w:pPr>
            <w:r>
              <w:rPr>
                <w:spacing w:val="-7"/>
              </w:rPr>
              <w:t>41,1</w:t>
            </w:r>
          </w:p>
        </w:tc>
      </w:tr>
      <w:tr w:rsidR="00E72BD0" w:rsidRPr="00D05019" w14:paraId="33076F5E" w14:textId="77777777" w:rsidTr="00885827">
        <w:trPr>
          <w:trHeight w:val="20"/>
          <w:jc w:val="center"/>
        </w:trPr>
        <w:tc>
          <w:tcPr>
            <w:tcW w:w="1985" w:type="dxa"/>
            <w:noWrap/>
            <w:vAlign w:val="bottom"/>
          </w:tcPr>
          <w:p w14:paraId="5CEDCE7E" w14:textId="77777777" w:rsidR="00E72BD0" w:rsidRDefault="00E72BD0" w:rsidP="00C35C14">
            <w:pPr>
              <w:ind w:left="255"/>
              <w:rPr>
                <w:iCs/>
                <w:spacing w:val="-7"/>
              </w:rPr>
            </w:pPr>
            <w:r>
              <w:rPr>
                <w:iCs/>
                <w:spacing w:val="-7"/>
              </w:rPr>
              <w:t>III (High)</w:t>
            </w:r>
          </w:p>
        </w:tc>
        <w:tc>
          <w:tcPr>
            <w:tcW w:w="1134" w:type="dxa"/>
            <w:noWrap/>
            <w:vAlign w:val="bottom"/>
          </w:tcPr>
          <w:p w14:paraId="2A179642" w14:textId="77777777" w:rsidR="00E72BD0" w:rsidRPr="008C49B7" w:rsidRDefault="00E72BD0" w:rsidP="00C35C14">
            <w:pPr>
              <w:jc w:val="center"/>
              <w:rPr>
                <w:spacing w:val="-7"/>
              </w:rPr>
            </w:pPr>
            <w:r>
              <w:rPr>
                <w:spacing w:val="-7"/>
              </w:rPr>
              <w:t>47</w:t>
            </w:r>
          </w:p>
        </w:tc>
        <w:tc>
          <w:tcPr>
            <w:tcW w:w="1134" w:type="dxa"/>
            <w:noWrap/>
            <w:vAlign w:val="bottom"/>
          </w:tcPr>
          <w:p w14:paraId="65EC3DB0" w14:textId="77777777" w:rsidR="00E72BD0" w:rsidRPr="008C49B7" w:rsidRDefault="00E72BD0" w:rsidP="00C35C14">
            <w:pPr>
              <w:jc w:val="center"/>
              <w:rPr>
                <w:spacing w:val="-7"/>
              </w:rPr>
            </w:pPr>
            <w:r>
              <w:rPr>
                <w:spacing w:val="-7"/>
              </w:rPr>
              <w:t>52,2</w:t>
            </w:r>
          </w:p>
        </w:tc>
      </w:tr>
      <w:tr w:rsidR="00E72BD0" w:rsidRPr="00D05019" w14:paraId="00075A28" w14:textId="77777777" w:rsidTr="00885827">
        <w:trPr>
          <w:trHeight w:val="20"/>
          <w:jc w:val="center"/>
        </w:trPr>
        <w:tc>
          <w:tcPr>
            <w:tcW w:w="1985" w:type="dxa"/>
            <w:noWrap/>
            <w:vAlign w:val="bottom"/>
          </w:tcPr>
          <w:p w14:paraId="3F48283D" w14:textId="77777777" w:rsidR="00E72BD0" w:rsidRDefault="00E72BD0" w:rsidP="00C35C14">
            <w:pPr>
              <w:rPr>
                <w:iCs/>
                <w:spacing w:val="-7"/>
              </w:rPr>
            </w:pPr>
            <w:r>
              <w:rPr>
                <w:iCs/>
                <w:spacing w:val="-7"/>
              </w:rPr>
              <w:lastRenderedPageBreak/>
              <w:t>Histopathological type</w:t>
            </w:r>
          </w:p>
        </w:tc>
        <w:tc>
          <w:tcPr>
            <w:tcW w:w="1134" w:type="dxa"/>
            <w:noWrap/>
            <w:vAlign w:val="bottom"/>
          </w:tcPr>
          <w:p w14:paraId="4E3C83C0" w14:textId="77777777" w:rsidR="00E72BD0" w:rsidRPr="008C49B7" w:rsidRDefault="00E72BD0" w:rsidP="00C35C14">
            <w:pPr>
              <w:jc w:val="center"/>
              <w:rPr>
                <w:spacing w:val="-7"/>
              </w:rPr>
            </w:pPr>
          </w:p>
        </w:tc>
        <w:tc>
          <w:tcPr>
            <w:tcW w:w="1134" w:type="dxa"/>
            <w:noWrap/>
            <w:vAlign w:val="bottom"/>
          </w:tcPr>
          <w:p w14:paraId="0297438E" w14:textId="77777777" w:rsidR="00E72BD0" w:rsidRPr="008C49B7" w:rsidRDefault="00E72BD0" w:rsidP="00C35C14">
            <w:pPr>
              <w:jc w:val="center"/>
              <w:rPr>
                <w:spacing w:val="-7"/>
              </w:rPr>
            </w:pPr>
          </w:p>
        </w:tc>
      </w:tr>
      <w:tr w:rsidR="00E72BD0" w:rsidRPr="00D05019" w14:paraId="6453C597" w14:textId="77777777" w:rsidTr="00885827">
        <w:trPr>
          <w:trHeight w:val="20"/>
          <w:jc w:val="center"/>
        </w:trPr>
        <w:tc>
          <w:tcPr>
            <w:tcW w:w="1985" w:type="dxa"/>
            <w:noWrap/>
            <w:vAlign w:val="bottom"/>
          </w:tcPr>
          <w:p w14:paraId="351A7385" w14:textId="77777777" w:rsidR="00E72BD0" w:rsidRDefault="00E72BD0" w:rsidP="00C35C14">
            <w:pPr>
              <w:ind w:left="255"/>
              <w:rPr>
                <w:iCs/>
                <w:spacing w:val="-7"/>
              </w:rPr>
            </w:pPr>
            <w:r>
              <w:rPr>
                <w:iCs/>
                <w:spacing w:val="-7"/>
              </w:rPr>
              <w:t>IDC (Ductal)</w:t>
            </w:r>
          </w:p>
        </w:tc>
        <w:tc>
          <w:tcPr>
            <w:tcW w:w="1134" w:type="dxa"/>
            <w:noWrap/>
            <w:vAlign w:val="bottom"/>
          </w:tcPr>
          <w:p w14:paraId="52CE8EA0" w14:textId="77777777" w:rsidR="00E72BD0" w:rsidRPr="008C49B7" w:rsidRDefault="00E72BD0" w:rsidP="00C35C14">
            <w:pPr>
              <w:jc w:val="center"/>
              <w:rPr>
                <w:spacing w:val="-7"/>
              </w:rPr>
            </w:pPr>
            <w:r>
              <w:rPr>
                <w:spacing w:val="-7"/>
              </w:rPr>
              <w:t>71</w:t>
            </w:r>
          </w:p>
        </w:tc>
        <w:tc>
          <w:tcPr>
            <w:tcW w:w="1134" w:type="dxa"/>
            <w:noWrap/>
            <w:vAlign w:val="bottom"/>
          </w:tcPr>
          <w:p w14:paraId="59426CC6" w14:textId="77777777" w:rsidR="00E72BD0" w:rsidRPr="008C49B7" w:rsidRDefault="00E72BD0" w:rsidP="00C35C14">
            <w:pPr>
              <w:jc w:val="center"/>
              <w:rPr>
                <w:spacing w:val="-7"/>
              </w:rPr>
            </w:pPr>
            <w:r>
              <w:rPr>
                <w:spacing w:val="-7"/>
              </w:rPr>
              <w:t>78,9</w:t>
            </w:r>
          </w:p>
        </w:tc>
      </w:tr>
      <w:tr w:rsidR="00E72BD0" w:rsidRPr="00D05019" w14:paraId="20D6AB5A" w14:textId="77777777" w:rsidTr="00885827">
        <w:trPr>
          <w:trHeight w:val="20"/>
          <w:jc w:val="center"/>
        </w:trPr>
        <w:tc>
          <w:tcPr>
            <w:tcW w:w="1985" w:type="dxa"/>
            <w:noWrap/>
            <w:vAlign w:val="bottom"/>
          </w:tcPr>
          <w:p w14:paraId="7CD00DA4" w14:textId="77777777" w:rsidR="00E72BD0" w:rsidRPr="008C49B7" w:rsidRDefault="00E72BD0" w:rsidP="00C35C14">
            <w:pPr>
              <w:ind w:left="255"/>
              <w:rPr>
                <w:iCs/>
                <w:spacing w:val="-7"/>
              </w:rPr>
            </w:pPr>
            <w:r>
              <w:rPr>
                <w:iCs/>
                <w:spacing w:val="-7"/>
              </w:rPr>
              <w:t>ILC (Lobular)</w:t>
            </w:r>
          </w:p>
        </w:tc>
        <w:tc>
          <w:tcPr>
            <w:tcW w:w="1134" w:type="dxa"/>
            <w:noWrap/>
            <w:vAlign w:val="bottom"/>
          </w:tcPr>
          <w:p w14:paraId="54A839F9" w14:textId="77777777" w:rsidR="00E72BD0" w:rsidRPr="008C49B7" w:rsidRDefault="00E72BD0" w:rsidP="00C35C14">
            <w:pPr>
              <w:jc w:val="center"/>
              <w:rPr>
                <w:spacing w:val="-7"/>
              </w:rPr>
            </w:pPr>
            <w:r>
              <w:rPr>
                <w:spacing w:val="-7"/>
              </w:rPr>
              <w:t>11</w:t>
            </w:r>
          </w:p>
        </w:tc>
        <w:tc>
          <w:tcPr>
            <w:tcW w:w="1134" w:type="dxa"/>
            <w:noWrap/>
            <w:vAlign w:val="bottom"/>
          </w:tcPr>
          <w:p w14:paraId="54C4E6CA" w14:textId="77777777" w:rsidR="00E72BD0" w:rsidRPr="008C49B7" w:rsidRDefault="00E72BD0" w:rsidP="00C35C14">
            <w:pPr>
              <w:jc w:val="center"/>
              <w:rPr>
                <w:spacing w:val="-7"/>
              </w:rPr>
            </w:pPr>
            <w:r>
              <w:rPr>
                <w:spacing w:val="-7"/>
              </w:rPr>
              <w:t>12,1</w:t>
            </w:r>
          </w:p>
        </w:tc>
      </w:tr>
      <w:tr w:rsidR="00E72BD0" w:rsidRPr="00D05019" w14:paraId="4534A102" w14:textId="77777777" w:rsidTr="00885827">
        <w:trPr>
          <w:trHeight w:val="20"/>
          <w:jc w:val="center"/>
        </w:trPr>
        <w:tc>
          <w:tcPr>
            <w:tcW w:w="1985" w:type="dxa"/>
            <w:noWrap/>
            <w:vAlign w:val="bottom"/>
          </w:tcPr>
          <w:p w14:paraId="6678589C" w14:textId="77777777" w:rsidR="00E72BD0" w:rsidRDefault="00E72BD0" w:rsidP="00C35C14">
            <w:pPr>
              <w:ind w:left="255"/>
              <w:rPr>
                <w:iCs/>
                <w:spacing w:val="-7"/>
              </w:rPr>
            </w:pPr>
            <w:r>
              <w:rPr>
                <w:iCs/>
                <w:spacing w:val="-7"/>
              </w:rPr>
              <w:t>Mixed</w:t>
            </w:r>
          </w:p>
        </w:tc>
        <w:tc>
          <w:tcPr>
            <w:tcW w:w="1134" w:type="dxa"/>
            <w:noWrap/>
            <w:vAlign w:val="bottom"/>
          </w:tcPr>
          <w:p w14:paraId="31EC4C5D" w14:textId="77777777" w:rsidR="00E72BD0" w:rsidRPr="008C49B7" w:rsidRDefault="00E72BD0" w:rsidP="00C35C14">
            <w:pPr>
              <w:jc w:val="center"/>
              <w:rPr>
                <w:spacing w:val="-7"/>
              </w:rPr>
            </w:pPr>
            <w:r>
              <w:rPr>
                <w:spacing w:val="-7"/>
              </w:rPr>
              <w:t>8</w:t>
            </w:r>
          </w:p>
        </w:tc>
        <w:tc>
          <w:tcPr>
            <w:tcW w:w="1134" w:type="dxa"/>
            <w:noWrap/>
            <w:vAlign w:val="bottom"/>
          </w:tcPr>
          <w:p w14:paraId="513A50A5" w14:textId="77777777" w:rsidR="00E72BD0" w:rsidRPr="008C49B7" w:rsidRDefault="00E72BD0" w:rsidP="00C35C14">
            <w:pPr>
              <w:jc w:val="center"/>
              <w:rPr>
                <w:spacing w:val="-7"/>
              </w:rPr>
            </w:pPr>
            <w:r>
              <w:rPr>
                <w:spacing w:val="-7"/>
              </w:rPr>
              <w:t>8,9</w:t>
            </w:r>
          </w:p>
        </w:tc>
      </w:tr>
      <w:tr w:rsidR="00E72BD0" w:rsidRPr="00D05019" w14:paraId="75F45C53" w14:textId="77777777" w:rsidTr="00885827">
        <w:trPr>
          <w:trHeight w:val="20"/>
          <w:jc w:val="center"/>
        </w:trPr>
        <w:tc>
          <w:tcPr>
            <w:tcW w:w="1985" w:type="dxa"/>
            <w:noWrap/>
            <w:vAlign w:val="bottom"/>
          </w:tcPr>
          <w:p w14:paraId="0F11A61E" w14:textId="77777777" w:rsidR="00E72BD0" w:rsidRDefault="00E72BD0" w:rsidP="00C35C14">
            <w:pPr>
              <w:rPr>
                <w:iCs/>
                <w:spacing w:val="-7"/>
              </w:rPr>
            </w:pPr>
            <w:r>
              <w:rPr>
                <w:iCs/>
                <w:spacing w:val="-7"/>
              </w:rPr>
              <w:t>Immunohistochemical profiling</w:t>
            </w:r>
          </w:p>
        </w:tc>
        <w:tc>
          <w:tcPr>
            <w:tcW w:w="1134" w:type="dxa"/>
            <w:noWrap/>
            <w:vAlign w:val="bottom"/>
          </w:tcPr>
          <w:p w14:paraId="331E7EF4" w14:textId="77777777" w:rsidR="00E72BD0" w:rsidRPr="008C49B7" w:rsidRDefault="00E72BD0" w:rsidP="00C35C14">
            <w:pPr>
              <w:jc w:val="center"/>
              <w:rPr>
                <w:spacing w:val="-7"/>
              </w:rPr>
            </w:pPr>
          </w:p>
        </w:tc>
        <w:tc>
          <w:tcPr>
            <w:tcW w:w="1134" w:type="dxa"/>
            <w:noWrap/>
            <w:vAlign w:val="bottom"/>
          </w:tcPr>
          <w:p w14:paraId="33F91701" w14:textId="77777777" w:rsidR="00E72BD0" w:rsidRPr="008C49B7" w:rsidRDefault="00E72BD0" w:rsidP="00C35C14">
            <w:pPr>
              <w:jc w:val="center"/>
              <w:rPr>
                <w:spacing w:val="-7"/>
              </w:rPr>
            </w:pPr>
          </w:p>
        </w:tc>
      </w:tr>
      <w:tr w:rsidR="00E72BD0" w:rsidRPr="00D05019" w14:paraId="6FB7B893" w14:textId="77777777" w:rsidTr="00885827">
        <w:trPr>
          <w:trHeight w:val="20"/>
          <w:jc w:val="center"/>
        </w:trPr>
        <w:tc>
          <w:tcPr>
            <w:tcW w:w="1985" w:type="dxa"/>
            <w:noWrap/>
            <w:vAlign w:val="bottom"/>
          </w:tcPr>
          <w:p w14:paraId="3A86C9A0" w14:textId="77777777" w:rsidR="00E72BD0" w:rsidRDefault="00E72BD0" w:rsidP="00C35C14">
            <w:pPr>
              <w:ind w:left="255"/>
              <w:rPr>
                <w:iCs/>
                <w:spacing w:val="-7"/>
              </w:rPr>
            </w:pPr>
            <w:r>
              <w:rPr>
                <w:iCs/>
                <w:spacing w:val="-7"/>
              </w:rPr>
              <w:t>Luminal A</w:t>
            </w:r>
          </w:p>
        </w:tc>
        <w:tc>
          <w:tcPr>
            <w:tcW w:w="1134" w:type="dxa"/>
            <w:noWrap/>
            <w:vAlign w:val="bottom"/>
          </w:tcPr>
          <w:p w14:paraId="5FF1C123" w14:textId="77777777" w:rsidR="00E72BD0" w:rsidRPr="008C49B7" w:rsidRDefault="00E72BD0" w:rsidP="00C35C14">
            <w:pPr>
              <w:jc w:val="center"/>
              <w:rPr>
                <w:spacing w:val="-7"/>
              </w:rPr>
            </w:pPr>
            <w:r>
              <w:rPr>
                <w:spacing w:val="-7"/>
              </w:rPr>
              <w:t>13</w:t>
            </w:r>
          </w:p>
        </w:tc>
        <w:tc>
          <w:tcPr>
            <w:tcW w:w="1134" w:type="dxa"/>
            <w:noWrap/>
            <w:vAlign w:val="bottom"/>
          </w:tcPr>
          <w:p w14:paraId="588B3687" w14:textId="77777777" w:rsidR="00E72BD0" w:rsidRPr="008C49B7" w:rsidRDefault="00E72BD0" w:rsidP="00C35C14">
            <w:pPr>
              <w:jc w:val="center"/>
              <w:rPr>
                <w:spacing w:val="-7"/>
              </w:rPr>
            </w:pPr>
            <w:r>
              <w:rPr>
                <w:spacing w:val="-7"/>
              </w:rPr>
              <w:t>14,4</w:t>
            </w:r>
          </w:p>
        </w:tc>
      </w:tr>
      <w:tr w:rsidR="00E72BD0" w:rsidRPr="00D05019" w14:paraId="0FD5EAE8" w14:textId="77777777" w:rsidTr="00885827">
        <w:trPr>
          <w:trHeight w:val="20"/>
          <w:jc w:val="center"/>
        </w:trPr>
        <w:tc>
          <w:tcPr>
            <w:tcW w:w="1985" w:type="dxa"/>
            <w:noWrap/>
            <w:vAlign w:val="bottom"/>
          </w:tcPr>
          <w:p w14:paraId="7630CFF1" w14:textId="77777777" w:rsidR="00E72BD0" w:rsidRDefault="00E72BD0" w:rsidP="00C35C14">
            <w:pPr>
              <w:ind w:left="255"/>
              <w:rPr>
                <w:iCs/>
                <w:spacing w:val="-7"/>
              </w:rPr>
            </w:pPr>
            <w:r>
              <w:rPr>
                <w:iCs/>
                <w:spacing w:val="-7"/>
              </w:rPr>
              <w:t>Luminal B</w:t>
            </w:r>
          </w:p>
        </w:tc>
        <w:tc>
          <w:tcPr>
            <w:tcW w:w="1134" w:type="dxa"/>
            <w:noWrap/>
            <w:vAlign w:val="bottom"/>
          </w:tcPr>
          <w:p w14:paraId="49A64A29" w14:textId="77777777" w:rsidR="00E72BD0" w:rsidRPr="008C49B7" w:rsidRDefault="00E72BD0" w:rsidP="00C35C14">
            <w:pPr>
              <w:jc w:val="center"/>
              <w:rPr>
                <w:spacing w:val="-7"/>
              </w:rPr>
            </w:pPr>
            <w:r>
              <w:rPr>
                <w:spacing w:val="-7"/>
              </w:rPr>
              <w:t>23</w:t>
            </w:r>
          </w:p>
        </w:tc>
        <w:tc>
          <w:tcPr>
            <w:tcW w:w="1134" w:type="dxa"/>
            <w:noWrap/>
            <w:vAlign w:val="bottom"/>
          </w:tcPr>
          <w:p w14:paraId="0B77D93F" w14:textId="77777777" w:rsidR="00E72BD0" w:rsidRPr="008C49B7" w:rsidRDefault="00E72BD0" w:rsidP="00C35C14">
            <w:pPr>
              <w:jc w:val="center"/>
              <w:rPr>
                <w:spacing w:val="-7"/>
              </w:rPr>
            </w:pPr>
            <w:r>
              <w:rPr>
                <w:spacing w:val="-7"/>
              </w:rPr>
              <w:t>25,6</w:t>
            </w:r>
          </w:p>
        </w:tc>
      </w:tr>
      <w:tr w:rsidR="00E72BD0" w:rsidRPr="00D05019" w14:paraId="3836F07C" w14:textId="77777777" w:rsidTr="00885827">
        <w:trPr>
          <w:trHeight w:val="20"/>
          <w:jc w:val="center"/>
        </w:trPr>
        <w:tc>
          <w:tcPr>
            <w:tcW w:w="1985" w:type="dxa"/>
            <w:noWrap/>
            <w:vAlign w:val="bottom"/>
          </w:tcPr>
          <w:p w14:paraId="1CA16F6B" w14:textId="77777777" w:rsidR="00E72BD0" w:rsidRDefault="00E72BD0" w:rsidP="00C35C14">
            <w:pPr>
              <w:ind w:left="255"/>
              <w:rPr>
                <w:iCs/>
                <w:spacing w:val="-7"/>
              </w:rPr>
            </w:pPr>
            <w:r>
              <w:rPr>
                <w:iCs/>
                <w:spacing w:val="-7"/>
              </w:rPr>
              <w:t>HER 2</w:t>
            </w:r>
          </w:p>
        </w:tc>
        <w:tc>
          <w:tcPr>
            <w:tcW w:w="1134" w:type="dxa"/>
            <w:noWrap/>
            <w:vAlign w:val="bottom"/>
          </w:tcPr>
          <w:p w14:paraId="783C2AFE" w14:textId="77777777" w:rsidR="00E72BD0" w:rsidRPr="008C49B7" w:rsidRDefault="00E72BD0" w:rsidP="00C35C14">
            <w:pPr>
              <w:jc w:val="center"/>
              <w:rPr>
                <w:spacing w:val="-7"/>
              </w:rPr>
            </w:pPr>
            <w:r>
              <w:rPr>
                <w:spacing w:val="-7"/>
              </w:rPr>
              <w:t>22</w:t>
            </w:r>
          </w:p>
        </w:tc>
        <w:tc>
          <w:tcPr>
            <w:tcW w:w="1134" w:type="dxa"/>
            <w:noWrap/>
            <w:vAlign w:val="bottom"/>
          </w:tcPr>
          <w:p w14:paraId="374A4B49" w14:textId="77777777" w:rsidR="00E72BD0" w:rsidRPr="008C49B7" w:rsidRDefault="00E72BD0" w:rsidP="00C35C14">
            <w:pPr>
              <w:jc w:val="center"/>
              <w:rPr>
                <w:spacing w:val="-7"/>
              </w:rPr>
            </w:pPr>
            <w:r>
              <w:rPr>
                <w:spacing w:val="-7"/>
              </w:rPr>
              <w:t>24,4</w:t>
            </w:r>
          </w:p>
        </w:tc>
      </w:tr>
      <w:tr w:rsidR="00E72BD0" w:rsidRPr="00D05019" w14:paraId="0AEFA84E" w14:textId="77777777" w:rsidTr="00885827">
        <w:trPr>
          <w:trHeight w:val="20"/>
          <w:jc w:val="center"/>
        </w:trPr>
        <w:tc>
          <w:tcPr>
            <w:tcW w:w="1985" w:type="dxa"/>
            <w:noWrap/>
            <w:vAlign w:val="bottom"/>
          </w:tcPr>
          <w:p w14:paraId="2EB48B08" w14:textId="77777777" w:rsidR="00E72BD0" w:rsidRDefault="00E72BD0" w:rsidP="00C35C14">
            <w:pPr>
              <w:ind w:left="255"/>
              <w:rPr>
                <w:iCs/>
                <w:spacing w:val="-7"/>
              </w:rPr>
            </w:pPr>
            <w:r>
              <w:rPr>
                <w:iCs/>
                <w:spacing w:val="-7"/>
              </w:rPr>
              <w:t>TNBC</w:t>
            </w:r>
          </w:p>
        </w:tc>
        <w:tc>
          <w:tcPr>
            <w:tcW w:w="1134" w:type="dxa"/>
            <w:noWrap/>
            <w:vAlign w:val="bottom"/>
          </w:tcPr>
          <w:p w14:paraId="5F467E68" w14:textId="77777777" w:rsidR="00E72BD0" w:rsidRPr="008C49B7" w:rsidRDefault="00E72BD0" w:rsidP="00C35C14">
            <w:pPr>
              <w:jc w:val="center"/>
              <w:rPr>
                <w:spacing w:val="-7"/>
              </w:rPr>
            </w:pPr>
            <w:r>
              <w:rPr>
                <w:spacing w:val="-7"/>
              </w:rPr>
              <w:t>20</w:t>
            </w:r>
          </w:p>
        </w:tc>
        <w:tc>
          <w:tcPr>
            <w:tcW w:w="1134" w:type="dxa"/>
            <w:noWrap/>
            <w:vAlign w:val="bottom"/>
          </w:tcPr>
          <w:p w14:paraId="2E6C4714" w14:textId="77777777" w:rsidR="00E72BD0" w:rsidRPr="008C49B7" w:rsidRDefault="00E72BD0" w:rsidP="00C35C14">
            <w:pPr>
              <w:jc w:val="center"/>
              <w:rPr>
                <w:spacing w:val="-7"/>
              </w:rPr>
            </w:pPr>
            <w:r>
              <w:rPr>
                <w:spacing w:val="-7"/>
              </w:rPr>
              <w:t>22,2</w:t>
            </w:r>
          </w:p>
        </w:tc>
      </w:tr>
      <w:tr w:rsidR="00E72BD0" w:rsidRPr="00D05019" w14:paraId="050F4269" w14:textId="77777777" w:rsidTr="00885827">
        <w:trPr>
          <w:trHeight w:val="20"/>
          <w:jc w:val="center"/>
        </w:trPr>
        <w:tc>
          <w:tcPr>
            <w:tcW w:w="1985" w:type="dxa"/>
            <w:noWrap/>
            <w:vAlign w:val="bottom"/>
          </w:tcPr>
          <w:p w14:paraId="27186A3D" w14:textId="77777777" w:rsidR="00E72BD0" w:rsidRDefault="00E72BD0" w:rsidP="00C35C14">
            <w:pPr>
              <w:ind w:left="255"/>
              <w:rPr>
                <w:iCs/>
                <w:spacing w:val="-7"/>
              </w:rPr>
            </w:pPr>
            <w:r>
              <w:rPr>
                <w:iCs/>
                <w:spacing w:val="-7"/>
              </w:rPr>
              <w:t>TPBC</w:t>
            </w:r>
          </w:p>
        </w:tc>
        <w:tc>
          <w:tcPr>
            <w:tcW w:w="1134" w:type="dxa"/>
            <w:noWrap/>
            <w:vAlign w:val="bottom"/>
          </w:tcPr>
          <w:p w14:paraId="6EB07EF3" w14:textId="77777777" w:rsidR="00E72BD0" w:rsidRPr="008C49B7" w:rsidRDefault="00E72BD0" w:rsidP="00C35C14">
            <w:pPr>
              <w:jc w:val="center"/>
              <w:rPr>
                <w:spacing w:val="-7"/>
              </w:rPr>
            </w:pPr>
            <w:r>
              <w:rPr>
                <w:spacing w:val="-7"/>
              </w:rPr>
              <w:t>12</w:t>
            </w:r>
          </w:p>
        </w:tc>
        <w:tc>
          <w:tcPr>
            <w:tcW w:w="1134" w:type="dxa"/>
            <w:noWrap/>
            <w:vAlign w:val="bottom"/>
          </w:tcPr>
          <w:p w14:paraId="0403137D" w14:textId="77777777" w:rsidR="00E72BD0" w:rsidRPr="008C49B7" w:rsidRDefault="00E72BD0" w:rsidP="00C35C14">
            <w:pPr>
              <w:jc w:val="center"/>
              <w:rPr>
                <w:spacing w:val="-7"/>
              </w:rPr>
            </w:pPr>
            <w:r>
              <w:rPr>
                <w:spacing w:val="-7"/>
              </w:rPr>
              <w:t>13,3</w:t>
            </w:r>
          </w:p>
        </w:tc>
      </w:tr>
      <w:tr w:rsidR="00E72BD0" w:rsidRPr="00D05019" w14:paraId="27ED0616" w14:textId="77777777" w:rsidTr="00885827">
        <w:trPr>
          <w:trHeight w:val="20"/>
          <w:jc w:val="center"/>
        </w:trPr>
        <w:tc>
          <w:tcPr>
            <w:tcW w:w="1985" w:type="dxa"/>
            <w:noWrap/>
            <w:vAlign w:val="bottom"/>
          </w:tcPr>
          <w:p w14:paraId="357358C3" w14:textId="77777777" w:rsidR="00E72BD0" w:rsidRDefault="00E72BD0" w:rsidP="00C35C14">
            <w:pPr>
              <w:rPr>
                <w:iCs/>
                <w:spacing w:val="-7"/>
              </w:rPr>
            </w:pPr>
            <w:r>
              <w:rPr>
                <w:iCs/>
                <w:spacing w:val="-7"/>
              </w:rPr>
              <w:t>Tumor infiltrating lymphocytes</w:t>
            </w:r>
          </w:p>
        </w:tc>
        <w:tc>
          <w:tcPr>
            <w:tcW w:w="1134" w:type="dxa"/>
            <w:noWrap/>
            <w:vAlign w:val="bottom"/>
          </w:tcPr>
          <w:p w14:paraId="25210789" w14:textId="77777777" w:rsidR="00E72BD0" w:rsidRPr="008C49B7" w:rsidRDefault="00E72BD0" w:rsidP="00C35C14">
            <w:pPr>
              <w:jc w:val="center"/>
              <w:rPr>
                <w:spacing w:val="-7"/>
              </w:rPr>
            </w:pPr>
          </w:p>
        </w:tc>
        <w:tc>
          <w:tcPr>
            <w:tcW w:w="1134" w:type="dxa"/>
            <w:noWrap/>
            <w:vAlign w:val="bottom"/>
          </w:tcPr>
          <w:p w14:paraId="7F2ACC50" w14:textId="77777777" w:rsidR="00E72BD0" w:rsidRPr="008C49B7" w:rsidRDefault="00E72BD0" w:rsidP="00C35C14">
            <w:pPr>
              <w:jc w:val="center"/>
              <w:rPr>
                <w:spacing w:val="-7"/>
              </w:rPr>
            </w:pPr>
          </w:p>
        </w:tc>
      </w:tr>
      <w:tr w:rsidR="00E72BD0" w:rsidRPr="00D05019" w14:paraId="2B053CF4" w14:textId="77777777" w:rsidTr="00885827">
        <w:trPr>
          <w:trHeight w:val="20"/>
          <w:jc w:val="center"/>
        </w:trPr>
        <w:tc>
          <w:tcPr>
            <w:tcW w:w="1985" w:type="dxa"/>
            <w:noWrap/>
            <w:vAlign w:val="bottom"/>
          </w:tcPr>
          <w:p w14:paraId="4B0F388F" w14:textId="77777777" w:rsidR="00E72BD0" w:rsidRDefault="00E72BD0" w:rsidP="00C35C14">
            <w:pPr>
              <w:ind w:left="255"/>
              <w:rPr>
                <w:iCs/>
                <w:spacing w:val="-7"/>
              </w:rPr>
            </w:pPr>
            <w:r>
              <w:rPr>
                <w:iCs/>
                <w:spacing w:val="-7"/>
              </w:rPr>
              <w:t>No or Minimal Cells (0-10%)</w:t>
            </w:r>
          </w:p>
        </w:tc>
        <w:tc>
          <w:tcPr>
            <w:tcW w:w="1134" w:type="dxa"/>
            <w:noWrap/>
            <w:vAlign w:val="bottom"/>
          </w:tcPr>
          <w:p w14:paraId="21F99321" w14:textId="77777777" w:rsidR="00E72BD0" w:rsidRPr="008C49B7" w:rsidRDefault="00E72BD0" w:rsidP="00C35C14">
            <w:pPr>
              <w:jc w:val="center"/>
              <w:rPr>
                <w:spacing w:val="-7"/>
              </w:rPr>
            </w:pPr>
            <w:r>
              <w:rPr>
                <w:spacing w:val="-7"/>
              </w:rPr>
              <w:t>71</w:t>
            </w:r>
          </w:p>
        </w:tc>
        <w:tc>
          <w:tcPr>
            <w:tcW w:w="1134" w:type="dxa"/>
            <w:noWrap/>
            <w:vAlign w:val="bottom"/>
          </w:tcPr>
          <w:p w14:paraId="7E8E0FE8" w14:textId="77777777" w:rsidR="00E72BD0" w:rsidRPr="008C49B7" w:rsidRDefault="00E72BD0" w:rsidP="00C35C14">
            <w:pPr>
              <w:jc w:val="center"/>
              <w:rPr>
                <w:spacing w:val="-7"/>
              </w:rPr>
            </w:pPr>
            <w:r>
              <w:rPr>
                <w:spacing w:val="-7"/>
              </w:rPr>
              <w:t>78,9</w:t>
            </w:r>
          </w:p>
        </w:tc>
      </w:tr>
      <w:tr w:rsidR="00E72BD0" w:rsidRPr="00D05019" w14:paraId="0A46FFE0" w14:textId="77777777" w:rsidTr="00885827">
        <w:trPr>
          <w:trHeight w:val="20"/>
          <w:jc w:val="center"/>
        </w:trPr>
        <w:tc>
          <w:tcPr>
            <w:tcW w:w="1985" w:type="dxa"/>
            <w:noWrap/>
            <w:vAlign w:val="bottom"/>
          </w:tcPr>
          <w:p w14:paraId="03003848" w14:textId="77777777" w:rsidR="00E72BD0" w:rsidRDefault="00E72BD0" w:rsidP="00C35C14">
            <w:pPr>
              <w:ind w:left="255"/>
              <w:rPr>
                <w:iCs/>
                <w:spacing w:val="-7"/>
              </w:rPr>
            </w:pPr>
            <w:r>
              <w:rPr>
                <w:iCs/>
                <w:spacing w:val="-7"/>
              </w:rPr>
              <w:t xml:space="preserve">Intermediate        </w:t>
            </w:r>
            <w:proofErr w:type="gramStart"/>
            <w:r>
              <w:rPr>
                <w:iCs/>
                <w:spacing w:val="-7"/>
              </w:rPr>
              <w:t xml:space="preserve">   (</w:t>
            </w:r>
            <w:proofErr w:type="gramEnd"/>
            <w:r>
              <w:rPr>
                <w:iCs/>
                <w:spacing w:val="-7"/>
              </w:rPr>
              <w:t>10-40%)</w:t>
            </w:r>
          </w:p>
        </w:tc>
        <w:tc>
          <w:tcPr>
            <w:tcW w:w="1134" w:type="dxa"/>
            <w:noWrap/>
            <w:vAlign w:val="bottom"/>
          </w:tcPr>
          <w:p w14:paraId="3A7BDB41" w14:textId="77777777" w:rsidR="00E72BD0" w:rsidRPr="008C49B7" w:rsidRDefault="00E72BD0" w:rsidP="00C35C14">
            <w:pPr>
              <w:jc w:val="center"/>
              <w:rPr>
                <w:spacing w:val="-7"/>
              </w:rPr>
            </w:pPr>
            <w:r>
              <w:rPr>
                <w:spacing w:val="-7"/>
              </w:rPr>
              <w:t>19</w:t>
            </w:r>
          </w:p>
        </w:tc>
        <w:tc>
          <w:tcPr>
            <w:tcW w:w="1134" w:type="dxa"/>
            <w:noWrap/>
            <w:vAlign w:val="bottom"/>
          </w:tcPr>
          <w:p w14:paraId="3C970FD4" w14:textId="77777777" w:rsidR="00E72BD0" w:rsidRPr="008C49B7" w:rsidRDefault="00E72BD0" w:rsidP="00C35C14">
            <w:pPr>
              <w:jc w:val="center"/>
              <w:rPr>
                <w:spacing w:val="-7"/>
              </w:rPr>
            </w:pPr>
            <w:r>
              <w:rPr>
                <w:spacing w:val="-7"/>
              </w:rPr>
              <w:t>21,1</w:t>
            </w:r>
          </w:p>
        </w:tc>
      </w:tr>
      <w:tr w:rsidR="00E72BD0" w:rsidRPr="00D05019" w14:paraId="169F16EF" w14:textId="77777777" w:rsidTr="00885827">
        <w:trPr>
          <w:trHeight w:val="20"/>
          <w:jc w:val="center"/>
        </w:trPr>
        <w:tc>
          <w:tcPr>
            <w:tcW w:w="1985" w:type="dxa"/>
            <w:noWrap/>
            <w:vAlign w:val="bottom"/>
          </w:tcPr>
          <w:p w14:paraId="60D2EF44" w14:textId="77777777" w:rsidR="00E72BD0" w:rsidRDefault="00E72BD0" w:rsidP="00C35C14">
            <w:pPr>
              <w:ind w:left="255"/>
              <w:rPr>
                <w:iCs/>
                <w:spacing w:val="-7"/>
              </w:rPr>
            </w:pPr>
            <w:r>
              <w:rPr>
                <w:iCs/>
                <w:spacing w:val="-7"/>
              </w:rPr>
              <w:t>High (40-90%)</w:t>
            </w:r>
          </w:p>
        </w:tc>
        <w:tc>
          <w:tcPr>
            <w:tcW w:w="1134" w:type="dxa"/>
            <w:noWrap/>
            <w:vAlign w:val="bottom"/>
          </w:tcPr>
          <w:p w14:paraId="1731FB11" w14:textId="77777777" w:rsidR="00E72BD0" w:rsidRPr="008C49B7" w:rsidRDefault="00E72BD0" w:rsidP="00C35C14">
            <w:pPr>
              <w:jc w:val="center"/>
              <w:rPr>
                <w:spacing w:val="-7"/>
              </w:rPr>
            </w:pPr>
            <w:r>
              <w:rPr>
                <w:spacing w:val="-7"/>
              </w:rPr>
              <w:t>0</w:t>
            </w:r>
          </w:p>
        </w:tc>
        <w:tc>
          <w:tcPr>
            <w:tcW w:w="1134" w:type="dxa"/>
            <w:noWrap/>
            <w:vAlign w:val="bottom"/>
          </w:tcPr>
          <w:p w14:paraId="73797C36" w14:textId="77777777" w:rsidR="00E72BD0" w:rsidRPr="008C49B7" w:rsidRDefault="00E72BD0" w:rsidP="00C35C14">
            <w:pPr>
              <w:jc w:val="center"/>
              <w:rPr>
                <w:spacing w:val="-7"/>
              </w:rPr>
            </w:pPr>
            <w:r>
              <w:rPr>
                <w:spacing w:val="-7"/>
              </w:rPr>
              <w:t>0,0</w:t>
            </w:r>
          </w:p>
        </w:tc>
      </w:tr>
      <w:tr w:rsidR="00E72BD0" w:rsidRPr="00D05019" w14:paraId="422B679F" w14:textId="77777777" w:rsidTr="00885827">
        <w:trPr>
          <w:trHeight w:val="20"/>
          <w:jc w:val="center"/>
        </w:trPr>
        <w:tc>
          <w:tcPr>
            <w:tcW w:w="1985" w:type="dxa"/>
            <w:noWrap/>
            <w:vAlign w:val="bottom"/>
          </w:tcPr>
          <w:p w14:paraId="703F9747" w14:textId="54A495B8" w:rsidR="00E72BD0" w:rsidRDefault="009B651D" w:rsidP="00C35C14">
            <w:pPr>
              <w:rPr>
                <w:iCs/>
                <w:spacing w:val="-7"/>
              </w:rPr>
            </w:pPr>
            <w:r>
              <w:rPr>
                <w:iCs/>
                <w:spacing w:val="-7"/>
              </w:rPr>
              <w:t>LVI (</w:t>
            </w:r>
            <w:proofErr w:type="spellStart"/>
            <w:r w:rsidR="00E72BD0">
              <w:rPr>
                <w:iCs/>
                <w:spacing w:val="-7"/>
              </w:rPr>
              <w:t>Lymphovascular</w:t>
            </w:r>
            <w:proofErr w:type="spellEnd"/>
            <w:r>
              <w:rPr>
                <w:iCs/>
                <w:spacing w:val="-7"/>
              </w:rPr>
              <w:t xml:space="preserve"> </w:t>
            </w:r>
            <w:r w:rsidR="00E72BD0">
              <w:rPr>
                <w:iCs/>
                <w:spacing w:val="-7"/>
              </w:rPr>
              <w:t>Invasion</w:t>
            </w:r>
            <w:r>
              <w:rPr>
                <w:iCs/>
                <w:spacing w:val="-7"/>
              </w:rPr>
              <w:t>)</w:t>
            </w:r>
          </w:p>
        </w:tc>
        <w:tc>
          <w:tcPr>
            <w:tcW w:w="1134" w:type="dxa"/>
            <w:noWrap/>
            <w:vAlign w:val="bottom"/>
          </w:tcPr>
          <w:p w14:paraId="529B716F" w14:textId="77777777" w:rsidR="00E72BD0" w:rsidRPr="008C49B7" w:rsidRDefault="00E72BD0" w:rsidP="00C35C14">
            <w:pPr>
              <w:jc w:val="center"/>
              <w:rPr>
                <w:spacing w:val="-7"/>
              </w:rPr>
            </w:pPr>
          </w:p>
        </w:tc>
        <w:tc>
          <w:tcPr>
            <w:tcW w:w="1134" w:type="dxa"/>
            <w:noWrap/>
            <w:vAlign w:val="bottom"/>
          </w:tcPr>
          <w:p w14:paraId="305B85DE" w14:textId="77777777" w:rsidR="00E72BD0" w:rsidRPr="008C49B7" w:rsidRDefault="00E72BD0" w:rsidP="00C35C14">
            <w:pPr>
              <w:jc w:val="center"/>
              <w:rPr>
                <w:spacing w:val="-7"/>
              </w:rPr>
            </w:pPr>
          </w:p>
        </w:tc>
      </w:tr>
      <w:tr w:rsidR="00E72BD0" w:rsidRPr="00D05019" w14:paraId="4DCD4901" w14:textId="77777777" w:rsidTr="00885827">
        <w:trPr>
          <w:trHeight w:val="20"/>
          <w:jc w:val="center"/>
        </w:trPr>
        <w:tc>
          <w:tcPr>
            <w:tcW w:w="1985" w:type="dxa"/>
            <w:noWrap/>
            <w:vAlign w:val="bottom"/>
          </w:tcPr>
          <w:p w14:paraId="16330DAA" w14:textId="77777777" w:rsidR="00E72BD0" w:rsidRDefault="00E72BD0" w:rsidP="00C35C14">
            <w:pPr>
              <w:ind w:left="255"/>
              <w:rPr>
                <w:iCs/>
                <w:spacing w:val="-7"/>
              </w:rPr>
            </w:pPr>
            <w:r>
              <w:rPr>
                <w:iCs/>
                <w:spacing w:val="-7"/>
              </w:rPr>
              <w:t xml:space="preserve">Positive </w:t>
            </w:r>
          </w:p>
        </w:tc>
        <w:tc>
          <w:tcPr>
            <w:tcW w:w="1134" w:type="dxa"/>
            <w:noWrap/>
            <w:vAlign w:val="bottom"/>
          </w:tcPr>
          <w:p w14:paraId="3F9FF080" w14:textId="77777777" w:rsidR="00E72BD0" w:rsidRPr="008C49B7" w:rsidRDefault="00E72BD0" w:rsidP="00C35C14">
            <w:pPr>
              <w:jc w:val="center"/>
              <w:rPr>
                <w:spacing w:val="-7"/>
              </w:rPr>
            </w:pPr>
            <w:r>
              <w:rPr>
                <w:spacing w:val="-7"/>
              </w:rPr>
              <w:t>38</w:t>
            </w:r>
          </w:p>
        </w:tc>
        <w:tc>
          <w:tcPr>
            <w:tcW w:w="1134" w:type="dxa"/>
            <w:noWrap/>
            <w:vAlign w:val="bottom"/>
          </w:tcPr>
          <w:p w14:paraId="75DA2BC0" w14:textId="77777777" w:rsidR="00E72BD0" w:rsidRPr="008C49B7" w:rsidRDefault="00E72BD0" w:rsidP="00C35C14">
            <w:pPr>
              <w:jc w:val="center"/>
              <w:rPr>
                <w:spacing w:val="-7"/>
              </w:rPr>
            </w:pPr>
            <w:r>
              <w:rPr>
                <w:spacing w:val="-7"/>
              </w:rPr>
              <w:t>42,2</w:t>
            </w:r>
          </w:p>
        </w:tc>
      </w:tr>
      <w:tr w:rsidR="00E72BD0" w:rsidRPr="00D05019" w14:paraId="1F60B9C0" w14:textId="77777777" w:rsidTr="00885827">
        <w:trPr>
          <w:trHeight w:val="20"/>
          <w:jc w:val="center"/>
        </w:trPr>
        <w:tc>
          <w:tcPr>
            <w:tcW w:w="1985" w:type="dxa"/>
            <w:noWrap/>
            <w:vAlign w:val="bottom"/>
          </w:tcPr>
          <w:p w14:paraId="577686B3" w14:textId="77777777" w:rsidR="00E72BD0" w:rsidRDefault="00E72BD0" w:rsidP="00C35C14">
            <w:pPr>
              <w:ind w:left="255"/>
              <w:rPr>
                <w:iCs/>
                <w:spacing w:val="-7"/>
              </w:rPr>
            </w:pPr>
            <w:r>
              <w:rPr>
                <w:iCs/>
                <w:spacing w:val="-7"/>
              </w:rPr>
              <w:t>Negative</w:t>
            </w:r>
          </w:p>
        </w:tc>
        <w:tc>
          <w:tcPr>
            <w:tcW w:w="1134" w:type="dxa"/>
            <w:noWrap/>
            <w:vAlign w:val="bottom"/>
          </w:tcPr>
          <w:p w14:paraId="791A6AF9" w14:textId="77777777" w:rsidR="00E72BD0" w:rsidRPr="008C49B7" w:rsidRDefault="00E72BD0" w:rsidP="00C35C14">
            <w:pPr>
              <w:jc w:val="center"/>
              <w:rPr>
                <w:spacing w:val="-7"/>
              </w:rPr>
            </w:pPr>
            <w:r>
              <w:rPr>
                <w:spacing w:val="-7"/>
              </w:rPr>
              <w:t>52</w:t>
            </w:r>
          </w:p>
        </w:tc>
        <w:tc>
          <w:tcPr>
            <w:tcW w:w="1134" w:type="dxa"/>
            <w:noWrap/>
            <w:vAlign w:val="bottom"/>
          </w:tcPr>
          <w:p w14:paraId="0586CC85" w14:textId="77777777" w:rsidR="00E72BD0" w:rsidRPr="008C49B7" w:rsidRDefault="00E72BD0" w:rsidP="00C35C14">
            <w:pPr>
              <w:jc w:val="center"/>
              <w:rPr>
                <w:spacing w:val="-7"/>
              </w:rPr>
            </w:pPr>
            <w:r>
              <w:rPr>
                <w:spacing w:val="-7"/>
              </w:rPr>
              <w:t>57,8</w:t>
            </w:r>
          </w:p>
        </w:tc>
      </w:tr>
      <w:tr w:rsidR="00E72BD0" w:rsidRPr="00D05019" w14:paraId="6B9E8080" w14:textId="77777777" w:rsidTr="00885827">
        <w:trPr>
          <w:trHeight w:val="20"/>
          <w:jc w:val="center"/>
        </w:trPr>
        <w:tc>
          <w:tcPr>
            <w:tcW w:w="1985" w:type="dxa"/>
            <w:noWrap/>
            <w:vAlign w:val="bottom"/>
          </w:tcPr>
          <w:p w14:paraId="5CC2AD66" w14:textId="77777777" w:rsidR="00E72BD0" w:rsidRDefault="00E72BD0" w:rsidP="00C35C14">
            <w:pPr>
              <w:rPr>
                <w:iCs/>
                <w:spacing w:val="-7"/>
              </w:rPr>
            </w:pPr>
            <w:r>
              <w:rPr>
                <w:iCs/>
                <w:spacing w:val="-7"/>
              </w:rPr>
              <w:t>Metastatic patterns</w:t>
            </w:r>
          </w:p>
        </w:tc>
        <w:tc>
          <w:tcPr>
            <w:tcW w:w="1134" w:type="dxa"/>
            <w:noWrap/>
            <w:vAlign w:val="bottom"/>
          </w:tcPr>
          <w:p w14:paraId="33831A2A" w14:textId="77777777" w:rsidR="00E72BD0" w:rsidRPr="008C49B7" w:rsidRDefault="00E72BD0" w:rsidP="00C35C14">
            <w:pPr>
              <w:jc w:val="center"/>
              <w:rPr>
                <w:spacing w:val="-7"/>
              </w:rPr>
            </w:pPr>
          </w:p>
        </w:tc>
        <w:tc>
          <w:tcPr>
            <w:tcW w:w="1134" w:type="dxa"/>
            <w:noWrap/>
            <w:vAlign w:val="bottom"/>
          </w:tcPr>
          <w:p w14:paraId="478F9D9E" w14:textId="77777777" w:rsidR="00E72BD0" w:rsidRPr="008C49B7" w:rsidRDefault="00E72BD0" w:rsidP="00C35C14">
            <w:pPr>
              <w:jc w:val="center"/>
              <w:rPr>
                <w:spacing w:val="-7"/>
              </w:rPr>
            </w:pPr>
          </w:p>
        </w:tc>
      </w:tr>
      <w:tr w:rsidR="00E72BD0" w:rsidRPr="00D05019" w14:paraId="36FFF003" w14:textId="77777777" w:rsidTr="00885827">
        <w:trPr>
          <w:trHeight w:val="20"/>
          <w:jc w:val="center"/>
        </w:trPr>
        <w:tc>
          <w:tcPr>
            <w:tcW w:w="1985" w:type="dxa"/>
            <w:noWrap/>
            <w:vAlign w:val="bottom"/>
          </w:tcPr>
          <w:p w14:paraId="3AB4A0FE" w14:textId="77777777" w:rsidR="00E72BD0" w:rsidRDefault="00E72BD0" w:rsidP="00C35C14">
            <w:pPr>
              <w:ind w:left="255"/>
              <w:rPr>
                <w:iCs/>
                <w:spacing w:val="-7"/>
              </w:rPr>
            </w:pPr>
            <w:r>
              <w:rPr>
                <w:iCs/>
                <w:spacing w:val="-7"/>
              </w:rPr>
              <w:t>Bone</w:t>
            </w:r>
          </w:p>
        </w:tc>
        <w:tc>
          <w:tcPr>
            <w:tcW w:w="1134" w:type="dxa"/>
            <w:noWrap/>
            <w:vAlign w:val="bottom"/>
          </w:tcPr>
          <w:p w14:paraId="3E90F8BB" w14:textId="77777777" w:rsidR="00E72BD0" w:rsidRPr="008C49B7" w:rsidRDefault="00E72BD0" w:rsidP="00C35C14">
            <w:pPr>
              <w:jc w:val="center"/>
              <w:rPr>
                <w:spacing w:val="-7"/>
              </w:rPr>
            </w:pPr>
            <w:r>
              <w:rPr>
                <w:spacing w:val="-7"/>
              </w:rPr>
              <w:t>35</w:t>
            </w:r>
          </w:p>
        </w:tc>
        <w:tc>
          <w:tcPr>
            <w:tcW w:w="1134" w:type="dxa"/>
            <w:noWrap/>
            <w:vAlign w:val="bottom"/>
          </w:tcPr>
          <w:p w14:paraId="5AA2EA36" w14:textId="77777777" w:rsidR="00E72BD0" w:rsidRPr="008C49B7" w:rsidRDefault="00E72BD0" w:rsidP="00C35C14">
            <w:pPr>
              <w:jc w:val="center"/>
              <w:rPr>
                <w:spacing w:val="-7"/>
              </w:rPr>
            </w:pPr>
            <w:r>
              <w:rPr>
                <w:spacing w:val="-7"/>
              </w:rPr>
              <w:t>38,9</w:t>
            </w:r>
          </w:p>
        </w:tc>
      </w:tr>
      <w:tr w:rsidR="00E72BD0" w:rsidRPr="00D05019" w14:paraId="7277713E" w14:textId="77777777" w:rsidTr="00885827">
        <w:trPr>
          <w:trHeight w:val="20"/>
          <w:jc w:val="center"/>
        </w:trPr>
        <w:tc>
          <w:tcPr>
            <w:tcW w:w="1985" w:type="dxa"/>
            <w:tcBorders>
              <w:bottom w:val="single" w:sz="4" w:space="0" w:color="auto"/>
            </w:tcBorders>
            <w:noWrap/>
            <w:vAlign w:val="bottom"/>
          </w:tcPr>
          <w:p w14:paraId="13A76721" w14:textId="77777777" w:rsidR="00E72BD0" w:rsidRDefault="00E72BD0" w:rsidP="00C35C14">
            <w:pPr>
              <w:ind w:left="255"/>
              <w:rPr>
                <w:iCs/>
                <w:spacing w:val="-7"/>
              </w:rPr>
            </w:pPr>
            <w:r>
              <w:rPr>
                <w:iCs/>
                <w:spacing w:val="-7"/>
              </w:rPr>
              <w:t>Bone + visceral organs</w:t>
            </w:r>
          </w:p>
        </w:tc>
        <w:tc>
          <w:tcPr>
            <w:tcW w:w="1134" w:type="dxa"/>
            <w:tcBorders>
              <w:bottom w:val="single" w:sz="4" w:space="0" w:color="auto"/>
            </w:tcBorders>
            <w:noWrap/>
            <w:vAlign w:val="bottom"/>
          </w:tcPr>
          <w:p w14:paraId="182C0DC5" w14:textId="77777777" w:rsidR="00E72BD0" w:rsidRPr="008C49B7" w:rsidRDefault="00E72BD0" w:rsidP="00C35C14">
            <w:pPr>
              <w:jc w:val="center"/>
              <w:rPr>
                <w:spacing w:val="-7"/>
              </w:rPr>
            </w:pPr>
            <w:r>
              <w:rPr>
                <w:spacing w:val="-7"/>
              </w:rPr>
              <w:t>55</w:t>
            </w:r>
          </w:p>
        </w:tc>
        <w:tc>
          <w:tcPr>
            <w:tcW w:w="1134" w:type="dxa"/>
            <w:tcBorders>
              <w:bottom w:val="single" w:sz="4" w:space="0" w:color="auto"/>
            </w:tcBorders>
            <w:noWrap/>
            <w:vAlign w:val="bottom"/>
          </w:tcPr>
          <w:p w14:paraId="6D18FB8E" w14:textId="77777777" w:rsidR="00E72BD0" w:rsidRPr="008C49B7" w:rsidRDefault="00E72BD0" w:rsidP="00C35C14">
            <w:pPr>
              <w:jc w:val="center"/>
              <w:rPr>
                <w:spacing w:val="-7"/>
              </w:rPr>
            </w:pPr>
            <w:r>
              <w:rPr>
                <w:spacing w:val="-7"/>
              </w:rPr>
              <w:t>61,1</w:t>
            </w:r>
          </w:p>
        </w:tc>
      </w:tr>
    </w:tbl>
    <w:p w14:paraId="6B403EB3" w14:textId="77777777" w:rsidR="00E72BD0" w:rsidRDefault="00E72BD0" w:rsidP="00F93692">
      <w:pPr>
        <w:pStyle w:val="BodyText2"/>
        <w:spacing w:after="0" w:line="235" w:lineRule="auto"/>
      </w:pPr>
      <w:r>
        <w:t>N: number of patients, %: percentage</w:t>
      </w:r>
    </w:p>
    <w:p w14:paraId="1AB23784" w14:textId="31839BF6" w:rsidR="00E72BD0" w:rsidRDefault="00F93692" w:rsidP="00F93692">
      <w:pPr>
        <w:pStyle w:val="BodyText2"/>
        <w:spacing w:after="0" w:line="235" w:lineRule="auto"/>
        <w:rPr>
          <w:i/>
          <w:iCs/>
        </w:rPr>
      </w:pPr>
      <w:r w:rsidRPr="00F93692">
        <w:rPr>
          <w:i/>
          <w:iCs/>
        </w:rPr>
        <w:t>*</w:t>
      </w:r>
      <w:r w:rsidR="009B651D">
        <w:rPr>
          <w:i/>
          <w:iCs/>
        </w:rPr>
        <w:t xml:space="preserve">TIL: </w:t>
      </w:r>
      <w:r w:rsidR="009B651D" w:rsidRPr="009B651D">
        <w:rPr>
          <w:i/>
          <w:iCs/>
        </w:rPr>
        <w:t>Tumor-Infiltrating Lymphocytes</w:t>
      </w:r>
      <w:r w:rsidR="009B651D">
        <w:rPr>
          <w:i/>
          <w:iCs/>
        </w:rPr>
        <w:t xml:space="preserve">; LVI: </w:t>
      </w:r>
      <w:proofErr w:type="spellStart"/>
      <w:r w:rsidR="009B651D" w:rsidRPr="009B651D">
        <w:rPr>
          <w:i/>
          <w:iCs/>
        </w:rPr>
        <w:t>Lymphovascular</w:t>
      </w:r>
      <w:proofErr w:type="spellEnd"/>
      <w:r w:rsidR="009B651D" w:rsidRPr="009B651D">
        <w:rPr>
          <w:i/>
          <w:iCs/>
        </w:rPr>
        <w:t xml:space="preserve"> Invasion</w:t>
      </w:r>
      <w:r w:rsidR="009B651D">
        <w:t xml:space="preserve">; </w:t>
      </w:r>
      <w:r w:rsidRPr="00F93692">
        <w:rPr>
          <w:i/>
          <w:iCs/>
        </w:rPr>
        <w:t xml:space="preserve">TNBC: Triple negative breast cancer; TPBC: Triple </w:t>
      </w:r>
      <w:proofErr w:type="spellStart"/>
      <w:r w:rsidRPr="00F93692">
        <w:rPr>
          <w:i/>
          <w:iCs/>
        </w:rPr>
        <w:t>positife</w:t>
      </w:r>
      <w:proofErr w:type="spellEnd"/>
      <w:r w:rsidRPr="00F93692">
        <w:rPr>
          <w:i/>
          <w:iCs/>
        </w:rPr>
        <w:t xml:space="preserve"> breast cancer</w:t>
      </w:r>
    </w:p>
    <w:p w14:paraId="1063F9C1" w14:textId="77777777" w:rsidR="00F93692" w:rsidRPr="00F93692" w:rsidRDefault="00F93692" w:rsidP="00F93692">
      <w:pPr>
        <w:pStyle w:val="BodyText2"/>
        <w:spacing w:after="0" w:line="235" w:lineRule="auto"/>
      </w:pPr>
    </w:p>
    <w:p w14:paraId="42087861" w14:textId="77777777" w:rsidR="00E72BD0" w:rsidRPr="00925693" w:rsidRDefault="00E72BD0" w:rsidP="00885827">
      <w:pPr>
        <w:pStyle w:val="BodyText2"/>
        <w:spacing w:line="235" w:lineRule="auto"/>
        <w:ind w:firstLine="426"/>
        <w:jc w:val="both"/>
      </w:pPr>
      <w:r w:rsidRPr="00925693">
        <w:t>Primary tumor laterality was evenly distributed between the right (51.1%) and left breast (48.9%). Most patients presented with advanced tumor size, predominantly T4 (64.4%). Lymph node involvement was mainly classified as N1 (53.3%), and all patients were staged as M1.</w:t>
      </w:r>
    </w:p>
    <w:p w14:paraId="59FEE845" w14:textId="77777777" w:rsidR="00E72BD0" w:rsidRDefault="00E72BD0" w:rsidP="00885827">
      <w:pPr>
        <w:pStyle w:val="BodyText2"/>
        <w:spacing w:line="235" w:lineRule="auto"/>
        <w:ind w:firstLine="426"/>
        <w:jc w:val="both"/>
      </w:pPr>
      <w:r w:rsidRPr="00925693">
        <w:t>IDC/NST was the most common histopathological type (78.9%). Luminal B was the predominant molecular subtype (25.6%), followed by HER2-positive and triple-negative profiles. Most patients demonstrated low TIL levels (78.9%), and LVI was absent in over half of the cases (57.8%). Combined bone and visceral metastasis occurred more frequently (61.1%) than isolated bone metastasis.</w:t>
      </w:r>
    </w:p>
    <w:p w14:paraId="23218066" w14:textId="77777777" w:rsidR="00E72BD0" w:rsidRPr="00925693" w:rsidRDefault="00E72BD0" w:rsidP="00885827">
      <w:pPr>
        <w:pStyle w:val="BodyText2"/>
        <w:spacing w:line="235" w:lineRule="auto"/>
        <w:jc w:val="both"/>
      </w:pPr>
    </w:p>
    <w:p w14:paraId="5747A105" w14:textId="2119B77E" w:rsidR="00E72BD0" w:rsidRPr="00B80410" w:rsidRDefault="00051855" w:rsidP="00885827">
      <w:pPr>
        <w:pStyle w:val="BodyText2"/>
        <w:spacing w:line="235" w:lineRule="auto"/>
        <w:ind w:firstLine="425"/>
        <w:jc w:val="both"/>
      </w:pPr>
      <w:r>
        <w:rPr>
          <w:b/>
          <w:bCs/>
          <w:spacing w:val="-7"/>
        </w:rPr>
        <w:t xml:space="preserve">Table </w:t>
      </w:r>
      <w:proofErr w:type="gramStart"/>
      <w:r>
        <w:rPr>
          <w:b/>
          <w:bCs/>
          <w:spacing w:val="-7"/>
        </w:rPr>
        <w:t xml:space="preserve">3 </w:t>
      </w:r>
      <w:r w:rsidR="00E72BD0">
        <w:rPr>
          <w:spacing w:val="-7"/>
        </w:rPr>
        <w:t xml:space="preserve"> demonstrates</w:t>
      </w:r>
      <w:proofErr w:type="gramEnd"/>
      <w:r w:rsidR="00E72BD0">
        <w:rPr>
          <w:spacing w:val="-7"/>
        </w:rPr>
        <w:t xml:space="preserve"> the therapeutic approach of carcinoma mammae patients with bone metastasis treated at Prof. </w:t>
      </w:r>
      <w:proofErr w:type="spellStart"/>
      <w:r w:rsidR="00E72BD0">
        <w:rPr>
          <w:spacing w:val="-7"/>
        </w:rPr>
        <w:t>Dr.I.G.N.G.Ngoerah</w:t>
      </w:r>
      <w:proofErr w:type="spellEnd"/>
      <w:r w:rsidR="00E72BD0">
        <w:rPr>
          <w:spacing w:val="-7"/>
        </w:rPr>
        <w:t xml:space="preserve"> General Hospital Denpasar throughout 2022-2024. </w:t>
      </w:r>
    </w:p>
    <w:p w14:paraId="71F92018" w14:textId="09C3FAB9" w:rsidR="00E72BD0" w:rsidRPr="008C49B7" w:rsidRDefault="00051855" w:rsidP="00885827">
      <w:pPr>
        <w:spacing w:after="120"/>
        <w:ind w:left="1080" w:hanging="1080"/>
        <w:jc w:val="both"/>
        <w:rPr>
          <w:b/>
          <w:iCs/>
          <w:spacing w:val="-7"/>
        </w:rPr>
      </w:pPr>
      <w:r>
        <w:rPr>
          <w:b/>
          <w:iCs/>
          <w:spacing w:val="-7"/>
          <w:lang w:val="id-ID"/>
        </w:rPr>
        <w:t xml:space="preserve">Table 3 </w:t>
      </w:r>
      <w:r w:rsidR="00E72BD0" w:rsidRPr="00B80410">
        <w:rPr>
          <w:b/>
          <w:iCs/>
          <w:spacing w:val="-7"/>
          <w:lang w:val="id-ID"/>
        </w:rPr>
        <w:t xml:space="preserve"> </w:t>
      </w:r>
      <w:r w:rsidR="00E72BD0" w:rsidRPr="00B80410">
        <w:rPr>
          <w:b/>
          <w:iCs/>
          <w:spacing w:val="-7"/>
          <w:lang w:val="id-ID"/>
        </w:rPr>
        <w:tab/>
      </w:r>
      <w:r w:rsidR="00E72BD0">
        <w:rPr>
          <w:iCs/>
          <w:spacing w:val="-7"/>
        </w:rPr>
        <w:t xml:space="preserve">Therapeutic approaches of patients with Carcinoma Mammae with Bone Metastasis </w:t>
      </w:r>
    </w:p>
    <w:tbl>
      <w:tblPr>
        <w:tblW w:w="4253" w:type="dxa"/>
        <w:jc w:val="center"/>
        <w:tblLayout w:type="fixed"/>
        <w:tblCellMar>
          <w:left w:w="28" w:type="dxa"/>
          <w:right w:w="28" w:type="dxa"/>
        </w:tblCellMar>
        <w:tblLook w:val="0000" w:firstRow="0" w:lastRow="0" w:firstColumn="0" w:lastColumn="0" w:noHBand="0" w:noVBand="0"/>
      </w:tblPr>
      <w:tblGrid>
        <w:gridCol w:w="2694"/>
        <w:gridCol w:w="708"/>
        <w:gridCol w:w="851"/>
      </w:tblGrid>
      <w:tr w:rsidR="00E72BD0" w:rsidRPr="00D05019" w14:paraId="10FA4639" w14:textId="77777777" w:rsidTr="00885827">
        <w:trPr>
          <w:cantSplit/>
          <w:trHeight w:val="20"/>
          <w:jc w:val="center"/>
        </w:trPr>
        <w:tc>
          <w:tcPr>
            <w:tcW w:w="2694" w:type="dxa"/>
            <w:tcBorders>
              <w:top w:val="single" w:sz="4" w:space="0" w:color="auto"/>
              <w:bottom w:val="single" w:sz="4" w:space="0" w:color="auto"/>
            </w:tcBorders>
            <w:noWrap/>
          </w:tcPr>
          <w:p w14:paraId="7D512C68" w14:textId="77777777" w:rsidR="00E72BD0" w:rsidRPr="008C49B7" w:rsidRDefault="00E72BD0" w:rsidP="00C35C14">
            <w:pPr>
              <w:spacing w:line="228" w:lineRule="auto"/>
              <w:jc w:val="center"/>
              <w:rPr>
                <w:bCs/>
                <w:spacing w:val="-7"/>
              </w:rPr>
            </w:pPr>
            <w:r>
              <w:rPr>
                <w:bCs/>
                <w:spacing w:val="-7"/>
              </w:rPr>
              <w:t>Variable</w:t>
            </w:r>
          </w:p>
        </w:tc>
        <w:tc>
          <w:tcPr>
            <w:tcW w:w="708" w:type="dxa"/>
            <w:tcBorders>
              <w:top w:val="single" w:sz="4" w:space="0" w:color="auto"/>
              <w:bottom w:val="single" w:sz="4" w:space="0" w:color="auto"/>
            </w:tcBorders>
            <w:noWrap/>
          </w:tcPr>
          <w:p w14:paraId="2E217D01" w14:textId="77777777" w:rsidR="00E72BD0" w:rsidRPr="008C49B7" w:rsidRDefault="00E72BD0" w:rsidP="00C35C14">
            <w:pPr>
              <w:spacing w:line="228" w:lineRule="auto"/>
              <w:jc w:val="center"/>
              <w:rPr>
                <w:bCs/>
                <w:spacing w:val="-7"/>
              </w:rPr>
            </w:pPr>
            <w:r>
              <w:rPr>
                <w:bCs/>
                <w:spacing w:val="-7"/>
              </w:rPr>
              <w:t>N</w:t>
            </w:r>
          </w:p>
        </w:tc>
        <w:tc>
          <w:tcPr>
            <w:tcW w:w="851" w:type="dxa"/>
            <w:tcBorders>
              <w:top w:val="single" w:sz="4" w:space="0" w:color="auto"/>
              <w:bottom w:val="single" w:sz="4" w:space="0" w:color="auto"/>
            </w:tcBorders>
            <w:noWrap/>
          </w:tcPr>
          <w:p w14:paraId="55C56681" w14:textId="77777777" w:rsidR="00E72BD0" w:rsidRPr="008C49B7" w:rsidRDefault="00E72BD0" w:rsidP="00C35C14">
            <w:pPr>
              <w:spacing w:line="228" w:lineRule="auto"/>
              <w:jc w:val="center"/>
              <w:rPr>
                <w:bCs/>
                <w:spacing w:val="-7"/>
              </w:rPr>
            </w:pPr>
            <w:r>
              <w:rPr>
                <w:bCs/>
                <w:spacing w:val="-7"/>
              </w:rPr>
              <w:t>%</w:t>
            </w:r>
          </w:p>
        </w:tc>
      </w:tr>
      <w:tr w:rsidR="00E72BD0" w:rsidRPr="00D05019" w14:paraId="45572197" w14:textId="77777777" w:rsidTr="00885827">
        <w:trPr>
          <w:trHeight w:val="20"/>
          <w:jc w:val="center"/>
        </w:trPr>
        <w:tc>
          <w:tcPr>
            <w:tcW w:w="2694" w:type="dxa"/>
            <w:tcBorders>
              <w:top w:val="single" w:sz="4" w:space="0" w:color="auto"/>
            </w:tcBorders>
            <w:noWrap/>
            <w:vAlign w:val="bottom"/>
          </w:tcPr>
          <w:p w14:paraId="6C64A6A3" w14:textId="77777777" w:rsidR="00E72BD0" w:rsidRPr="008C49B7" w:rsidRDefault="00E72BD0" w:rsidP="00C35C14">
            <w:pPr>
              <w:rPr>
                <w:iCs/>
                <w:spacing w:val="-7"/>
              </w:rPr>
            </w:pPr>
            <w:r>
              <w:rPr>
                <w:iCs/>
                <w:spacing w:val="-7"/>
              </w:rPr>
              <w:t>Regiments</w:t>
            </w:r>
          </w:p>
        </w:tc>
        <w:tc>
          <w:tcPr>
            <w:tcW w:w="708" w:type="dxa"/>
            <w:tcBorders>
              <w:top w:val="single" w:sz="4" w:space="0" w:color="auto"/>
            </w:tcBorders>
            <w:noWrap/>
            <w:vAlign w:val="bottom"/>
          </w:tcPr>
          <w:p w14:paraId="6C59A250" w14:textId="77777777" w:rsidR="00E72BD0" w:rsidRPr="008C49B7" w:rsidRDefault="00E72BD0" w:rsidP="00C35C14">
            <w:pPr>
              <w:jc w:val="center"/>
              <w:rPr>
                <w:spacing w:val="-7"/>
              </w:rPr>
            </w:pPr>
          </w:p>
        </w:tc>
        <w:tc>
          <w:tcPr>
            <w:tcW w:w="851" w:type="dxa"/>
            <w:tcBorders>
              <w:top w:val="single" w:sz="4" w:space="0" w:color="auto"/>
            </w:tcBorders>
            <w:noWrap/>
            <w:vAlign w:val="bottom"/>
          </w:tcPr>
          <w:p w14:paraId="45B4D4DE" w14:textId="77777777" w:rsidR="00E72BD0" w:rsidRPr="00D05019" w:rsidRDefault="00E72BD0" w:rsidP="00C35C14">
            <w:pPr>
              <w:jc w:val="center"/>
              <w:rPr>
                <w:spacing w:val="-7"/>
                <w:lang w:val="id-ID"/>
              </w:rPr>
            </w:pPr>
          </w:p>
        </w:tc>
      </w:tr>
      <w:tr w:rsidR="00E72BD0" w:rsidRPr="00D05019" w14:paraId="41EDA952" w14:textId="77777777" w:rsidTr="00885827">
        <w:trPr>
          <w:trHeight w:val="20"/>
          <w:jc w:val="center"/>
        </w:trPr>
        <w:tc>
          <w:tcPr>
            <w:tcW w:w="2694" w:type="dxa"/>
            <w:noWrap/>
            <w:vAlign w:val="bottom"/>
          </w:tcPr>
          <w:p w14:paraId="3AB068A2" w14:textId="77777777" w:rsidR="00E72BD0" w:rsidRPr="008C49B7" w:rsidRDefault="00E72BD0" w:rsidP="00C35C14">
            <w:pPr>
              <w:ind w:left="255"/>
              <w:rPr>
                <w:iCs/>
                <w:spacing w:val="-7"/>
              </w:rPr>
            </w:pPr>
            <w:r>
              <w:rPr>
                <w:iCs/>
                <w:spacing w:val="-7"/>
              </w:rPr>
              <w:t>Surgical</w:t>
            </w:r>
          </w:p>
        </w:tc>
        <w:tc>
          <w:tcPr>
            <w:tcW w:w="708" w:type="dxa"/>
            <w:noWrap/>
            <w:vAlign w:val="bottom"/>
          </w:tcPr>
          <w:p w14:paraId="1CAAF355" w14:textId="77777777" w:rsidR="00E72BD0" w:rsidRPr="008C49B7" w:rsidRDefault="00E72BD0" w:rsidP="00C35C14">
            <w:pPr>
              <w:jc w:val="center"/>
              <w:rPr>
                <w:spacing w:val="-7"/>
              </w:rPr>
            </w:pPr>
            <w:r>
              <w:rPr>
                <w:spacing w:val="-7"/>
              </w:rPr>
              <w:t>2</w:t>
            </w:r>
          </w:p>
        </w:tc>
        <w:tc>
          <w:tcPr>
            <w:tcW w:w="851" w:type="dxa"/>
            <w:noWrap/>
            <w:vAlign w:val="bottom"/>
          </w:tcPr>
          <w:p w14:paraId="6545CD9B" w14:textId="77777777" w:rsidR="00E72BD0" w:rsidRPr="008C49B7" w:rsidRDefault="00E72BD0" w:rsidP="00C35C14">
            <w:pPr>
              <w:jc w:val="center"/>
              <w:rPr>
                <w:spacing w:val="-7"/>
              </w:rPr>
            </w:pPr>
            <w:r>
              <w:rPr>
                <w:spacing w:val="-7"/>
              </w:rPr>
              <w:t>2,2</w:t>
            </w:r>
          </w:p>
        </w:tc>
      </w:tr>
      <w:tr w:rsidR="00E72BD0" w:rsidRPr="00D05019" w14:paraId="0B0B2778" w14:textId="77777777" w:rsidTr="00885827">
        <w:trPr>
          <w:trHeight w:val="20"/>
          <w:jc w:val="center"/>
        </w:trPr>
        <w:tc>
          <w:tcPr>
            <w:tcW w:w="2694" w:type="dxa"/>
            <w:noWrap/>
            <w:vAlign w:val="bottom"/>
          </w:tcPr>
          <w:p w14:paraId="55858BD9" w14:textId="77777777" w:rsidR="00E72BD0" w:rsidRPr="008C49B7" w:rsidRDefault="00E72BD0" w:rsidP="00C35C14">
            <w:pPr>
              <w:ind w:left="255"/>
              <w:rPr>
                <w:iCs/>
                <w:spacing w:val="-7"/>
              </w:rPr>
            </w:pPr>
            <w:r>
              <w:rPr>
                <w:iCs/>
                <w:spacing w:val="-7"/>
              </w:rPr>
              <w:t>Radiotherapy</w:t>
            </w:r>
          </w:p>
        </w:tc>
        <w:tc>
          <w:tcPr>
            <w:tcW w:w="708" w:type="dxa"/>
            <w:noWrap/>
            <w:vAlign w:val="bottom"/>
          </w:tcPr>
          <w:p w14:paraId="7F52F498" w14:textId="77777777" w:rsidR="00E72BD0" w:rsidRPr="008C49B7" w:rsidRDefault="00E72BD0" w:rsidP="00C35C14">
            <w:pPr>
              <w:jc w:val="center"/>
              <w:rPr>
                <w:spacing w:val="-7"/>
              </w:rPr>
            </w:pPr>
            <w:r>
              <w:rPr>
                <w:spacing w:val="-7"/>
              </w:rPr>
              <w:t>1</w:t>
            </w:r>
          </w:p>
        </w:tc>
        <w:tc>
          <w:tcPr>
            <w:tcW w:w="851" w:type="dxa"/>
            <w:noWrap/>
            <w:vAlign w:val="bottom"/>
          </w:tcPr>
          <w:p w14:paraId="2C7E7996" w14:textId="77777777" w:rsidR="00E72BD0" w:rsidRPr="008C49B7" w:rsidRDefault="00E72BD0" w:rsidP="00C35C14">
            <w:pPr>
              <w:jc w:val="center"/>
              <w:rPr>
                <w:spacing w:val="-7"/>
              </w:rPr>
            </w:pPr>
            <w:r>
              <w:rPr>
                <w:spacing w:val="-7"/>
              </w:rPr>
              <w:t>1,1</w:t>
            </w:r>
          </w:p>
        </w:tc>
      </w:tr>
      <w:tr w:rsidR="00E72BD0" w:rsidRPr="00D05019" w14:paraId="48301D4F" w14:textId="77777777" w:rsidTr="00885827">
        <w:trPr>
          <w:trHeight w:val="20"/>
          <w:jc w:val="center"/>
        </w:trPr>
        <w:tc>
          <w:tcPr>
            <w:tcW w:w="2694" w:type="dxa"/>
            <w:noWrap/>
            <w:vAlign w:val="bottom"/>
          </w:tcPr>
          <w:p w14:paraId="45F5CE02" w14:textId="77777777" w:rsidR="00E72BD0" w:rsidRPr="008C49B7" w:rsidRDefault="00E72BD0" w:rsidP="00C35C14">
            <w:pPr>
              <w:ind w:left="255"/>
              <w:rPr>
                <w:iCs/>
                <w:spacing w:val="-7"/>
              </w:rPr>
            </w:pPr>
            <w:r>
              <w:rPr>
                <w:iCs/>
                <w:spacing w:val="-7"/>
              </w:rPr>
              <w:t>Systemic (Chemotherapy, Hormonal, Targeted)</w:t>
            </w:r>
          </w:p>
        </w:tc>
        <w:tc>
          <w:tcPr>
            <w:tcW w:w="708" w:type="dxa"/>
            <w:noWrap/>
            <w:vAlign w:val="bottom"/>
          </w:tcPr>
          <w:p w14:paraId="01ECEB09" w14:textId="77777777" w:rsidR="00E72BD0" w:rsidRPr="008C49B7" w:rsidRDefault="00E72BD0" w:rsidP="00C35C14">
            <w:pPr>
              <w:jc w:val="center"/>
              <w:rPr>
                <w:spacing w:val="-7"/>
              </w:rPr>
            </w:pPr>
            <w:r>
              <w:rPr>
                <w:spacing w:val="-7"/>
              </w:rPr>
              <w:t>26</w:t>
            </w:r>
          </w:p>
        </w:tc>
        <w:tc>
          <w:tcPr>
            <w:tcW w:w="851" w:type="dxa"/>
            <w:noWrap/>
            <w:vAlign w:val="bottom"/>
          </w:tcPr>
          <w:p w14:paraId="7901769B" w14:textId="77777777" w:rsidR="00E72BD0" w:rsidRPr="00925693" w:rsidRDefault="00E72BD0" w:rsidP="00C35C14">
            <w:pPr>
              <w:jc w:val="center"/>
              <w:rPr>
                <w:spacing w:val="-7"/>
              </w:rPr>
            </w:pPr>
            <w:r>
              <w:rPr>
                <w:spacing w:val="-7"/>
              </w:rPr>
              <w:t>28,9</w:t>
            </w:r>
          </w:p>
        </w:tc>
      </w:tr>
      <w:tr w:rsidR="00E72BD0" w:rsidRPr="00D05019" w14:paraId="200F0C97" w14:textId="77777777" w:rsidTr="00885827">
        <w:trPr>
          <w:trHeight w:val="20"/>
          <w:jc w:val="center"/>
        </w:trPr>
        <w:tc>
          <w:tcPr>
            <w:tcW w:w="2694" w:type="dxa"/>
            <w:noWrap/>
            <w:vAlign w:val="bottom"/>
          </w:tcPr>
          <w:p w14:paraId="78E139FC" w14:textId="77777777" w:rsidR="00E72BD0" w:rsidRPr="008C49B7" w:rsidRDefault="00E72BD0" w:rsidP="00C35C14">
            <w:pPr>
              <w:ind w:left="255"/>
              <w:rPr>
                <w:iCs/>
                <w:spacing w:val="-7"/>
              </w:rPr>
            </w:pPr>
            <w:r>
              <w:rPr>
                <w:iCs/>
                <w:spacing w:val="-7"/>
              </w:rPr>
              <w:t>Surgical + Radiotherapy + Systemic</w:t>
            </w:r>
          </w:p>
        </w:tc>
        <w:tc>
          <w:tcPr>
            <w:tcW w:w="708" w:type="dxa"/>
            <w:noWrap/>
            <w:vAlign w:val="bottom"/>
          </w:tcPr>
          <w:p w14:paraId="737A7407" w14:textId="77777777" w:rsidR="00E72BD0" w:rsidRPr="008C49B7" w:rsidRDefault="00E72BD0" w:rsidP="00C35C14">
            <w:pPr>
              <w:jc w:val="center"/>
              <w:rPr>
                <w:spacing w:val="-7"/>
              </w:rPr>
            </w:pPr>
            <w:r>
              <w:rPr>
                <w:spacing w:val="-7"/>
              </w:rPr>
              <w:t>17</w:t>
            </w:r>
          </w:p>
        </w:tc>
        <w:tc>
          <w:tcPr>
            <w:tcW w:w="851" w:type="dxa"/>
            <w:noWrap/>
            <w:vAlign w:val="bottom"/>
          </w:tcPr>
          <w:p w14:paraId="3BC21792" w14:textId="77777777" w:rsidR="00E72BD0" w:rsidRPr="008C49B7" w:rsidRDefault="00E72BD0" w:rsidP="00C35C14">
            <w:pPr>
              <w:jc w:val="center"/>
              <w:rPr>
                <w:spacing w:val="-7"/>
              </w:rPr>
            </w:pPr>
            <w:r>
              <w:rPr>
                <w:spacing w:val="-7"/>
              </w:rPr>
              <w:t>18,9</w:t>
            </w:r>
          </w:p>
        </w:tc>
      </w:tr>
      <w:tr w:rsidR="00E72BD0" w:rsidRPr="00D05019" w14:paraId="6D2D4094" w14:textId="77777777" w:rsidTr="00885827">
        <w:trPr>
          <w:trHeight w:val="20"/>
          <w:jc w:val="center"/>
        </w:trPr>
        <w:tc>
          <w:tcPr>
            <w:tcW w:w="2694" w:type="dxa"/>
            <w:noWrap/>
            <w:vAlign w:val="bottom"/>
          </w:tcPr>
          <w:p w14:paraId="7C62BA71" w14:textId="77777777" w:rsidR="00E72BD0" w:rsidRDefault="00E72BD0" w:rsidP="00C35C14">
            <w:pPr>
              <w:ind w:left="255"/>
              <w:rPr>
                <w:iCs/>
                <w:spacing w:val="-7"/>
              </w:rPr>
            </w:pPr>
            <w:r>
              <w:rPr>
                <w:iCs/>
                <w:spacing w:val="-7"/>
              </w:rPr>
              <w:lastRenderedPageBreak/>
              <w:t>Radiotherapy + Systemic</w:t>
            </w:r>
          </w:p>
        </w:tc>
        <w:tc>
          <w:tcPr>
            <w:tcW w:w="708" w:type="dxa"/>
            <w:noWrap/>
            <w:vAlign w:val="bottom"/>
          </w:tcPr>
          <w:p w14:paraId="72978D17" w14:textId="77777777" w:rsidR="00E72BD0" w:rsidRPr="008C49B7" w:rsidRDefault="00E72BD0" w:rsidP="00C35C14">
            <w:pPr>
              <w:jc w:val="center"/>
              <w:rPr>
                <w:spacing w:val="-7"/>
              </w:rPr>
            </w:pPr>
            <w:r>
              <w:rPr>
                <w:spacing w:val="-7"/>
              </w:rPr>
              <w:t>7</w:t>
            </w:r>
          </w:p>
        </w:tc>
        <w:tc>
          <w:tcPr>
            <w:tcW w:w="851" w:type="dxa"/>
            <w:noWrap/>
            <w:vAlign w:val="bottom"/>
          </w:tcPr>
          <w:p w14:paraId="3B0C97ED" w14:textId="77777777" w:rsidR="00E72BD0" w:rsidRPr="008C49B7" w:rsidRDefault="00E72BD0" w:rsidP="00C35C14">
            <w:pPr>
              <w:jc w:val="center"/>
              <w:rPr>
                <w:spacing w:val="-7"/>
              </w:rPr>
            </w:pPr>
            <w:r>
              <w:rPr>
                <w:spacing w:val="-7"/>
              </w:rPr>
              <w:t>7,8</w:t>
            </w:r>
          </w:p>
        </w:tc>
      </w:tr>
      <w:tr w:rsidR="00E72BD0" w:rsidRPr="00D05019" w14:paraId="2E410A25" w14:textId="77777777" w:rsidTr="00885827">
        <w:trPr>
          <w:trHeight w:val="20"/>
          <w:jc w:val="center"/>
        </w:trPr>
        <w:tc>
          <w:tcPr>
            <w:tcW w:w="2694" w:type="dxa"/>
            <w:noWrap/>
            <w:vAlign w:val="bottom"/>
          </w:tcPr>
          <w:p w14:paraId="7C1353AA" w14:textId="77777777" w:rsidR="00E72BD0" w:rsidRDefault="00E72BD0" w:rsidP="00C35C14">
            <w:pPr>
              <w:ind w:left="255"/>
              <w:rPr>
                <w:iCs/>
                <w:spacing w:val="-7"/>
              </w:rPr>
            </w:pPr>
            <w:r>
              <w:rPr>
                <w:iCs/>
                <w:spacing w:val="-7"/>
              </w:rPr>
              <w:t>Surgical + Systemic</w:t>
            </w:r>
          </w:p>
        </w:tc>
        <w:tc>
          <w:tcPr>
            <w:tcW w:w="708" w:type="dxa"/>
            <w:noWrap/>
            <w:vAlign w:val="bottom"/>
          </w:tcPr>
          <w:p w14:paraId="0C7DA22A" w14:textId="77777777" w:rsidR="00E72BD0" w:rsidRPr="008C49B7" w:rsidRDefault="00E72BD0" w:rsidP="00C35C14">
            <w:pPr>
              <w:jc w:val="center"/>
              <w:rPr>
                <w:spacing w:val="-7"/>
              </w:rPr>
            </w:pPr>
            <w:r>
              <w:rPr>
                <w:spacing w:val="-7"/>
              </w:rPr>
              <w:t>34</w:t>
            </w:r>
          </w:p>
        </w:tc>
        <w:tc>
          <w:tcPr>
            <w:tcW w:w="851" w:type="dxa"/>
            <w:noWrap/>
            <w:vAlign w:val="bottom"/>
          </w:tcPr>
          <w:p w14:paraId="4AC2CD0B" w14:textId="77777777" w:rsidR="00E72BD0" w:rsidRPr="008C49B7" w:rsidRDefault="00E72BD0" w:rsidP="00C35C14">
            <w:pPr>
              <w:jc w:val="center"/>
              <w:rPr>
                <w:spacing w:val="-7"/>
              </w:rPr>
            </w:pPr>
            <w:r>
              <w:rPr>
                <w:spacing w:val="-7"/>
              </w:rPr>
              <w:t>37,8</w:t>
            </w:r>
          </w:p>
        </w:tc>
      </w:tr>
      <w:tr w:rsidR="00E72BD0" w:rsidRPr="00D05019" w14:paraId="185FE5B9" w14:textId="77777777" w:rsidTr="00885827">
        <w:trPr>
          <w:trHeight w:val="20"/>
          <w:jc w:val="center"/>
        </w:trPr>
        <w:tc>
          <w:tcPr>
            <w:tcW w:w="2694" w:type="dxa"/>
            <w:noWrap/>
            <w:vAlign w:val="bottom"/>
          </w:tcPr>
          <w:p w14:paraId="102EFD8B" w14:textId="77777777" w:rsidR="00E72BD0" w:rsidRDefault="00E72BD0" w:rsidP="00C35C14">
            <w:pPr>
              <w:ind w:left="255"/>
              <w:rPr>
                <w:iCs/>
                <w:spacing w:val="-7"/>
              </w:rPr>
            </w:pPr>
            <w:r>
              <w:rPr>
                <w:iCs/>
                <w:spacing w:val="-7"/>
              </w:rPr>
              <w:t>Surgical + Radiotherapy</w:t>
            </w:r>
          </w:p>
        </w:tc>
        <w:tc>
          <w:tcPr>
            <w:tcW w:w="708" w:type="dxa"/>
            <w:noWrap/>
            <w:vAlign w:val="bottom"/>
          </w:tcPr>
          <w:p w14:paraId="75C177A3" w14:textId="77777777" w:rsidR="00E72BD0" w:rsidRPr="008C49B7" w:rsidRDefault="00E72BD0" w:rsidP="00C35C14">
            <w:pPr>
              <w:jc w:val="center"/>
              <w:rPr>
                <w:spacing w:val="-7"/>
              </w:rPr>
            </w:pPr>
            <w:r>
              <w:rPr>
                <w:spacing w:val="-7"/>
              </w:rPr>
              <w:t>2</w:t>
            </w:r>
          </w:p>
        </w:tc>
        <w:tc>
          <w:tcPr>
            <w:tcW w:w="851" w:type="dxa"/>
            <w:noWrap/>
            <w:vAlign w:val="bottom"/>
          </w:tcPr>
          <w:p w14:paraId="1A17A69F" w14:textId="77777777" w:rsidR="00E72BD0" w:rsidRPr="008C49B7" w:rsidRDefault="00E72BD0" w:rsidP="00C35C14">
            <w:pPr>
              <w:jc w:val="center"/>
              <w:rPr>
                <w:spacing w:val="-7"/>
              </w:rPr>
            </w:pPr>
            <w:r>
              <w:rPr>
                <w:spacing w:val="-7"/>
              </w:rPr>
              <w:t>2,2</w:t>
            </w:r>
          </w:p>
        </w:tc>
      </w:tr>
      <w:tr w:rsidR="00E72BD0" w:rsidRPr="00D05019" w14:paraId="45B605AD" w14:textId="77777777" w:rsidTr="00885827">
        <w:trPr>
          <w:trHeight w:val="20"/>
          <w:jc w:val="center"/>
        </w:trPr>
        <w:tc>
          <w:tcPr>
            <w:tcW w:w="2694" w:type="dxa"/>
            <w:tcBorders>
              <w:bottom w:val="single" w:sz="4" w:space="0" w:color="auto"/>
            </w:tcBorders>
            <w:noWrap/>
            <w:vAlign w:val="bottom"/>
          </w:tcPr>
          <w:p w14:paraId="31FCBA62" w14:textId="77777777" w:rsidR="00E72BD0" w:rsidRDefault="00E72BD0" w:rsidP="00C35C14">
            <w:pPr>
              <w:ind w:left="255"/>
              <w:rPr>
                <w:iCs/>
                <w:spacing w:val="-7"/>
              </w:rPr>
            </w:pPr>
            <w:r>
              <w:rPr>
                <w:iCs/>
                <w:spacing w:val="-7"/>
              </w:rPr>
              <w:t>Palliative</w:t>
            </w:r>
          </w:p>
        </w:tc>
        <w:tc>
          <w:tcPr>
            <w:tcW w:w="708" w:type="dxa"/>
            <w:tcBorders>
              <w:bottom w:val="single" w:sz="4" w:space="0" w:color="auto"/>
            </w:tcBorders>
            <w:noWrap/>
            <w:vAlign w:val="bottom"/>
          </w:tcPr>
          <w:p w14:paraId="478702B7" w14:textId="77777777" w:rsidR="00E72BD0" w:rsidRPr="008C49B7" w:rsidRDefault="00E72BD0" w:rsidP="00C35C14">
            <w:pPr>
              <w:jc w:val="center"/>
              <w:rPr>
                <w:spacing w:val="-7"/>
              </w:rPr>
            </w:pPr>
            <w:r>
              <w:rPr>
                <w:spacing w:val="-7"/>
              </w:rPr>
              <w:t>1</w:t>
            </w:r>
          </w:p>
        </w:tc>
        <w:tc>
          <w:tcPr>
            <w:tcW w:w="851" w:type="dxa"/>
            <w:tcBorders>
              <w:bottom w:val="single" w:sz="4" w:space="0" w:color="auto"/>
            </w:tcBorders>
            <w:noWrap/>
            <w:vAlign w:val="bottom"/>
          </w:tcPr>
          <w:p w14:paraId="217FFA67" w14:textId="77777777" w:rsidR="00E72BD0" w:rsidRPr="008C49B7" w:rsidRDefault="00E72BD0" w:rsidP="00C35C14">
            <w:pPr>
              <w:jc w:val="center"/>
              <w:rPr>
                <w:spacing w:val="-7"/>
              </w:rPr>
            </w:pPr>
            <w:r>
              <w:rPr>
                <w:spacing w:val="-7"/>
              </w:rPr>
              <w:t>1,1</w:t>
            </w:r>
          </w:p>
        </w:tc>
      </w:tr>
    </w:tbl>
    <w:p w14:paraId="7304A9E4" w14:textId="77777777" w:rsidR="00E72BD0" w:rsidRDefault="00E72BD0" w:rsidP="00E72BD0">
      <w:pPr>
        <w:pStyle w:val="BodyText2"/>
        <w:spacing w:line="235" w:lineRule="auto"/>
      </w:pPr>
      <w:r>
        <w:t>N: number of patients, %: percentage</w:t>
      </w:r>
    </w:p>
    <w:p w14:paraId="14F68D30" w14:textId="77777777" w:rsidR="00E72BD0" w:rsidRDefault="00E72BD0" w:rsidP="00E72BD0">
      <w:pPr>
        <w:pStyle w:val="BodyText2"/>
        <w:spacing w:line="235" w:lineRule="auto"/>
      </w:pPr>
    </w:p>
    <w:p w14:paraId="51931991" w14:textId="77777777" w:rsidR="00E72BD0" w:rsidRPr="00925693" w:rsidRDefault="00E72BD0" w:rsidP="00885827">
      <w:pPr>
        <w:pStyle w:val="BodyText2"/>
        <w:spacing w:line="235" w:lineRule="auto"/>
        <w:ind w:firstLine="426"/>
        <w:jc w:val="both"/>
      </w:pPr>
      <w:r w:rsidRPr="00925693">
        <w:t>The most common therapeutic approach was a combination of surgery and systemic therapy (37.8%). Systemic therapy alone was administered to 28.9% of patients, while 18.9% received a multimodal regimen consisting of surgery, radiotherapy, and systemic treatment. Less frequently, patients underwent surgery alone (2.2%), radiotherapy alone (1.1%), or palliative monitoring (1.1%).</w:t>
      </w:r>
    </w:p>
    <w:p w14:paraId="200924E5" w14:textId="77777777" w:rsidR="00E72BD0" w:rsidRDefault="00E72BD0" w:rsidP="00441B6F">
      <w:pPr>
        <w:pStyle w:val="Head1"/>
        <w:spacing w:after="0"/>
        <w:jc w:val="both"/>
        <w:rPr>
          <w:rFonts w:ascii="Arial" w:hAnsi="Arial" w:cs="Arial"/>
        </w:rPr>
      </w:pPr>
    </w:p>
    <w:p w14:paraId="61A8F0CE" w14:textId="04DB6C2B" w:rsidR="00902823" w:rsidRDefault="003F12CE" w:rsidP="00441B6F">
      <w:pPr>
        <w:pStyle w:val="Head1"/>
        <w:spacing w:after="0"/>
        <w:jc w:val="both"/>
        <w:rPr>
          <w:rFonts w:ascii="Arial" w:hAnsi="Arial" w:cs="Arial"/>
        </w:rPr>
      </w:pPr>
      <w:r>
        <w:rPr>
          <w:rFonts w:ascii="Arial" w:hAnsi="Arial" w:cs="Arial"/>
        </w:rPr>
        <w:t>4.</w:t>
      </w:r>
      <w:r w:rsidR="00000F8F">
        <w:rPr>
          <w:rFonts w:ascii="Arial" w:hAnsi="Arial" w:cs="Arial"/>
        </w:rPr>
        <w:t xml:space="preserve"> discussion</w:t>
      </w:r>
    </w:p>
    <w:p w14:paraId="292AF6D7" w14:textId="77777777" w:rsidR="00790ADA" w:rsidRPr="00FB3A86" w:rsidRDefault="00790ADA" w:rsidP="00441B6F">
      <w:pPr>
        <w:pStyle w:val="Head1"/>
        <w:spacing w:after="0"/>
        <w:jc w:val="both"/>
        <w:rPr>
          <w:rFonts w:ascii="Arial" w:hAnsi="Arial" w:cs="Arial"/>
        </w:rPr>
      </w:pPr>
    </w:p>
    <w:p w14:paraId="5AF6BCE1" w14:textId="77777777" w:rsidR="00E72BD0" w:rsidRDefault="00E72BD0" w:rsidP="00E72BD0">
      <w:pPr>
        <w:spacing w:line="228" w:lineRule="auto"/>
        <w:ind w:firstLine="426"/>
        <w:jc w:val="both"/>
        <w:rPr>
          <w:spacing w:val="-7"/>
          <w:lang w:val="id-ID"/>
        </w:rPr>
      </w:pPr>
      <w:r w:rsidRPr="003268D7">
        <w:rPr>
          <w:spacing w:val="-7"/>
          <w:lang w:val="id-ID"/>
        </w:rPr>
        <w:t>This study provides an overview of the clinicopathological characteristics of breast cancer patients with bone metastasis treated at Prof. Dr. I.G.N.G. Ngoerah General Hospital during 2022–2024. The findings show that all affected patients were women, with the majority belonging to the 50–59 and ≥60-year age groups. This pattern is consistent with the natural epidemiology of breast cancer, in which postmenopausal women exhibit higher incidence of advanced disease and an increased likelihood of distant metastasis, including to the bone</w:t>
      </w:r>
      <w:r>
        <w:rPr>
          <w:spacing w:val="-7"/>
          <w:vertAlign w:val="superscript"/>
        </w:rPr>
        <w:t>12,13</w:t>
      </w:r>
      <w:r w:rsidRPr="003268D7">
        <w:rPr>
          <w:spacing w:val="-7"/>
          <w:lang w:val="id-ID"/>
        </w:rPr>
        <w:t>. The nearly equal distribution of primary tumor laterality suggests that laterality itself is not a determining factor in metastatic spread, reaffirming that metastatic risk is more closely related to tumor biology than anatomical location.</w:t>
      </w:r>
    </w:p>
    <w:p w14:paraId="46B8F255" w14:textId="77777777" w:rsidR="00E72BD0" w:rsidRDefault="00E72BD0" w:rsidP="00E72BD0">
      <w:pPr>
        <w:spacing w:line="228" w:lineRule="auto"/>
        <w:ind w:firstLine="426"/>
        <w:jc w:val="both"/>
        <w:rPr>
          <w:bCs/>
          <w:spacing w:val="-7"/>
        </w:rPr>
      </w:pPr>
      <w:r w:rsidRPr="003268D7">
        <w:rPr>
          <w:bCs/>
          <w:spacing w:val="-7"/>
        </w:rPr>
        <w:t xml:space="preserve">The predominance of large primary tumors (T4) and nodal involvement (N1) in this </w:t>
      </w:r>
      <w:r>
        <w:rPr>
          <w:bCs/>
          <w:spacing w:val="-7"/>
        </w:rPr>
        <w:t>study</w:t>
      </w:r>
      <w:r w:rsidRPr="003268D7">
        <w:rPr>
          <w:bCs/>
          <w:spacing w:val="-7"/>
        </w:rPr>
        <w:t xml:space="preserve"> reflects a tendency for patients to present at advanced stages. Tumor size and nodal status are well-known prognostic indicators, and their high prevalence in this study underscores the persistence of delayed diagnosis and barriers to early detection</w:t>
      </w:r>
      <w:r>
        <w:rPr>
          <w:bCs/>
          <w:spacing w:val="-7"/>
          <w:vertAlign w:val="superscript"/>
        </w:rPr>
        <w:t>14</w:t>
      </w:r>
      <w:r w:rsidRPr="003268D7">
        <w:rPr>
          <w:bCs/>
          <w:spacing w:val="-7"/>
        </w:rPr>
        <w:t>. The high proportion of grade III tumors similarly highlights the aggressive behavior of the primary lesions among patients who ultimately develop bone metastases</w:t>
      </w:r>
      <w:r>
        <w:rPr>
          <w:bCs/>
          <w:spacing w:val="-7"/>
          <w:vertAlign w:val="superscript"/>
        </w:rPr>
        <w:t>15</w:t>
      </w:r>
      <w:r w:rsidRPr="003268D7">
        <w:rPr>
          <w:bCs/>
          <w:spacing w:val="-7"/>
        </w:rPr>
        <w:t>.</w:t>
      </w:r>
    </w:p>
    <w:p w14:paraId="4035849D" w14:textId="77777777" w:rsidR="00E72BD0" w:rsidRDefault="00E72BD0" w:rsidP="00E72BD0">
      <w:pPr>
        <w:spacing w:line="228" w:lineRule="auto"/>
        <w:ind w:firstLine="426"/>
        <w:jc w:val="both"/>
        <w:rPr>
          <w:bCs/>
          <w:spacing w:val="-7"/>
        </w:rPr>
      </w:pPr>
      <w:proofErr w:type="spellStart"/>
      <w:r w:rsidRPr="003268D7">
        <w:rPr>
          <w:bCs/>
          <w:spacing w:val="-7"/>
        </w:rPr>
        <w:t>Histopathologically</w:t>
      </w:r>
      <w:proofErr w:type="spellEnd"/>
      <w:r w:rsidRPr="003268D7">
        <w:rPr>
          <w:bCs/>
          <w:spacing w:val="-7"/>
        </w:rPr>
        <w:t>, most patients exhibited Invasive Ductal Carcinoma/No Special Type (IDC/NST), aligning with its established status as the most common breast cancer subtype worldwide and its known propensity for distant spread</w:t>
      </w:r>
      <w:r>
        <w:rPr>
          <w:bCs/>
          <w:spacing w:val="-7"/>
          <w:vertAlign w:val="superscript"/>
        </w:rPr>
        <w:t>16</w:t>
      </w:r>
      <w:r w:rsidRPr="003268D7">
        <w:rPr>
          <w:bCs/>
          <w:spacing w:val="-7"/>
        </w:rPr>
        <w:t>. The immunohistochemical profile further demonstrated a predominance of Luminal B, followed by HER2-positive and triple-negative subtypes. Luminal B tumors characteristically exhibit higher proliferative activity and less favorable prognosis compared to Luminal A, which may partly explain their representation among patients who progressed to skeletal metastasis</w:t>
      </w:r>
      <w:r>
        <w:rPr>
          <w:bCs/>
          <w:spacing w:val="-7"/>
          <w:vertAlign w:val="superscript"/>
        </w:rPr>
        <w:t>17,18</w:t>
      </w:r>
      <w:r w:rsidRPr="003268D7">
        <w:rPr>
          <w:bCs/>
          <w:spacing w:val="-7"/>
        </w:rPr>
        <w:t>. The presence of HER2-positive and triple-negative tumors</w:t>
      </w:r>
      <w:r>
        <w:rPr>
          <w:bCs/>
          <w:spacing w:val="-7"/>
        </w:rPr>
        <w:t xml:space="preserve">, </w:t>
      </w:r>
      <w:r w:rsidRPr="003268D7">
        <w:rPr>
          <w:bCs/>
          <w:spacing w:val="-7"/>
        </w:rPr>
        <w:t>both aggressive subtypes</w:t>
      </w:r>
      <w:r>
        <w:rPr>
          <w:bCs/>
          <w:spacing w:val="-7"/>
        </w:rPr>
        <w:t xml:space="preserve">, </w:t>
      </w:r>
      <w:r w:rsidRPr="003268D7">
        <w:rPr>
          <w:bCs/>
          <w:spacing w:val="-7"/>
        </w:rPr>
        <w:t>further supports the association between biologically active tumor behavior and metastatic dissemination</w:t>
      </w:r>
      <w:r>
        <w:rPr>
          <w:bCs/>
          <w:spacing w:val="-7"/>
          <w:vertAlign w:val="superscript"/>
        </w:rPr>
        <w:t>19,20</w:t>
      </w:r>
      <w:r w:rsidRPr="003268D7">
        <w:rPr>
          <w:bCs/>
          <w:spacing w:val="-7"/>
        </w:rPr>
        <w:t>.</w:t>
      </w:r>
    </w:p>
    <w:p w14:paraId="602D5DCA" w14:textId="5E89C581" w:rsidR="00E72BD0" w:rsidRDefault="00E72BD0" w:rsidP="00E72BD0">
      <w:pPr>
        <w:spacing w:line="228" w:lineRule="auto"/>
        <w:ind w:firstLine="426"/>
        <w:jc w:val="both"/>
        <w:rPr>
          <w:bCs/>
          <w:spacing w:val="-7"/>
        </w:rPr>
      </w:pPr>
      <w:r w:rsidRPr="003268D7">
        <w:rPr>
          <w:bCs/>
          <w:spacing w:val="-7"/>
        </w:rPr>
        <w:t>The majority of patients demonstrated low Tumor Infiltrating Lymphocytes (TILs), which may indicate a limited host immune response against the tumor</w:t>
      </w:r>
      <w:r>
        <w:rPr>
          <w:bCs/>
          <w:spacing w:val="-7"/>
          <w:vertAlign w:val="superscript"/>
        </w:rPr>
        <w:t>21,22</w:t>
      </w:r>
      <w:r w:rsidRPr="003268D7">
        <w:rPr>
          <w:bCs/>
          <w:spacing w:val="-7"/>
        </w:rPr>
        <w:t xml:space="preserve">. In contrast, high TIL levels have been associated with improved outcomes in certain breast cancer subtypes, particularly triple-negative and HER2-positive disease. The predominance of low TILs in this population therefore aligns with the advanced disease severity observed. Interestingly, more than half of the patients exhibited negative </w:t>
      </w:r>
      <w:proofErr w:type="spellStart"/>
      <w:r w:rsidRPr="003268D7">
        <w:rPr>
          <w:bCs/>
          <w:spacing w:val="-7"/>
        </w:rPr>
        <w:t>Lymphovascular</w:t>
      </w:r>
      <w:proofErr w:type="spellEnd"/>
      <w:r w:rsidRPr="003268D7">
        <w:rPr>
          <w:bCs/>
          <w:spacing w:val="-7"/>
        </w:rPr>
        <w:t xml:space="preserve"> Invasion (LVI), suggesting that hematogenous and lymphatic invasion detectable on histopathology may not be the only pathways contributing to metastasis</w:t>
      </w:r>
      <w:r>
        <w:rPr>
          <w:bCs/>
          <w:spacing w:val="-7"/>
          <w:vertAlign w:val="superscript"/>
        </w:rPr>
        <w:t>23,24</w:t>
      </w:r>
      <w:r w:rsidRPr="003268D7">
        <w:rPr>
          <w:bCs/>
          <w:spacing w:val="-7"/>
        </w:rPr>
        <w:t xml:space="preserve">. </w:t>
      </w:r>
      <w:r w:rsidR="00C33737" w:rsidRPr="00C33737">
        <w:rPr>
          <w:bCs/>
          <w:spacing w:val="-7"/>
        </w:rPr>
        <w:t>A recent study suggests that baseline stromal TIL count provides important and independent prognostic information in early-stage TNBC. A subgroup of patients with early-stage, node-negative TNBC and high TIL counts had low rates of disease recurrence and death at 3 years after standard anthracycline-based adjuvant chemotherapy</w:t>
      </w:r>
      <w:r w:rsidR="00C33737">
        <w:rPr>
          <w:bCs/>
          <w:spacing w:val="-7"/>
          <w:vertAlign w:val="superscript"/>
        </w:rPr>
        <w:t>25</w:t>
      </w:r>
      <w:r w:rsidR="00C33737" w:rsidRPr="00C33737">
        <w:rPr>
          <w:bCs/>
          <w:spacing w:val="-7"/>
        </w:rPr>
        <w:t>.</w:t>
      </w:r>
      <w:r w:rsidR="00C33737">
        <w:rPr>
          <w:bCs/>
          <w:spacing w:val="-7"/>
        </w:rPr>
        <w:t xml:space="preserve"> </w:t>
      </w:r>
      <w:r w:rsidRPr="003268D7">
        <w:rPr>
          <w:bCs/>
          <w:spacing w:val="-7"/>
        </w:rPr>
        <w:t>This finding highlights the complexity of metastatic mechanisms and suggests the possible involvement of microenvironmental or molecular pathways not captured by routine histological evaluation.</w:t>
      </w:r>
    </w:p>
    <w:p w14:paraId="4773F7A8" w14:textId="0438F68B" w:rsidR="00E72BD0" w:rsidRDefault="00E72BD0" w:rsidP="00E72BD0">
      <w:pPr>
        <w:spacing w:line="228" w:lineRule="auto"/>
        <w:ind w:firstLine="426"/>
        <w:jc w:val="both"/>
        <w:rPr>
          <w:bCs/>
          <w:spacing w:val="-7"/>
        </w:rPr>
      </w:pPr>
      <w:r w:rsidRPr="003268D7">
        <w:rPr>
          <w:bCs/>
          <w:spacing w:val="-7"/>
        </w:rPr>
        <w:t xml:space="preserve">Most patients exhibited combined bone and visceral metastases, indicating widespread disease at presentation. This pattern reflects late-stage metastatic progression and may explain the preference for multimodal treatment strategies observed in this </w:t>
      </w:r>
      <w:r>
        <w:rPr>
          <w:bCs/>
          <w:spacing w:val="-7"/>
        </w:rPr>
        <w:t>study</w:t>
      </w:r>
      <w:r w:rsidRPr="003268D7">
        <w:rPr>
          <w:bCs/>
          <w:spacing w:val="-7"/>
        </w:rPr>
        <w:t xml:space="preserve">. The most common therapeutic approach was combined surgery and systemic therapy, followed by systemic therapy alone. This is </w:t>
      </w:r>
      <w:r w:rsidRPr="003268D7">
        <w:rPr>
          <w:bCs/>
          <w:spacing w:val="-7"/>
        </w:rPr>
        <w:lastRenderedPageBreak/>
        <w:t>consistent with contemporary management principles, where systemic therapy remains the cornerstone of treatment for metastatic breast cancer, while surgery is considered selectively for symptom control, stabilization of skeletal lesions, or improvement of quality of life</w:t>
      </w:r>
      <w:r>
        <w:rPr>
          <w:bCs/>
          <w:spacing w:val="-7"/>
          <w:vertAlign w:val="superscript"/>
        </w:rPr>
        <w:t>2</w:t>
      </w:r>
      <w:r w:rsidR="00C33737">
        <w:rPr>
          <w:bCs/>
          <w:spacing w:val="-7"/>
          <w:vertAlign w:val="superscript"/>
        </w:rPr>
        <w:t>6</w:t>
      </w:r>
      <w:r>
        <w:rPr>
          <w:bCs/>
          <w:spacing w:val="-7"/>
          <w:vertAlign w:val="superscript"/>
        </w:rPr>
        <w:t>,2</w:t>
      </w:r>
      <w:r w:rsidR="00C33737">
        <w:rPr>
          <w:bCs/>
          <w:spacing w:val="-7"/>
          <w:vertAlign w:val="superscript"/>
        </w:rPr>
        <w:t>7</w:t>
      </w:r>
      <w:r w:rsidRPr="003268D7">
        <w:rPr>
          <w:bCs/>
          <w:spacing w:val="-7"/>
        </w:rPr>
        <w:t>.</w:t>
      </w:r>
    </w:p>
    <w:p w14:paraId="46F0C9BD" w14:textId="50032013" w:rsidR="00E72BD0" w:rsidRDefault="00E72BD0" w:rsidP="00E72BD0">
      <w:pPr>
        <w:spacing w:line="228" w:lineRule="auto"/>
        <w:ind w:firstLine="426"/>
        <w:jc w:val="both"/>
        <w:rPr>
          <w:bCs/>
          <w:spacing w:val="-7"/>
        </w:rPr>
      </w:pPr>
      <w:r w:rsidRPr="003268D7">
        <w:rPr>
          <w:bCs/>
          <w:spacing w:val="-7"/>
        </w:rPr>
        <w:t>Overall, the results of this study highlight a population of patients with advanced, biologically aggressive breast cancer presenting with extensive metastatic burden. The predominance of large tumors, high-grade histology, Luminal B subtype, and extensive metastatic spread underscores the need for improved early detection strategies, strengthened screening programs, and optimized multidisciplinary management. Future analytical studies with larger sample sizes are warranted to further elucidate the relationship between specific clinicopathological characteristics and risk of bone metastasis, as well as to explore prognostic factors associated with survival outcomes in this population.</w:t>
      </w:r>
    </w:p>
    <w:p w14:paraId="458FEC74" w14:textId="77777777" w:rsidR="00716DAA" w:rsidRDefault="00716DAA" w:rsidP="00716DAA">
      <w:pPr>
        <w:spacing w:line="228" w:lineRule="auto"/>
        <w:ind w:firstLine="426"/>
        <w:jc w:val="both"/>
        <w:rPr>
          <w:bCs/>
          <w:spacing w:val="-7"/>
        </w:rPr>
      </w:pPr>
      <w:r w:rsidRPr="00716DAA">
        <w:rPr>
          <w:bCs/>
          <w:spacing w:val="-7"/>
        </w:rPr>
        <w:t>This study has several methodological limitations that need to be considered when interpreting the results. First, the study did not conduct a survival analysis, so the relationship between clinicopathological variables and time-to-event outcomes, such as overall survival or progression-free survival, could not be comprehensively evaluated. The absence of time-to-event data limits the study's ability to assess the long-term prognostic impact of the factors studied.</w:t>
      </w:r>
    </w:p>
    <w:p w14:paraId="4C92A49B" w14:textId="3D6F0924" w:rsidR="00716DAA" w:rsidRPr="00716DAA" w:rsidRDefault="00716DAA" w:rsidP="00716DAA">
      <w:pPr>
        <w:spacing w:line="228" w:lineRule="auto"/>
        <w:ind w:firstLine="426"/>
        <w:jc w:val="both"/>
        <w:rPr>
          <w:bCs/>
          <w:spacing w:val="-7"/>
        </w:rPr>
      </w:pPr>
      <w:r w:rsidRPr="00716DAA">
        <w:rPr>
          <w:bCs/>
          <w:spacing w:val="-7"/>
        </w:rPr>
        <w:t>Second, although exclusion criteria included incomplete medical records and cases without confirmed bone metastases, the potential for missing data cannot be completely eliminated. Reliance on secondary data from medical records has the potential to result in missing information on several clinical and ancillary variables, which could affect the completeness and accuracy of the analysis.</w:t>
      </w:r>
    </w:p>
    <w:p w14:paraId="22F254FE" w14:textId="30C1BEC7" w:rsidR="00716DAA" w:rsidRDefault="00716DAA" w:rsidP="00716DAA">
      <w:pPr>
        <w:spacing w:line="228" w:lineRule="auto"/>
        <w:ind w:firstLine="426"/>
        <w:jc w:val="both"/>
        <w:rPr>
          <w:bCs/>
          <w:spacing w:val="-7"/>
        </w:rPr>
      </w:pPr>
      <w:r w:rsidRPr="00716DAA">
        <w:rPr>
          <w:bCs/>
          <w:spacing w:val="-7"/>
        </w:rPr>
        <w:t>Furthermore, the use of a total sampling technique resulted in 90 patients meeting all inclusion and exclusion criteria. However, the relatively limited sample size and the application of descriptive univariate statistical analysis using SPSS software limit the study's ability to identify causal relationships or adjust for confounding factors. Therefore, the results of this study need to be interpreted carefully and should be confirmed through further research with prospective designs, larger sample sizes, and more comprehensive multivariate and survival analyses.</w:t>
      </w:r>
    </w:p>
    <w:p w14:paraId="2C9A25F0" w14:textId="77777777" w:rsidR="00E053D0" w:rsidRDefault="00E053D0" w:rsidP="00441B6F">
      <w:pPr>
        <w:pStyle w:val="Body"/>
        <w:spacing w:after="0"/>
        <w:rPr>
          <w:rFonts w:ascii="Arial" w:hAnsi="Arial" w:cs="Arial"/>
        </w:rPr>
      </w:pPr>
    </w:p>
    <w:p w14:paraId="30AE2661" w14:textId="77777777" w:rsidR="00790ADA" w:rsidRPr="00FB3A86" w:rsidRDefault="00790ADA" w:rsidP="00441B6F">
      <w:pPr>
        <w:pStyle w:val="Body"/>
        <w:spacing w:after="0"/>
        <w:rPr>
          <w:rFonts w:ascii="Arial" w:hAnsi="Arial" w:cs="Arial"/>
        </w:rPr>
      </w:pPr>
    </w:p>
    <w:p w14:paraId="240327F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81FEDB8" w14:textId="77777777" w:rsidR="00790ADA" w:rsidRPr="00FB3A86" w:rsidRDefault="00790ADA" w:rsidP="00441B6F">
      <w:pPr>
        <w:pStyle w:val="ConcHead"/>
        <w:spacing w:after="0"/>
        <w:jc w:val="both"/>
        <w:rPr>
          <w:rFonts w:ascii="Arial" w:hAnsi="Arial" w:cs="Arial"/>
        </w:rPr>
      </w:pPr>
    </w:p>
    <w:p w14:paraId="7BEE7802" w14:textId="77777777" w:rsidR="001763FE" w:rsidRDefault="00E72BD0" w:rsidP="001763FE">
      <w:pPr>
        <w:pStyle w:val="Body"/>
        <w:ind w:firstLine="720"/>
        <w:rPr>
          <w:rFonts w:ascii="Arial" w:hAnsi="Arial" w:cs="Arial"/>
        </w:rPr>
      </w:pPr>
      <w:r w:rsidRPr="00E72BD0">
        <w:rPr>
          <w:rFonts w:ascii="Arial" w:hAnsi="Arial" w:cs="Arial"/>
        </w:rPr>
        <w:t xml:space="preserve">Breast cancer patients with bone metastasis in this study were predominantly older women presenting with advanced tumor characteristics, including large tumor size, high-grade histology, nodal involvement, and aggressive subtypes such as Luminal B. Most patients exhibited low TIL levels and frequently had both bone and visceral metastases, indicating extensive disease at diagnosis. These findings reflect a pattern of late presentation and highlight the aggressive biological profile associated with metastatic progression. </w:t>
      </w:r>
    </w:p>
    <w:p w14:paraId="69474064" w14:textId="77777777" w:rsidR="001763FE" w:rsidRDefault="001763FE" w:rsidP="001763FE">
      <w:pPr>
        <w:pStyle w:val="Body"/>
        <w:ind w:firstLine="720"/>
        <w:rPr>
          <w:rFonts w:ascii="Arial" w:hAnsi="Arial" w:cs="Arial"/>
        </w:rPr>
      </w:pPr>
      <w:r w:rsidRPr="001763FE">
        <w:rPr>
          <w:rFonts w:ascii="Arial" w:hAnsi="Arial" w:cs="Arial"/>
        </w:rPr>
        <w:t>These findings have important implications for early detection strategies and clinical management. The association between advanced clinicopathological features and metastatic burden underscores the critical need for strengthening early detection programs, particularly among older women and high-risk populations. Early identification of aggressive subtypes and unfavorable pathological features may enable more timely surveillance for skeletal involvement, prompt initiation of systemic therapy, and earlier implementation of bone-targeted treatments to prevent skeletal-related events.</w:t>
      </w:r>
    </w:p>
    <w:p w14:paraId="05BDB13E" w14:textId="77777777" w:rsidR="001763FE" w:rsidRDefault="001763FE" w:rsidP="001763FE">
      <w:pPr>
        <w:pStyle w:val="Body"/>
        <w:ind w:firstLine="720"/>
        <w:rPr>
          <w:rFonts w:ascii="Arial" w:hAnsi="Arial" w:cs="Arial"/>
        </w:rPr>
      </w:pPr>
      <w:r w:rsidRPr="001763FE">
        <w:rPr>
          <w:rFonts w:ascii="Arial" w:hAnsi="Arial" w:cs="Arial"/>
        </w:rPr>
        <w:t>From a clinical management perspective, the high frequency of multi-organ metastases highlights the importance of comprehensive staging and a multidisciplinary approach to care. Integration of systemic therapy, bone-modifying agents, radiologic monitoring, and supportive care is essential to optimize treatment effectiveness and preserve quality of life in patients with metastatic breast cancer.</w:t>
      </w:r>
    </w:p>
    <w:p w14:paraId="489B56DE" w14:textId="1C445D58" w:rsidR="00E72BD0" w:rsidRDefault="001763FE" w:rsidP="001763FE">
      <w:pPr>
        <w:pStyle w:val="Body"/>
        <w:ind w:firstLine="720"/>
        <w:rPr>
          <w:rFonts w:ascii="Arial" w:hAnsi="Arial" w:cs="Arial"/>
        </w:rPr>
      </w:pPr>
      <w:r w:rsidRPr="001763FE">
        <w:rPr>
          <w:rFonts w:ascii="Arial" w:hAnsi="Arial" w:cs="Arial"/>
        </w:rPr>
        <w:lastRenderedPageBreak/>
        <w:t>Further analytical and longitudinal studies are warranted to evaluate prognostic factors, immune-related biomarkers, and their associations with metastatic patterns and survival outcomes. Such evidence would support the development of risk-adapted screening strategies and more personalized therapeutic approaches, ultimately contributing to improved clinical outcomes through earlier intervention and optimized disease management.</w:t>
      </w:r>
    </w:p>
    <w:p w14:paraId="5BB39977" w14:textId="77777777" w:rsidR="001763FE" w:rsidRPr="00FB3A86" w:rsidRDefault="001763FE" w:rsidP="001763FE">
      <w:pPr>
        <w:pStyle w:val="Body"/>
        <w:spacing w:after="0"/>
        <w:rPr>
          <w:rFonts w:ascii="Arial" w:hAnsi="Arial" w:cs="Arial"/>
        </w:rPr>
      </w:pPr>
    </w:p>
    <w:p w14:paraId="3387C929"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7B3CF1AC" w14:textId="77777777" w:rsidR="00790ADA" w:rsidRPr="00FB3A86" w:rsidRDefault="00790ADA" w:rsidP="00441B6F">
      <w:pPr>
        <w:pStyle w:val="AcknHead"/>
        <w:spacing w:after="0"/>
        <w:jc w:val="both"/>
        <w:rPr>
          <w:rFonts w:ascii="Arial" w:hAnsi="Arial" w:cs="Arial"/>
        </w:rPr>
      </w:pPr>
    </w:p>
    <w:p w14:paraId="497897E8" w14:textId="1652AC7D" w:rsidR="00315186" w:rsidRPr="00315186" w:rsidRDefault="00851BB0" w:rsidP="00851BB0">
      <w:pPr>
        <w:jc w:val="both"/>
      </w:pPr>
      <w:r w:rsidRPr="00851BB0">
        <w:rPr>
          <w:rFonts w:ascii="Arial" w:hAnsi="Arial" w:cs="Arial"/>
        </w:rPr>
        <w:t xml:space="preserve">We thank </w:t>
      </w:r>
      <w:r w:rsidR="00BC1D2E">
        <w:rPr>
          <w:rFonts w:ascii="Arial" w:hAnsi="Arial" w:cs="Arial"/>
        </w:rPr>
        <w:t>the</w:t>
      </w:r>
      <w:r w:rsidRPr="00851BB0">
        <w:rPr>
          <w:rFonts w:ascii="Arial" w:hAnsi="Arial" w:cs="Arial"/>
        </w:rPr>
        <w:t xml:space="preserve"> lecturers and staff in department of Pharmacology Therapy and Histology, Faculty of Medicine, </w:t>
      </w:r>
      <w:proofErr w:type="spellStart"/>
      <w:r w:rsidRPr="00851BB0">
        <w:rPr>
          <w:rFonts w:ascii="Arial" w:hAnsi="Arial" w:cs="Arial"/>
        </w:rPr>
        <w:t>Udayana</w:t>
      </w:r>
      <w:proofErr w:type="spellEnd"/>
      <w:r w:rsidRPr="00851BB0">
        <w:rPr>
          <w:rFonts w:ascii="Arial" w:hAnsi="Arial" w:cs="Arial"/>
        </w:rPr>
        <w:t xml:space="preserve"> University, Bali Indonesia for the support in the implementation of research</w:t>
      </w:r>
    </w:p>
    <w:p w14:paraId="32688D5A" w14:textId="77777777" w:rsidR="00315186" w:rsidRPr="00315186" w:rsidRDefault="00315186" w:rsidP="00441B6F"/>
    <w:p w14:paraId="70038903" w14:textId="77777777" w:rsidR="00315186" w:rsidRPr="00315186" w:rsidRDefault="00315186" w:rsidP="00441B6F"/>
    <w:p w14:paraId="50E8E4A5" w14:textId="2691500E" w:rsidR="00851BB0" w:rsidRDefault="00851BB0" w:rsidP="00441B6F">
      <w:pPr>
        <w:pStyle w:val="ReferHead"/>
        <w:spacing w:after="0"/>
        <w:jc w:val="both"/>
        <w:rPr>
          <w:rFonts w:ascii="Arial" w:hAnsi="Arial" w:cs="Arial"/>
          <w:b w:val="0"/>
          <w:caps w:val="0"/>
          <w:sz w:val="20"/>
        </w:rPr>
      </w:pPr>
    </w:p>
    <w:p w14:paraId="607C0E56" w14:textId="77777777" w:rsidR="00984AAF" w:rsidRDefault="00984AAF" w:rsidP="00984AAF">
      <w:pPr>
        <w:rPr>
          <w:rFonts w:ascii="Calibri" w:eastAsia="Calibri" w:hAnsi="Calibri"/>
          <w:kern w:val="2"/>
          <w:highlight w:val="yellow"/>
        </w:rPr>
      </w:pPr>
      <w:bookmarkStart w:id="2" w:name="_Hlk204003461"/>
      <w:bookmarkStart w:id="3" w:name="_Hlk213070710"/>
      <w:r>
        <w:rPr>
          <w:rFonts w:ascii="Calibri" w:eastAsia="Calibri" w:hAnsi="Calibri"/>
          <w:kern w:val="2"/>
          <w:highlight w:val="yellow"/>
        </w:rPr>
        <w:t>Disclaimer (Artificial intelligence)</w:t>
      </w:r>
    </w:p>
    <w:p w14:paraId="127BF88A" w14:textId="77777777" w:rsidR="00984AAF" w:rsidRDefault="00984AAF" w:rsidP="00313E70">
      <w:pPr>
        <w:jc w:val="both"/>
        <w:rPr>
          <w:rFonts w:ascii="Calibri" w:eastAsia="Calibri" w:hAnsi="Calibri"/>
          <w:kern w:val="2"/>
          <w:highlight w:val="yellow"/>
        </w:rPr>
      </w:pPr>
      <w:r>
        <w:rPr>
          <w:rFonts w:ascii="Calibri" w:eastAsia="Calibri" w:hAnsi="Calibri"/>
          <w:kern w:val="2"/>
          <w:highlight w:val="yellow"/>
        </w:rPr>
        <w:t>Author(s) hereby declare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bookmarkEnd w:id="2"/>
    <w:bookmarkEnd w:id="3"/>
    <w:p w14:paraId="2FB8E28F" w14:textId="7F5AED4B" w:rsidR="00851BB0" w:rsidRDefault="00851BB0" w:rsidP="00441B6F">
      <w:pPr>
        <w:pStyle w:val="ReferHead"/>
        <w:spacing w:after="0"/>
        <w:jc w:val="both"/>
        <w:rPr>
          <w:rFonts w:ascii="Arial" w:hAnsi="Arial" w:cs="Arial"/>
          <w:b w:val="0"/>
          <w:caps w:val="0"/>
          <w:sz w:val="20"/>
        </w:rPr>
      </w:pPr>
    </w:p>
    <w:p w14:paraId="5E4E42D1" w14:textId="77777777" w:rsidR="00851BB0" w:rsidRDefault="00851BB0" w:rsidP="00441B6F">
      <w:pPr>
        <w:pStyle w:val="ReferHead"/>
        <w:spacing w:after="0"/>
        <w:jc w:val="both"/>
        <w:rPr>
          <w:rFonts w:ascii="Arial" w:hAnsi="Arial" w:cs="Arial"/>
        </w:rPr>
      </w:pPr>
    </w:p>
    <w:p w14:paraId="09D2F88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D961F1F" w14:textId="77777777" w:rsidR="00790ADA" w:rsidRPr="00FB3A86" w:rsidRDefault="00790ADA" w:rsidP="00441B6F">
      <w:pPr>
        <w:pStyle w:val="ReferHead"/>
        <w:spacing w:after="0"/>
        <w:jc w:val="both"/>
        <w:rPr>
          <w:rFonts w:ascii="Arial" w:hAnsi="Arial" w:cs="Arial"/>
        </w:rPr>
      </w:pPr>
    </w:p>
    <w:p w14:paraId="108F977E" w14:textId="3C7C753F" w:rsidR="00E72BD0" w:rsidRPr="00850156" w:rsidRDefault="00E72BD0" w:rsidP="00E72BD0">
      <w:pPr>
        <w:numPr>
          <w:ilvl w:val="0"/>
          <w:numId w:val="31"/>
        </w:numPr>
        <w:autoSpaceDE w:val="0"/>
        <w:autoSpaceDN w:val="0"/>
        <w:adjustRightInd w:val="0"/>
        <w:jc w:val="both"/>
        <w:rPr>
          <w:spacing w:val="-7"/>
        </w:rPr>
      </w:pPr>
      <w:r w:rsidRPr="00850156">
        <w:rPr>
          <w:color w:val="000000"/>
          <w:spacing w:val="-7"/>
        </w:rPr>
        <w:t>Chaffer, C.L. &amp; Weinberg, R.A. (2011). A Perspective on Cancer Cell Metastasis. Science,331(6024</w:t>
      </w:r>
      <w:proofErr w:type="gramStart"/>
      <w:r w:rsidRPr="00850156">
        <w:rPr>
          <w:color w:val="000000"/>
          <w:spacing w:val="-7"/>
        </w:rPr>
        <w:t>),pp.15591564.doi</w:t>
      </w:r>
      <w:proofErr w:type="gramEnd"/>
      <w:r w:rsidRPr="00850156">
        <w:rPr>
          <w:color w:val="000000"/>
          <w:spacing w:val="-7"/>
        </w:rPr>
        <w:t>:</w:t>
      </w:r>
      <w:r w:rsidR="00CE3414">
        <w:rPr>
          <w:color w:val="000000"/>
          <w:spacing w:val="-7"/>
        </w:rPr>
        <w:t xml:space="preserve">  </w:t>
      </w:r>
      <w:hyperlink r:id="rId14" w:history="1">
        <w:r w:rsidR="00CE3414" w:rsidRPr="004D40BA">
          <w:rPr>
            <w:rStyle w:val="Hyperlink"/>
            <w:spacing w:val="-7"/>
          </w:rPr>
          <w:t>https://doi.org/10.1126/science.1203543</w:t>
        </w:r>
      </w:hyperlink>
      <w:r w:rsidR="00CE3414">
        <w:rPr>
          <w:color w:val="000000"/>
          <w:spacing w:val="-7"/>
        </w:rPr>
        <w:t xml:space="preserve">  </w:t>
      </w:r>
    </w:p>
    <w:p w14:paraId="6FB37E2F" w14:textId="29067F4E" w:rsidR="00E72BD0" w:rsidRDefault="00E72BD0" w:rsidP="00E72BD0">
      <w:pPr>
        <w:numPr>
          <w:ilvl w:val="0"/>
          <w:numId w:val="31"/>
        </w:numPr>
        <w:autoSpaceDE w:val="0"/>
        <w:autoSpaceDN w:val="0"/>
        <w:adjustRightInd w:val="0"/>
        <w:jc w:val="both"/>
        <w:rPr>
          <w:spacing w:val="-7"/>
        </w:rPr>
      </w:pPr>
      <w:proofErr w:type="spellStart"/>
      <w:r w:rsidRPr="00850156">
        <w:rPr>
          <w:spacing w:val="-7"/>
        </w:rPr>
        <w:t>Monteran</w:t>
      </w:r>
      <w:proofErr w:type="spellEnd"/>
      <w:r w:rsidRPr="00850156">
        <w:rPr>
          <w:spacing w:val="-7"/>
        </w:rPr>
        <w:t>, L., et al. (2020). Bone Metastasis Is Associated with Acquisition of Mesenchymal Phenotype and Immune Suppression in a Model of Spontaneous Breast Cancer Metastasis. Scientific Reports,</w:t>
      </w:r>
      <w:proofErr w:type="gramStart"/>
      <w:r w:rsidRPr="00850156">
        <w:rPr>
          <w:spacing w:val="-7"/>
        </w:rPr>
        <w:t>10,p.13838.doi</w:t>
      </w:r>
      <w:proofErr w:type="gramEnd"/>
      <w:r w:rsidRPr="00850156">
        <w:rPr>
          <w:spacing w:val="-7"/>
        </w:rPr>
        <w:t>:</w:t>
      </w:r>
      <w:r w:rsidR="00CE3414">
        <w:rPr>
          <w:spacing w:val="-7"/>
        </w:rPr>
        <w:t xml:space="preserve"> </w:t>
      </w:r>
      <w:hyperlink r:id="rId15" w:history="1">
        <w:r w:rsidR="00CE3414" w:rsidRPr="004D40BA">
          <w:rPr>
            <w:rStyle w:val="Hyperlink"/>
            <w:spacing w:val="-7"/>
          </w:rPr>
          <w:t>https://doi.org/10.1038/s41598-020-70788-3</w:t>
        </w:r>
      </w:hyperlink>
      <w:r w:rsidR="00CE3414">
        <w:rPr>
          <w:spacing w:val="-7"/>
        </w:rPr>
        <w:t xml:space="preserve"> </w:t>
      </w:r>
    </w:p>
    <w:p w14:paraId="53FCC0DE" w14:textId="6F100549" w:rsidR="00E72BD0" w:rsidRDefault="00E72BD0" w:rsidP="00E72BD0">
      <w:pPr>
        <w:numPr>
          <w:ilvl w:val="0"/>
          <w:numId w:val="31"/>
        </w:numPr>
        <w:autoSpaceDE w:val="0"/>
        <w:autoSpaceDN w:val="0"/>
        <w:adjustRightInd w:val="0"/>
        <w:jc w:val="both"/>
        <w:rPr>
          <w:spacing w:val="-7"/>
        </w:rPr>
      </w:pPr>
      <w:r w:rsidRPr="00E70B18">
        <w:rPr>
          <w:spacing w:val="-7"/>
        </w:rPr>
        <w:t>American Cancer Society. (n.d.). Bone Metastases</w:t>
      </w:r>
      <w:r>
        <w:rPr>
          <w:spacing w:val="-7"/>
        </w:rPr>
        <w:t xml:space="preserve"> </w:t>
      </w:r>
      <w:r w:rsidRPr="00E70B18">
        <w:rPr>
          <w:spacing w:val="-7"/>
        </w:rPr>
        <w:t>Cancer Spread to Bones. [online] Available at:</w:t>
      </w:r>
      <w:r>
        <w:rPr>
          <w:spacing w:val="-7"/>
        </w:rPr>
        <w:t xml:space="preserve"> </w:t>
      </w:r>
      <w:r w:rsidR="00CE3414">
        <w:rPr>
          <w:spacing w:val="-7"/>
        </w:rPr>
        <w:t xml:space="preserve"> </w:t>
      </w:r>
      <w:hyperlink r:id="rId16" w:history="1">
        <w:r w:rsidR="00CE3414" w:rsidRPr="004D40BA">
          <w:rPr>
            <w:rStyle w:val="Hyperlink"/>
          </w:rPr>
          <w:t>https://www.cancer.org/cancer/managingcancer/advanced-cancer/bone-metastases.html</w:t>
        </w:r>
      </w:hyperlink>
      <w:r w:rsidR="00CE3414">
        <w:t xml:space="preserve"> </w:t>
      </w:r>
      <w:r w:rsidRPr="00E70B18">
        <w:rPr>
          <w:spacing w:val="-7"/>
        </w:rPr>
        <w:t>[Accessed 22 May 2023].</w:t>
      </w:r>
    </w:p>
    <w:p w14:paraId="227FDECA" w14:textId="3A60756A" w:rsidR="00E72BD0" w:rsidRDefault="00CE3414" w:rsidP="00E72BD0">
      <w:pPr>
        <w:numPr>
          <w:ilvl w:val="0"/>
          <w:numId w:val="31"/>
        </w:numPr>
        <w:autoSpaceDE w:val="0"/>
        <w:autoSpaceDN w:val="0"/>
        <w:adjustRightInd w:val="0"/>
        <w:jc w:val="both"/>
        <w:rPr>
          <w:spacing w:val="-7"/>
        </w:rPr>
      </w:pPr>
      <w:proofErr w:type="spellStart"/>
      <w:r w:rsidRPr="00CE3414">
        <w:rPr>
          <w:spacing w:val="-7"/>
        </w:rPr>
        <w:t>Yatulaili</w:t>
      </w:r>
      <w:proofErr w:type="spellEnd"/>
      <w:r w:rsidRPr="00CE3414">
        <w:rPr>
          <w:spacing w:val="-7"/>
        </w:rPr>
        <w:t xml:space="preserve">, F., </w:t>
      </w:r>
      <w:proofErr w:type="spellStart"/>
      <w:r w:rsidRPr="00CE3414">
        <w:rPr>
          <w:spacing w:val="-7"/>
        </w:rPr>
        <w:t>Poedjomartono</w:t>
      </w:r>
      <w:proofErr w:type="spellEnd"/>
      <w:r w:rsidRPr="00CE3414">
        <w:rPr>
          <w:spacing w:val="-7"/>
        </w:rPr>
        <w:t xml:space="preserve">, B., &amp; </w:t>
      </w:r>
      <w:proofErr w:type="spellStart"/>
      <w:r w:rsidRPr="00CE3414">
        <w:rPr>
          <w:spacing w:val="-7"/>
        </w:rPr>
        <w:t>Dwidanarti</w:t>
      </w:r>
      <w:proofErr w:type="spellEnd"/>
      <w:r w:rsidRPr="00CE3414">
        <w:rPr>
          <w:spacing w:val="-7"/>
        </w:rPr>
        <w:t>, S. R. (2019). *</w:t>
      </w:r>
      <w:proofErr w:type="spellStart"/>
      <w:r w:rsidRPr="00CE3414">
        <w:rPr>
          <w:spacing w:val="-7"/>
        </w:rPr>
        <w:t>Perbedaan</w:t>
      </w:r>
      <w:proofErr w:type="spellEnd"/>
      <w:r w:rsidRPr="00CE3414">
        <w:rPr>
          <w:spacing w:val="-7"/>
        </w:rPr>
        <w:t xml:space="preserve"> </w:t>
      </w:r>
      <w:proofErr w:type="spellStart"/>
      <w:r w:rsidRPr="00CE3414">
        <w:rPr>
          <w:spacing w:val="-7"/>
        </w:rPr>
        <w:t>nilai</w:t>
      </w:r>
      <w:proofErr w:type="spellEnd"/>
      <w:r w:rsidRPr="00CE3414">
        <w:rPr>
          <w:spacing w:val="-7"/>
        </w:rPr>
        <w:t xml:space="preserve"> </w:t>
      </w:r>
      <w:proofErr w:type="spellStart"/>
      <w:r w:rsidRPr="00CE3414">
        <w:rPr>
          <w:spacing w:val="-7"/>
        </w:rPr>
        <w:t>densitas</w:t>
      </w:r>
      <w:proofErr w:type="spellEnd"/>
      <w:r w:rsidRPr="00CE3414">
        <w:rPr>
          <w:spacing w:val="-7"/>
        </w:rPr>
        <w:t xml:space="preserve"> CT scan metastasis </w:t>
      </w:r>
      <w:proofErr w:type="spellStart"/>
      <w:r w:rsidRPr="00CE3414">
        <w:rPr>
          <w:spacing w:val="-7"/>
        </w:rPr>
        <w:t>tulang</w:t>
      </w:r>
      <w:proofErr w:type="spellEnd"/>
      <w:r w:rsidRPr="00CE3414">
        <w:rPr>
          <w:spacing w:val="-7"/>
        </w:rPr>
        <w:t xml:space="preserve"> </w:t>
      </w:r>
      <w:proofErr w:type="spellStart"/>
      <w:r w:rsidRPr="00CE3414">
        <w:rPr>
          <w:spacing w:val="-7"/>
        </w:rPr>
        <w:t>tipe</w:t>
      </w:r>
      <w:proofErr w:type="spellEnd"/>
      <w:r w:rsidRPr="00CE3414">
        <w:rPr>
          <w:spacing w:val="-7"/>
        </w:rPr>
        <w:t xml:space="preserve"> </w:t>
      </w:r>
      <w:proofErr w:type="spellStart"/>
      <w:r w:rsidRPr="00CE3414">
        <w:rPr>
          <w:spacing w:val="-7"/>
        </w:rPr>
        <w:t>osteoblastik</w:t>
      </w:r>
      <w:proofErr w:type="spellEnd"/>
      <w:r w:rsidRPr="00CE3414">
        <w:rPr>
          <w:spacing w:val="-7"/>
        </w:rPr>
        <w:t xml:space="preserve"> pada </w:t>
      </w:r>
      <w:proofErr w:type="spellStart"/>
      <w:r w:rsidRPr="00CE3414">
        <w:rPr>
          <w:spacing w:val="-7"/>
        </w:rPr>
        <w:t>pasien</w:t>
      </w:r>
      <w:proofErr w:type="spellEnd"/>
      <w:r w:rsidRPr="00CE3414">
        <w:rPr>
          <w:spacing w:val="-7"/>
        </w:rPr>
        <w:t xml:space="preserve"> </w:t>
      </w:r>
      <w:proofErr w:type="spellStart"/>
      <w:r w:rsidRPr="00CE3414">
        <w:rPr>
          <w:spacing w:val="-7"/>
        </w:rPr>
        <w:t>kanker</w:t>
      </w:r>
      <w:proofErr w:type="spellEnd"/>
      <w:r w:rsidRPr="00CE3414">
        <w:rPr>
          <w:spacing w:val="-7"/>
        </w:rPr>
        <w:t xml:space="preserve"> </w:t>
      </w:r>
      <w:proofErr w:type="spellStart"/>
      <w:r w:rsidRPr="00CE3414">
        <w:rPr>
          <w:spacing w:val="-7"/>
        </w:rPr>
        <w:t>payudara</w:t>
      </w:r>
      <w:proofErr w:type="spellEnd"/>
      <w:r w:rsidRPr="00CE3414">
        <w:rPr>
          <w:spacing w:val="-7"/>
        </w:rPr>
        <w:t xml:space="preserve"> </w:t>
      </w:r>
      <w:proofErr w:type="spellStart"/>
      <w:r w:rsidRPr="00CE3414">
        <w:rPr>
          <w:spacing w:val="-7"/>
        </w:rPr>
        <w:t>dengan</w:t>
      </w:r>
      <w:proofErr w:type="spellEnd"/>
      <w:r w:rsidRPr="00CE3414">
        <w:rPr>
          <w:spacing w:val="-7"/>
        </w:rPr>
        <w:t xml:space="preserve"> </w:t>
      </w:r>
      <w:proofErr w:type="spellStart"/>
      <w:r w:rsidRPr="00CE3414">
        <w:rPr>
          <w:spacing w:val="-7"/>
        </w:rPr>
        <w:t>enostosis</w:t>
      </w:r>
      <w:proofErr w:type="spellEnd"/>
      <w:r w:rsidRPr="00CE3414">
        <w:rPr>
          <w:spacing w:val="-7"/>
        </w:rPr>
        <w:t xml:space="preserve">*. </w:t>
      </w:r>
      <w:proofErr w:type="spellStart"/>
      <w:r w:rsidRPr="00CE3414">
        <w:rPr>
          <w:spacing w:val="-7"/>
        </w:rPr>
        <w:t>Universitas</w:t>
      </w:r>
      <w:proofErr w:type="spellEnd"/>
      <w:r w:rsidRPr="00CE3414">
        <w:rPr>
          <w:spacing w:val="-7"/>
        </w:rPr>
        <w:t xml:space="preserve"> Gadjah </w:t>
      </w:r>
      <w:proofErr w:type="spellStart"/>
      <w:r w:rsidRPr="00CE3414">
        <w:rPr>
          <w:spacing w:val="-7"/>
        </w:rPr>
        <w:t>Mada</w:t>
      </w:r>
      <w:proofErr w:type="spellEnd"/>
      <w:r w:rsidRPr="00CE3414">
        <w:rPr>
          <w:spacing w:val="-7"/>
        </w:rPr>
        <w:t xml:space="preserve">. </w:t>
      </w:r>
      <w:hyperlink r:id="rId17" w:history="1">
        <w:r w:rsidRPr="004D40BA">
          <w:rPr>
            <w:rStyle w:val="Hyperlink"/>
            <w:spacing w:val="-7"/>
          </w:rPr>
          <w:t>http://etd.repository.ugm.ac.id/</w:t>
        </w:r>
      </w:hyperlink>
      <w:r>
        <w:rPr>
          <w:spacing w:val="-7"/>
        </w:rPr>
        <w:t xml:space="preserve"> </w:t>
      </w:r>
      <w:r w:rsidR="00E72BD0" w:rsidRPr="00595EDB">
        <w:rPr>
          <w:spacing w:val="-7"/>
        </w:rPr>
        <w:t>.</w:t>
      </w:r>
    </w:p>
    <w:p w14:paraId="1E92B291" w14:textId="0D584BAE" w:rsidR="00E72BD0" w:rsidRDefault="00CE3414" w:rsidP="00E72BD0">
      <w:pPr>
        <w:numPr>
          <w:ilvl w:val="0"/>
          <w:numId w:val="31"/>
        </w:numPr>
        <w:autoSpaceDE w:val="0"/>
        <w:autoSpaceDN w:val="0"/>
        <w:adjustRightInd w:val="0"/>
        <w:jc w:val="both"/>
        <w:rPr>
          <w:spacing w:val="-7"/>
        </w:rPr>
      </w:pPr>
      <w:r w:rsidRPr="00CE3414">
        <w:rPr>
          <w:spacing w:val="-7"/>
        </w:rPr>
        <w:t xml:space="preserve">Berenson, J. R., </w:t>
      </w:r>
      <w:proofErr w:type="spellStart"/>
      <w:r w:rsidRPr="00CE3414">
        <w:rPr>
          <w:spacing w:val="-7"/>
        </w:rPr>
        <w:t>Rajdev</w:t>
      </w:r>
      <w:proofErr w:type="spellEnd"/>
      <w:r w:rsidRPr="00CE3414">
        <w:rPr>
          <w:spacing w:val="-7"/>
        </w:rPr>
        <w:t xml:space="preserve">, L., &amp; Broder, M. (2006). Pathophysiology of bone metastases. Cancer Biology &amp; Therapy, 5(9), 1078–1081. </w:t>
      </w:r>
      <w:hyperlink r:id="rId18" w:history="1">
        <w:r w:rsidRPr="004D40BA">
          <w:rPr>
            <w:rStyle w:val="Hyperlink"/>
            <w:spacing w:val="-7"/>
          </w:rPr>
          <w:t>https://doi.org/10.4161/cbt.5.9.3306</w:t>
        </w:r>
      </w:hyperlink>
      <w:r>
        <w:rPr>
          <w:spacing w:val="-7"/>
        </w:rPr>
        <w:t xml:space="preserve"> </w:t>
      </w:r>
      <w:r w:rsidR="00E72BD0" w:rsidRPr="00850156">
        <w:rPr>
          <w:spacing w:val="-7"/>
        </w:rPr>
        <w:t>.</w:t>
      </w:r>
    </w:p>
    <w:p w14:paraId="7CD92D94" w14:textId="5D68C015" w:rsidR="00E72BD0" w:rsidRDefault="00CE3414" w:rsidP="00E72BD0">
      <w:pPr>
        <w:numPr>
          <w:ilvl w:val="0"/>
          <w:numId w:val="31"/>
        </w:numPr>
        <w:autoSpaceDE w:val="0"/>
        <w:autoSpaceDN w:val="0"/>
        <w:adjustRightInd w:val="0"/>
        <w:jc w:val="both"/>
        <w:rPr>
          <w:spacing w:val="-7"/>
        </w:rPr>
      </w:pPr>
      <w:proofErr w:type="spellStart"/>
      <w:r w:rsidRPr="00CE3414">
        <w:rPr>
          <w:spacing w:val="-7"/>
        </w:rPr>
        <w:t>Roodman</w:t>
      </w:r>
      <w:proofErr w:type="spellEnd"/>
      <w:r w:rsidRPr="00CE3414">
        <w:rPr>
          <w:spacing w:val="-7"/>
        </w:rPr>
        <w:t xml:space="preserve">, G. D. (2001). Biology of osteoclast activation in cancer. Journal of Clinical Oncology, 19(15), 3562–3571. </w:t>
      </w:r>
      <w:hyperlink r:id="rId19" w:history="1">
        <w:r w:rsidRPr="004D40BA">
          <w:rPr>
            <w:rStyle w:val="Hyperlink"/>
            <w:spacing w:val="-7"/>
          </w:rPr>
          <w:t>https://doi.org/10.1200/JCO.2001.19.15.3562</w:t>
        </w:r>
      </w:hyperlink>
      <w:r>
        <w:rPr>
          <w:spacing w:val="-7"/>
        </w:rPr>
        <w:t xml:space="preserve"> </w:t>
      </w:r>
      <w:r w:rsidR="00E72BD0" w:rsidRPr="00850156">
        <w:rPr>
          <w:spacing w:val="-7"/>
        </w:rPr>
        <w:t>.</w:t>
      </w:r>
      <w:r w:rsidR="00E72BD0">
        <w:rPr>
          <w:spacing w:val="-7"/>
        </w:rPr>
        <w:t xml:space="preserve"> </w:t>
      </w:r>
    </w:p>
    <w:p w14:paraId="32B67CDB" w14:textId="343ED546" w:rsidR="00E72BD0" w:rsidRDefault="00CE3414" w:rsidP="00E72BD0">
      <w:pPr>
        <w:numPr>
          <w:ilvl w:val="0"/>
          <w:numId w:val="31"/>
        </w:numPr>
        <w:autoSpaceDE w:val="0"/>
        <w:autoSpaceDN w:val="0"/>
        <w:adjustRightInd w:val="0"/>
        <w:jc w:val="both"/>
        <w:rPr>
          <w:spacing w:val="-7"/>
        </w:rPr>
      </w:pPr>
      <w:proofErr w:type="spellStart"/>
      <w:r w:rsidRPr="00CE3414">
        <w:rPr>
          <w:spacing w:val="-7"/>
        </w:rPr>
        <w:t>Bruckmann</w:t>
      </w:r>
      <w:proofErr w:type="spellEnd"/>
      <w:r w:rsidRPr="00CE3414">
        <w:rPr>
          <w:spacing w:val="-7"/>
        </w:rPr>
        <w:t xml:space="preserve">, N. M., Kirchner, J., </w:t>
      </w:r>
      <w:proofErr w:type="spellStart"/>
      <w:r w:rsidRPr="00CE3414">
        <w:rPr>
          <w:spacing w:val="-7"/>
        </w:rPr>
        <w:t>Umutlu</w:t>
      </w:r>
      <w:proofErr w:type="spellEnd"/>
      <w:r w:rsidRPr="00CE3414">
        <w:rPr>
          <w:spacing w:val="-7"/>
        </w:rPr>
        <w:t xml:space="preserve">, L., </w:t>
      </w:r>
      <w:proofErr w:type="spellStart"/>
      <w:r w:rsidRPr="00CE3414">
        <w:rPr>
          <w:spacing w:val="-7"/>
        </w:rPr>
        <w:t>Fendler</w:t>
      </w:r>
      <w:proofErr w:type="spellEnd"/>
      <w:r w:rsidRPr="00CE3414">
        <w:rPr>
          <w:spacing w:val="-7"/>
        </w:rPr>
        <w:t xml:space="preserve">, W. P., Seifert, R., Herrmann, K., Bittner, A.-K., Hoffmann, O., </w:t>
      </w:r>
      <w:proofErr w:type="spellStart"/>
      <w:r w:rsidRPr="00CE3414">
        <w:rPr>
          <w:spacing w:val="-7"/>
        </w:rPr>
        <w:t>Mohrmann</w:t>
      </w:r>
      <w:proofErr w:type="spellEnd"/>
      <w:r w:rsidRPr="00CE3414">
        <w:rPr>
          <w:spacing w:val="-7"/>
        </w:rPr>
        <w:t xml:space="preserve">, S., </w:t>
      </w:r>
      <w:proofErr w:type="spellStart"/>
      <w:r w:rsidRPr="00CE3414">
        <w:rPr>
          <w:spacing w:val="-7"/>
        </w:rPr>
        <w:t>Antke</w:t>
      </w:r>
      <w:proofErr w:type="spellEnd"/>
      <w:r w:rsidRPr="00CE3414">
        <w:rPr>
          <w:spacing w:val="-7"/>
        </w:rPr>
        <w:t xml:space="preserve">, C., </w:t>
      </w:r>
      <w:proofErr w:type="spellStart"/>
      <w:r w:rsidRPr="00CE3414">
        <w:rPr>
          <w:spacing w:val="-7"/>
        </w:rPr>
        <w:t>Schimmöller</w:t>
      </w:r>
      <w:proofErr w:type="spellEnd"/>
      <w:r w:rsidRPr="00CE3414">
        <w:rPr>
          <w:spacing w:val="-7"/>
        </w:rPr>
        <w:t xml:space="preserve">, L., </w:t>
      </w:r>
      <w:proofErr w:type="spellStart"/>
      <w:r w:rsidRPr="00CE3414">
        <w:rPr>
          <w:spacing w:val="-7"/>
        </w:rPr>
        <w:t>Ingenwerth</w:t>
      </w:r>
      <w:proofErr w:type="spellEnd"/>
      <w:r w:rsidRPr="00CE3414">
        <w:rPr>
          <w:spacing w:val="-7"/>
        </w:rPr>
        <w:t xml:space="preserve">, M., </w:t>
      </w:r>
      <w:proofErr w:type="spellStart"/>
      <w:r w:rsidRPr="00CE3414">
        <w:rPr>
          <w:spacing w:val="-7"/>
        </w:rPr>
        <w:t>Breuckmann</w:t>
      </w:r>
      <w:proofErr w:type="spellEnd"/>
      <w:r w:rsidRPr="00CE3414">
        <w:rPr>
          <w:spacing w:val="-7"/>
        </w:rPr>
        <w:t xml:space="preserve">, K., </w:t>
      </w:r>
      <w:proofErr w:type="spellStart"/>
      <w:r w:rsidRPr="00CE3414">
        <w:rPr>
          <w:spacing w:val="-7"/>
        </w:rPr>
        <w:t>Stang</w:t>
      </w:r>
      <w:proofErr w:type="spellEnd"/>
      <w:r w:rsidRPr="00CE3414">
        <w:rPr>
          <w:spacing w:val="-7"/>
        </w:rPr>
        <w:t xml:space="preserve">, A., </w:t>
      </w:r>
      <w:proofErr w:type="spellStart"/>
      <w:r w:rsidRPr="00CE3414">
        <w:rPr>
          <w:spacing w:val="-7"/>
        </w:rPr>
        <w:t>Buchbender</w:t>
      </w:r>
      <w:proofErr w:type="spellEnd"/>
      <w:r w:rsidRPr="00CE3414">
        <w:rPr>
          <w:spacing w:val="-7"/>
        </w:rPr>
        <w:t xml:space="preserve">, C., </w:t>
      </w:r>
      <w:proofErr w:type="spellStart"/>
      <w:r w:rsidRPr="00CE3414">
        <w:rPr>
          <w:spacing w:val="-7"/>
        </w:rPr>
        <w:t>Antoch</w:t>
      </w:r>
      <w:proofErr w:type="spellEnd"/>
      <w:r w:rsidRPr="00CE3414">
        <w:rPr>
          <w:spacing w:val="-7"/>
        </w:rPr>
        <w:t xml:space="preserve">, G., &amp; Sawicki, L. M. (2021). Prospective comparison of the diagnostic accuracy of 18F-FDG PET/MRI, MRI, CT, and bone scintigraphy for the detection of bone metastases in the initial staging of primary breast cancer patients. European Radiology, 31(11), 8714–8724. </w:t>
      </w:r>
      <w:hyperlink r:id="rId20" w:history="1">
        <w:r w:rsidRPr="004D40BA">
          <w:rPr>
            <w:rStyle w:val="Hyperlink"/>
            <w:spacing w:val="-7"/>
          </w:rPr>
          <w:t>https://doi.org/10.1007/s00330-021-07956-0</w:t>
        </w:r>
      </w:hyperlink>
      <w:r>
        <w:rPr>
          <w:spacing w:val="-7"/>
        </w:rPr>
        <w:t xml:space="preserve"> </w:t>
      </w:r>
      <w:r w:rsidR="00E72BD0" w:rsidRPr="00C31E6E">
        <w:rPr>
          <w:spacing w:val="-7"/>
        </w:rPr>
        <w:t>.</w:t>
      </w:r>
    </w:p>
    <w:p w14:paraId="1DE09B3A" w14:textId="3FC72A4C" w:rsidR="00E72BD0" w:rsidRDefault="00CE3414" w:rsidP="00E72BD0">
      <w:pPr>
        <w:numPr>
          <w:ilvl w:val="0"/>
          <w:numId w:val="31"/>
        </w:numPr>
        <w:autoSpaceDE w:val="0"/>
        <w:autoSpaceDN w:val="0"/>
        <w:adjustRightInd w:val="0"/>
        <w:jc w:val="both"/>
        <w:rPr>
          <w:spacing w:val="-7"/>
        </w:rPr>
      </w:pPr>
      <w:r w:rsidRPr="00CE3414">
        <w:rPr>
          <w:spacing w:val="-7"/>
        </w:rPr>
        <w:t xml:space="preserve">Advertorial. (2017). PET/CT Scan </w:t>
      </w:r>
      <w:proofErr w:type="spellStart"/>
      <w:r w:rsidRPr="00CE3414">
        <w:rPr>
          <w:spacing w:val="-7"/>
        </w:rPr>
        <w:t>Mendeteksi</w:t>
      </w:r>
      <w:proofErr w:type="spellEnd"/>
      <w:r w:rsidRPr="00CE3414">
        <w:rPr>
          <w:spacing w:val="-7"/>
        </w:rPr>
        <w:t xml:space="preserve"> </w:t>
      </w:r>
      <w:proofErr w:type="spellStart"/>
      <w:r w:rsidRPr="00CE3414">
        <w:rPr>
          <w:spacing w:val="-7"/>
        </w:rPr>
        <w:t>Kanker</w:t>
      </w:r>
      <w:proofErr w:type="spellEnd"/>
      <w:r w:rsidRPr="00CE3414">
        <w:rPr>
          <w:spacing w:val="-7"/>
        </w:rPr>
        <w:t xml:space="preserve"> </w:t>
      </w:r>
      <w:proofErr w:type="spellStart"/>
      <w:r w:rsidRPr="00CE3414">
        <w:rPr>
          <w:spacing w:val="-7"/>
        </w:rPr>
        <w:t>Lebih</w:t>
      </w:r>
      <w:proofErr w:type="spellEnd"/>
      <w:r w:rsidRPr="00CE3414">
        <w:rPr>
          <w:spacing w:val="-7"/>
        </w:rPr>
        <w:t xml:space="preserve"> </w:t>
      </w:r>
      <w:proofErr w:type="spellStart"/>
      <w:r w:rsidRPr="00CE3414">
        <w:rPr>
          <w:spacing w:val="-7"/>
        </w:rPr>
        <w:t>Akurat</w:t>
      </w:r>
      <w:proofErr w:type="spellEnd"/>
      <w:r w:rsidRPr="00CE3414">
        <w:rPr>
          <w:spacing w:val="-7"/>
        </w:rPr>
        <w:t xml:space="preserve">. CNN Indonesia. </w:t>
      </w:r>
      <w:hyperlink r:id="rId21" w:history="1">
        <w:r w:rsidRPr="004D40BA">
          <w:rPr>
            <w:rStyle w:val="Hyperlink"/>
            <w:spacing w:val="-7"/>
          </w:rPr>
          <w:t>https://www.cnnindonesia.com/gaya-hidup/20170313113556-307-199668/pet-ct-scan-mendeteksi-kanker-lebih-akurat</w:t>
        </w:r>
      </w:hyperlink>
      <w:r>
        <w:rPr>
          <w:spacing w:val="-7"/>
        </w:rPr>
        <w:t xml:space="preserve"> </w:t>
      </w:r>
      <w:r w:rsidR="00E72BD0" w:rsidRPr="00595EDB">
        <w:rPr>
          <w:spacing w:val="-7"/>
        </w:rPr>
        <w:t>.</w:t>
      </w:r>
    </w:p>
    <w:p w14:paraId="1B82B199" w14:textId="499F5112" w:rsidR="00CE3414" w:rsidRDefault="00CE3414" w:rsidP="00E72BD0">
      <w:pPr>
        <w:numPr>
          <w:ilvl w:val="0"/>
          <w:numId w:val="31"/>
        </w:numPr>
        <w:autoSpaceDE w:val="0"/>
        <w:autoSpaceDN w:val="0"/>
        <w:adjustRightInd w:val="0"/>
        <w:jc w:val="both"/>
        <w:rPr>
          <w:spacing w:val="-7"/>
        </w:rPr>
      </w:pPr>
      <w:proofErr w:type="spellStart"/>
      <w:r w:rsidRPr="00CE3414">
        <w:rPr>
          <w:spacing w:val="-7"/>
        </w:rPr>
        <w:t>Djuita</w:t>
      </w:r>
      <w:proofErr w:type="spellEnd"/>
      <w:r w:rsidRPr="00CE3414">
        <w:rPr>
          <w:spacing w:val="-7"/>
        </w:rPr>
        <w:t xml:space="preserve">, F., &amp; </w:t>
      </w:r>
      <w:proofErr w:type="spellStart"/>
      <w:r w:rsidRPr="00CE3414">
        <w:rPr>
          <w:spacing w:val="-7"/>
        </w:rPr>
        <w:t>Defrizal</w:t>
      </w:r>
      <w:proofErr w:type="spellEnd"/>
      <w:r w:rsidRPr="00CE3414">
        <w:rPr>
          <w:spacing w:val="-7"/>
        </w:rPr>
        <w:t xml:space="preserve">. (2007). </w:t>
      </w:r>
      <w:proofErr w:type="spellStart"/>
      <w:r w:rsidRPr="00CE3414">
        <w:rPr>
          <w:spacing w:val="-7"/>
        </w:rPr>
        <w:t>Radiasi</w:t>
      </w:r>
      <w:proofErr w:type="spellEnd"/>
      <w:r w:rsidRPr="00CE3414">
        <w:rPr>
          <w:spacing w:val="-7"/>
        </w:rPr>
        <w:t xml:space="preserve"> pada Metastasis </w:t>
      </w:r>
      <w:proofErr w:type="spellStart"/>
      <w:r w:rsidRPr="00CE3414">
        <w:rPr>
          <w:spacing w:val="-7"/>
        </w:rPr>
        <w:t>Tulang</w:t>
      </w:r>
      <w:proofErr w:type="spellEnd"/>
      <w:r w:rsidRPr="00CE3414">
        <w:rPr>
          <w:spacing w:val="-7"/>
        </w:rPr>
        <w:t xml:space="preserve">. Indonesian Journal of Cancer, 1(4), 135–139. </w:t>
      </w:r>
      <w:hyperlink r:id="rId22" w:history="1">
        <w:r w:rsidRPr="004D40BA">
          <w:rPr>
            <w:rStyle w:val="Hyperlink"/>
            <w:spacing w:val="-7"/>
          </w:rPr>
          <w:t>https://doi.org/10.33371/ijoc.v1i4.26</w:t>
        </w:r>
      </w:hyperlink>
      <w:r>
        <w:rPr>
          <w:spacing w:val="-7"/>
        </w:rPr>
        <w:t xml:space="preserve"> </w:t>
      </w:r>
      <w:r w:rsidRPr="00CE3414">
        <w:rPr>
          <w:spacing w:val="-7"/>
        </w:rPr>
        <w:t xml:space="preserve"> </w:t>
      </w:r>
      <w:r>
        <w:rPr>
          <w:spacing w:val="-7"/>
        </w:rPr>
        <w:t xml:space="preserve"> </w:t>
      </w:r>
    </w:p>
    <w:p w14:paraId="7B221F9F" w14:textId="0EFFE23A" w:rsidR="00CE3414" w:rsidRDefault="00CE3414" w:rsidP="00E72BD0">
      <w:pPr>
        <w:numPr>
          <w:ilvl w:val="0"/>
          <w:numId w:val="31"/>
        </w:numPr>
        <w:autoSpaceDE w:val="0"/>
        <w:autoSpaceDN w:val="0"/>
        <w:adjustRightInd w:val="0"/>
        <w:jc w:val="both"/>
        <w:rPr>
          <w:spacing w:val="-7"/>
        </w:rPr>
      </w:pPr>
      <w:proofErr w:type="spellStart"/>
      <w:r w:rsidRPr="00CE3414">
        <w:rPr>
          <w:spacing w:val="-7"/>
        </w:rPr>
        <w:t>Tahara</w:t>
      </w:r>
      <w:proofErr w:type="spellEnd"/>
      <w:r w:rsidRPr="00CE3414">
        <w:rPr>
          <w:spacing w:val="-7"/>
        </w:rPr>
        <w:t xml:space="preserve">, R. K., Brewer, T. M., Theriault, R. L., &amp; Ueno, N. T. (2019). Bone Metastasis of Breast Cancer. In A. Ahmad (Ed.), *Breast Cancer Metastasis and Drug Resistance* (pp. 105–129). Springer. </w:t>
      </w:r>
      <w:hyperlink r:id="rId23" w:history="1">
        <w:r w:rsidRPr="004D40BA">
          <w:rPr>
            <w:rStyle w:val="Hyperlink"/>
            <w:spacing w:val="-7"/>
          </w:rPr>
          <w:t>https://doi.org/10.1007/978-3-030-20301-6_7</w:t>
        </w:r>
      </w:hyperlink>
      <w:r>
        <w:rPr>
          <w:spacing w:val="-7"/>
        </w:rPr>
        <w:t xml:space="preserve"> </w:t>
      </w:r>
      <w:r w:rsidRPr="00CE3414">
        <w:rPr>
          <w:spacing w:val="-7"/>
        </w:rPr>
        <w:t xml:space="preserve"> </w:t>
      </w:r>
      <w:r>
        <w:rPr>
          <w:spacing w:val="-7"/>
        </w:rPr>
        <w:t xml:space="preserve"> </w:t>
      </w:r>
    </w:p>
    <w:p w14:paraId="13D4B45B" w14:textId="7064B880" w:rsidR="00E72BD0" w:rsidRDefault="00CE3414" w:rsidP="00E72BD0">
      <w:pPr>
        <w:numPr>
          <w:ilvl w:val="0"/>
          <w:numId w:val="31"/>
        </w:numPr>
        <w:autoSpaceDE w:val="0"/>
        <w:autoSpaceDN w:val="0"/>
        <w:adjustRightInd w:val="0"/>
        <w:jc w:val="both"/>
        <w:rPr>
          <w:spacing w:val="-7"/>
        </w:rPr>
      </w:pPr>
      <w:r w:rsidRPr="00CE3414">
        <w:rPr>
          <w:spacing w:val="-7"/>
        </w:rPr>
        <w:lastRenderedPageBreak/>
        <w:t xml:space="preserve">Theriault, R. L., &amp; </w:t>
      </w:r>
      <w:proofErr w:type="spellStart"/>
      <w:r w:rsidRPr="00CE3414">
        <w:rPr>
          <w:spacing w:val="-7"/>
        </w:rPr>
        <w:t>Hortobagyi</w:t>
      </w:r>
      <w:proofErr w:type="spellEnd"/>
      <w:r w:rsidRPr="00CE3414">
        <w:rPr>
          <w:spacing w:val="-7"/>
        </w:rPr>
        <w:t xml:space="preserve">, G. N. (1992). Bone metastasis in breast cancer. Anticancer Drugs, 3(5), 455–462. </w:t>
      </w:r>
      <w:hyperlink r:id="rId24" w:history="1">
        <w:r w:rsidRPr="004D40BA">
          <w:rPr>
            <w:rStyle w:val="Hyperlink"/>
            <w:spacing w:val="-7"/>
          </w:rPr>
          <w:t>https://doi.org/10.1097/00001813-199210000-00002</w:t>
        </w:r>
      </w:hyperlink>
      <w:r>
        <w:rPr>
          <w:spacing w:val="-7"/>
        </w:rPr>
        <w:t xml:space="preserve"> </w:t>
      </w:r>
      <w:r w:rsidR="00E72BD0" w:rsidRPr="00595EDB">
        <w:rPr>
          <w:spacing w:val="-7"/>
        </w:rPr>
        <w:t>.</w:t>
      </w:r>
    </w:p>
    <w:p w14:paraId="4C8A9B14" w14:textId="3969229E" w:rsidR="00CE3414" w:rsidRDefault="00CE3414" w:rsidP="00CE3414">
      <w:pPr>
        <w:numPr>
          <w:ilvl w:val="0"/>
          <w:numId w:val="31"/>
        </w:numPr>
        <w:autoSpaceDE w:val="0"/>
        <w:autoSpaceDN w:val="0"/>
        <w:adjustRightInd w:val="0"/>
        <w:jc w:val="both"/>
        <w:rPr>
          <w:spacing w:val="-7"/>
        </w:rPr>
      </w:pPr>
      <w:r w:rsidRPr="00CE3414">
        <w:rPr>
          <w:spacing w:val="-7"/>
        </w:rPr>
        <w:t xml:space="preserve">City of Hope. (2022). The difference between female and male breast cancer. Cancer Treatment Centers of America. </w:t>
      </w:r>
      <w:hyperlink r:id="rId25" w:history="1">
        <w:r w:rsidRPr="004D40BA">
          <w:rPr>
            <w:rStyle w:val="Hyperlink"/>
            <w:spacing w:val="-7"/>
          </w:rPr>
          <w:t>https://www.cancercenter.com/community/blog/2022/10/whats-the-difference-female-male-breast-cancer</w:t>
        </w:r>
      </w:hyperlink>
      <w:r>
        <w:rPr>
          <w:spacing w:val="-7"/>
        </w:rPr>
        <w:t xml:space="preserve"> </w:t>
      </w:r>
    </w:p>
    <w:p w14:paraId="4CDC895A" w14:textId="77777777" w:rsidR="00CE3414" w:rsidRDefault="00CE3414" w:rsidP="00E72BD0">
      <w:pPr>
        <w:numPr>
          <w:ilvl w:val="0"/>
          <w:numId w:val="31"/>
        </w:numPr>
        <w:autoSpaceDE w:val="0"/>
        <w:autoSpaceDN w:val="0"/>
        <w:adjustRightInd w:val="0"/>
        <w:jc w:val="both"/>
        <w:rPr>
          <w:spacing w:val="-7"/>
        </w:rPr>
      </w:pPr>
      <w:r w:rsidRPr="00CE3414">
        <w:rPr>
          <w:spacing w:val="-7"/>
        </w:rPr>
        <w:t xml:space="preserve">Li, C. I., Malone, K. E., Porter, P. L., Lawton, T. J., Voigt, L. F., Cushing-Haugen, K. L., Lin, M. G., Yuan, X., &amp; </w:t>
      </w:r>
      <w:proofErr w:type="spellStart"/>
      <w:r w:rsidRPr="00CE3414">
        <w:rPr>
          <w:spacing w:val="-7"/>
        </w:rPr>
        <w:t>Daling</w:t>
      </w:r>
      <w:proofErr w:type="spellEnd"/>
      <w:r w:rsidRPr="00CE3414">
        <w:rPr>
          <w:spacing w:val="-7"/>
        </w:rPr>
        <w:t xml:space="preserve">, J. R. (2008). Relationship between menopausal hormone therapy and risk of ductal, lobular, and ductal-lobular breast carcinomas. Cancer Epidemiology Biomarkers &amp; Prevention, 17(1), 43–50. </w:t>
      </w:r>
      <w:hyperlink r:id="rId26" w:history="1">
        <w:r w:rsidRPr="004D40BA">
          <w:rPr>
            <w:rStyle w:val="Hyperlink"/>
            <w:spacing w:val="-7"/>
          </w:rPr>
          <w:t>https://doi.org/10.1158/1055-9965.EPI-07-0558</w:t>
        </w:r>
      </w:hyperlink>
      <w:r>
        <w:rPr>
          <w:spacing w:val="-7"/>
        </w:rPr>
        <w:t xml:space="preserve"> </w:t>
      </w:r>
    </w:p>
    <w:p w14:paraId="57B4B1BC" w14:textId="77777777" w:rsidR="00CE3414" w:rsidRDefault="00CE3414" w:rsidP="00E72BD0">
      <w:pPr>
        <w:numPr>
          <w:ilvl w:val="0"/>
          <w:numId w:val="31"/>
        </w:numPr>
        <w:autoSpaceDE w:val="0"/>
        <w:autoSpaceDN w:val="0"/>
        <w:adjustRightInd w:val="0"/>
        <w:jc w:val="both"/>
        <w:rPr>
          <w:spacing w:val="-7"/>
        </w:rPr>
      </w:pPr>
      <w:r w:rsidRPr="00CE3414">
        <w:rPr>
          <w:spacing w:val="-7"/>
        </w:rPr>
        <w:t xml:space="preserve">Tian, Y., Li, Y., Wang, Y., Sun, Y., Zhang, Y., &amp; Yu, J. (2023). Prediction of Bone Metastasis Risk of Early Breast Cancer Based on Nomogram of Clinicopathological Characteristics and Hematological Parameters. Frontiers in Oncology. </w:t>
      </w:r>
      <w:hyperlink r:id="rId27" w:history="1">
        <w:r w:rsidRPr="004D40BA">
          <w:rPr>
            <w:rStyle w:val="Hyperlink"/>
            <w:spacing w:val="-7"/>
          </w:rPr>
          <w:t>https://doi.org/10.3389/fonc.2023.1136198</w:t>
        </w:r>
      </w:hyperlink>
      <w:r>
        <w:rPr>
          <w:spacing w:val="-7"/>
        </w:rPr>
        <w:t xml:space="preserve"> </w:t>
      </w:r>
    </w:p>
    <w:p w14:paraId="6FF1B7AF" w14:textId="785EA51D" w:rsidR="00E72BD0" w:rsidRDefault="00CE3414" w:rsidP="00E72BD0">
      <w:pPr>
        <w:numPr>
          <w:ilvl w:val="0"/>
          <w:numId w:val="31"/>
        </w:numPr>
        <w:autoSpaceDE w:val="0"/>
        <w:autoSpaceDN w:val="0"/>
        <w:adjustRightInd w:val="0"/>
        <w:jc w:val="both"/>
        <w:rPr>
          <w:spacing w:val="-7"/>
        </w:rPr>
      </w:pPr>
      <w:r w:rsidRPr="00CE3414">
        <w:rPr>
          <w:spacing w:val="-7"/>
        </w:rPr>
        <w:t xml:space="preserve">Takahashi, H., </w:t>
      </w:r>
      <w:proofErr w:type="spellStart"/>
      <w:r w:rsidRPr="00CE3414">
        <w:rPr>
          <w:spacing w:val="-7"/>
        </w:rPr>
        <w:t>Oshi</w:t>
      </w:r>
      <w:proofErr w:type="spellEnd"/>
      <w:r w:rsidRPr="00CE3414">
        <w:rPr>
          <w:spacing w:val="-7"/>
        </w:rPr>
        <w:t xml:space="preserve">, M., </w:t>
      </w:r>
      <w:proofErr w:type="spellStart"/>
      <w:r w:rsidRPr="00CE3414">
        <w:rPr>
          <w:spacing w:val="-7"/>
        </w:rPr>
        <w:t>Asaoka</w:t>
      </w:r>
      <w:proofErr w:type="spellEnd"/>
      <w:r w:rsidRPr="00CE3414">
        <w:rPr>
          <w:spacing w:val="-7"/>
        </w:rPr>
        <w:t xml:space="preserve">, M., Yan, L., Endo, I., &amp; </w:t>
      </w:r>
      <w:proofErr w:type="spellStart"/>
      <w:r w:rsidRPr="00CE3414">
        <w:rPr>
          <w:spacing w:val="-7"/>
        </w:rPr>
        <w:t>Takabe</w:t>
      </w:r>
      <w:proofErr w:type="spellEnd"/>
      <w:r w:rsidRPr="00CE3414">
        <w:rPr>
          <w:spacing w:val="-7"/>
        </w:rPr>
        <w:t xml:space="preserve">, K. (2020). Molecular Biological Features of Nottingham Histological Grade 3 Breast Cancers. Annals of Surgical Oncology, 27(11). </w:t>
      </w:r>
      <w:hyperlink r:id="rId28" w:history="1">
        <w:r w:rsidRPr="004D40BA">
          <w:rPr>
            <w:rStyle w:val="Hyperlink"/>
            <w:spacing w:val="-7"/>
          </w:rPr>
          <w:t>https://doi.org/10.1245/s10434-020-08608-1</w:t>
        </w:r>
      </w:hyperlink>
      <w:r>
        <w:rPr>
          <w:spacing w:val="-7"/>
        </w:rPr>
        <w:t xml:space="preserve"> </w:t>
      </w:r>
    </w:p>
    <w:p w14:paraId="2720A797" w14:textId="5D8C160F" w:rsidR="00E72BD0" w:rsidRDefault="00CE3414" w:rsidP="00E72BD0">
      <w:pPr>
        <w:numPr>
          <w:ilvl w:val="0"/>
          <w:numId w:val="31"/>
        </w:numPr>
        <w:autoSpaceDE w:val="0"/>
        <w:autoSpaceDN w:val="0"/>
        <w:adjustRightInd w:val="0"/>
        <w:jc w:val="both"/>
        <w:rPr>
          <w:spacing w:val="-7"/>
        </w:rPr>
      </w:pPr>
      <w:r w:rsidRPr="00CE3414">
        <w:rPr>
          <w:spacing w:val="-7"/>
        </w:rPr>
        <w:t xml:space="preserve">Cancer Research UK. (2023, June 13). Invasive breast cancer. Cancer Research UK. </w:t>
      </w:r>
      <w:hyperlink r:id="rId29" w:history="1">
        <w:r w:rsidRPr="004D40BA">
          <w:rPr>
            <w:rStyle w:val="Hyperlink"/>
            <w:spacing w:val="-7"/>
          </w:rPr>
          <w:t>https://www.cancerresearchuk.org/about-cancer/breast-cancer/types/invasive-breast-cancer</w:t>
        </w:r>
      </w:hyperlink>
      <w:r>
        <w:rPr>
          <w:spacing w:val="-7"/>
        </w:rPr>
        <w:t xml:space="preserve"> </w:t>
      </w:r>
    </w:p>
    <w:p w14:paraId="2ACA1ECD" w14:textId="11B82DDE" w:rsidR="00E72BD0" w:rsidRDefault="00CE3414" w:rsidP="00E72BD0">
      <w:pPr>
        <w:numPr>
          <w:ilvl w:val="0"/>
          <w:numId w:val="31"/>
        </w:numPr>
        <w:autoSpaceDE w:val="0"/>
        <w:autoSpaceDN w:val="0"/>
        <w:adjustRightInd w:val="0"/>
        <w:jc w:val="both"/>
        <w:rPr>
          <w:spacing w:val="-7"/>
        </w:rPr>
      </w:pPr>
      <w:r w:rsidRPr="00CE3414">
        <w:rPr>
          <w:spacing w:val="-7"/>
        </w:rPr>
        <w:t xml:space="preserve">Xiao, W., Zheng, S., Yang, A., Zhang, X., Zou, Y., Tang, H., &amp; </w:t>
      </w:r>
      <w:proofErr w:type="spellStart"/>
      <w:r w:rsidRPr="00CE3414">
        <w:rPr>
          <w:spacing w:val="-7"/>
        </w:rPr>
        <w:t>Xie</w:t>
      </w:r>
      <w:proofErr w:type="spellEnd"/>
      <w:r w:rsidRPr="00CE3414">
        <w:rPr>
          <w:spacing w:val="-7"/>
        </w:rPr>
        <w:t xml:space="preserve">, X. (2018). Breast Cancer Subtypes and the Risk of Distant Metastasis at Initial Diagnosis: A Population-Based Study. Cancer Management and Research, 10, 5329–5338. </w:t>
      </w:r>
      <w:hyperlink r:id="rId30" w:history="1">
        <w:r w:rsidRPr="004D40BA">
          <w:rPr>
            <w:rStyle w:val="Hyperlink"/>
            <w:spacing w:val="-7"/>
          </w:rPr>
          <w:t>https://doi.org/10.2147/CMAR.S176763</w:t>
        </w:r>
      </w:hyperlink>
      <w:r>
        <w:rPr>
          <w:spacing w:val="-7"/>
        </w:rPr>
        <w:t xml:space="preserve"> </w:t>
      </w:r>
      <w:r w:rsidR="00E72BD0" w:rsidRPr="00595EDB">
        <w:rPr>
          <w:spacing w:val="-7"/>
        </w:rPr>
        <w:t>.</w:t>
      </w:r>
    </w:p>
    <w:p w14:paraId="270C7B3C" w14:textId="479C6E90" w:rsidR="00E72BD0" w:rsidRDefault="00CE3414" w:rsidP="00E72BD0">
      <w:pPr>
        <w:numPr>
          <w:ilvl w:val="0"/>
          <w:numId w:val="31"/>
        </w:numPr>
        <w:autoSpaceDE w:val="0"/>
        <w:autoSpaceDN w:val="0"/>
        <w:adjustRightInd w:val="0"/>
        <w:jc w:val="both"/>
        <w:rPr>
          <w:spacing w:val="-7"/>
        </w:rPr>
      </w:pPr>
      <w:r w:rsidRPr="00CE3414">
        <w:rPr>
          <w:spacing w:val="-7"/>
        </w:rPr>
        <w:t xml:space="preserve">Li, Z.-h., Hu, P.-h., Tu, J.-h., &amp; Yu, N.-s. (2016). Luminal B Breast Cancer: Patterns of Recurrence and Clinical Outcome. </w:t>
      </w:r>
      <w:proofErr w:type="spellStart"/>
      <w:r w:rsidRPr="00CE3414">
        <w:rPr>
          <w:spacing w:val="-7"/>
        </w:rPr>
        <w:t>Oncotarget</w:t>
      </w:r>
      <w:proofErr w:type="spellEnd"/>
      <w:r w:rsidRPr="00CE3414">
        <w:rPr>
          <w:spacing w:val="-7"/>
        </w:rPr>
        <w:t xml:space="preserve">, 7(40), 65024–65033. </w:t>
      </w:r>
      <w:hyperlink r:id="rId31" w:history="1">
        <w:r w:rsidRPr="004D40BA">
          <w:rPr>
            <w:rStyle w:val="Hyperlink"/>
            <w:spacing w:val="-7"/>
          </w:rPr>
          <w:t>https://doi.org/10.18632/oncotarget.11344</w:t>
        </w:r>
      </w:hyperlink>
      <w:r>
        <w:rPr>
          <w:spacing w:val="-7"/>
        </w:rPr>
        <w:t xml:space="preserve"> </w:t>
      </w:r>
      <w:r w:rsidR="00E72BD0" w:rsidRPr="00595EDB">
        <w:rPr>
          <w:spacing w:val="-7"/>
        </w:rPr>
        <w:t>.</w:t>
      </w:r>
    </w:p>
    <w:p w14:paraId="75B30D01" w14:textId="77777777" w:rsidR="00CE3414" w:rsidRDefault="00CE3414" w:rsidP="00E72BD0">
      <w:pPr>
        <w:numPr>
          <w:ilvl w:val="0"/>
          <w:numId w:val="31"/>
        </w:numPr>
        <w:autoSpaceDE w:val="0"/>
        <w:autoSpaceDN w:val="0"/>
        <w:adjustRightInd w:val="0"/>
        <w:jc w:val="both"/>
        <w:rPr>
          <w:spacing w:val="-7"/>
        </w:rPr>
      </w:pPr>
      <w:r w:rsidRPr="00CE3414">
        <w:rPr>
          <w:spacing w:val="-7"/>
        </w:rPr>
        <w:t>Zhang, M., Deng, H., Hu, R., Chen, F., Dong, S., Zhang, S., Guo, W., Yang, W., &amp; Chen, W. (2025). Patterns and prognostic implications of distant metastasis in breast Cancer based on SEER population data. Scientific Reports, 15(1). https://doi.org/10.1038/s41598-025-12883-x</w:t>
      </w:r>
      <w:r>
        <w:rPr>
          <w:spacing w:val="-7"/>
        </w:rPr>
        <w:t xml:space="preserve"> </w:t>
      </w:r>
    </w:p>
    <w:p w14:paraId="09270497" w14:textId="77777777" w:rsidR="00CE3414" w:rsidRDefault="00CE3414" w:rsidP="00E72BD0">
      <w:pPr>
        <w:numPr>
          <w:ilvl w:val="0"/>
          <w:numId w:val="31"/>
        </w:numPr>
        <w:autoSpaceDE w:val="0"/>
        <w:autoSpaceDN w:val="0"/>
        <w:adjustRightInd w:val="0"/>
        <w:jc w:val="both"/>
        <w:rPr>
          <w:spacing w:val="-7"/>
        </w:rPr>
      </w:pPr>
      <w:r w:rsidRPr="00CE3414">
        <w:rPr>
          <w:spacing w:val="-7"/>
        </w:rPr>
        <w:t xml:space="preserve">Bos, P. D., Zhang, X. H., Nadal, C., Shu, W., </w:t>
      </w:r>
      <w:proofErr w:type="spellStart"/>
      <w:r w:rsidRPr="00CE3414">
        <w:rPr>
          <w:spacing w:val="-7"/>
        </w:rPr>
        <w:t>Gomis</w:t>
      </w:r>
      <w:proofErr w:type="spellEnd"/>
      <w:r w:rsidRPr="00CE3414">
        <w:rPr>
          <w:spacing w:val="-7"/>
        </w:rPr>
        <w:t xml:space="preserve">, R. R., Nguyen, D. X., </w:t>
      </w:r>
      <w:proofErr w:type="spellStart"/>
      <w:r w:rsidRPr="00CE3414">
        <w:rPr>
          <w:spacing w:val="-7"/>
        </w:rPr>
        <w:t>Minn</w:t>
      </w:r>
      <w:proofErr w:type="spellEnd"/>
      <w:r w:rsidRPr="00CE3414">
        <w:rPr>
          <w:spacing w:val="-7"/>
        </w:rPr>
        <w:t xml:space="preserve">, A. J., van de </w:t>
      </w:r>
      <w:proofErr w:type="spellStart"/>
      <w:r w:rsidRPr="00CE3414">
        <w:rPr>
          <w:spacing w:val="-7"/>
        </w:rPr>
        <w:t>Vijver</w:t>
      </w:r>
      <w:proofErr w:type="spellEnd"/>
      <w:r w:rsidRPr="00CE3414">
        <w:rPr>
          <w:spacing w:val="-7"/>
        </w:rPr>
        <w:t xml:space="preserve">, M. J., Gerald, W. L., </w:t>
      </w:r>
      <w:proofErr w:type="spellStart"/>
      <w:r w:rsidRPr="00CE3414">
        <w:rPr>
          <w:spacing w:val="-7"/>
        </w:rPr>
        <w:t>Foekens</w:t>
      </w:r>
      <w:proofErr w:type="spellEnd"/>
      <w:r w:rsidRPr="00CE3414">
        <w:rPr>
          <w:spacing w:val="-7"/>
        </w:rPr>
        <w:t xml:space="preserve">, J. A., &amp; </w:t>
      </w:r>
      <w:proofErr w:type="spellStart"/>
      <w:r w:rsidRPr="00CE3414">
        <w:rPr>
          <w:spacing w:val="-7"/>
        </w:rPr>
        <w:t>Massagué</w:t>
      </w:r>
      <w:proofErr w:type="spellEnd"/>
      <w:r w:rsidRPr="00CE3414">
        <w:rPr>
          <w:spacing w:val="-7"/>
        </w:rPr>
        <w:t xml:space="preserve">, J. (2009). Genes that mediate breast cancer metastasis to the brain. Nature, 459(7249), 1005-1009. https://doi.org/10.1038/nature08021 </w:t>
      </w:r>
      <w:r>
        <w:rPr>
          <w:spacing w:val="-7"/>
        </w:rPr>
        <w:t xml:space="preserve"> </w:t>
      </w:r>
    </w:p>
    <w:p w14:paraId="45322FEF" w14:textId="77777777" w:rsidR="00CE3414" w:rsidRDefault="00CE3414" w:rsidP="00E72BD0">
      <w:pPr>
        <w:numPr>
          <w:ilvl w:val="0"/>
          <w:numId w:val="31"/>
        </w:numPr>
        <w:autoSpaceDE w:val="0"/>
        <w:autoSpaceDN w:val="0"/>
        <w:adjustRightInd w:val="0"/>
        <w:jc w:val="both"/>
        <w:rPr>
          <w:spacing w:val="-7"/>
        </w:rPr>
      </w:pPr>
      <w:r w:rsidRPr="00CE3414">
        <w:rPr>
          <w:spacing w:val="-7"/>
        </w:rPr>
        <w:t xml:space="preserve">National Cancer Institute. (2019). Tumor-infiltrating lymphocyte. In *NCI Dictionary of Cancer Terms*. </w:t>
      </w:r>
      <w:hyperlink r:id="rId32" w:history="1">
        <w:r w:rsidRPr="004D40BA">
          <w:rPr>
            <w:rStyle w:val="Hyperlink"/>
            <w:spacing w:val="-7"/>
          </w:rPr>
          <w:t>https://www.cancer.gov/publications/dictionaries/cancer-terms/def/tumor-infiltrating-lymphocyte</w:t>
        </w:r>
      </w:hyperlink>
      <w:r>
        <w:rPr>
          <w:spacing w:val="-7"/>
        </w:rPr>
        <w:t xml:space="preserve"> </w:t>
      </w:r>
    </w:p>
    <w:p w14:paraId="34022261" w14:textId="77777777" w:rsidR="00CE3414" w:rsidRDefault="00CE3414" w:rsidP="00E72BD0">
      <w:pPr>
        <w:numPr>
          <w:ilvl w:val="0"/>
          <w:numId w:val="31"/>
        </w:numPr>
        <w:autoSpaceDE w:val="0"/>
        <w:autoSpaceDN w:val="0"/>
        <w:adjustRightInd w:val="0"/>
        <w:jc w:val="both"/>
        <w:rPr>
          <w:spacing w:val="-7"/>
        </w:rPr>
      </w:pPr>
      <w:r w:rsidRPr="00CE3414">
        <w:rPr>
          <w:spacing w:val="-7"/>
        </w:rPr>
        <w:t xml:space="preserve">Salgado, R., </w:t>
      </w:r>
      <w:proofErr w:type="spellStart"/>
      <w:r w:rsidRPr="00CE3414">
        <w:rPr>
          <w:spacing w:val="-7"/>
        </w:rPr>
        <w:t>Denkert</w:t>
      </w:r>
      <w:proofErr w:type="spellEnd"/>
      <w:r w:rsidRPr="00CE3414">
        <w:rPr>
          <w:spacing w:val="-7"/>
        </w:rPr>
        <w:t xml:space="preserve">, C., Demaria, S., </w:t>
      </w:r>
      <w:proofErr w:type="spellStart"/>
      <w:r w:rsidRPr="00CE3414">
        <w:rPr>
          <w:spacing w:val="-7"/>
        </w:rPr>
        <w:t>Sirtaine</w:t>
      </w:r>
      <w:proofErr w:type="spellEnd"/>
      <w:r w:rsidRPr="00CE3414">
        <w:rPr>
          <w:spacing w:val="-7"/>
        </w:rPr>
        <w:t xml:space="preserve">, N., </w:t>
      </w:r>
      <w:proofErr w:type="spellStart"/>
      <w:r w:rsidRPr="00CE3414">
        <w:rPr>
          <w:spacing w:val="-7"/>
        </w:rPr>
        <w:t>Klauschen</w:t>
      </w:r>
      <w:proofErr w:type="spellEnd"/>
      <w:r w:rsidRPr="00CE3414">
        <w:rPr>
          <w:spacing w:val="-7"/>
        </w:rPr>
        <w:t xml:space="preserve">, F., </w:t>
      </w:r>
      <w:proofErr w:type="spellStart"/>
      <w:r w:rsidRPr="00CE3414">
        <w:rPr>
          <w:spacing w:val="-7"/>
        </w:rPr>
        <w:t>Pruneri</w:t>
      </w:r>
      <w:proofErr w:type="spellEnd"/>
      <w:r w:rsidRPr="00CE3414">
        <w:rPr>
          <w:spacing w:val="-7"/>
        </w:rPr>
        <w:t xml:space="preserve">, G., </w:t>
      </w:r>
      <w:proofErr w:type="spellStart"/>
      <w:r w:rsidRPr="00CE3414">
        <w:rPr>
          <w:spacing w:val="-7"/>
        </w:rPr>
        <w:t>Wienert</w:t>
      </w:r>
      <w:proofErr w:type="spellEnd"/>
      <w:r w:rsidRPr="00CE3414">
        <w:rPr>
          <w:spacing w:val="-7"/>
        </w:rPr>
        <w:t xml:space="preserve">, S., Van den </w:t>
      </w:r>
      <w:proofErr w:type="spellStart"/>
      <w:r w:rsidRPr="00CE3414">
        <w:rPr>
          <w:spacing w:val="-7"/>
        </w:rPr>
        <w:t>Eynden</w:t>
      </w:r>
      <w:proofErr w:type="spellEnd"/>
      <w:r w:rsidRPr="00CE3414">
        <w:rPr>
          <w:spacing w:val="-7"/>
        </w:rPr>
        <w:t xml:space="preserve">, G., </w:t>
      </w:r>
      <w:proofErr w:type="spellStart"/>
      <w:r w:rsidRPr="00CE3414">
        <w:rPr>
          <w:spacing w:val="-7"/>
        </w:rPr>
        <w:t>Baehner</w:t>
      </w:r>
      <w:proofErr w:type="spellEnd"/>
      <w:r w:rsidRPr="00CE3414">
        <w:rPr>
          <w:spacing w:val="-7"/>
        </w:rPr>
        <w:t xml:space="preserve">, F. L., </w:t>
      </w:r>
      <w:proofErr w:type="spellStart"/>
      <w:r w:rsidRPr="00CE3414">
        <w:rPr>
          <w:spacing w:val="-7"/>
        </w:rPr>
        <w:t>Penault-Llorca</w:t>
      </w:r>
      <w:proofErr w:type="spellEnd"/>
      <w:r w:rsidRPr="00CE3414">
        <w:rPr>
          <w:spacing w:val="-7"/>
        </w:rPr>
        <w:t xml:space="preserve">, F., Perez, E. A., Thompson, E. A., </w:t>
      </w:r>
      <w:proofErr w:type="spellStart"/>
      <w:r w:rsidRPr="00CE3414">
        <w:rPr>
          <w:spacing w:val="-7"/>
        </w:rPr>
        <w:t>Symmans</w:t>
      </w:r>
      <w:proofErr w:type="spellEnd"/>
      <w:r w:rsidRPr="00CE3414">
        <w:rPr>
          <w:spacing w:val="-7"/>
        </w:rPr>
        <w:t xml:space="preserve">, W. F., Richardson, A. L., Brock, J., </w:t>
      </w:r>
      <w:proofErr w:type="spellStart"/>
      <w:r w:rsidRPr="00CE3414">
        <w:rPr>
          <w:spacing w:val="-7"/>
        </w:rPr>
        <w:t>Criscitiello</w:t>
      </w:r>
      <w:proofErr w:type="spellEnd"/>
      <w:r w:rsidRPr="00CE3414">
        <w:rPr>
          <w:spacing w:val="-7"/>
        </w:rPr>
        <w:t xml:space="preserve">, C., Bailey, H., </w:t>
      </w:r>
      <w:proofErr w:type="spellStart"/>
      <w:r w:rsidRPr="00CE3414">
        <w:rPr>
          <w:spacing w:val="-7"/>
        </w:rPr>
        <w:t>Ignatiadis</w:t>
      </w:r>
      <w:proofErr w:type="spellEnd"/>
      <w:r w:rsidRPr="00CE3414">
        <w:rPr>
          <w:spacing w:val="-7"/>
        </w:rPr>
        <w:t xml:space="preserve">, M., Floris, G., Sparano, J., Kos, Z., Nielsen, T., </w:t>
      </w:r>
      <w:proofErr w:type="spellStart"/>
      <w:r w:rsidRPr="00CE3414">
        <w:rPr>
          <w:spacing w:val="-7"/>
        </w:rPr>
        <w:t>Rimm</w:t>
      </w:r>
      <w:proofErr w:type="spellEnd"/>
      <w:r w:rsidRPr="00CE3414">
        <w:rPr>
          <w:spacing w:val="-7"/>
        </w:rPr>
        <w:t xml:space="preserve">, D. L., Allison, K. H., Reis-Filho, J. S., </w:t>
      </w:r>
      <w:proofErr w:type="spellStart"/>
      <w:r w:rsidRPr="00CE3414">
        <w:rPr>
          <w:spacing w:val="-7"/>
        </w:rPr>
        <w:t>Loibl</w:t>
      </w:r>
      <w:proofErr w:type="spellEnd"/>
      <w:r w:rsidRPr="00CE3414">
        <w:rPr>
          <w:spacing w:val="-7"/>
        </w:rPr>
        <w:t xml:space="preserve">, S., </w:t>
      </w:r>
      <w:proofErr w:type="spellStart"/>
      <w:r w:rsidRPr="00CE3414">
        <w:rPr>
          <w:spacing w:val="-7"/>
        </w:rPr>
        <w:t>Sotiriou</w:t>
      </w:r>
      <w:proofErr w:type="spellEnd"/>
      <w:r w:rsidRPr="00CE3414">
        <w:rPr>
          <w:spacing w:val="-7"/>
        </w:rPr>
        <w:t xml:space="preserve">, C., </w:t>
      </w:r>
      <w:proofErr w:type="spellStart"/>
      <w:r w:rsidRPr="00CE3414">
        <w:rPr>
          <w:spacing w:val="-7"/>
        </w:rPr>
        <w:t>Viale</w:t>
      </w:r>
      <w:proofErr w:type="spellEnd"/>
      <w:r w:rsidRPr="00CE3414">
        <w:rPr>
          <w:spacing w:val="-7"/>
        </w:rPr>
        <w:t xml:space="preserve">, G., </w:t>
      </w:r>
      <w:proofErr w:type="spellStart"/>
      <w:r w:rsidRPr="00CE3414">
        <w:rPr>
          <w:spacing w:val="-7"/>
        </w:rPr>
        <w:t>Badve</w:t>
      </w:r>
      <w:proofErr w:type="spellEnd"/>
      <w:r w:rsidRPr="00CE3414">
        <w:rPr>
          <w:spacing w:val="-7"/>
        </w:rPr>
        <w:t xml:space="preserve">, S., Adams, S., Willard-Gallo, K., &amp; </w:t>
      </w:r>
      <w:proofErr w:type="spellStart"/>
      <w:r w:rsidRPr="00CE3414">
        <w:rPr>
          <w:spacing w:val="-7"/>
        </w:rPr>
        <w:t>Loi</w:t>
      </w:r>
      <w:proofErr w:type="spellEnd"/>
      <w:r w:rsidRPr="00CE3414">
        <w:rPr>
          <w:spacing w:val="-7"/>
        </w:rPr>
        <w:t xml:space="preserve">, S. (2015). The evaluation of tumor-infiltrating lymphocytes (TILs) in breast cancer: recommendations by an International TILs Working Group. *Annals of Oncology*, *26*(2), 259–271. </w:t>
      </w:r>
      <w:hyperlink r:id="rId33" w:history="1">
        <w:r w:rsidRPr="004D40BA">
          <w:rPr>
            <w:rStyle w:val="Hyperlink"/>
            <w:spacing w:val="-7"/>
          </w:rPr>
          <w:t>https://doi.org/10.1093/annonc/mdu450</w:t>
        </w:r>
      </w:hyperlink>
      <w:r>
        <w:rPr>
          <w:spacing w:val="-7"/>
        </w:rPr>
        <w:t xml:space="preserve"> </w:t>
      </w:r>
    </w:p>
    <w:p w14:paraId="020F2631" w14:textId="77777777" w:rsidR="00CE3414" w:rsidRDefault="00CE3414" w:rsidP="00E72BD0">
      <w:pPr>
        <w:numPr>
          <w:ilvl w:val="0"/>
          <w:numId w:val="31"/>
        </w:numPr>
        <w:autoSpaceDE w:val="0"/>
        <w:autoSpaceDN w:val="0"/>
        <w:adjustRightInd w:val="0"/>
        <w:jc w:val="both"/>
        <w:rPr>
          <w:spacing w:val="-7"/>
        </w:rPr>
      </w:pPr>
      <w:proofErr w:type="spellStart"/>
      <w:r w:rsidRPr="00CE3414">
        <w:rPr>
          <w:spacing w:val="-7"/>
        </w:rPr>
        <w:t>Zaorsky</w:t>
      </w:r>
      <w:proofErr w:type="spellEnd"/>
      <w:r w:rsidRPr="00CE3414">
        <w:rPr>
          <w:spacing w:val="-7"/>
        </w:rPr>
        <w:t xml:space="preserve">, N. G., Patil, N., Freedman, G. M., &amp; </w:t>
      </w:r>
      <w:proofErr w:type="spellStart"/>
      <w:r w:rsidRPr="00CE3414">
        <w:rPr>
          <w:spacing w:val="-7"/>
        </w:rPr>
        <w:t>Tuluc</w:t>
      </w:r>
      <w:proofErr w:type="spellEnd"/>
      <w:r w:rsidRPr="00CE3414">
        <w:rPr>
          <w:spacing w:val="-7"/>
        </w:rPr>
        <w:t xml:space="preserve">, M. (2012). Differentiating </w:t>
      </w:r>
      <w:proofErr w:type="spellStart"/>
      <w:r w:rsidRPr="00CE3414">
        <w:rPr>
          <w:spacing w:val="-7"/>
        </w:rPr>
        <w:t>Lymphovascular</w:t>
      </w:r>
      <w:proofErr w:type="spellEnd"/>
      <w:r w:rsidRPr="00CE3414">
        <w:rPr>
          <w:spacing w:val="-7"/>
        </w:rPr>
        <w:t xml:space="preserve"> Invasion from Retraction Artifact on Histological Specimen of Breast Carcinoma and Their Implications on Prognosis. Journal of Breast Cancer, 15(4), 478-480. </w:t>
      </w:r>
      <w:hyperlink r:id="rId34" w:history="1">
        <w:r w:rsidRPr="004D40BA">
          <w:rPr>
            <w:rStyle w:val="Hyperlink"/>
            <w:spacing w:val="-7"/>
          </w:rPr>
          <w:t>https://doi.org/10.4048/jbc.2012.15.4.478</w:t>
        </w:r>
      </w:hyperlink>
      <w:r>
        <w:rPr>
          <w:spacing w:val="-7"/>
        </w:rPr>
        <w:t xml:space="preserve"> </w:t>
      </w:r>
    </w:p>
    <w:p w14:paraId="6D5840A1" w14:textId="133A82A3" w:rsidR="00CE3414" w:rsidRDefault="00CE3414" w:rsidP="00E72BD0">
      <w:pPr>
        <w:numPr>
          <w:ilvl w:val="0"/>
          <w:numId w:val="31"/>
        </w:numPr>
        <w:autoSpaceDE w:val="0"/>
        <w:autoSpaceDN w:val="0"/>
        <w:adjustRightInd w:val="0"/>
        <w:jc w:val="both"/>
        <w:rPr>
          <w:spacing w:val="-7"/>
        </w:rPr>
      </w:pPr>
      <w:r w:rsidRPr="00CE3414">
        <w:rPr>
          <w:spacing w:val="-7"/>
        </w:rPr>
        <w:t xml:space="preserve">Gilchrist, K. W., Gould, V. E., </w:t>
      </w:r>
      <w:proofErr w:type="spellStart"/>
      <w:r w:rsidRPr="00CE3414">
        <w:rPr>
          <w:spacing w:val="-7"/>
        </w:rPr>
        <w:t>Hirschl</w:t>
      </w:r>
      <w:proofErr w:type="spellEnd"/>
      <w:r w:rsidRPr="00CE3414">
        <w:rPr>
          <w:spacing w:val="-7"/>
        </w:rPr>
        <w:t xml:space="preserve">, S., </w:t>
      </w:r>
      <w:proofErr w:type="spellStart"/>
      <w:r w:rsidRPr="00CE3414">
        <w:rPr>
          <w:spacing w:val="-7"/>
        </w:rPr>
        <w:t>Imbriglia</w:t>
      </w:r>
      <w:proofErr w:type="spellEnd"/>
      <w:r w:rsidRPr="00CE3414">
        <w:rPr>
          <w:spacing w:val="-7"/>
        </w:rPr>
        <w:t xml:space="preserve">, J. E., </w:t>
      </w:r>
      <w:proofErr w:type="spellStart"/>
      <w:r w:rsidRPr="00CE3414">
        <w:rPr>
          <w:spacing w:val="-7"/>
        </w:rPr>
        <w:t>Patchefsky</w:t>
      </w:r>
      <w:proofErr w:type="spellEnd"/>
      <w:r w:rsidRPr="00CE3414">
        <w:rPr>
          <w:spacing w:val="-7"/>
        </w:rPr>
        <w:t xml:space="preserve">, A. S., Penner, D. W., </w:t>
      </w:r>
      <w:proofErr w:type="spellStart"/>
      <w:r w:rsidRPr="00CE3414">
        <w:rPr>
          <w:spacing w:val="-7"/>
        </w:rPr>
        <w:t>Pickren</w:t>
      </w:r>
      <w:proofErr w:type="spellEnd"/>
      <w:r w:rsidRPr="00CE3414">
        <w:rPr>
          <w:spacing w:val="-7"/>
        </w:rPr>
        <w:t xml:space="preserve">, J., Schwartz, I. S., Wheeler, J. E., Barnes, J. M., &amp; Mansour, E. G. (1982). Interobserver variation in the identification of breast carcinoma in intramammary lymphatics. Human Pathology, 13(2), 170–172. </w:t>
      </w:r>
      <w:hyperlink r:id="rId35" w:history="1">
        <w:r w:rsidRPr="004D40BA">
          <w:rPr>
            <w:rStyle w:val="Hyperlink"/>
            <w:spacing w:val="-7"/>
          </w:rPr>
          <w:t>https://doi.org/10.1016/s0046-8177(82)80121-4</w:t>
        </w:r>
      </w:hyperlink>
      <w:r>
        <w:rPr>
          <w:spacing w:val="-7"/>
        </w:rPr>
        <w:t xml:space="preserve"> </w:t>
      </w:r>
    </w:p>
    <w:p w14:paraId="46B25EA9" w14:textId="560D55BF" w:rsidR="00C33737" w:rsidRDefault="00C33737" w:rsidP="00E72BD0">
      <w:pPr>
        <w:numPr>
          <w:ilvl w:val="0"/>
          <w:numId w:val="31"/>
        </w:numPr>
        <w:autoSpaceDE w:val="0"/>
        <w:autoSpaceDN w:val="0"/>
        <w:adjustRightInd w:val="0"/>
        <w:jc w:val="both"/>
        <w:rPr>
          <w:spacing w:val="-7"/>
        </w:rPr>
      </w:pPr>
      <w:proofErr w:type="spellStart"/>
      <w:r w:rsidRPr="00C33737">
        <w:rPr>
          <w:spacing w:val="-7"/>
        </w:rPr>
        <w:t>L</w:t>
      </w:r>
      <w:r>
        <w:rPr>
          <w:spacing w:val="-7"/>
        </w:rPr>
        <w:t>oi</w:t>
      </w:r>
      <w:proofErr w:type="spellEnd"/>
      <w:r>
        <w:t xml:space="preserve">, S., </w:t>
      </w:r>
      <w:proofErr w:type="spellStart"/>
      <w:r>
        <w:t>Drubay</w:t>
      </w:r>
      <w:proofErr w:type="spellEnd"/>
      <w:r>
        <w:t xml:space="preserve">, D., Adams, S., </w:t>
      </w:r>
      <w:proofErr w:type="spellStart"/>
      <w:r>
        <w:t>Pruneri</w:t>
      </w:r>
      <w:proofErr w:type="spellEnd"/>
      <w:r>
        <w:t>, G., Francis, P.A., Lacroix-</w:t>
      </w:r>
      <w:proofErr w:type="spellStart"/>
      <w:r>
        <w:t>Triki</w:t>
      </w:r>
      <w:proofErr w:type="spellEnd"/>
      <w:r>
        <w:t xml:space="preserve">, M., Joensuu, H., </w:t>
      </w:r>
      <w:proofErr w:type="spellStart"/>
      <w:r>
        <w:t>Dieci</w:t>
      </w:r>
      <w:proofErr w:type="spellEnd"/>
      <w:r>
        <w:t xml:space="preserve">, M.V., </w:t>
      </w:r>
      <w:proofErr w:type="spellStart"/>
      <w:r>
        <w:t>Badve</w:t>
      </w:r>
      <w:proofErr w:type="spellEnd"/>
      <w:r>
        <w:t xml:space="preserve">, S., Demaria, S., Gray, R., </w:t>
      </w:r>
      <w:proofErr w:type="spellStart"/>
      <w:r>
        <w:t>Munzone</w:t>
      </w:r>
      <w:proofErr w:type="spellEnd"/>
      <w:r>
        <w:t xml:space="preserve">, E., </w:t>
      </w:r>
      <w:proofErr w:type="spellStart"/>
      <w:r>
        <w:t>Lemonnier</w:t>
      </w:r>
      <w:proofErr w:type="spellEnd"/>
      <w:r>
        <w:t xml:space="preserve">, J., </w:t>
      </w:r>
      <w:proofErr w:type="spellStart"/>
      <w:r>
        <w:t>Sotiriou</w:t>
      </w:r>
      <w:proofErr w:type="spellEnd"/>
      <w:r>
        <w:t xml:space="preserve">, C., </w:t>
      </w:r>
      <w:proofErr w:type="spellStart"/>
      <w:r>
        <w:t>Piccart</w:t>
      </w:r>
      <w:proofErr w:type="spellEnd"/>
      <w:r>
        <w:t xml:space="preserve">, M.J., </w:t>
      </w:r>
      <w:proofErr w:type="spellStart"/>
      <w:r>
        <w:t>Lehtinen</w:t>
      </w:r>
      <w:proofErr w:type="spellEnd"/>
      <w:r>
        <w:t xml:space="preserve">, P.L.K., </w:t>
      </w:r>
      <w:proofErr w:type="spellStart"/>
      <w:r>
        <w:t>Vingiani</w:t>
      </w:r>
      <w:proofErr w:type="spellEnd"/>
      <w:r>
        <w:t xml:space="preserve">, A., Gray, K., Andre, F., </w:t>
      </w:r>
      <w:proofErr w:type="spellStart"/>
      <w:r>
        <w:t>Denkert</w:t>
      </w:r>
      <w:proofErr w:type="spellEnd"/>
      <w:r>
        <w:t xml:space="preserve">, C., Salgado, R., and </w:t>
      </w:r>
      <w:proofErr w:type="spellStart"/>
      <w:r>
        <w:t>Michiels</w:t>
      </w:r>
      <w:proofErr w:type="spellEnd"/>
      <w:r>
        <w:t>, S.,</w:t>
      </w:r>
      <w:r w:rsidRPr="00C33737">
        <w:rPr>
          <w:spacing w:val="-7"/>
        </w:rPr>
        <w:t xml:space="preserve"> (2019). Tumor-Infiltrating Lymphocytes and Prognosis: A Pooled </w:t>
      </w:r>
      <w:r w:rsidRPr="00C33737">
        <w:rPr>
          <w:spacing w:val="-7"/>
        </w:rPr>
        <w:lastRenderedPageBreak/>
        <w:t>Individual Patient Analysis of Early-Stage Triple-Negative Breast Cancers. Journal of Clinical Oncology, 37(7), 559–569. doi:10.1200/JCO.18.01010</w:t>
      </w:r>
    </w:p>
    <w:p w14:paraId="35DBDAAE" w14:textId="77777777" w:rsidR="00CE3414" w:rsidRDefault="00CE3414" w:rsidP="00CE3414">
      <w:pPr>
        <w:numPr>
          <w:ilvl w:val="0"/>
          <w:numId w:val="31"/>
        </w:numPr>
        <w:autoSpaceDE w:val="0"/>
        <w:autoSpaceDN w:val="0"/>
        <w:adjustRightInd w:val="0"/>
        <w:jc w:val="both"/>
        <w:rPr>
          <w:spacing w:val="-7"/>
        </w:rPr>
      </w:pPr>
      <w:proofErr w:type="spellStart"/>
      <w:r w:rsidRPr="00CE3414">
        <w:rPr>
          <w:spacing w:val="-7"/>
        </w:rPr>
        <w:t>Steinauer</w:t>
      </w:r>
      <w:proofErr w:type="spellEnd"/>
      <w:r w:rsidRPr="00CE3414">
        <w:rPr>
          <w:spacing w:val="-7"/>
        </w:rPr>
        <w:t xml:space="preserve">, K., Huang, D. J., </w:t>
      </w:r>
      <w:proofErr w:type="spellStart"/>
      <w:r w:rsidRPr="00CE3414">
        <w:rPr>
          <w:spacing w:val="-7"/>
        </w:rPr>
        <w:t>Eppenberger-Castori</w:t>
      </w:r>
      <w:proofErr w:type="spellEnd"/>
      <w:r w:rsidRPr="00CE3414">
        <w:rPr>
          <w:spacing w:val="-7"/>
        </w:rPr>
        <w:t xml:space="preserve">, S., Amann, E., &amp; </w:t>
      </w:r>
      <w:proofErr w:type="spellStart"/>
      <w:r w:rsidRPr="00CE3414">
        <w:rPr>
          <w:spacing w:val="-7"/>
        </w:rPr>
        <w:t>Güth</w:t>
      </w:r>
      <w:proofErr w:type="spellEnd"/>
      <w:r w:rsidRPr="00CE3414">
        <w:rPr>
          <w:spacing w:val="-7"/>
        </w:rPr>
        <w:t xml:space="preserve">, U. (2014). Bone metastases in breast cancer: Frequency, metastatic pattern and non-systemic locoregional therapy. Journal of Bone Oncology. </w:t>
      </w:r>
      <w:hyperlink r:id="rId36" w:history="1">
        <w:r w:rsidRPr="004D40BA">
          <w:rPr>
            <w:rStyle w:val="Hyperlink"/>
            <w:spacing w:val="-7"/>
          </w:rPr>
          <w:t>https://doi.org/10.1016/j.jbo.2014.05.001</w:t>
        </w:r>
      </w:hyperlink>
      <w:r>
        <w:rPr>
          <w:spacing w:val="-7"/>
        </w:rPr>
        <w:t xml:space="preserve"> </w:t>
      </w:r>
    </w:p>
    <w:p w14:paraId="51C7FD90" w14:textId="295ED346" w:rsidR="00441B6F" w:rsidRPr="00CE3414" w:rsidRDefault="00CE3414" w:rsidP="00CE3414">
      <w:pPr>
        <w:numPr>
          <w:ilvl w:val="0"/>
          <w:numId w:val="31"/>
        </w:numPr>
        <w:autoSpaceDE w:val="0"/>
        <w:autoSpaceDN w:val="0"/>
        <w:adjustRightInd w:val="0"/>
        <w:jc w:val="both"/>
        <w:rPr>
          <w:spacing w:val="-7"/>
        </w:rPr>
      </w:pPr>
      <w:r w:rsidRPr="00CE3414">
        <w:rPr>
          <w:spacing w:val="-7"/>
        </w:rPr>
        <w:t xml:space="preserve">Ueno, T. (2022). Surgical Management of Metastatic Breast Cancer: A Mini Review. Frontiers in Oncology. </w:t>
      </w:r>
      <w:hyperlink r:id="rId37" w:history="1">
        <w:r w:rsidRPr="00CE3414">
          <w:rPr>
            <w:rStyle w:val="Hyperlink"/>
            <w:spacing w:val="-7"/>
          </w:rPr>
          <w:t>https://doi.org/10.3389/fonc.2021.681476</w:t>
        </w:r>
      </w:hyperlink>
      <w:r w:rsidRPr="00CE3414">
        <w:rPr>
          <w:spacing w:val="-7"/>
        </w:rPr>
        <w:t xml:space="preserve"> </w:t>
      </w:r>
    </w:p>
    <w:p w14:paraId="00574BFE" w14:textId="77777777" w:rsidR="00B01FCD" w:rsidRPr="00FB3A86" w:rsidRDefault="00B01FCD" w:rsidP="00441B6F">
      <w:pPr>
        <w:pStyle w:val="Reference"/>
        <w:numPr>
          <w:ilvl w:val="0"/>
          <w:numId w:val="0"/>
        </w:numPr>
        <w:spacing w:line="240" w:lineRule="auto"/>
        <w:rPr>
          <w:rFonts w:ascii="Arial" w:hAnsi="Arial" w:cs="Arial"/>
        </w:rPr>
      </w:pPr>
    </w:p>
    <w:p w14:paraId="0704C210" w14:textId="29BBEFC3" w:rsidR="004D4277" w:rsidRPr="00851BB0" w:rsidRDefault="004D4277" w:rsidP="00851BB0">
      <w:pPr>
        <w:pStyle w:val="DefAcrHead"/>
        <w:spacing w:after="0"/>
        <w:jc w:val="both"/>
        <w:rPr>
          <w:rFonts w:ascii="Arial" w:hAnsi="Arial" w:cs="Arial"/>
        </w:rPr>
        <w:sectPr w:rsidR="004D4277" w:rsidRPr="00851BB0" w:rsidSect="009F1129">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pPr>
    </w:p>
    <w:p w14:paraId="5C958AF8" w14:textId="77777777" w:rsidR="00B01FCD" w:rsidRPr="00FB3A86" w:rsidRDefault="00B01FCD" w:rsidP="00441B6F">
      <w:pPr>
        <w:pStyle w:val="Appendix"/>
        <w:spacing w:after="0"/>
        <w:jc w:val="both"/>
        <w:rPr>
          <w:rFonts w:ascii="Arial" w:hAnsi="Arial" w:cs="Arial"/>
          <w:b w:val="0"/>
        </w:rPr>
      </w:pPr>
    </w:p>
    <w:sectPr w:rsidR="00B01FCD" w:rsidRPr="00FB3A86" w:rsidSect="009F112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19279" w14:textId="77777777" w:rsidR="00A05ECA" w:rsidRDefault="00A05ECA" w:rsidP="00C37E61">
      <w:r>
        <w:separator/>
      </w:r>
    </w:p>
  </w:endnote>
  <w:endnote w:type="continuationSeparator" w:id="0">
    <w:p w14:paraId="46C10A31" w14:textId="77777777" w:rsidR="00A05ECA" w:rsidRDefault="00A05EC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81DEB" w14:textId="77777777" w:rsidR="007720B4" w:rsidRDefault="00772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0DD6A" w14:textId="77777777" w:rsidR="007720B4" w:rsidRDefault="00772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12D07" w14:textId="77777777" w:rsidR="009E048A" w:rsidRDefault="009E048A">
    <w:pPr>
      <w:pStyle w:val="Footer"/>
      <w:rPr>
        <w:rFonts w:ascii="Arial" w:hAnsi="Arial" w:cs="Arial"/>
        <w:sz w:val="16"/>
      </w:rPr>
    </w:pPr>
  </w:p>
  <w:p w14:paraId="4E895CC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6B831A8" w14:textId="77777777" w:rsidR="009E048A" w:rsidRDefault="009E048A">
    <w:pPr>
      <w:pStyle w:val="Footer"/>
      <w:rPr>
        <w:rFonts w:ascii="Arial" w:hAnsi="Arial" w:cs="Arial"/>
        <w:sz w:val="16"/>
      </w:rPr>
    </w:pPr>
  </w:p>
  <w:p w14:paraId="6355AFD4" w14:textId="4771409C"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948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C03DC" w14:textId="77777777" w:rsidR="00A05ECA" w:rsidRDefault="00A05ECA" w:rsidP="00C37E61">
      <w:r>
        <w:separator/>
      </w:r>
    </w:p>
  </w:footnote>
  <w:footnote w:type="continuationSeparator" w:id="0">
    <w:p w14:paraId="6F2C2F38" w14:textId="77777777" w:rsidR="00A05ECA" w:rsidRDefault="00A05EC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613AF" w14:textId="62EF23B7" w:rsidR="007720B4" w:rsidRDefault="00A05ECA">
    <w:pPr>
      <w:pStyle w:val="Header"/>
    </w:pPr>
    <w:r>
      <w:rPr>
        <w:noProof/>
      </w:rPr>
      <w:pict w14:anchorId="2AA04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3123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EFE7A" w14:textId="33C3C05B" w:rsidR="007720B4" w:rsidRDefault="00A05ECA">
    <w:pPr>
      <w:pStyle w:val="Header"/>
    </w:pPr>
    <w:r>
      <w:rPr>
        <w:noProof/>
      </w:rPr>
      <w:pict w14:anchorId="11278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3123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DE471" w14:textId="40A20342" w:rsidR="00296529" w:rsidRPr="00296529" w:rsidRDefault="00A05ECA" w:rsidP="00296529">
    <w:pPr>
      <w:ind w:left="2160"/>
      <w:jc w:val="center"/>
      <w:rPr>
        <w:rFonts w:ascii="Times New Roman" w:eastAsia="Calibri" w:hAnsi="Times New Roman"/>
        <w:i/>
        <w:sz w:val="18"/>
        <w:szCs w:val="22"/>
      </w:rPr>
    </w:pPr>
    <w:r>
      <w:rPr>
        <w:noProof/>
      </w:rPr>
      <w:pict w14:anchorId="5E7EC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3123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911981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04B0C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FE96E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2EF5F1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1F493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F48EA1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EBD7F" w14:textId="77FA2C11" w:rsidR="007720B4" w:rsidRDefault="00A05ECA">
    <w:pPr>
      <w:pStyle w:val="Header"/>
    </w:pPr>
    <w:r>
      <w:rPr>
        <w:noProof/>
      </w:rPr>
      <w:pict w14:anchorId="3BC10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3123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85D8" w14:textId="504AD3EE" w:rsidR="007720B4" w:rsidRDefault="00A05ECA">
    <w:pPr>
      <w:pStyle w:val="Header"/>
    </w:pPr>
    <w:r>
      <w:rPr>
        <w:noProof/>
      </w:rPr>
      <w:pict w14:anchorId="2E92C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3123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CA9A2" w14:textId="2E041D89" w:rsidR="007720B4" w:rsidRDefault="00A05ECA">
    <w:pPr>
      <w:pStyle w:val="Header"/>
    </w:pPr>
    <w:r>
      <w:rPr>
        <w:noProof/>
      </w:rPr>
      <w:pict w14:anchorId="167F5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3123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50D77FB"/>
    <w:multiLevelType w:val="hybridMultilevel"/>
    <w:tmpl w:val="4A10A7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597"/>
    <w:rsid w:val="0002587C"/>
    <w:rsid w:val="00030174"/>
    <w:rsid w:val="0004579C"/>
    <w:rsid w:val="00051855"/>
    <w:rsid w:val="0008619E"/>
    <w:rsid w:val="000A47FA"/>
    <w:rsid w:val="000A52CE"/>
    <w:rsid w:val="000A65D3"/>
    <w:rsid w:val="000B1E33"/>
    <w:rsid w:val="000D689F"/>
    <w:rsid w:val="000E7B7B"/>
    <w:rsid w:val="000E7D62"/>
    <w:rsid w:val="00103357"/>
    <w:rsid w:val="00123C9F"/>
    <w:rsid w:val="00126190"/>
    <w:rsid w:val="00130F17"/>
    <w:rsid w:val="001320BF"/>
    <w:rsid w:val="00163BC4"/>
    <w:rsid w:val="001763FE"/>
    <w:rsid w:val="0018672C"/>
    <w:rsid w:val="00191062"/>
    <w:rsid w:val="00192B72"/>
    <w:rsid w:val="001A29D8"/>
    <w:rsid w:val="001A384F"/>
    <w:rsid w:val="001A5CAA"/>
    <w:rsid w:val="001A6222"/>
    <w:rsid w:val="001B0427"/>
    <w:rsid w:val="001D3A51"/>
    <w:rsid w:val="001D7A40"/>
    <w:rsid w:val="001E10D2"/>
    <w:rsid w:val="001E22F3"/>
    <w:rsid w:val="001E25B4"/>
    <w:rsid w:val="001E44FE"/>
    <w:rsid w:val="00200595"/>
    <w:rsid w:val="00204835"/>
    <w:rsid w:val="00231920"/>
    <w:rsid w:val="0023195C"/>
    <w:rsid w:val="00237867"/>
    <w:rsid w:val="0024282C"/>
    <w:rsid w:val="002460DC"/>
    <w:rsid w:val="00250985"/>
    <w:rsid w:val="002556F6"/>
    <w:rsid w:val="00283105"/>
    <w:rsid w:val="00284C4C"/>
    <w:rsid w:val="00287E68"/>
    <w:rsid w:val="00296529"/>
    <w:rsid w:val="002B27FB"/>
    <w:rsid w:val="002B685A"/>
    <w:rsid w:val="002C57D2"/>
    <w:rsid w:val="002E0D56"/>
    <w:rsid w:val="00312BCA"/>
    <w:rsid w:val="00313E70"/>
    <w:rsid w:val="00314E49"/>
    <w:rsid w:val="00315186"/>
    <w:rsid w:val="0033343E"/>
    <w:rsid w:val="00347373"/>
    <w:rsid w:val="003512C2"/>
    <w:rsid w:val="00371FB6"/>
    <w:rsid w:val="003763C1"/>
    <w:rsid w:val="003766D6"/>
    <w:rsid w:val="00376BBE"/>
    <w:rsid w:val="0039224F"/>
    <w:rsid w:val="003A43A4"/>
    <w:rsid w:val="003A7E18"/>
    <w:rsid w:val="003C4C86"/>
    <w:rsid w:val="003C6258"/>
    <w:rsid w:val="003E2904"/>
    <w:rsid w:val="003F12CE"/>
    <w:rsid w:val="00401927"/>
    <w:rsid w:val="0041027F"/>
    <w:rsid w:val="00412475"/>
    <w:rsid w:val="004226C0"/>
    <w:rsid w:val="00423789"/>
    <w:rsid w:val="00425888"/>
    <w:rsid w:val="00440F43"/>
    <w:rsid w:val="00441B6F"/>
    <w:rsid w:val="00446221"/>
    <w:rsid w:val="00447530"/>
    <w:rsid w:val="00450E62"/>
    <w:rsid w:val="004539DB"/>
    <w:rsid w:val="00465529"/>
    <w:rsid w:val="00471A80"/>
    <w:rsid w:val="004D305E"/>
    <w:rsid w:val="004D4277"/>
    <w:rsid w:val="00502516"/>
    <w:rsid w:val="00505F06"/>
    <w:rsid w:val="00506828"/>
    <w:rsid w:val="0051116A"/>
    <w:rsid w:val="00523047"/>
    <w:rsid w:val="0053056E"/>
    <w:rsid w:val="00554FDA"/>
    <w:rsid w:val="00567FD7"/>
    <w:rsid w:val="0057720B"/>
    <w:rsid w:val="00581D5F"/>
    <w:rsid w:val="005C784C"/>
    <w:rsid w:val="005D17F6"/>
    <w:rsid w:val="005E5539"/>
    <w:rsid w:val="0060130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6DAA"/>
    <w:rsid w:val="007369E6"/>
    <w:rsid w:val="00746E59"/>
    <w:rsid w:val="00754C9A"/>
    <w:rsid w:val="0075599A"/>
    <w:rsid w:val="00761D52"/>
    <w:rsid w:val="007720B4"/>
    <w:rsid w:val="0077749E"/>
    <w:rsid w:val="00790ADA"/>
    <w:rsid w:val="007A0031"/>
    <w:rsid w:val="007D2288"/>
    <w:rsid w:val="007E088F"/>
    <w:rsid w:val="007F7B32"/>
    <w:rsid w:val="00804BC2"/>
    <w:rsid w:val="0081431A"/>
    <w:rsid w:val="0083216F"/>
    <w:rsid w:val="00851BB0"/>
    <w:rsid w:val="00860000"/>
    <w:rsid w:val="00863BD3"/>
    <w:rsid w:val="008641ED"/>
    <w:rsid w:val="00866D66"/>
    <w:rsid w:val="008671C6"/>
    <w:rsid w:val="00875803"/>
    <w:rsid w:val="00885827"/>
    <w:rsid w:val="008B459E"/>
    <w:rsid w:val="008E13AE"/>
    <w:rsid w:val="008E1506"/>
    <w:rsid w:val="008E710C"/>
    <w:rsid w:val="008F69D6"/>
    <w:rsid w:val="00902823"/>
    <w:rsid w:val="00915CA6"/>
    <w:rsid w:val="00927834"/>
    <w:rsid w:val="00936CA3"/>
    <w:rsid w:val="009500A6"/>
    <w:rsid w:val="00957C18"/>
    <w:rsid w:val="009656B7"/>
    <w:rsid w:val="009659BA"/>
    <w:rsid w:val="00983040"/>
    <w:rsid w:val="00984AAF"/>
    <w:rsid w:val="009B3FB9"/>
    <w:rsid w:val="009B651D"/>
    <w:rsid w:val="009C2465"/>
    <w:rsid w:val="009D35A0"/>
    <w:rsid w:val="009D7EB7"/>
    <w:rsid w:val="009E048A"/>
    <w:rsid w:val="009E064C"/>
    <w:rsid w:val="009E08E9"/>
    <w:rsid w:val="009E3DB9"/>
    <w:rsid w:val="009E6E35"/>
    <w:rsid w:val="009F0EDA"/>
    <w:rsid w:val="009F1129"/>
    <w:rsid w:val="00A03B96"/>
    <w:rsid w:val="00A05B19"/>
    <w:rsid w:val="00A05ECA"/>
    <w:rsid w:val="00A1134E"/>
    <w:rsid w:val="00A24E7E"/>
    <w:rsid w:val="00A258C3"/>
    <w:rsid w:val="00A347C0"/>
    <w:rsid w:val="00A430D7"/>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1D2E"/>
    <w:rsid w:val="00BC53A0"/>
    <w:rsid w:val="00BE0DFB"/>
    <w:rsid w:val="00BE62AD"/>
    <w:rsid w:val="00BF121F"/>
    <w:rsid w:val="00BF1F80"/>
    <w:rsid w:val="00C166EF"/>
    <w:rsid w:val="00C17EB0"/>
    <w:rsid w:val="00C27F5F"/>
    <w:rsid w:val="00C30A0F"/>
    <w:rsid w:val="00C33737"/>
    <w:rsid w:val="00C37E61"/>
    <w:rsid w:val="00C4770F"/>
    <w:rsid w:val="00C67E2F"/>
    <w:rsid w:val="00C70F1B"/>
    <w:rsid w:val="00C71A47"/>
    <w:rsid w:val="00C7464C"/>
    <w:rsid w:val="00C809BC"/>
    <w:rsid w:val="00C85588"/>
    <w:rsid w:val="00CA2BB4"/>
    <w:rsid w:val="00CB0EED"/>
    <w:rsid w:val="00CD6755"/>
    <w:rsid w:val="00CD6856"/>
    <w:rsid w:val="00CE0089"/>
    <w:rsid w:val="00CE02F4"/>
    <w:rsid w:val="00CE3414"/>
    <w:rsid w:val="00CE793C"/>
    <w:rsid w:val="00CF193C"/>
    <w:rsid w:val="00D173F1"/>
    <w:rsid w:val="00D74CB0"/>
    <w:rsid w:val="00D8295D"/>
    <w:rsid w:val="00DC2A65"/>
    <w:rsid w:val="00DC5232"/>
    <w:rsid w:val="00DE15F0"/>
    <w:rsid w:val="00DE5663"/>
    <w:rsid w:val="00DE78AA"/>
    <w:rsid w:val="00E053D0"/>
    <w:rsid w:val="00E15994"/>
    <w:rsid w:val="00E3114E"/>
    <w:rsid w:val="00E31A70"/>
    <w:rsid w:val="00E35B02"/>
    <w:rsid w:val="00E66496"/>
    <w:rsid w:val="00E66B35"/>
    <w:rsid w:val="00E66E10"/>
    <w:rsid w:val="00E72BD0"/>
    <w:rsid w:val="00E769F6"/>
    <w:rsid w:val="00E8407C"/>
    <w:rsid w:val="00E84F3C"/>
    <w:rsid w:val="00EA012C"/>
    <w:rsid w:val="00EA3607"/>
    <w:rsid w:val="00EC6A55"/>
    <w:rsid w:val="00ED0288"/>
    <w:rsid w:val="00EE52CB"/>
    <w:rsid w:val="00EF581D"/>
    <w:rsid w:val="00EF7FD8"/>
    <w:rsid w:val="00F06F59"/>
    <w:rsid w:val="00F17988"/>
    <w:rsid w:val="00F469F0"/>
    <w:rsid w:val="00F53273"/>
    <w:rsid w:val="00F6349F"/>
    <w:rsid w:val="00F755E4"/>
    <w:rsid w:val="00F77D02"/>
    <w:rsid w:val="00F9369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E7E48A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3F12CE"/>
    <w:pPr>
      <w:spacing w:after="120"/>
    </w:pPr>
  </w:style>
  <w:style w:type="character" w:customStyle="1" w:styleId="BodyTextChar">
    <w:name w:val="Body Text Char"/>
    <w:basedOn w:val="DefaultParagraphFont"/>
    <w:link w:val="BodyText"/>
    <w:semiHidden/>
    <w:rsid w:val="003F12CE"/>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798014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4161/cbt.5.9.3306" TargetMode="External"/><Relationship Id="rId26" Type="http://schemas.openxmlformats.org/officeDocument/2006/relationships/hyperlink" Target="https://doi.org/10.1158/1055-9965.EPI-07-0558" TargetMode="External"/><Relationship Id="rId39" Type="http://schemas.openxmlformats.org/officeDocument/2006/relationships/header" Target="header5.xml"/><Relationship Id="rId21" Type="http://schemas.openxmlformats.org/officeDocument/2006/relationships/hyperlink" Target="https://www.cnnindonesia.com/gaya-hidup/20170313113556-307-199668/pet-ct-scan-mendeteksi-kanker-lebih-akurat" TargetMode="External"/><Relationship Id="rId34" Type="http://schemas.openxmlformats.org/officeDocument/2006/relationships/hyperlink" Target="https://doi.org/10.4048/jbc.2012.15.4.478"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ancer.org/cancer/managingcancer/advanced-cancer/bone-metastases.html" TargetMode="External"/><Relationship Id="rId20" Type="http://schemas.openxmlformats.org/officeDocument/2006/relationships/hyperlink" Target="https://doi.org/10.1007/s00330-021-07956-0" TargetMode="External"/><Relationship Id="rId29" Type="http://schemas.openxmlformats.org/officeDocument/2006/relationships/hyperlink" Target="https://www.cancerresearchuk.org/about-cancer/breast-cancer/types/invasive-breast-cancer"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97/00001813-199210000-00002" TargetMode="External"/><Relationship Id="rId32" Type="http://schemas.openxmlformats.org/officeDocument/2006/relationships/hyperlink" Target="https://www.cancer.gov/publications/dictionaries/cancer-terms/def/tumor-infiltrating-lymphocyte" TargetMode="External"/><Relationship Id="rId37" Type="http://schemas.openxmlformats.org/officeDocument/2006/relationships/hyperlink" Target="https://doi.org/10.3389/fonc.2021.681476"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038/s41598-020-70788-3" TargetMode="External"/><Relationship Id="rId23" Type="http://schemas.openxmlformats.org/officeDocument/2006/relationships/hyperlink" Target="https://doi.org/10.1007/978-3-030-20301-6_7" TargetMode="External"/><Relationship Id="rId28" Type="http://schemas.openxmlformats.org/officeDocument/2006/relationships/hyperlink" Target="https://doi.org/10.1245/s10434-020-08608-1" TargetMode="External"/><Relationship Id="rId36" Type="http://schemas.openxmlformats.org/officeDocument/2006/relationships/hyperlink" Target="https://doi.org/10.1016/j.jbo.2014.05.001" TargetMode="External"/><Relationship Id="rId10" Type="http://schemas.openxmlformats.org/officeDocument/2006/relationships/footer" Target="footer1.xml"/><Relationship Id="rId19" Type="http://schemas.openxmlformats.org/officeDocument/2006/relationships/hyperlink" Target="https://doi.org/10.1200/JCO.2001.19.15.3562" TargetMode="External"/><Relationship Id="rId31" Type="http://schemas.openxmlformats.org/officeDocument/2006/relationships/hyperlink" Target="https://doi.org/10.18632/oncotarget.1134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26/science.1203543" TargetMode="External"/><Relationship Id="rId22" Type="http://schemas.openxmlformats.org/officeDocument/2006/relationships/hyperlink" Target="https://doi.org/10.33371/ijoc.v1i4.26" TargetMode="External"/><Relationship Id="rId27" Type="http://schemas.openxmlformats.org/officeDocument/2006/relationships/hyperlink" Target="https://doi.org/10.3389/fonc.2023.1136198" TargetMode="External"/><Relationship Id="rId30" Type="http://schemas.openxmlformats.org/officeDocument/2006/relationships/hyperlink" Target="https://doi.org/10.2147/CMAR.S176763" TargetMode="External"/><Relationship Id="rId35" Type="http://schemas.openxmlformats.org/officeDocument/2006/relationships/hyperlink" Target="https://doi.org/10.1016/s0046-8177(82)80121-4"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etd.repository.ugm.ac.id/" TargetMode="External"/><Relationship Id="rId25" Type="http://schemas.openxmlformats.org/officeDocument/2006/relationships/hyperlink" Target="https://www.cancercenter.com/community/blog/2022/10/whats-the-difference-female-male-breast-cancer" TargetMode="External"/><Relationship Id="rId33" Type="http://schemas.openxmlformats.org/officeDocument/2006/relationships/hyperlink" Target="https://doi.org/10.1093/annonc/mdu450"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0A5FB-BF81-4420-99FF-0F65FEC3B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215</TotalTime>
  <Pages>9</Pages>
  <Words>4165</Words>
  <Characters>23743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27853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49</cp:revision>
  <cp:lastPrinted>1999-07-06T11:00:00Z</cp:lastPrinted>
  <dcterms:created xsi:type="dcterms:W3CDTF">2014-10-25T14:34:00Z</dcterms:created>
  <dcterms:modified xsi:type="dcterms:W3CDTF">2025-12-26T11:52:00Z</dcterms:modified>
</cp:coreProperties>
</file>