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51E" w:rsidRDefault="0046451E" w:rsidP="009E2D05">
      <w:pPr>
        <w:spacing w:before="120" w:after="120"/>
        <w:rPr>
          <w:rFonts w:ascii="Arial" w:hAnsi="Arial" w:cs="Arial"/>
          <w:b/>
          <w:bCs/>
          <w:sz w:val="36"/>
          <w:szCs w:val="36"/>
        </w:rPr>
      </w:pPr>
      <w:r w:rsidRPr="0046451E">
        <w:rPr>
          <w:rFonts w:ascii="Arial" w:hAnsi="Arial" w:cs="Arial"/>
          <w:b/>
          <w:bCs/>
          <w:sz w:val="36"/>
          <w:szCs w:val="36"/>
        </w:rPr>
        <w:t xml:space="preserve">Original research article </w:t>
      </w:r>
    </w:p>
    <w:p w:rsidR="0046451E" w:rsidRDefault="0046451E" w:rsidP="009E2D05">
      <w:pPr>
        <w:spacing w:before="120" w:after="120"/>
        <w:rPr>
          <w:rFonts w:ascii="Arial" w:hAnsi="Arial" w:cs="Arial"/>
          <w:b/>
          <w:bCs/>
          <w:sz w:val="36"/>
          <w:szCs w:val="36"/>
        </w:rPr>
      </w:pPr>
    </w:p>
    <w:p w:rsidR="009E2D05" w:rsidRDefault="009E2D05" w:rsidP="009E2D05">
      <w:pPr>
        <w:spacing w:before="120" w:after="120"/>
        <w:rPr>
          <w:rFonts w:ascii="Arial" w:hAnsi="Arial" w:cs="Arial"/>
          <w:b/>
          <w:bCs/>
          <w:sz w:val="36"/>
          <w:szCs w:val="36"/>
        </w:rPr>
      </w:pPr>
      <w:r>
        <w:rPr>
          <w:rFonts w:ascii="Arial" w:hAnsi="Arial" w:cs="Arial"/>
          <w:b/>
          <w:bCs/>
          <w:sz w:val="36"/>
          <w:szCs w:val="36"/>
        </w:rPr>
        <w:t>Blood Donation In A Tertiary Health Centre In Nigeria: The</w:t>
      </w:r>
      <w:r w:rsidRPr="005956D6">
        <w:rPr>
          <w:rFonts w:ascii="Arial" w:hAnsi="Arial" w:cs="Arial"/>
          <w:b/>
          <w:bCs/>
          <w:color w:val="FF0000"/>
          <w:sz w:val="36"/>
          <w:szCs w:val="36"/>
        </w:rPr>
        <w:t xml:space="preserve"> </w:t>
      </w:r>
      <w:r w:rsidR="005956D6" w:rsidRPr="005956D6">
        <w:rPr>
          <w:rFonts w:ascii="Arial" w:hAnsi="Arial" w:cs="Arial"/>
          <w:b/>
          <w:bCs/>
          <w:color w:val="FF0000"/>
          <w:sz w:val="36"/>
          <w:szCs w:val="36"/>
        </w:rPr>
        <w:t>Scarcity</w:t>
      </w:r>
      <w:r>
        <w:rPr>
          <w:rFonts w:ascii="Arial" w:hAnsi="Arial" w:cs="Arial"/>
          <w:b/>
          <w:bCs/>
          <w:sz w:val="36"/>
          <w:szCs w:val="36"/>
        </w:rPr>
        <w:t xml:space="preserve"> of Voluntary Non-Remunerated Blood Donors</w:t>
      </w:r>
    </w:p>
    <w:p w:rsidR="00D10EF9" w:rsidRPr="009E2D05" w:rsidRDefault="00D10EF9" w:rsidP="009E2D05">
      <w:pPr>
        <w:spacing w:before="120" w:after="120"/>
        <w:rPr>
          <w:rFonts w:ascii="Arial" w:hAnsi="Arial" w:cs="Arial"/>
          <w:b/>
          <w:bCs/>
          <w:sz w:val="36"/>
          <w:szCs w:val="36"/>
        </w:rPr>
      </w:pPr>
    </w:p>
    <w:p w:rsidR="00D10EF9" w:rsidRPr="00E878BD" w:rsidRDefault="00D10EF9" w:rsidP="006D1FBA">
      <w:pPr>
        <w:pStyle w:val="Affiliation"/>
        <w:spacing w:after="0" w:line="480" w:lineRule="auto"/>
        <w:jc w:val="left"/>
        <w:rPr>
          <w:rFonts w:ascii="Arial" w:hAnsi="Arial" w:cs="Arial"/>
          <w:i/>
        </w:rPr>
      </w:pPr>
    </w:p>
    <w:p w:rsidR="002C57D2" w:rsidRPr="00FB3A86" w:rsidRDefault="002C57D2" w:rsidP="00441B6F">
      <w:pPr>
        <w:pStyle w:val="Affiliation"/>
        <w:spacing w:after="0" w:line="240" w:lineRule="auto"/>
        <w:jc w:val="both"/>
        <w:rPr>
          <w:rFonts w:ascii="Arial" w:hAnsi="Arial" w:cs="Arial"/>
        </w:rPr>
      </w:pPr>
    </w:p>
    <w:p w:rsidR="00B01FCD" w:rsidRPr="00FB3A86" w:rsidRDefault="00F25473" w:rsidP="00441B6F">
      <w:pPr>
        <w:pStyle w:val="Copyright"/>
        <w:spacing w:after="0" w:line="240" w:lineRule="auto"/>
        <w:jc w:val="both"/>
        <w:rPr>
          <w:rFonts w:ascii="Arial" w:hAnsi="Arial" w:cs="Arial"/>
        </w:rPr>
        <w:sectPr w:rsidR="00B01FCD" w:rsidRPr="00FB3A86" w:rsidSect="00597D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0D3FAA" w:rsidRDefault="000D3FAA" w:rsidP="000D3FAA">
            <w:pPr>
              <w:spacing w:before="120" w:after="120" w:line="480" w:lineRule="auto"/>
            </w:pPr>
            <w:r w:rsidRPr="000D3FAA">
              <w:rPr>
                <w:rFonts w:ascii="Arial" w:hAnsi="Arial" w:cs="Arial"/>
                <w:b/>
                <w:bCs/>
              </w:rPr>
              <w:t>Background:</w:t>
            </w:r>
            <w:r w:rsidR="00E660AF">
              <w:rPr>
                <w:rFonts w:ascii="Arial" w:hAnsi="Arial" w:cs="Arial"/>
              </w:rPr>
              <w:t xml:space="preserve"> </w:t>
            </w:r>
            <w:r w:rsidR="00ED66D8" w:rsidRPr="00ED66D8">
              <w:rPr>
                <w:rFonts w:ascii="Arial" w:hAnsi="Arial" w:cs="Arial"/>
                <w:color w:val="FF0000"/>
              </w:rPr>
              <w:t>B</w:t>
            </w:r>
            <w:r w:rsidRPr="00ED66D8">
              <w:rPr>
                <w:rFonts w:ascii="Arial" w:hAnsi="Arial" w:cs="Arial"/>
                <w:color w:val="FF0000"/>
              </w:rPr>
              <w:t>lood</w:t>
            </w:r>
            <w:r w:rsidR="00ED66D8" w:rsidRPr="00ED66D8">
              <w:rPr>
                <w:rFonts w:ascii="Arial" w:hAnsi="Arial" w:cs="Arial"/>
                <w:color w:val="FF0000"/>
              </w:rPr>
              <w:t xml:space="preserve"> is life</w:t>
            </w:r>
            <w:r w:rsidRPr="000D3FAA">
              <w:rPr>
                <w:rFonts w:ascii="Arial" w:hAnsi="Arial" w:cs="Arial"/>
              </w:rPr>
              <w:t>, and he</w:t>
            </w:r>
            <w:r w:rsidR="00ED66D8">
              <w:rPr>
                <w:rFonts w:ascii="Arial" w:hAnsi="Arial" w:cs="Arial"/>
              </w:rPr>
              <w:t xml:space="preserve">nce the infinite place </w:t>
            </w:r>
            <w:r w:rsidR="00ED66D8" w:rsidRPr="00ED66D8">
              <w:rPr>
                <w:rFonts w:ascii="Arial" w:hAnsi="Arial" w:cs="Arial"/>
                <w:color w:val="FF0000"/>
              </w:rPr>
              <w:t>it</w:t>
            </w:r>
            <w:r w:rsidRPr="00ED66D8">
              <w:rPr>
                <w:rFonts w:ascii="Arial" w:hAnsi="Arial" w:cs="Arial"/>
                <w:color w:val="FF0000"/>
              </w:rPr>
              <w:t xml:space="preserve"> o</w:t>
            </w:r>
            <w:r w:rsidR="00ED66D8" w:rsidRPr="00ED66D8">
              <w:rPr>
                <w:rFonts w:ascii="Arial" w:hAnsi="Arial" w:cs="Arial"/>
                <w:color w:val="FF0000"/>
              </w:rPr>
              <w:t>ccupies</w:t>
            </w:r>
            <w:r w:rsidR="00E660AF">
              <w:rPr>
                <w:rFonts w:ascii="Arial" w:hAnsi="Arial" w:cs="Arial"/>
              </w:rPr>
              <w:t xml:space="preserve"> in medical practice aim</w:t>
            </w:r>
            <w:r w:rsidRPr="000D3FAA">
              <w:rPr>
                <w:rFonts w:ascii="Arial" w:hAnsi="Arial" w:cs="Arial"/>
              </w:rPr>
              <w:t xml:space="preserve"> at reducing morbidity and mortality. As the most donated tissue over the centuries, it can only be derived from an ideal living being, like humans, for humans</w:t>
            </w:r>
            <w:r>
              <w:t>.</w:t>
            </w:r>
          </w:p>
          <w:p w:rsidR="00BA1B01" w:rsidRPr="000D3FAA" w:rsidRDefault="00BA1B01" w:rsidP="000D3FAA">
            <w:pPr>
              <w:spacing w:before="120" w:after="120" w:line="480" w:lineRule="auto"/>
            </w:pPr>
            <w:r w:rsidRPr="00BA1B01">
              <w:rPr>
                <w:rFonts w:ascii="Arial" w:eastAsia="Calibri" w:hAnsi="Arial" w:cs="Arial"/>
                <w:b/>
                <w:szCs w:val="22"/>
              </w:rPr>
              <w:t xml:space="preserve">Aims: </w:t>
            </w:r>
            <w:r w:rsidR="00E878BD" w:rsidRPr="00E878BD">
              <w:rPr>
                <w:rFonts w:ascii="Arial" w:hAnsi="Arial" w:cs="Arial"/>
              </w:rPr>
              <w:t>This study was aimed at assessing the most adjudge group of blood donors, voluntary non-remunerated blood donors, from whom blood can be obtained with guaranteed safety for the donor and to the recipient in the Jos University Teaching Hospital in the North-central zone of Nigeria.</w:t>
            </w:r>
          </w:p>
          <w:p w:rsidR="00BA1B01" w:rsidRPr="00BA1B01" w:rsidRDefault="00BA1B01" w:rsidP="000D3FAA">
            <w:pPr>
              <w:pStyle w:val="Body"/>
              <w:spacing w:after="0" w:line="480" w:lineRule="auto"/>
              <w:rPr>
                <w:rFonts w:ascii="Arial" w:eastAsia="Calibri" w:hAnsi="Arial" w:cs="Arial"/>
                <w:szCs w:val="22"/>
              </w:rPr>
            </w:pPr>
            <w:r w:rsidRPr="00BA1B01">
              <w:rPr>
                <w:rFonts w:ascii="Arial" w:eastAsia="Calibri" w:hAnsi="Arial" w:cs="Arial"/>
                <w:b/>
                <w:szCs w:val="22"/>
              </w:rPr>
              <w:t>Study design:</w:t>
            </w:r>
            <w:r w:rsidR="00E878BD">
              <w:t xml:space="preserve"> This study was a</w:t>
            </w:r>
            <w:r w:rsidR="00E660AF">
              <w:t xml:space="preserve"> </w:t>
            </w:r>
            <w:r w:rsidR="00E660AF" w:rsidRPr="00E660AF">
              <w:rPr>
                <w:color w:val="FF0000"/>
              </w:rPr>
              <w:t>cross-sectional</w:t>
            </w:r>
            <w:r w:rsidR="00E878BD">
              <w:t xml:space="preserve"> retrospective</w:t>
            </w:r>
            <w:r w:rsidR="00E660AF">
              <w:t xml:space="preserve"> study</w:t>
            </w:r>
            <w:r w:rsidRPr="00BA1B01">
              <w:rPr>
                <w:rFonts w:ascii="Arial" w:eastAsia="Calibri" w:hAnsi="Arial" w:cs="Arial"/>
                <w:szCs w:val="22"/>
              </w:rPr>
              <w:t>.</w:t>
            </w:r>
          </w:p>
          <w:p w:rsidR="00BA1B01" w:rsidRPr="00BA1B01" w:rsidRDefault="00BA1B01" w:rsidP="000D3FAA">
            <w:pPr>
              <w:pStyle w:val="Body"/>
              <w:spacing w:after="0" w:line="480" w:lineRule="auto"/>
              <w:rPr>
                <w:rFonts w:ascii="Arial" w:eastAsia="Calibri" w:hAnsi="Arial" w:cs="Arial"/>
                <w:szCs w:val="22"/>
              </w:rPr>
            </w:pPr>
            <w:r w:rsidRPr="00BA1B01">
              <w:rPr>
                <w:rFonts w:ascii="Arial" w:eastAsia="Calibri" w:hAnsi="Arial" w:cs="Arial"/>
                <w:b/>
                <w:szCs w:val="22"/>
              </w:rPr>
              <w:t>Place and Duration of Study:</w:t>
            </w:r>
            <w:r w:rsidR="00E660AF">
              <w:rPr>
                <w:rFonts w:ascii="Arial" w:eastAsia="Calibri" w:hAnsi="Arial" w:cs="Arial"/>
                <w:b/>
                <w:szCs w:val="22"/>
              </w:rPr>
              <w:t xml:space="preserve"> </w:t>
            </w:r>
            <w:r w:rsidR="00E878BD" w:rsidRPr="00E878BD">
              <w:rPr>
                <w:rFonts w:ascii="Arial" w:hAnsi="Arial" w:cs="Arial"/>
              </w:rPr>
              <w:t xml:space="preserve">Jos University Teaching Hospital Blood Bank between </w:t>
            </w:r>
            <w:r w:rsidR="00ED66D8">
              <w:rPr>
                <w:rFonts w:ascii="Arial" w:hAnsi="Arial" w:cs="Arial"/>
              </w:rPr>
              <w:t>1</w:t>
            </w:r>
            <w:r w:rsidR="00ED66D8" w:rsidRPr="00ED66D8">
              <w:rPr>
                <w:rFonts w:ascii="Arial" w:hAnsi="Arial" w:cs="Arial"/>
                <w:vertAlign w:val="superscript"/>
              </w:rPr>
              <w:t>st</w:t>
            </w:r>
            <w:r w:rsidR="00ED66D8">
              <w:rPr>
                <w:rFonts w:ascii="Arial" w:hAnsi="Arial" w:cs="Arial"/>
              </w:rPr>
              <w:t xml:space="preserve"> </w:t>
            </w:r>
            <w:r w:rsidR="00E878BD" w:rsidRPr="00E878BD">
              <w:rPr>
                <w:rFonts w:ascii="Arial" w:hAnsi="Arial" w:cs="Arial"/>
              </w:rPr>
              <w:t>July</w:t>
            </w:r>
            <w:r w:rsidR="00ED66D8">
              <w:rPr>
                <w:rFonts w:ascii="Arial" w:hAnsi="Arial" w:cs="Arial"/>
              </w:rPr>
              <w:t>,</w:t>
            </w:r>
            <w:r w:rsidR="00E878BD" w:rsidRPr="00E878BD">
              <w:rPr>
                <w:rFonts w:ascii="Arial" w:hAnsi="Arial" w:cs="Arial"/>
              </w:rPr>
              <w:t xml:space="preserve"> 2024 and </w:t>
            </w:r>
            <w:r w:rsidR="00ED66D8">
              <w:rPr>
                <w:rFonts w:ascii="Arial" w:hAnsi="Arial" w:cs="Arial"/>
              </w:rPr>
              <w:t>30</w:t>
            </w:r>
            <w:r w:rsidR="00ED66D8" w:rsidRPr="00ED66D8">
              <w:rPr>
                <w:rFonts w:ascii="Arial" w:hAnsi="Arial" w:cs="Arial"/>
                <w:vertAlign w:val="superscript"/>
              </w:rPr>
              <w:t>th</w:t>
            </w:r>
            <w:r w:rsidR="00ED66D8">
              <w:rPr>
                <w:rFonts w:ascii="Arial" w:hAnsi="Arial" w:cs="Arial"/>
              </w:rPr>
              <w:t xml:space="preserve"> </w:t>
            </w:r>
            <w:r w:rsidR="00E878BD" w:rsidRPr="00E878BD">
              <w:rPr>
                <w:rFonts w:ascii="Arial" w:hAnsi="Arial" w:cs="Arial"/>
              </w:rPr>
              <w:t>June</w:t>
            </w:r>
            <w:r w:rsidR="00ED66D8">
              <w:rPr>
                <w:rFonts w:ascii="Arial" w:hAnsi="Arial" w:cs="Arial"/>
              </w:rPr>
              <w:t>,</w:t>
            </w:r>
            <w:r w:rsidR="00E878BD" w:rsidRPr="00E878BD">
              <w:rPr>
                <w:rFonts w:ascii="Arial" w:hAnsi="Arial" w:cs="Arial"/>
              </w:rPr>
              <w:t xml:space="preserve"> 2025 </w:t>
            </w:r>
          </w:p>
          <w:p w:rsidR="00BA1B01" w:rsidRPr="00BA1B01" w:rsidRDefault="00BA1B01" w:rsidP="000D3FAA">
            <w:pPr>
              <w:pStyle w:val="Body"/>
              <w:spacing w:after="0" w:line="480" w:lineRule="auto"/>
              <w:rPr>
                <w:rFonts w:ascii="Arial" w:eastAsia="Calibri" w:hAnsi="Arial" w:cs="Arial"/>
                <w:szCs w:val="22"/>
              </w:rPr>
            </w:pPr>
            <w:r w:rsidRPr="00BA1B01">
              <w:rPr>
                <w:rFonts w:ascii="Arial" w:eastAsia="Calibri" w:hAnsi="Arial" w:cs="Arial"/>
                <w:b/>
                <w:bCs/>
                <w:szCs w:val="22"/>
              </w:rPr>
              <w:t>Methodology:</w:t>
            </w:r>
            <w:r w:rsidR="00E660AF">
              <w:rPr>
                <w:rFonts w:ascii="Arial" w:eastAsia="Calibri" w:hAnsi="Arial" w:cs="Arial"/>
                <w:b/>
                <w:bCs/>
                <w:szCs w:val="22"/>
              </w:rPr>
              <w:t xml:space="preserve"> </w:t>
            </w:r>
            <w:r w:rsidR="00A16A9A">
              <w:rPr>
                <w:rFonts w:ascii="Arial" w:hAnsi="Arial" w:cs="Arial"/>
              </w:rPr>
              <w:t>B</w:t>
            </w:r>
            <w:r w:rsidR="00E878BD" w:rsidRPr="00E878BD">
              <w:rPr>
                <w:rFonts w:ascii="Arial" w:hAnsi="Arial" w:cs="Arial"/>
              </w:rPr>
              <w:t>lood donor records of the Jos University Teaching Hospital Blood Bank were used, taking into account family replacement donors, Hospital walk-in non-remunerated blood donors, Hospital external blood drives, and National Blood Service Agency-Hospital linkage supplies</w:t>
            </w:r>
            <w:r w:rsidR="00E878BD">
              <w:t>.</w:t>
            </w:r>
          </w:p>
          <w:p w:rsidR="00BA1B01" w:rsidRPr="00BA1B01" w:rsidRDefault="00BA1B01" w:rsidP="000D3FAA">
            <w:pPr>
              <w:pStyle w:val="Body"/>
              <w:spacing w:after="0" w:line="480" w:lineRule="auto"/>
              <w:rPr>
                <w:rFonts w:ascii="Arial" w:eastAsia="Calibri" w:hAnsi="Arial" w:cs="Arial"/>
                <w:b/>
                <w:bCs/>
                <w:szCs w:val="22"/>
              </w:rPr>
            </w:pPr>
            <w:r w:rsidRPr="00BA1B01">
              <w:rPr>
                <w:rFonts w:ascii="Arial" w:eastAsia="Calibri" w:hAnsi="Arial" w:cs="Arial"/>
                <w:b/>
                <w:bCs/>
                <w:szCs w:val="22"/>
              </w:rPr>
              <w:t>Results:</w:t>
            </w:r>
            <w:r w:rsidR="00A16A9A">
              <w:t xml:space="preserve"> Six thousand, one hundred and twenty-three units of blood were collected in the Jos University Teaching Hospital Blood Bank between July 2024 and June 2025. Family replacement donors accounted for 4,462 units, equivalent to 72.9% of the units collected, while there were only 91(1.5%) units from walk in voluntary non-remunerated blood donors in the hospital. Other units collected were from Hospital </w:t>
            </w:r>
            <w:r w:rsidR="00A16A9A">
              <w:lastRenderedPageBreak/>
              <w:t>external blood donor drives and the North Central Zonal National Blood Service Agency-Hospital linkage.</w:t>
            </w:r>
          </w:p>
          <w:p w:rsidR="00505F06" w:rsidRPr="00A16A9A" w:rsidRDefault="00BA1B01" w:rsidP="000D3FAA">
            <w:pPr>
              <w:spacing w:before="120" w:after="120" w:line="480" w:lineRule="auto"/>
            </w:pPr>
            <w:r w:rsidRPr="00BA1B01">
              <w:rPr>
                <w:rFonts w:ascii="Arial" w:eastAsia="Calibri" w:hAnsi="Arial" w:cs="Arial"/>
                <w:b/>
                <w:bCs/>
                <w:szCs w:val="22"/>
              </w:rPr>
              <w:t>Conclusion:</w:t>
            </w:r>
            <w:r w:rsidR="005956D6">
              <w:rPr>
                <w:rFonts w:ascii="Arial" w:eastAsia="Calibri" w:hAnsi="Arial" w:cs="Arial"/>
                <w:b/>
                <w:bCs/>
                <w:szCs w:val="22"/>
              </w:rPr>
              <w:t xml:space="preserve"> </w:t>
            </w:r>
            <w:r w:rsidR="00A16A9A">
              <w:t>Voluntary non-remunerated blood donors are adjudged to be the best form of blood donation, with minimal risk for transfusion transmissible infections account for an abysmal percentage of blood units collected within the period of this study. This finding indicated a need for more public awareness aim at increasing this form of blood donation for a better output from blood donor collections.</w:t>
            </w:r>
          </w:p>
        </w:tc>
      </w:tr>
    </w:tbl>
    <w:p w:rsidR="00636EB2" w:rsidRDefault="00636EB2" w:rsidP="00441B6F">
      <w:pPr>
        <w:pStyle w:val="Body"/>
        <w:spacing w:after="0"/>
        <w:rPr>
          <w:rFonts w:ascii="Arial" w:hAnsi="Arial" w:cs="Arial"/>
          <w:i/>
        </w:rPr>
      </w:pPr>
    </w:p>
    <w:p w:rsidR="00A24E7E" w:rsidRDefault="00A16A9A" w:rsidP="00441B6F">
      <w:pPr>
        <w:pStyle w:val="Body"/>
        <w:spacing w:after="0"/>
        <w:rPr>
          <w:rFonts w:ascii="Arial" w:hAnsi="Arial" w:cs="Arial"/>
          <w:i/>
        </w:rPr>
      </w:pPr>
      <w:r>
        <w:rPr>
          <w:rFonts w:ascii="Arial" w:hAnsi="Arial" w:cs="Arial"/>
          <w:i/>
        </w:rPr>
        <w:t xml:space="preserve">Keywords: </w:t>
      </w:r>
      <w:r>
        <w:t>Bloo</w:t>
      </w:r>
      <w:r w:rsidR="00E660AF">
        <w:t xml:space="preserve">d donation, Blood donors, </w:t>
      </w:r>
      <w:r w:rsidR="00E660AF" w:rsidRPr="00E660AF">
        <w:rPr>
          <w:color w:val="FF0000"/>
        </w:rPr>
        <w:t>Nigeria</w:t>
      </w:r>
      <w:r>
        <w:t>, Voluntary non-remunerated.</w:t>
      </w:r>
    </w:p>
    <w:p w:rsidR="00790ADA" w:rsidRDefault="00790ADA" w:rsidP="00441B6F">
      <w:pPr>
        <w:pStyle w:val="Body"/>
        <w:spacing w:after="0"/>
        <w:rPr>
          <w:rFonts w:ascii="Arial" w:hAnsi="Arial" w:cs="Arial"/>
          <w:i/>
        </w:rPr>
      </w:pPr>
    </w:p>
    <w:p w:rsidR="00B52896" w:rsidRDefault="00B52896" w:rsidP="00B02BFA">
      <w:pPr>
        <w:pStyle w:val="Body"/>
        <w:spacing w:after="0"/>
        <w:rPr>
          <w:rFonts w:ascii="Arial" w:hAnsi="Arial" w:cs="Arial"/>
          <w:i/>
          <w:sz w:val="18"/>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A16A9A" w:rsidRPr="00A16A9A" w:rsidRDefault="00A16A9A" w:rsidP="000D3FAA">
      <w:pPr>
        <w:spacing w:before="120" w:after="120" w:line="480" w:lineRule="auto"/>
        <w:rPr>
          <w:rFonts w:ascii="Arial" w:hAnsi="Arial" w:cs="Arial"/>
        </w:rPr>
      </w:pPr>
      <w:r w:rsidRPr="00A16A9A">
        <w:rPr>
          <w:rFonts w:ascii="Arial" w:hAnsi="Arial" w:cs="Arial"/>
        </w:rPr>
        <w:t xml:space="preserve">Blood donation is </w:t>
      </w:r>
      <w:r w:rsidRPr="003A5A6C">
        <w:rPr>
          <w:rFonts w:ascii="Arial" w:hAnsi="Arial" w:cs="Arial"/>
          <w:color w:val="FF0000"/>
        </w:rPr>
        <w:t>a</w:t>
      </w:r>
      <w:r w:rsidR="003A5A6C" w:rsidRPr="003A5A6C">
        <w:rPr>
          <w:rFonts w:ascii="Arial" w:hAnsi="Arial" w:cs="Arial"/>
          <w:color w:val="FF0000"/>
        </w:rPr>
        <w:t>n element of</w:t>
      </w:r>
      <w:r w:rsidRPr="00A16A9A">
        <w:rPr>
          <w:rFonts w:ascii="Arial" w:hAnsi="Arial" w:cs="Arial"/>
        </w:rPr>
        <w:t xml:space="preserve"> blood transfusion procedure that contributes to saving lives by making available the blood required in virtually all disciplines of medical and surgical practice. It involves taking blood in an appropriate volume from a healthy voluntary blood donor, examine for suitability to be transfused to a recipient in need. Due to the importance of blood transfusion in medical practice, the World Health Organization (WHO) prescribes a blood donation rate of 1% per population as the minimum requirement to meet the population's b</w:t>
      </w:r>
      <w:r w:rsidR="005F4967">
        <w:rPr>
          <w:rFonts w:ascii="Arial" w:hAnsi="Arial" w:cs="Arial"/>
        </w:rPr>
        <w:t xml:space="preserve">asic need for blood transfusion </w:t>
      </w:r>
      <w:r w:rsidR="005F4967" w:rsidRPr="005F4967">
        <w:rPr>
          <w:rFonts w:ascii="Arial" w:hAnsi="Arial" w:cs="Arial"/>
        </w:rPr>
        <w:t>[</w:t>
      </w:r>
      <w:r w:rsidRPr="005F4967">
        <w:rPr>
          <w:rFonts w:ascii="Arial" w:hAnsi="Arial" w:cs="Arial"/>
        </w:rPr>
        <w:t>1</w:t>
      </w:r>
      <w:r w:rsidR="005F4967" w:rsidRPr="005F4967">
        <w:rPr>
          <w:rFonts w:ascii="Arial" w:hAnsi="Arial" w:cs="Arial"/>
        </w:rPr>
        <w:t>]</w:t>
      </w:r>
      <w:r w:rsidR="005F4967">
        <w:rPr>
          <w:rFonts w:ascii="Arial" w:hAnsi="Arial" w:cs="Arial"/>
        </w:rPr>
        <w:t>.</w:t>
      </w:r>
      <w:r w:rsidRPr="00A16A9A">
        <w:rPr>
          <w:rFonts w:ascii="Arial" w:hAnsi="Arial" w:cs="Arial"/>
        </w:rPr>
        <w:t xml:space="preserve"> Reports have documented a median blood donation rate of 31.5 donations per 1,000 people in high-income countries, and an average of 5.0 donations per 1,000 people for the low-income countries to ensure a stable and sufficient blood supply</w:t>
      </w:r>
      <w:r w:rsidR="005956D6">
        <w:rPr>
          <w:rFonts w:ascii="Arial" w:hAnsi="Arial" w:cs="Arial"/>
        </w:rPr>
        <w:t xml:space="preserve"> </w:t>
      </w:r>
      <w:r w:rsidR="005F4967" w:rsidRPr="005F4967">
        <w:rPr>
          <w:rFonts w:ascii="Arial" w:hAnsi="Arial" w:cs="Arial"/>
        </w:rPr>
        <w:t>[</w:t>
      </w:r>
      <w:r w:rsidR="005F4967">
        <w:rPr>
          <w:rFonts w:ascii="Arial" w:hAnsi="Arial" w:cs="Arial"/>
        </w:rPr>
        <w:t>2</w:t>
      </w:r>
      <w:r w:rsidR="005F4967" w:rsidRPr="005F4967">
        <w:rPr>
          <w:rFonts w:ascii="Arial" w:hAnsi="Arial" w:cs="Arial"/>
        </w:rPr>
        <w:t>]</w:t>
      </w:r>
      <w:r w:rsidR="005F4967">
        <w:rPr>
          <w:rFonts w:ascii="Arial" w:hAnsi="Arial" w:cs="Arial"/>
        </w:rPr>
        <w:t>.</w:t>
      </w:r>
      <w:r w:rsidR="005956D6">
        <w:rPr>
          <w:rFonts w:ascii="Arial" w:hAnsi="Arial" w:cs="Arial"/>
        </w:rPr>
        <w:t xml:space="preserve"> </w:t>
      </w:r>
      <w:r w:rsidRPr="00A16A9A">
        <w:rPr>
          <w:rFonts w:ascii="Arial" w:hAnsi="Arial" w:cs="Arial"/>
        </w:rPr>
        <w:t xml:space="preserve">Another World Health Organization report documented that in 2008, 43 countries in Africa, home to about 12% of the global population, collected only 4 million blood units or 4.3% of </w:t>
      </w:r>
      <w:r w:rsidR="005F4967">
        <w:rPr>
          <w:rFonts w:ascii="Arial" w:hAnsi="Arial" w:cs="Arial"/>
        </w:rPr>
        <w:t xml:space="preserve">the global blood donation </w:t>
      </w:r>
      <w:r w:rsidR="005F4967" w:rsidRPr="005F4967">
        <w:rPr>
          <w:rFonts w:ascii="Arial" w:hAnsi="Arial" w:cs="Arial"/>
        </w:rPr>
        <w:t>[</w:t>
      </w:r>
      <w:r w:rsidR="005F4967">
        <w:rPr>
          <w:rFonts w:ascii="Arial" w:hAnsi="Arial" w:cs="Arial"/>
        </w:rPr>
        <w:t>3</w:t>
      </w:r>
      <w:r w:rsidR="005F4967" w:rsidRPr="005F4967">
        <w:rPr>
          <w:rFonts w:ascii="Arial" w:hAnsi="Arial" w:cs="Arial"/>
        </w:rPr>
        <w:t>]</w:t>
      </w:r>
      <w:r w:rsidR="005F4967">
        <w:rPr>
          <w:rFonts w:ascii="Arial" w:hAnsi="Arial" w:cs="Arial"/>
        </w:rPr>
        <w:t xml:space="preserve">. </w:t>
      </w:r>
      <w:r w:rsidR="004177AF">
        <w:rPr>
          <w:rFonts w:ascii="Arial" w:hAnsi="Arial" w:cs="Arial"/>
          <w:color w:val="FF0000"/>
        </w:rPr>
        <w:t>A report by Aneke et al</w:t>
      </w:r>
      <w:r w:rsidR="00E660AF">
        <w:rPr>
          <w:rFonts w:ascii="Arial" w:hAnsi="Arial" w:cs="Arial"/>
          <w:color w:val="FF0000"/>
        </w:rPr>
        <w:t xml:space="preserve"> </w:t>
      </w:r>
      <w:r w:rsidR="00E660AF" w:rsidRPr="00E660AF">
        <w:rPr>
          <w:rFonts w:ascii="Arial" w:hAnsi="Arial" w:cs="Arial"/>
          <w:color w:val="FF0000"/>
        </w:rPr>
        <w:t>[4]</w:t>
      </w:r>
      <w:r w:rsidR="004177AF" w:rsidRPr="00E660AF">
        <w:rPr>
          <w:rFonts w:ascii="Arial" w:hAnsi="Arial" w:cs="Arial"/>
          <w:color w:val="FF0000"/>
        </w:rPr>
        <w:t>,</w:t>
      </w:r>
      <w:r w:rsidR="004177AF">
        <w:rPr>
          <w:rFonts w:ascii="Arial" w:hAnsi="Arial" w:cs="Arial"/>
          <w:color w:val="FF0000"/>
        </w:rPr>
        <w:t xml:space="preserve"> s</w:t>
      </w:r>
      <w:r w:rsidR="005956D6" w:rsidRPr="004177AF">
        <w:rPr>
          <w:rFonts w:ascii="Arial" w:hAnsi="Arial" w:cs="Arial"/>
          <w:color w:val="FF0000"/>
        </w:rPr>
        <w:t>tated that in the year 2004</w:t>
      </w:r>
      <w:r w:rsidR="004177AF" w:rsidRPr="004177AF">
        <w:rPr>
          <w:rFonts w:ascii="Arial" w:hAnsi="Arial" w:cs="Arial"/>
          <w:color w:val="FF0000"/>
        </w:rPr>
        <w:t>, estimated</w:t>
      </w:r>
      <w:r w:rsidR="005956D6" w:rsidRPr="004177AF">
        <w:rPr>
          <w:rFonts w:ascii="Arial" w:hAnsi="Arial" w:cs="Arial"/>
          <w:color w:val="FF0000"/>
        </w:rPr>
        <w:t xml:space="preserve"> blood collectio</w:t>
      </w:r>
      <w:r w:rsidR="00ED66D8">
        <w:rPr>
          <w:rFonts w:ascii="Arial" w:hAnsi="Arial" w:cs="Arial"/>
          <w:color w:val="FF0000"/>
        </w:rPr>
        <w:t>n from both</w:t>
      </w:r>
      <w:r w:rsidR="004177AF">
        <w:rPr>
          <w:rFonts w:ascii="Arial" w:hAnsi="Arial" w:cs="Arial"/>
          <w:color w:val="FF0000"/>
        </w:rPr>
        <w:t xml:space="preserve"> </w:t>
      </w:r>
      <w:r w:rsidR="005956D6" w:rsidRPr="004177AF">
        <w:rPr>
          <w:rFonts w:ascii="Arial" w:hAnsi="Arial" w:cs="Arial"/>
          <w:color w:val="FF0000"/>
        </w:rPr>
        <w:t>private and public health sectors was put at 500,000 units compared to the annual estimated blood unit requirement</w:t>
      </w:r>
      <w:r w:rsidR="004177AF">
        <w:rPr>
          <w:rFonts w:ascii="Arial" w:hAnsi="Arial" w:cs="Arial"/>
          <w:color w:val="FF0000"/>
        </w:rPr>
        <w:t xml:space="preserve"> of 1.5 million</w:t>
      </w:r>
      <w:r w:rsidR="005956D6" w:rsidRPr="004177AF">
        <w:rPr>
          <w:rFonts w:ascii="Arial" w:hAnsi="Arial" w:cs="Arial"/>
          <w:color w:val="FF0000"/>
        </w:rPr>
        <w:t xml:space="preserve"> for that year</w:t>
      </w:r>
      <w:r w:rsidR="004177AF">
        <w:rPr>
          <w:rFonts w:ascii="Arial" w:hAnsi="Arial" w:cs="Arial"/>
          <w:color w:val="FF0000"/>
        </w:rPr>
        <w:t>.  Other studies have indicated</w:t>
      </w:r>
      <w:r w:rsidR="005956D6" w:rsidRPr="004177AF">
        <w:rPr>
          <w:rFonts w:ascii="Arial" w:hAnsi="Arial" w:cs="Arial"/>
          <w:color w:val="FF0000"/>
        </w:rPr>
        <w:t xml:space="preserve"> </w:t>
      </w:r>
      <w:r w:rsidR="004177AF">
        <w:rPr>
          <w:rFonts w:ascii="Arial" w:hAnsi="Arial" w:cs="Arial"/>
          <w:color w:val="FF0000"/>
        </w:rPr>
        <w:t xml:space="preserve">that only </w:t>
      </w:r>
      <w:r w:rsidR="003A5A6C">
        <w:rPr>
          <w:rFonts w:ascii="Arial" w:hAnsi="Arial" w:cs="Arial"/>
          <w:color w:val="FF0000"/>
        </w:rPr>
        <w:t>a minimal donor population donates</w:t>
      </w:r>
      <w:r w:rsidR="004177AF">
        <w:rPr>
          <w:rFonts w:ascii="Arial" w:hAnsi="Arial" w:cs="Arial"/>
          <w:color w:val="FF0000"/>
        </w:rPr>
        <w:t xml:space="preserve"> for altruistic reas</w:t>
      </w:r>
      <w:r w:rsidR="00ED66D8">
        <w:rPr>
          <w:rFonts w:ascii="Arial" w:hAnsi="Arial" w:cs="Arial"/>
          <w:color w:val="FF0000"/>
        </w:rPr>
        <w:t>ons in the public health sector</w:t>
      </w:r>
      <w:r w:rsidR="004177AF">
        <w:rPr>
          <w:rFonts w:ascii="Arial" w:hAnsi="Arial" w:cs="Arial"/>
          <w:color w:val="FF0000"/>
        </w:rPr>
        <w:t xml:space="preserve"> with whooping 75% being</w:t>
      </w:r>
      <w:r w:rsidR="00ED66D8">
        <w:rPr>
          <w:rFonts w:ascii="Arial" w:hAnsi="Arial" w:cs="Arial"/>
          <w:color w:val="FF0000"/>
        </w:rPr>
        <w:t xml:space="preserve"> family replacement donors with approximately 25% being</w:t>
      </w:r>
      <w:r w:rsidR="004177AF">
        <w:rPr>
          <w:rFonts w:ascii="Arial" w:hAnsi="Arial" w:cs="Arial"/>
          <w:color w:val="FF0000"/>
        </w:rPr>
        <w:t xml:space="preserve"> paid donors while the private </w:t>
      </w:r>
      <w:r w:rsidR="00156F74">
        <w:rPr>
          <w:rFonts w:ascii="Arial" w:hAnsi="Arial" w:cs="Arial"/>
          <w:color w:val="FF0000"/>
        </w:rPr>
        <w:t>sector boast</w:t>
      </w:r>
      <w:r w:rsidR="004177AF">
        <w:rPr>
          <w:rFonts w:ascii="Arial" w:hAnsi="Arial" w:cs="Arial"/>
          <w:color w:val="FF0000"/>
        </w:rPr>
        <w:t xml:space="preserve"> of 75% commercial donors despite its risk </w:t>
      </w:r>
      <w:r w:rsidR="00156F74">
        <w:rPr>
          <w:rFonts w:ascii="Arial" w:hAnsi="Arial" w:cs="Arial"/>
          <w:color w:val="FF0000"/>
        </w:rPr>
        <w:t xml:space="preserve">and the huge cost involve </w:t>
      </w:r>
      <w:r w:rsidR="004177AF">
        <w:rPr>
          <w:rFonts w:ascii="Arial" w:hAnsi="Arial" w:cs="Arial"/>
          <w:color w:val="FF0000"/>
        </w:rPr>
        <w:t>with family replacement accounting for the rest</w:t>
      </w:r>
      <w:r w:rsidR="00156F74">
        <w:rPr>
          <w:rFonts w:ascii="Arial" w:hAnsi="Arial" w:cs="Arial"/>
          <w:color w:val="FF0000"/>
        </w:rPr>
        <w:t xml:space="preserve"> </w:t>
      </w:r>
      <w:r w:rsidR="00156F74" w:rsidRPr="005F4967">
        <w:rPr>
          <w:rFonts w:ascii="Arial" w:hAnsi="Arial" w:cs="Arial"/>
        </w:rPr>
        <w:t>[</w:t>
      </w:r>
      <w:r w:rsidR="00156F74">
        <w:rPr>
          <w:rFonts w:ascii="Arial" w:hAnsi="Arial" w:cs="Arial"/>
        </w:rPr>
        <w:t>4</w:t>
      </w:r>
      <w:r w:rsidR="00156F74" w:rsidRPr="005F4967">
        <w:rPr>
          <w:rFonts w:ascii="Arial" w:hAnsi="Arial" w:cs="Arial"/>
        </w:rPr>
        <w:t>]</w:t>
      </w:r>
      <w:r w:rsidR="004177AF">
        <w:rPr>
          <w:rFonts w:ascii="Arial" w:hAnsi="Arial" w:cs="Arial"/>
          <w:color w:val="FF0000"/>
        </w:rPr>
        <w:t xml:space="preserve">. </w:t>
      </w:r>
      <w:r w:rsidR="00156F74">
        <w:rPr>
          <w:rFonts w:ascii="Arial" w:hAnsi="Arial" w:cs="Arial"/>
          <w:color w:val="FF0000"/>
        </w:rPr>
        <w:t xml:space="preserve"> </w:t>
      </w:r>
      <w:r w:rsidR="005F4967">
        <w:rPr>
          <w:rFonts w:ascii="Arial" w:hAnsi="Arial" w:cs="Arial"/>
        </w:rPr>
        <w:t>S</w:t>
      </w:r>
      <w:r w:rsidRPr="00A16A9A">
        <w:rPr>
          <w:rFonts w:ascii="Arial" w:hAnsi="Arial" w:cs="Arial"/>
        </w:rPr>
        <w:t>tatistics from the National Blood Transfusion Agency (NBSA) of Nigeria indicate that only 27% of the country’s annual blood needs are met by voluntary blood donors, leaving a shortfall of about 73% of the blood needed every year</w:t>
      </w:r>
      <w:r w:rsidR="005956D6">
        <w:rPr>
          <w:rFonts w:ascii="Arial" w:hAnsi="Arial" w:cs="Arial"/>
        </w:rPr>
        <w:t xml:space="preserve"> </w:t>
      </w:r>
      <w:r w:rsidR="005F4967" w:rsidRPr="005F4967">
        <w:rPr>
          <w:rFonts w:ascii="Arial" w:hAnsi="Arial" w:cs="Arial"/>
        </w:rPr>
        <w:t>[</w:t>
      </w:r>
      <w:r w:rsidR="00E660AF">
        <w:rPr>
          <w:rFonts w:ascii="Arial" w:hAnsi="Arial" w:cs="Arial"/>
        </w:rPr>
        <w:t>5</w:t>
      </w:r>
      <w:r w:rsidR="005F4967" w:rsidRPr="005F4967">
        <w:rPr>
          <w:rFonts w:ascii="Arial" w:hAnsi="Arial" w:cs="Arial"/>
        </w:rPr>
        <w:t>]</w:t>
      </w:r>
      <w:r w:rsidR="005F4967">
        <w:rPr>
          <w:rFonts w:ascii="Arial" w:hAnsi="Arial" w:cs="Arial"/>
        </w:rPr>
        <w:t>.</w:t>
      </w:r>
    </w:p>
    <w:p w:rsidR="00A16A9A" w:rsidRPr="00A16A9A" w:rsidRDefault="00A16A9A" w:rsidP="000D3FAA">
      <w:pPr>
        <w:spacing w:before="120" w:after="120" w:line="480" w:lineRule="auto"/>
        <w:rPr>
          <w:rFonts w:ascii="Arial" w:hAnsi="Arial" w:cs="Arial"/>
        </w:rPr>
      </w:pPr>
      <w:r w:rsidRPr="00A16A9A">
        <w:rPr>
          <w:rFonts w:ascii="Arial" w:hAnsi="Arial" w:cs="Arial"/>
        </w:rPr>
        <w:t>Safe blood availability to meet patients' needs hinges on the right donor recruitment, which is classified into remunerated-based donations, social per</w:t>
      </w:r>
      <w:r w:rsidR="00ED66D8">
        <w:rPr>
          <w:rFonts w:ascii="Arial" w:hAnsi="Arial" w:cs="Arial"/>
        </w:rPr>
        <w:t>suasion-based recruitment, and p</w:t>
      </w:r>
      <w:r w:rsidRPr="00A16A9A">
        <w:rPr>
          <w:rFonts w:ascii="Arial" w:hAnsi="Arial" w:cs="Arial"/>
        </w:rPr>
        <w:t>ure voluntary-based recruitment, where</w:t>
      </w:r>
      <w:r w:rsidR="003A5A6C">
        <w:rPr>
          <w:rFonts w:ascii="Arial" w:hAnsi="Arial" w:cs="Arial"/>
        </w:rPr>
        <w:t xml:space="preserve"> </w:t>
      </w:r>
      <w:r w:rsidR="003A5A6C" w:rsidRPr="003A5A6C">
        <w:rPr>
          <w:rFonts w:ascii="Arial" w:hAnsi="Arial" w:cs="Arial"/>
          <w:color w:val="FF0000"/>
        </w:rPr>
        <w:t>voluntary non-remunerated blood donors</w:t>
      </w:r>
      <w:r w:rsidR="003A5A6C">
        <w:rPr>
          <w:rFonts w:ascii="Arial" w:hAnsi="Arial" w:cs="Arial"/>
        </w:rPr>
        <w:t xml:space="preserve"> (</w:t>
      </w:r>
      <w:r w:rsidRPr="00A16A9A">
        <w:rPr>
          <w:rFonts w:ascii="Arial" w:hAnsi="Arial" w:cs="Arial"/>
        </w:rPr>
        <w:t>VNRDs</w:t>
      </w:r>
      <w:r w:rsidR="003A5A6C">
        <w:rPr>
          <w:rFonts w:ascii="Arial" w:hAnsi="Arial" w:cs="Arial"/>
        </w:rPr>
        <w:t>)</w:t>
      </w:r>
      <w:r w:rsidRPr="00A16A9A">
        <w:rPr>
          <w:rFonts w:ascii="Arial" w:hAnsi="Arial" w:cs="Arial"/>
        </w:rPr>
        <w:t xml:space="preserve"> are classified</w:t>
      </w:r>
      <w:r w:rsidR="005956D6">
        <w:rPr>
          <w:rFonts w:ascii="Arial" w:hAnsi="Arial" w:cs="Arial"/>
        </w:rPr>
        <w:t xml:space="preserve"> </w:t>
      </w:r>
      <w:r w:rsidR="005F4967" w:rsidRPr="005F4967">
        <w:rPr>
          <w:rFonts w:ascii="Arial" w:hAnsi="Arial" w:cs="Arial"/>
        </w:rPr>
        <w:t>[</w:t>
      </w:r>
      <w:r w:rsidR="005F4967">
        <w:rPr>
          <w:rFonts w:ascii="Arial" w:hAnsi="Arial" w:cs="Arial"/>
        </w:rPr>
        <w:t>5</w:t>
      </w:r>
      <w:r w:rsidR="005F4967" w:rsidRPr="005F4967">
        <w:rPr>
          <w:rFonts w:ascii="Arial" w:hAnsi="Arial" w:cs="Arial"/>
        </w:rPr>
        <w:t>]</w:t>
      </w:r>
      <w:r w:rsidRPr="00A16A9A">
        <w:rPr>
          <w:rFonts w:ascii="Arial" w:hAnsi="Arial" w:cs="Arial"/>
        </w:rPr>
        <w:t xml:space="preserve">. Blood donations that are remunerated are made by paid donors, who may likely conceal information about their health, diseases, last donation, and identity, hence increasing the risk for </w:t>
      </w:r>
      <w:r w:rsidR="003A5A6C" w:rsidRPr="003A5A6C">
        <w:rPr>
          <w:rFonts w:ascii="Arial" w:hAnsi="Arial" w:cs="Arial"/>
          <w:color w:val="FF0000"/>
        </w:rPr>
        <w:t>transfusion transmissible infections</w:t>
      </w:r>
      <w:r w:rsidR="003A5A6C">
        <w:rPr>
          <w:rFonts w:ascii="Arial" w:hAnsi="Arial" w:cs="Arial"/>
        </w:rPr>
        <w:t xml:space="preserve"> (</w:t>
      </w:r>
      <w:r w:rsidRPr="00A16A9A">
        <w:rPr>
          <w:rFonts w:ascii="Arial" w:hAnsi="Arial" w:cs="Arial"/>
        </w:rPr>
        <w:t>TTIs</w:t>
      </w:r>
      <w:r w:rsidR="003A5A6C">
        <w:rPr>
          <w:rFonts w:ascii="Arial" w:hAnsi="Arial" w:cs="Arial"/>
        </w:rPr>
        <w:t>)</w:t>
      </w:r>
      <w:r w:rsidRPr="00A16A9A">
        <w:rPr>
          <w:rFonts w:ascii="Arial" w:hAnsi="Arial" w:cs="Arial"/>
        </w:rPr>
        <w:t xml:space="preserve"> when blood supplies are dependent on this form of donation. A social </w:t>
      </w:r>
      <w:r w:rsidRPr="00A16A9A">
        <w:rPr>
          <w:rFonts w:ascii="Arial" w:hAnsi="Arial" w:cs="Arial"/>
        </w:rPr>
        <w:lastRenderedPageBreak/>
        <w:t>persuasion-based recruitment strategy is usually out of persuasion and pressure of colleagues, friends, relatives, political leaders, and religious leaders to donate blood. This forms th</w:t>
      </w:r>
      <w:r w:rsidR="003A5A6C">
        <w:rPr>
          <w:rFonts w:ascii="Arial" w:hAnsi="Arial" w:cs="Arial"/>
        </w:rPr>
        <w:t xml:space="preserve">e basis for blood drives </w:t>
      </w:r>
      <w:r w:rsidR="003A5A6C" w:rsidRPr="003A5A6C">
        <w:rPr>
          <w:rFonts w:ascii="Arial" w:hAnsi="Arial" w:cs="Arial"/>
          <w:color w:val="FF0000"/>
        </w:rPr>
        <w:t>organiz</w:t>
      </w:r>
      <w:r w:rsidRPr="003A5A6C">
        <w:rPr>
          <w:rFonts w:ascii="Arial" w:hAnsi="Arial" w:cs="Arial"/>
          <w:color w:val="FF0000"/>
        </w:rPr>
        <w:t xml:space="preserve">ed </w:t>
      </w:r>
      <w:r w:rsidRPr="00A16A9A">
        <w:rPr>
          <w:rFonts w:ascii="Arial" w:hAnsi="Arial" w:cs="Arial"/>
        </w:rPr>
        <w:t>by hospitals or blood service agencies, most often characterised by promises of one reward or the other. Family replacement donors, where donations of blood are made for specific patients, usually close friends or relatives, could sometimes fall within the social persuasion-based strategy. However, worthy of note is that often time due to pressure, relatives are left with no option but to pay professional paid donors to serve as family replacement donors resulting in unsafe blood supplies that are of poor quality and may carry infection of many diseases like human immune deficiency virus (HBV), hepatitis B</w:t>
      </w:r>
      <w:r w:rsidR="00ED66D8">
        <w:rPr>
          <w:rFonts w:ascii="Arial" w:hAnsi="Arial" w:cs="Arial"/>
        </w:rPr>
        <w:t xml:space="preserve"> virus</w:t>
      </w:r>
      <w:r w:rsidRPr="00A16A9A">
        <w:rPr>
          <w:rFonts w:ascii="Arial" w:hAnsi="Arial" w:cs="Arial"/>
        </w:rPr>
        <w:t xml:space="preserve"> (HBV), Hepatitis C virus (HCV) and syphilis</w:t>
      </w:r>
      <w:r w:rsidR="001F78E4">
        <w:rPr>
          <w:rFonts w:ascii="Arial" w:hAnsi="Arial" w:cs="Arial"/>
        </w:rPr>
        <w:t xml:space="preserve"> </w:t>
      </w:r>
      <w:r w:rsidR="003455F7" w:rsidRPr="005F4967">
        <w:rPr>
          <w:rFonts w:ascii="Arial" w:hAnsi="Arial" w:cs="Arial"/>
        </w:rPr>
        <w:t>[</w:t>
      </w:r>
      <w:r w:rsidR="003455F7">
        <w:rPr>
          <w:rFonts w:ascii="Arial" w:hAnsi="Arial" w:cs="Arial"/>
        </w:rPr>
        <w:t>5, 6</w:t>
      </w:r>
      <w:r w:rsidR="003455F7" w:rsidRPr="005F4967">
        <w:rPr>
          <w:rFonts w:ascii="Arial" w:hAnsi="Arial" w:cs="Arial"/>
        </w:rPr>
        <w:t>]</w:t>
      </w:r>
      <w:r w:rsidR="003455F7">
        <w:rPr>
          <w:rFonts w:ascii="Arial" w:hAnsi="Arial" w:cs="Arial"/>
        </w:rPr>
        <w:t>.</w:t>
      </w:r>
      <w:r w:rsidRPr="00A16A9A">
        <w:rPr>
          <w:rFonts w:ascii="Arial" w:hAnsi="Arial" w:cs="Arial"/>
        </w:rPr>
        <w:t xml:space="preserve"> This </w:t>
      </w:r>
      <w:r w:rsidR="0071246F" w:rsidRPr="00A16A9A">
        <w:rPr>
          <w:rFonts w:ascii="Arial" w:hAnsi="Arial" w:cs="Arial"/>
        </w:rPr>
        <w:t>system</w:t>
      </w:r>
      <w:r w:rsidR="00740110">
        <w:rPr>
          <w:rFonts w:ascii="Arial" w:hAnsi="Arial" w:cs="Arial"/>
        </w:rPr>
        <w:t xml:space="preserve"> </w:t>
      </w:r>
      <w:r w:rsidRPr="00A16A9A">
        <w:rPr>
          <w:rFonts w:ascii="Arial" w:hAnsi="Arial" w:cs="Arial"/>
        </w:rPr>
        <w:t xml:space="preserve">characterised by high risk for TTIs have however persisted in our settings due to the scarcity of voluntary non-remunerated blood donors and lack of public trust. The pure voluntary recruitment strategy is dependent on a sense of community responsibility and altruism. Voluntary non-remunerated donors donate their blood out of their own free-will with no allegiance to any form of distinction or segregation. It is a known fact that it’s been impossible to meet the required 1% blood donation, putting together all forms of blood donors, and worse if only the voluntary non-remunerated blood donors are considered in Nigeria or in any zone of the country. This is attributed to several factors, not limited to one. These factors include minimal resource allocation, absent or low advocacy, and adverse cultural and religious misconceptions. </w:t>
      </w:r>
    </w:p>
    <w:p w:rsidR="00A16A9A" w:rsidRPr="00A16A9A" w:rsidRDefault="00A16A9A" w:rsidP="000D3FAA">
      <w:pPr>
        <w:spacing w:before="120" w:after="120" w:line="480" w:lineRule="auto"/>
        <w:rPr>
          <w:rFonts w:ascii="Arial" w:hAnsi="Arial" w:cs="Arial"/>
        </w:rPr>
      </w:pPr>
      <w:r w:rsidRPr="00A16A9A">
        <w:rPr>
          <w:rFonts w:ascii="Arial" w:hAnsi="Arial" w:cs="Arial"/>
        </w:rPr>
        <w:t>It is the desire of every blood transfusion specialist to achieve 100% voluntary non-remunerated blood donor base, and hence the need for this study to assess how much we have achieved as an institution in this part of Nigeria, take note of the deficit, and work towards doing more to meet our institutional target towards meeting global standard in blood donor collection and blood transfusion.</w:t>
      </w:r>
    </w:p>
    <w:p w:rsidR="00790ADA" w:rsidRPr="00FB3A86" w:rsidRDefault="00790ADA" w:rsidP="000D3FAA">
      <w:pPr>
        <w:pStyle w:val="Body"/>
        <w:spacing w:after="0" w:line="480" w:lineRule="auto"/>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A16A9A" w:rsidRPr="00A16A9A" w:rsidRDefault="00A16A9A" w:rsidP="000D3FAA">
      <w:pPr>
        <w:spacing w:before="120" w:after="120" w:line="480" w:lineRule="auto"/>
        <w:rPr>
          <w:rFonts w:ascii="Arial" w:hAnsi="Arial" w:cs="Arial"/>
        </w:rPr>
      </w:pPr>
      <w:r w:rsidRPr="00A16A9A">
        <w:rPr>
          <w:rFonts w:ascii="Arial" w:hAnsi="Arial" w:cs="Arial"/>
          <w:b/>
          <w:bCs/>
        </w:rPr>
        <w:t>Study Setting</w:t>
      </w:r>
    </w:p>
    <w:p w:rsidR="00A16A9A" w:rsidRPr="00A16A9A" w:rsidRDefault="00A16A9A" w:rsidP="000D3FAA">
      <w:pPr>
        <w:spacing w:before="120" w:after="120" w:line="480" w:lineRule="auto"/>
        <w:rPr>
          <w:rFonts w:ascii="Arial" w:hAnsi="Arial" w:cs="Arial"/>
        </w:rPr>
      </w:pPr>
      <w:r w:rsidRPr="00A16A9A">
        <w:rPr>
          <w:rFonts w:ascii="Arial" w:hAnsi="Arial" w:cs="Arial"/>
        </w:rPr>
        <w:t>This study is a retrospective study using blood donors' records obtained from the Jos University Teaching Hospital Blood Bank. The Jos University Teaching Hospital is a multi-specialist tertiary health centre located in the central zone of Nigeria. It is a 700 bed tertiary teaching hospital serving as a referral centre for the city as well as the neighbouring States of Bauchi, Nassarawa, Benue, Gombe, Adamawa, Taraba, and some parts of Southern Kaduna in Kaduna State.</w:t>
      </w:r>
    </w:p>
    <w:p w:rsidR="00A16A9A" w:rsidRPr="00A16A9A" w:rsidRDefault="00A16A9A" w:rsidP="000D3FAA">
      <w:pPr>
        <w:spacing w:before="120" w:after="120" w:line="480" w:lineRule="auto"/>
        <w:rPr>
          <w:rFonts w:ascii="Arial" w:hAnsi="Arial" w:cs="Arial"/>
        </w:rPr>
      </w:pPr>
      <w:r w:rsidRPr="00A16A9A">
        <w:rPr>
          <w:rFonts w:ascii="Arial" w:hAnsi="Arial" w:cs="Arial"/>
          <w:b/>
          <w:bCs/>
        </w:rPr>
        <w:t>Study Design</w:t>
      </w:r>
    </w:p>
    <w:p w:rsidR="00A16A9A" w:rsidRPr="00A16A9A" w:rsidRDefault="00A16A9A" w:rsidP="000D3FAA">
      <w:pPr>
        <w:spacing w:before="120" w:after="120" w:line="480" w:lineRule="auto"/>
        <w:rPr>
          <w:rFonts w:ascii="Arial" w:hAnsi="Arial" w:cs="Arial"/>
        </w:rPr>
      </w:pPr>
      <w:r w:rsidRPr="00A16A9A">
        <w:rPr>
          <w:rFonts w:ascii="Arial" w:hAnsi="Arial" w:cs="Arial"/>
        </w:rPr>
        <w:lastRenderedPageBreak/>
        <w:t>Blood donor collection statistic was monitored and stored within the study period. These records include those of family replacement donors (FRD), Voluntary non-remunerated blood donors (VNRD), external hospital blood drive, and units from hospital linkage with the National Blood Service Agency (NBSA)</w:t>
      </w:r>
    </w:p>
    <w:p w:rsidR="00A16A9A" w:rsidRPr="00A16A9A" w:rsidRDefault="00A16A9A" w:rsidP="000D3FAA">
      <w:pPr>
        <w:spacing w:before="120" w:after="120" w:line="480" w:lineRule="auto"/>
        <w:rPr>
          <w:rFonts w:ascii="Arial" w:hAnsi="Arial" w:cs="Arial"/>
        </w:rPr>
      </w:pPr>
      <w:r w:rsidRPr="00A16A9A">
        <w:rPr>
          <w:rFonts w:ascii="Arial" w:hAnsi="Arial" w:cs="Arial"/>
          <w:b/>
          <w:bCs/>
        </w:rPr>
        <w:t>Data Collection</w:t>
      </w:r>
    </w:p>
    <w:p w:rsidR="001E34DC" w:rsidRDefault="00A16A9A" w:rsidP="001E34DC">
      <w:pPr>
        <w:spacing w:before="120" w:after="120" w:line="480" w:lineRule="auto"/>
        <w:rPr>
          <w:rFonts w:ascii="Arial" w:hAnsi="Arial" w:cs="Arial"/>
        </w:rPr>
      </w:pPr>
      <w:r w:rsidRPr="00A16A9A">
        <w:rPr>
          <w:rFonts w:ascii="Arial" w:hAnsi="Arial" w:cs="Arial"/>
        </w:rPr>
        <w:t>Information</w:t>
      </w:r>
      <w:r w:rsidR="001E34DC">
        <w:rPr>
          <w:rFonts w:ascii="Arial" w:hAnsi="Arial" w:cs="Arial"/>
        </w:rPr>
        <w:t xml:space="preserve"> were </w:t>
      </w:r>
      <w:r w:rsidR="00ED2D16">
        <w:rPr>
          <w:rFonts w:ascii="Arial" w:hAnsi="Arial" w:cs="Arial"/>
          <w:color w:val="FF0000"/>
        </w:rPr>
        <w:t>extracted from</w:t>
      </w:r>
      <w:r w:rsidR="001E34DC">
        <w:rPr>
          <w:rFonts w:ascii="Arial" w:hAnsi="Arial" w:cs="Arial"/>
          <w:color w:val="FF0000"/>
        </w:rPr>
        <w:t xml:space="preserve"> the</w:t>
      </w:r>
      <w:r w:rsidR="001E34DC" w:rsidRPr="001E34DC">
        <w:rPr>
          <w:rFonts w:ascii="Arial" w:hAnsi="Arial" w:cs="Arial"/>
          <w:color w:val="FF0000"/>
        </w:rPr>
        <w:t xml:space="preserve"> hospital blood donor recruitment forms</w:t>
      </w:r>
      <w:r w:rsidR="00ED2D16">
        <w:rPr>
          <w:rFonts w:ascii="Arial" w:hAnsi="Arial" w:cs="Arial"/>
          <w:color w:val="FF0000"/>
        </w:rPr>
        <w:t xml:space="preserve"> for the walk in donors and after blood drives while statistics from NBSA were recorded as the units are delivered</w:t>
      </w:r>
      <w:r w:rsidR="001E34DC">
        <w:rPr>
          <w:rFonts w:ascii="Arial" w:hAnsi="Arial" w:cs="Arial"/>
        </w:rPr>
        <w:t xml:space="preserve">, </w:t>
      </w:r>
      <w:r w:rsidR="001E34DC" w:rsidRPr="00ED2D16">
        <w:rPr>
          <w:rFonts w:ascii="Arial" w:hAnsi="Arial" w:cs="Arial"/>
          <w:color w:val="FF0000"/>
        </w:rPr>
        <w:t>taking note of</w:t>
      </w:r>
      <w:r w:rsidRPr="00ED2D16">
        <w:rPr>
          <w:rFonts w:ascii="Arial" w:hAnsi="Arial" w:cs="Arial"/>
          <w:color w:val="FF0000"/>
        </w:rPr>
        <w:t xml:space="preserve"> the type of blood donor and the number of units collected</w:t>
      </w:r>
      <w:r w:rsidR="00ED2D16" w:rsidRPr="00ED2D16">
        <w:rPr>
          <w:rFonts w:ascii="Arial" w:hAnsi="Arial" w:cs="Arial"/>
          <w:color w:val="FF0000"/>
        </w:rPr>
        <w:t xml:space="preserve"> or delivered</w:t>
      </w:r>
      <w:r w:rsidRPr="00ED2D16">
        <w:rPr>
          <w:rFonts w:ascii="Arial" w:hAnsi="Arial" w:cs="Arial"/>
          <w:color w:val="FF0000"/>
        </w:rPr>
        <w:t xml:space="preserve"> per month </w:t>
      </w:r>
      <w:r w:rsidRPr="00A16A9A">
        <w:rPr>
          <w:rFonts w:ascii="Arial" w:hAnsi="Arial" w:cs="Arial"/>
        </w:rPr>
        <w:t xml:space="preserve">between </w:t>
      </w:r>
      <w:r w:rsidR="0047205F" w:rsidRPr="0047205F">
        <w:rPr>
          <w:rFonts w:ascii="Arial" w:hAnsi="Arial" w:cs="Arial"/>
          <w:color w:val="FF0000"/>
        </w:rPr>
        <w:t>1</w:t>
      </w:r>
      <w:r w:rsidR="0047205F" w:rsidRPr="0047205F">
        <w:rPr>
          <w:rFonts w:ascii="Arial" w:hAnsi="Arial" w:cs="Arial"/>
          <w:color w:val="FF0000"/>
          <w:vertAlign w:val="superscript"/>
        </w:rPr>
        <w:t>st</w:t>
      </w:r>
      <w:r w:rsidR="0047205F" w:rsidRPr="0047205F">
        <w:rPr>
          <w:rFonts w:ascii="Arial" w:hAnsi="Arial" w:cs="Arial"/>
          <w:color w:val="FF0000"/>
        </w:rPr>
        <w:t xml:space="preserve"> </w:t>
      </w:r>
      <w:r w:rsidRPr="00A16A9A">
        <w:rPr>
          <w:rFonts w:ascii="Arial" w:hAnsi="Arial" w:cs="Arial"/>
        </w:rPr>
        <w:t>July</w:t>
      </w:r>
      <w:r w:rsidR="0047205F">
        <w:rPr>
          <w:rFonts w:ascii="Arial" w:hAnsi="Arial" w:cs="Arial"/>
        </w:rPr>
        <w:t>,</w:t>
      </w:r>
      <w:r w:rsidRPr="00A16A9A">
        <w:rPr>
          <w:rFonts w:ascii="Arial" w:hAnsi="Arial" w:cs="Arial"/>
        </w:rPr>
        <w:t xml:space="preserve"> 2024 and </w:t>
      </w:r>
      <w:r w:rsidR="0047205F" w:rsidRPr="0047205F">
        <w:rPr>
          <w:rFonts w:ascii="Arial" w:hAnsi="Arial" w:cs="Arial"/>
          <w:color w:val="FF0000"/>
        </w:rPr>
        <w:t>30</w:t>
      </w:r>
      <w:r w:rsidR="0047205F" w:rsidRPr="0047205F">
        <w:rPr>
          <w:rFonts w:ascii="Arial" w:hAnsi="Arial" w:cs="Arial"/>
          <w:color w:val="FF0000"/>
          <w:vertAlign w:val="superscript"/>
        </w:rPr>
        <w:t>th</w:t>
      </w:r>
      <w:r w:rsidR="0047205F">
        <w:rPr>
          <w:rFonts w:ascii="Arial" w:hAnsi="Arial" w:cs="Arial"/>
        </w:rPr>
        <w:t xml:space="preserve"> </w:t>
      </w:r>
      <w:r w:rsidRPr="00A16A9A">
        <w:rPr>
          <w:rFonts w:ascii="Arial" w:hAnsi="Arial" w:cs="Arial"/>
        </w:rPr>
        <w:t>June</w:t>
      </w:r>
      <w:r w:rsidR="0047205F">
        <w:rPr>
          <w:rFonts w:ascii="Arial" w:hAnsi="Arial" w:cs="Arial"/>
        </w:rPr>
        <w:t>,</w:t>
      </w:r>
      <w:r w:rsidRPr="00A16A9A">
        <w:rPr>
          <w:rFonts w:ascii="Arial" w:hAnsi="Arial" w:cs="Arial"/>
        </w:rPr>
        <w:t xml:space="preserve"> 2025</w:t>
      </w:r>
      <w:r w:rsidR="001E34DC">
        <w:rPr>
          <w:rFonts w:ascii="Arial" w:hAnsi="Arial" w:cs="Arial"/>
        </w:rPr>
        <w:t xml:space="preserve"> </w:t>
      </w:r>
    </w:p>
    <w:p w:rsidR="00A16A9A" w:rsidRPr="00A16A9A" w:rsidRDefault="00A16A9A" w:rsidP="001E34DC">
      <w:pPr>
        <w:spacing w:before="120" w:after="120" w:line="480" w:lineRule="auto"/>
        <w:rPr>
          <w:rFonts w:ascii="Arial" w:hAnsi="Arial" w:cs="Arial"/>
        </w:rPr>
      </w:pPr>
      <w:r w:rsidRPr="00A16A9A">
        <w:rPr>
          <w:rFonts w:ascii="Arial" w:hAnsi="Arial" w:cs="Arial"/>
          <w:b/>
          <w:bCs/>
        </w:rPr>
        <w:t>Statistical Analysis</w:t>
      </w:r>
      <w:r w:rsidRPr="00A16A9A">
        <w:rPr>
          <w:rFonts w:ascii="Arial" w:hAnsi="Arial" w:cs="Arial"/>
          <w:b/>
          <w:bCs/>
        </w:rPr>
        <w:tab/>
      </w:r>
    </w:p>
    <w:p w:rsidR="00790ADA" w:rsidRPr="0071246F" w:rsidRDefault="00A16A9A" w:rsidP="0071246F">
      <w:pPr>
        <w:spacing w:before="120" w:after="120" w:line="480" w:lineRule="auto"/>
      </w:pPr>
      <w:r>
        <w:t>Data collected were stored and analyze</w:t>
      </w:r>
      <w:r w:rsidR="00CA7797">
        <w:t xml:space="preserve">d using a Microsoft Excel </w:t>
      </w:r>
      <w:r>
        <w:t>version 2010. The results were</w:t>
      </w:r>
      <w:r w:rsidR="00ED2D16">
        <w:t xml:space="preserve"> presented in tables as</w:t>
      </w:r>
      <w:r>
        <w:t xml:space="preserve"> proportions and perce</w:t>
      </w:r>
      <w:r w:rsidR="00ED2D16">
        <w:t>ntages</w:t>
      </w:r>
      <w:r>
        <w:t>.</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B6652F" w:rsidRPr="00B6652F" w:rsidRDefault="00B6652F" w:rsidP="000D3FAA">
      <w:pPr>
        <w:spacing w:before="120" w:after="120" w:line="480" w:lineRule="auto"/>
        <w:rPr>
          <w:rFonts w:ascii="Arial" w:hAnsi="Arial" w:cs="Arial"/>
        </w:rPr>
      </w:pPr>
      <w:r w:rsidRPr="00B6652F">
        <w:rPr>
          <w:rFonts w:ascii="Arial" w:hAnsi="Arial" w:cs="Arial"/>
        </w:rPr>
        <w:t>Records monitored and stored indicate a total unit of blood collected between July 2024 and June 2025 as six thousand, one hundred and twenty-three (6,123). The number of blood units collected as family replacement was 4,462 (72.9%), while voluntary non-remunerated blood donors, hospital blood drives, and blood units collected from hospital linkage with the zonal National Blood Service Agency were 91(1.5%), 1019(16.6%), and 551(9.0%), respectively. Table 1</w:t>
      </w:r>
    </w:p>
    <w:p w:rsidR="00B6652F" w:rsidRPr="00B6652F" w:rsidRDefault="00B6652F" w:rsidP="00B6652F">
      <w:pPr>
        <w:spacing w:before="120" w:after="120"/>
        <w:rPr>
          <w:rFonts w:ascii="Arial" w:hAnsi="Arial" w:cs="Arial"/>
        </w:rPr>
      </w:pPr>
      <w:r w:rsidRPr="00B6652F">
        <w:rPr>
          <w:rFonts w:ascii="Arial" w:hAnsi="Arial" w:cs="Arial"/>
        </w:rPr>
        <w:t xml:space="preserve">Table 1: </w:t>
      </w:r>
      <w:r w:rsidRPr="00B6652F">
        <w:rPr>
          <w:rFonts w:ascii="Arial" w:hAnsi="Arial" w:cs="Arial"/>
          <w:b/>
          <w:bCs/>
        </w:rPr>
        <w:t>MONTHLY BLOOD DONATION IN A TERTIARY HEALTH CENTRE IN NIGERIA</w:t>
      </w:r>
    </w:p>
    <w:tbl>
      <w:tblPr>
        <w:tblStyle w:val="TableGrid"/>
        <w:tblW w:w="0" w:type="auto"/>
        <w:tblLayout w:type="fixed"/>
        <w:tblLook w:val="04A0"/>
      </w:tblPr>
      <w:tblGrid>
        <w:gridCol w:w="918"/>
        <w:gridCol w:w="582"/>
        <w:gridCol w:w="621"/>
        <w:gridCol w:w="622"/>
        <w:gridCol w:w="622"/>
        <w:gridCol w:w="622"/>
        <w:gridCol w:w="621"/>
        <w:gridCol w:w="621"/>
        <w:gridCol w:w="621"/>
        <w:gridCol w:w="621"/>
        <w:gridCol w:w="621"/>
        <w:gridCol w:w="621"/>
        <w:gridCol w:w="585"/>
        <w:gridCol w:w="657"/>
        <w:gridCol w:w="621"/>
      </w:tblGrid>
      <w:tr w:rsidR="00B6652F" w:rsidRPr="00B6652F" w:rsidTr="00575A05">
        <w:tc>
          <w:tcPr>
            <w:tcW w:w="4608" w:type="dxa"/>
            <w:gridSpan w:val="7"/>
            <w:tcBorders>
              <w:left w:val="nil"/>
              <w:bottom w:val="single" w:sz="4" w:space="0" w:color="auto"/>
            </w:tcBorders>
          </w:tcPr>
          <w:p w:rsidR="00B6652F" w:rsidRPr="00B6652F" w:rsidRDefault="00B6652F" w:rsidP="00575A05">
            <w:pPr>
              <w:jc w:val="both"/>
              <w:rPr>
                <w:rFonts w:ascii="Arial" w:hAnsi="Arial" w:cs="Arial"/>
                <w:b/>
                <w:sz w:val="18"/>
                <w:szCs w:val="18"/>
              </w:rPr>
            </w:pPr>
            <w:r w:rsidRPr="00B6652F">
              <w:rPr>
                <w:rFonts w:ascii="Arial" w:hAnsi="Arial" w:cs="Arial"/>
                <w:b/>
                <w:sz w:val="18"/>
                <w:szCs w:val="18"/>
              </w:rPr>
              <w:t>YEAR     2024</w:t>
            </w:r>
          </w:p>
        </w:tc>
        <w:tc>
          <w:tcPr>
            <w:tcW w:w="4968" w:type="dxa"/>
            <w:gridSpan w:val="8"/>
            <w:tcBorders>
              <w:bottom w:val="single" w:sz="4" w:space="0" w:color="000000" w:themeColor="text1"/>
              <w:right w:val="nil"/>
            </w:tcBorders>
          </w:tcPr>
          <w:p w:rsidR="00B6652F" w:rsidRPr="00B6652F" w:rsidRDefault="00B6652F" w:rsidP="00575A05">
            <w:pPr>
              <w:jc w:val="both"/>
              <w:rPr>
                <w:rFonts w:ascii="Arial" w:hAnsi="Arial" w:cs="Arial"/>
                <w:b/>
                <w:sz w:val="18"/>
                <w:szCs w:val="18"/>
              </w:rPr>
            </w:pPr>
            <w:r w:rsidRPr="00B6652F">
              <w:rPr>
                <w:rFonts w:ascii="Arial" w:hAnsi="Arial" w:cs="Arial"/>
                <w:b/>
                <w:sz w:val="18"/>
                <w:szCs w:val="18"/>
              </w:rPr>
              <w:t>2025</w:t>
            </w:r>
          </w:p>
        </w:tc>
      </w:tr>
      <w:tr w:rsidR="00B6652F" w:rsidRPr="00B6652F" w:rsidTr="00575A05">
        <w:tc>
          <w:tcPr>
            <w:tcW w:w="918" w:type="dxa"/>
            <w:tcBorders>
              <w:top w:val="single" w:sz="4" w:space="0" w:color="auto"/>
              <w:left w:val="nil"/>
              <w:bottom w:val="single" w:sz="4" w:space="0" w:color="auto"/>
              <w:right w:val="nil"/>
            </w:tcBorders>
          </w:tcPr>
          <w:p w:rsidR="00B6652F" w:rsidRPr="00B6652F" w:rsidRDefault="00B6652F" w:rsidP="00575A05">
            <w:pPr>
              <w:jc w:val="both"/>
              <w:rPr>
                <w:rFonts w:ascii="Arial" w:hAnsi="Arial" w:cs="Arial"/>
                <w:b/>
                <w:sz w:val="18"/>
                <w:szCs w:val="18"/>
              </w:rPr>
            </w:pPr>
            <w:r w:rsidRPr="00B6652F">
              <w:rPr>
                <w:rFonts w:ascii="Arial" w:hAnsi="Arial" w:cs="Arial"/>
                <w:b/>
                <w:sz w:val="18"/>
                <w:szCs w:val="18"/>
              </w:rPr>
              <w:t>MONTH</w:t>
            </w:r>
          </w:p>
        </w:tc>
        <w:tc>
          <w:tcPr>
            <w:tcW w:w="582" w:type="dxa"/>
            <w:tcBorders>
              <w:top w:val="single" w:sz="4" w:space="0" w:color="auto"/>
              <w:left w:val="nil"/>
              <w:bottom w:val="single" w:sz="4" w:space="0" w:color="auto"/>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July (n)</w:t>
            </w:r>
          </w:p>
        </w:tc>
        <w:tc>
          <w:tcPr>
            <w:tcW w:w="621" w:type="dxa"/>
            <w:tcBorders>
              <w:top w:val="single" w:sz="4" w:space="0" w:color="auto"/>
              <w:left w:val="nil"/>
              <w:bottom w:val="single" w:sz="4" w:space="0" w:color="auto"/>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Aug</w:t>
            </w:r>
          </w:p>
          <w:p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2" w:type="dxa"/>
            <w:tcBorders>
              <w:top w:val="single" w:sz="4" w:space="0" w:color="auto"/>
              <w:left w:val="nil"/>
              <w:bottom w:val="single" w:sz="4" w:space="0" w:color="auto"/>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Sept(n)</w:t>
            </w:r>
          </w:p>
        </w:tc>
        <w:tc>
          <w:tcPr>
            <w:tcW w:w="622" w:type="dxa"/>
            <w:tcBorders>
              <w:top w:val="single" w:sz="4" w:space="0" w:color="auto"/>
              <w:left w:val="nil"/>
              <w:bottom w:val="single" w:sz="4" w:space="0" w:color="auto"/>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Oct</w:t>
            </w:r>
          </w:p>
          <w:p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2" w:type="dxa"/>
            <w:tcBorders>
              <w:top w:val="single" w:sz="4" w:space="0" w:color="auto"/>
              <w:left w:val="nil"/>
              <w:bottom w:val="single" w:sz="4" w:space="0" w:color="auto"/>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Nov</w:t>
            </w:r>
          </w:p>
          <w:p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1" w:type="dxa"/>
            <w:tcBorders>
              <w:top w:val="single" w:sz="4" w:space="0" w:color="auto"/>
              <w:left w:val="nil"/>
              <w:bottom w:val="single" w:sz="4" w:space="0" w:color="auto"/>
              <w:right w:val="single" w:sz="4" w:space="0" w:color="auto"/>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Dec</w:t>
            </w:r>
          </w:p>
          <w:p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1" w:type="dxa"/>
            <w:tcBorders>
              <w:left w:val="single" w:sz="4" w:space="0" w:color="auto"/>
              <w:bottom w:val="single" w:sz="4" w:space="0" w:color="000000" w:themeColor="text1"/>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Jan</w:t>
            </w:r>
          </w:p>
          <w:p w:rsidR="00B6652F" w:rsidRPr="00B6652F" w:rsidRDefault="00B6652F" w:rsidP="00575A05">
            <w:pPr>
              <w:jc w:val="both"/>
              <w:rPr>
                <w:rFonts w:ascii="Arial" w:hAnsi="Arial" w:cs="Arial"/>
                <w:sz w:val="18"/>
                <w:szCs w:val="18"/>
              </w:rPr>
            </w:pPr>
            <w:r w:rsidRPr="00B6652F">
              <w:rPr>
                <w:rFonts w:ascii="Arial" w:hAnsi="Arial" w:cs="Arial"/>
                <w:sz w:val="18"/>
                <w:szCs w:val="18"/>
              </w:rPr>
              <w:t xml:space="preserve">(n) </w:t>
            </w:r>
          </w:p>
        </w:tc>
        <w:tc>
          <w:tcPr>
            <w:tcW w:w="621" w:type="dxa"/>
            <w:tcBorders>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Feb (n)</w:t>
            </w:r>
          </w:p>
        </w:tc>
        <w:tc>
          <w:tcPr>
            <w:tcW w:w="621" w:type="dxa"/>
            <w:tcBorders>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Mar</w:t>
            </w:r>
          </w:p>
          <w:p w:rsidR="00B6652F" w:rsidRPr="00B6652F" w:rsidRDefault="00B6652F" w:rsidP="00575A05">
            <w:pPr>
              <w:jc w:val="both"/>
              <w:rPr>
                <w:rFonts w:ascii="Arial" w:hAnsi="Arial" w:cs="Arial"/>
                <w:sz w:val="18"/>
                <w:szCs w:val="18"/>
              </w:rPr>
            </w:pPr>
            <w:r w:rsidRPr="00B6652F">
              <w:rPr>
                <w:rFonts w:ascii="Arial" w:hAnsi="Arial" w:cs="Arial"/>
                <w:sz w:val="18"/>
                <w:szCs w:val="18"/>
              </w:rPr>
              <w:t xml:space="preserve">(n) </w:t>
            </w:r>
          </w:p>
        </w:tc>
        <w:tc>
          <w:tcPr>
            <w:tcW w:w="621" w:type="dxa"/>
            <w:tcBorders>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Apr</w:t>
            </w:r>
          </w:p>
          <w:p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1" w:type="dxa"/>
            <w:tcBorders>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May (n)</w:t>
            </w:r>
          </w:p>
        </w:tc>
        <w:tc>
          <w:tcPr>
            <w:tcW w:w="585" w:type="dxa"/>
            <w:tcBorders>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Jun</w:t>
            </w:r>
          </w:p>
          <w:p w:rsidR="00B6652F" w:rsidRPr="00B6652F" w:rsidRDefault="00B6652F" w:rsidP="00575A05">
            <w:pPr>
              <w:jc w:val="both"/>
              <w:rPr>
                <w:rFonts w:ascii="Arial" w:hAnsi="Arial" w:cs="Arial"/>
                <w:sz w:val="18"/>
                <w:szCs w:val="18"/>
              </w:rPr>
            </w:pPr>
            <w:r w:rsidRPr="00B6652F">
              <w:rPr>
                <w:rFonts w:ascii="Arial" w:hAnsi="Arial" w:cs="Arial"/>
                <w:sz w:val="18"/>
                <w:szCs w:val="18"/>
              </w:rPr>
              <w:t xml:space="preserve">(n) </w:t>
            </w:r>
          </w:p>
        </w:tc>
        <w:tc>
          <w:tcPr>
            <w:tcW w:w="657" w:type="dxa"/>
            <w:tcBorders>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Total(n)</w:t>
            </w:r>
          </w:p>
        </w:tc>
        <w:tc>
          <w:tcPr>
            <w:tcW w:w="621" w:type="dxa"/>
            <w:tcBorders>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Perc %</w:t>
            </w:r>
          </w:p>
        </w:tc>
      </w:tr>
      <w:tr w:rsidR="00B6652F" w:rsidRPr="00B6652F" w:rsidTr="00575A05">
        <w:tc>
          <w:tcPr>
            <w:tcW w:w="918" w:type="dxa"/>
            <w:tcBorders>
              <w:top w:val="single" w:sz="4" w:space="0" w:color="auto"/>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FRD</w:t>
            </w:r>
          </w:p>
        </w:tc>
        <w:tc>
          <w:tcPr>
            <w:tcW w:w="582" w:type="dxa"/>
            <w:tcBorders>
              <w:top w:val="single" w:sz="4" w:space="0" w:color="auto"/>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358</w:t>
            </w:r>
          </w:p>
        </w:tc>
        <w:tc>
          <w:tcPr>
            <w:tcW w:w="621" w:type="dxa"/>
            <w:tcBorders>
              <w:top w:val="single" w:sz="4" w:space="0" w:color="auto"/>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438</w:t>
            </w:r>
          </w:p>
        </w:tc>
        <w:tc>
          <w:tcPr>
            <w:tcW w:w="622" w:type="dxa"/>
            <w:tcBorders>
              <w:top w:val="single" w:sz="4" w:space="0" w:color="auto"/>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274</w:t>
            </w:r>
          </w:p>
        </w:tc>
        <w:tc>
          <w:tcPr>
            <w:tcW w:w="622" w:type="dxa"/>
            <w:tcBorders>
              <w:top w:val="single" w:sz="4" w:space="0" w:color="auto"/>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292</w:t>
            </w:r>
          </w:p>
        </w:tc>
        <w:tc>
          <w:tcPr>
            <w:tcW w:w="622" w:type="dxa"/>
            <w:tcBorders>
              <w:top w:val="single" w:sz="4" w:space="0" w:color="auto"/>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308</w:t>
            </w:r>
          </w:p>
        </w:tc>
        <w:tc>
          <w:tcPr>
            <w:tcW w:w="621" w:type="dxa"/>
            <w:tcBorders>
              <w:top w:val="single" w:sz="4" w:space="0" w:color="auto"/>
              <w:left w:val="nil"/>
              <w:bottom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256</w:t>
            </w:r>
          </w:p>
        </w:tc>
        <w:tc>
          <w:tcPr>
            <w:tcW w:w="621" w:type="dxa"/>
            <w:tcBorders>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384</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291</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470</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337</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420</w:t>
            </w:r>
          </w:p>
        </w:tc>
        <w:tc>
          <w:tcPr>
            <w:tcW w:w="585"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634</w:t>
            </w:r>
          </w:p>
        </w:tc>
        <w:tc>
          <w:tcPr>
            <w:tcW w:w="657"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4462</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72.9</w:t>
            </w:r>
          </w:p>
        </w:tc>
      </w:tr>
      <w:tr w:rsidR="00B6652F" w:rsidRPr="00B6652F" w:rsidTr="00575A05">
        <w:tc>
          <w:tcPr>
            <w:tcW w:w="918"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582"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tcBorders>
          </w:tcPr>
          <w:p w:rsidR="00B6652F" w:rsidRPr="00B6652F" w:rsidRDefault="00B6652F" w:rsidP="00575A05">
            <w:pPr>
              <w:jc w:val="both"/>
              <w:rPr>
                <w:rFonts w:ascii="Arial" w:hAnsi="Arial" w:cs="Arial"/>
                <w:sz w:val="18"/>
                <w:szCs w:val="18"/>
              </w:rPr>
            </w:pPr>
          </w:p>
        </w:tc>
        <w:tc>
          <w:tcPr>
            <w:tcW w:w="621" w:type="dxa"/>
            <w:tcBorders>
              <w:top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585"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57"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r>
      <w:tr w:rsidR="00B6652F" w:rsidRPr="00B6652F" w:rsidTr="00575A05">
        <w:tc>
          <w:tcPr>
            <w:tcW w:w="918"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VNRD</w:t>
            </w:r>
          </w:p>
        </w:tc>
        <w:tc>
          <w:tcPr>
            <w:tcW w:w="582"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10</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7</w:t>
            </w:r>
          </w:p>
        </w:tc>
        <w:tc>
          <w:tcPr>
            <w:tcW w:w="622"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5</w:t>
            </w:r>
          </w:p>
        </w:tc>
        <w:tc>
          <w:tcPr>
            <w:tcW w:w="622"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6</w:t>
            </w:r>
          </w:p>
        </w:tc>
        <w:tc>
          <w:tcPr>
            <w:tcW w:w="622"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10</w:t>
            </w:r>
          </w:p>
        </w:tc>
        <w:tc>
          <w:tcPr>
            <w:tcW w:w="621" w:type="dxa"/>
            <w:tcBorders>
              <w:left w:val="nil"/>
              <w:bottom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8</w:t>
            </w:r>
          </w:p>
        </w:tc>
        <w:tc>
          <w:tcPr>
            <w:tcW w:w="621" w:type="dxa"/>
            <w:tcBorders>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8</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6</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5</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16</w:t>
            </w:r>
          </w:p>
        </w:tc>
        <w:tc>
          <w:tcPr>
            <w:tcW w:w="585"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6</w:t>
            </w:r>
          </w:p>
        </w:tc>
        <w:tc>
          <w:tcPr>
            <w:tcW w:w="657"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91</w:t>
            </w:r>
          </w:p>
        </w:tc>
        <w:tc>
          <w:tcPr>
            <w:tcW w:w="621" w:type="dxa"/>
            <w:tcBorders>
              <w:left w:val="nil"/>
              <w:bottom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1.5</w:t>
            </w:r>
          </w:p>
        </w:tc>
      </w:tr>
      <w:tr w:rsidR="00B6652F" w:rsidRPr="00B6652F" w:rsidTr="00575A05">
        <w:tc>
          <w:tcPr>
            <w:tcW w:w="918"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582"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tcBorders>
          </w:tcPr>
          <w:p w:rsidR="00B6652F" w:rsidRPr="00B6652F" w:rsidRDefault="00B6652F" w:rsidP="00575A05">
            <w:pPr>
              <w:jc w:val="both"/>
              <w:rPr>
                <w:rFonts w:ascii="Arial" w:hAnsi="Arial" w:cs="Arial"/>
                <w:sz w:val="18"/>
                <w:szCs w:val="18"/>
              </w:rPr>
            </w:pPr>
          </w:p>
        </w:tc>
        <w:tc>
          <w:tcPr>
            <w:tcW w:w="621" w:type="dxa"/>
            <w:tcBorders>
              <w:top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585"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57"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rsidR="00B6652F" w:rsidRPr="00B6652F" w:rsidRDefault="00B6652F" w:rsidP="00575A05">
            <w:pPr>
              <w:jc w:val="both"/>
              <w:rPr>
                <w:rFonts w:ascii="Arial" w:hAnsi="Arial" w:cs="Arial"/>
                <w:sz w:val="18"/>
                <w:szCs w:val="18"/>
              </w:rPr>
            </w:pPr>
          </w:p>
        </w:tc>
      </w:tr>
      <w:tr w:rsidR="00B6652F" w:rsidRPr="00B6652F" w:rsidTr="00575A05">
        <w:tc>
          <w:tcPr>
            <w:tcW w:w="918"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Hosp BD</w:t>
            </w:r>
          </w:p>
        </w:tc>
        <w:tc>
          <w:tcPr>
            <w:tcW w:w="58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87</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76</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0</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26</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90</w:t>
            </w:r>
          </w:p>
        </w:tc>
        <w:tc>
          <w:tcPr>
            <w:tcW w:w="621" w:type="dxa"/>
            <w:tcBorders>
              <w:lef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0</w:t>
            </w:r>
          </w:p>
        </w:tc>
        <w:tc>
          <w:tcPr>
            <w:tcW w:w="621" w:type="dxa"/>
            <w:tcBorders>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101</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88</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141</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15</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163</w:t>
            </w:r>
          </w:p>
        </w:tc>
        <w:tc>
          <w:tcPr>
            <w:tcW w:w="585"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232</w:t>
            </w:r>
          </w:p>
        </w:tc>
        <w:tc>
          <w:tcPr>
            <w:tcW w:w="657"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1019</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16.6</w:t>
            </w:r>
          </w:p>
        </w:tc>
      </w:tr>
      <w:tr w:rsidR="00B6652F" w:rsidRPr="00B6652F" w:rsidTr="00575A05">
        <w:tc>
          <w:tcPr>
            <w:tcW w:w="918"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NBSA HL</w:t>
            </w:r>
          </w:p>
        </w:tc>
        <w:tc>
          <w:tcPr>
            <w:tcW w:w="58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25</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11</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45</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84</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81</w:t>
            </w:r>
          </w:p>
        </w:tc>
        <w:tc>
          <w:tcPr>
            <w:tcW w:w="621" w:type="dxa"/>
            <w:tcBorders>
              <w:lef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97</w:t>
            </w:r>
          </w:p>
        </w:tc>
        <w:tc>
          <w:tcPr>
            <w:tcW w:w="621" w:type="dxa"/>
            <w:tcBorders>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86</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45</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38</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10</w:t>
            </w:r>
          </w:p>
        </w:tc>
        <w:tc>
          <w:tcPr>
            <w:tcW w:w="585"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26</w:t>
            </w:r>
          </w:p>
        </w:tc>
        <w:tc>
          <w:tcPr>
            <w:tcW w:w="657"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551</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9.0</w:t>
            </w:r>
          </w:p>
        </w:tc>
      </w:tr>
      <w:tr w:rsidR="00B6652F" w:rsidRPr="00B6652F" w:rsidTr="00575A05">
        <w:tc>
          <w:tcPr>
            <w:tcW w:w="918"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TOTAL</w:t>
            </w:r>
          </w:p>
        </w:tc>
        <w:tc>
          <w:tcPr>
            <w:tcW w:w="58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480</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532</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324</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408</w:t>
            </w:r>
          </w:p>
        </w:tc>
        <w:tc>
          <w:tcPr>
            <w:tcW w:w="622"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489</w:t>
            </w:r>
          </w:p>
        </w:tc>
        <w:tc>
          <w:tcPr>
            <w:tcW w:w="621" w:type="dxa"/>
            <w:tcBorders>
              <w:lef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361</w:t>
            </w:r>
          </w:p>
        </w:tc>
        <w:tc>
          <w:tcPr>
            <w:tcW w:w="621" w:type="dxa"/>
            <w:tcBorders>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575</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390</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662</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395</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609</w:t>
            </w:r>
          </w:p>
        </w:tc>
        <w:tc>
          <w:tcPr>
            <w:tcW w:w="585"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898</w:t>
            </w:r>
          </w:p>
        </w:tc>
        <w:tc>
          <w:tcPr>
            <w:tcW w:w="657"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6123</w:t>
            </w:r>
          </w:p>
        </w:tc>
        <w:tc>
          <w:tcPr>
            <w:tcW w:w="621" w:type="dxa"/>
            <w:tcBorders>
              <w:left w:val="nil"/>
              <w:right w:val="nil"/>
            </w:tcBorders>
          </w:tcPr>
          <w:p w:rsidR="00B6652F" w:rsidRPr="00B6652F" w:rsidRDefault="00B6652F" w:rsidP="00575A05">
            <w:pPr>
              <w:jc w:val="both"/>
              <w:rPr>
                <w:rFonts w:ascii="Arial" w:hAnsi="Arial" w:cs="Arial"/>
                <w:sz w:val="18"/>
                <w:szCs w:val="18"/>
              </w:rPr>
            </w:pPr>
            <w:r w:rsidRPr="00B6652F">
              <w:rPr>
                <w:rFonts w:ascii="Arial" w:hAnsi="Arial" w:cs="Arial"/>
                <w:sz w:val="18"/>
                <w:szCs w:val="18"/>
              </w:rPr>
              <w:t>100</w:t>
            </w:r>
          </w:p>
        </w:tc>
      </w:tr>
    </w:tbl>
    <w:p w:rsidR="00B6652F" w:rsidRPr="00B6652F" w:rsidRDefault="00B6652F" w:rsidP="00B6652F">
      <w:pPr>
        <w:spacing w:before="120" w:after="120"/>
        <w:rPr>
          <w:rFonts w:ascii="Arial" w:hAnsi="Arial" w:cs="Arial"/>
        </w:rPr>
      </w:pPr>
      <w:r w:rsidRPr="00B6652F">
        <w:rPr>
          <w:rFonts w:ascii="Arial" w:hAnsi="Arial" w:cs="Arial"/>
        </w:rPr>
        <w:t>Aug-August, Sept-September, Oct-October, Nov-November, Dec-December, Jan-January, Feb-February, Mar-March, Apr-April, Jun-June. n-Frequency, Perc-Percentage %</w:t>
      </w:r>
    </w:p>
    <w:p w:rsidR="00B6652F" w:rsidRPr="00B6652F" w:rsidRDefault="00B6652F" w:rsidP="00B6652F">
      <w:pPr>
        <w:spacing w:before="120" w:after="120"/>
        <w:rPr>
          <w:rFonts w:ascii="Arial" w:hAnsi="Arial" w:cs="Arial"/>
        </w:rPr>
      </w:pPr>
      <w:r w:rsidRPr="00B6652F">
        <w:rPr>
          <w:rFonts w:ascii="Arial" w:hAnsi="Arial" w:cs="Arial"/>
        </w:rPr>
        <w:t>FRD-Family replacement Donor, VNRD-Voluntary non-remunerated donor, Hosp DB-Hospital blood drive, NBSA HL-National Blood Service Agency Hospital Linkage</w:t>
      </w:r>
    </w:p>
    <w:p w:rsidR="00B6652F" w:rsidRPr="00B6652F" w:rsidRDefault="00B6652F" w:rsidP="00B6652F">
      <w:pPr>
        <w:spacing w:before="120" w:after="120"/>
        <w:rPr>
          <w:rFonts w:ascii="Arial" w:hAnsi="Arial" w:cs="Arial"/>
        </w:rPr>
      </w:pPr>
    </w:p>
    <w:p w:rsidR="00B6652F" w:rsidRPr="00B6652F" w:rsidRDefault="00B6652F" w:rsidP="00B6652F">
      <w:pPr>
        <w:spacing w:before="120" w:after="120"/>
        <w:rPr>
          <w:rFonts w:ascii="Arial" w:hAnsi="Arial" w:cs="Arial"/>
        </w:rPr>
      </w:pPr>
      <w:r w:rsidRPr="00B6652F">
        <w:rPr>
          <w:rFonts w:ascii="Arial" w:hAnsi="Arial" w:cs="Arial"/>
          <w:b/>
          <w:bCs/>
        </w:rPr>
        <w:t>DISCUSSION</w:t>
      </w:r>
    </w:p>
    <w:p w:rsidR="00B6652F" w:rsidRPr="00B6652F" w:rsidRDefault="00B6652F" w:rsidP="000D3FAA">
      <w:pPr>
        <w:spacing w:before="120" w:after="120" w:line="480" w:lineRule="auto"/>
        <w:rPr>
          <w:rFonts w:ascii="Arial" w:hAnsi="Arial" w:cs="Arial"/>
        </w:rPr>
      </w:pPr>
      <w:r w:rsidRPr="00B6652F">
        <w:rPr>
          <w:rFonts w:ascii="Arial" w:hAnsi="Arial" w:cs="Arial"/>
        </w:rPr>
        <w:t xml:space="preserve">Blood donors are considered “Heroes” for engaging in blood donation, an act aimed at saving lives. Our health setting desires to create a donor base where a voluntary donor donates his or her blood on personal free will without creed, color, religion, status of recipient or distinction of caste and without expecting any monetary benefit from the collecting facilities </w:t>
      </w:r>
      <w:r w:rsidRPr="00B6652F">
        <w:rPr>
          <w:rFonts w:ascii="Arial" w:hAnsi="Arial" w:cs="Arial"/>
        </w:rPr>
        <w:lastRenderedPageBreak/>
        <w:t xml:space="preserve">or other sources at the time of donation or in future popularly </w:t>
      </w:r>
      <w:r w:rsidRPr="00E660AF">
        <w:rPr>
          <w:rFonts w:ascii="Arial" w:hAnsi="Arial" w:cs="Arial"/>
          <w:color w:val="FF0000"/>
        </w:rPr>
        <w:t>refe</w:t>
      </w:r>
      <w:r w:rsidR="00E660AF" w:rsidRPr="00E660AF">
        <w:rPr>
          <w:rFonts w:ascii="Arial" w:hAnsi="Arial" w:cs="Arial"/>
          <w:color w:val="FF0000"/>
        </w:rPr>
        <w:t>r</w:t>
      </w:r>
      <w:r w:rsidRPr="00E660AF">
        <w:rPr>
          <w:rFonts w:ascii="Arial" w:hAnsi="Arial" w:cs="Arial"/>
          <w:color w:val="FF0000"/>
        </w:rPr>
        <w:t xml:space="preserve">red </w:t>
      </w:r>
      <w:r w:rsidRPr="00B6652F">
        <w:rPr>
          <w:rFonts w:ascii="Arial" w:hAnsi="Arial" w:cs="Arial"/>
        </w:rPr>
        <w:t>to as ‘voluntary non-remunerated blood donor’ (VNRD)</w:t>
      </w:r>
      <w:r w:rsidR="00ED66D8">
        <w:rPr>
          <w:rFonts w:ascii="Arial" w:hAnsi="Arial" w:cs="Arial"/>
        </w:rPr>
        <w:t xml:space="preserve"> </w:t>
      </w:r>
      <w:r w:rsidR="003455F7" w:rsidRPr="005F4967">
        <w:rPr>
          <w:rFonts w:ascii="Arial" w:hAnsi="Arial" w:cs="Arial"/>
        </w:rPr>
        <w:t>[</w:t>
      </w:r>
      <w:r w:rsidR="003455F7">
        <w:rPr>
          <w:rFonts w:ascii="Arial" w:hAnsi="Arial" w:cs="Arial"/>
        </w:rPr>
        <w:t>6</w:t>
      </w:r>
      <w:r w:rsidR="003455F7" w:rsidRPr="005F4967">
        <w:rPr>
          <w:rFonts w:ascii="Arial" w:hAnsi="Arial" w:cs="Arial"/>
        </w:rPr>
        <w:t>]</w:t>
      </w:r>
      <w:r w:rsidRPr="00B6652F">
        <w:rPr>
          <w:rFonts w:ascii="Arial" w:hAnsi="Arial" w:cs="Arial"/>
        </w:rPr>
        <w:t>. The WHO encourages 100% VNRD as the source of blood for transfusion purposes globally</w:t>
      </w:r>
      <w:r w:rsidR="00ED66D8">
        <w:rPr>
          <w:rFonts w:ascii="Arial" w:hAnsi="Arial" w:cs="Arial"/>
        </w:rPr>
        <w:t xml:space="preserve"> </w:t>
      </w:r>
      <w:r w:rsidR="003455F7" w:rsidRPr="005F4967">
        <w:rPr>
          <w:rFonts w:ascii="Arial" w:hAnsi="Arial" w:cs="Arial"/>
        </w:rPr>
        <w:t>[</w:t>
      </w:r>
      <w:r w:rsidR="003455F7">
        <w:rPr>
          <w:rFonts w:ascii="Arial" w:hAnsi="Arial" w:cs="Arial"/>
        </w:rPr>
        <w:t>7</w:t>
      </w:r>
      <w:r w:rsidR="003455F7" w:rsidRPr="005F4967">
        <w:rPr>
          <w:rFonts w:ascii="Arial" w:hAnsi="Arial" w:cs="Arial"/>
        </w:rPr>
        <w:t>]</w:t>
      </w:r>
      <w:r w:rsidRPr="00B6652F">
        <w:rPr>
          <w:rFonts w:ascii="Arial" w:hAnsi="Arial" w:cs="Arial"/>
        </w:rPr>
        <w:t>. Safe blood donors are the pillars of a safe and adequate supply of blood and blood products, with the safest blood donors being voluntary non-remunerated blood donors</w:t>
      </w:r>
      <w:r w:rsidR="00E660AF">
        <w:rPr>
          <w:rFonts w:ascii="Arial" w:hAnsi="Arial" w:cs="Arial"/>
        </w:rPr>
        <w:t xml:space="preserve"> </w:t>
      </w:r>
      <w:r w:rsidR="003455F7" w:rsidRPr="005F4967">
        <w:rPr>
          <w:rFonts w:ascii="Arial" w:hAnsi="Arial" w:cs="Arial"/>
        </w:rPr>
        <w:t>[</w:t>
      </w:r>
      <w:r w:rsidR="003455F7">
        <w:rPr>
          <w:rFonts w:ascii="Arial" w:hAnsi="Arial" w:cs="Arial"/>
        </w:rPr>
        <w:t>8</w:t>
      </w:r>
      <w:r w:rsidR="003455F7" w:rsidRPr="005F4967">
        <w:rPr>
          <w:rFonts w:ascii="Arial" w:hAnsi="Arial" w:cs="Arial"/>
        </w:rPr>
        <w:t>]</w:t>
      </w:r>
      <w:r w:rsidRPr="00B6652F">
        <w:rPr>
          <w:rFonts w:ascii="Arial" w:hAnsi="Arial" w:cs="Arial"/>
        </w:rPr>
        <w:t>.However, our study has proven otherwise, with the largest population of the blood donors in our setting being the family replacement donors that are mostly directed or paid blood donors. This group of blood d</w:t>
      </w:r>
      <w:r w:rsidR="00E660AF">
        <w:rPr>
          <w:rFonts w:ascii="Arial" w:hAnsi="Arial" w:cs="Arial"/>
        </w:rPr>
        <w:t xml:space="preserve">onors accounted for </w:t>
      </w:r>
      <w:r w:rsidR="00E660AF" w:rsidRPr="00E660AF">
        <w:rPr>
          <w:rFonts w:ascii="Arial" w:hAnsi="Arial" w:cs="Arial"/>
          <w:color w:val="FF0000"/>
        </w:rPr>
        <w:t>72.9</w:t>
      </w:r>
      <w:r w:rsidRPr="00E660AF">
        <w:rPr>
          <w:rFonts w:ascii="Arial" w:hAnsi="Arial" w:cs="Arial"/>
          <w:color w:val="FF0000"/>
        </w:rPr>
        <w:t xml:space="preserve">% </w:t>
      </w:r>
      <w:r w:rsidRPr="00B6652F">
        <w:rPr>
          <w:rFonts w:ascii="Arial" w:hAnsi="Arial" w:cs="Arial"/>
        </w:rPr>
        <w:t>of the blood donors recruited. Unfortunately, it is no secret that family/replacement and paid donors are associated with a significantly higher prevalence of transfusion-transmissible infections, like human immunodeficiency virus (HIV), syphilis, hepatitis B (HBV), and hepatitis C (HCV) viral infections</w:t>
      </w:r>
      <w:r w:rsidR="00E660AF">
        <w:rPr>
          <w:rFonts w:ascii="Arial" w:hAnsi="Arial" w:cs="Arial"/>
        </w:rPr>
        <w:t xml:space="preserve"> </w:t>
      </w:r>
      <w:r w:rsidR="003455F7" w:rsidRPr="005F4967">
        <w:rPr>
          <w:rFonts w:ascii="Arial" w:hAnsi="Arial" w:cs="Arial"/>
        </w:rPr>
        <w:t>[</w:t>
      </w:r>
      <w:r w:rsidR="003455F7">
        <w:rPr>
          <w:rFonts w:ascii="Arial" w:hAnsi="Arial" w:cs="Arial"/>
        </w:rPr>
        <w:t>8</w:t>
      </w:r>
      <w:r w:rsidR="003455F7" w:rsidRPr="005F4967">
        <w:rPr>
          <w:rFonts w:ascii="Arial" w:hAnsi="Arial" w:cs="Arial"/>
        </w:rPr>
        <w:t>]</w:t>
      </w:r>
      <w:r w:rsidRPr="00B6652F">
        <w:rPr>
          <w:rFonts w:ascii="Arial" w:hAnsi="Arial" w:cs="Arial"/>
        </w:rPr>
        <w:t>.This is likely to increase morbidity and mortality, especially in resource-poor settings like ours, where personnel as well as equipment for standard screening are seldom available. It will also result in significant rejections and discards with grave economic wastage. The finding in this study is further supported by a study with a higher percentage in 2008 in our facility</w:t>
      </w:r>
      <w:r w:rsidR="00E660AF">
        <w:rPr>
          <w:rFonts w:ascii="Arial" w:hAnsi="Arial" w:cs="Arial"/>
        </w:rPr>
        <w:t xml:space="preserve"> </w:t>
      </w:r>
      <w:r w:rsidR="003455F7" w:rsidRPr="005F4967">
        <w:rPr>
          <w:rFonts w:ascii="Arial" w:hAnsi="Arial" w:cs="Arial"/>
        </w:rPr>
        <w:t>[</w:t>
      </w:r>
      <w:r w:rsidR="003455F7">
        <w:rPr>
          <w:rFonts w:ascii="Arial" w:hAnsi="Arial" w:cs="Arial"/>
        </w:rPr>
        <w:t>9</w:t>
      </w:r>
      <w:r w:rsidR="003455F7" w:rsidRPr="005F4967">
        <w:rPr>
          <w:rFonts w:ascii="Arial" w:hAnsi="Arial" w:cs="Arial"/>
        </w:rPr>
        <w:t>]</w:t>
      </w:r>
      <w:r w:rsidR="003455F7">
        <w:rPr>
          <w:rFonts w:ascii="Arial" w:hAnsi="Arial" w:cs="Arial"/>
        </w:rPr>
        <w:t>.</w:t>
      </w:r>
      <w:r w:rsidRPr="00B6652F">
        <w:rPr>
          <w:rFonts w:ascii="Arial" w:hAnsi="Arial" w:cs="Arial"/>
        </w:rPr>
        <w:t xml:space="preserve"> While the sample size in that study was smaller, it reported about 96.4% as family replacement donors compared to our finding of 72.9%, with an abysmal frequency of voluntary non-remunerated blood donors, equivalent to 1.5% of donor units collected. This could imply that little has been achieved in changing the narrative 18 years later. Reports by researchers across other zones of Nigeria, which includes North-Central, South-West, South-East, and South-South, showed similar findings of fewer VNRD with a percentage frequency of 7.1%, 12.3 %, 18.7%, and 0.93%, respectively</w:t>
      </w:r>
      <w:r w:rsidR="008F50C4">
        <w:rPr>
          <w:rFonts w:ascii="Arial" w:hAnsi="Arial" w:cs="Arial"/>
        </w:rPr>
        <w:t xml:space="preserve"> </w:t>
      </w:r>
      <w:r w:rsidR="003455F7" w:rsidRPr="005F4967">
        <w:rPr>
          <w:rFonts w:ascii="Arial" w:hAnsi="Arial" w:cs="Arial"/>
        </w:rPr>
        <w:t>[</w:t>
      </w:r>
      <w:r w:rsidR="003455F7">
        <w:rPr>
          <w:rFonts w:ascii="Arial" w:hAnsi="Arial" w:cs="Arial"/>
        </w:rPr>
        <w:t>10-13</w:t>
      </w:r>
      <w:r w:rsidR="003455F7" w:rsidRPr="005F4967">
        <w:rPr>
          <w:rFonts w:ascii="Arial" w:hAnsi="Arial" w:cs="Arial"/>
        </w:rPr>
        <w:t>]</w:t>
      </w:r>
      <w:r w:rsidRPr="00B6652F">
        <w:rPr>
          <w:rFonts w:ascii="Arial" w:hAnsi="Arial" w:cs="Arial"/>
        </w:rPr>
        <w:t>.</w:t>
      </w:r>
    </w:p>
    <w:p w:rsidR="00B6652F" w:rsidRPr="00B6652F" w:rsidRDefault="00B6652F" w:rsidP="000D3FAA">
      <w:pPr>
        <w:spacing w:before="120" w:after="120" w:line="480" w:lineRule="auto"/>
        <w:rPr>
          <w:rFonts w:ascii="Arial" w:hAnsi="Arial" w:cs="Arial"/>
        </w:rPr>
      </w:pPr>
      <w:r w:rsidRPr="00B6652F">
        <w:rPr>
          <w:rFonts w:ascii="Arial" w:hAnsi="Arial" w:cs="Arial"/>
        </w:rPr>
        <w:t>Paucity of VNRDs is not limited to Nigeria and, by extension, Africa. A WHO report in 2016 stated that 71 countries, comprising 22 in Africa, 22 in America, 10 in Europe, 9 in the Eastern Mediterranean, 5 in the Western Pacific, and 3 in South-East Asia, have depended on family replacement and paid donors rather than voluntary non-remunerated blood donors, which is the global standard</w:t>
      </w:r>
      <w:r w:rsidR="008F50C4">
        <w:rPr>
          <w:rFonts w:ascii="Arial" w:hAnsi="Arial" w:cs="Arial"/>
        </w:rPr>
        <w:t xml:space="preserve"> </w:t>
      </w:r>
      <w:r w:rsidR="003455F7" w:rsidRPr="005F4967">
        <w:rPr>
          <w:rFonts w:ascii="Arial" w:hAnsi="Arial" w:cs="Arial"/>
        </w:rPr>
        <w:t>[1</w:t>
      </w:r>
      <w:r w:rsidR="003455F7">
        <w:rPr>
          <w:rFonts w:ascii="Arial" w:hAnsi="Arial" w:cs="Arial"/>
        </w:rPr>
        <w:t>4</w:t>
      </w:r>
      <w:r w:rsidR="003455F7" w:rsidRPr="005F4967">
        <w:rPr>
          <w:rFonts w:ascii="Arial" w:hAnsi="Arial" w:cs="Arial"/>
        </w:rPr>
        <w:t>]</w:t>
      </w:r>
      <w:r w:rsidRPr="00B6652F">
        <w:rPr>
          <w:rFonts w:ascii="Arial" w:hAnsi="Arial" w:cs="Arial"/>
        </w:rPr>
        <w:t>. While there are various reasons for paucity of VNRDs globally, ours may not be unconnected with ignorance, divergent religious beliefs, as well as absent or suboptimal financing and abysmal resource allocation.</w:t>
      </w:r>
      <w:r w:rsidR="00156F74">
        <w:rPr>
          <w:rFonts w:ascii="Arial" w:hAnsi="Arial" w:cs="Arial"/>
        </w:rPr>
        <w:t xml:space="preserve"> </w:t>
      </w:r>
      <w:r w:rsidR="00156F74" w:rsidRPr="00156F74">
        <w:rPr>
          <w:rFonts w:ascii="Arial" w:hAnsi="Arial" w:cs="Arial"/>
          <w:color w:val="FF0000"/>
        </w:rPr>
        <w:t>The global nature of the scarcity of VNRD evident by the enormous researches carried out to determine the motivatio</w:t>
      </w:r>
      <w:r w:rsidR="00156F74">
        <w:rPr>
          <w:rFonts w:ascii="Arial" w:hAnsi="Arial" w:cs="Arial"/>
          <w:color w:val="FF0000"/>
        </w:rPr>
        <w:t xml:space="preserve">ns and </w:t>
      </w:r>
      <w:r w:rsidR="00FB4ADC">
        <w:rPr>
          <w:rFonts w:ascii="Arial" w:hAnsi="Arial" w:cs="Arial"/>
          <w:color w:val="FF0000"/>
        </w:rPr>
        <w:t>deterrents to not only blood donation in general but recruitment of donors as well as their retention has remain unresolved</w:t>
      </w:r>
      <w:r w:rsidR="00ED5FE7">
        <w:rPr>
          <w:rFonts w:ascii="Arial" w:hAnsi="Arial" w:cs="Arial"/>
          <w:color w:val="FF0000"/>
        </w:rPr>
        <w:t xml:space="preserve"> </w:t>
      </w:r>
      <w:r w:rsidR="00ED5FE7" w:rsidRPr="005F4967">
        <w:rPr>
          <w:rFonts w:ascii="Arial" w:hAnsi="Arial" w:cs="Arial"/>
        </w:rPr>
        <w:t>[1</w:t>
      </w:r>
      <w:r w:rsidR="00ED5FE7">
        <w:rPr>
          <w:rFonts w:ascii="Arial" w:hAnsi="Arial" w:cs="Arial"/>
        </w:rPr>
        <w:t>5</w:t>
      </w:r>
      <w:r w:rsidR="00ED5FE7" w:rsidRPr="005F4967">
        <w:rPr>
          <w:rFonts w:ascii="Arial" w:hAnsi="Arial" w:cs="Arial"/>
        </w:rPr>
        <w:t>]</w:t>
      </w:r>
      <w:r w:rsidR="00ED5FE7" w:rsidRPr="00B6652F">
        <w:rPr>
          <w:rFonts w:ascii="Arial" w:hAnsi="Arial" w:cs="Arial"/>
        </w:rPr>
        <w:t>.</w:t>
      </w:r>
      <w:r w:rsidR="00ED5FE7">
        <w:rPr>
          <w:rFonts w:ascii="Arial" w:hAnsi="Arial" w:cs="Arial"/>
        </w:rPr>
        <w:t xml:space="preserve"> </w:t>
      </w:r>
      <w:r w:rsidR="00FB4ADC">
        <w:rPr>
          <w:rFonts w:ascii="Arial" w:hAnsi="Arial" w:cs="Arial"/>
          <w:color w:val="FF0000"/>
        </w:rPr>
        <w:t xml:space="preserve"> However, findings have consistently indicated that depending on altruistic reasons to meet up blood donor requirement may not be sufficient </w:t>
      </w:r>
      <w:r w:rsidR="009B00D7">
        <w:rPr>
          <w:rFonts w:ascii="Arial" w:hAnsi="Arial" w:cs="Arial"/>
          <w:color w:val="FF0000"/>
        </w:rPr>
        <w:t xml:space="preserve">to meet required VNRD </w:t>
      </w:r>
      <w:r w:rsidR="00ED5FE7">
        <w:rPr>
          <w:rFonts w:ascii="Arial" w:hAnsi="Arial" w:cs="Arial"/>
          <w:color w:val="FF0000"/>
        </w:rPr>
        <w:t>and hence the</w:t>
      </w:r>
      <w:r w:rsidR="00FB4ADC">
        <w:rPr>
          <w:rFonts w:ascii="Arial" w:hAnsi="Arial" w:cs="Arial"/>
          <w:color w:val="FF0000"/>
        </w:rPr>
        <w:t xml:space="preserve"> thought for introduction of incentives to improve donor recruitment and retention</w:t>
      </w:r>
      <w:r w:rsidR="009B00D7">
        <w:rPr>
          <w:rFonts w:ascii="Arial" w:hAnsi="Arial" w:cs="Arial"/>
          <w:color w:val="FF0000"/>
        </w:rPr>
        <w:t xml:space="preserve">. </w:t>
      </w:r>
      <w:r w:rsidR="00FB4ADC">
        <w:rPr>
          <w:rFonts w:ascii="Arial" w:hAnsi="Arial" w:cs="Arial"/>
          <w:color w:val="FF0000"/>
        </w:rPr>
        <w:t>This is</w:t>
      </w:r>
      <w:r w:rsidR="009B00D7">
        <w:rPr>
          <w:rFonts w:ascii="Arial" w:hAnsi="Arial" w:cs="Arial"/>
          <w:color w:val="FF0000"/>
        </w:rPr>
        <w:t xml:space="preserve"> supported by the postulate of exchange theory which stated that ‘in order for an exchange to take place a person must perceive benefits equal to or greater than perceived cost’ and also the expected-utility theory which suggested that ‘benefits should be egocentric as people are motivated by self-interest’</w:t>
      </w:r>
      <w:r w:rsidR="009B00D7" w:rsidRPr="005F4967">
        <w:rPr>
          <w:rFonts w:ascii="Arial" w:hAnsi="Arial" w:cs="Arial"/>
        </w:rPr>
        <w:t>[1</w:t>
      </w:r>
      <w:r w:rsidR="009B00D7">
        <w:rPr>
          <w:rFonts w:ascii="Arial" w:hAnsi="Arial" w:cs="Arial"/>
        </w:rPr>
        <w:t>5</w:t>
      </w:r>
      <w:r w:rsidR="009B00D7" w:rsidRPr="005F4967">
        <w:rPr>
          <w:rFonts w:ascii="Arial" w:hAnsi="Arial" w:cs="Arial"/>
        </w:rPr>
        <w:t>]</w:t>
      </w:r>
      <w:r w:rsidR="009B00D7">
        <w:rPr>
          <w:rFonts w:ascii="Arial" w:hAnsi="Arial" w:cs="Arial"/>
          <w:color w:val="FF0000"/>
        </w:rPr>
        <w:t>.  This suggestion is</w:t>
      </w:r>
      <w:r w:rsidR="00FB4ADC">
        <w:rPr>
          <w:rFonts w:ascii="Arial" w:hAnsi="Arial" w:cs="Arial"/>
          <w:color w:val="FF0000"/>
        </w:rPr>
        <w:t xml:space="preserve"> despite the uncertainties surrounding the unclear positive effect of incentivizing blood donation</w:t>
      </w:r>
      <w:r w:rsidR="00641A5A">
        <w:rPr>
          <w:rFonts w:ascii="Arial" w:hAnsi="Arial" w:cs="Arial"/>
          <w:color w:val="FF0000"/>
        </w:rPr>
        <w:t xml:space="preserve"> as reported over the years </w:t>
      </w:r>
      <w:r w:rsidR="00641A5A" w:rsidRPr="005F4967">
        <w:rPr>
          <w:rFonts w:ascii="Arial" w:hAnsi="Arial" w:cs="Arial"/>
        </w:rPr>
        <w:t>[1</w:t>
      </w:r>
      <w:r w:rsidR="00641A5A">
        <w:rPr>
          <w:rFonts w:ascii="Arial" w:hAnsi="Arial" w:cs="Arial"/>
        </w:rPr>
        <w:t>6-20</w:t>
      </w:r>
      <w:r w:rsidR="00641A5A" w:rsidRPr="005F4967">
        <w:rPr>
          <w:rFonts w:ascii="Arial" w:hAnsi="Arial" w:cs="Arial"/>
        </w:rPr>
        <w:t>]</w:t>
      </w:r>
      <w:r w:rsidR="00641A5A">
        <w:rPr>
          <w:rFonts w:ascii="Arial" w:hAnsi="Arial" w:cs="Arial"/>
          <w:color w:val="FF0000"/>
        </w:rPr>
        <w:t>.</w:t>
      </w:r>
    </w:p>
    <w:p w:rsidR="00790ADA" w:rsidRPr="00FB3A86" w:rsidRDefault="00B6652F" w:rsidP="0071246F">
      <w:pPr>
        <w:spacing w:before="120" w:after="120" w:line="480" w:lineRule="auto"/>
        <w:rPr>
          <w:rFonts w:ascii="Arial" w:hAnsi="Arial" w:cs="Arial"/>
        </w:rPr>
      </w:pPr>
      <w:r w:rsidRPr="00B6652F">
        <w:rPr>
          <w:rFonts w:ascii="Arial" w:hAnsi="Arial" w:cs="Arial"/>
        </w:rPr>
        <w:lastRenderedPageBreak/>
        <w:t>Blood is no doubt essential for life, more so for human life. Indications for blood transfusion vary across all medical specialties’ with dire consequences where not available when in need. Beyond the essential nature of blood, wherein it cannot be manufactured with its sole source being another human being, its safety for transfusion is of paramount importance in order to avoid complications associated with its transfusion. Voluntary non-remunerated blood donors have been adjudge to be the best source of this essential element in relation to morbidity and mortality from transfusion transmissible infections(TTIs), and hence the pursuit by every transfusion centre to achieve a blood transfusion donor base made up of this group of donors. Comparing the types of blood donors mentioned, the most reliable still remains an individual that done out of altruistic reasons with no financial benefit or any sort of inducement. Blood units collected from the hospital blood drives, hospital linkage can be a mixture of all with varying intents from directed donors to paid or commercial donors, and occasionally similes of VNRD, and hence difficult to say which was out of altruistic volition. WHO had a target of attaining 100% VNRD globally by 2023, and in bid to meet the date line, the Nigerian government enacted a policy provision documented in part VI of the national health act (NHA) 2014</w:t>
      </w:r>
      <w:r w:rsidR="00ED5FE7">
        <w:rPr>
          <w:rFonts w:ascii="Arial" w:hAnsi="Arial" w:cs="Arial"/>
        </w:rPr>
        <w:t xml:space="preserve"> </w:t>
      </w:r>
      <w:r w:rsidR="00641A5A">
        <w:rPr>
          <w:rFonts w:ascii="Arial" w:hAnsi="Arial" w:cs="Arial"/>
        </w:rPr>
        <w:t>[21-22</w:t>
      </w:r>
      <w:r w:rsidR="003455F7" w:rsidRPr="005F4967">
        <w:rPr>
          <w:rFonts w:ascii="Arial" w:hAnsi="Arial" w:cs="Arial"/>
        </w:rPr>
        <w:t>]</w:t>
      </w:r>
      <w:r w:rsidRPr="00B6652F">
        <w:rPr>
          <w:rFonts w:ascii="Arial" w:hAnsi="Arial" w:cs="Arial"/>
        </w:rPr>
        <w:t xml:space="preserve">. Section 53 of the NHA 2014 declares it an offense for an individual to donate tissue, blood, or product following any form of financial or other reward for such donation, with the exception of reimbursement of reasonable costs incurred in providing the donation. Contravening this law with conviction is punishable with a fine of </w:t>
      </w:r>
      <w:r w:rsidRPr="00B6652F">
        <w:rPr>
          <w:rFonts w:ascii="Arial" w:hAnsi="Arial" w:cs="Arial"/>
          <w:strike/>
        </w:rPr>
        <w:t>N</w:t>
      </w:r>
      <w:r w:rsidRPr="00B6652F">
        <w:rPr>
          <w:rFonts w:ascii="Arial" w:hAnsi="Arial" w:cs="Arial"/>
        </w:rPr>
        <w:t xml:space="preserve"> 100,000 or imprisonment for a period not exceeding one year or both</w:t>
      </w:r>
      <w:r w:rsidR="00ED5FE7">
        <w:rPr>
          <w:rFonts w:ascii="Arial" w:hAnsi="Arial" w:cs="Arial"/>
        </w:rPr>
        <w:t xml:space="preserve"> </w:t>
      </w:r>
      <w:r w:rsidR="00641A5A">
        <w:rPr>
          <w:rFonts w:ascii="Arial" w:hAnsi="Arial" w:cs="Arial"/>
        </w:rPr>
        <w:t>[23</w:t>
      </w:r>
      <w:r w:rsidR="003455F7" w:rsidRPr="005F4967">
        <w:rPr>
          <w:rFonts w:ascii="Arial" w:hAnsi="Arial" w:cs="Arial"/>
        </w:rPr>
        <w:t>]</w:t>
      </w:r>
      <w:r w:rsidR="003455F7">
        <w:rPr>
          <w:rFonts w:ascii="Arial" w:hAnsi="Arial" w:cs="Arial"/>
        </w:rPr>
        <w:t xml:space="preserve">. </w:t>
      </w:r>
      <w:r w:rsidRPr="00B6652F">
        <w:rPr>
          <w:rFonts w:ascii="Arial" w:hAnsi="Arial" w:cs="Arial"/>
        </w:rPr>
        <w:t>The WHO target is long overdue, while we are still battling with the scarcity of VNRD and hence the need for us to identify the major reasons for our inability to meet the target and to propose workable solutions towards a perfect or near-perfect VNRD base in our hospital and subsequently to influence the National target.</w:t>
      </w:r>
    </w:p>
    <w:p w:rsidR="00B01FCD" w:rsidRDefault="00000F8F" w:rsidP="000D3FAA">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B6652F" w:rsidRDefault="003455F7" w:rsidP="000D3FAA">
      <w:pPr>
        <w:spacing w:before="120" w:after="120" w:line="480" w:lineRule="auto"/>
      </w:pPr>
      <w:r>
        <w:t>This study has</w:t>
      </w:r>
      <w:r w:rsidR="00B6652F">
        <w:t xml:space="preserve"> confirmed the paucity of voluntary non-remunerated blood donors in our facility</w:t>
      </w:r>
      <w:r w:rsidR="00EC33F1">
        <w:t xml:space="preserve"> </w:t>
      </w:r>
      <w:r w:rsidR="00EC33F1" w:rsidRPr="00EC33F1">
        <w:rPr>
          <w:color w:val="FF0000"/>
        </w:rPr>
        <w:t>with significant population of our donors being family replacement donors</w:t>
      </w:r>
      <w:r w:rsidR="00B6652F">
        <w:t>. Sad to also realize that 18 years after a previous report, we are yet to move away from dependence on family replacement donors despite the morbidity, mortality, and resource wastage associated with family replacement donors.</w:t>
      </w:r>
    </w:p>
    <w:p w:rsidR="00790ADA" w:rsidRDefault="00B6652F" w:rsidP="000D3FAA">
      <w:pPr>
        <w:pStyle w:val="Body"/>
        <w:spacing w:after="0" w:line="480" w:lineRule="auto"/>
        <w:rPr>
          <w:rFonts w:ascii="Arial" w:hAnsi="Arial" w:cs="Arial"/>
          <w:b/>
          <w:sz w:val="22"/>
          <w:szCs w:val="22"/>
        </w:rPr>
      </w:pPr>
      <w:r w:rsidRPr="00B6652F">
        <w:rPr>
          <w:rFonts w:ascii="Arial" w:hAnsi="Arial" w:cs="Arial"/>
          <w:b/>
          <w:sz w:val="22"/>
          <w:szCs w:val="22"/>
        </w:rPr>
        <w:t>5. RECOMMENDATION</w:t>
      </w:r>
    </w:p>
    <w:p w:rsidR="00597DC1" w:rsidRPr="008F50C4" w:rsidRDefault="00B6652F" w:rsidP="008F50C4">
      <w:pPr>
        <w:spacing w:before="120" w:after="120" w:line="480" w:lineRule="auto"/>
      </w:pPr>
      <w:r>
        <w:t>Factors responsible for our failure are not far</w:t>
      </w:r>
      <w:r w:rsidR="00EC33F1">
        <w:t>-</w:t>
      </w:r>
      <w:r>
        <w:t xml:space="preserve">fetched and they includes but not limited to the following; inadequate information dissemination through all forms of media, print or electronic, divergent religious and cultural beliefs, fear of being detected with TTIs, suboptimal or absent budgetary allocations by the Local, State and Federal Governments, lack of adequate trained personnels, inadequate blood banks and equipment in our hospitals and other health facilities and lack of public trust in the blood transfusion services. For us to achieve our goal for a perfect VNRD base, an aggressive </w:t>
      </w:r>
      <w:r>
        <w:lastRenderedPageBreak/>
        <w:t xml:space="preserve">targeted effort will need to be put in place through a robust partnership with media outlets and religious bodies for information dissemination. </w:t>
      </w:r>
      <w:r w:rsidR="00116BEF">
        <w:t xml:space="preserve">Concerted effort should be put in place towards converting family replacement and directed donors into VNRDs. </w:t>
      </w:r>
      <w:r w:rsidR="003B0229" w:rsidRPr="003B0229">
        <w:rPr>
          <w:color w:val="FF0000"/>
        </w:rPr>
        <w:t xml:space="preserve">Blood transfusion specialist </w:t>
      </w:r>
      <w:r w:rsidR="00BE3863" w:rsidRPr="003B0229">
        <w:rPr>
          <w:color w:val="FF0000"/>
        </w:rPr>
        <w:t>should consider some form of</w:t>
      </w:r>
      <w:r w:rsidR="003B0229" w:rsidRPr="003B0229">
        <w:rPr>
          <w:color w:val="FF0000"/>
        </w:rPr>
        <w:t xml:space="preserve"> incentives like gift items, variable type of tickets, time off work  excluding rewards of any kind while also being cautious not to compromise blood safety by attracting high risk reward oriented donors</w:t>
      </w:r>
      <w:r w:rsidR="003B0229">
        <w:t xml:space="preserve">. </w:t>
      </w:r>
      <w:r w:rsidR="003B0229" w:rsidRPr="003B0229">
        <w:rPr>
          <w:color w:val="FF0000"/>
        </w:rPr>
        <w:t xml:space="preserve">Blood collection centres should be established across </w:t>
      </w:r>
      <w:r w:rsidR="00AE6686">
        <w:rPr>
          <w:color w:val="FF0000"/>
        </w:rPr>
        <w:t>our local</w:t>
      </w:r>
      <w:r w:rsidR="003B0229" w:rsidRPr="003B0229">
        <w:rPr>
          <w:color w:val="FF0000"/>
        </w:rPr>
        <w:t xml:space="preserve"> government areas reducing distance to blood service agencies thereby increasing reach</w:t>
      </w:r>
      <w:r w:rsidR="003B0229">
        <w:t xml:space="preserve">. </w:t>
      </w:r>
      <w:r>
        <w:t>Government financing must be optimized to meet global acceptable standards, and this will in turn determine the availability of equipment and well trained personnels. Strong community advocacies to dispel myths and other misinformation will also significantly enhance efforts towards achieving our goals.</w:t>
      </w:r>
    </w:p>
    <w:p w:rsidR="00B6652F" w:rsidRPr="00116BEF" w:rsidRDefault="00B6652F" w:rsidP="000D3FAA">
      <w:pPr>
        <w:spacing w:before="240" w:after="240" w:line="480" w:lineRule="auto"/>
        <w:rPr>
          <w:rFonts w:ascii="Arial" w:hAnsi="Arial" w:cs="Arial"/>
          <w:b/>
          <w:sz w:val="22"/>
          <w:szCs w:val="22"/>
        </w:rPr>
      </w:pPr>
      <w:r w:rsidRPr="00116BEF">
        <w:rPr>
          <w:rFonts w:ascii="Arial" w:hAnsi="Arial" w:cs="Arial"/>
          <w:b/>
          <w:sz w:val="22"/>
          <w:szCs w:val="22"/>
        </w:rPr>
        <w:t xml:space="preserve">ETHICAL APPROVAL </w:t>
      </w:r>
    </w:p>
    <w:p w:rsidR="000A4944" w:rsidRDefault="00B6652F" w:rsidP="00116BEF">
      <w:pPr>
        <w:spacing w:before="240" w:after="240" w:line="480" w:lineRule="auto"/>
        <w:rPr>
          <w:rFonts w:ascii="Arial" w:hAnsi="Arial" w:cs="Arial"/>
        </w:rPr>
      </w:pPr>
      <w:r w:rsidRPr="004D3DE0">
        <w:rPr>
          <w:rFonts w:ascii="Arial" w:hAnsi="Arial" w:cs="Arial"/>
        </w:rPr>
        <w:t>This study was approved by the Jos University Teaching Hospitals Health and Ethics committee</w:t>
      </w:r>
    </w:p>
    <w:p w:rsidR="000A4944" w:rsidRPr="00BE3863" w:rsidRDefault="00BE3863" w:rsidP="000A4944">
      <w:pPr>
        <w:keepNext/>
        <w:keepLines/>
        <w:spacing w:before="120" w:after="120" w:line="360" w:lineRule="auto"/>
        <w:jc w:val="both"/>
        <w:outlineLvl w:val="1"/>
        <w:rPr>
          <w:rFonts w:ascii="Arial" w:hAnsi="Arial" w:cs="Arial"/>
          <w:b/>
          <w:bCs/>
          <w:color w:val="FF0000"/>
          <w:sz w:val="22"/>
          <w:szCs w:val="22"/>
          <w:lang w:val="en-GB" w:eastAsia="en-IN"/>
        </w:rPr>
      </w:pPr>
      <w:bookmarkStart w:id="0" w:name="_Hlk218867759"/>
      <w:r w:rsidRPr="00BE3863">
        <w:rPr>
          <w:rFonts w:ascii="Arial" w:hAnsi="Arial" w:cs="Arial"/>
          <w:b/>
          <w:bCs/>
          <w:color w:val="FF0000"/>
          <w:sz w:val="22"/>
          <w:szCs w:val="22"/>
          <w:lang w:val="en-GB" w:eastAsia="en-IN"/>
        </w:rPr>
        <w:t>DISCLAIMER (ARTIFICIAL INTELLIGENCE)</w:t>
      </w:r>
    </w:p>
    <w:p w:rsidR="000A4944" w:rsidRDefault="000A4944" w:rsidP="000A4944">
      <w:pPr>
        <w:keepNext/>
        <w:keepLines/>
        <w:spacing w:before="120" w:after="120" w:line="360" w:lineRule="auto"/>
        <w:jc w:val="both"/>
        <w:outlineLvl w:val="1"/>
        <w:rPr>
          <w:rFonts w:ascii="Arial" w:hAnsi="Arial" w:cs="Arial"/>
          <w:bCs/>
          <w:color w:val="FF0000"/>
          <w:lang w:val="en-GB" w:eastAsia="en-IN"/>
        </w:rPr>
      </w:pPr>
      <w:r w:rsidRPr="00BE3863">
        <w:rPr>
          <w:rFonts w:ascii="Arial" w:hAnsi="Arial" w:cs="Arial"/>
          <w:bCs/>
          <w:color w:val="FF0000"/>
          <w:lang w:val="en-GB" w:eastAsia="en-IN"/>
        </w:rPr>
        <w:t>Author(s) hereby declare that NO generative AI technologies such as Large Language Models (ChatGPT, COPILOT, etc.) and text-to-image generators have been used during the writing or editing of this manuscript.</w:t>
      </w:r>
    </w:p>
    <w:p w:rsidR="008F50C4" w:rsidRDefault="008F50C4" w:rsidP="000A4944">
      <w:pPr>
        <w:keepNext/>
        <w:keepLines/>
        <w:spacing w:before="120" w:after="120" w:line="360" w:lineRule="auto"/>
        <w:jc w:val="both"/>
        <w:outlineLvl w:val="1"/>
        <w:rPr>
          <w:rFonts w:ascii="Arial" w:hAnsi="Arial" w:cs="Arial"/>
          <w:b/>
          <w:bCs/>
          <w:color w:val="FF0000"/>
          <w:sz w:val="22"/>
          <w:szCs w:val="22"/>
          <w:lang w:val="en-GB" w:eastAsia="en-IN"/>
        </w:rPr>
      </w:pPr>
      <w:r w:rsidRPr="008F50C4">
        <w:rPr>
          <w:rFonts w:ascii="Arial" w:hAnsi="Arial" w:cs="Arial"/>
          <w:b/>
          <w:bCs/>
          <w:color w:val="FF0000"/>
          <w:sz w:val="22"/>
          <w:szCs w:val="22"/>
          <w:lang w:val="en-GB" w:eastAsia="en-IN"/>
        </w:rPr>
        <w:t>COMPETING INTEREST</w:t>
      </w:r>
    </w:p>
    <w:p w:rsidR="008F50C4" w:rsidRPr="008F50C4" w:rsidRDefault="008F50C4" w:rsidP="000A4944">
      <w:pPr>
        <w:keepNext/>
        <w:keepLines/>
        <w:spacing w:before="120" w:after="120" w:line="360" w:lineRule="auto"/>
        <w:jc w:val="both"/>
        <w:outlineLvl w:val="1"/>
        <w:rPr>
          <w:rFonts w:ascii="Arial" w:hAnsi="Arial" w:cs="Arial"/>
          <w:bCs/>
          <w:color w:val="FF0000"/>
          <w:sz w:val="22"/>
          <w:szCs w:val="22"/>
          <w:lang w:val="en-GB" w:eastAsia="en-IN"/>
        </w:rPr>
      </w:pPr>
      <w:r w:rsidRPr="008F50C4">
        <w:rPr>
          <w:rFonts w:ascii="Arial" w:hAnsi="Arial" w:cs="Arial"/>
          <w:bCs/>
          <w:color w:val="FF0000"/>
          <w:sz w:val="22"/>
          <w:szCs w:val="22"/>
          <w:lang w:val="en-GB" w:eastAsia="en-IN"/>
        </w:rPr>
        <w:t>Authors declare no competing interest</w:t>
      </w:r>
    </w:p>
    <w:p w:rsidR="000A4944" w:rsidRPr="00116BEF" w:rsidRDefault="000A4944" w:rsidP="00116BEF">
      <w:pPr>
        <w:spacing w:before="240" w:after="240" w:line="480" w:lineRule="auto"/>
        <w:rPr>
          <w:rFonts w:ascii="Arial" w:hAnsi="Arial" w:cs="Arial"/>
        </w:rPr>
      </w:pPr>
      <w:bookmarkStart w:id="1" w:name="_GoBack"/>
      <w:bookmarkEnd w:id="0"/>
      <w:bookmarkEnd w:id="1"/>
    </w:p>
    <w:p w:rsidR="00B01FCD" w:rsidRDefault="00B01FCD" w:rsidP="00441B6F">
      <w:pPr>
        <w:pStyle w:val="ReferHead"/>
        <w:spacing w:after="0"/>
        <w:jc w:val="both"/>
        <w:rPr>
          <w:rFonts w:ascii="Arial" w:hAnsi="Arial" w:cs="Arial"/>
        </w:rPr>
      </w:pPr>
      <w:r w:rsidRPr="00FB3A86">
        <w:rPr>
          <w:rFonts w:ascii="Arial" w:hAnsi="Arial" w:cs="Arial"/>
        </w:rPr>
        <w:t>References</w:t>
      </w:r>
    </w:p>
    <w:p w:rsidR="009A0B29" w:rsidRPr="00BE3863" w:rsidRDefault="009A0B29" w:rsidP="000D3FAA">
      <w:pPr>
        <w:numPr>
          <w:ilvl w:val="0"/>
          <w:numId w:val="31"/>
        </w:numPr>
        <w:spacing w:before="240" w:after="120" w:line="480" w:lineRule="auto"/>
        <w:ind w:hanging="329"/>
        <w:rPr>
          <w:rFonts w:ascii="Arial" w:hAnsi="Arial" w:cs="Arial"/>
        </w:rPr>
      </w:pPr>
      <w:r w:rsidRPr="00BE3863">
        <w:rPr>
          <w:rFonts w:ascii="Arial" w:hAnsi="Arial" w:cs="Arial"/>
        </w:rPr>
        <w:t>World Health Organization</w:t>
      </w:r>
      <w:r w:rsidR="0043254A" w:rsidRPr="00BE3863">
        <w:rPr>
          <w:rFonts w:ascii="Arial" w:hAnsi="Arial" w:cs="Arial"/>
        </w:rPr>
        <w:t xml:space="preserve"> (2016)</w:t>
      </w:r>
      <w:r w:rsidRPr="00BE3863">
        <w:rPr>
          <w:rFonts w:ascii="Arial" w:hAnsi="Arial" w:cs="Arial"/>
        </w:rPr>
        <w:t>. Global Status Report on Blood Safety and Availability. 2016 Geneva-WHO:Availablefrom:</w:t>
      </w:r>
      <w:hyperlink r:id="rId14" w:history="1">
        <w:r w:rsidRPr="00BE3863">
          <w:rPr>
            <w:rFonts w:ascii="Arial" w:hAnsi="Arial" w:cs="Arial"/>
            <w:color w:val="0000EE"/>
            <w:u w:val="single" w:color="0000EE"/>
          </w:rPr>
          <w:t>https://www.who.int/mediacentre/factsheets/fs279/en/</w:t>
        </w:r>
      </w:hyperlink>
      <w:r w:rsidRPr="00BE3863">
        <w:rPr>
          <w:rFonts w:ascii="Arial" w:hAnsi="Arial" w:cs="Arial"/>
        </w:rPr>
        <w:t>[Last accessed on the 11th January 2026]</w:t>
      </w:r>
    </w:p>
    <w:p w:rsidR="009A0B29" w:rsidRPr="00BE3863" w:rsidRDefault="009A0B29" w:rsidP="000D3FAA">
      <w:pPr>
        <w:numPr>
          <w:ilvl w:val="0"/>
          <w:numId w:val="31"/>
        </w:numPr>
        <w:spacing w:before="120" w:after="120" w:line="480" w:lineRule="auto"/>
        <w:ind w:hanging="329"/>
        <w:rPr>
          <w:rFonts w:ascii="Arial" w:hAnsi="Arial" w:cs="Arial"/>
        </w:rPr>
      </w:pPr>
      <w:r w:rsidRPr="00BE3863">
        <w:rPr>
          <w:rFonts w:ascii="Arial" w:hAnsi="Arial" w:cs="Arial"/>
        </w:rPr>
        <w:t>World Health Organization</w:t>
      </w:r>
      <w:r w:rsidR="0043254A" w:rsidRPr="00BE3863">
        <w:rPr>
          <w:rFonts w:ascii="Arial" w:hAnsi="Arial" w:cs="Arial"/>
        </w:rPr>
        <w:t xml:space="preserve"> (2015</w:t>
      </w:r>
      <w:r w:rsidR="00487FC9" w:rsidRPr="00BE3863">
        <w:rPr>
          <w:rFonts w:ascii="Arial" w:hAnsi="Arial" w:cs="Arial"/>
        </w:rPr>
        <w:t>)</w:t>
      </w:r>
      <w:r w:rsidRPr="00BE3863">
        <w:rPr>
          <w:rFonts w:ascii="Arial" w:hAnsi="Arial" w:cs="Arial"/>
        </w:rPr>
        <w:t>. Improving Access to Safe Blood Products through Local Production and Technology Transfer in Blood Establishments. 2015 Geneva WHO</w:t>
      </w:r>
      <w:r w:rsidR="00852EFC" w:rsidRPr="00BE3863">
        <w:rPr>
          <w:rFonts w:ascii="Arial" w:hAnsi="Arial" w:cs="Arial"/>
        </w:rPr>
        <w:t>.</w:t>
      </w:r>
      <w:r w:rsidRPr="00BE3863">
        <w:rPr>
          <w:rFonts w:ascii="Arial" w:hAnsi="Arial" w:cs="Arial"/>
        </w:rPr>
        <w:t xml:space="preserve"> Available from:</w:t>
      </w:r>
      <w:hyperlink r:id="rId15" w:history="1">
        <w:r w:rsidRPr="00BE3863">
          <w:rPr>
            <w:rFonts w:ascii="Arial" w:hAnsi="Arial" w:cs="Arial"/>
            <w:color w:val="0000EE"/>
            <w:u w:val="single" w:color="0000EE"/>
          </w:rPr>
          <w:t>http://www.who.int/entity/phi/publications/improving_access_safe_blood_products/en/2015</w:t>
        </w:r>
      </w:hyperlink>
      <w:r w:rsidRPr="00BE3863">
        <w:rPr>
          <w:rFonts w:ascii="Arial" w:hAnsi="Arial" w:cs="Arial"/>
        </w:rPr>
        <w:t>[Last accessed on the 11th January, 2026]</w:t>
      </w:r>
    </w:p>
    <w:p w:rsidR="009A0B29" w:rsidRPr="00BE3863" w:rsidRDefault="009A0B29" w:rsidP="000D3FAA">
      <w:pPr>
        <w:numPr>
          <w:ilvl w:val="0"/>
          <w:numId w:val="31"/>
        </w:numPr>
        <w:spacing w:before="120" w:after="120" w:line="480" w:lineRule="auto"/>
        <w:ind w:hanging="329"/>
        <w:rPr>
          <w:rFonts w:ascii="Arial" w:hAnsi="Arial" w:cs="Arial"/>
        </w:rPr>
      </w:pPr>
      <w:r w:rsidRPr="00BE3863">
        <w:rPr>
          <w:rFonts w:ascii="Arial" w:hAnsi="Arial" w:cs="Arial"/>
        </w:rPr>
        <w:t xml:space="preserve">World Health Organization (2011) Blood Safety. Key global facts and figures. Link: </w:t>
      </w:r>
      <w:hyperlink r:id="rId16" w:history="1">
        <w:r w:rsidRPr="00BE3863">
          <w:rPr>
            <w:rFonts w:ascii="Arial" w:hAnsi="Arial" w:cs="Arial"/>
            <w:color w:val="0000EE"/>
            <w:u w:val="single" w:color="0000EE"/>
          </w:rPr>
          <w:t>https://bit.ly/3i80DGN</w:t>
        </w:r>
      </w:hyperlink>
      <w:r w:rsidRPr="00BE3863">
        <w:rPr>
          <w:rFonts w:ascii="Arial" w:hAnsi="Arial" w:cs="Arial"/>
        </w:rPr>
        <w:t>. Accessed on the 13th January, 2026.</w:t>
      </w:r>
    </w:p>
    <w:p w:rsidR="00156F74" w:rsidRPr="009E55DD" w:rsidRDefault="00156F74" w:rsidP="00156F74">
      <w:pPr>
        <w:numPr>
          <w:ilvl w:val="0"/>
          <w:numId w:val="31"/>
        </w:numPr>
        <w:spacing w:before="120" w:after="120" w:line="480" w:lineRule="auto"/>
        <w:ind w:hanging="329"/>
        <w:rPr>
          <w:rFonts w:ascii="Arial" w:hAnsi="Arial" w:cs="Arial"/>
          <w:color w:val="FF0000"/>
        </w:rPr>
      </w:pPr>
      <w:r w:rsidRPr="006A434F">
        <w:rPr>
          <w:rFonts w:ascii="Arial" w:hAnsi="Arial" w:cs="Arial"/>
          <w:color w:val="FF0000"/>
        </w:rPr>
        <w:lastRenderedPageBreak/>
        <w:t xml:space="preserve">Okocha </w:t>
      </w:r>
      <w:r w:rsidR="009E55DD" w:rsidRPr="006A434F">
        <w:rPr>
          <w:rFonts w:ascii="Arial" w:hAnsi="Arial" w:cs="Arial"/>
          <w:color w:val="FF0000"/>
        </w:rPr>
        <w:t>EC, Aneke JC, Ezeh TU</w:t>
      </w:r>
      <w:r w:rsidRPr="006A434F">
        <w:rPr>
          <w:rFonts w:ascii="Arial" w:hAnsi="Arial" w:cs="Arial"/>
          <w:color w:val="FF0000"/>
        </w:rPr>
        <w:t xml:space="preserve">, </w:t>
      </w:r>
      <w:r w:rsidR="009E55DD" w:rsidRPr="006A434F">
        <w:rPr>
          <w:rFonts w:ascii="Arial" w:hAnsi="Arial" w:cs="Arial"/>
          <w:color w:val="FF0000"/>
        </w:rPr>
        <w:t xml:space="preserve">Ibeh CN, Nwosu GA &amp; Okorie IO, </w:t>
      </w:r>
      <w:r w:rsidR="009E55DD" w:rsidRPr="006A434F">
        <w:rPr>
          <w:rFonts w:ascii="Arial" w:hAnsi="Arial" w:cs="Arial"/>
          <w:i/>
          <w:color w:val="FF0000"/>
        </w:rPr>
        <w:t xml:space="preserve">et al </w:t>
      </w:r>
      <w:r w:rsidR="009E55DD" w:rsidRPr="006A434F">
        <w:rPr>
          <w:rFonts w:ascii="Arial" w:hAnsi="Arial" w:cs="Arial"/>
          <w:color w:val="FF0000"/>
        </w:rPr>
        <w:t xml:space="preserve">(2015). </w:t>
      </w:r>
      <w:r w:rsidRPr="006A434F">
        <w:rPr>
          <w:rFonts w:ascii="Arial" w:hAnsi="Arial" w:cs="Arial"/>
          <w:color w:val="FF0000"/>
        </w:rPr>
        <w:t>‘The epidemiology of transfusion-transmissible infections among blood donors in Nnewi, South‒East Nigeria’. African Journal of</w:t>
      </w:r>
      <w:r w:rsidRPr="009E55DD">
        <w:rPr>
          <w:color w:val="FF0000"/>
        </w:rPr>
        <w:t xml:space="preserve"> </w:t>
      </w:r>
      <w:r w:rsidRPr="006A434F">
        <w:rPr>
          <w:rFonts w:ascii="Arial" w:hAnsi="Arial" w:cs="Arial"/>
          <w:color w:val="FF0000"/>
        </w:rPr>
        <w:t>Medical and Health Science</w:t>
      </w:r>
      <w:r w:rsidR="009E55DD" w:rsidRPr="006A434F">
        <w:rPr>
          <w:rFonts w:ascii="Arial" w:hAnsi="Arial" w:cs="Arial"/>
          <w:color w:val="FF0000"/>
        </w:rPr>
        <w:t>;</w:t>
      </w:r>
      <w:r w:rsidRPr="006A434F">
        <w:rPr>
          <w:rFonts w:ascii="Arial" w:hAnsi="Arial" w:cs="Arial"/>
          <w:color w:val="FF0000"/>
        </w:rPr>
        <w:t xml:space="preserve"> 125: 14 </w:t>
      </w:r>
      <w:r w:rsidR="006A434F" w:rsidRPr="006A434F">
        <w:rPr>
          <w:rFonts w:ascii="Arial" w:hAnsi="Arial" w:cs="Arial"/>
          <w:color w:val="FF0000"/>
        </w:rPr>
        <w:t>doi. 10.4103/2384-5589.170183</w:t>
      </w:r>
    </w:p>
    <w:p w:rsidR="009A0B29" w:rsidRPr="009A0B29" w:rsidRDefault="009A0B29" w:rsidP="000D3FAA">
      <w:pPr>
        <w:numPr>
          <w:ilvl w:val="0"/>
          <w:numId w:val="31"/>
        </w:numPr>
        <w:spacing w:before="120" w:after="120" w:line="480" w:lineRule="auto"/>
        <w:ind w:hanging="329"/>
        <w:rPr>
          <w:rFonts w:ascii="Arial" w:hAnsi="Arial" w:cs="Arial"/>
        </w:rPr>
      </w:pPr>
      <w:r w:rsidRPr="009A0B29">
        <w:rPr>
          <w:rFonts w:ascii="Arial" w:hAnsi="Arial" w:cs="Arial"/>
        </w:rPr>
        <w:t>Adebowale-Tambe N, Onyeji E</w:t>
      </w:r>
      <w:r w:rsidR="00487FC9">
        <w:rPr>
          <w:rFonts w:ascii="Arial" w:hAnsi="Arial" w:cs="Arial"/>
        </w:rPr>
        <w:t xml:space="preserve"> (2021)</w:t>
      </w:r>
      <w:r w:rsidRPr="009A0B29">
        <w:rPr>
          <w:rFonts w:ascii="Arial" w:hAnsi="Arial" w:cs="Arial"/>
        </w:rPr>
        <w:t>. Blood Donor Day: Severe consequences as Nigeria gets 27% of annual blood need. Premium Times; 2021. Available from: https://www. premiumtimesng.com/news/headlines/467648-blood donor-day-severe-consequences-as-nigeria-gets-27-of annual-blood-need.html.</w:t>
      </w:r>
    </w:p>
    <w:p w:rsidR="009A0B29" w:rsidRPr="009A0B29" w:rsidRDefault="00487FC9" w:rsidP="000D3FAA">
      <w:pPr>
        <w:numPr>
          <w:ilvl w:val="0"/>
          <w:numId w:val="31"/>
        </w:numPr>
        <w:spacing w:before="120" w:after="120" w:line="480" w:lineRule="auto"/>
        <w:ind w:hanging="329"/>
        <w:rPr>
          <w:rFonts w:ascii="Arial" w:hAnsi="Arial" w:cs="Arial"/>
        </w:rPr>
      </w:pPr>
      <w:r>
        <w:rPr>
          <w:rFonts w:ascii="Arial" w:hAnsi="Arial" w:cs="Arial"/>
        </w:rPr>
        <w:t>Saran RK</w:t>
      </w:r>
      <w:r w:rsidR="00446E4F">
        <w:rPr>
          <w:rFonts w:ascii="Arial" w:hAnsi="Arial" w:cs="Arial"/>
        </w:rPr>
        <w:t xml:space="preserve"> </w:t>
      </w:r>
      <w:r>
        <w:rPr>
          <w:rFonts w:ascii="Arial" w:hAnsi="Arial" w:cs="Arial"/>
        </w:rPr>
        <w:t>(2003)</w:t>
      </w:r>
      <w:r w:rsidR="00446E4F">
        <w:rPr>
          <w:rFonts w:ascii="Arial" w:hAnsi="Arial" w:cs="Arial"/>
        </w:rPr>
        <w:t>.</w:t>
      </w:r>
      <w:r w:rsidR="009A0B29" w:rsidRPr="009A0B29">
        <w:rPr>
          <w:rFonts w:ascii="Arial" w:hAnsi="Arial" w:cs="Arial"/>
        </w:rPr>
        <w:t>Transfusion Medicine- Technical Manual, DGHS, Government of India. Eds Ganga R, Rama B, Kabita C, Vimla R, Swamy RN; Second Edition 2003; Publisher Mehta Offse</w:t>
      </w:r>
      <w:r>
        <w:rPr>
          <w:rFonts w:ascii="Arial" w:hAnsi="Arial" w:cs="Arial"/>
        </w:rPr>
        <w:t>t Pvt. Ltd. New Delhi-110028:</w:t>
      </w:r>
      <w:r w:rsidR="009A0B29" w:rsidRPr="009A0B29">
        <w:rPr>
          <w:rFonts w:ascii="Arial" w:hAnsi="Arial" w:cs="Arial"/>
        </w:rPr>
        <w:t>1-6.</w:t>
      </w:r>
    </w:p>
    <w:p w:rsidR="009A0B29" w:rsidRPr="009A0B29" w:rsidRDefault="00487FC9" w:rsidP="000D3FAA">
      <w:pPr>
        <w:numPr>
          <w:ilvl w:val="0"/>
          <w:numId w:val="31"/>
        </w:numPr>
        <w:spacing w:before="120" w:after="120" w:line="480" w:lineRule="auto"/>
        <w:ind w:hanging="329"/>
        <w:rPr>
          <w:rFonts w:ascii="Arial" w:hAnsi="Arial" w:cs="Arial"/>
        </w:rPr>
      </w:pPr>
      <w:r>
        <w:rPr>
          <w:rFonts w:ascii="Arial" w:hAnsi="Arial" w:cs="Arial"/>
        </w:rPr>
        <w:t>World Health Organization.</w:t>
      </w:r>
      <w:r w:rsidR="009A0B29" w:rsidRPr="009A0B29">
        <w:rPr>
          <w:rFonts w:ascii="Arial" w:hAnsi="Arial" w:cs="Arial"/>
        </w:rPr>
        <w:t xml:space="preserve"> Africa/ Countries/ Nigeria/ News. Blood donation- A selfless life-saving act. </w:t>
      </w:r>
      <w:hyperlink r:id="rId17" w:history="1">
        <w:r w:rsidR="009A0B29" w:rsidRPr="009A0B29">
          <w:rPr>
            <w:rFonts w:ascii="Arial" w:hAnsi="Arial" w:cs="Arial"/>
            <w:color w:val="0000EE"/>
            <w:u w:val="single" w:color="0000EE"/>
          </w:rPr>
          <w:t>https://www.afro.who.int/countries/nigeria/news/blood-donation-selfless-life-saving-Accessed</w:t>
        </w:r>
      </w:hyperlink>
      <w:r w:rsidR="009A0B29" w:rsidRPr="009A0B29">
        <w:rPr>
          <w:rFonts w:ascii="Arial" w:hAnsi="Arial" w:cs="Arial"/>
        </w:rPr>
        <w:t xml:space="preserve"> on the 13th January, 2026.</w:t>
      </w:r>
    </w:p>
    <w:p w:rsidR="009A0B29" w:rsidRPr="009A0B29" w:rsidRDefault="009A0B29" w:rsidP="000D3FAA">
      <w:pPr>
        <w:numPr>
          <w:ilvl w:val="0"/>
          <w:numId w:val="31"/>
        </w:numPr>
        <w:spacing w:before="120" w:after="120" w:line="480" w:lineRule="auto"/>
        <w:ind w:hanging="329"/>
        <w:rPr>
          <w:rFonts w:ascii="Arial" w:hAnsi="Arial" w:cs="Arial"/>
        </w:rPr>
      </w:pPr>
      <w:r w:rsidRPr="009A0B29">
        <w:rPr>
          <w:rFonts w:ascii="Arial" w:hAnsi="Arial" w:cs="Arial"/>
        </w:rPr>
        <w:t xml:space="preserve">World Health Organization. Blood donor selection: Guidelines on assessing donor suitability for blood donation. WHO Press. </w:t>
      </w:r>
      <w:hyperlink r:id="rId18" w:history="1">
        <w:r w:rsidRPr="009A0B29">
          <w:rPr>
            <w:rFonts w:ascii="Arial" w:hAnsi="Arial" w:cs="Arial"/>
            <w:color w:val="0000EE"/>
            <w:u w:val="single" w:color="0000EE"/>
          </w:rPr>
          <w:t>https://www.who.int/publications/i/item/9789241548519</w:t>
        </w:r>
      </w:hyperlink>
      <w:r w:rsidRPr="009A0B29">
        <w:rPr>
          <w:rFonts w:ascii="Arial" w:hAnsi="Arial" w:cs="Arial"/>
        </w:rPr>
        <w:t>. Accessed on the 13th January, 2026.</w:t>
      </w:r>
    </w:p>
    <w:p w:rsidR="009A0B29" w:rsidRPr="009A0B29" w:rsidRDefault="009A0B29" w:rsidP="000D3FAA">
      <w:pPr>
        <w:numPr>
          <w:ilvl w:val="0"/>
          <w:numId w:val="31"/>
        </w:numPr>
        <w:spacing w:before="120" w:after="120" w:line="480" w:lineRule="auto"/>
        <w:ind w:hanging="329"/>
        <w:rPr>
          <w:rFonts w:ascii="Arial" w:hAnsi="Arial" w:cs="Arial"/>
        </w:rPr>
      </w:pPr>
      <w:r w:rsidRPr="009A0B29">
        <w:rPr>
          <w:rFonts w:ascii="Arial" w:hAnsi="Arial" w:cs="Arial"/>
        </w:rPr>
        <w:t>Mansour AH</w:t>
      </w:r>
      <w:r w:rsidR="00487FC9">
        <w:rPr>
          <w:rFonts w:ascii="Arial" w:hAnsi="Arial" w:cs="Arial"/>
        </w:rPr>
        <w:t xml:space="preserve"> (2009)</w:t>
      </w:r>
      <w:r w:rsidRPr="009A0B29">
        <w:rPr>
          <w:rFonts w:ascii="Arial" w:hAnsi="Arial" w:cs="Arial"/>
        </w:rPr>
        <w:t xml:space="preserve">. Blood Donor Recruitment. </w:t>
      </w:r>
      <w:r w:rsidRPr="009A0B29">
        <w:rPr>
          <w:rFonts w:ascii="Arial" w:hAnsi="Arial" w:cs="Arial"/>
          <w:i/>
          <w:iCs/>
        </w:rPr>
        <w:t>ISBT Sci Ser</w:t>
      </w:r>
      <w:r w:rsidRPr="009A0B29">
        <w:rPr>
          <w:rFonts w:ascii="Arial" w:hAnsi="Arial" w:cs="Arial"/>
        </w:rPr>
        <w:t>;4:11</w:t>
      </w:r>
      <w:r w:rsidRPr="009A0B29">
        <w:rPr>
          <w:rFonts w:ascii="Arial" w:hAnsi="Arial" w:cs="Arial"/>
        </w:rPr>
        <w:noBreakHyphen/>
        <w:t>13. doi/10.1111/j. 1751</w:t>
      </w:r>
      <w:r w:rsidRPr="009A0B29">
        <w:rPr>
          <w:rFonts w:ascii="Arial" w:hAnsi="Arial" w:cs="Arial"/>
        </w:rPr>
        <w:noBreakHyphen/>
        <w:t xml:space="preserve">2824.2009.01208.x/full. </w:t>
      </w:r>
    </w:p>
    <w:p w:rsidR="009A0B29" w:rsidRPr="009A0B29" w:rsidRDefault="009A0B29" w:rsidP="000D3FAA">
      <w:pPr>
        <w:numPr>
          <w:ilvl w:val="0"/>
          <w:numId w:val="31"/>
        </w:numPr>
        <w:spacing w:before="120" w:after="120" w:line="480" w:lineRule="auto"/>
        <w:ind w:hanging="329"/>
        <w:rPr>
          <w:rFonts w:ascii="Arial" w:hAnsi="Arial" w:cs="Arial"/>
        </w:rPr>
      </w:pPr>
      <w:r w:rsidRPr="009A0B29">
        <w:rPr>
          <w:rFonts w:ascii="Arial" w:hAnsi="Arial" w:cs="Arial"/>
        </w:rPr>
        <w:t xml:space="preserve">Orkuma JA, Gomerep SS, Egesie OJ, Orkuma JH, Ejele AO, </w:t>
      </w:r>
      <w:r w:rsidR="00231C77">
        <w:rPr>
          <w:rFonts w:ascii="Arial" w:hAnsi="Arial" w:cs="Arial"/>
        </w:rPr>
        <w:t>&amp;</w:t>
      </w:r>
      <w:r w:rsidR="009E55DD">
        <w:rPr>
          <w:rFonts w:ascii="Arial" w:hAnsi="Arial" w:cs="Arial"/>
        </w:rPr>
        <w:t xml:space="preserve"> </w:t>
      </w:r>
      <w:r w:rsidRPr="009A0B29">
        <w:rPr>
          <w:rFonts w:ascii="Arial" w:hAnsi="Arial" w:cs="Arial"/>
        </w:rPr>
        <w:t xml:space="preserve">Ngbea JA, </w:t>
      </w:r>
      <w:r w:rsidRPr="009A0B29">
        <w:rPr>
          <w:rFonts w:ascii="Arial" w:hAnsi="Arial" w:cs="Arial"/>
          <w:i/>
          <w:iCs/>
        </w:rPr>
        <w:t>et al</w:t>
      </w:r>
      <w:r w:rsidR="00487FC9">
        <w:rPr>
          <w:rFonts w:ascii="Arial" w:hAnsi="Arial" w:cs="Arial"/>
          <w:i/>
          <w:iCs/>
        </w:rPr>
        <w:t xml:space="preserve"> (2015)</w:t>
      </w:r>
      <w:r w:rsidRPr="009A0B29">
        <w:rPr>
          <w:rFonts w:ascii="Arial" w:hAnsi="Arial" w:cs="Arial"/>
        </w:rPr>
        <w:t xml:space="preserve">. Impact of Some Socio-demographic Characteristics, Motivation, and Attitudes towards Blood Donation of Hospital-based Blood Donors as Determinants of Safe Blood in Nigeria. </w:t>
      </w:r>
      <w:r w:rsidRPr="009A0B29">
        <w:rPr>
          <w:rFonts w:ascii="Arial" w:hAnsi="Arial" w:cs="Arial"/>
          <w:i/>
          <w:iCs/>
        </w:rPr>
        <w:t>BJESBS</w:t>
      </w:r>
      <w:r w:rsidRPr="009A0B29">
        <w:rPr>
          <w:rFonts w:ascii="Arial" w:hAnsi="Arial" w:cs="Arial"/>
        </w:rPr>
        <w:t>; 9(3): 176-185.</w:t>
      </w:r>
      <w:r w:rsidR="006A434F" w:rsidRPr="006A434F">
        <w:rPr>
          <w:rFonts w:ascii="Arial" w:hAnsi="Arial" w:cs="Arial"/>
          <w:color w:val="FF0000"/>
        </w:rPr>
        <w:t>doi. 10.9734/BJESBS/2015/18263</w:t>
      </w:r>
    </w:p>
    <w:p w:rsidR="009A0B29" w:rsidRPr="009A0B29" w:rsidRDefault="009A0B29" w:rsidP="000D3FAA">
      <w:pPr>
        <w:numPr>
          <w:ilvl w:val="0"/>
          <w:numId w:val="31"/>
        </w:numPr>
        <w:spacing w:before="120" w:after="120" w:line="480" w:lineRule="auto"/>
        <w:ind w:hanging="482"/>
        <w:rPr>
          <w:rFonts w:ascii="Arial" w:hAnsi="Arial" w:cs="Arial"/>
        </w:rPr>
      </w:pPr>
      <w:r w:rsidRPr="009A0B29">
        <w:rPr>
          <w:rFonts w:ascii="Arial" w:hAnsi="Arial" w:cs="Arial"/>
        </w:rPr>
        <w:t xml:space="preserve">Salaudeen AG, Musa OI, Awoyemi AO, Bolarinwa AO, Adegboye AO, </w:t>
      </w:r>
      <w:r w:rsidR="00231C77">
        <w:rPr>
          <w:rFonts w:ascii="Arial" w:hAnsi="Arial" w:cs="Arial"/>
        </w:rPr>
        <w:t>&amp;</w:t>
      </w:r>
      <w:r w:rsidRPr="009A0B29">
        <w:rPr>
          <w:rFonts w:ascii="Arial" w:hAnsi="Arial" w:cs="Arial"/>
        </w:rPr>
        <w:t>Samuel SO</w:t>
      </w:r>
      <w:r w:rsidR="00487FC9">
        <w:rPr>
          <w:rFonts w:ascii="Arial" w:hAnsi="Arial" w:cs="Arial"/>
        </w:rPr>
        <w:t xml:space="preserve"> (2011)</w:t>
      </w:r>
      <w:r w:rsidRPr="009A0B29">
        <w:rPr>
          <w:rFonts w:ascii="Arial" w:hAnsi="Arial" w:cs="Arial"/>
        </w:rPr>
        <w:t>. Community survey on blood donation practices in a northern state of Nigeria.</w:t>
      </w:r>
      <w:r w:rsidRPr="009A0B29">
        <w:rPr>
          <w:rFonts w:ascii="Arial" w:hAnsi="Arial" w:cs="Arial"/>
          <w:i/>
          <w:iCs/>
        </w:rPr>
        <w:t xml:space="preserve"> J Prev Med Hyg</w:t>
      </w:r>
      <w:r w:rsidRPr="009A0B29">
        <w:rPr>
          <w:rFonts w:ascii="Arial" w:hAnsi="Arial" w:cs="Arial"/>
        </w:rPr>
        <w:t>. 52: 21-25.</w:t>
      </w:r>
    </w:p>
    <w:p w:rsidR="009A0B29" w:rsidRPr="009A0B29" w:rsidRDefault="009A0B29" w:rsidP="000D3FAA">
      <w:pPr>
        <w:numPr>
          <w:ilvl w:val="0"/>
          <w:numId w:val="31"/>
        </w:numPr>
        <w:spacing w:before="120" w:after="120" w:line="480" w:lineRule="auto"/>
        <w:ind w:hanging="482"/>
        <w:rPr>
          <w:rFonts w:ascii="Arial" w:hAnsi="Arial" w:cs="Arial"/>
        </w:rPr>
      </w:pPr>
      <w:r w:rsidRPr="009A0B29">
        <w:rPr>
          <w:rFonts w:ascii="Arial" w:hAnsi="Arial" w:cs="Arial"/>
        </w:rPr>
        <w:t xml:space="preserve">Ogbenna AA, Adewoyin SA, Famuyiwa CO, Oyewole KM, Oyediji OA, </w:t>
      </w:r>
      <w:r w:rsidR="00231C77">
        <w:rPr>
          <w:rFonts w:ascii="Arial" w:hAnsi="Arial" w:cs="Arial"/>
        </w:rPr>
        <w:t>&amp;</w:t>
      </w:r>
      <w:r w:rsidRPr="009A0B29">
        <w:rPr>
          <w:rFonts w:ascii="Arial" w:hAnsi="Arial" w:cs="Arial"/>
        </w:rPr>
        <w:t>Akanmu AS</w:t>
      </w:r>
      <w:r w:rsidR="00487FC9">
        <w:rPr>
          <w:rFonts w:ascii="Arial" w:hAnsi="Arial" w:cs="Arial"/>
        </w:rPr>
        <w:t xml:space="preserve"> (2021)</w:t>
      </w:r>
      <w:r w:rsidRPr="009A0B29">
        <w:rPr>
          <w:rFonts w:ascii="Arial" w:hAnsi="Arial" w:cs="Arial"/>
        </w:rPr>
        <w:t xml:space="preserve">. Pattern of Blood Donation and Transfusion Transmissible Infections in a Hospital-Based Blood Transfusion Service in Lagos, Nigeria. </w:t>
      </w:r>
      <w:r w:rsidRPr="009A0B29">
        <w:rPr>
          <w:rFonts w:ascii="Arial" w:hAnsi="Arial" w:cs="Arial"/>
          <w:i/>
          <w:iCs/>
        </w:rPr>
        <w:t>WAJM</w:t>
      </w:r>
      <w:r w:rsidRPr="009A0B29">
        <w:rPr>
          <w:rFonts w:ascii="Arial" w:hAnsi="Arial" w:cs="Arial"/>
        </w:rPr>
        <w:t>; 38(11): 1088-1094.</w:t>
      </w:r>
    </w:p>
    <w:p w:rsidR="009A0B29" w:rsidRPr="009A0B29" w:rsidRDefault="009A0B29" w:rsidP="000D3FAA">
      <w:pPr>
        <w:numPr>
          <w:ilvl w:val="0"/>
          <w:numId w:val="31"/>
        </w:numPr>
        <w:spacing w:before="120" w:after="120" w:line="480" w:lineRule="auto"/>
        <w:ind w:hanging="482"/>
        <w:rPr>
          <w:rFonts w:ascii="Arial" w:hAnsi="Arial" w:cs="Arial"/>
        </w:rPr>
      </w:pPr>
      <w:r w:rsidRPr="009A0B29">
        <w:rPr>
          <w:rFonts w:ascii="Arial" w:hAnsi="Arial" w:cs="Arial"/>
        </w:rPr>
        <w:t xml:space="preserve">Ugwu AO, Madu AJ, Efobi CC, </w:t>
      </w:r>
      <w:r w:rsidR="00231C77">
        <w:rPr>
          <w:rFonts w:ascii="Arial" w:hAnsi="Arial" w:cs="Arial"/>
        </w:rPr>
        <w:t>&amp;</w:t>
      </w:r>
      <w:r w:rsidR="002A3559">
        <w:rPr>
          <w:rFonts w:ascii="Arial" w:hAnsi="Arial" w:cs="Arial"/>
        </w:rPr>
        <w:t xml:space="preserve"> </w:t>
      </w:r>
      <w:r w:rsidRPr="009A0B29">
        <w:rPr>
          <w:rFonts w:ascii="Arial" w:hAnsi="Arial" w:cs="Arial"/>
        </w:rPr>
        <w:t>Ibegbulam OG</w:t>
      </w:r>
      <w:r w:rsidR="00487FC9">
        <w:rPr>
          <w:rFonts w:ascii="Arial" w:hAnsi="Arial" w:cs="Arial"/>
        </w:rPr>
        <w:t xml:space="preserve"> (2018)</w:t>
      </w:r>
      <w:r w:rsidRPr="009A0B29">
        <w:rPr>
          <w:rFonts w:ascii="Arial" w:hAnsi="Arial" w:cs="Arial"/>
        </w:rPr>
        <w:t xml:space="preserve">. Pattern of blood donation and characteristics of blood donors in Enugu, Southeast Nigeria. </w:t>
      </w:r>
      <w:r w:rsidRPr="009A0B29">
        <w:rPr>
          <w:rFonts w:ascii="Arial" w:hAnsi="Arial" w:cs="Arial"/>
          <w:i/>
          <w:iCs/>
        </w:rPr>
        <w:t>Niger J Clin Pract</w:t>
      </w:r>
      <w:r w:rsidRPr="009A0B29">
        <w:rPr>
          <w:rFonts w:ascii="Arial" w:hAnsi="Arial" w:cs="Arial"/>
        </w:rPr>
        <w:t xml:space="preserve">;21:1438-1443 </w:t>
      </w:r>
      <w:r w:rsidR="001E3EB1">
        <w:rPr>
          <w:rFonts w:ascii="Arial" w:hAnsi="Arial" w:cs="Arial"/>
          <w:i/>
          <w:iCs/>
        </w:rPr>
        <w:t>doi</w:t>
      </w:r>
      <w:r w:rsidRPr="009A0B29">
        <w:rPr>
          <w:rFonts w:ascii="Arial" w:hAnsi="Arial" w:cs="Arial"/>
          <w:i/>
          <w:iCs/>
        </w:rPr>
        <w:t>:</w:t>
      </w:r>
      <w:r w:rsidRPr="009A0B29">
        <w:rPr>
          <w:rFonts w:ascii="Arial" w:hAnsi="Arial" w:cs="Arial"/>
        </w:rPr>
        <w:t>10.4103/njcp.njcp_346_17</w:t>
      </w:r>
    </w:p>
    <w:p w:rsidR="002A3559" w:rsidRDefault="009A0B29" w:rsidP="002A3559">
      <w:pPr>
        <w:numPr>
          <w:ilvl w:val="0"/>
          <w:numId w:val="31"/>
        </w:numPr>
        <w:spacing w:before="120" w:after="120" w:line="480" w:lineRule="auto"/>
        <w:ind w:hanging="482"/>
        <w:rPr>
          <w:rFonts w:ascii="Arial" w:hAnsi="Arial" w:cs="Arial"/>
        </w:rPr>
      </w:pPr>
      <w:r w:rsidRPr="009A0B29">
        <w:rPr>
          <w:rFonts w:ascii="Arial" w:hAnsi="Arial" w:cs="Arial"/>
        </w:rPr>
        <w:t xml:space="preserve">Pondei K, Lawani E, </w:t>
      </w:r>
      <w:r w:rsidR="00231C77">
        <w:rPr>
          <w:rFonts w:ascii="Arial" w:hAnsi="Arial" w:cs="Arial"/>
        </w:rPr>
        <w:t>&amp;</w:t>
      </w:r>
      <w:r w:rsidR="009E55DD">
        <w:rPr>
          <w:rFonts w:ascii="Arial" w:hAnsi="Arial" w:cs="Arial"/>
        </w:rPr>
        <w:t xml:space="preserve"> </w:t>
      </w:r>
      <w:r w:rsidRPr="009A0B29">
        <w:rPr>
          <w:rFonts w:ascii="Arial" w:hAnsi="Arial" w:cs="Arial"/>
        </w:rPr>
        <w:t>Pughikumo C</w:t>
      </w:r>
      <w:r w:rsidR="00487FC9">
        <w:rPr>
          <w:rFonts w:ascii="Arial" w:hAnsi="Arial" w:cs="Arial"/>
        </w:rPr>
        <w:t xml:space="preserve"> (2013)</w:t>
      </w:r>
      <w:r w:rsidRPr="009A0B29">
        <w:rPr>
          <w:rFonts w:ascii="Arial" w:hAnsi="Arial" w:cs="Arial"/>
        </w:rPr>
        <w:t xml:space="preserve">. Blood donor practices at two blood banks in Bayelsa State, Nigeria. </w:t>
      </w:r>
      <w:r w:rsidRPr="009A0B29">
        <w:rPr>
          <w:rFonts w:ascii="Arial" w:hAnsi="Arial" w:cs="Arial"/>
          <w:i/>
          <w:iCs/>
        </w:rPr>
        <w:t>J Med Med Sci</w:t>
      </w:r>
      <w:r w:rsidRPr="009A0B29">
        <w:rPr>
          <w:rFonts w:ascii="Arial" w:hAnsi="Arial" w:cs="Arial"/>
        </w:rPr>
        <w:t>; 4: 357</w:t>
      </w:r>
      <w:r w:rsidRPr="009A0B29">
        <w:rPr>
          <w:rFonts w:ascii="Arial" w:hAnsi="Arial" w:cs="Arial"/>
        </w:rPr>
        <w:noBreakHyphen/>
        <w:t>361.</w:t>
      </w:r>
      <w:r w:rsidR="001E3EB1" w:rsidRPr="001E3EB1">
        <w:rPr>
          <w:rFonts w:ascii="Arial" w:hAnsi="Arial" w:cs="Arial"/>
          <w:color w:val="FF0000"/>
        </w:rPr>
        <w:t>doi.org/10.14303/jmms.2013.115</w:t>
      </w:r>
    </w:p>
    <w:p w:rsidR="00ED5FE7" w:rsidRPr="00C62A50" w:rsidRDefault="009E55DD" w:rsidP="002A3559">
      <w:pPr>
        <w:numPr>
          <w:ilvl w:val="0"/>
          <w:numId w:val="31"/>
        </w:numPr>
        <w:spacing w:before="120" w:after="120" w:line="480" w:lineRule="auto"/>
        <w:ind w:hanging="482"/>
        <w:rPr>
          <w:rFonts w:ascii="Arial" w:hAnsi="Arial" w:cs="Arial"/>
          <w:color w:val="FF0000"/>
        </w:rPr>
      </w:pPr>
      <w:r w:rsidRPr="00C62A50">
        <w:rPr>
          <w:rFonts w:ascii="Arial" w:hAnsi="Arial" w:cs="Arial"/>
          <w:color w:val="FF0000"/>
          <w:lang w:val="en-GB"/>
        </w:rPr>
        <w:lastRenderedPageBreak/>
        <w:t>Chell K, Davison TE, Masser B, &amp; Jensen K</w:t>
      </w:r>
      <w:r w:rsidR="002A3559" w:rsidRPr="00C62A50">
        <w:rPr>
          <w:rFonts w:ascii="Arial" w:hAnsi="Arial" w:cs="Arial"/>
          <w:color w:val="FF0000"/>
          <w:lang w:val="en-GB"/>
        </w:rPr>
        <w:t xml:space="preserve"> (2018). A systematic review of incentives in blood donation. Transfusion, 58(1), 242-254.</w:t>
      </w:r>
      <w:r w:rsidR="001E3EB1">
        <w:rPr>
          <w:rFonts w:ascii="Arial" w:hAnsi="Arial" w:cs="Arial"/>
          <w:color w:val="FF0000"/>
          <w:lang w:val="en-GB"/>
        </w:rPr>
        <w:t xml:space="preserve"> doi</w:t>
      </w:r>
      <w:r w:rsidR="00C62A50" w:rsidRPr="00C62A50">
        <w:rPr>
          <w:rFonts w:ascii="Arial" w:hAnsi="Arial" w:cs="Arial"/>
          <w:color w:val="FF0000"/>
          <w:lang w:val="en-GB"/>
        </w:rPr>
        <w:t xml:space="preserve"> 10.1111/ trf. 14387 </w:t>
      </w:r>
    </w:p>
    <w:p w:rsidR="00ED5FE7" w:rsidRPr="00C62A50" w:rsidRDefault="00ED5FE7" w:rsidP="000D3FAA">
      <w:pPr>
        <w:numPr>
          <w:ilvl w:val="0"/>
          <w:numId w:val="31"/>
        </w:numPr>
        <w:spacing w:before="120" w:after="120" w:line="480" w:lineRule="auto"/>
        <w:ind w:hanging="482"/>
        <w:rPr>
          <w:rFonts w:ascii="Arial" w:hAnsi="Arial" w:cs="Arial"/>
          <w:color w:val="FF0000"/>
        </w:rPr>
      </w:pPr>
      <w:r w:rsidRPr="00C62A50">
        <w:rPr>
          <w:rFonts w:ascii="Arial" w:hAnsi="Arial" w:cs="Arial"/>
          <w:color w:val="FF0000"/>
        </w:rPr>
        <w:t xml:space="preserve">Ferrari </w:t>
      </w:r>
      <w:r w:rsidR="002A3559" w:rsidRPr="00C62A50">
        <w:rPr>
          <w:rFonts w:ascii="Arial" w:hAnsi="Arial" w:cs="Arial"/>
          <w:color w:val="FF0000"/>
        </w:rPr>
        <w:t>JR, Barone RC, Jason LA, &amp; Rose T (1985)</w:t>
      </w:r>
      <w:r w:rsidRPr="00C62A50">
        <w:rPr>
          <w:rFonts w:ascii="Arial" w:hAnsi="Arial" w:cs="Arial"/>
          <w:color w:val="FF0000"/>
        </w:rPr>
        <w:t>. The use of incentives to increase blood donations. The J</w:t>
      </w:r>
      <w:r w:rsidR="002A3559" w:rsidRPr="00C62A50">
        <w:rPr>
          <w:rFonts w:ascii="Arial" w:hAnsi="Arial" w:cs="Arial"/>
          <w:color w:val="FF0000"/>
        </w:rPr>
        <w:t>ournal of Social Psychology</w:t>
      </w:r>
      <w:r w:rsidR="009E55DD" w:rsidRPr="00C62A50">
        <w:rPr>
          <w:rFonts w:ascii="Arial" w:hAnsi="Arial" w:cs="Arial"/>
          <w:color w:val="FF0000"/>
        </w:rPr>
        <w:t>; 125</w:t>
      </w:r>
      <w:r w:rsidRPr="00C62A50">
        <w:rPr>
          <w:rFonts w:ascii="Arial" w:hAnsi="Arial" w:cs="Arial"/>
          <w:color w:val="FF0000"/>
        </w:rPr>
        <w:t>: 791-3.</w:t>
      </w:r>
      <w:r w:rsidR="00C62A50" w:rsidRPr="00C62A50">
        <w:rPr>
          <w:rFonts w:ascii="Arial" w:hAnsi="Arial" w:cs="Arial"/>
          <w:color w:val="FF0000"/>
        </w:rPr>
        <w:t xml:space="preserve"> </w:t>
      </w:r>
      <w:r w:rsidR="00C62A50" w:rsidRPr="00C62A50">
        <w:rPr>
          <w:rFonts w:ascii="Arial" w:hAnsi="Arial" w:cs="Arial"/>
          <w:color w:val="FF0000"/>
          <w:shd w:val="clear" w:color="auto" w:fill="FFFFFF"/>
        </w:rPr>
        <w:t>DOI: 10.1080/00224545.1985.9713559</w:t>
      </w:r>
    </w:p>
    <w:p w:rsidR="00ED5FE7" w:rsidRPr="00C62A50" w:rsidRDefault="00ED5FE7" w:rsidP="000D3FAA">
      <w:pPr>
        <w:numPr>
          <w:ilvl w:val="0"/>
          <w:numId w:val="31"/>
        </w:numPr>
        <w:spacing w:before="120" w:after="120" w:line="480" w:lineRule="auto"/>
        <w:ind w:hanging="482"/>
        <w:rPr>
          <w:rFonts w:ascii="Arial" w:hAnsi="Arial" w:cs="Arial"/>
          <w:color w:val="FF0000"/>
        </w:rPr>
      </w:pPr>
      <w:r w:rsidRPr="00C62A50">
        <w:rPr>
          <w:rFonts w:ascii="Arial" w:hAnsi="Arial" w:cs="Arial"/>
          <w:color w:val="FF0000"/>
        </w:rPr>
        <w:t xml:space="preserve"> Lacetera N, Macis M, </w:t>
      </w:r>
      <w:r w:rsidR="002A3559" w:rsidRPr="00C62A50">
        <w:rPr>
          <w:rFonts w:ascii="Arial" w:hAnsi="Arial" w:cs="Arial"/>
          <w:color w:val="FF0000"/>
        </w:rPr>
        <w:t xml:space="preserve">&amp; </w:t>
      </w:r>
      <w:r w:rsidRPr="00C62A50">
        <w:rPr>
          <w:rFonts w:ascii="Arial" w:hAnsi="Arial" w:cs="Arial"/>
          <w:color w:val="FF0000"/>
        </w:rPr>
        <w:t>Slonim R</w:t>
      </w:r>
      <w:r w:rsidR="002A3559" w:rsidRPr="00C62A50">
        <w:rPr>
          <w:rFonts w:ascii="Arial" w:hAnsi="Arial" w:cs="Arial"/>
          <w:color w:val="FF0000"/>
        </w:rPr>
        <w:t xml:space="preserve"> (2012)</w:t>
      </w:r>
      <w:r w:rsidRPr="00C62A50">
        <w:rPr>
          <w:rFonts w:ascii="Arial" w:hAnsi="Arial" w:cs="Arial"/>
          <w:color w:val="FF0000"/>
        </w:rPr>
        <w:t>. Will There Be Blood? Incentives and Displacement Effects in Pro-social Behavior. American Econom</w:t>
      </w:r>
      <w:r w:rsidR="002A3559" w:rsidRPr="00C62A50">
        <w:rPr>
          <w:rFonts w:ascii="Arial" w:hAnsi="Arial" w:cs="Arial"/>
          <w:color w:val="FF0000"/>
        </w:rPr>
        <w:t>ic Journal: Economic Policy</w:t>
      </w:r>
      <w:r w:rsidR="009E55DD" w:rsidRPr="00C62A50">
        <w:rPr>
          <w:rFonts w:ascii="Arial" w:hAnsi="Arial" w:cs="Arial"/>
          <w:color w:val="FF0000"/>
        </w:rPr>
        <w:t>; 4</w:t>
      </w:r>
      <w:r w:rsidRPr="00C62A50">
        <w:rPr>
          <w:rFonts w:ascii="Arial" w:hAnsi="Arial" w:cs="Arial"/>
          <w:color w:val="FF0000"/>
        </w:rPr>
        <w:t xml:space="preserve">: 186-223. </w:t>
      </w:r>
      <w:r w:rsidR="00C62A50" w:rsidRPr="00C62A50">
        <w:rPr>
          <w:rFonts w:ascii="Arial" w:hAnsi="Arial" w:cs="Arial"/>
          <w:color w:val="FF0000"/>
          <w:shd w:val="clear" w:color="auto" w:fill="FFFFFF"/>
        </w:rPr>
        <w:t>DOI: 10.1257/pol.4.1.186</w:t>
      </w:r>
    </w:p>
    <w:p w:rsidR="00ED5FE7" w:rsidRPr="00C62A50" w:rsidRDefault="00ED5FE7" w:rsidP="000D3FAA">
      <w:pPr>
        <w:numPr>
          <w:ilvl w:val="0"/>
          <w:numId w:val="31"/>
        </w:numPr>
        <w:spacing w:before="120" w:after="120" w:line="480" w:lineRule="auto"/>
        <w:ind w:hanging="482"/>
        <w:rPr>
          <w:rFonts w:ascii="Arial" w:hAnsi="Arial" w:cs="Arial"/>
          <w:color w:val="FF0000"/>
        </w:rPr>
      </w:pPr>
      <w:r w:rsidRPr="00C62A50">
        <w:rPr>
          <w:rFonts w:ascii="Arial" w:hAnsi="Arial" w:cs="Arial"/>
          <w:color w:val="FF0000"/>
        </w:rPr>
        <w:t>Iaj</w:t>
      </w:r>
      <w:r w:rsidR="002A3559" w:rsidRPr="00C62A50">
        <w:rPr>
          <w:rFonts w:ascii="Arial" w:hAnsi="Arial" w:cs="Arial"/>
          <w:color w:val="FF0000"/>
        </w:rPr>
        <w:t>ya V, Lacetera N, Macis M, &amp; Slonim R (2013)</w:t>
      </w:r>
      <w:r w:rsidRPr="00C62A50">
        <w:rPr>
          <w:rFonts w:ascii="Arial" w:hAnsi="Arial" w:cs="Arial"/>
          <w:color w:val="FF0000"/>
        </w:rPr>
        <w:t xml:space="preserve">. The effects of information, social and financial incentives on voluntary undirected blood donations: Evidence from a field experiment in Argentina. Social Science &amp; </w:t>
      </w:r>
      <w:r w:rsidR="009E55DD" w:rsidRPr="00C62A50">
        <w:rPr>
          <w:rFonts w:ascii="Arial" w:hAnsi="Arial" w:cs="Arial"/>
          <w:color w:val="FF0000"/>
        </w:rPr>
        <w:t>Medicine; 98</w:t>
      </w:r>
      <w:r w:rsidRPr="00C62A50">
        <w:rPr>
          <w:rFonts w:ascii="Arial" w:hAnsi="Arial" w:cs="Arial"/>
          <w:color w:val="FF0000"/>
        </w:rPr>
        <w:t xml:space="preserve">: 214-23. </w:t>
      </w:r>
      <w:r w:rsidR="001E3EB1">
        <w:rPr>
          <w:rFonts w:ascii="Arial" w:hAnsi="Arial" w:cs="Arial"/>
          <w:color w:val="FF0000"/>
        </w:rPr>
        <w:t>DOI.org/10.1016/j.socscimed.2013.09.012</w:t>
      </w:r>
    </w:p>
    <w:p w:rsidR="00ED5FE7" w:rsidRPr="00C62A50" w:rsidRDefault="00ED5FE7" w:rsidP="000D3FAA">
      <w:pPr>
        <w:numPr>
          <w:ilvl w:val="0"/>
          <w:numId w:val="31"/>
        </w:numPr>
        <w:spacing w:before="120" w:after="120" w:line="480" w:lineRule="auto"/>
        <w:ind w:hanging="482"/>
        <w:rPr>
          <w:rFonts w:ascii="Arial" w:hAnsi="Arial" w:cs="Arial"/>
          <w:color w:val="FF0000"/>
        </w:rPr>
      </w:pPr>
      <w:r w:rsidRPr="00C62A50">
        <w:rPr>
          <w:rFonts w:ascii="Arial" w:hAnsi="Arial" w:cs="Arial"/>
          <w:color w:val="FF0000"/>
        </w:rPr>
        <w:t>Royse D</w:t>
      </w:r>
      <w:r w:rsidR="002A3559" w:rsidRPr="00C62A50">
        <w:rPr>
          <w:rFonts w:ascii="Arial" w:hAnsi="Arial" w:cs="Arial"/>
          <w:color w:val="FF0000"/>
        </w:rPr>
        <w:t xml:space="preserve"> (1999)</w:t>
      </w:r>
      <w:r w:rsidRPr="00C62A50">
        <w:rPr>
          <w:rFonts w:ascii="Arial" w:hAnsi="Arial" w:cs="Arial"/>
          <w:color w:val="FF0000"/>
        </w:rPr>
        <w:t>. Exploring ways to retain first-time volunteer blood donors. Resea</w:t>
      </w:r>
      <w:r w:rsidR="002A3559" w:rsidRPr="00C62A50">
        <w:rPr>
          <w:rFonts w:ascii="Arial" w:hAnsi="Arial" w:cs="Arial"/>
          <w:color w:val="FF0000"/>
        </w:rPr>
        <w:t>rch on Social Work Practice</w:t>
      </w:r>
      <w:r w:rsidRPr="00C62A50">
        <w:rPr>
          <w:rFonts w:ascii="Arial" w:hAnsi="Arial" w:cs="Arial"/>
          <w:color w:val="FF0000"/>
        </w:rPr>
        <w:t>;</w:t>
      </w:r>
      <w:r w:rsidR="002A3559" w:rsidRPr="00C62A50">
        <w:rPr>
          <w:rFonts w:ascii="Arial" w:hAnsi="Arial" w:cs="Arial"/>
          <w:color w:val="FF0000"/>
        </w:rPr>
        <w:t xml:space="preserve"> </w:t>
      </w:r>
      <w:r w:rsidRPr="00C62A50">
        <w:rPr>
          <w:rFonts w:ascii="Arial" w:hAnsi="Arial" w:cs="Arial"/>
          <w:color w:val="FF0000"/>
        </w:rPr>
        <w:t xml:space="preserve">9: 76-85. </w:t>
      </w:r>
      <w:r w:rsidR="001E3EB1" w:rsidRPr="001E3EB1">
        <w:rPr>
          <w:rFonts w:ascii="Arial" w:hAnsi="Arial" w:cs="Arial"/>
          <w:color w:val="FF0000"/>
          <w:shd w:val="clear" w:color="auto" w:fill="FFFFFF"/>
        </w:rPr>
        <w:t>doi.org/10.1177/104973159900900106</w:t>
      </w:r>
    </w:p>
    <w:p w:rsidR="00ED5FE7" w:rsidRPr="00C62A50" w:rsidRDefault="00ED5FE7" w:rsidP="000D3FAA">
      <w:pPr>
        <w:numPr>
          <w:ilvl w:val="0"/>
          <w:numId w:val="31"/>
        </w:numPr>
        <w:spacing w:before="120" w:after="120" w:line="480" w:lineRule="auto"/>
        <w:ind w:hanging="482"/>
        <w:rPr>
          <w:rFonts w:ascii="Arial" w:hAnsi="Arial" w:cs="Arial"/>
        </w:rPr>
      </w:pPr>
      <w:r w:rsidRPr="00C62A50">
        <w:rPr>
          <w:rFonts w:ascii="Arial" w:hAnsi="Arial" w:cs="Arial"/>
          <w:color w:val="FF0000"/>
        </w:rPr>
        <w:t xml:space="preserve">Trimmel M, Lattacher H, </w:t>
      </w:r>
      <w:r w:rsidR="002A3559" w:rsidRPr="00C62A50">
        <w:rPr>
          <w:rFonts w:ascii="Arial" w:hAnsi="Arial" w:cs="Arial"/>
          <w:color w:val="FF0000"/>
        </w:rPr>
        <w:t xml:space="preserve">&amp; </w:t>
      </w:r>
      <w:r w:rsidRPr="00C62A50">
        <w:rPr>
          <w:rFonts w:ascii="Arial" w:hAnsi="Arial" w:cs="Arial"/>
          <w:color w:val="FF0000"/>
        </w:rPr>
        <w:t>Janda M</w:t>
      </w:r>
      <w:r w:rsidR="002A3559" w:rsidRPr="00C62A50">
        <w:rPr>
          <w:rFonts w:ascii="Arial" w:hAnsi="Arial" w:cs="Arial"/>
          <w:color w:val="FF0000"/>
        </w:rPr>
        <w:t xml:space="preserve"> (2005)</w:t>
      </w:r>
      <w:r w:rsidRPr="00C62A50">
        <w:rPr>
          <w:rFonts w:ascii="Arial" w:hAnsi="Arial" w:cs="Arial"/>
          <w:color w:val="FF0000"/>
        </w:rPr>
        <w:t>. Voluntary whole-blood donors and compensated platelet donors and plasma donors: Motivation to donate, altruism and aggression. Transf</w:t>
      </w:r>
      <w:r w:rsidR="002A3559" w:rsidRPr="00C62A50">
        <w:rPr>
          <w:rFonts w:ascii="Arial" w:hAnsi="Arial" w:cs="Arial"/>
          <w:color w:val="FF0000"/>
        </w:rPr>
        <w:t>usion and Apheresis Science</w:t>
      </w:r>
      <w:r w:rsidRPr="00C62A50">
        <w:rPr>
          <w:rFonts w:ascii="Arial" w:hAnsi="Arial" w:cs="Arial"/>
          <w:color w:val="FF0000"/>
        </w:rPr>
        <w:t>;</w:t>
      </w:r>
      <w:r w:rsidR="009E55DD" w:rsidRPr="00C62A50">
        <w:rPr>
          <w:rFonts w:ascii="Arial" w:hAnsi="Arial" w:cs="Arial"/>
          <w:color w:val="FF0000"/>
        </w:rPr>
        <w:t xml:space="preserve"> </w:t>
      </w:r>
      <w:r w:rsidRPr="00C62A50">
        <w:rPr>
          <w:rFonts w:ascii="Arial" w:hAnsi="Arial" w:cs="Arial"/>
          <w:color w:val="FF0000"/>
        </w:rPr>
        <w:t>33: 147-55</w:t>
      </w:r>
      <w:r w:rsidRPr="00C62A50">
        <w:rPr>
          <w:rFonts w:ascii="Arial" w:hAnsi="Arial" w:cs="Arial"/>
        </w:rPr>
        <w:t>.</w:t>
      </w:r>
      <w:r w:rsidR="001E3EB1">
        <w:rPr>
          <w:rFonts w:ascii="Arial" w:hAnsi="Arial" w:cs="Arial"/>
        </w:rPr>
        <w:t xml:space="preserve"> </w:t>
      </w:r>
      <w:r w:rsidR="001E3EB1" w:rsidRPr="001E3EB1">
        <w:rPr>
          <w:rFonts w:ascii="Arial" w:hAnsi="Arial" w:cs="Arial"/>
          <w:color w:val="FF0000"/>
          <w:shd w:val="clear" w:color="auto" w:fill="FFFFFF"/>
        </w:rPr>
        <w:t>doi: 10.1016/j.transci.2005.03.011</w:t>
      </w:r>
      <w:r w:rsidRPr="00C62A50">
        <w:rPr>
          <w:rFonts w:ascii="Arial" w:hAnsi="Arial" w:cs="Arial"/>
        </w:rPr>
        <w:t xml:space="preserve"> </w:t>
      </w:r>
    </w:p>
    <w:p w:rsidR="009A0B29" w:rsidRPr="009A0B29" w:rsidRDefault="009A0B29" w:rsidP="000D3FAA">
      <w:pPr>
        <w:numPr>
          <w:ilvl w:val="0"/>
          <w:numId w:val="31"/>
        </w:numPr>
        <w:spacing w:before="120" w:after="120" w:line="480" w:lineRule="auto"/>
        <w:ind w:hanging="482"/>
        <w:rPr>
          <w:rFonts w:ascii="Arial" w:hAnsi="Arial" w:cs="Arial"/>
        </w:rPr>
      </w:pPr>
      <w:r w:rsidRPr="009A0B29">
        <w:rPr>
          <w:rFonts w:ascii="Arial" w:hAnsi="Arial" w:cs="Arial"/>
        </w:rPr>
        <w:t>World Health Organization</w:t>
      </w:r>
      <w:r w:rsidR="00487FC9">
        <w:rPr>
          <w:rFonts w:ascii="Arial" w:hAnsi="Arial" w:cs="Arial"/>
        </w:rPr>
        <w:t xml:space="preserve"> (2016)</w:t>
      </w:r>
      <w:r w:rsidRPr="009A0B29">
        <w:rPr>
          <w:rFonts w:ascii="Arial" w:hAnsi="Arial" w:cs="Arial"/>
        </w:rPr>
        <w:t>. Global Status Report on Blood Safety and</w:t>
      </w:r>
      <w:r w:rsidR="00487FC9">
        <w:rPr>
          <w:rFonts w:ascii="Arial" w:hAnsi="Arial" w:cs="Arial"/>
        </w:rPr>
        <w:t xml:space="preserve"> Availability. Geneva: WHO;</w:t>
      </w:r>
      <w:r w:rsidRPr="009A0B29">
        <w:rPr>
          <w:rFonts w:ascii="Arial" w:hAnsi="Arial" w:cs="Arial"/>
        </w:rPr>
        <w:t>. Available from: https://www.who.int/mediacentre/factsheets/fs279/en/. accessed on the 13th January, 2026.</w:t>
      </w:r>
    </w:p>
    <w:p w:rsidR="009A0B29" w:rsidRPr="009A0B29" w:rsidRDefault="009A0B29" w:rsidP="000D3FAA">
      <w:pPr>
        <w:numPr>
          <w:ilvl w:val="0"/>
          <w:numId w:val="31"/>
        </w:numPr>
        <w:spacing w:before="120" w:after="120" w:line="480" w:lineRule="auto"/>
        <w:ind w:hanging="482"/>
        <w:rPr>
          <w:rFonts w:ascii="Arial" w:hAnsi="Arial" w:cs="Arial"/>
        </w:rPr>
      </w:pPr>
      <w:r w:rsidRPr="009A0B29">
        <w:rPr>
          <w:rFonts w:ascii="Arial" w:hAnsi="Arial" w:cs="Arial"/>
        </w:rPr>
        <w:t xml:space="preserve">Awan SA, Junaid A, </w:t>
      </w:r>
      <w:r w:rsidR="00231C77">
        <w:rPr>
          <w:rFonts w:ascii="Arial" w:hAnsi="Arial" w:cs="Arial"/>
        </w:rPr>
        <w:t>&amp;</w:t>
      </w:r>
      <w:r w:rsidRPr="009A0B29">
        <w:rPr>
          <w:rFonts w:ascii="Arial" w:hAnsi="Arial" w:cs="Arial"/>
        </w:rPr>
        <w:t>Sheikh S</w:t>
      </w:r>
      <w:r w:rsidR="00487FC9">
        <w:rPr>
          <w:rFonts w:ascii="Arial" w:hAnsi="Arial" w:cs="Arial"/>
        </w:rPr>
        <w:t xml:space="preserve"> (2021)</w:t>
      </w:r>
      <w:r w:rsidRPr="009A0B29">
        <w:rPr>
          <w:rFonts w:ascii="Arial" w:hAnsi="Arial" w:cs="Arial"/>
        </w:rPr>
        <w:t xml:space="preserve">. Transfusion Transmissible Infections: Maximizing Donor Surveillance. </w:t>
      </w:r>
      <w:r w:rsidRPr="009A0B29">
        <w:rPr>
          <w:rFonts w:ascii="Arial" w:hAnsi="Arial" w:cs="Arial"/>
          <w:i/>
          <w:iCs/>
        </w:rPr>
        <w:t>Cureus</w:t>
      </w:r>
      <w:r w:rsidRPr="009A0B29">
        <w:rPr>
          <w:rFonts w:ascii="Arial" w:hAnsi="Arial" w:cs="Arial"/>
        </w:rPr>
        <w:t xml:space="preserve">: 10(12); e3787. </w:t>
      </w:r>
      <w:r w:rsidR="001E3EB1" w:rsidRPr="001E3EB1">
        <w:rPr>
          <w:rFonts w:ascii="Arial" w:hAnsi="Arial" w:cs="Arial"/>
          <w:color w:val="FF0000"/>
          <w:shd w:val="clear" w:color="auto" w:fill="FFFFFF"/>
        </w:rPr>
        <w:t>doi: 10.7759/cureus.3787</w:t>
      </w:r>
    </w:p>
    <w:p w:rsidR="009A0B29" w:rsidRPr="009A0B29" w:rsidRDefault="009A0B29" w:rsidP="000D3FAA">
      <w:pPr>
        <w:numPr>
          <w:ilvl w:val="0"/>
          <w:numId w:val="31"/>
        </w:numPr>
        <w:spacing w:before="120" w:after="240" w:line="480" w:lineRule="auto"/>
        <w:ind w:hanging="482"/>
        <w:rPr>
          <w:rFonts w:ascii="Arial" w:hAnsi="Arial" w:cs="Arial"/>
        </w:rPr>
      </w:pPr>
      <w:r w:rsidRPr="009A0B29">
        <w:rPr>
          <w:rFonts w:ascii="Arial" w:hAnsi="Arial" w:cs="Arial"/>
        </w:rPr>
        <w:t>National Health Act 2014 (NHA 2014), ss 47, 48, and 53.</w:t>
      </w:r>
    </w:p>
    <w:p w:rsidR="009A0B29" w:rsidRDefault="009A0B29" w:rsidP="000D3FAA">
      <w:pPr>
        <w:pStyle w:val="ReferHead"/>
        <w:spacing w:after="0" w:line="480" w:lineRule="auto"/>
        <w:jc w:val="both"/>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597DC1">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25B" w:rsidRDefault="0032625B" w:rsidP="00C37E61">
      <w:r>
        <w:separator/>
      </w:r>
    </w:p>
  </w:endnote>
  <w:endnote w:type="continuationSeparator" w:id="1">
    <w:p w:rsidR="0032625B" w:rsidRDefault="0032625B"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C1" w:rsidRDefault="00597D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C1" w:rsidRDefault="00597D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25B" w:rsidRDefault="0032625B" w:rsidP="00C37E61">
      <w:r>
        <w:separator/>
      </w:r>
    </w:p>
  </w:footnote>
  <w:footnote w:type="continuationSeparator" w:id="1">
    <w:p w:rsidR="0032625B" w:rsidRDefault="0032625B"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C1" w:rsidRDefault="00F25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C1" w:rsidRDefault="00F25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F25473" w:rsidP="00296529">
    <w:pPr>
      <w:ind w:left="2160"/>
      <w:jc w:val="center"/>
      <w:rPr>
        <w:rFonts w:ascii="Times New Roman" w:eastAsia="Calibri" w:hAnsi="Times New Roman"/>
        <w:i/>
        <w:sz w:val="18"/>
        <w:szCs w:val="22"/>
      </w:rPr>
    </w:pPr>
    <w:r w:rsidRPr="00F254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C1" w:rsidRDefault="00F25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C1" w:rsidRDefault="00F25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C1" w:rsidRDefault="00F25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A47FA"/>
    <w:rsid w:val="000A4944"/>
    <w:rsid w:val="000A65D3"/>
    <w:rsid w:val="000B1E33"/>
    <w:rsid w:val="000D3FAA"/>
    <w:rsid w:val="000D689F"/>
    <w:rsid w:val="000D7293"/>
    <w:rsid w:val="000E7B7B"/>
    <w:rsid w:val="000E7D62"/>
    <w:rsid w:val="00103357"/>
    <w:rsid w:val="00116BEF"/>
    <w:rsid w:val="00123C9F"/>
    <w:rsid w:val="00126190"/>
    <w:rsid w:val="00130F17"/>
    <w:rsid w:val="001320BF"/>
    <w:rsid w:val="00135CA5"/>
    <w:rsid w:val="00156F74"/>
    <w:rsid w:val="00163BC4"/>
    <w:rsid w:val="00191062"/>
    <w:rsid w:val="00192B72"/>
    <w:rsid w:val="001A29D8"/>
    <w:rsid w:val="001A5CAA"/>
    <w:rsid w:val="001B0427"/>
    <w:rsid w:val="001D3A51"/>
    <w:rsid w:val="001E10D2"/>
    <w:rsid w:val="001E25B4"/>
    <w:rsid w:val="001E34DC"/>
    <w:rsid w:val="001E3EB1"/>
    <w:rsid w:val="001E44FE"/>
    <w:rsid w:val="001F78E4"/>
    <w:rsid w:val="00200595"/>
    <w:rsid w:val="00204835"/>
    <w:rsid w:val="00231920"/>
    <w:rsid w:val="0023195C"/>
    <w:rsid w:val="00231C77"/>
    <w:rsid w:val="0024282C"/>
    <w:rsid w:val="002460DC"/>
    <w:rsid w:val="00250985"/>
    <w:rsid w:val="002556F6"/>
    <w:rsid w:val="00283105"/>
    <w:rsid w:val="00284C4C"/>
    <w:rsid w:val="00287E68"/>
    <w:rsid w:val="00296529"/>
    <w:rsid w:val="002A3559"/>
    <w:rsid w:val="002B27FB"/>
    <w:rsid w:val="002B685A"/>
    <w:rsid w:val="002C57D2"/>
    <w:rsid w:val="002E0D56"/>
    <w:rsid w:val="00315186"/>
    <w:rsid w:val="0032625B"/>
    <w:rsid w:val="0033343E"/>
    <w:rsid w:val="00344B46"/>
    <w:rsid w:val="003455F7"/>
    <w:rsid w:val="003512C2"/>
    <w:rsid w:val="00371FB6"/>
    <w:rsid w:val="003763C1"/>
    <w:rsid w:val="00376BBE"/>
    <w:rsid w:val="0039224F"/>
    <w:rsid w:val="003A3566"/>
    <w:rsid w:val="003A43A4"/>
    <w:rsid w:val="003A5A6C"/>
    <w:rsid w:val="003A7E18"/>
    <w:rsid w:val="003B0229"/>
    <w:rsid w:val="003C4C86"/>
    <w:rsid w:val="003C6258"/>
    <w:rsid w:val="003E2904"/>
    <w:rsid w:val="003F29BB"/>
    <w:rsid w:val="00401927"/>
    <w:rsid w:val="0041027F"/>
    <w:rsid w:val="0041041E"/>
    <w:rsid w:val="00412475"/>
    <w:rsid w:val="004177AF"/>
    <w:rsid w:val="00423789"/>
    <w:rsid w:val="0043254A"/>
    <w:rsid w:val="00440F43"/>
    <w:rsid w:val="00441B6F"/>
    <w:rsid w:val="00446221"/>
    <w:rsid w:val="00446E4F"/>
    <w:rsid w:val="00447A51"/>
    <w:rsid w:val="00450E62"/>
    <w:rsid w:val="004539DB"/>
    <w:rsid w:val="0046451E"/>
    <w:rsid w:val="00471A80"/>
    <w:rsid w:val="0047205F"/>
    <w:rsid w:val="00487FC9"/>
    <w:rsid w:val="004D305E"/>
    <w:rsid w:val="004D4277"/>
    <w:rsid w:val="00502516"/>
    <w:rsid w:val="00505F06"/>
    <w:rsid w:val="00506828"/>
    <w:rsid w:val="0053056E"/>
    <w:rsid w:val="00554FDA"/>
    <w:rsid w:val="005956D6"/>
    <w:rsid w:val="0059789E"/>
    <w:rsid w:val="00597DC1"/>
    <w:rsid w:val="005C784C"/>
    <w:rsid w:val="005D17F6"/>
    <w:rsid w:val="005E5539"/>
    <w:rsid w:val="005F4967"/>
    <w:rsid w:val="00602BF5"/>
    <w:rsid w:val="00617FDD"/>
    <w:rsid w:val="00633614"/>
    <w:rsid w:val="00633F68"/>
    <w:rsid w:val="00636EB2"/>
    <w:rsid w:val="006375B8"/>
    <w:rsid w:val="00641A5A"/>
    <w:rsid w:val="00646BF9"/>
    <w:rsid w:val="0066510A"/>
    <w:rsid w:val="00673F9F"/>
    <w:rsid w:val="00686953"/>
    <w:rsid w:val="00687DEA"/>
    <w:rsid w:val="00687E67"/>
    <w:rsid w:val="006967F7"/>
    <w:rsid w:val="006A1F8C"/>
    <w:rsid w:val="006A250C"/>
    <w:rsid w:val="006A434F"/>
    <w:rsid w:val="006B21D3"/>
    <w:rsid w:val="006B57D0"/>
    <w:rsid w:val="006D1FBA"/>
    <w:rsid w:val="006D30FF"/>
    <w:rsid w:val="006D6940"/>
    <w:rsid w:val="006F11EC"/>
    <w:rsid w:val="0070082C"/>
    <w:rsid w:val="0071246F"/>
    <w:rsid w:val="007369E6"/>
    <w:rsid w:val="00740110"/>
    <w:rsid w:val="00746E59"/>
    <w:rsid w:val="00754C9A"/>
    <w:rsid w:val="0075599A"/>
    <w:rsid w:val="00761D52"/>
    <w:rsid w:val="0077749E"/>
    <w:rsid w:val="00790ADA"/>
    <w:rsid w:val="007D2288"/>
    <w:rsid w:val="007D31D4"/>
    <w:rsid w:val="007E088F"/>
    <w:rsid w:val="007F7B32"/>
    <w:rsid w:val="00804BC2"/>
    <w:rsid w:val="0081431A"/>
    <w:rsid w:val="0083216F"/>
    <w:rsid w:val="00852EFC"/>
    <w:rsid w:val="00860000"/>
    <w:rsid w:val="00863BD3"/>
    <w:rsid w:val="008641ED"/>
    <w:rsid w:val="00866D66"/>
    <w:rsid w:val="008671C6"/>
    <w:rsid w:val="00875803"/>
    <w:rsid w:val="008B459E"/>
    <w:rsid w:val="008E13AE"/>
    <w:rsid w:val="008E1506"/>
    <w:rsid w:val="008E710C"/>
    <w:rsid w:val="008F50C4"/>
    <w:rsid w:val="008F69D6"/>
    <w:rsid w:val="00902823"/>
    <w:rsid w:val="00915CA6"/>
    <w:rsid w:val="00927834"/>
    <w:rsid w:val="009500A6"/>
    <w:rsid w:val="00957C18"/>
    <w:rsid w:val="009659BA"/>
    <w:rsid w:val="00972BA3"/>
    <w:rsid w:val="00975C97"/>
    <w:rsid w:val="00983040"/>
    <w:rsid w:val="0099439D"/>
    <w:rsid w:val="009A0B29"/>
    <w:rsid w:val="009B00D7"/>
    <w:rsid w:val="009B3FB9"/>
    <w:rsid w:val="009C03CC"/>
    <w:rsid w:val="009C1E35"/>
    <w:rsid w:val="009C2465"/>
    <w:rsid w:val="009D35A0"/>
    <w:rsid w:val="009D7EB7"/>
    <w:rsid w:val="009E048A"/>
    <w:rsid w:val="009E08E9"/>
    <w:rsid w:val="009E2D05"/>
    <w:rsid w:val="009E3DB9"/>
    <w:rsid w:val="009E55DD"/>
    <w:rsid w:val="009E6E35"/>
    <w:rsid w:val="009F0EDA"/>
    <w:rsid w:val="00A03B96"/>
    <w:rsid w:val="00A05B19"/>
    <w:rsid w:val="00A1134E"/>
    <w:rsid w:val="00A16A9A"/>
    <w:rsid w:val="00A24E7E"/>
    <w:rsid w:val="00A258C3"/>
    <w:rsid w:val="00A347C0"/>
    <w:rsid w:val="00A51431"/>
    <w:rsid w:val="00A539AD"/>
    <w:rsid w:val="00A94063"/>
    <w:rsid w:val="00AA6219"/>
    <w:rsid w:val="00AA74E0"/>
    <w:rsid w:val="00AB703F"/>
    <w:rsid w:val="00AC6BB8"/>
    <w:rsid w:val="00AE008F"/>
    <w:rsid w:val="00AE6686"/>
    <w:rsid w:val="00B01FCD"/>
    <w:rsid w:val="00B02BFA"/>
    <w:rsid w:val="00B1776C"/>
    <w:rsid w:val="00B52583"/>
    <w:rsid w:val="00B52896"/>
    <w:rsid w:val="00B62BC4"/>
    <w:rsid w:val="00B6652F"/>
    <w:rsid w:val="00B95236"/>
    <w:rsid w:val="00B96BD9"/>
    <w:rsid w:val="00BA1B01"/>
    <w:rsid w:val="00BA2641"/>
    <w:rsid w:val="00BB0463"/>
    <w:rsid w:val="00BB37AA"/>
    <w:rsid w:val="00BC53A0"/>
    <w:rsid w:val="00BE3863"/>
    <w:rsid w:val="00BE62AD"/>
    <w:rsid w:val="00BF121F"/>
    <w:rsid w:val="00BF1F80"/>
    <w:rsid w:val="00BF3776"/>
    <w:rsid w:val="00C166EF"/>
    <w:rsid w:val="00C17EB0"/>
    <w:rsid w:val="00C27F5F"/>
    <w:rsid w:val="00C30A0F"/>
    <w:rsid w:val="00C37E61"/>
    <w:rsid w:val="00C62A50"/>
    <w:rsid w:val="00C70F1B"/>
    <w:rsid w:val="00C71A47"/>
    <w:rsid w:val="00C7464C"/>
    <w:rsid w:val="00C85588"/>
    <w:rsid w:val="00CA7797"/>
    <w:rsid w:val="00CD6755"/>
    <w:rsid w:val="00CD6856"/>
    <w:rsid w:val="00CE0089"/>
    <w:rsid w:val="00CE793C"/>
    <w:rsid w:val="00CF13F5"/>
    <w:rsid w:val="00CF193C"/>
    <w:rsid w:val="00D10EF9"/>
    <w:rsid w:val="00D173F1"/>
    <w:rsid w:val="00D74CB0"/>
    <w:rsid w:val="00D8295D"/>
    <w:rsid w:val="00DC2A65"/>
    <w:rsid w:val="00DE15F0"/>
    <w:rsid w:val="00DE5663"/>
    <w:rsid w:val="00DE78AA"/>
    <w:rsid w:val="00E053D0"/>
    <w:rsid w:val="00E15994"/>
    <w:rsid w:val="00E1614B"/>
    <w:rsid w:val="00E3114E"/>
    <w:rsid w:val="00E31A70"/>
    <w:rsid w:val="00E35B02"/>
    <w:rsid w:val="00E660AF"/>
    <w:rsid w:val="00E66496"/>
    <w:rsid w:val="00E66B35"/>
    <w:rsid w:val="00E66E10"/>
    <w:rsid w:val="00E769F6"/>
    <w:rsid w:val="00E8407C"/>
    <w:rsid w:val="00E84F3C"/>
    <w:rsid w:val="00E878BD"/>
    <w:rsid w:val="00EA012C"/>
    <w:rsid w:val="00EC33F1"/>
    <w:rsid w:val="00EC6A55"/>
    <w:rsid w:val="00ED0288"/>
    <w:rsid w:val="00ED2D16"/>
    <w:rsid w:val="00ED5FE7"/>
    <w:rsid w:val="00ED66D8"/>
    <w:rsid w:val="00EE52CB"/>
    <w:rsid w:val="00EF581D"/>
    <w:rsid w:val="00EF7FD8"/>
    <w:rsid w:val="00F06F59"/>
    <w:rsid w:val="00F17988"/>
    <w:rsid w:val="00F25473"/>
    <w:rsid w:val="00F469F0"/>
    <w:rsid w:val="00F51AB3"/>
    <w:rsid w:val="00F53273"/>
    <w:rsid w:val="00F65617"/>
    <w:rsid w:val="00F755E4"/>
    <w:rsid w:val="00F77D02"/>
    <w:rsid w:val="00FB3A86"/>
    <w:rsid w:val="00FB4ADC"/>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6A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A16A9A"/>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6D1FBA"/>
    <w:rPr>
      <w:color w:val="605E5C"/>
      <w:shd w:val="clear" w:color="auto" w:fill="E1DFDD"/>
    </w:rPr>
  </w:style>
  <w:style w:type="table" w:customStyle="1" w:styleId="TableGrid1">
    <w:name w:val="Table Grid1"/>
    <w:basedOn w:val="TableNormal"/>
    <w:next w:val="TableGrid"/>
    <w:uiPriority w:val="39"/>
    <w:rsid w:val="00D10EF9"/>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3559"/>
    <w:pPr>
      <w:ind w:left="720"/>
      <w:contextualSpacing/>
    </w:p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08510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publications/i/item/978924154851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fro.who.int/countries/nigeria/news/blood-donation-selfless-life-saving-Accessed" TargetMode="External"/><Relationship Id="rId2" Type="http://schemas.openxmlformats.org/officeDocument/2006/relationships/numbering" Target="numbering.xml"/><Relationship Id="rId16" Type="http://schemas.openxmlformats.org/officeDocument/2006/relationships/hyperlink" Target="https://bit.ly/3i80DG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ho.int/entity/phi/publications/improving_access_safe_blood_products/en/201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mediacentre/factsheets/fs279/en/"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D2D93-F791-458E-95FB-C030AD7B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261</TotalTime>
  <Pages>9</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 X360</cp:lastModifiedBy>
  <cp:revision>29</cp:revision>
  <cp:lastPrinted>1999-07-06T11:00:00Z</cp:lastPrinted>
  <dcterms:created xsi:type="dcterms:W3CDTF">2026-01-15T13:59:00Z</dcterms:created>
  <dcterms:modified xsi:type="dcterms:W3CDTF">2026-01-18T11:53:00Z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b922b024-bd75-40bd-9edf-d93c4e32f006</vt:lpwstr>
  </property>
</Properties>
</file>