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26AC3" w14:textId="77777777" w:rsidR="000E1074" w:rsidRDefault="000E1074" w:rsidP="00CB5290">
      <w:pPr>
        <w:spacing w:after="0" w:line="360" w:lineRule="auto"/>
        <w:jc w:val="both"/>
        <w:outlineLvl w:val="1"/>
        <w:rPr>
          <w:rFonts w:ascii="Arial" w:eastAsia="Times New Roman" w:hAnsi="Arial" w:cs="Arial"/>
          <w:b/>
          <w:bCs/>
          <w:kern w:val="0"/>
          <w:sz w:val="24"/>
          <w:szCs w:val="24"/>
          <w:lang w:eastAsia="en-IN"/>
          <w14:ligatures w14:val="none"/>
        </w:rPr>
      </w:pPr>
      <w:r w:rsidRPr="00A37C08">
        <w:rPr>
          <w:rFonts w:ascii="Arial" w:eastAsia="Times New Roman" w:hAnsi="Arial" w:cs="Arial"/>
          <w:b/>
          <w:bCs/>
          <w:kern w:val="0"/>
          <w:sz w:val="24"/>
          <w:szCs w:val="24"/>
          <w:lang w:eastAsia="en-IN"/>
          <w14:ligatures w14:val="none"/>
        </w:rPr>
        <w:t xml:space="preserve">Can </w:t>
      </w:r>
      <w:proofErr w:type="spellStart"/>
      <w:r w:rsidRPr="00A37C08">
        <w:rPr>
          <w:rFonts w:ascii="Arial" w:eastAsia="Times New Roman" w:hAnsi="Arial" w:cs="Arial"/>
          <w:b/>
          <w:bCs/>
          <w:kern w:val="0"/>
          <w:sz w:val="24"/>
          <w:szCs w:val="24"/>
          <w:lang w:eastAsia="en-IN"/>
          <w14:ligatures w14:val="none"/>
        </w:rPr>
        <w:t>Akkermansia</w:t>
      </w:r>
      <w:proofErr w:type="spellEnd"/>
      <w:r w:rsidRPr="00A37C08">
        <w:rPr>
          <w:rFonts w:ascii="Arial" w:eastAsia="Times New Roman" w:hAnsi="Arial" w:cs="Arial"/>
          <w:b/>
          <w:bCs/>
          <w:kern w:val="0"/>
          <w:sz w:val="24"/>
          <w:szCs w:val="24"/>
          <w:lang w:eastAsia="en-IN"/>
          <w14:ligatures w14:val="none"/>
        </w:rPr>
        <w:t xml:space="preserve"> </w:t>
      </w:r>
      <w:proofErr w:type="spellStart"/>
      <w:r w:rsidRPr="00A37C08">
        <w:rPr>
          <w:rFonts w:ascii="Arial" w:eastAsia="Times New Roman" w:hAnsi="Arial" w:cs="Arial"/>
          <w:b/>
          <w:bCs/>
          <w:kern w:val="0"/>
          <w:sz w:val="24"/>
          <w:szCs w:val="24"/>
          <w:lang w:eastAsia="en-IN"/>
          <w14:ligatures w14:val="none"/>
        </w:rPr>
        <w:t>muciniphila</w:t>
      </w:r>
      <w:proofErr w:type="spellEnd"/>
      <w:r w:rsidRPr="00A37C08">
        <w:rPr>
          <w:rFonts w:ascii="Arial" w:eastAsia="Times New Roman" w:hAnsi="Arial" w:cs="Arial"/>
          <w:b/>
          <w:bCs/>
          <w:kern w:val="0"/>
          <w:sz w:val="24"/>
          <w:szCs w:val="24"/>
          <w:lang w:eastAsia="en-IN"/>
          <w14:ligatures w14:val="none"/>
        </w:rPr>
        <w:t xml:space="preserve"> Serve as a Prognostic Indicator of Type 2 Diabetes Mellitus? A Narrative Review</w:t>
      </w:r>
    </w:p>
    <w:p w14:paraId="1D644F4D" w14:textId="77777777" w:rsidR="00A37C08" w:rsidRPr="00A37C08" w:rsidRDefault="00A37C08" w:rsidP="00CB5290">
      <w:pPr>
        <w:spacing w:after="0" w:line="360" w:lineRule="auto"/>
        <w:jc w:val="both"/>
        <w:outlineLvl w:val="1"/>
        <w:rPr>
          <w:rFonts w:ascii="Arial" w:eastAsia="Times New Roman" w:hAnsi="Arial" w:cs="Arial"/>
          <w:b/>
          <w:bCs/>
          <w:kern w:val="0"/>
          <w:sz w:val="24"/>
          <w:szCs w:val="24"/>
          <w:lang w:eastAsia="en-IN"/>
          <w14:ligatures w14:val="none"/>
        </w:rPr>
      </w:pPr>
    </w:p>
    <w:p w14:paraId="41B6AE74" w14:textId="77777777" w:rsidR="000E1074" w:rsidRPr="00A37C08" w:rsidRDefault="000E1074" w:rsidP="00CB5290">
      <w:pPr>
        <w:spacing w:after="0" w:line="360" w:lineRule="auto"/>
        <w:jc w:val="both"/>
        <w:outlineLvl w:val="1"/>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Abstract</w:t>
      </w:r>
    </w:p>
    <w:p w14:paraId="184F7C79" w14:textId="18CCB860" w:rsidR="000E1074"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Type 2 diabetes mellitus (T2DM) is a heterogeneous metabolic disorder characterized by progressive </w:t>
      </w:r>
      <w:proofErr w:type="spellStart"/>
      <w:r w:rsidRPr="00A37C08">
        <w:rPr>
          <w:rFonts w:ascii="Arial" w:eastAsia="Times New Roman" w:hAnsi="Arial" w:cs="Arial"/>
          <w:kern w:val="0"/>
          <w:sz w:val="20"/>
          <w:szCs w:val="20"/>
          <w:lang w:eastAsia="en-IN"/>
          <w14:ligatures w14:val="none"/>
        </w:rPr>
        <w:t>dysglycemia</w:t>
      </w:r>
      <w:proofErr w:type="spellEnd"/>
      <w:r w:rsidRPr="00A37C08">
        <w:rPr>
          <w:rFonts w:ascii="Arial" w:eastAsia="Times New Roman" w:hAnsi="Arial" w:cs="Arial"/>
          <w:kern w:val="0"/>
          <w:sz w:val="20"/>
          <w:szCs w:val="20"/>
          <w:lang w:eastAsia="en-IN"/>
          <w14:ligatures w14:val="none"/>
        </w:rPr>
        <w:t xml:space="preserve">, insulin resistance, and variable trajectories of complications. In parallel with advances in host genomics and metabolomics, the gut microbiome has emerged as a candidate layer of biological information that may refine risk stratification and prognosis. Among gut taxa repeatedly linked to metabolic health,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i/>
          <w:iCs/>
          <w:kern w:val="0"/>
          <w:sz w:val="20"/>
          <w:szCs w:val="20"/>
          <w:lang w:eastAsia="en-IN"/>
          <w14:ligatures w14:val="none"/>
        </w:rPr>
        <w:t xml:space="preserve">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—a mucin-degrading bacterium residing near the intestinal mucus layer—has attracted exceptional interest because of its mechanistic plausibility, consistent inverse associations with metabolic dysfunction, and early translational evidence from human supplementation studies. This narrative review evaluates whether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can credibly serve as a prognostic indicator for T2DM onset, progression, or therapeutic response. We synthesize evidence from metagenomic case–control studies, cross-cohort meta-analyses, longitudinal datasets, and interventional trials, with special attention to confounding by antidiabetic drugs, strain-level heterogeneity within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and analytic considerations relevant to biomarker development. Across studies, lower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abundance is commonly associated with T2DM and related phenotypes, while baseline abundance may modify responses to microbiome-targeted and metabolic interventions. However, the pathway from association to validated prognostic biomarker is constrained by variability in assays, </w:t>
      </w:r>
      <w:r w:rsidRPr="00E01CB9">
        <w:rPr>
          <w:rFonts w:ascii="Arial" w:eastAsia="Times New Roman" w:hAnsi="Arial" w:cs="Arial"/>
          <w:kern w:val="0"/>
          <w:sz w:val="20"/>
          <w:szCs w:val="20"/>
          <w:highlight w:val="yellow"/>
          <w:lang w:eastAsia="en-IN"/>
          <w14:ligatures w14:val="none"/>
        </w:rPr>
        <w:t>geography</w:t>
      </w:r>
      <w:r w:rsidR="00E01CB9" w:rsidRPr="00E01CB9">
        <w:rPr>
          <w:rFonts w:ascii="Arial" w:eastAsia="Times New Roman" w:hAnsi="Arial" w:cs="Arial"/>
          <w:kern w:val="0"/>
          <w:sz w:val="20"/>
          <w:szCs w:val="20"/>
          <w:highlight w:val="yellow"/>
          <w:lang w:eastAsia="en-IN"/>
          <w14:ligatures w14:val="none"/>
        </w:rPr>
        <w:t xml:space="preserve">, </w:t>
      </w:r>
      <w:r w:rsidRPr="00E01CB9">
        <w:rPr>
          <w:rFonts w:ascii="Arial" w:eastAsia="Times New Roman" w:hAnsi="Arial" w:cs="Arial"/>
          <w:kern w:val="0"/>
          <w:sz w:val="20"/>
          <w:szCs w:val="20"/>
          <w:highlight w:val="yellow"/>
          <w:lang w:eastAsia="en-IN"/>
          <w14:ligatures w14:val="none"/>
        </w:rPr>
        <w:t>and diet</w:t>
      </w:r>
      <w:r w:rsidRPr="00A37C08">
        <w:rPr>
          <w:rFonts w:ascii="Arial" w:eastAsia="Times New Roman" w:hAnsi="Arial" w:cs="Arial"/>
          <w:kern w:val="0"/>
          <w:sz w:val="20"/>
          <w:szCs w:val="20"/>
          <w:lang w:eastAsia="en-IN"/>
          <w14:ligatures w14:val="none"/>
        </w:rPr>
        <w:t xml:space="preserve">-linked ecology, medication confounding (notably metformin), and incomplete understanding of the clinically relevant strain/functions. We conclude that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is best viewed as a promising component of multivariable prognostic models rather than a stand-alone marker, with near-term utility most plausible for predicting metabolic response phenotypes and for refining risk scores in prediabetes and early T2DM.</w:t>
      </w:r>
      <w:r w:rsidR="00CB5290">
        <w:rPr>
          <w:rFonts w:ascii="Arial" w:eastAsia="Times New Roman" w:hAnsi="Arial" w:cs="Arial"/>
          <w:kern w:val="0"/>
          <w:sz w:val="20"/>
          <w:szCs w:val="20"/>
          <w:lang w:eastAsia="en-IN"/>
          <w14:ligatures w14:val="none"/>
        </w:rPr>
        <w:t xml:space="preserve"> </w:t>
      </w:r>
      <w:r w:rsidR="00CB5290" w:rsidRPr="00E01CB9">
        <w:rPr>
          <w:rFonts w:ascii="Arial" w:eastAsia="Times New Roman" w:hAnsi="Arial" w:cs="Arial"/>
          <w:kern w:val="0"/>
          <w:sz w:val="20"/>
          <w:szCs w:val="20"/>
          <w:highlight w:val="yellow"/>
          <w:lang w:eastAsia="en-IN"/>
          <w14:ligatures w14:val="none"/>
        </w:rPr>
        <w:t>Future progress will depend on prospective, multi-ethnic longitudinal cohorts with repeated sampling, standardized quantification methods, and external validation of prediction models that explicitly incorporate medication exposure. Parallel development of strain-level or function-based assays will be critical to convert a promising ecological signal into a clinically reliable prognostic tool.</w:t>
      </w:r>
    </w:p>
    <w:p w14:paraId="15E0154C"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532242A4" w14:textId="68E7AB12" w:rsidR="000E1074"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b/>
          <w:bCs/>
          <w:kern w:val="0"/>
          <w:sz w:val="20"/>
          <w:szCs w:val="20"/>
          <w:lang w:eastAsia="en-IN"/>
          <w14:ligatures w14:val="none"/>
        </w:rPr>
        <w:t>Keywords:</w:t>
      </w:r>
      <w:r w:rsidRPr="00A37C08">
        <w:rPr>
          <w:rFonts w:ascii="Arial" w:eastAsia="Times New Roman" w:hAnsi="Arial" w:cs="Arial"/>
          <w:kern w:val="0"/>
          <w:sz w:val="20"/>
          <w:szCs w:val="20"/>
          <w:lang w:eastAsia="en-IN"/>
          <w14:ligatures w14:val="none"/>
        </w:rPr>
        <w:t xml:space="preserv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i/>
          <w:iCs/>
          <w:kern w:val="0"/>
          <w:sz w:val="20"/>
          <w:szCs w:val="20"/>
          <w:lang w:eastAsia="en-IN"/>
          <w14:ligatures w14:val="none"/>
        </w:rPr>
        <w:t xml:space="preserve">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type 2 diabetes mellitus; gut microbiome; prognosis; biomarker; metagenomics; metformin; </w:t>
      </w:r>
      <w:proofErr w:type="spellStart"/>
      <w:r w:rsidRPr="00A37C08">
        <w:rPr>
          <w:rFonts w:ascii="Arial" w:eastAsia="Times New Roman" w:hAnsi="Arial" w:cs="Arial"/>
          <w:kern w:val="0"/>
          <w:sz w:val="20"/>
          <w:szCs w:val="20"/>
          <w:lang w:eastAsia="en-IN"/>
          <w14:ligatures w14:val="none"/>
        </w:rPr>
        <w:t>glycemic</w:t>
      </w:r>
      <w:proofErr w:type="spellEnd"/>
      <w:r w:rsidRPr="00A37C08">
        <w:rPr>
          <w:rFonts w:ascii="Arial" w:eastAsia="Times New Roman" w:hAnsi="Arial" w:cs="Arial"/>
          <w:kern w:val="0"/>
          <w:sz w:val="20"/>
          <w:szCs w:val="20"/>
          <w:lang w:eastAsia="en-IN"/>
          <w14:ligatures w14:val="none"/>
        </w:rPr>
        <w:t xml:space="preserve"> progression; precision medicine</w:t>
      </w:r>
    </w:p>
    <w:p w14:paraId="21AFDF30"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646369E3" w14:textId="77777777" w:rsidR="000E1074" w:rsidRPr="00A37C08" w:rsidRDefault="000E1074" w:rsidP="00CB5290">
      <w:pPr>
        <w:spacing w:after="0" w:line="360" w:lineRule="auto"/>
        <w:jc w:val="both"/>
        <w:outlineLvl w:val="1"/>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1. Introduction</w:t>
      </w:r>
    </w:p>
    <w:p w14:paraId="54E22146" w14:textId="66964932" w:rsidR="000E1074" w:rsidRPr="00A37C08" w:rsidRDefault="007C7E74" w:rsidP="00CB5290">
      <w:pPr>
        <w:spacing w:after="0" w:line="360" w:lineRule="auto"/>
        <w:jc w:val="both"/>
        <w:rPr>
          <w:rFonts w:ascii="Arial" w:eastAsia="Times New Roman" w:hAnsi="Arial" w:cs="Arial"/>
          <w:kern w:val="0"/>
          <w:sz w:val="20"/>
          <w:szCs w:val="20"/>
          <w:lang w:eastAsia="en-IN"/>
          <w14:ligatures w14:val="none"/>
        </w:rPr>
      </w:pPr>
      <w:r w:rsidRPr="00E01CB9">
        <w:rPr>
          <w:rFonts w:ascii="Cambria" w:hAnsi="Cambria"/>
          <w:color w:val="1B1B1B"/>
          <w:sz w:val="24"/>
          <w:szCs w:val="28"/>
          <w:highlight w:val="yellow"/>
          <w:shd w:val="clear" w:color="auto" w:fill="FFFFFF"/>
        </w:rPr>
        <w:t xml:space="preserve">The gut is the main digestive organ of the human body and absorbs the most nutrients. It is also the largest immune and detoxification organ. The function of the gut is closely related to human health. The gut </w:t>
      </w:r>
      <w:proofErr w:type="spellStart"/>
      <w:r w:rsidRPr="00E01CB9">
        <w:rPr>
          <w:rFonts w:ascii="Cambria" w:hAnsi="Cambria"/>
          <w:color w:val="1B1B1B"/>
          <w:sz w:val="24"/>
          <w:szCs w:val="28"/>
          <w:highlight w:val="yellow"/>
          <w:shd w:val="clear" w:color="auto" w:fill="FFFFFF"/>
        </w:rPr>
        <w:t>harbors</w:t>
      </w:r>
      <w:proofErr w:type="spellEnd"/>
      <w:r w:rsidRPr="00E01CB9">
        <w:rPr>
          <w:rFonts w:ascii="Cambria" w:hAnsi="Cambria"/>
          <w:color w:val="1B1B1B"/>
          <w:sz w:val="24"/>
          <w:szCs w:val="28"/>
          <w:highlight w:val="yellow"/>
          <w:shd w:val="clear" w:color="auto" w:fill="FFFFFF"/>
        </w:rPr>
        <w:t xml:space="preserve"> a vast microbial community, which plays key roles in gut function.</w:t>
      </w:r>
      <w:r w:rsidRPr="00E01CB9">
        <w:rPr>
          <w:rFonts w:ascii="Arial" w:eastAsia="Times New Roman" w:hAnsi="Arial" w:cs="Arial"/>
          <w:kern w:val="0"/>
          <w:sz w:val="20"/>
          <w:szCs w:val="20"/>
          <w:highlight w:val="yellow"/>
          <w:lang w:eastAsia="en-IN"/>
          <w14:ligatures w14:val="none"/>
        </w:rPr>
        <w:t xml:space="preserve"> </w:t>
      </w:r>
      <w:r w:rsidRPr="00E01CB9">
        <w:rPr>
          <w:rFonts w:ascii="Cambria" w:hAnsi="Cambria"/>
          <w:color w:val="1B1B1B"/>
          <w:szCs w:val="28"/>
          <w:highlight w:val="yellow"/>
          <w:shd w:val="clear" w:color="auto" w:fill="FFFFFF"/>
        </w:rPr>
        <w:t xml:space="preserve">Gut microbes include bacteria, </w:t>
      </w:r>
      <w:proofErr w:type="spellStart"/>
      <w:r w:rsidRPr="00E01CB9">
        <w:rPr>
          <w:rFonts w:ascii="Cambria" w:hAnsi="Cambria"/>
          <w:color w:val="1B1B1B"/>
          <w:szCs w:val="28"/>
          <w:highlight w:val="yellow"/>
          <w:shd w:val="clear" w:color="auto" w:fill="FFFFFF"/>
        </w:rPr>
        <w:t>phages</w:t>
      </w:r>
      <w:proofErr w:type="spellEnd"/>
      <w:r w:rsidRPr="00E01CB9">
        <w:rPr>
          <w:rFonts w:ascii="Cambria" w:hAnsi="Cambria"/>
          <w:color w:val="1B1B1B"/>
          <w:szCs w:val="28"/>
          <w:highlight w:val="yellow"/>
          <w:shd w:val="clear" w:color="auto" w:fill="FFFFFF"/>
        </w:rPr>
        <w:t>, viruses, protists, worms, and fungi. Bacteria are the main inhabitants of the gut and participate in physiological activities through intermediate metabolites or surface antigens</w:t>
      </w:r>
      <w:r>
        <w:rPr>
          <w:rFonts w:ascii="Cambria" w:hAnsi="Cambria"/>
          <w:color w:val="1B1B1B"/>
          <w:szCs w:val="28"/>
          <w:highlight w:val="yellow"/>
          <w:shd w:val="clear" w:color="auto" w:fill="FFFFFF"/>
        </w:rPr>
        <w:t xml:space="preserve"> (</w:t>
      </w:r>
      <w:proofErr w:type="spellStart"/>
      <w:r w:rsidRPr="00386786">
        <w:rPr>
          <w:rFonts w:ascii="Consolas" w:eastAsia="Times New Roman" w:hAnsi="Consolas" w:cs="Times New Roman"/>
          <w:kern w:val="0"/>
          <w:sz w:val="24"/>
          <w:szCs w:val="24"/>
          <w:highlight w:val="yellow"/>
          <w:lang w:val="en-US"/>
          <w14:ligatures w14:val="none"/>
        </w:rPr>
        <w:t>Xue</w:t>
      </w:r>
      <w:proofErr w:type="spellEnd"/>
      <w:r>
        <w:rPr>
          <w:rFonts w:ascii="Consolas" w:eastAsia="Times New Roman" w:hAnsi="Consolas" w:cs="Times New Roman"/>
          <w:kern w:val="0"/>
          <w:sz w:val="24"/>
          <w:szCs w:val="24"/>
          <w:highlight w:val="yellow"/>
          <w:lang w:val="en-US"/>
          <w14:ligatures w14:val="none"/>
        </w:rPr>
        <w:t xml:space="preserve"> et al., 2023</w:t>
      </w:r>
      <w:r>
        <w:rPr>
          <w:rFonts w:ascii="Cambria" w:hAnsi="Cambria"/>
          <w:color w:val="1B1B1B"/>
          <w:szCs w:val="28"/>
          <w:highlight w:val="yellow"/>
          <w:shd w:val="clear" w:color="auto" w:fill="FFFFFF"/>
        </w:rPr>
        <w:t>)</w:t>
      </w:r>
      <w:r w:rsidRPr="00E01CB9">
        <w:rPr>
          <w:rFonts w:ascii="Cambria" w:hAnsi="Cambria"/>
          <w:color w:val="1B1B1B"/>
          <w:szCs w:val="28"/>
          <w:highlight w:val="yellow"/>
          <w:shd w:val="clear" w:color="auto" w:fill="FFFFFF"/>
        </w:rPr>
        <w:t>.</w:t>
      </w:r>
      <w:r w:rsidRPr="00E01CB9">
        <w:rPr>
          <w:rFonts w:ascii="Arial" w:eastAsia="Times New Roman" w:hAnsi="Arial" w:cs="Arial"/>
          <w:kern w:val="0"/>
          <w:sz w:val="16"/>
          <w:szCs w:val="20"/>
          <w:lang w:eastAsia="en-IN"/>
          <w14:ligatures w14:val="none"/>
        </w:rPr>
        <w:t xml:space="preserve"> </w:t>
      </w:r>
      <w:r w:rsidR="000E1074" w:rsidRPr="00A37C08">
        <w:rPr>
          <w:rFonts w:ascii="Arial" w:eastAsia="Times New Roman" w:hAnsi="Arial" w:cs="Arial"/>
          <w:kern w:val="0"/>
          <w:sz w:val="20"/>
          <w:szCs w:val="20"/>
          <w:lang w:eastAsia="en-IN"/>
          <w14:ligatures w14:val="none"/>
        </w:rPr>
        <w:t xml:space="preserve">Type 2 diabetes </w:t>
      </w:r>
      <w:r w:rsidR="000E1074" w:rsidRPr="00A37C08">
        <w:rPr>
          <w:rFonts w:ascii="Arial" w:eastAsia="Times New Roman" w:hAnsi="Arial" w:cs="Arial"/>
          <w:kern w:val="0"/>
          <w:sz w:val="20"/>
          <w:szCs w:val="20"/>
          <w:lang w:eastAsia="en-IN"/>
          <w14:ligatures w14:val="none"/>
        </w:rPr>
        <w:lastRenderedPageBreak/>
        <w:t xml:space="preserve">mellitus (T2DM) remains among the most prevalent chronic diseases worldwide, with rising incidence driven by aging populations, dietary transitions, sedentary lifestyles, and cardiometabolic multimorbidity. Despite seemingly uniform diagnostic criteria, T2DM is biologically and clinically heterogeneous. Individuals vary in tempo of </w:t>
      </w:r>
      <w:proofErr w:type="spellStart"/>
      <w:r w:rsidR="000E1074" w:rsidRPr="00A37C08">
        <w:rPr>
          <w:rFonts w:ascii="Arial" w:eastAsia="Times New Roman" w:hAnsi="Arial" w:cs="Arial"/>
          <w:kern w:val="0"/>
          <w:sz w:val="20"/>
          <w:szCs w:val="20"/>
          <w:lang w:eastAsia="en-IN"/>
          <w14:ligatures w14:val="none"/>
        </w:rPr>
        <w:t>glycemic</w:t>
      </w:r>
      <w:proofErr w:type="spellEnd"/>
      <w:r w:rsidR="000E1074" w:rsidRPr="00A37C08">
        <w:rPr>
          <w:rFonts w:ascii="Arial" w:eastAsia="Times New Roman" w:hAnsi="Arial" w:cs="Arial"/>
          <w:kern w:val="0"/>
          <w:sz w:val="20"/>
          <w:szCs w:val="20"/>
          <w:lang w:eastAsia="en-IN"/>
          <w14:ligatures w14:val="none"/>
        </w:rPr>
        <w:t xml:space="preserve"> </w:t>
      </w:r>
      <w:r w:rsidR="000E1074" w:rsidRPr="00E01CB9">
        <w:rPr>
          <w:rFonts w:ascii="Arial" w:eastAsia="Times New Roman" w:hAnsi="Arial" w:cs="Arial"/>
          <w:kern w:val="0"/>
          <w:sz w:val="20"/>
          <w:szCs w:val="20"/>
          <w:highlight w:val="yellow"/>
          <w:lang w:eastAsia="en-IN"/>
          <w14:ligatures w14:val="none"/>
        </w:rPr>
        <w:t xml:space="preserve">deterioration, </w:t>
      </w:r>
      <w:r w:rsidR="00E01CB9" w:rsidRPr="00E01CB9">
        <w:rPr>
          <w:rFonts w:ascii="Arial" w:eastAsia="Times New Roman" w:hAnsi="Arial" w:cs="Arial"/>
          <w:kern w:val="0"/>
          <w:sz w:val="20"/>
          <w:szCs w:val="20"/>
          <w:highlight w:val="yellow"/>
          <w:lang w:eastAsia="en-IN"/>
          <w14:ligatures w14:val="none"/>
        </w:rPr>
        <w:t xml:space="preserve">the </w:t>
      </w:r>
      <w:r w:rsidR="000E1074" w:rsidRPr="00E01CB9">
        <w:rPr>
          <w:rFonts w:ascii="Arial" w:eastAsia="Times New Roman" w:hAnsi="Arial" w:cs="Arial"/>
          <w:kern w:val="0"/>
          <w:sz w:val="20"/>
          <w:szCs w:val="20"/>
          <w:highlight w:val="yellow"/>
          <w:lang w:eastAsia="en-IN"/>
          <w14:ligatures w14:val="none"/>
        </w:rPr>
        <w:t>degr</w:t>
      </w:r>
      <w:r w:rsidR="000E1074" w:rsidRPr="00A37C08">
        <w:rPr>
          <w:rFonts w:ascii="Arial" w:eastAsia="Times New Roman" w:hAnsi="Arial" w:cs="Arial"/>
          <w:kern w:val="0"/>
          <w:sz w:val="20"/>
          <w:szCs w:val="20"/>
          <w:lang w:eastAsia="en-IN"/>
          <w14:ligatures w14:val="none"/>
        </w:rPr>
        <w:t xml:space="preserve">ee of insulin resistance versus β-cell dysfunction, patterns of </w:t>
      </w:r>
      <w:proofErr w:type="spellStart"/>
      <w:r w:rsidR="000E1074" w:rsidRPr="00A37C08">
        <w:rPr>
          <w:rFonts w:ascii="Arial" w:eastAsia="Times New Roman" w:hAnsi="Arial" w:cs="Arial"/>
          <w:kern w:val="0"/>
          <w:sz w:val="20"/>
          <w:szCs w:val="20"/>
          <w:lang w:eastAsia="en-IN"/>
          <w14:ligatures w14:val="none"/>
        </w:rPr>
        <w:t>dyslipidemia</w:t>
      </w:r>
      <w:proofErr w:type="spellEnd"/>
      <w:r w:rsidR="000E1074" w:rsidRPr="00A37C08">
        <w:rPr>
          <w:rFonts w:ascii="Arial" w:eastAsia="Times New Roman" w:hAnsi="Arial" w:cs="Arial"/>
          <w:kern w:val="0"/>
          <w:sz w:val="20"/>
          <w:szCs w:val="20"/>
          <w:lang w:eastAsia="en-IN"/>
          <w14:ligatures w14:val="none"/>
        </w:rPr>
        <w:t xml:space="preserve"> and inflammation, and propensity for microvascular and macrovascular complications. This heterogeneity has motivated intensive efforts to identify biomarkers that move beyond diagnosis to prognosis—markers that can anticipate incident T2DM in at-risk individuals, predict worsening glycemia among those with prediabetes or early disease, and forecast response to therapies.</w:t>
      </w:r>
    </w:p>
    <w:p w14:paraId="02236548" w14:textId="73DC6A12" w:rsidR="000E1074" w:rsidRPr="00A37C08" w:rsidRDefault="00DA0BD3" w:rsidP="00CB5290">
      <w:pPr>
        <w:spacing w:after="0" w:line="360" w:lineRule="auto"/>
        <w:jc w:val="both"/>
        <w:rPr>
          <w:rFonts w:ascii="Arial" w:eastAsia="Times New Roman" w:hAnsi="Arial" w:cs="Arial"/>
          <w:kern w:val="0"/>
          <w:sz w:val="20"/>
          <w:szCs w:val="20"/>
          <w:lang w:eastAsia="en-IN"/>
          <w14:ligatures w14:val="none"/>
        </w:rPr>
      </w:pPr>
      <w:r w:rsidRPr="00E01CB9">
        <w:rPr>
          <w:rFonts w:ascii="Arial" w:hAnsi="Arial" w:cs="Arial"/>
          <w:color w:val="222222"/>
          <w:sz w:val="20"/>
          <w:szCs w:val="20"/>
          <w:highlight w:val="yellow"/>
          <w:shd w:val="clear" w:color="auto" w:fill="FFFFFF"/>
        </w:rPr>
        <w:t xml:space="preserve">The microbiome in the gut essentially functions as an organ in its own right. This vast community of microbiota performs a range of digestive and metabolic functions to influence host health. Among these functions are the digestion of dietary substrates, production of </w:t>
      </w:r>
      <w:proofErr w:type="spellStart"/>
      <w:r w:rsidRPr="00E01CB9">
        <w:rPr>
          <w:rFonts w:ascii="Arial" w:hAnsi="Arial" w:cs="Arial"/>
          <w:color w:val="222222"/>
          <w:sz w:val="20"/>
          <w:szCs w:val="20"/>
          <w:highlight w:val="yellow"/>
          <w:shd w:val="clear" w:color="auto" w:fill="FFFFFF"/>
        </w:rPr>
        <w:t>signaling</w:t>
      </w:r>
      <w:proofErr w:type="spellEnd"/>
      <w:r w:rsidRPr="00E01CB9">
        <w:rPr>
          <w:rFonts w:ascii="Arial" w:hAnsi="Arial" w:cs="Arial"/>
          <w:color w:val="222222"/>
          <w:sz w:val="20"/>
          <w:szCs w:val="20"/>
          <w:highlight w:val="yellow"/>
          <w:shd w:val="clear" w:color="auto" w:fill="FFFFFF"/>
        </w:rPr>
        <w:t xml:space="preserve"> molecules for neuro-immunoendocrine activity (as in the brain–gut axis), and anti-inflammatory processes involved in immune regulation. The roles of the microbiome within the gut can be subdivided into metabolic, structural, and protective. Within the domain of metabolism, and carbohydrate metabolism in particular, the microbiota source nutrition for both the host and themselves</w:t>
      </w:r>
      <w:r>
        <w:rPr>
          <w:rFonts w:ascii="Arial" w:hAnsi="Arial" w:cs="Arial"/>
          <w:color w:val="222222"/>
          <w:sz w:val="20"/>
          <w:szCs w:val="20"/>
          <w:highlight w:val="yellow"/>
          <w:shd w:val="clear" w:color="auto" w:fill="FFFFFF"/>
        </w:rPr>
        <w:t xml:space="preserve"> (</w:t>
      </w:r>
      <w:proofErr w:type="spellStart"/>
      <w:r w:rsidRPr="00E01CB9">
        <w:rPr>
          <w:rFonts w:ascii="inherit" w:eastAsia="Times New Roman" w:hAnsi="inherit" w:cs="Helvetica"/>
          <w:color w:val="222222"/>
          <w:kern w:val="0"/>
          <w:sz w:val="18"/>
          <w:szCs w:val="18"/>
          <w:highlight w:val="yellow"/>
          <w:lang w:val="en-US"/>
          <w14:ligatures w14:val="none"/>
        </w:rPr>
        <w:t>Mashal</w:t>
      </w:r>
      <w:proofErr w:type="spellEnd"/>
      <w:r w:rsidRPr="00E01CB9">
        <w:rPr>
          <w:rFonts w:ascii="inherit" w:eastAsia="Times New Roman" w:hAnsi="inherit" w:cs="Helvetica"/>
          <w:color w:val="222222"/>
          <w:kern w:val="0"/>
          <w:sz w:val="18"/>
          <w:szCs w:val="18"/>
          <w:highlight w:val="yellow"/>
          <w:lang w:val="en-US"/>
          <w14:ligatures w14:val="none"/>
        </w:rPr>
        <w:t xml:space="preserve"> et al., 2025</w:t>
      </w:r>
      <w:r>
        <w:rPr>
          <w:rFonts w:ascii="Arial" w:hAnsi="Arial" w:cs="Arial"/>
          <w:color w:val="222222"/>
          <w:sz w:val="20"/>
          <w:szCs w:val="20"/>
          <w:highlight w:val="yellow"/>
          <w:shd w:val="clear" w:color="auto" w:fill="FFFFFF"/>
        </w:rPr>
        <w:t>)</w:t>
      </w:r>
      <w:r w:rsidRPr="00E01CB9">
        <w:rPr>
          <w:rFonts w:ascii="Arial" w:hAnsi="Arial" w:cs="Arial"/>
          <w:color w:val="222222"/>
          <w:sz w:val="20"/>
          <w:szCs w:val="20"/>
          <w:highlight w:val="yellow"/>
          <w:shd w:val="clear" w:color="auto" w:fill="FFFFFF"/>
        </w:rPr>
        <w:t>.</w:t>
      </w:r>
      <w:r w:rsidRPr="00A37C08">
        <w:rPr>
          <w:rFonts w:ascii="Arial" w:eastAsia="Times New Roman" w:hAnsi="Arial" w:cs="Arial"/>
          <w:kern w:val="0"/>
          <w:sz w:val="20"/>
          <w:szCs w:val="20"/>
          <w:lang w:eastAsia="en-IN"/>
          <w14:ligatures w14:val="none"/>
        </w:rPr>
        <w:t xml:space="preserve"> </w:t>
      </w:r>
      <w:r w:rsidR="000E1074" w:rsidRPr="00A37C08">
        <w:rPr>
          <w:rFonts w:ascii="Arial" w:eastAsia="Times New Roman" w:hAnsi="Arial" w:cs="Arial"/>
          <w:kern w:val="0"/>
          <w:sz w:val="20"/>
          <w:szCs w:val="20"/>
          <w:lang w:eastAsia="en-IN"/>
          <w14:ligatures w14:val="none"/>
        </w:rPr>
        <w:t>Over the last decade, the intestinal microbiome has emerged as a candidate source of prognostic information. Large-scale metagenomic studies have demonstrated consistent differences in microbial composition and functional potential between T2DM and non-diabetic controls, suggesting that microbial shifts may be linked to metabolic phenotypes (Qin et al., 2012; Karlsson et al., 2013). Yet early microbiome–T2DM findings were often difficult to reconcile across cohorts, in part because medications strongly reshape microbial communities and can masquerade as disease signals. In particular, metformin, a first-line antidiabetic agent, has potent microbiome effects and can confound observational associations unless explicitly accounted for (</w:t>
      </w:r>
      <w:proofErr w:type="spellStart"/>
      <w:r w:rsidR="000E1074" w:rsidRPr="00A37C08">
        <w:rPr>
          <w:rFonts w:ascii="Arial" w:eastAsia="Times New Roman" w:hAnsi="Arial" w:cs="Arial"/>
          <w:kern w:val="0"/>
          <w:sz w:val="20"/>
          <w:szCs w:val="20"/>
          <w:lang w:eastAsia="en-IN"/>
          <w14:ligatures w14:val="none"/>
        </w:rPr>
        <w:t>Forslund</w:t>
      </w:r>
      <w:proofErr w:type="spellEnd"/>
      <w:r w:rsidR="000E1074" w:rsidRPr="00A37C08">
        <w:rPr>
          <w:rFonts w:ascii="Arial" w:eastAsia="Times New Roman" w:hAnsi="Arial" w:cs="Arial"/>
          <w:kern w:val="0"/>
          <w:sz w:val="20"/>
          <w:szCs w:val="20"/>
          <w:lang w:eastAsia="en-IN"/>
          <w14:ligatures w14:val="none"/>
        </w:rPr>
        <w:t xml:space="preserve"> et al., 2015; Wu et al., 2017).</w:t>
      </w:r>
    </w:p>
    <w:p w14:paraId="22F12F62" w14:textId="37C984B2" w:rsidR="000E1074"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Among microbes repeatedly associated with metabolic status,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i/>
          <w:iCs/>
          <w:kern w:val="0"/>
          <w:sz w:val="20"/>
          <w:szCs w:val="20"/>
          <w:lang w:eastAsia="en-IN"/>
          <w14:ligatures w14:val="none"/>
        </w:rPr>
        <w:t xml:space="preserve">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has drawn sustained attention. As a mucin-degrading commensal that lives in close proximity to the epithelium,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is positioned to influence barrier function, immune tone, and metabolite </w:t>
      </w:r>
      <w:proofErr w:type="spellStart"/>
      <w:r w:rsidRPr="00A37C08">
        <w:rPr>
          <w:rFonts w:ascii="Arial" w:eastAsia="Times New Roman" w:hAnsi="Arial" w:cs="Arial"/>
          <w:kern w:val="0"/>
          <w:sz w:val="20"/>
          <w:szCs w:val="20"/>
          <w:lang w:eastAsia="en-IN"/>
          <w14:ligatures w14:val="none"/>
        </w:rPr>
        <w:t>signaling</w:t>
      </w:r>
      <w:proofErr w:type="spellEnd"/>
      <w:r w:rsidRPr="00A37C08">
        <w:rPr>
          <w:rFonts w:ascii="Arial" w:eastAsia="Times New Roman" w:hAnsi="Arial" w:cs="Arial"/>
          <w:kern w:val="0"/>
          <w:sz w:val="20"/>
          <w:szCs w:val="20"/>
          <w:lang w:eastAsia="en-IN"/>
          <w14:ligatures w14:val="none"/>
        </w:rPr>
        <w:t xml:space="preserve">. Mechanistically, preclinical studies have shown that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or its components can improve metabolic outcomes, supporting causal plausibility rather than purely correlative patterns (</w:t>
      </w:r>
      <w:proofErr w:type="spellStart"/>
      <w:r w:rsidRPr="00A37C08">
        <w:rPr>
          <w:rFonts w:ascii="Arial" w:eastAsia="Times New Roman" w:hAnsi="Arial" w:cs="Arial"/>
          <w:kern w:val="0"/>
          <w:sz w:val="20"/>
          <w:szCs w:val="20"/>
          <w:lang w:eastAsia="en-IN"/>
          <w14:ligatures w14:val="none"/>
        </w:rPr>
        <w:t>Plovier</w:t>
      </w:r>
      <w:proofErr w:type="spellEnd"/>
      <w:r w:rsidRPr="00A37C08">
        <w:rPr>
          <w:rFonts w:ascii="Arial" w:eastAsia="Times New Roman" w:hAnsi="Arial" w:cs="Arial"/>
          <w:kern w:val="0"/>
          <w:sz w:val="20"/>
          <w:szCs w:val="20"/>
          <w:lang w:eastAsia="en-IN"/>
          <w14:ligatures w14:val="none"/>
        </w:rPr>
        <w:t xml:space="preserve"> et al., 2017). The field has further advanced into early translational studies in humans, including proof-of-concept supplementation with live or pasteurized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in metabolically impaired adults (</w:t>
      </w:r>
      <w:proofErr w:type="spellStart"/>
      <w:r w:rsidRPr="00A37C08">
        <w:rPr>
          <w:rFonts w:ascii="Arial" w:eastAsia="Times New Roman" w:hAnsi="Arial" w:cs="Arial"/>
          <w:kern w:val="0"/>
          <w:sz w:val="20"/>
          <w:szCs w:val="20"/>
          <w:lang w:eastAsia="en-IN"/>
          <w14:ligatures w14:val="none"/>
        </w:rPr>
        <w:t>Depommier</w:t>
      </w:r>
      <w:proofErr w:type="spellEnd"/>
      <w:r w:rsidRPr="00A37C08">
        <w:rPr>
          <w:rFonts w:ascii="Arial" w:eastAsia="Times New Roman" w:hAnsi="Arial" w:cs="Arial"/>
          <w:kern w:val="0"/>
          <w:sz w:val="20"/>
          <w:szCs w:val="20"/>
          <w:lang w:eastAsia="en-IN"/>
          <w14:ligatures w14:val="none"/>
        </w:rPr>
        <w:t xml:space="preserve"> et al., 2019) and later clinical work examining its impact in </w:t>
      </w:r>
      <w:proofErr w:type="spellStart"/>
      <w:r w:rsidRPr="00A37C08">
        <w:rPr>
          <w:rFonts w:ascii="Arial" w:eastAsia="Times New Roman" w:hAnsi="Arial" w:cs="Arial"/>
          <w:kern w:val="0"/>
          <w:sz w:val="20"/>
          <w:szCs w:val="20"/>
          <w:lang w:eastAsia="en-IN"/>
          <w14:ligatures w14:val="none"/>
        </w:rPr>
        <w:t>dysglycemic</w:t>
      </w:r>
      <w:proofErr w:type="spellEnd"/>
      <w:r w:rsidRPr="00A37C08">
        <w:rPr>
          <w:rFonts w:ascii="Arial" w:eastAsia="Times New Roman" w:hAnsi="Arial" w:cs="Arial"/>
          <w:kern w:val="0"/>
          <w:sz w:val="20"/>
          <w:szCs w:val="20"/>
          <w:lang w:eastAsia="en-IN"/>
          <w14:ligatures w14:val="none"/>
        </w:rPr>
        <w:t xml:space="preserve"> or diabetic populations (Zhang et al., 2025). These developments make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an instructive case for assessing how a microbial taxon might progress from “associated with disease” to “clinically meaningful prognostic indicator.”</w:t>
      </w:r>
      <w:r w:rsidR="00A65A1D">
        <w:rPr>
          <w:rFonts w:ascii="Arial" w:eastAsia="Times New Roman" w:hAnsi="Arial" w:cs="Arial"/>
          <w:kern w:val="0"/>
          <w:sz w:val="20"/>
          <w:szCs w:val="20"/>
          <w:lang w:eastAsia="en-IN"/>
          <w14:ligatures w14:val="none"/>
        </w:rPr>
        <w:t xml:space="preserve"> </w:t>
      </w:r>
      <w:r w:rsidR="00A65A1D" w:rsidRPr="00E01CB9">
        <w:rPr>
          <w:rFonts w:ascii="Arial" w:eastAsia="Times New Roman" w:hAnsi="Arial" w:cs="Arial"/>
          <w:kern w:val="0"/>
          <w:sz w:val="20"/>
          <w:szCs w:val="20"/>
          <w:highlight w:val="yellow"/>
          <w:lang w:eastAsia="en-IN"/>
          <w14:ligatures w14:val="none"/>
        </w:rPr>
        <w:t>“</w:t>
      </w:r>
      <w:r w:rsidR="00A65A1D" w:rsidRPr="00E01CB9">
        <w:rPr>
          <w:color w:val="0D0D0D"/>
          <w:highlight w:val="yellow"/>
        </w:rPr>
        <w:t xml:space="preserve">T2DM progression is influenced by inflammatory, metabolic, and molecular </w:t>
      </w:r>
      <w:proofErr w:type="spellStart"/>
      <w:r w:rsidR="00A65A1D" w:rsidRPr="00E01CB9">
        <w:rPr>
          <w:color w:val="0D0D0D"/>
          <w:highlight w:val="yellow"/>
        </w:rPr>
        <w:t>signaling</w:t>
      </w:r>
      <w:proofErr w:type="spellEnd"/>
      <w:r w:rsidR="00A65A1D" w:rsidRPr="00E01CB9">
        <w:rPr>
          <w:color w:val="0D0D0D"/>
          <w:highlight w:val="yellow"/>
        </w:rPr>
        <w:t xml:space="preserve"> pathways beyond </w:t>
      </w:r>
      <w:proofErr w:type="spellStart"/>
      <w:r w:rsidR="00A65A1D" w:rsidRPr="00E01CB9">
        <w:rPr>
          <w:color w:val="0D0D0D"/>
          <w:highlight w:val="yellow"/>
        </w:rPr>
        <w:t>glycemic</w:t>
      </w:r>
      <w:proofErr w:type="spellEnd"/>
      <w:r w:rsidR="00A65A1D" w:rsidRPr="00E01CB9">
        <w:rPr>
          <w:color w:val="0D0D0D"/>
          <w:highlight w:val="yellow"/>
        </w:rPr>
        <w:t xml:space="preserve"> indices alone, underscoring the need for integrative prognostic markers” (</w:t>
      </w:r>
      <w:proofErr w:type="spellStart"/>
      <w:r w:rsidR="00A65A1D" w:rsidRPr="00E01CB9">
        <w:rPr>
          <w:color w:val="0D0D0D"/>
          <w:highlight w:val="yellow"/>
        </w:rPr>
        <w:t>Xiong</w:t>
      </w:r>
      <w:proofErr w:type="spellEnd"/>
      <w:r w:rsidR="00A65A1D" w:rsidRPr="00E01CB9">
        <w:rPr>
          <w:color w:val="0D0D0D"/>
          <w:highlight w:val="yellow"/>
        </w:rPr>
        <w:t xml:space="preserve"> et al., 2024).</w:t>
      </w:r>
    </w:p>
    <w:p w14:paraId="4E91EB51"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19B38D3C" w14:textId="77777777" w:rsidR="000E1074" w:rsidRPr="00A37C08" w:rsidRDefault="000E1074" w:rsidP="00CB5290">
      <w:pPr>
        <w:spacing w:after="0" w:line="360" w:lineRule="auto"/>
        <w:jc w:val="both"/>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1.1. Conceptualizing prognosis in T2DM and where the microbiome may fit</w:t>
      </w:r>
    </w:p>
    <w:p w14:paraId="7332D32B" w14:textId="3A18A3BE" w:rsidR="00A65A1D" w:rsidRPr="00004D21" w:rsidRDefault="000E1074" w:rsidP="00A65A1D">
      <w:pPr>
        <w:spacing w:line="360" w:lineRule="auto"/>
        <w:rPr>
          <w:color w:val="0D0D0D"/>
        </w:rPr>
      </w:pPr>
      <w:r w:rsidRPr="00A37C08">
        <w:rPr>
          <w:rFonts w:ascii="Arial" w:eastAsia="Times New Roman" w:hAnsi="Arial" w:cs="Arial"/>
          <w:kern w:val="0"/>
          <w:sz w:val="20"/>
          <w:szCs w:val="20"/>
          <w:lang w:eastAsia="en-IN"/>
          <w14:ligatures w14:val="none"/>
        </w:rPr>
        <w:lastRenderedPageBreak/>
        <w:t xml:space="preserve">A prognostic indicator is traditionally defined as a measurable factor that predicts a future clinical outcome among individuals with a given health state, independent of treatment assignment. In the context of </w:t>
      </w:r>
      <w:proofErr w:type="spellStart"/>
      <w:r w:rsidRPr="00A37C08">
        <w:rPr>
          <w:rFonts w:ascii="Arial" w:eastAsia="Times New Roman" w:hAnsi="Arial" w:cs="Arial"/>
          <w:kern w:val="0"/>
          <w:sz w:val="20"/>
          <w:szCs w:val="20"/>
          <w:lang w:eastAsia="en-IN"/>
          <w14:ligatures w14:val="none"/>
        </w:rPr>
        <w:t>dysglycemia</w:t>
      </w:r>
      <w:proofErr w:type="spellEnd"/>
      <w:r w:rsidRPr="00A37C08">
        <w:rPr>
          <w:rFonts w:ascii="Arial" w:eastAsia="Times New Roman" w:hAnsi="Arial" w:cs="Arial"/>
          <w:kern w:val="0"/>
          <w:sz w:val="20"/>
          <w:szCs w:val="20"/>
          <w:lang w:eastAsia="en-IN"/>
          <w14:ligatures w14:val="none"/>
        </w:rPr>
        <w:t xml:space="preserve">, prognosis can refer to at least three clinically important trajectories: progression from normoglycemia to prediabetes or T2DM; progression within established T2DM (e.g., rising HbA1c, escalation of medications, decline in β-cell function, or onset of complications); and response trajectories to interventions (weight loss, diet, pharmacotherapy, or microbiome-directed therapies). Microbial features might contribute to all three, but their role is likely context-dependent. For example, a </w:t>
      </w:r>
      <w:proofErr w:type="spellStart"/>
      <w:r w:rsidRPr="00A37C08">
        <w:rPr>
          <w:rFonts w:ascii="Arial" w:eastAsia="Times New Roman" w:hAnsi="Arial" w:cs="Arial"/>
          <w:kern w:val="0"/>
          <w:sz w:val="20"/>
          <w:szCs w:val="20"/>
          <w:lang w:eastAsia="en-IN"/>
          <w14:ligatures w14:val="none"/>
        </w:rPr>
        <w:t>taxon</w:t>
      </w:r>
      <w:proofErr w:type="spellEnd"/>
      <w:r w:rsidRPr="00A37C08">
        <w:rPr>
          <w:rFonts w:ascii="Arial" w:eastAsia="Times New Roman" w:hAnsi="Arial" w:cs="Arial"/>
          <w:kern w:val="0"/>
          <w:sz w:val="20"/>
          <w:szCs w:val="20"/>
          <w:lang w:eastAsia="en-IN"/>
          <w14:ligatures w14:val="none"/>
        </w:rPr>
        <w:t xml:space="preserve"> depleted in metformin-naïve T2DM might support disease-state discrimination, yet fail as a prognostic marker if it is unstable over time or dominated by medication effects.</w:t>
      </w:r>
      <w:r w:rsidR="00A65A1D">
        <w:rPr>
          <w:rFonts w:ascii="Arial" w:eastAsia="Times New Roman" w:hAnsi="Arial" w:cs="Arial"/>
          <w:kern w:val="0"/>
          <w:sz w:val="20"/>
          <w:szCs w:val="20"/>
          <w:lang w:eastAsia="en-IN"/>
          <w14:ligatures w14:val="none"/>
        </w:rPr>
        <w:t xml:space="preserve"> </w:t>
      </w:r>
      <w:r w:rsidR="00A65A1D" w:rsidRPr="00E01CB9">
        <w:rPr>
          <w:color w:val="0D0D0D"/>
          <w:highlight w:val="yellow"/>
        </w:rPr>
        <w:t>Similar to biomarker-guided biologic therapies explored in autoimmune diabetes (Agarwal &amp; Patel, 2024), microbiome-informed stratification may refine therapeutic decision-making in T2DM.</w:t>
      </w:r>
    </w:p>
    <w:p w14:paraId="183DFDFB" w14:textId="7BB894D6" w:rsidR="000E1074" w:rsidRDefault="000E1074" w:rsidP="00CB5290">
      <w:pPr>
        <w:spacing w:after="0" w:line="360" w:lineRule="auto"/>
        <w:jc w:val="both"/>
        <w:rPr>
          <w:rFonts w:ascii="Arial" w:eastAsia="Times New Roman" w:hAnsi="Arial" w:cs="Arial"/>
          <w:kern w:val="0"/>
          <w:sz w:val="20"/>
          <w:szCs w:val="20"/>
          <w:lang w:eastAsia="en-IN"/>
          <w14:ligatures w14:val="none"/>
        </w:rPr>
      </w:pPr>
    </w:p>
    <w:p w14:paraId="6B0E1440"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1D454F17" w14:textId="77777777" w:rsidR="000E1074" w:rsidRPr="00A37C08" w:rsidRDefault="000E1074" w:rsidP="00CB5290">
      <w:pPr>
        <w:spacing w:after="0" w:line="360" w:lineRule="auto"/>
        <w:jc w:val="both"/>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 xml:space="preserve">1.2. Why </w:t>
      </w:r>
      <w:r w:rsidRPr="00A37C08">
        <w:rPr>
          <w:rFonts w:ascii="Arial" w:eastAsia="Times New Roman" w:hAnsi="Arial" w:cs="Arial"/>
          <w:b/>
          <w:bCs/>
          <w:i/>
          <w:iCs/>
          <w:kern w:val="0"/>
          <w:sz w:val="20"/>
          <w:szCs w:val="20"/>
          <w:lang w:eastAsia="en-IN"/>
          <w14:ligatures w14:val="none"/>
        </w:rPr>
        <w:t xml:space="preserve">A. </w:t>
      </w:r>
      <w:proofErr w:type="spellStart"/>
      <w:r w:rsidRPr="00A37C08">
        <w:rPr>
          <w:rFonts w:ascii="Arial" w:eastAsia="Times New Roman" w:hAnsi="Arial" w:cs="Arial"/>
          <w:b/>
          <w:bCs/>
          <w:i/>
          <w:iCs/>
          <w:kern w:val="0"/>
          <w:sz w:val="20"/>
          <w:szCs w:val="20"/>
          <w:lang w:eastAsia="en-IN"/>
          <w14:ligatures w14:val="none"/>
        </w:rPr>
        <w:t>muciniphila</w:t>
      </w:r>
      <w:proofErr w:type="spellEnd"/>
      <w:r w:rsidRPr="00A37C08">
        <w:rPr>
          <w:rFonts w:ascii="Arial" w:eastAsia="Times New Roman" w:hAnsi="Arial" w:cs="Arial"/>
          <w:b/>
          <w:bCs/>
          <w:kern w:val="0"/>
          <w:sz w:val="20"/>
          <w:szCs w:val="20"/>
          <w:lang w:eastAsia="en-IN"/>
          <w14:ligatures w14:val="none"/>
        </w:rPr>
        <w:t xml:space="preserve"> is a compelling candidate biomarker</w:t>
      </w:r>
    </w:p>
    <w:p w14:paraId="06F7F515" w14:textId="72824B0C" w:rsidR="000E1074"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stands out because it is not merely one of many compositional correlates; it has biologically plausible mechanisms linked to epithelial integrity and host–microbe </w:t>
      </w:r>
      <w:proofErr w:type="spellStart"/>
      <w:r w:rsidRPr="00A37C08">
        <w:rPr>
          <w:rFonts w:ascii="Arial" w:eastAsia="Times New Roman" w:hAnsi="Arial" w:cs="Arial"/>
          <w:kern w:val="0"/>
          <w:sz w:val="20"/>
          <w:szCs w:val="20"/>
          <w:lang w:eastAsia="en-IN"/>
          <w14:ligatures w14:val="none"/>
        </w:rPr>
        <w:t>signaling</w:t>
      </w:r>
      <w:proofErr w:type="spellEnd"/>
      <w:r w:rsidRPr="00A37C08">
        <w:rPr>
          <w:rFonts w:ascii="Arial" w:eastAsia="Times New Roman" w:hAnsi="Arial" w:cs="Arial"/>
          <w:kern w:val="0"/>
          <w:sz w:val="20"/>
          <w:szCs w:val="20"/>
          <w:lang w:eastAsia="en-IN"/>
          <w14:ligatures w14:val="none"/>
        </w:rPr>
        <w:t xml:space="preserve">. Furthermore,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abundance can change in response to common metabolic interventions, which is essential for any marker used longitudinally. However, dynamic responsiveness is a double-edged sword: it may enable monitoring of intervention effects, but also reduces specificity for disease biology if changes reflect diet or drug exposure rather than risk. In addition,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is not monolithic—genomic studies reveal substantial strain and species-level diversity within the genus, complicating translation from “abundance of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to standardized clinical interpretation (</w:t>
      </w:r>
      <w:proofErr w:type="spellStart"/>
      <w:r w:rsidR="00B65CFE" w:rsidRPr="00A37C08">
        <w:rPr>
          <w:rFonts w:ascii="Arial" w:eastAsia="Times New Roman" w:hAnsi="Arial" w:cs="Arial"/>
          <w:kern w:val="0"/>
          <w:sz w:val="20"/>
          <w:szCs w:val="20"/>
          <w:lang w:eastAsia="en-IN"/>
          <w14:ligatures w14:val="none"/>
        </w:rPr>
        <w:t>Karcher</w:t>
      </w:r>
      <w:proofErr w:type="spellEnd"/>
      <w:r w:rsidRPr="00A37C08">
        <w:rPr>
          <w:rFonts w:ascii="Arial" w:eastAsia="Times New Roman" w:hAnsi="Arial" w:cs="Arial"/>
          <w:kern w:val="0"/>
          <w:sz w:val="20"/>
          <w:szCs w:val="20"/>
          <w:lang w:eastAsia="en-IN"/>
          <w14:ligatures w14:val="none"/>
        </w:rPr>
        <w:t xml:space="preserve"> et al., 2021; </w:t>
      </w:r>
      <w:proofErr w:type="spellStart"/>
      <w:r w:rsidRPr="00A37C08">
        <w:rPr>
          <w:rFonts w:ascii="Arial" w:eastAsia="Times New Roman" w:hAnsi="Arial" w:cs="Arial"/>
          <w:kern w:val="0"/>
          <w:sz w:val="20"/>
          <w:szCs w:val="20"/>
          <w:lang w:eastAsia="en-IN"/>
          <w14:ligatures w14:val="none"/>
        </w:rPr>
        <w:t>Dubourg</w:t>
      </w:r>
      <w:proofErr w:type="spellEnd"/>
      <w:r w:rsidRPr="00A37C08">
        <w:rPr>
          <w:rFonts w:ascii="Arial" w:eastAsia="Times New Roman" w:hAnsi="Arial" w:cs="Arial"/>
          <w:kern w:val="0"/>
          <w:sz w:val="20"/>
          <w:szCs w:val="20"/>
          <w:lang w:eastAsia="en-IN"/>
          <w14:ligatures w14:val="none"/>
        </w:rPr>
        <w:t xml:space="preserve"> et al., 2021).</w:t>
      </w:r>
    </w:p>
    <w:p w14:paraId="277871F7"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7181E44B" w14:textId="77777777" w:rsidR="000E1074" w:rsidRPr="00A37C08" w:rsidRDefault="000E1074" w:rsidP="00CB5290">
      <w:pPr>
        <w:spacing w:after="0" w:line="360" w:lineRule="auto"/>
        <w:jc w:val="both"/>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1.3. Scope and objective</w:t>
      </w:r>
    </w:p>
    <w:p w14:paraId="295BFC5B" w14:textId="6148ABFF" w:rsidR="000E1074"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This narrative review evaluates whether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can serve as a prognostic indicator of T2DM. The objectives are to (</w:t>
      </w:r>
      <w:proofErr w:type="spellStart"/>
      <w:r w:rsidRPr="00A37C08">
        <w:rPr>
          <w:rFonts w:ascii="Arial" w:eastAsia="Times New Roman" w:hAnsi="Arial" w:cs="Arial"/>
          <w:kern w:val="0"/>
          <w:sz w:val="20"/>
          <w:szCs w:val="20"/>
          <w:lang w:eastAsia="en-IN"/>
          <w14:ligatures w14:val="none"/>
        </w:rPr>
        <w:t>i</w:t>
      </w:r>
      <w:proofErr w:type="spellEnd"/>
      <w:r w:rsidRPr="00A37C08">
        <w:rPr>
          <w:rFonts w:ascii="Arial" w:eastAsia="Times New Roman" w:hAnsi="Arial" w:cs="Arial"/>
          <w:kern w:val="0"/>
          <w:sz w:val="20"/>
          <w:szCs w:val="20"/>
          <w:lang w:eastAsia="en-IN"/>
          <w14:ligatures w14:val="none"/>
        </w:rPr>
        <w:t xml:space="preserve">) summarize human evidence linking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to </w:t>
      </w:r>
      <w:proofErr w:type="spellStart"/>
      <w:r w:rsidRPr="00A37C08">
        <w:rPr>
          <w:rFonts w:ascii="Arial" w:eastAsia="Times New Roman" w:hAnsi="Arial" w:cs="Arial"/>
          <w:kern w:val="0"/>
          <w:sz w:val="20"/>
          <w:szCs w:val="20"/>
          <w:lang w:eastAsia="en-IN"/>
          <w14:ligatures w14:val="none"/>
        </w:rPr>
        <w:t>glycemic</w:t>
      </w:r>
      <w:proofErr w:type="spellEnd"/>
      <w:r w:rsidRPr="00A37C08">
        <w:rPr>
          <w:rFonts w:ascii="Arial" w:eastAsia="Times New Roman" w:hAnsi="Arial" w:cs="Arial"/>
          <w:kern w:val="0"/>
          <w:sz w:val="20"/>
          <w:szCs w:val="20"/>
          <w:lang w:eastAsia="en-IN"/>
          <w14:ligatures w14:val="none"/>
        </w:rPr>
        <w:t xml:space="preserve"> status, progression, and therapy response; (ii) examine mechanistic plausibility relevant to prognosis; (iii) identify confounders and methodological constraints that must be resolved for biomarker validity; and (iv) propose clinically realistic pathways for incorporating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into prognostic frameworks, emphasizing where it is most likely to add actionable value.</w:t>
      </w:r>
    </w:p>
    <w:p w14:paraId="16DB84F4"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48ECF172" w14:textId="77777777" w:rsidR="000E1074" w:rsidRPr="00A37C08" w:rsidRDefault="000E1074" w:rsidP="00CB5290">
      <w:pPr>
        <w:spacing w:after="0" w:line="360" w:lineRule="auto"/>
        <w:jc w:val="both"/>
        <w:outlineLvl w:val="1"/>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2. Methods for literature selection</w:t>
      </w:r>
    </w:p>
    <w:p w14:paraId="6504DFAE" w14:textId="4D58C349" w:rsidR="000E1074"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A targeted literature search was conducted to identify human and translational studies linking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to T2DM risk, progression, or therapy response. Searches were performed in PubMed/MEDLINE, Scopus, Web of Science, and </w:t>
      </w:r>
      <w:proofErr w:type="spellStart"/>
      <w:r w:rsidRPr="00A37C08">
        <w:rPr>
          <w:rFonts w:ascii="Arial" w:eastAsia="Times New Roman" w:hAnsi="Arial" w:cs="Arial"/>
          <w:kern w:val="0"/>
          <w:sz w:val="20"/>
          <w:szCs w:val="20"/>
          <w:lang w:eastAsia="en-IN"/>
          <w14:ligatures w14:val="none"/>
        </w:rPr>
        <w:t>Embase</w:t>
      </w:r>
      <w:proofErr w:type="spellEnd"/>
      <w:r w:rsidRPr="00A37C08">
        <w:rPr>
          <w:rFonts w:ascii="Arial" w:eastAsia="Times New Roman" w:hAnsi="Arial" w:cs="Arial"/>
          <w:kern w:val="0"/>
          <w:sz w:val="20"/>
          <w:szCs w:val="20"/>
          <w:lang w:eastAsia="en-IN"/>
          <w14:ligatures w14:val="none"/>
        </w:rPr>
        <w:t>, complemented by screening of reference lists from highly cited primary studies and relevant reviews. The core Boolean search string used across databases combined organism and disease terms: (“</w:t>
      </w:r>
      <w:proofErr w:type="spellStart"/>
      <w:r w:rsidRPr="00A37C08">
        <w:rPr>
          <w:rFonts w:ascii="Arial" w:eastAsia="Times New Roman" w:hAnsi="Arial" w:cs="Arial"/>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w:t>
      </w:r>
      <w:proofErr w:type="spellStart"/>
      <w:r w:rsidRPr="00A37C08">
        <w:rPr>
          <w:rFonts w:ascii="Arial" w:eastAsia="Times New Roman" w:hAnsi="Arial" w:cs="Arial"/>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OR </w:t>
      </w:r>
      <w:proofErr w:type="spellStart"/>
      <w:r w:rsidRPr="00A37C08">
        <w:rPr>
          <w:rFonts w:ascii="Arial" w:eastAsia="Times New Roman" w:hAnsi="Arial" w:cs="Arial"/>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AND (“type 2 diabetes” OR T2DM OR insulin resistance OR prediabetes OR HbA1c) </w:t>
      </w:r>
      <w:r w:rsidRPr="00A37C08">
        <w:rPr>
          <w:rFonts w:ascii="Arial" w:eastAsia="Times New Roman" w:hAnsi="Arial" w:cs="Arial"/>
          <w:kern w:val="0"/>
          <w:sz w:val="20"/>
          <w:szCs w:val="20"/>
          <w:lang w:eastAsia="en-IN"/>
          <w14:ligatures w14:val="none"/>
        </w:rPr>
        <w:lastRenderedPageBreak/>
        <w:t>AND (biomarker OR prognosis OR prediction OR longitudinal OR trial OR metformin). The primary date range prioritized January 2014 through December 2025 to emphasize contemporary sequencing methods, medication-aware analyses, and translational studies; seminal metagenomic studies earlier than 2014 were retained when foundational to the field. Inclusion criteria emphasized peer-reviewed studies in reputable journals that reported (</w:t>
      </w:r>
      <w:proofErr w:type="spellStart"/>
      <w:r w:rsidRPr="00A37C08">
        <w:rPr>
          <w:rFonts w:ascii="Arial" w:eastAsia="Times New Roman" w:hAnsi="Arial" w:cs="Arial"/>
          <w:kern w:val="0"/>
          <w:sz w:val="20"/>
          <w:szCs w:val="20"/>
          <w:lang w:eastAsia="en-IN"/>
          <w14:ligatures w14:val="none"/>
        </w:rPr>
        <w:t>i</w:t>
      </w:r>
      <w:proofErr w:type="spellEnd"/>
      <w:r w:rsidRPr="00A37C08">
        <w:rPr>
          <w:rFonts w:ascii="Arial" w:eastAsia="Times New Roman" w:hAnsi="Arial" w:cs="Arial"/>
          <w:kern w:val="0"/>
          <w:sz w:val="20"/>
          <w:szCs w:val="20"/>
          <w:lang w:eastAsia="en-IN"/>
          <w14:ligatures w14:val="none"/>
        </w:rPr>
        <w:t xml:space="preserv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abundance or strain-level features with metabolic endpoints, (ii) longitudinal outcomes or predictive analyses, or (iii) interventions (dietary, pharmacologic, or direct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supplementation) with relevant metabolic measures. Exclusion criteria included non-peer-reviewed reports, studies without quantitative microbiome assessment, and studies focused solely on non-metabolic primary outcomes without interpretable </w:t>
      </w:r>
      <w:proofErr w:type="spellStart"/>
      <w:r w:rsidRPr="00A37C08">
        <w:rPr>
          <w:rFonts w:ascii="Arial" w:eastAsia="Times New Roman" w:hAnsi="Arial" w:cs="Arial"/>
          <w:kern w:val="0"/>
          <w:sz w:val="20"/>
          <w:szCs w:val="20"/>
          <w:lang w:eastAsia="en-IN"/>
          <w14:ligatures w14:val="none"/>
        </w:rPr>
        <w:t>glycemic</w:t>
      </w:r>
      <w:proofErr w:type="spellEnd"/>
      <w:r w:rsidRPr="00A37C08">
        <w:rPr>
          <w:rFonts w:ascii="Arial" w:eastAsia="Times New Roman" w:hAnsi="Arial" w:cs="Arial"/>
          <w:kern w:val="0"/>
          <w:sz w:val="20"/>
          <w:szCs w:val="20"/>
          <w:lang w:eastAsia="en-IN"/>
          <w14:ligatures w14:val="none"/>
        </w:rPr>
        <w:t xml:space="preserve"> relevance.</w:t>
      </w:r>
    </w:p>
    <w:p w14:paraId="4B3104D2"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070608A1" w14:textId="77777777" w:rsidR="000E1074" w:rsidRPr="00A37C08" w:rsidRDefault="000E1074" w:rsidP="00CB5290">
      <w:pPr>
        <w:spacing w:after="0" w:line="360" w:lineRule="auto"/>
        <w:jc w:val="both"/>
        <w:outlineLvl w:val="1"/>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 xml:space="preserve">3. Biological features of </w:t>
      </w:r>
      <w:r w:rsidRPr="00A37C08">
        <w:rPr>
          <w:rFonts w:ascii="Arial" w:eastAsia="Times New Roman" w:hAnsi="Arial" w:cs="Arial"/>
          <w:b/>
          <w:bCs/>
          <w:i/>
          <w:iCs/>
          <w:kern w:val="0"/>
          <w:sz w:val="20"/>
          <w:szCs w:val="20"/>
          <w:lang w:eastAsia="en-IN"/>
          <w14:ligatures w14:val="none"/>
        </w:rPr>
        <w:t xml:space="preserve">A. </w:t>
      </w:r>
      <w:proofErr w:type="spellStart"/>
      <w:r w:rsidRPr="00A37C08">
        <w:rPr>
          <w:rFonts w:ascii="Arial" w:eastAsia="Times New Roman" w:hAnsi="Arial" w:cs="Arial"/>
          <w:b/>
          <w:bCs/>
          <w:i/>
          <w:iCs/>
          <w:kern w:val="0"/>
          <w:sz w:val="20"/>
          <w:szCs w:val="20"/>
          <w:lang w:eastAsia="en-IN"/>
          <w14:ligatures w14:val="none"/>
        </w:rPr>
        <w:t>muciniphila</w:t>
      </w:r>
      <w:proofErr w:type="spellEnd"/>
      <w:r w:rsidRPr="00A37C08">
        <w:rPr>
          <w:rFonts w:ascii="Arial" w:eastAsia="Times New Roman" w:hAnsi="Arial" w:cs="Arial"/>
          <w:b/>
          <w:bCs/>
          <w:kern w:val="0"/>
          <w:sz w:val="20"/>
          <w:szCs w:val="20"/>
          <w:lang w:eastAsia="en-IN"/>
          <w14:ligatures w14:val="none"/>
        </w:rPr>
        <w:t xml:space="preserve"> relevant to biomarker use</w:t>
      </w:r>
    </w:p>
    <w:p w14:paraId="0D85C9FB" w14:textId="77777777" w:rsidR="000E1074" w:rsidRPr="00A37C08" w:rsidRDefault="000E1074" w:rsidP="00CB5290">
      <w:pPr>
        <w:spacing w:after="0" w:line="360" w:lineRule="auto"/>
        <w:jc w:val="both"/>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 xml:space="preserve">3.1. Ecological niche and implications for metabolic </w:t>
      </w:r>
      <w:proofErr w:type="spellStart"/>
      <w:r w:rsidRPr="00A37C08">
        <w:rPr>
          <w:rFonts w:ascii="Arial" w:eastAsia="Times New Roman" w:hAnsi="Arial" w:cs="Arial"/>
          <w:b/>
          <w:bCs/>
          <w:kern w:val="0"/>
          <w:sz w:val="20"/>
          <w:szCs w:val="20"/>
          <w:lang w:eastAsia="en-IN"/>
          <w14:ligatures w14:val="none"/>
        </w:rPr>
        <w:t>signaling</w:t>
      </w:r>
      <w:proofErr w:type="spellEnd"/>
    </w:p>
    <w:p w14:paraId="60A24C37" w14:textId="77777777" w:rsidR="000E1074"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is a mucus-associated bacterium capable of using host mucins as a nutrient source, positioning it at the interface between host barrier biology and luminal microbial ecology. This ecological location is relevant for prognosis because barrier disruption and low-grade inflammation are central to insulin resistance and metabolic deterioration. If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contributes to mucosal homeostasis, then its depletion could plausibly precede or accompany worsening metabolic inflammation, making it a candidate early marker. Yet the same niche sensitivity also implies that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abundance can respond quickly to dietary </w:t>
      </w:r>
      <w:proofErr w:type="spellStart"/>
      <w:r w:rsidRPr="00A37C08">
        <w:rPr>
          <w:rFonts w:ascii="Arial" w:eastAsia="Times New Roman" w:hAnsi="Arial" w:cs="Arial"/>
          <w:kern w:val="0"/>
          <w:sz w:val="20"/>
          <w:szCs w:val="20"/>
          <w:lang w:eastAsia="en-IN"/>
          <w14:ligatures w14:val="none"/>
        </w:rPr>
        <w:t>fiber</w:t>
      </w:r>
      <w:proofErr w:type="spellEnd"/>
      <w:r w:rsidRPr="00A37C08">
        <w:rPr>
          <w:rFonts w:ascii="Arial" w:eastAsia="Times New Roman" w:hAnsi="Arial" w:cs="Arial"/>
          <w:kern w:val="0"/>
          <w:sz w:val="20"/>
          <w:szCs w:val="20"/>
          <w:lang w:eastAsia="en-IN"/>
          <w14:ligatures w14:val="none"/>
        </w:rPr>
        <w:t xml:space="preserve"> availability, mucin dynamics, and host immune state, which may introduce variability that weakens prognostic stability across time and populations.</w:t>
      </w:r>
    </w:p>
    <w:p w14:paraId="430FB9F0"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4D52D65C" w14:textId="77777777" w:rsidR="000E1074" w:rsidRPr="00A37C08" w:rsidRDefault="000E1074" w:rsidP="00CB5290">
      <w:pPr>
        <w:spacing w:after="0" w:line="360" w:lineRule="auto"/>
        <w:jc w:val="both"/>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 xml:space="preserve">3.2. Strain and species diversity within the genus </w:t>
      </w:r>
      <w:proofErr w:type="spellStart"/>
      <w:r w:rsidRPr="00A37C08">
        <w:rPr>
          <w:rFonts w:ascii="Arial" w:eastAsia="Times New Roman" w:hAnsi="Arial" w:cs="Arial"/>
          <w:b/>
          <w:bCs/>
          <w:i/>
          <w:iCs/>
          <w:kern w:val="0"/>
          <w:sz w:val="20"/>
          <w:szCs w:val="20"/>
          <w:lang w:eastAsia="en-IN"/>
          <w14:ligatures w14:val="none"/>
        </w:rPr>
        <w:t>Akkermansia</w:t>
      </w:r>
      <w:proofErr w:type="spellEnd"/>
    </w:p>
    <w:p w14:paraId="7DF67557" w14:textId="2E82F967" w:rsidR="000E1074"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A key challenge to clinical biomarker translation is that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abundance” is often treated as a single feature. Large-scale population genomics shows that human-associated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includes multiple deeply divergent lineages that can share similar 16S profiles while differing substantially at </w:t>
      </w:r>
      <w:r w:rsidR="00E01CB9" w:rsidRPr="00E01CB9">
        <w:rPr>
          <w:rFonts w:ascii="Arial" w:eastAsia="Times New Roman" w:hAnsi="Arial" w:cs="Arial"/>
          <w:kern w:val="0"/>
          <w:sz w:val="20"/>
          <w:szCs w:val="20"/>
          <w:highlight w:val="yellow"/>
          <w:lang w:eastAsia="en-IN"/>
          <w14:ligatures w14:val="none"/>
        </w:rPr>
        <w:t xml:space="preserve">the </w:t>
      </w:r>
      <w:r w:rsidRPr="00E01CB9">
        <w:rPr>
          <w:rFonts w:ascii="Arial" w:eastAsia="Times New Roman" w:hAnsi="Arial" w:cs="Arial"/>
          <w:kern w:val="0"/>
          <w:sz w:val="20"/>
          <w:szCs w:val="20"/>
          <w:highlight w:val="yellow"/>
          <w:lang w:eastAsia="en-IN"/>
          <w14:ligatures w14:val="none"/>
        </w:rPr>
        <w:t>whole-genome</w:t>
      </w:r>
      <w:r w:rsidRPr="00A37C08">
        <w:rPr>
          <w:rFonts w:ascii="Arial" w:eastAsia="Times New Roman" w:hAnsi="Arial" w:cs="Arial"/>
          <w:kern w:val="0"/>
          <w:sz w:val="20"/>
          <w:szCs w:val="20"/>
          <w:lang w:eastAsia="en-IN"/>
          <w14:ligatures w14:val="none"/>
        </w:rPr>
        <w:t xml:space="preserve"> level (</w:t>
      </w:r>
      <w:proofErr w:type="spellStart"/>
      <w:r w:rsidR="00B65CFE" w:rsidRPr="00A37C08">
        <w:rPr>
          <w:rFonts w:ascii="Arial" w:eastAsia="Times New Roman" w:hAnsi="Arial" w:cs="Arial"/>
          <w:kern w:val="0"/>
          <w:sz w:val="20"/>
          <w:szCs w:val="20"/>
          <w:lang w:eastAsia="en-IN"/>
          <w14:ligatures w14:val="none"/>
        </w:rPr>
        <w:t>Karcher</w:t>
      </w:r>
      <w:proofErr w:type="spellEnd"/>
      <w:r w:rsidRPr="00A37C08">
        <w:rPr>
          <w:rFonts w:ascii="Arial" w:eastAsia="Times New Roman" w:hAnsi="Arial" w:cs="Arial"/>
          <w:kern w:val="0"/>
          <w:sz w:val="20"/>
          <w:szCs w:val="20"/>
          <w:lang w:eastAsia="en-IN"/>
          <w14:ligatures w14:val="none"/>
        </w:rPr>
        <w:t xml:space="preserve"> et al., 2021). Related work isolating and characterizing numerous human strains demonstrates phylogroup-associated phenotypes relevant to colonization, oxygen tolerance, and host interaction (</w:t>
      </w:r>
      <w:proofErr w:type="spellStart"/>
      <w:r w:rsidRPr="00A37C08">
        <w:rPr>
          <w:rFonts w:ascii="Arial" w:eastAsia="Times New Roman" w:hAnsi="Arial" w:cs="Arial"/>
          <w:kern w:val="0"/>
          <w:sz w:val="20"/>
          <w:szCs w:val="20"/>
          <w:lang w:eastAsia="en-IN"/>
          <w14:ligatures w14:val="none"/>
        </w:rPr>
        <w:t>Dubourg</w:t>
      </w:r>
      <w:proofErr w:type="spellEnd"/>
      <w:r w:rsidRPr="00A37C08">
        <w:rPr>
          <w:rFonts w:ascii="Arial" w:eastAsia="Times New Roman" w:hAnsi="Arial" w:cs="Arial"/>
          <w:kern w:val="0"/>
          <w:sz w:val="20"/>
          <w:szCs w:val="20"/>
          <w:lang w:eastAsia="en-IN"/>
          <w14:ligatures w14:val="none"/>
        </w:rPr>
        <w:t xml:space="preserve"> et al., 2021). These findings imply that two individuals with similar measured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abundance” may </w:t>
      </w:r>
      <w:proofErr w:type="spellStart"/>
      <w:r w:rsidRPr="00A37C08">
        <w:rPr>
          <w:rFonts w:ascii="Arial" w:eastAsia="Times New Roman" w:hAnsi="Arial" w:cs="Arial"/>
          <w:kern w:val="0"/>
          <w:sz w:val="20"/>
          <w:szCs w:val="20"/>
          <w:lang w:eastAsia="en-IN"/>
          <w14:ligatures w14:val="none"/>
        </w:rPr>
        <w:t>harbor</w:t>
      </w:r>
      <w:proofErr w:type="spellEnd"/>
      <w:r w:rsidRPr="00A37C08">
        <w:rPr>
          <w:rFonts w:ascii="Arial" w:eastAsia="Times New Roman" w:hAnsi="Arial" w:cs="Arial"/>
          <w:kern w:val="0"/>
          <w:sz w:val="20"/>
          <w:szCs w:val="20"/>
          <w:lang w:eastAsia="en-IN"/>
          <w14:ligatures w14:val="none"/>
        </w:rPr>
        <w:t xml:space="preserve"> strains with different functional outputs, and therefore different relationships to metabolic prognosis. From a biomarker standpoint, strain-aware assays may be necessary to achieve reproducible prognostic performance, particularly if a subset of strains is responsible for beneficial metabolic associations.</w:t>
      </w:r>
    </w:p>
    <w:p w14:paraId="03F3D546"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73007659" w14:textId="77777777" w:rsidR="000E1074" w:rsidRPr="00A37C08" w:rsidRDefault="000E1074" w:rsidP="00CB5290">
      <w:pPr>
        <w:spacing w:after="0" w:line="360" w:lineRule="auto"/>
        <w:jc w:val="both"/>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 xml:space="preserve">3.3. Molecular effectors that connect </w:t>
      </w:r>
      <w:r w:rsidRPr="00A37C08">
        <w:rPr>
          <w:rFonts w:ascii="Arial" w:eastAsia="Times New Roman" w:hAnsi="Arial" w:cs="Arial"/>
          <w:b/>
          <w:bCs/>
          <w:i/>
          <w:iCs/>
          <w:kern w:val="0"/>
          <w:sz w:val="20"/>
          <w:szCs w:val="20"/>
          <w:lang w:eastAsia="en-IN"/>
          <w14:ligatures w14:val="none"/>
        </w:rPr>
        <w:t xml:space="preserve">A. </w:t>
      </w:r>
      <w:proofErr w:type="spellStart"/>
      <w:r w:rsidRPr="00A37C08">
        <w:rPr>
          <w:rFonts w:ascii="Arial" w:eastAsia="Times New Roman" w:hAnsi="Arial" w:cs="Arial"/>
          <w:b/>
          <w:bCs/>
          <w:i/>
          <w:iCs/>
          <w:kern w:val="0"/>
          <w:sz w:val="20"/>
          <w:szCs w:val="20"/>
          <w:lang w:eastAsia="en-IN"/>
          <w14:ligatures w14:val="none"/>
        </w:rPr>
        <w:t>muciniphila</w:t>
      </w:r>
      <w:proofErr w:type="spellEnd"/>
      <w:r w:rsidRPr="00A37C08">
        <w:rPr>
          <w:rFonts w:ascii="Arial" w:eastAsia="Times New Roman" w:hAnsi="Arial" w:cs="Arial"/>
          <w:b/>
          <w:bCs/>
          <w:kern w:val="0"/>
          <w:sz w:val="20"/>
          <w:szCs w:val="20"/>
          <w:lang w:eastAsia="en-IN"/>
          <w14:ligatures w14:val="none"/>
        </w:rPr>
        <w:t xml:space="preserve"> to host metabolism</w:t>
      </w:r>
    </w:p>
    <w:p w14:paraId="0A1C3012" w14:textId="279B06DD" w:rsidR="000E1074"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Mechanistic plausibility strengthens biomarker candidacy by suggesting that a marker is not merely correlating with disease but participating in its biology. Preclinical work indicates that pasteurized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or its membrane proteins can improve metabolic parameters in obese and diabetic mice, supporting a role for specific bacterial components as effectors (</w:t>
      </w:r>
      <w:proofErr w:type="spellStart"/>
      <w:r w:rsidRPr="00A37C08">
        <w:rPr>
          <w:rFonts w:ascii="Arial" w:eastAsia="Times New Roman" w:hAnsi="Arial" w:cs="Arial"/>
          <w:kern w:val="0"/>
          <w:sz w:val="20"/>
          <w:szCs w:val="20"/>
          <w:lang w:eastAsia="en-IN"/>
          <w14:ligatures w14:val="none"/>
        </w:rPr>
        <w:t>Plovier</w:t>
      </w:r>
      <w:proofErr w:type="spellEnd"/>
      <w:r w:rsidRPr="00A37C08">
        <w:rPr>
          <w:rFonts w:ascii="Arial" w:eastAsia="Times New Roman" w:hAnsi="Arial" w:cs="Arial"/>
          <w:kern w:val="0"/>
          <w:sz w:val="20"/>
          <w:szCs w:val="20"/>
          <w:lang w:eastAsia="en-IN"/>
          <w14:ligatures w14:val="none"/>
        </w:rPr>
        <w:t xml:space="preserve"> et al., 2017). Further mechanistic studies identified secreted or surface-associated factors that influence incretin biology </w:t>
      </w:r>
      <w:r w:rsidRPr="00A37C08">
        <w:rPr>
          <w:rFonts w:ascii="Arial" w:eastAsia="Times New Roman" w:hAnsi="Arial" w:cs="Arial"/>
          <w:kern w:val="0"/>
          <w:sz w:val="20"/>
          <w:szCs w:val="20"/>
          <w:lang w:eastAsia="en-IN"/>
          <w14:ligatures w14:val="none"/>
        </w:rPr>
        <w:lastRenderedPageBreak/>
        <w:t xml:space="preserve">and thermogenesis. For example, an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–derived protein (P9) has been reported to induce GLP-1 secretion and improve metabolic phenotypes in mice, linking the bacterium to hormonal pathways relevant to </w:t>
      </w:r>
      <w:proofErr w:type="spellStart"/>
      <w:r w:rsidRPr="00A37C08">
        <w:rPr>
          <w:rFonts w:ascii="Arial" w:eastAsia="Times New Roman" w:hAnsi="Arial" w:cs="Arial"/>
          <w:kern w:val="0"/>
          <w:sz w:val="20"/>
          <w:szCs w:val="20"/>
          <w:lang w:eastAsia="en-IN"/>
          <w14:ligatures w14:val="none"/>
        </w:rPr>
        <w:t>glycemic</w:t>
      </w:r>
      <w:proofErr w:type="spellEnd"/>
      <w:r w:rsidRPr="00A37C08">
        <w:rPr>
          <w:rFonts w:ascii="Arial" w:eastAsia="Times New Roman" w:hAnsi="Arial" w:cs="Arial"/>
          <w:kern w:val="0"/>
          <w:sz w:val="20"/>
          <w:szCs w:val="20"/>
          <w:lang w:eastAsia="en-IN"/>
          <w14:ligatures w14:val="none"/>
        </w:rPr>
        <w:t xml:space="preserve"> control (</w:t>
      </w:r>
      <w:r w:rsidR="004603DC" w:rsidRPr="00A37C08">
        <w:rPr>
          <w:rFonts w:ascii="Arial" w:eastAsia="Times New Roman" w:hAnsi="Arial" w:cs="Arial"/>
          <w:kern w:val="0"/>
          <w:sz w:val="20"/>
          <w:szCs w:val="20"/>
          <w:lang w:eastAsia="en-IN"/>
          <w14:ligatures w14:val="none"/>
        </w:rPr>
        <w:t xml:space="preserve">Yoon et al., 2021; </w:t>
      </w:r>
      <w:proofErr w:type="spellStart"/>
      <w:r w:rsidR="004603DC" w:rsidRPr="00A37C08">
        <w:rPr>
          <w:rFonts w:ascii="Arial" w:eastAsia="Times New Roman" w:hAnsi="Arial" w:cs="Arial"/>
          <w:kern w:val="0"/>
          <w:sz w:val="20"/>
          <w:szCs w:val="20"/>
          <w:lang w:eastAsia="en-IN"/>
          <w14:ligatures w14:val="none"/>
        </w:rPr>
        <w:t>Cani</w:t>
      </w:r>
      <w:proofErr w:type="spellEnd"/>
      <w:r w:rsidR="004603DC" w:rsidRPr="00A37C08">
        <w:rPr>
          <w:rFonts w:ascii="Arial" w:eastAsia="Times New Roman" w:hAnsi="Arial" w:cs="Arial"/>
          <w:kern w:val="0"/>
          <w:sz w:val="20"/>
          <w:szCs w:val="20"/>
          <w:lang w:eastAsia="en-IN"/>
          <w14:ligatures w14:val="none"/>
        </w:rPr>
        <w:t xml:space="preserve"> &amp; Knauf, 2021</w:t>
      </w:r>
      <w:r w:rsidRPr="00A37C08">
        <w:rPr>
          <w:rFonts w:ascii="Arial" w:eastAsia="Times New Roman" w:hAnsi="Arial" w:cs="Arial"/>
          <w:kern w:val="0"/>
          <w:sz w:val="20"/>
          <w:szCs w:val="20"/>
          <w:lang w:eastAsia="en-IN"/>
          <w14:ligatures w14:val="none"/>
        </w:rPr>
        <w:t xml:space="preserve">). While such mechanistic studies do not prove human prognostic utility, they increase the plausibility that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depletion could be upstream of metabolic decline, not only a </w:t>
      </w:r>
      <w:proofErr w:type="spellStart"/>
      <w:r w:rsidRPr="00A37C08">
        <w:rPr>
          <w:rFonts w:ascii="Arial" w:eastAsia="Times New Roman" w:hAnsi="Arial" w:cs="Arial"/>
          <w:kern w:val="0"/>
          <w:sz w:val="20"/>
          <w:szCs w:val="20"/>
          <w:lang w:eastAsia="en-IN"/>
          <w14:ligatures w14:val="none"/>
        </w:rPr>
        <w:t>byproduct</w:t>
      </w:r>
      <w:proofErr w:type="spellEnd"/>
      <w:r w:rsidRPr="00A37C08">
        <w:rPr>
          <w:rFonts w:ascii="Arial" w:eastAsia="Times New Roman" w:hAnsi="Arial" w:cs="Arial"/>
          <w:kern w:val="0"/>
          <w:sz w:val="20"/>
          <w:szCs w:val="20"/>
          <w:lang w:eastAsia="en-IN"/>
          <w14:ligatures w14:val="none"/>
        </w:rPr>
        <w:t xml:space="preserve"> of it.</w:t>
      </w:r>
    </w:p>
    <w:p w14:paraId="6A9AE38A"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766CD603" w14:textId="77777777" w:rsidR="000E1074" w:rsidRDefault="000E1074" w:rsidP="00CB5290">
      <w:pPr>
        <w:spacing w:after="0" w:line="360" w:lineRule="auto"/>
        <w:jc w:val="both"/>
        <w:outlineLvl w:val="1"/>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 xml:space="preserve">4. Evidence linking </w:t>
      </w:r>
      <w:r w:rsidRPr="00A37C08">
        <w:rPr>
          <w:rFonts w:ascii="Arial" w:eastAsia="Times New Roman" w:hAnsi="Arial" w:cs="Arial"/>
          <w:b/>
          <w:bCs/>
          <w:i/>
          <w:iCs/>
          <w:kern w:val="0"/>
          <w:sz w:val="20"/>
          <w:szCs w:val="20"/>
          <w:lang w:eastAsia="en-IN"/>
          <w14:ligatures w14:val="none"/>
        </w:rPr>
        <w:t xml:space="preserve">A. </w:t>
      </w:r>
      <w:proofErr w:type="spellStart"/>
      <w:r w:rsidRPr="00A37C08">
        <w:rPr>
          <w:rFonts w:ascii="Arial" w:eastAsia="Times New Roman" w:hAnsi="Arial" w:cs="Arial"/>
          <w:b/>
          <w:bCs/>
          <w:i/>
          <w:iCs/>
          <w:kern w:val="0"/>
          <w:sz w:val="20"/>
          <w:szCs w:val="20"/>
          <w:lang w:eastAsia="en-IN"/>
          <w14:ligatures w14:val="none"/>
        </w:rPr>
        <w:t>muciniphila</w:t>
      </w:r>
      <w:proofErr w:type="spellEnd"/>
      <w:r w:rsidRPr="00A37C08">
        <w:rPr>
          <w:rFonts w:ascii="Arial" w:eastAsia="Times New Roman" w:hAnsi="Arial" w:cs="Arial"/>
          <w:b/>
          <w:bCs/>
          <w:kern w:val="0"/>
          <w:sz w:val="20"/>
          <w:szCs w:val="20"/>
          <w:lang w:eastAsia="en-IN"/>
          <w14:ligatures w14:val="none"/>
        </w:rPr>
        <w:t xml:space="preserve"> to T2DM onset, progression, and response</w:t>
      </w:r>
    </w:p>
    <w:p w14:paraId="60B36208" w14:textId="77777777" w:rsidR="00A37C08" w:rsidRPr="00A37C08" w:rsidRDefault="00A37C08" w:rsidP="00CB5290">
      <w:pPr>
        <w:spacing w:after="0" w:line="360" w:lineRule="auto"/>
        <w:jc w:val="both"/>
        <w:outlineLvl w:val="1"/>
        <w:rPr>
          <w:rFonts w:ascii="Arial" w:eastAsia="Times New Roman" w:hAnsi="Arial" w:cs="Arial"/>
          <w:b/>
          <w:bCs/>
          <w:kern w:val="0"/>
          <w:sz w:val="20"/>
          <w:szCs w:val="20"/>
          <w:lang w:eastAsia="en-IN"/>
          <w14:ligatures w14:val="none"/>
        </w:rPr>
      </w:pPr>
    </w:p>
    <w:p w14:paraId="485B2920" w14:textId="77777777" w:rsidR="000E1074" w:rsidRPr="00A37C08" w:rsidRDefault="000E1074" w:rsidP="00CB5290">
      <w:pPr>
        <w:spacing w:after="0" w:line="360" w:lineRule="auto"/>
        <w:jc w:val="both"/>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4.1. Cross-sectional associations: consistency, caveats, and what they do (and do not) prove</w:t>
      </w:r>
    </w:p>
    <w:p w14:paraId="6C458A29" w14:textId="77777777" w:rsidR="000E1074" w:rsidRPr="00A37C08"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Early metagenome-wide association studies established that T2DM is accompanied by broad shifts in microbial community structure and functional capacity, providing the foundation for exploring specific taxa as markers (Qin et al., 2012; Karlsson et al., 2013). Across many subsequent cohorts,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has often appeared as relatively depleted in metabolic disease states and enriched in healthier phenotypes, although the magnitude and consistency vary by cohort characteristics and analytic adjustments.</w:t>
      </w:r>
    </w:p>
    <w:p w14:paraId="42D2496B" w14:textId="77777777" w:rsidR="000E1074" w:rsidRPr="00A37C08"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Cross-sectional association, however, is not prognosis. A taxon can be depleted in T2DM and yet be useless for predicting future deterioration, especially if depletion reflects downstream effects of </w:t>
      </w:r>
      <w:proofErr w:type="spellStart"/>
      <w:r w:rsidRPr="00A37C08">
        <w:rPr>
          <w:rFonts w:ascii="Arial" w:eastAsia="Times New Roman" w:hAnsi="Arial" w:cs="Arial"/>
          <w:kern w:val="0"/>
          <w:sz w:val="20"/>
          <w:szCs w:val="20"/>
          <w:lang w:eastAsia="en-IN"/>
          <w14:ligatures w14:val="none"/>
        </w:rPr>
        <w:t>hyperglycemia</w:t>
      </w:r>
      <w:proofErr w:type="spellEnd"/>
      <w:r w:rsidRPr="00A37C08">
        <w:rPr>
          <w:rFonts w:ascii="Arial" w:eastAsia="Times New Roman" w:hAnsi="Arial" w:cs="Arial"/>
          <w:kern w:val="0"/>
          <w:sz w:val="20"/>
          <w:szCs w:val="20"/>
          <w:lang w:eastAsia="en-IN"/>
          <w14:ligatures w14:val="none"/>
        </w:rPr>
        <w:t>, diet changes after diagnosis, or drug exposures. Moreover, the microbiome is highly sensitive to geography and diet; thus, the same abundance threshold may not translate across populations. These considerations motivate a focus on (</w:t>
      </w:r>
      <w:proofErr w:type="spellStart"/>
      <w:r w:rsidRPr="00A37C08">
        <w:rPr>
          <w:rFonts w:ascii="Arial" w:eastAsia="Times New Roman" w:hAnsi="Arial" w:cs="Arial"/>
          <w:kern w:val="0"/>
          <w:sz w:val="20"/>
          <w:szCs w:val="20"/>
          <w:lang w:eastAsia="en-IN"/>
          <w14:ligatures w14:val="none"/>
        </w:rPr>
        <w:t>i</w:t>
      </w:r>
      <w:proofErr w:type="spellEnd"/>
      <w:r w:rsidRPr="00A37C08">
        <w:rPr>
          <w:rFonts w:ascii="Arial" w:eastAsia="Times New Roman" w:hAnsi="Arial" w:cs="Arial"/>
          <w:kern w:val="0"/>
          <w:sz w:val="20"/>
          <w:szCs w:val="20"/>
          <w:lang w:eastAsia="en-IN"/>
          <w14:ligatures w14:val="none"/>
        </w:rPr>
        <w:t>) medication-naïve cohorts, (ii) longitudinal studies, and (iii) cross-cohort analyses that explicitly model heterogeneity.</w:t>
      </w:r>
    </w:p>
    <w:p w14:paraId="185777E6" w14:textId="71A6B005" w:rsidR="000E1074"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A major advance in the field has </w:t>
      </w:r>
      <w:r w:rsidRPr="00E01CB9">
        <w:rPr>
          <w:rFonts w:ascii="Arial" w:eastAsia="Times New Roman" w:hAnsi="Arial" w:cs="Arial"/>
          <w:kern w:val="0"/>
          <w:sz w:val="20"/>
          <w:szCs w:val="20"/>
          <w:highlight w:val="yellow"/>
          <w:lang w:eastAsia="en-IN"/>
          <w14:ligatures w14:val="none"/>
        </w:rPr>
        <w:t xml:space="preserve">been </w:t>
      </w:r>
      <w:r w:rsidR="00E01CB9" w:rsidRPr="00E01CB9">
        <w:rPr>
          <w:rFonts w:ascii="Arial" w:eastAsia="Times New Roman" w:hAnsi="Arial" w:cs="Arial"/>
          <w:kern w:val="0"/>
          <w:sz w:val="20"/>
          <w:szCs w:val="20"/>
          <w:highlight w:val="yellow"/>
          <w:lang w:eastAsia="en-IN"/>
          <w14:ligatures w14:val="none"/>
        </w:rPr>
        <w:t xml:space="preserve">the </w:t>
      </w:r>
      <w:r w:rsidRPr="00E01CB9">
        <w:rPr>
          <w:rFonts w:ascii="Arial" w:eastAsia="Times New Roman" w:hAnsi="Arial" w:cs="Arial"/>
          <w:kern w:val="0"/>
          <w:sz w:val="20"/>
          <w:szCs w:val="20"/>
          <w:highlight w:val="yellow"/>
          <w:lang w:eastAsia="en-IN"/>
          <w14:ligatures w14:val="none"/>
        </w:rPr>
        <w:t>movement</w:t>
      </w:r>
      <w:r w:rsidRPr="00A37C08">
        <w:rPr>
          <w:rFonts w:ascii="Arial" w:eastAsia="Times New Roman" w:hAnsi="Arial" w:cs="Arial"/>
          <w:kern w:val="0"/>
          <w:sz w:val="20"/>
          <w:szCs w:val="20"/>
          <w:lang w:eastAsia="en-IN"/>
          <w14:ligatures w14:val="none"/>
        </w:rPr>
        <w:t xml:space="preserve"> toward large cross-cohort meta-analyses and strain-aware approaches. A large cross-cohort analysis of over 8,000 metagenomes emphasized that strain-level signals can clarify inconsistent species-level associations across cohorts and better connect mechanisms to associations (Mei et al., 2024). Such work is relevant to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because it highlights a plausible path from “genus-level marker” to “strain-level prognostic feature,” which may be necessary for robust prediction across settings.</w:t>
      </w:r>
    </w:p>
    <w:p w14:paraId="03A48C5E"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6E9F66DA" w14:textId="77777777" w:rsidR="000E1074" w:rsidRPr="00A37C08" w:rsidRDefault="000E1074" w:rsidP="00CB5290">
      <w:pPr>
        <w:spacing w:after="0" w:line="360" w:lineRule="auto"/>
        <w:jc w:val="both"/>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4.2. Longitudinal and predictive evidence: toward prognostic interpretation</w:t>
      </w:r>
    </w:p>
    <w:p w14:paraId="7439B127" w14:textId="77777777" w:rsidR="000E1074" w:rsidRPr="00A37C08"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Longitudinal evidence is the most direct test of prognostic value. In microbiome research, longitudinal studies are often limited by sample size, follow-up duration, and changing exposures (especially medications). Nonetheless, several lines of evidence support the feasibility of microbiome-based prediction of </w:t>
      </w:r>
      <w:proofErr w:type="spellStart"/>
      <w:r w:rsidRPr="00A37C08">
        <w:rPr>
          <w:rFonts w:ascii="Arial" w:eastAsia="Times New Roman" w:hAnsi="Arial" w:cs="Arial"/>
          <w:kern w:val="0"/>
          <w:sz w:val="20"/>
          <w:szCs w:val="20"/>
          <w:lang w:eastAsia="en-IN"/>
          <w14:ligatures w14:val="none"/>
        </w:rPr>
        <w:t>dysglycemia</w:t>
      </w:r>
      <w:proofErr w:type="spellEnd"/>
      <w:r w:rsidRPr="00A37C08">
        <w:rPr>
          <w:rFonts w:ascii="Arial" w:eastAsia="Times New Roman" w:hAnsi="Arial" w:cs="Arial"/>
          <w:kern w:val="0"/>
          <w:sz w:val="20"/>
          <w:szCs w:val="20"/>
          <w:lang w:eastAsia="en-IN"/>
          <w14:ligatures w14:val="none"/>
        </w:rPr>
        <w:t xml:space="preserve"> and future T2DM risk, which provides a context for evaluating whether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can contribute meaningfully to prediction models.</w:t>
      </w:r>
    </w:p>
    <w:p w14:paraId="644E1E07" w14:textId="77777777" w:rsidR="000E1074" w:rsidRPr="00A37C08"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First, studies aiming to detect subclinical microbial signatures of metabolic disease emphasize that microbiome shifts can precede overt disease and may function as early biomarkers (</w:t>
      </w:r>
      <w:proofErr w:type="spellStart"/>
      <w:r w:rsidRPr="00A37C08">
        <w:rPr>
          <w:rFonts w:ascii="Arial" w:eastAsia="Times New Roman" w:hAnsi="Arial" w:cs="Arial"/>
          <w:kern w:val="0"/>
          <w:sz w:val="20"/>
          <w:szCs w:val="20"/>
          <w:lang w:eastAsia="en-IN"/>
          <w14:ligatures w14:val="none"/>
        </w:rPr>
        <w:t>Yassour</w:t>
      </w:r>
      <w:proofErr w:type="spellEnd"/>
      <w:r w:rsidRPr="00A37C08">
        <w:rPr>
          <w:rFonts w:ascii="Arial" w:eastAsia="Times New Roman" w:hAnsi="Arial" w:cs="Arial"/>
          <w:kern w:val="0"/>
          <w:sz w:val="20"/>
          <w:szCs w:val="20"/>
          <w:lang w:eastAsia="en-IN"/>
          <w14:ligatures w14:val="none"/>
        </w:rPr>
        <w:t xml:space="preserve"> et al., 2016). While such work frequently relies on multi-taxon patterns rather than a single organism, it is conceptually important: prognosis may emerge from composite microbial profiles in which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is one component.</w:t>
      </w:r>
    </w:p>
    <w:p w14:paraId="23E2CBEF" w14:textId="77777777" w:rsidR="000E1074" w:rsidRPr="00A37C08"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lastRenderedPageBreak/>
        <w:t>Second, cohort studies integrating temporal dynamics show that gut microbial rhythmicity and its disruption can predict later T2DM, supporting the broader claim that microbiome features can capture risk-relevant physiology over time (</w:t>
      </w:r>
      <w:proofErr w:type="spellStart"/>
      <w:r w:rsidRPr="00A37C08">
        <w:rPr>
          <w:rFonts w:ascii="Arial" w:eastAsia="Times New Roman" w:hAnsi="Arial" w:cs="Arial"/>
          <w:kern w:val="0"/>
          <w:sz w:val="20"/>
          <w:szCs w:val="20"/>
          <w:lang w:eastAsia="en-IN"/>
          <w14:ligatures w14:val="none"/>
        </w:rPr>
        <w:t>Reitmeier</w:t>
      </w:r>
      <w:proofErr w:type="spellEnd"/>
      <w:r w:rsidRPr="00A37C08">
        <w:rPr>
          <w:rFonts w:ascii="Arial" w:eastAsia="Times New Roman" w:hAnsi="Arial" w:cs="Arial"/>
          <w:kern w:val="0"/>
          <w:sz w:val="20"/>
          <w:szCs w:val="20"/>
          <w:lang w:eastAsia="en-IN"/>
          <w14:ligatures w14:val="none"/>
        </w:rPr>
        <w:t xml:space="preserve"> et al., 2020). Such studies do not automatically validate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as the key driver, but they reinforce that microbiome-based prediction is plausible and that taxa-level or function-level features may be prognostically informative when properly standardized.</w:t>
      </w:r>
    </w:p>
    <w:p w14:paraId="4EB65E0C" w14:textId="77777777" w:rsidR="000E1074"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Third, large-scale meta-analyses that evaluate prediabetes and T2DM across cohorts help distinguish robust signals from site-specific </w:t>
      </w:r>
      <w:proofErr w:type="spellStart"/>
      <w:r w:rsidRPr="00A37C08">
        <w:rPr>
          <w:rFonts w:ascii="Arial" w:eastAsia="Times New Roman" w:hAnsi="Arial" w:cs="Arial"/>
          <w:kern w:val="0"/>
          <w:sz w:val="20"/>
          <w:szCs w:val="20"/>
          <w:lang w:eastAsia="en-IN"/>
          <w14:ligatures w14:val="none"/>
        </w:rPr>
        <w:t>artifacts</w:t>
      </w:r>
      <w:proofErr w:type="spellEnd"/>
      <w:r w:rsidRPr="00A37C08">
        <w:rPr>
          <w:rFonts w:ascii="Arial" w:eastAsia="Times New Roman" w:hAnsi="Arial" w:cs="Arial"/>
          <w:kern w:val="0"/>
          <w:sz w:val="20"/>
          <w:szCs w:val="20"/>
          <w:lang w:eastAsia="en-IN"/>
          <w14:ligatures w14:val="none"/>
        </w:rPr>
        <w:t>. The 2024 cross-cohort metagenomic study explicitly addressed the limited mechanistic interpretability of species-level associations by moving toward strain specificity (Mei et al., 2024). For pro</w:t>
      </w:r>
      <w:bookmarkStart w:id="0" w:name="_GoBack"/>
      <w:bookmarkEnd w:id="0"/>
      <w:r w:rsidRPr="00A37C08">
        <w:rPr>
          <w:rFonts w:ascii="Arial" w:eastAsia="Times New Roman" w:hAnsi="Arial" w:cs="Arial"/>
          <w:kern w:val="0"/>
          <w:sz w:val="20"/>
          <w:szCs w:val="20"/>
          <w:lang w:eastAsia="en-IN"/>
          <w14:ligatures w14:val="none"/>
        </w:rPr>
        <w:t xml:space="preserve">gnostic translation, </w:t>
      </w:r>
      <w:proofErr w:type="gramStart"/>
      <w:r w:rsidRPr="00A37C08">
        <w:rPr>
          <w:rFonts w:ascii="Arial" w:eastAsia="Times New Roman" w:hAnsi="Arial" w:cs="Arial"/>
          <w:kern w:val="0"/>
          <w:sz w:val="20"/>
          <w:szCs w:val="20"/>
          <w:lang w:eastAsia="en-IN"/>
          <w14:ligatures w14:val="none"/>
        </w:rPr>
        <w:t>this matters</w:t>
      </w:r>
      <w:proofErr w:type="gramEnd"/>
      <w:r w:rsidRPr="00A37C08">
        <w:rPr>
          <w:rFonts w:ascii="Arial" w:eastAsia="Times New Roman" w:hAnsi="Arial" w:cs="Arial"/>
          <w:kern w:val="0"/>
          <w:sz w:val="20"/>
          <w:szCs w:val="20"/>
          <w:lang w:eastAsia="en-IN"/>
          <w14:ligatures w14:val="none"/>
        </w:rPr>
        <w:t xml:space="preserve"> because a stable prognostic indicator must survive heterogeneity in diet, sampling, sequencing, and analysis pipelines. If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is to serve as a prognostic marker, it likely needs similar cross-cohort validation and may require strain- or function-based refinements.</w:t>
      </w:r>
    </w:p>
    <w:p w14:paraId="389184D1"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4542E47A" w14:textId="77777777" w:rsidR="000E1074" w:rsidRPr="00A37C08" w:rsidRDefault="000E1074" w:rsidP="00CB5290">
      <w:pPr>
        <w:spacing w:after="0" w:line="360" w:lineRule="auto"/>
        <w:jc w:val="both"/>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4.3. Medication and intervention confounding: metformin as both a threat and an opportunity</w:t>
      </w:r>
    </w:p>
    <w:p w14:paraId="3243E84C" w14:textId="6D63CBE4" w:rsidR="000E1074" w:rsidRPr="00A37C08"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No candidate microbial biomarker for T2DM can be evaluated without addressing metformin, because it is both common and microbiome-active. Early cross-study inconsistencies in T2DM microbiome signals were substantially explained by metformin confounding; when metformin-naïve patients were separated from metformin-treated patients, disease signatures became more coherent (</w:t>
      </w:r>
      <w:proofErr w:type="spellStart"/>
      <w:r w:rsidRPr="00A37C08">
        <w:rPr>
          <w:rFonts w:ascii="Arial" w:eastAsia="Times New Roman" w:hAnsi="Arial" w:cs="Arial"/>
          <w:kern w:val="0"/>
          <w:sz w:val="20"/>
          <w:szCs w:val="20"/>
          <w:lang w:eastAsia="en-IN"/>
          <w14:ligatures w14:val="none"/>
        </w:rPr>
        <w:t>Forslund</w:t>
      </w:r>
      <w:proofErr w:type="spellEnd"/>
      <w:r w:rsidRPr="00A37C08">
        <w:rPr>
          <w:rFonts w:ascii="Arial" w:eastAsia="Times New Roman" w:hAnsi="Arial" w:cs="Arial"/>
          <w:kern w:val="0"/>
          <w:sz w:val="20"/>
          <w:szCs w:val="20"/>
          <w:lang w:eastAsia="en-IN"/>
          <w14:ligatures w14:val="none"/>
        </w:rPr>
        <w:t xml:space="preserve"> et al., 2015). Controlled trial evidence shows that metformin causally reshapes the gut microbiome in treatment-naïve T2DM, and that transplantation of metformin-altered microbiota can improve glucose tolerance in recipient mice, supporting a mechanistic contribution of microbiome changes to drug action (Wu et al., 2017).</w:t>
      </w:r>
      <w:r w:rsidR="004603DC" w:rsidRPr="00A37C08">
        <w:rPr>
          <w:rFonts w:ascii="Arial" w:eastAsia="Times New Roman" w:hAnsi="Arial" w:cs="Arial"/>
          <w:kern w:val="0"/>
          <w:sz w:val="20"/>
          <w:szCs w:val="20"/>
          <w:lang w:eastAsia="en-IN"/>
          <w14:ligatures w14:val="none"/>
        </w:rPr>
        <w:t xml:space="preserve"> Metformin’s glucose-lowering effects may be partly mediated through gastrointestinal mechanisms, including enhanced incretin </w:t>
      </w:r>
      <w:proofErr w:type="spellStart"/>
      <w:r w:rsidR="004603DC" w:rsidRPr="00A37C08">
        <w:rPr>
          <w:rFonts w:ascii="Arial" w:eastAsia="Times New Roman" w:hAnsi="Arial" w:cs="Arial"/>
          <w:kern w:val="0"/>
          <w:sz w:val="20"/>
          <w:szCs w:val="20"/>
          <w:lang w:eastAsia="en-IN"/>
          <w14:ligatures w14:val="none"/>
        </w:rPr>
        <w:t>signaling</w:t>
      </w:r>
      <w:proofErr w:type="spellEnd"/>
      <w:r w:rsidR="004603DC" w:rsidRPr="00A37C08">
        <w:rPr>
          <w:rFonts w:ascii="Arial" w:eastAsia="Times New Roman" w:hAnsi="Arial" w:cs="Arial"/>
          <w:kern w:val="0"/>
          <w:sz w:val="20"/>
          <w:szCs w:val="20"/>
          <w:lang w:eastAsia="en-IN"/>
          <w14:ligatures w14:val="none"/>
        </w:rPr>
        <w:t xml:space="preserve"> and modulation of gut microbiota (</w:t>
      </w:r>
      <w:proofErr w:type="spellStart"/>
      <w:r w:rsidR="004603DC" w:rsidRPr="00A37C08">
        <w:rPr>
          <w:rFonts w:ascii="Arial" w:eastAsia="Times New Roman" w:hAnsi="Arial" w:cs="Arial"/>
          <w:kern w:val="0"/>
          <w:sz w:val="20"/>
          <w:szCs w:val="20"/>
          <w:lang w:eastAsia="en-IN"/>
          <w14:ligatures w14:val="none"/>
        </w:rPr>
        <w:t>Gruszka</w:t>
      </w:r>
      <w:proofErr w:type="spellEnd"/>
      <w:r w:rsidR="004603DC" w:rsidRPr="00A37C08">
        <w:rPr>
          <w:rFonts w:ascii="Arial" w:eastAsia="Times New Roman" w:hAnsi="Arial" w:cs="Arial"/>
          <w:kern w:val="0"/>
          <w:sz w:val="20"/>
          <w:szCs w:val="20"/>
          <w:lang w:eastAsia="en-IN"/>
          <w14:ligatures w14:val="none"/>
        </w:rPr>
        <w:t>, 2015).</w:t>
      </w:r>
    </w:p>
    <w:p w14:paraId="72338C7D" w14:textId="22BC3264" w:rsidR="000E1074" w:rsidRPr="00A37C08"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For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metformin is particularly relevant because multiple studies suggest metformin can increase mucin-degrading </w:t>
      </w:r>
      <w:r w:rsidRPr="00E01CB9">
        <w:rPr>
          <w:rFonts w:ascii="Arial" w:eastAsia="Times New Roman" w:hAnsi="Arial" w:cs="Arial"/>
          <w:kern w:val="0"/>
          <w:sz w:val="20"/>
          <w:szCs w:val="20"/>
          <w:highlight w:val="yellow"/>
          <w:lang w:eastAsia="en-IN"/>
          <w14:ligatures w14:val="none"/>
        </w:rPr>
        <w:t>taxa</w:t>
      </w:r>
      <w:r w:rsidR="00E01CB9" w:rsidRPr="00E01CB9">
        <w:rPr>
          <w:rFonts w:ascii="Arial" w:eastAsia="Times New Roman" w:hAnsi="Arial" w:cs="Arial"/>
          <w:kern w:val="0"/>
          <w:sz w:val="20"/>
          <w:szCs w:val="20"/>
          <w:highlight w:val="yellow"/>
          <w:lang w:eastAsia="en-IN"/>
          <w14:ligatures w14:val="none"/>
        </w:rPr>
        <w:t>,</w:t>
      </w:r>
      <w:r w:rsidRPr="00E01CB9">
        <w:rPr>
          <w:rFonts w:ascii="Arial" w:eastAsia="Times New Roman" w:hAnsi="Arial" w:cs="Arial"/>
          <w:kern w:val="0"/>
          <w:sz w:val="20"/>
          <w:szCs w:val="20"/>
          <w:highlight w:val="yellow"/>
          <w:lang w:eastAsia="en-IN"/>
          <w14:ligatures w14:val="none"/>
        </w:rPr>
        <w:t xml:space="preserve"> includin</w:t>
      </w:r>
      <w:r w:rsidRPr="00A37C08">
        <w:rPr>
          <w:rFonts w:ascii="Arial" w:eastAsia="Times New Roman" w:hAnsi="Arial" w:cs="Arial"/>
          <w:kern w:val="0"/>
          <w:sz w:val="20"/>
          <w:szCs w:val="20"/>
          <w:lang w:eastAsia="en-IN"/>
          <w14:ligatures w14:val="none"/>
        </w:rPr>
        <w:t xml:space="preserve">g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potentially inflating apparent “healthy” associations among treated individuals</w:t>
      </w:r>
      <w:r w:rsidRPr="00E01CB9">
        <w:rPr>
          <w:rFonts w:ascii="Arial" w:eastAsia="Times New Roman" w:hAnsi="Arial" w:cs="Arial"/>
          <w:kern w:val="0"/>
          <w:sz w:val="20"/>
          <w:szCs w:val="20"/>
          <w:highlight w:val="yellow"/>
          <w:lang w:eastAsia="en-IN"/>
          <w14:ligatures w14:val="none"/>
        </w:rPr>
        <w:t xml:space="preserve">. A human observational study in community-dwelling adults found metformin use was associated with </w:t>
      </w:r>
      <w:r w:rsidR="00E01CB9" w:rsidRPr="00E01CB9">
        <w:rPr>
          <w:rFonts w:ascii="Arial" w:eastAsia="Times New Roman" w:hAnsi="Arial" w:cs="Arial"/>
          <w:kern w:val="0"/>
          <w:sz w:val="20"/>
          <w:szCs w:val="20"/>
          <w:highlight w:val="yellow"/>
          <w:lang w:eastAsia="en-IN"/>
          <w14:ligatures w14:val="none"/>
        </w:rPr>
        <w:t xml:space="preserve">a </w:t>
      </w:r>
      <w:r w:rsidRPr="00E01CB9">
        <w:rPr>
          <w:rFonts w:ascii="Arial" w:eastAsia="Times New Roman" w:hAnsi="Arial" w:cs="Arial"/>
          <w:kern w:val="0"/>
          <w:sz w:val="20"/>
          <w:szCs w:val="20"/>
          <w:highlight w:val="yellow"/>
          <w:lang w:eastAsia="en-IN"/>
          <w14:ligatures w14:val="none"/>
        </w:rPr>
        <w:t>higher relativ</w:t>
      </w:r>
      <w:r w:rsidRPr="00A37C08">
        <w:rPr>
          <w:rFonts w:ascii="Arial" w:eastAsia="Times New Roman" w:hAnsi="Arial" w:cs="Arial"/>
          <w:kern w:val="0"/>
          <w:sz w:val="20"/>
          <w:szCs w:val="20"/>
          <w:lang w:eastAsia="en-IN"/>
          <w14:ligatures w14:val="none"/>
        </w:rPr>
        <w:t xml:space="preserve">e abundance of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compared with non-users, reinforcing that medication status must be explicitly </w:t>
      </w:r>
      <w:proofErr w:type="spellStart"/>
      <w:r w:rsidRPr="00A37C08">
        <w:rPr>
          <w:rFonts w:ascii="Arial" w:eastAsia="Times New Roman" w:hAnsi="Arial" w:cs="Arial"/>
          <w:kern w:val="0"/>
          <w:sz w:val="20"/>
          <w:szCs w:val="20"/>
          <w:lang w:eastAsia="en-IN"/>
          <w14:ligatures w14:val="none"/>
        </w:rPr>
        <w:t>modeled</w:t>
      </w:r>
      <w:proofErr w:type="spellEnd"/>
      <w:r w:rsidRPr="00A37C08">
        <w:rPr>
          <w:rFonts w:ascii="Arial" w:eastAsia="Times New Roman" w:hAnsi="Arial" w:cs="Arial"/>
          <w:kern w:val="0"/>
          <w:sz w:val="20"/>
          <w:szCs w:val="20"/>
          <w:lang w:eastAsia="en-IN"/>
          <w14:ligatures w14:val="none"/>
        </w:rPr>
        <w:t xml:space="preserve"> (de la Cuesta-</w:t>
      </w:r>
      <w:proofErr w:type="spellStart"/>
      <w:r w:rsidRPr="00A37C08">
        <w:rPr>
          <w:rFonts w:ascii="Arial" w:eastAsia="Times New Roman" w:hAnsi="Arial" w:cs="Arial"/>
          <w:kern w:val="0"/>
          <w:sz w:val="20"/>
          <w:szCs w:val="20"/>
          <w:lang w:eastAsia="en-IN"/>
          <w14:ligatures w14:val="none"/>
        </w:rPr>
        <w:t>Zuluaga</w:t>
      </w:r>
      <w:proofErr w:type="spellEnd"/>
      <w:r w:rsidRPr="00A37C08">
        <w:rPr>
          <w:rFonts w:ascii="Arial" w:eastAsia="Times New Roman" w:hAnsi="Arial" w:cs="Arial"/>
          <w:kern w:val="0"/>
          <w:sz w:val="20"/>
          <w:szCs w:val="20"/>
          <w:lang w:eastAsia="en-IN"/>
          <w14:ligatures w14:val="none"/>
        </w:rPr>
        <w:t xml:space="preserve"> et al., 2017). Experimental work in mice similarly reports metformin-induced increases in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alongside improved glucose homeostasis (Shin et al., 2014). Together, these findings imply that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abundance could reflect treatment exposure rather than baseline disease prognosis, undermining its value as a stand-alone prognostic indicator unless metformin exposure is carefully controlled.</w:t>
      </w:r>
    </w:p>
    <w:p w14:paraId="3EA1924B" w14:textId="28E5F3F5" w:rsidR="000E1074"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At the same time, metformin’s link to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may create a distinct prognostic opportunity: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might function as a marker of microbiome-mediated drug responsiveness or tolerance. In other words, instead of asking whether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predicts disease progression in general, a clinically actionable question may be whether baseline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w:t>
      </w:r>
      <w:r w:rsidRPr="00E01CB9">
        <w:rPr>
          <w:rFonts w:ascii="Arial" w:eastAsia="Times New Roman" w:hAnsi="Arial" w:cs="Arial"/>
          <w:kern w:val="0"/>
          <w:sz w:val="20"/>
          <w:szCs w:val="20"/>
          <w:highlight w:val="yellow"/>
          <w:lang w:eastAsia="en-IN"/>
          <w14:ligatures w14:val="none"/>
        </w:rPr>
        <w:t xml:space="preserve">predicts </w:t>
      </w:r>
      <w:r w:rsidR="00E01CB9" w:rsidRPr="00E01CB9">
        <w:rPr>
          <w:rFonts w:ascii="Arial" w:eastAsia="Times New Roman" w:hAnsi="Arial" w:cs="Arial"/>
          <w:kern w:val="0"/>
          <w:sz w:val="20"/>
          <w:szCs w:val="20"/>
          <w:highlight w:val="yellow"/>
          <w:lang w:eastAsia="en-IN"/>
          <w14:ligatures w14:val="none"/>
        </w:rPr>
        <w:t xml:space="preserve">the </w:t>
      </w:r>
      <w:r w:rsidRPr="00E01CB9">
        <w:rPr>
          <w:rFonts w:ascii="Arial" w:eastAsia="Times New Roman" w:hAnsi="Arial" w:cs="Arial"/>
          <w:kern w:val="0"/>
          <w:sz w:val="20"/>
          <w:szCs w:val="20"/>
          <w:highlight w:val="yellow"/>
          <w:lang w:eastAsia="en-IN"/>
          <w14:ligatures w14:val="none"/>
        </w:rPr>
        <w:t>magnitude</w:t>
      </w:r>
      <w:r w:rsidRPr="00A37C08">
        <w:rPr>
          <w:rFonts w:ascii="Arial" w:eastAsia="Times New Roman" w:hAnsi="Arial" w:cs="Arial"/>
          <w:kern w:val="0"/>
          <w:sz w:val="20"/>
          <w:szCs w:val="20"/>
          <w:lang w:eastAsia="en-IN"/>
          <w14:ligatures w14:val="none"/>
        </w:rPr>
        <w:t xml:space="preserve"> of response to metformin or to combined metabolic interventions. This reframing aligns with precision-</w:t>
      </w:r>
      <w:r w:rsidRPr="00A37C08">
        <w:rPr>
          <w:rFonts w:ascii="Arial" w:eastAsia="Times New Roman" w:hAnsi="Arial" w:cs="Arial"/>
          <w:kern w:val="0"/>
          <w:sz w:val="20"/>
          <w:szCs w:val="20"/>
          <w:lang w:eastAsia="en-IN"/>
          <w14:ligatures w14:val="none"/>
        </w:rPr>
        <w:lastRenderedPageBreak/>
        <w:t>medicine goals and may be more realistic than expecting a single taxon to predict long-term complications in heterogeneous populations.</w:t>
      </w:r>
    </w:p>
    <w:p w14:paraId="5B470B27"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57761CE3" w14:textId="77777777" w:rsidR="000E1074" w:rsidRPr="00A37C08" w:rsidRDefault="000E1074" w:rsidP="00CB5290">
      <w:pPr>
        <w:spacing w:after="0" w:line="360" w:lineRule="auto"/>
        <w:jc w:val="both"/>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 xml:space="preserve">4.4. Human intervention studies targeting </w:t>
      </w:r>
      <w:r w:rsidRPr="00A37C08">
        <w:rPr>
          <w:rFonts w:ascii="Arial" w:eastAsia="Times New Roman" w:hAnsi="Arial" w:cs="Arial"/>
          <w:b/>
          <w:bCs/>
          <w:i/>
          <w:iCs/>
          <w:kern w:val="0"/>
          <w:sz w:val="20"/>
          <w:szCs w:val="20"/>
          <w:lang w:eastAsia="en-IN"/>
          <w14:ligatures w14:val="none"/>
        </w:rPr>
        <w:t xml:space="preserve">A. </w:t>
      </w:r>
      <w:proofErr w:type="spellStart"/>
      <w:r w:rsidRPr="00A37C08">
        <w:rPr>
          <w:rFonts w:ascii="Arial" w:eastAsia="Times New Roman" w:hAnsi="Arial" w:cs="Arial"/>
          <w:b/>
          <w:bCs/>
          <w:i/>
          <w:iCs/>
          <w:kern w:val="0"/>
          <w:sz w:val="20"/>
          <w:szCs w:val="20"/>
          <w:lang w:eastAsia="en-IN"/>
          <w14:ligatures w14:val="none"/>
        </w:rPr>
        <w:t>muciniphila</w:t>
      </w:r>
      <w:proofErr w:type="spellEnd"/>
      <w:r w:rsidRPr="00A37C08">
        <w:rPr>
          <w:rFonts w:ascii="Arial" w:eastAsia="Times New Roman" w:hAnsi="Arial" w:cs="Arial"/>
          <w:b/>
          <w:bCs/>
          <w:kern w:val="0"/>
          <w:sz w:val="20"/>
          <w:szCs w:val="20"/>
          <w:lang w:eastAsia="en-IN"/>
          <w14:ligatures w14:val="none"/>
        </w:rPr>
        <w:t>: implications for prognosis</w:t>
      </w:r>
    </w:p>
    <w:p w14:paraId="693F21E7" w14:textId="77777777" w:rsidR="000E1074" w:rsidRPr="00A37C08"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Interventional studies provide stronger causal inference than observational associations and can inform biomarker utility by showing whether manipulating the candidate organism changes clinically relevant endpoints. A landmark proof-of-concept randomized study supplemented overweight/obese insulin-resistant individuals with live or pasteurized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and reported improvements in metabolic markers with acceptable safety, suggesting translational potential (</w:t>
      </w:r>
      <w:proofErr w:type="spellStart"/>
      <w:r w:rsidRPr="00A37C08">
        <w:rPr>
          <w:rFonts w:ascii="Arial" w:eastAsia="Times New Roman" w:hAnsi="Arial" w:cs="Arial"/>
          <w:kern w:val="0"/>
          <w:sz w:val="20"/>
          <w:szCs w:val="20"/>
          <w:lang w:eastAsia="en-IN"/>
          <w14:ligatures w14:val="none"/>
        </w:rPr>
        <w:t>Depommier</w:t>
      </w:r>
      <w:proofErr w:type="spellEnd"/>
      <w:r w:rsidRPr="00A37C08">
        <w:rPr>
          <w:rFonts w:ascii="Arial" w:eastAsia="Times New Roman" w:hAnsi="Arial" w:cs="Arial"/>
          <w:kern w:val="0"/>
          <w:sz w:val="20"/>
          <w:szCs w:val="20"/>
          <w:lang w:eastAsia="en-IN"/>
          <w14:ligatures w14:val="none"/>
        </w:rPr>
        <w:t xml:space="preserve"> et al., 2019). Although not designed as a prognostic study, the trial supports three biomarker-relevant points: (</w:t>
      </w:r>
      <w:proofErr w:type="spellStart"/>
      <w:r w:rsidRPr="00A37C08">
        <w:rPr>
          <w:rFonts w:ascii="Arial" w:eastAsia="Times New Roman" w:hAnsi="Arial" w:cs="Arial"/>
          <w:kern w:val="0"/>
          <w:sz w:val="20"/>
          <w:szCs w:val="20"/>
          <w:lang w:eastAsia="en-IN"/>
          <w14:ligatures w14:val="none"/>
        </w:rPr>
        <w:t>i</w:t>
      </w:r>
      <w:proofErr w:type="spellEnd"/>
      <w:r w:rsidRPr="00A37C08">
        <w:rPr>
          <w:rFonts w:ascii="Arial" w:eastAsia="Times New Roman" w:hAnsi="Arial" w:cs="Arial"/>
          <w:kern w:val="0"/>
          <w:sz w:val="20"/>
          <w:szCs w:val="20"/>
          <w:lang w:eastAsia="en-IN"/>
          <w14:ligatures w14:val="none"/>
        </w:rPr>
        <w:t xml:space="preserv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can be administered as an intervention, which increases the clinical importance of measuring it; (ii) host metabolic phenotypes can shift in a direction consistent with </w:t>
      </w:r>
      <w:proofErr w:type="spellStart"/>
      <w:r w:rsidRPr="00A37C08">
        <w:rPr>
          <w:rFonts w:ascii="Arial" w:eastAsia="Times New Roman" w:hAnsi="Arial" w:cs="Arial"/>
          <w:i/>
          <w:iCs/>
          <w:kern w:val="0"/>
          <w:sz w:val="20"/>
          <w:szCs w:val="20"/>
          <w:lang w:eastAsia="en-IN"/>
          <w14:ligatures w14:val="none"/>
        </w:rPr>
        <w:t>Akkermansia</w:t>
      </w:r>
      <w:r w:rsidRPr="00A37C08">
        <w:rPr>
          <w:rFonts w:ascii="Arial" w:eastAsia="Times New Roman" w:hAnsi="Arial" w:cs="Arial"/>
          <w:kern w:val="0"/>
          <w:sz w:val="20"/>
          <w:szCs w:val="20"/>
          <w:lang w:eastAsia="en-IN"/>
          <w14:ligatures w14:val="none"/>
        </w:rPr>
        <w:t>’s</w:t>
      </w:r>
      <w:proofErr w:type="spellEnd"/>
      <w:r w:rsidRPr="00A37C08">
        <w:rPr>
          <w:rFonts w:ascii="Arial" w:eastAsia="Times New Roman" w:hAnsi="Arial" w:cs="Arial"/>
          <w:kern w:val="0"/>
          <w:sz w:val="20"/>
          <w:szCs w:val="20"/>
          <w:lang w:eastAsia="en-IN"/>
          <w14:ligatures w14:val="none"/>
        </w:rPr>
        <w:t xml:space="preserve"> presumed benefits; and (iii) pasteurized preparations may preserve or enhance bioactivity, expanding practical therapeutic options.</w:t>
      </w:r>
    </w:p>
    <w:p w14:paraId="36049B45" w14:textId="77777777" w:rsidR="000E1074" w:rsidRPr="00A37C08"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More recent clinical work has extended this line toward </w:t>
      </w:r>
      <w:proofErr w:type="spellStart"/>
      <w:r w:rsidRPr="00A37C08">
        <w:rPr>
          <w:rFonts w:ascii="Arial" w:eastAsia="Times New Roman" w:hAnsi="Arial" w:cs="Arial"/>
          <w:kern w:val="0"/>
          <w:sz w:val="20"/>
          <w:szCs w:val="20"/>
          <w:lang w:eastAsia="en-IN"/>
          <w14:ligatures w14:val="none"/>
        </w:rPr>
        <w:t>dysglycemic</w:t>
      </w:r>
      <w:proofErr w:type="spellEnd"/>
      <w:r w:rsidRPr="00A37C08">
        <w:rPr>
          <w:rFonts w:ascii="Arial" w:eastAsia="Times New Roman" w:hAnsi="Arial" w:cs="Arial"/>
          <w:kern w:val="0"/>
          <w:sz w:val="20"/>
          <w:szCs w:val="20"/>
          <w:lang w:eastAsia="en-IN"/>
          <w14:ligatures w14:val="none"/>
        </w:rPr>
        <w:t xml:space="preserve"> populations and has highlighted effect modification by baseline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levels. A Cell Metabolism clinical study evaluating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supplementation (AKK-WST01) reported metabolic benefits and explicitly noted that outcomes were linked to baseline gut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abundance, implying that baseline measurement could help stratify who benefits most (Zhang et al., 2025). This observation is directly relevant to prognostic utility because it suggests a plausible, near-term clinical use case: baseline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as a predictor of intervention responsiveness. In biomarker terminology, this is closer to a predictive biomarker (predicting treatment response) than a pure prognostic biomarker (predicting natural history), but in clinical practice the distinction can blur because response trajectories are themselves prognostically meaningful.</w:t>
      </w:r>
    </w:p>
    <w:p w14:paraId="69C585AC" w14:textId="77777777" w:rsidR="000E1074"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Dietary interventions also provide insight. Calorie restriction and weight loss are among the most effective non-pharmacologic strategies for improving insulin sensitivity and glycemia. A human study examining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in the context of calorie restriction found that baseline abundance and its changes related to metabolic profiles and microbiome gene richness, linking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to broader ecological shifts during intervention (Dao et al., 2016). Such findings imply that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may act as a marker of a broader “metabolically </w:t>
      </w:r>
      <w:proofErr w:type="spellStart"/>
      <w:r w:rsidRPr="00A37C08">
        <w:rPr>
          <w:rFonts w:ascii="Arial" w:eastAsia="Times New Roman" w:hAnsi="Arial" w:cs="Arial"/>
          <w:kern w:val="0"/>
          <w:sz w:val="20"/>
          <w:szCs w:val="20"/>
          <w:lang w:eastAsia="en-IN"/>
          <w14:ligatures w14:val="none"/>
        </w:rPr>
        <w:t>favorable</w:t>
      </w:r>
      <w:proofErr w:type="spellEnd"/>
      <w:r w:rsidRPr="00A37C08">
        <w:rPr>
          <w:rFonts w:ascii="Arial" w:eastAsia="Times New Roman" w:hAnsi="Arial" w:cs="Arial"/>
          <w:kern w:val="0"/>
          <w:sz w:val="20"/>
          <w:szCs w:val="20"/>
          <w:lang w:eastAsia="en-IN"/>
          <w14:ligatures w14:val="none"/>
        </w:rPr>
        <w:t xml:space="preserve">” mucosal ecosystem that becomes more prominent with successful dietary change. In this framing,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alone may not be sufficient, but it could serve as a clinically tractable proxy for a protective microbial state when combined with other markers.</w:t>
      </w:r>
    </w:p>
    <w:p w14:paraId="0C0795EF"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59A60EFE" w14:textId="77777777" w:rsidR="000E1074" w:rsidRPr="00A37C08" w:rsidRDefault="000E1074" w:rsidP="00CB5290">
      <w:pPr>
        <w:spacing w:after="0" w:line="360" w:lineRule="auto"/>
        <w:jc w:val="both"/>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4.5. Mechanistic plausibility and the prognostic argument</w:t>
      </w:r>
    </w:p>
    <w:p w14:paraId="529A1B9C" w14:textId="77777777" w:rsidR="000E1074" w:rsidRPr="00A37C08"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For a microbial taxon to function as a prognostic indicator, there must be a plausible link between its presence (or absence) and the biological processes that drive future outcomes. Several mechanistic themes recur in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research.</w:t>
      </w:r>
    </w:p>
    <w:p w14:paraId="7D221ABE" w14:textId="77777777" w:rsidR="000E1074" w:rsidRPr="00A37C08"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Barrier integrity and endotoxemia are central. Insulin resistance is strongly linked to low-grade inflammation, and increased intestinal permeability can promote systemic inflammatory </w:t>
      </w:r>
      <w:proofErr w:type="spellStart"/>
      <w:r w:rsidRPr="00A37C08">
        <w:rPr>
          <w:rFonts w:ascii="Arial" w:eastAsia="Times New Roman" w:hAnsi="Arial" w:cs="Arial"/>
          <w:kern w:val="0"/>
          <w:sz w:val="20"/>
          <w:szCs w:val="20"/>
          <w:lang w:eastAsia="en-IN"/>
          <w14:ligatures w14:val="none"/>
        </w:rPr>
        <w:t>signaling</w:t>
      </w:r>
      <w:proofErr w:type="spellEnd"/>
      <w:r w:rsidRPr="00A37C08">
        <w:rPr>
          <w:rFonts w:ascii="Arial" w:eastAsia="Times New Roman" w:hAnsi="Arial" w:cs="Arial"/>
          <w:kern w:val="0"/>
          <w:sz w:val="20"/>
          <w:szCs w:val="20"/>
          <w:lang w:eastAsia="en-IN"/>
          <w14:ligatures w14:val="none"/>
        </w:rPr>
        <w:t xml:space="preserve"> via translocation of microbial products. By residing in the mucus layer and interacting with mucin </w:t>
      </w:r>
      <w:r w:rsidRPr="00A37C08">
        <w:rPr>
          <w:rFonts w:ascii="Arial" w:eastAsia="Times New Roman" w:hAnsi="Arial" w:cs="Arial"/>
          <w:kern w:val="0"/>
          <w:sz w:val="20"/>
          <w:szCs w:val="20"/>
          <w:lang w:eastAsia="en-IN"/>
          <w14:ligatures w14:val="none"/>
        </w:rPr>
        <w:lastRenderedPageBreak/>
        <w:t xml:space="preserve">dynamics,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may influence the thickness and turnover of this barrier. In animal models, administration of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or its components improves metabolic phenotypes and is associated with improved barrier features, supporting a plausible upstream role (</w:t>
      </w:r>
      <w:proofErr w:type="spellStart"/>
      <w:r w:rsidRPr="00A37C08">
        <w:rPr>
          <w:rFonts w:ascii="Arial" w:eastAsia="Times New Roman" w:hAnsi="Arial" w:cs="Arial"/>
          <w:kern w:val="0"/>
          <w:sz w:val="20"/>
          <w:szCs w:val="20"/>
          <w:lang w:eastAsia="en-IN"/>
          <w14:ligatures w14:val="none"/>
        </w:rPr>
        <w:t>Plovier</w:t>
      </w:r>
      <w:proofErr w:type="spellEnd"/>
      <w:r w:rsidRPr="00A37C08">
        <w:rPr>
          <w:rFonts w:ascii="Arial" w:eastAsia="Times New Roman" w:hAnsi="Arial" w:cs="Arial"/>
          <w:kern w:val="0"/>
          <w:sz w:val="20"/>
          <w:szCs w:val="20"/>
          <w:lang w:eastAsia="en-IN"/>
          <w14:ligatures w14:val="none"/>
        </w:rPr>
        <w:t xml:space="preserve"> et al., 2017). If depleted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reflects impaired mucus ecology, it could signal a physiologic context conducive to worsening inflammation and </w:t>
      </w:r>
      <w:proofErr w:type="spellStart"/>
      <w:r w:rsidRPr="00A37C08">
        <w:rPr>
          <w:rFonts w:ascii="Arial" w:eastAsia="Times New Roman" w:hAnsi="Arial" w:cs="Arial"/>
          <w:kern w:val="0"/>
          <w:sz w:val="20"/>
          <w:szCs w:val="20"/>
          <w:lang w:eastAsia="en-IN"/>
          <w14:ligatures w14:val="none"/>
        </w:rPr>
        <w:t>glycemic</w:t>
      </w:r>
      <w:proofErr w:type="spellEnd"/>
      <w:r w:rsidRPr="00A37C08">
        <w:rPr>
          <w:rFonts w:ascii="Arial" w:eastAsia="Times New Roman" w:hAnsi="Arial" w:cs="Arial"/>
          <w:kern w:val="0"/>
          <w:sz w:val="20"/>
          <w:szCs w:val="20"/>
          <w:lang w:eastAsia="en-IN"/>
          <w14:ligatures w14:val="none"/>
        </w:rPr>
        <w:t xml:space="preserve"> control.</w:t>
      </w:r>
    </w:p>
    <w:p w14:paraId="2068DA85" w14:textId="77777777" w:rsidR="000E1074" w:rsidRPr="00A37C08"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Incretin and gut–brain </w:t>
      </w:r>
      <w:proofErr w:type="spellStart"/>
      <w:r w:rsidRPr="00A37C08">
        <w:rPr>
          <w:rFonts w:ascii="Arial" w:eastAsia="Times New Roman" w:hAnsi="Arial" w:cs="Arial"/>
          <w:kern w:val="0"/>
          <w:sz w:val="20"/>
          <w:szCs w:val="20"/>
          <w:lang w:eastAsia="en-IN"/>
          <w14:ligatures w14:val="none"/>
        </w:rPr>
        <w:t>signaling</w:t>
      </w:r>
      <w:proofErr w:type="spellEnd"/>
      <w:r w:rsidRPr="00A37C08">
        <w:rPr>
          <w:rFonts w:ascii="Arial" w:eastAsia="Times New Roman" w:hAnsi="Arial" w:cs="Arial"/>
          <w:kern w:val="0"/>
          <w:sz w:val="20"/>
          <w:szCs w:val="20"/>
          <w:lang w:eastAsia="en-IN"/>
          <w14:ligatures w14:val="none"/>
        </w:rPr>
        <w:t xml:space="preserve"> is another theme. GLP-1 has direct relevance to </w:t>
      </w:r>
      <w:proofErr w:type="spellStart"/>
      <w:r w:rsidRPr="00A37C08">
        <w:rPr>
          <w:rFonts w:ascii="Arial" w:eastAsia="Times New Roman" w:hAnsi="Arial" w:cs="Arial"/>
          <w:kern w:val="0"/>
          <w:sz w:val="20"/>
          <w:szCs w:val="20"/>
          <w:lang w:eastAsia="en-IN"/>
          <w14:ligatures w14:val="none"/>
        </w:rPr>
        <w:t>glycemic</w:t>
      </w:r>
      <w:proofErr w:type="spellEnd"/>
      <w:r w:rsidRPr="00A37C08">
        <w:rPr>
          <w:rFonts w:ascii="Arial" w:eastAsia="Times New Roman" w:hAnsi="Arial" w:cs="Arial"/>
          <w:kern w:val="0"/>
          <w:sz w:val="20"/>
          <w:szCs w:val="20"/>
          <w:lang w:eastAsia="en-IN"/>
          <w14:ligatures w14:val="none"/>
        </w:rPr>
        <w:t xml:space="preserve"> control and is a therapeutic target in T2DM. Reports that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–derived proteins can stimulate GLP-1 secretion and thermogenesis in preclinical models suggest a pathway by which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depletion might contribute to reduced incretin </w:t>
      </w:r>
      <w:proofErr w:type="spellStart"/>
      <w:r w:rsidRPr="00A37C08">
        <w:rPr>
          <w:rFonts w:ascii="Arial" w:eastAsia="Times New Roman" w:hAnsi="Arial" w:cs="Arial"/>
          <w:kern w:val="0"/>
          <w:sz w:val="20"/>
          <w:szCs w:val="20"/>
          <w:lang w:eastAsia="en-IN"/>
          <w14:ligatures w14:val="none"/>
        </w:rPr>
        <w:t>signaling</w:t>
      </w:r>
      <w:proofErr w:type="spellEnd"/>
      <w:r w:rsidRPr="00A37C08">
        <w:rPr>
          <w:rFonts w:ascii="Arial" w:eastAsia="Times New Roman" w:hAnsi="Arial" w:cs="Arial"/>
          <w:kern w:val="0"/>
          <w:sz w:val="20"/>
          <w:szCs w:val="20"/>
          <w:lang w:eastAsia="en-IN"/>
          <w14:ligatures w14:val="none"/>
        </w:rPr>
        <w:t xml:space="preserve"> and metabolic decline (Yoon et al., 2021). Even if the exact human relevance of these specific effectors remains under study, the existence of defined molecules provides a stronger bridge between microbiome measurement and host physiology than is available for many taxa.</w:t>
      </w:r>
    </w:p>
    <w:p w14:paraId="50CED1CB" w14:textId="772994DC" w:rsidR="000E1074"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Finally, strain-level heterogeneity implies that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may represent a set of organisms with partially overlapping but not identical metabolic effects. Genomic surveys show multiple candidate species and deep divergence within human-associated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and experimental strain characterization suggests functional differences that could alter host impact (</w:t>
      </w:r>
      <w:proofErr w:type="spellStart"/>
      <w:r w:rsidR="00B65CFE" w:rsidRPr="00A37C08">
        <w:rPr>
          <w:rFonts w:ascii="Arial" w:eastAsia="Times New Roman" w:hAnsi="Arial" w:cs="Arial"/>
          <w:kern w:val="0"/>
          <w:sz w:val="20"/>
          <w:szCs w:val="20"/>
          <w:lang w:eastAsia="en-IN"/>
          <w14:ligatures w14:val="none"/>
        </w:rPr>
        <w:t>Karcher</w:t>
      </w:r>
      <w:proofErr w:type="spellEnd"/>
      <w:r w:rsidRPr="00A37C08">
        <w:rPr>
          <w:rFonts w:ascii="Arial" w:eastAsia="Times New Roman" w:hAnsi="Arial" w:cs="Arial"/>
          <w:kern w:val="0"/>
          <w:sz w:val="20"/>
          <w:szCs w:val="20"/>
          <w:lang w:eastAsia="en-IN"/>
          <w14:ligatures w14:val="none"/>
        </w:rPr>
        <w:t xml:space="preserve"> et al., 2021; </w:t>
      </w:r>
      <w:proofErr w:type="spellStart"/>
      <w:r w:rsidRPr="00A37C08">
        <w:rPr>
          <w:rFonts w:ascii="Arial" w:eastAsia="Times New Roman" w:hAnsi="Arial" w:cs="Arial"/>
          <w:kern w:val="0"/>
          <w:sz w:val="20"/>
          <w:szCs w:val="20"/>
          <w:lang w:eastAsia="en-IN"/>
          <w14:ligatures w14:val="none"/>
        </w:rPr>
        <w:t>Dubourg</w:t>
      </w:r>
      <w:proofErr w:type="spellEnd"/>
      <w:r w:rsidRPr="00A37C08">
        <w:rPr>
          <w:rFonts w:ascii="Arial" w:eastAsia="Times New Roman" w:hAnsi="Arial" w:cs="Arial"/>
          <w:kern w:val="0"/>
          <w:sz w:val="20"/>
          <w:szCs w:val="20"/>
          <w:lang w:eastAsia="en-IN"/>
          <w14:ligatures w14:val="none"/>
        </w:rPr>
        <w:t xml:space="preserve"> et al., 2021). For prognosis, this is crucial: if only certain strains confer metabolic benefit, crude genus-level abundance may dilute predictive signal and reduce reproducibility across cohorts.</w:t>
      </w:r>
    </w:p>
    <w:p w14:paraId="662B424C"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295346AB" w14:textId="77777777" w:rsidR="000E1074" w:rsidRDefault="000E1074" w:rsidP="00CB5290">
      <w:pPr>
        <w:spacing w:after="0" w:line="360" w:lineRule="auto"/>
        <w:jc w:val="both"/>
        <w:outlineLvl w:val="1"/>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 xml:space="preserve">5. </w:t>
      </w:r>
      <w:r w:rsidRPr="00A37C08">
        <w:rPr>
          <w:rFonts w:ascii="Arial" w:eastAsia="Times New Roman" w:hAnsi="Arial" w:cs="Arial"/>
          <w:b/>
          <w:bCs/>
          <w:i/>
          <w:iCs/>
          <w:kern w:val="0"/>
          <w:sz w:val="20"/>
          <w:szCs w:val="20"/>
          <w:lang w:eastAsia="en-IN"/>
          <w14:ligatures w14:val="none"/>
        </w:rPr>
        <w:t xml:space="preserve">A. </w:t>
      </w:r>
      <w:proofErr w:type="spellStart"/>
      <w:r w:rsidRPr="00A37C08">
        <w:rPr>
          <w:rFonts w:ascii="Arial" w:eastAsia="Times New Roman" w:hAnsi="Arial" w:cs="Arial"/>
          <w:b/>
          <w:bCs/>
          <w:i/>
          <w:iCs/>
          <w:kern w:val="0"/>
          <w:sz w:val="20"/>
          <w:szCs w:val="20"/>
          <w:lang w:eastAsia="en-IN"/>
          <w14:ligatures w14:val="none"/>
        </w:rPr>
        <w:t>muciniphila</w:t>
      </w:r>
      <w:proofErr w:type="spellEnd"/>
      <w:r w:rsidRPr="00A37C08">
        <w:rPr>
          <w:rFonts w:ascii="Arial" w:eastAsia="Times New Roman" w:hAnsi="Arial" w:cs="Arial"/>
          <w:b/>
          <w:bCs/>
          <w:kern w:val="0"/>
          <w:sz w:val="20"/>
          <w:szCs w:val="20"/>
          <w:lang w:eastAsia="en-IN"/>
          <w14:ligatures w14:val="none"/>
        </w:rPr>
        <w:t xml:space="preserve"> as a prognostic indicator: clinical scenarios, assay considerations, and validation needs</w:t>
      </w:r>
    </w:p>
    <w:p w14:paraId="73EFAE53" w14:textId="77777777" w:rsidR="00A37C08" w:rsidRPr="00A37C08" w:rsidRDefault="00A37C08" w:rsidP="00CB5290">
      <w:pPr>
        <w:spacing w:after="0" w:line="360" w:lineRule="auto"/>
        <w:jc w:val="both"/>
        <w:outlineLvl w:val="1"/>
        <w:rPr>
          <w:rFonts w:ascii="Arial" w:eastAsia="Times New Roman" w:hAnsi="Arial" w:cs="Arial"/>
          <w:b/>
          <w:bCs/>
          <w:kern w:val="0"/>
          <w:sz w:val="20"/>
          <w:szCs w:val="20"/>
          <w:lang w:eastAsia="en-IN"/>
          <w14:ligatures w14:val="none"/>
        </w:rPr>
      </w:pPr>
    </w:p>
    <w:p w14:paraId="7ACAD380" w14:textId="77777777" w:rsidR="000E1074" w:rsidRPr="00A37C08" w:rsidRDefault="000E1074" w:rsidP="00CB5290">
      <w:pPr>
        <w:spacing w:after="0" w:line="360" w:lineRule="auto"/>
        <w:jc w:val="both"/>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5.1. Prognostic versus predictive: what should be claimed and what should be tested</w:t>
      </w:r>
    </w:p>
    <w:p w14:paraId="5220DD58" w14:textId="77777777" w:rsidR="000E1074" w:rsidRPr="00A37C08"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The strongest current evidence suggests that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is unlikely to function as a universal, stand-alone prognostic indicator for all clinically meaningful T2DM outcomes across diverse populations. Medication effects, dietary responsiveness, and strain heterogeneity create too much context dependence. However,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may still have substantial value in narrower, clinically plausible prognostic contexts. A particularly promising scenario is early disease management, where clinicians seek to predict near-term </w:t>
      </w:r>
      <w:proofErr w:type="spellStart"/>
      <w:r w:rsidRPr="00A37C08">
        <w:rPr>
          <w:rFonts w:ascii="Arial" w:eastAsia="Times New Roman" w:hAnsi="Arial" w:cs="Arial"/>
          <w:kern w:val="0"/>
          <w:sz w:val="20"/>
          <w:szCs w:val="20"/>
          <w:lang w:eastAsia="en-IN"/>
          <w14:ligatures w14:val="none"/>
        </w:rPr>
        <w:t>glycemic</w:t>
      </w:r>
      <w:proofErr w:type="spellEnd"/>
      <w:r w:rsidRPr="00A37C08">
        <w:rPr>
          <w:rFonts w:ascii="Arial" w:eastAsia="Times New Roman" w:hAnsi="Arial" w:cs="Arial"/>
          <w:kern w:val="0"/>
          <w:sz w:val="20"/>
          <w:szCs w:val="20"/>
          <w:lang w:eastAsia="en-IN"/>
          <w14:ligatures w14:val="none"/>
        </w:rPr>
        <w:t xml:space="preserve"> trajectories or identify individuals likely to respond to microbiome-linked therapies. Here, baseline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abundance may be most useful as part of a composite risk model that includes clinical features (BMI, HbA1c, triglycerides, liver fat), treatment exposures (metformin status), and other microbial or metabolomic markers.</w:t>
      </w:r>
    </w:p>
    <w:p w14:paraId="51D85EF2" w14:textId="77777777" w:rsidR="000E1074"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In addition, baseline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may serve as a predictive biomarker for response to interventions that plausibly act through the gut mucosa and microbiome, including metformin, dietary </w:t>
      </w:r>
      <w:proofErr w:type="spellStart"/>
      <w:r w:rsidRPr="00A37C08">
        <w:rPr>
          <w:rFonts w:ascii="Arial" w:eastAsia="Times New Roman" w:hAnsi="Arial" w:cs="Arial"/>
          <w:kern w:val="0"/>
          <w:sz w:val="20"/>
          <w:szCs w:val="20"/>
          <w:lang w:eastAsia="en-IN"/>
          <w14:ligatures w14:val="none"/>
        </w:rPr>
        <w:t>fiber</w:t>
      </w:r>
      <w:proofErr w:type="spellEnd"/>
      <w:r w:rsidRPr="00A37C08">
        <w:rPr>
          <w:rFonts w:ascii="Arial" w:eastAsia="Times New Roman" w:hAnsi="Arial" w:cs="Arial"/>
          <w:kern w:val="0"/>
          <w:sz w:val="20"/>
          <w:szCs w:val="20"/>
          <w:lang w:eastAsia="en-IN"/>
          <w14:ligatures w14:val="none"/>
        </w:rPr>
        <w:t xml:space="preserve"> interventions, weight-loss programs, and direct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supplementation. The observation that supplementation benefits can correlate with baseline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abundance suggests a concrete stratification hypothesis that can be prospectively tested (Zhang et al., 2025). In such designs, the biomarker question becomes highly actionable: who should receive a next-generation probiotic, and who may require alternative strategies?</w:t>
      </w:r>
    </w:p>
    <w:p w14:paraId="028771E2"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74BF4BEB" w14:textId="77777777" w:rsidR="000E1074" w:rsidRPr="00A37C08" w:rsidRDefault="000E1074" w:rsidP="00CB5290">
      <w:pPr>
        <w:spacing w:after="0" w:line="360" w:lineRule="auto"/>
        <w:jc w:val="both"/>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lastRenderedPageBreak/>
        <w:t>5.2. Measurement and standardization: from sequencing signals to clinical-grade assays</w:t>
      </w:r>
    </w:p>
    <w:p w14:paraId="69D066B0" w14:textId="77777777" w:rsidR="000E1074" w:rsidRPr="00A37C08"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For biomarker deployment, assay variability is a dominant barrier. Microbiome studies differ in sample collection timing, storage conditions, DNA extraction, sequencing platform, and bioinformatic pipelines. A taxon that appears “depleted” in one workflow may not be quantitatively comparable to another. Prognostic application requires robust, reproducible quantification with known analytic sensitivity, specificity, and stability.</w:t>
      </w:r>
    </w:p>
    <w:p w14:paraId="7B005290" w14:textId="77777777" w:rsidR="000E1074"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Several measurement strategies exist. Shotgun metagenomics can provide species- and strain-level resolution and functional context, but it is costlier and more complex. Targeted qPCR assays can quantify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with higher throughput, but may fail to distinguish functionally distinct lineages and may be sensitive to primer design and reference standards. As strain-level heterogeneity becomes more recognized, future assays may require targeted sequencing or molecular barcodes capturing key functional loci rather than relying solely on taxonomic abundance. The trajectory of T2DM microbiome research suggests that strain-aware approaches will increasingly be necessary for robust translation, consistent with the broader shift in cross-cohort work toward strain specificity (Mei et al., 2024).</w:t>
      </w:r>
    </w:p>
    <w:p w14:paraId="2FE7F377"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566C5C57" w14:textId="77777777" w:rsidR="000E1074" w:rsidRPr="00A37C08" w:rsidRDefault="000E1074" w:rsidP="00CB5290">
      <w:pPr>
        <w:spacing w:after="0" w:line="360" w:lineRule="auto"/>
        <w:jc w:val="both"/>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5.3. Confounder control and clinical metadata requirements</w:t>
      </w:r>
    </w:p>
    <w:p w14:paraId="161F6387" w14:textId="77777777" w:rsidR="000E1074" w:rsidRPr="00A37C08"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A recurring lesson across T2DM microbiome research is that without deep clinical metadata, microbial biomarkers are fragile. Metformin is the clearest example: without stratification by metformin exposure, disease signatures can be misinterpreted (</w:t>
      </w:r>
      <w:proofErr w:type="spellStart"/>
      <w:r w:rsidRPr="00A37C08">
        <w:rPr>
          <w:rFonts w:ascii="Arial" w:eastAsia="Times New Roman" w:hAnsi="Arial" w:cs="Arial"/>
          <w:kern w:val="0"/>
          <w:sz w:val="20"/>
          <w:szCs w:val="20"/>
          <w:lang w:eastAsia="en-IN"/>
          <w14:ligatures w14:val="none"/>
        </w:rPr>
        <w:t>Forslund</w:t>
      </w:r>
      <w:proofErr w:type="spellEnd"/>
      <w:r w:rsidRPr="00A37C08">
        <w:rPr>
          <w:rFonts w:ascii="Arial" w:eastAsia="Times New Roman" w:hAnsi="Arial" w:cs="Arial"/>
          <w:kern w:val="0"/>
          <w:sz w:val="20"/>
          <w:szCs w:val="20"/>
          <w:lang w:eastAsia="en-IN"/>
          <w14:ligatures w14:val="none"/>
        </w:rPr>
        <w:t xml:space="preserve"> et al., 2015; Wu et al., 2017). Similar issues apply to GLP-1 receptor agonists, SGLT2 inhibitors, statins, proton pump inhibitors, antibiotics, bariatric surgery, and major dietary pattern shifts. Prognostic validation studies must therefore treat medication and diet as integral covariates rather than nuisance variables.</w:t>
      </w:r>
    </w:p>
    <w:p w14:paraId="4D39F76D" w14:textId="77777777" w:rsidR="000E1074"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Moreover, </w:t>
      </w:r>
      <w:proofErr w:type="spellStart"/>
      <w:r w:rsidRPr="00A37C08">
        <w:rPr>
          <w:rFonts w:ascii="Arial" w:eastAsia="Times New Roman" w:hAnsi="Arial" w:cs="Arial"/>
          <w:kern w:val="0"/>
          <w:sz w:val="20"/>
          <w:szCs w:val="20"/>
          <w:lang w:eastAsia="en-IN"/>
          <w14:ligatures w14:val="none"/>
        </w:rPr>
        <w:t>glycemic</w:t>
      </w:r>
      <w:proofErr w:type="spellEnd"/>
      <w:r w:rsidRPr="00A37C08">
        <w:rPr>
          <w:rFonts w:ascii="Arial" w:eastAsia="Times New Roman" w:hAnsi="Arial" w:cs="Arial"/>
          <w:kern w:val="0"/>
          <w:sz w:val="20"/>
          <w:szCs w:val="20"/>
          <w:lang w:eastAsia="en-IN"/>
          <w14:ligatures w14:val="none"/>
        </w:rPr>
        <w:t xml:space="preserve"> outcomes must be harmonized. Prognosis can be defined as incident diabetes, HbA1c change, need for medication escalation, or complications. Each outcome has different timescales and biological drivers, and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may relate to some more than others. For example, the strongest argument for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is through barrier integrity and inflammation, which might relate more directly to insulin resistance and metabolic syndrome phenotypes than to late-stage β-cell failure. Thus, matching outcome definitions to plausible biology will likely improve signal detection and reduce spurious claims.</w:t>
      </w:r>
    </w:p>
    <w:p w14:paraId="29B9F8F9"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43D5F214" w14:textId="77777777" w:rsidR="000E1074" w:rsidRPr="00A37C08" w:rsidRDefault="000E1074" w:rsidP="00CB5290">
      <w:pPr>
        <w:spacing w:after="0" w:line="360" w:lineRule="auto"/>
        <w:jc w:val="both"/>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 xml:space="preserve">5.4. Integrating </w:t>
      </w:r>
      <w:proofErr w:type="spellStart"/>
      <w:r w:rsidRPr="00A37C08">
        <w:rPr>
          <w:rFonts w:ascii="Arial" w:eastAsia="Times New Roman" w:hAnsi="Arial" w:cs="Arial"/>
          <w:b/>
          <w:bCs/>
          <w:i/>
          <w:iCs/>
          <w:kern w:val="0"/>
          <w:sz w:val="20"/>
          <w:szCs w:val="20"/>
          <w:lang w:eastAsia="en-IN"/>
          <w14:ligatures w14:val="none"/>
        </w:rPr>
        <w:t>Akkermansia</w:t>
      </w:r>
      <w:proofErr w:type="spellEnd"/>
      <w:r w:rsidRPr="00A37C08">
        <w:rPr>
          <w:rFonts w:ascii="Arial" w:eastAsia="Times New Roman" w:hAnsi="Arial" w:cs="Arial"/>
          <w:b/>
          <w:bCs/>
          <w:kern w:val="0"/>
          <w:sz w:val="20"/>
          <w:szCs w:val="20"/>
          <w:lang w:eastAsia="en-IN"/>
          <w14:ligatures w14:val="none"/>
        </w:rPr>
        <w:t xml:space="preserve"> into multivariable prognostic models</w:t>
      </w:r>
    </w:p>
    <w:p w14:paraId="01B4CF2C" w14:textId="77777777" w:rsidR="000E1074" w:rsidRPr="00A37C08"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Given the limitations of single-feature biomarkers, the most realistic path is integration. Prognostic models could incorporate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as one feature among several microbial taxa, microbial functions (e.g., short-chain fatty acid pathways), and metabolomic readouts (bile acids, branched-chain amino acid derivatives). Such composite models are more likely to be portable across cohorts and to retain performance after adjusting for medications and diet. In this framework,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serves as a biologically interpretable component that may capture mucosal ecosystem state.</w:t>
      </w:r>
    </w:p>
    <w:p w14:paraId="107C7FAA" w14:textId="77777777" w:rsidR="000E1074"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Population-level prediction studies demonstrate that microbiome-based signatures can classify and predict metabolic disease risk, sometimes with improved performance when combined with clinical </w:t>
      </w:r>
      <w:r w:rsidRPr="00A37C08">
        <w:rPr>
          <w:rFonts w:ascii="Arial" w:eastAsia="Times New Roman" w:hAnsi="Arial" w:cs="Arial"/>
          <w:kern w:val="0"/>
          <w:sz w:val="20"/>
          <w:szCs w:val="20"/>
          <w:lang w:eastAsia="en-IN"/>
          <w14:ligatures w14:val="none"/>
        </w:rPr>
        <w:lastRenderedPageBreak/>
        <w:t>covariates (</w:t>
      </w:r>
      <w:proofErr w:type="spellStart"/>
      <w:r w:rsidRPr="00A37C08">
        <w:rPr>
          <w:rFonts w:ascii="Arial" w:eastAsia="Times New Roman" w:hAnsi="Arial" w:cs="Arial"/>
          <w:kern w:val="0"/>
          <w:sz w:val="20"/>
          <w:szCs w:val="20"/>
          <w:lang w:eastAsia="en-IN"/>
          <w14:ligatures w14:val="none"/>
        </w:rPr>
        <w:t>Reitmeier</w:t>
      </w:r>
      <w:proofErr w:type="spellEnd"/>
      <w:r w:rsidRPr="00A37C08">
        <w:rPr>
          <w:rFonts w:ascii="Arial" w:eastAsia="Times New Roman" w:hAnsi="Arial" w:cs="Arial"/>
          <w:kern w:val="0"/>
          <w:sz w:val="20"/>
          <w:szCs w:val="20"/>
          <w:lang w:eastAsia="en-IN"/>
          <w14:ligatures w14:val="none"/>
        </w:rPr>
        <w:t xml:space="preserve"> et al., 2020; </w:t>
      </w:r>
      <w:proofErr w:type="spellStart"/>
      <w:r w:rsidRPr="00A37C08">
        <w:rPr>
          <w:rFonts w:ascii="Arial" w:eastAsia="Times New Roman" w:hAnsi="Arial" w:cs="Arial"/>
          <w:kern w:val="0"/>
          <w:sz w:val="20"/>
          <w:szCs w:val="20"/>
          <w:lang w:eastAsia="en-IN"/>
          <w14:ligatures w14:val="none"/>
        </w:rPr>
        <w:t>Yassour</w:t>
      </w:r>
      <w:proofErr w:type="spellEnd"/>
      <w:r w:rsidRPr="00A37C08">
        <w:rPr>
          <w:rFonts w:ascii="Arial" w:eastAsia="Times New Roman" w:hAnsi="Arial" w:cs="Arial"/>
          <w:kern w:val="0"/>
          <w:sz w:val="20"/>
          <w:szCs w:val="20"/>
          <w:lang w:eastAsia="en-IN"/>
          <w14:ligatures w14:val="none"/>
        </w:rPr>
        <w:t xml:space="preserve"> et al., 2016). The strain-aware cross-cohort approach further suggests that portable models may need strain-level features to generalize (Mei et al., 2024). Thus, the question is less “Is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the prognostic biomarker?” and more “Does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add incremental value to validated risk models in well-defined clinical contexts?”</w:t>
      </w:r>
    </w:p>
    <w:p w14:paraId="0513B603"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133A447A" w14:textId="77777777" w:rsidR="000E1074" w:rsidRPr="00A37C08" w:rsidRDefault="000E1074" w:rsidP="00CB5290">
      <w:pPr>
        <w:spacing w:after="0" w:line="360" w:lineRule="auto"/>
        <w:jc w:val="both"/>
        <w:outlineLvl w:val="2"/>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5.5. Research priorities to reach clinical-grade evidence</w:t>
      </w:r>
    </w:p>
    <w:p w14:paraId="66E15F72" w14:textId="00E548E1" w:rsidR="000E1074" w:rsidRDefault="000E1074" w:rsidP="00CB5290">
      <w:pPr>
        <w:spacing w:after="0" w:line="360" w:lineRule="auto"/>
        <w:jc w:val="both"/>
        <w:rPr>
          <w:rFonts w:ascii="Arial" w:eastAsia="Times New Roman" w:hAnsi="Arial" w:cs="Arial"/>
          <w:kern w:val="0"/>
          <w:sz w:val="20"/>
          <w:szCs w:val="20"/>
          <w:lang w:eastAsia="en-IN"/>
          <w14:ligatures w14:val="none"/>
        </w:rPr>
      </w:pPr>
      <w:r w:rsidRPr="00A37C08">
        <w:rPr>
          <w:rFonts w:ascii="Arial" w:eastAsia="Times New Roman" w:hAnsi="Arial" w:cs="Arial"/>
          <w:kern w:val="0"/>
          <w:sz w:val="20"/>
          <w:szCs w:val="20"/>
          <w:lang w:eastAsia="en-IN"/>
          <w14:ligatures w14:val="none"/>
        </w:rPr>
        <w:t xml:space="preserve">To determine whether </w:t>
      </w:r>
      <w:r w:rsidRPr="00A37C08">
        <w:rPr>
          <w:rFonts w:ascii="Arial" w:eastAsia="Times New Roman" w:hAnsi="Arial" w:cs="Arial"/>
          <w:i/>
          <w:iCs/>
          <w:kern w:val="0"/>
          <w:sz w:val="20"/>
          <w:szCs w:val="20"/>
          <w:lang w:eastAsia="en-IN"/>
          <w14:ligatures w14:val="none"/>
        </w:rPr>
        <w:t xml:space="preserve">A. </w:t>
      </w:r>
      <w:proofErr w:type="spellStart"/>
      <w:r w:rsidRPr="00A37C08">
        <w:rPr>
          <w:rFonts w:ascii="Arial" w:eastAsia="Times New Roman" w:hAnsi="Arial" w:cs="Arial"/>
          <w:i/>
          <w:iCs/>
          <w:kern w:val="0"/>
          <w:sz w:val="20"/>
          <w:szCs w:val="20"/>
          <w:lang w:eastAsia="en-IN"/>
          <w14:ligatures w14:val="none"/>
        </w:rPr>
        <w:t>muciniphila</w:t>
      </w:r>
      <w:proofErr w:type="spellEnd"/>
      <w:r w:rsidRPr="00A37C08">
        <w:rPr>
          <w:rFonts w:ascii="Arial" w:eastAsia="Times New Roman" w:hAnsi="Arial" w:cs="Arial"/>
          <w:kern w:val="0"/>
          <w:sz w:val="20"/>
          <w:szCs w:val="20"/>
          <w:lang w:eastAsia="en-IN"/>
          <w14:ligatures w14:val="none"/>
        </w:rPr>
        <w:t xml:space="preserve"> can serve as a prognostic indicator in a clinically defensible way, several research priorities emerge from current evidence. First, prospective cohorts of prediabetes and early T2DM should collect serial stool samples alongside rigorous medication and dietary metadata, enabling time-resolved </w:t>
      </w:r>
      <w:proofErr w:type="spellStart"/>
      <w:r w:rsidRPr="00A37C08">
        <w:rPr>
          <w:rFonts w:ascii="Arial" w:eastAsia="Times New Roman" w:hAnsi="Arial" w:cs="Arial"/>
          <w:kern w:val="0"/>
          <w:sz w:val="20"/>
          <w:szCs w:val="20"/>
          <w:lang w:eastAsia="en-IN"/>
          <w14:ligatures w14:val="none"/>
        </w:rPr>
        <w:t>modeling</w:t>
      </w:r>
      <w:proofErr w:type="spellEnd"/>
      <w:r w:rsidRPr="00A37C08">
        <w:rPr>
          <w:rFonts w:ascii="Arial" w:eastAsia="Times New Roman" w:hAnsi="Arial" w:cs="Arial"/>
          <w:kern w:val="0"/>
          <w:sz w:val="20"/>
          <w:szCs w:val="20"/>
          <w:lang w:eastAsia="en-IN"/>
          <w14:ligatures w14:val="none"/>
        </w:rPr>
        <w:t xml:space="preserve"> that can separate cause, consequence, and confounding. Second, interventional trials should routinely test baseline </w:t>
      </w:r>
      <w:proofErr w:type="spellStart"/>
      <w:r w:rsidRPr="00A37C08">
        <w:rPr>
          <w:rFonts w:ascii="Arial" w:eastAsia="Times New Roman" w:hAnsi="Arial" w:cs="Arial"/>
          <w:i/>
          <w:iCs/>
          <w:kern w:val="0"/>
          <w:sz w:val="20"/>
          <w:szCs w:val="20"/>
          <w:lang w:eastAsia="en-IN"/>
          <w14:ligatures w14:val="none"/>
        </w:rPr>
        <w:t>Akkermansia</w:t>
      </w:r>
      <w:proofErr w:type="spellEnd"/>
      <w:r w:rsidRPr="00A37C08">
        <w:rPr>
          <w:rFonts w:ascii="Arial" w:eastAsia="Times New Roman" w:hAnsi="Arial" w:cs="Arial"/>
          <w:kern w:val="0"/>
          <w:sz w:val="20"/>
          <w:szCs w:val="20"/>
          <w:lang w:eastAsia="en-IN"/>
          <w14:ligatures w14:val="none"/>
        </w:rPr>
        <w:t xml:space="preserve"> as a stratification variable, particularly for microbiome-linked therapies (dietary </w:t>
      </w:r>
      <w:proofErr w:type="spellStart"/>
      <w:r w:rsidRPr="00A37C08">
        <w:rPr>
          <w:rFonts w:ascii="Arial" w:eastAsia="Times New Roman" w:hAnsi="Arial" w:cs="Arial"/>
          <w:kern w:val="0"/>
          <w:sz w:val="20"/>
          <w:szCs w:val="20"/>
          <w:lang w:eastAsia="en-IN"/>
          <w14:ligatures w14:val="none"/>
        </w:rPr>
        <w:t>fiber</w:t>
      </w:r>
      <w:proofErr w:type="spellEnd"/>
      <w:r w:rsidRPr="00A37C08">
        <w:rPr>
          <w:rFonts w:ascii="Arial" w:eastAsia="Times New Roman" w:hAnsi="Arial" w:cs="Arial"/>
          <w:kern w:val="0"/>
          <w:sz w:val="20"/>
          <w:szCs w:val="20"/>
          <w:lang w:eastAsia="en-IN"/>
          <w14:ligatures w14:val="none"/>
        </w:rPr>
        <w:t>, metformin initiation, and direct supplementation). Third, strain-aware assays should be developed and validated, reflecting the demonstrated genomic and phenotypic diversity within the genus (</w:t>
      </w:r>
      <w:proofErr w:type="spellStart"/>
      <w:r w:rsidR="00B65CFE" w:rsidRPr="00A37C08">
        <w:rPr>
          <w:rFonts w:ascii="Arial" w:eastAsia="Times New Roman" w:hAnsi="Arial" w:cs="Arial"/>
          <w:kern w:val="0"/>
          <w:sz w:val="20"/>
          <w:szCs w:val="20"/>
          <w:lang w:eastAsia="en-IN"/>
          <w14:ligatures w14:val="none"/>
        </w:rPr>
        <w:t>Karcher</w:t>
      </w:r>
      <w:proofErr w:type="spellEnd"/>
      <w:r w:rsidRPr="00A37C08">
        <w:rPr>
          <w:rFonts w:ascii="Arial" w:eastAsia="Times New Roman" w:hAnsi="Arial" w:cs="Arial"/>
          <w:kern w:val="0"/>
          <w:sz w:val="20"/>
          <w:szCs w:val="20"/>
          <w:lang w:eastAsia="en-IN"/>
          <w14:ligatures w14:val="none"/>
        </w:rPr>
        <w:t xml:space="preserve"> et al., 2021; </w:t>
      </w:r>
      <w:proofErr w:type="spellStart"/>
      <w:r w:rsidRPr="00A37C08">
        <w:rPr>
          <w:rFonts w:ascii="Arial" w:eastAsia="Times New Roman" w:hAnsi="Arial" w:cs="Arial"/>
          <w:kern w:val="0"/>
          <w:sz w:val="20"/>
          <w:szCs w:val="20"/>
          <w:lang w:eastAsia="en-IN"/>
          <w14:ligatures w14:val="none"/>
        </w:rPr>
        <w:t>Dubourg</w:t>
      </w:r>
      <w:proofErr w:type="spellEnd"/>
      <w:r w:rsidRPr="00A37C08">
        <w:rPr>
          <w:rFonts w:ascii="Arial" w:eastAsia="Times New Roman" w:hAnsi="Arial" w:cs="Arial"/>
          <w:kern w:val="0"/>
          <w:sz w:val="20"/>
          <w:szCs w:val="20"/>
          <w:lang w:eastAsia="en-IN"/>
          <w14:ligatures w14:val="none"/>
        </w:rPr>
        <w:t xml:space="preserve"> et al., 2021). Finally, external validation across geographic regions is essential; a prognostic marker that works only in one population will not meet the standards of high-impact clinical translation.</w:t>
      </w:r>
    </w:p>
    <w:p w14:paraId="33F29C8B"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6F17795E" w14:textId="77777777" w:rsidR="000E1074" w:rsidRPr="00A37C08" w:rsidRDefault="000E1074" w:rsidP="00CB5290">
      <w:pPr>
        <w:spacing w:after="0" w:line="360" w:lineRule="auto"/>
        <w:jc w:val="both"/>
        <w:outlineLvl w:val="1"/>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6. Conclusions</w:t>
      </w:r>
    </w:p>
    <w:p w14:paraId="49D73634" w14:textId="75F062F8" w:rsidR="004603DC" w:rsidRPr="004603DC" w:rsidRDefault="004603DC" w:rsidP="00CB5290">
      <w:pPr>
        <w:spacing w:after="0" w:line="360" w:lineRule="auto"/>
        <w:jc w:val="both"/>
        <w:rPr>
          <w:rFonts w:ascii="Arial" w:eastAsia="Times New Roman" w:hAnsi="Arial" w:cs="Arial"/>
          <w:kern w:val="0"/>
          <w:sz w:val="20"/>
          <w:szCs w:val="20"/>
          <w:lang w:eastAsia="en-IN"/>
          <w14:ligatures w14:val="none"/>
        </w:rPr>
      </w:pPr>
      <w:proofErr w:type="spellStart"/>
      <w:r w:rsidRPr="004603DC">
        <w:rPr>
          <w:rFonts w:ascii="Arial" w:eastAsia="Times New Roman" w:hAnsi="Arial" w:cs="Arial"/>
          <w:i/>
          <w:iCs/>
          <w:kern w:val="0"/>
          <w:sz w:val="20"/>
          <w:szCs w:val="20"/>
          <w:lang w:eastAsia="en-IN"/>
          <w14:ligatures w14:val="none"/>
        </w:rPr>
        <w:t>Akkermansia</w:t>
      </w:r>
      <w:proofErr w:type="spellEnd"/>
      <w:r w:rsidRPr="004603DC">
        <w:rPr>
          <w:rFonts w:ascii="Arial" w:eastAsia="Times New Roman" w:hAnsi="Arial" w:cs="Arial"/>
          <w:i/>
          <w:iCs/>
          <w:kern w:val="0"/>
          <w:sz w:val="20"/>
          <w:szCs w:val="20"/>
          <w:lang w:eastAsia="en-IN"/>
          <w14:ligatures w14:val="none"/>
        </w:rPr>
        <w:t xml:space="preserve"> </w:t>
      </w:r>
      <w:proofErr w:type="spellStart"/>
      <w:r w:rsidRPr="004603DC">
        <w:rPr>
          <w:rFonts w:ascii="Arial" w:eastAsia="Times New Roman" w:hAnsi="Arial" w:cs="Arial"/>
          <w:i/>
          <w:iCs/>
          <w:kern w:val="0"/>
          <w:sz w:val="20"/>
          <w:szCs w:val="20"/>
          <w:lang w:eastAsia="en-IN"/>
          <w14:ligatures w14:val="none"/>
        </w:rPr>
        <w:t>muciniphila</w:t>
      </w:r>
      <w:proofErr w:type="spellEnd"/>
      <w:r w:rsidRPr="004603DC">
        <w:rPr>
          <w:rFonts w:ascii="Arial" w:eastAsia="Times New Roman" w:hAnsi="Arial" w:cs="Arial"/>
          <w:kern w:val="0"/>
          <w:sz w:val="20"/>
          <w:szCs w:val="20"/>
          <w:lang w:eastAsia="en-IN"/>
          <w14:ligatures w14:val="none"/>
        </w:rPr>
        <w:t xml:space="preserve"> has moved beyond being a repeatedly “associated” gut taxon to becoming a biologically interpretable and translationally testable candidate marker in metabolic disease. Across human cohort studies, lower </w:t>
      </w:r>
      <w:r w:rsidRPr="004603DC">
        <w:rPr>
          <w:rFonts w:ascii="Arial" w:eastAsia="Times New Roman" w:hAnsi="Arial" w:cs="Arial"/>
          <w:i/>
          <w:iCs/>
          <w:kern w:val="0"/>
          <w:sz w:val="20"/>
          <w:szCs w:val="20"/>
          <w:lang w:eastAsia="en-IN"/>
          <w14:ligatures w14:val="none"/>
        </w:rPr>
        <w:t xml:space="preserve">A. </w:t>
      </w:r>
      <w:proofErr w:type="spellStart"/>
      <w:r w:rsidRPr="004603DC">
        <w:rPr>
          <w:rFonts w:ascii="Arial" w:eastAsia="Times New Roman" w:hAnsi="Arial" w:cs="Arial"/>
          <w:i/>
          <w:iCs/>
          <w:kern w:val="0"/>
          <w:sz w:val="20"/>
          <w:szCs w:val="20"/>
          <w:lang w:eastAsia="en-IN"/>
          <w14:ligatures w14:val="none"/>
        </w:rPr>
        <w:t>muciniphila</w:t>
      </w:r>
      <w:proofErr w:type="spellEnd"/>
      <w:r w:rsidRPr="004603DC">
        <w:rPr>
          <w:rFonts w:ascii="Arial" w:eastAsia="Times New Roman" w:hAnsi="Arial" w:cs="Arial"/>
          <w:kern w:val="0"/>
          <w:sz w:val="20"/>
          <w:szCs w:val="20"/>
          <w:lang w:eastAsia="en-IN"/>
          <w14:ligatures w14:val="none"/>
        </w:rPr>
        <w:t xml:space="preserve"> abundance is commonly observed in </w:t>
      </w:r>
      <w:proofErr w:type="spellStart"/>
      <w:r w:rsidRPr="004603DC">
        <w:rPr>
          <w:rFonts w:ascii="Arial" w:eastAsia="Times New Roman" w:hAnsi="Arial" w:cs="Arial"/>
          <w:kern w:val="0"/>
          <w:sz w:val="20"/>
          <w:szCs w:val="20"/>
          <w:lang w:eastAsia="en-IN"/>
          <w14:ligatures w14:val="none"/>
        </w:rPr>
        <w:t>dysglycemia</w:t>
      </w:r>
      <w:proofErr w:type="spellEnd"/>
      <w:r w:rsidRPr="004603DC">
        <w:rPr>
          <w:rFonts w:ascii="Arial" w:eastAsia="Times New Roman" w:hAnsi="Arial" w:cs="Arial"/>
          <w:kern w:val="0"/>
          <w:sz w:val="20"/>
          <w:szCs w:val="20"/>
          <w:lang w:eastAsia="en-IN"/>
          <w14:ligatures w14:val="none"/>
        </w:rPr>
        <w:t xml:space="preserve"> and T2DM, and early supplementation trials provide proof that manipulating this organism (or its bioactive components) can shift metabolic phenotypes in directions consistent with improved insulin sensitivity and cardiometabolic risk. Nevertheless, the present evidence base does not justify treating </w:t>
      </w:r>
      <w:r w:rsidRPr="004603DC">
        <w:rPr>
          <w:rFonts w:ascii="Arial" w:eastAsia="Times New Roman" w:hAnsi="Arial" w:cs="Arial"/>
          <w:i/>
          <w:iCs/>
          <w:kern w:val="0"/>
          <w:sz w:val="20"/>
          <w:szCs w:val="20"/>
          <w:lang w:eastAsia="en-IN"/>
          <w14:ligatures w14:val="none"/>
        </w:rPr>
        <w:t xml:space="preserve">A. </w:t>
      </w:r>
      <w:proofErr w:type="spellStart"/>
      <w:r w:rsidRPr="004603DC">
        <w:rPr>
          <w:rFonts w:ascii="Arial" w:eastAsia="Times New Roman" w:hAnsi="Arial" w:cs="Arial"/>
          <w:i/>
          <w:iCs/>
          <w:kern w:val="0"/>
          <w:sz w:val="20"/>
          <w:szCs w:val="20"/>
          <w:lang w:eastAsia="en-IN"/>
          <w14:ligatures w14:val="none"/>
        </w:rPr>
        <w:t>muciniphila</w:t>
      </w:r>
      <w:proofErr w:type="spellEnd"/>
      <w:r w:rsidRPr="004603DC">
        <w:rPr>
          <w:rFonts w:ascii="Arial" w:eastAsia="Times New Roman" w:hAnsi="Arial" w:cs="Arial"/>
          <w:kern w:val="0"/>
          <w:sz w:val="20"/>
          <w:szCs w:val="20"/>
          <w:lang w:eastAsia="en-IN"/>
          <w14:ligatures w14:val="none"/>
        </w:rPr>
        <w:t xml:space="preserve"> as a universal, stand-alone prognostic indicator for the natural history of T2DM across populations. Its abundance is highly responsive to diet and weight change, strongly influenced by common medications—especially metformin—and potentially represents multiple functionally distinct lineages that are not reliably distinguished by routine taxonomic assays. These realities create context dependence that can inflate or obscure associations unless studies are carefully medication-stratified, diet-aware, and strain-informed</w:t>
      </w:r>
      <w:r w:rsidR="00B642CA">
        <w:rPr>
          <w:rFonts w:ascii="Arial" w:eastAsia="Times New Roman" w:hAnsi="Arial" w:cs="Arial"/>
          <w:kern w:val="0"/>
          <w:sz w:val="20"/>
          <w:szCs w:val="20"/>
          <w:lang w:eastAsia="en-IN"/>
          <w14:ligatures w14:val="none"/>
        </w:rPr>
        <w:t xml:space="preserve"> (</w:t>
      </w:r>
      <w:proofErr w:type="spellStart"/>
      <w:r w:rsidR="00B642CA" w:rsidRPr="00386786">
        <w:rPr>
          <w:color w:val="222222"/>
          <w:highlight w:val="yellow"/>
          <w:shd w:val="clear" w:color="auto" w:fill="FFFFFF"/>
        </w:rPr>
        <w:t>Otayf</w:t>
      </w:r>
      <w:proofErr w:type="spellEnd"/>
      <w:r w:rsidR="00B642CA">
        <w:rPr>
          <w:color w:val="222222"/>
          <w:highlight w:val="yellow"/>
          <w:shd w:val="clear" w:color="auto" w:fill="FFFFFF"/>
        </w:rPr>
        <w:t xml:space="preserve"> et al., 2025</w:t>
      </w:r>
      <w:r w:rsidR="00B642CA">
        <w:rPr>
          <w:rFonts w:ascii="Arial" w:eastAsia="Times New Roman" w:hAnsi="Arial" w:cs="Arial"/>
          <w:kern w:val="0"/>
          <w:sz w:val="20"/>
          <w:szCs w:val="20"/>
          <w:lang w:eastAsia="en-IN"/>
          <w14:ligatures w14:val="none"/>
        </w:rPr>
        <w:t>)</w:t>
      </w:r>
      <w:r w:rsidRPr="004603DC">
        <w:rPr>
          <w:rFonts w:ascii="Arial" w:eastAsia="Times New Roman" w:hAnsi="Arial" w:cs="Arial"/>
          <w:kern w:val="0"/>
          <w:sz w:val="20"/>
          <w:szCs w:val="20"/>
          <w:lang w:eastAsia="en-IN"/>
          <w14:ligatures w14:val="none"/>
        </w:rPr>
        <w:t>.</w:t>
      </w:r>
    </w:p>
    <w:p w14:paraId="4E378A99" w14:textId="505C52E7" w:rsidR="000E1074" w:rsidRDefault="004603DC" w:rsidP="00CB5290">
      <w:pPr>
        <w:spacing w:after="0" w:line="360" w:lineRule="auto"/>
        <w:jc w:val="both"/>
        <w:rPr>
          <w:rFonts w:ascii="Arial" w:eastAsia="Times New Roman" w:hAnsi="Arial" w:cs="Arial"/>
          <w:kern w:val="0"/>
          <w:sz w:val="20"/>
          <w:szCs w:val="20"/>
          <w:lang w:eastAsia="en-IN"/>
          <w14:ligatures w14:val="none"/>
        </w:rPr>
      </w:pPr>
      <w:r w:rsidRPr="004603DC">
        <w:rPr>
          <w:rFonts w:ascii="Arial" w:eastAsia="Times New Roman" w:hAnsi="Arial" w:cs="Arial"/>
          <w:kern w:val="0"/>
          <w:sz w:val="20"/>
          <w:szCs w:val="20"/>
          <w:lang w:eastAsia="en-IN"/>
          <w14:ligatures w14:val="none"/>
        </w:rPr>
        <w:t xml:space="preserve">The most defensible near-term clinical value of </w:t>
      </w:r>
      <w:r w:rsidRPr="004603DC">
        <w:rPr>
          <w:rFonts w:ascii="Arial" w:eastAsia="Times New Roman" w:hAnsi="Arial" w:cs="Arial"/>
          <w:i/>
          <w:iCs/>
          <w:kern w:val="0"/>
          <w:sz w:val="20"/>
          <w:szCs w:val="20"/>
          <w:lang w:eastAsia="en-IN"/>
          <w14:ligatures w14:val="none"/>
        </w:rPr>
        <w:t xml:space="preserve">A. </w:t>
      </w:r>
      <w:proofErr w:type="spellStart"/>
      <w:r w:rsidRPr="004603DC">
        <w:rPr>
          <w:rFonts w:ascii="Arial" w:eastAsia="Times New Roman" w:hAnsi="Arial" w:cs="Arial"/>
          <w:i/>
          <w:iCs/>
          <w:kern w:val="0"/>
          <w:sz w:val="20"/>
          <w:szCs w:val="20"/>
          <w:lang w:eastAsia="en-IN"/>
          <w14:ligatures w14:val="none"/>
        </w:rPr>
        <w:t>muciniphila</w:t>
      </w:r>
      <w:proofErr w:type="spellEnd"/>
      <w:r w:rsidRPr="004603DC">
        <w:rPr>
          <w:rFonts w:ascii="Arial" w:eastAsia="Times New Roman" w:hAnsi="Arial" w:cs="Arial"/>
          <w:kern w:val="0"/>
          <w:sz w:val="20"/>
          <w:szCs w:val="20"/>
          <w:lang w:eastAsia="en-IN"/>
          <w14:ligatures w14:val="none"/>
        </w:rPr>
        <w:t xml:space="preserve"> lies in risk refinement and therapeutic stratification rather than solitary prognosis. Specifically, baseline </w:t>
      </w:r>
      <w:r w:rsidRPr="004603DC">
        <w:rPr>
          <w:rFonts w:ascii="Arial" w:eastAsia="Times New Roman" w:hAnsi="Arial" w:cs="Arial"/>
          <w:i/>
          <w:iCs/>
          <w:kern w:val="0"/>
          <w:sz w:val="20"/>
          <w:szCs w:val="20"/>
          <w:lang w:eastAsia="en-IN"/>
          <w14:ligatures w14:val="none"/>
        </w:rPr>
        <w:t xml:space="preserve">A. </w:t>
      </w:r>
      <w:proofErr w:type="spellStart"/>
      <w:r w:rsidRPr="004603DC">
        <w:rPr>
          <w:rFonts w:ascii="Arial" w:eastAsia="Times New Roman" w:hAnsi="Arial" w:cs="Arial"/>
          <w:i/>
          <w:iCs/>
          <w:kern w:val="0"/>
          <w:sz w:val="20"/>
          <w:szCs w:val="20"/>
          <w:lang w:eastAsia="en-IN"/>
          <w14:ligatures w14:val="none"/>
        </w:rPr>
        <w:t>muciniphila</w:t>
      </w:r>
      <w:proofErr w:type="spellEnd"/>
      <w:r w:rsidRPr="004603DC">
        <w:rPr>
          <w:rFonts w:ascii="Arial" w:eastAsia="Times New Roman" w:hAnsi="Arial" w:cs="Arial"/>
          <w:kern w:val="0"/>
          <w:sz w:val="20"/>
          <w:szCs w:val="20"/>
          <w:lang w:eastAsia="en-IN"/>
          <w14:ligatures w14:val="none"/>
        </w:rPr>
        <w:t xml:space="preserve"> measures may add incremental value to multivariable models in prediabetes and early T2DM, and may help predict responsiveness to interventions plausibly mediated by the gut ecosystem, including metformin initiation, structured dietary </w:t>
      </w:r>
      <w:proofErr w:type="spellStart"/>
      <w:r w:rsidRPr="004603DC">
        <w:rPr>
          <w:rFonts w:ascii="Arial" w:eastAsia="Times New Roman" w:hAnsi="Arial" w:cs="Arial"/>
          <w:kern w:val="0"/>
          <w:sz w:val="20"/>
          <w:szCs w:val="20"/>
          <w:lang w:eastAsia="en-IN"/>
          <w14:ligatures w14:val="none"/>
        </w:rPr>
        <w:t>fiber</w:t>
      </w:r>
      <w:proofErr w:type="spellEnd"/>
      <w:r w:rsidRPr="004603DC">
        <w:rPr>
          <w:rFonts w:ascii="Arial" w:eastAsia="Times New Roman" w:hAnsi="Arial" w:cs="Arial"/>
          <w:kern w:val="0"/>
          <w:sz w:val="20"/>
          <w:szCs w:val="20"/>
          <w:lang w:eastAsia="en-IN"/>
          <w14:ligatures w14:val="none"/>
        </w:rPr>
        <w:t xml:space="preserve"> or weight-loss programs, and next-generation probiotic supplementation. Future progress will depend on prospective, multi-ethnic longitudinal cohorts with repeated sampling, standardized quantification methods, and external validation of prediction models that explicitly incorporate medication exposure. Parallel development of strain-level or function-based assays will be critical to convert a promising ecological signal into a clinically reliable prognostic tool.</w:t>
      </w:r>
    </w:p>
    <w:p w14:paraId="3D688E3B" w14:textId="77777777" w:rsidR="00A37C08" w:rsidRPr="00A37C08" w:rsidRDefault="00A37C08" w:rsidP="00CB5290">
      <w:pPr>
        <w:spacing w:after="0" w:line="360" w:lineRule="auto"/>
        <w:jc w:val="both"/>
        <w:rPr>
          <w:rFonts w:ascii="Arial" w:eastAsia="Times New Roman" w:hAnsi="Arial" w:cs="Arial"/>
          <w:kern w:val="0"/>
          <w:sz w:val="20"/>
          <w:szCs w:val="20"/>
          <w:lang w:eastAsia="en-IN"/>
          <w14:ligatures w14:val="none"/>
        </w:rPr>
      </w:pPr>
    </w:p>
    <w:p w14:paraId="43CCE214" w14:textId="77777777" w:rsidR="000E1074" w:rsidRPr="00A37C08" w:rsidRDefault="000E1074" w:rsidP="00CB5290">
      <w:pPr>
        <w:spacing w:after="0" w:line="360" w:lineRule="auto"/>
        <w:jc w:val="both"/>
        <w:outlineLvl w:val="1"/>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lastRenderedPageBreak/>
        <w:t>7. Limitations</w:t>
      </w:r>
    </w:p>
    <w:p w14:paraId="1FA496A0" w14:textId="7DCF4A25" w:rsidR="004603DC" w:rsidRPr="004603DC" w:rsidRDefault="004603DC" w:rsidP="00CB5290">
      <w:pPr>
        <w:spacing w:after="0" w:line="360" w:lineRule="auto"/>
        <w:jc w:val="both"/>
        <w:rPr>
          <w:rFonts w:ascii="Arial" w:eastAsia="Times New Roman" w:hAnsi="Arial" w:cs="Arial"/>
          <w:kern w:val="0"/>
          <w:sz w:val="20"/>
          <w:szCs w:val="20"/>
          <w:lang w:eastAsia="en-IN"/>
          <w14:ligatures w14:val="none"/>
        </w:rPr>
      </w:pPr>
      <w:r w:rsidRPr="004603DC">
        <w:rPr>
          <w:rFonts w:ascii="Arial" w:eastAsia="Times New Roman" w:hAnsi="Arial" w:cs="Arial"/>
          <w:kern w:val="0"/>
          <w:sz w:val="20"/>
          <w:szCs w:val="20"/>
          <w:lang w:eastAsia="en-IN"/>
          <w14:ligatures w14:val="none"/>
        </w:rPr>
        <w:t xml:space="preserve">This narrative review is limited by the heterogeneity of the underlying microbiome literature and by the constraints inherent to a non-systematic synthesis. Studies differ substantially in participant selection (metformin-naïve vs. treated T2DM, duration of diabetes, comorbidity burden), biospecimen handling, sequencing platforms (16S rRNA profiling vs. shotgun metagenomics), and bioinformatic pipelines, each of which can alter detection and quantification of </w:t>
      </w:r>
      <w:r w:rsidRPr="004603DC">
        <w:rPr>
          <w:rFonts w:ascii="Arial" w:eastAsia="Times New Roman" w:hAnsi="Arial" w:cs="Arial"/>
          <w:i/>
          <w:iCs/>
          <w:kern w:val="0"/>
          <w:sz w:val="20"/>
          <w:szCs w:val="20"/>
          <w:lang w:eastAsia="en-IN"/>
          <w14:ligatures w14:val="none"/>
        </w:rPr>
        <w:t xml:space="preserve">A. </w:t>
      </w:r>
      <w:proofErr w:type="spellStart"/>
      <w:r w:rsidRPr="004603DC">
        <w:rPr>
          <w:rFonts w:ascii="Arial" w:eastAsia="Times New Roman" w:hAnsi="Arial" w:cs="Arial"/>
          <w:i/>
          <w:iCs/>
          <w:kern w:val="0"/>
          <w:sz w:val="20"/>
          <w:szCs w:val="20"/>
          <w:lang w:eastAsia="en-IN"/>
          <w14:ligatures w14:val="none"/>
        </w:rPr>
        <w:t>muciniphila</w:t>
      </w:r>
      <w:proofErr w:type="spellEnd"/>
      <w:r w:rsidRPr="004603DC">
        <w:rPr>
          <w:rFonts w:ascii="Arial" w:eastAsia="Times New Roman" w:hAnsi="Arial" w:cs="Arial"/>
          <w:kern w:val="0"/>
          <w:sz w:val="20"/>
          <w:szCs w:val="20"/>
          <w:lang w:eastAsia="en-IN"/>
          <w14:ligatures w14:val="none"/>
        </w:rPr>
        <w:t xml:space="preserve"> and reduce cross-study comparability. Clinical endpoint definitions also vary widely, ranging from cross-sectional </w:t>
      </w:r>
      <w:proofErr w:type="spellStart"/>
      <w:r w:rsidRPr="004603DC">
        <w:rPr>
          <w:rFonts w:ascii="Arial" w:eastAsia="Times New Roman" w:hAnsi="Arial" w:cs="Arial"/>
          <w:kern w:val="0"/>
          <w:sz w:val="20"/>
          <w:szCs w:val="20"/>
          <w:lang w:eastAsia="en-IN"/>
          <w14:ligatures w14:val="none"/>
        </w:rPr>
        <w:t>glycemic</w:t>
      </w:r>
      <w:proofErr w:type="spellEnd"/>
      <w:r w:rsidRPr="004603DC">
        <w:rPr>
          <w:rFonts w:ascii="Arial" w:eastAsia="Times New Roman" w:hAnsi="Arial" w:cs="Arial"/>
          <w:kern w:val="0"/>
          <w:sz w:val="20"/>
          <w:szCs w:val="20"/>
          <w:lang w:eastAsia="en-IN"/>
          <w14:ligatures w14:val="none"/>
        </w:rPr>
        <w:t xml:space="preserve"> status to longitudinal changes in HbA1c, insulin resistance indices, or medication escalation, limiting inference about which prognostic outcomes are most strongly and consistently linked to </w:t>
      </w:r>
      <w:r w:rsidRPr="004603DC">
        <w:rPr>
          <w:rFonts w:ascii="Arial" w:eastAsia="Times New Roman" w:hAnsi="Arial" w:cs="Arial"/>
          <w:i/>
          <w:iCs/>
          <w:kern w:val="0"/>
          <w:sz w:val="20"/>
          <w:szCs w:val="20"/>
          <w:lang w:eastAsia="en-IN"/>
          <w14:ligatures w14:val="none"/>
        </w:rPr>
        <w:t xml:space="preserve">A. </w:t>
      </w:r>
      <w:proofErr w:type="spellStart"/>
      <w:r w:rsidRPr="004603DC">
        <w:rPr>
          <w:rFonts w:ascii="Arial" w:eastAsia="Times New Roman" w:hAnsi="Arial" w:cs="Arial"/>
          <w:i/>
          <w:iCs/>
          <w:kern w:val="0"/>
          <w:sz w:val="20"/>
          <w:szCs w:val="20"/>
          <w:lang w:eastAsia="en-IN"/>
          <w14:ligatures w14:val="none"/>
        </w:rPr>
        <w:t>muciniphila</w:t>
      </w:r>
      <w:proofErr w:type="spellEnd"/>
      <w:r w:rsidRPr="004603DC">
        <w:rPr>
          <w:rFonts w:ascii="Arial" w:eastAsia="Times New Roman" w:hAnsi="Arial" w:cs="Arial"/>
          <w:kern w:val="0"/>
          <w:sz w:val="20"/>
          <w:szCs w:val="20"/>
          <w:lang w:eastAsia="en-IN"/>
          <w14:ligatures w14:val="none"/>
        </w:rPr>
        <w:t>.</w:t>
      </w:r>
    </w:p>
    <w:p w14:paraId="083332B9" w14:textId="260702AB" w:rsidR="004603DC" w:rsidRDefault="004603DC" w:rsidP="00CB5290">
      <w:pPr>
        <w:spacing w:after="0" w:line="360" w:lineRule="auto"/>
        <w:jc w:val="both"/>
        <w:rPr>
          <w:rFonts w:ascii="Arial" w:eastAsia="Times New Roman" w:hAnsi="Arial" w:cs="Arial"/>
          <w:kern w:val="0"/>
          <w:sz w:val="20"/>
          <w:szCs w:val="20"/>
          <w:lang w:eastAsia="en-IN"/>
          <w14:ligatures w14:val="none"/>
        </w:rPr>
      </w:pPr>
      <w:r w:rsidRPr="004603DC">
        <w:rPr>
          <w:rFonts w:ascii="Arial" w:eastAsia="Times New Roman" w:hAnsi="Arial" w:cs="Arial"/>
          <w:kern w:val="0"/>
          <w:sz w:val="20"/>
          <w:szCs w:val="20"/>
          <w:lang w:eastAsia="en-IN"/>
          <w14:ligatures w14:val="none"/>
        </w:rPr>
        <w:t xml:space="preserve">Medication confounding remains a major constraint: metformin and other commonly used drugs (e.g., statins, proton pump inhibitors, GLP-1 receptor agonists, antibiotics) can reshape the gut microbiome and may inflate or mask associations if not carefully </w:t>
      </w:r>
      <w:proofErr w:type="spellStart"/>
      <w:r w:rsidRPr="004603DC">
        <w:rPr>
          <w:rFonts w:ascii="Arial" w:eastAsia="Times New Roman" w:hAnsi="Arial" w:cs="Arial"/>
          <w:kern w:val="0"/>
          <w:sz w:val="20"/>
          <w:szCs w:val="20"/>
          <w:lang w:eastAsia="en-IN"/>
          <w14:ligatures w14:val="none"/>
        </w:rPr>
        <w:t>modeled</w:t>
      </w:r>
      <w:proofErr w:type="spellEnd"/>
      <w:r w:rsidRPr="004603DC">
        <w:rPr>
          <w:rFonts w:ascii="Arial" w:eastAsia="Times New Roman" w:hAnsi="Arial" w:cs="Arial"/>
          <w:kern w:val="0"/>
          <w:sz w:val="20"/>
          <w:szCs w:val="20"/>
          <w:lang w:eastAsia="en-IN"/>
          <w14:ligatures w14:val="none"/>
        </w:rPr>
        <w:t xml:space="preserve">. Dietary patterns, </w:t>
      </w:r>
      <w:proofErr w:type="spellStart"/>
      <w:r w:rsidRPr="004603DC">
        <w:rPr>
          <w:rFonts w:ascii="Arial" w:eastAsia="Times New Roman" w:hAnsi="Arial" w:cs="Arial"/>
          <w:kern w:val="0"/>
          <w:sz w:val="20"/>
          <w:szCs w:val="20"/>
          <w:lang w:eastAsia="en-IN"/>
          <w14:ligatures w14:val="none"/>
        </w:rPr>
        <w:t>fiber</w:t>
      </w:r>
      <w:proofErr w:type="spellEnd"/>
      <w:r w:rsidRPr="004603DC">
        <w:rPr>
          <w:rFonts w:ascii="Arial" w:eastAsia="Times New Roman" w:hAnsi="Arial" w:cs="Arial"/>
          <w:kern w:val="0"/>
          <w:sz w:val="20"/>
          <w:szCs w:val="20"/>
          <w:lang w:eastAsia="en-IN"/>
          <w14:ligatures w14:val="none"/>
        </w:rPr>
        <w:t xml:space="preserve"> intake, and weight-loss </w:t>
      </w:r>
      <w:proofErr w:type="spellStart"/>
      <w:r w:rsidRPr="004603DC">
        <w:rPr>
          <w:rFonts w:ascii="Arial" w:eastAsia="Times New Roman" w:hAnsi="Arial" w:cs="Arial"/>
          <w:kern w:val="0"/>
          <w:sz w:val="20"/>
          <w:szCs w:val="20"/>
          <w:lang w:eastAsia="en-IN"/>
          <w14:ligatures w14:val="none"/>
        </w:rPr>
        <w:t>behaviors</w:t>
      </w:r>
      <w:proofErr w:type="spellEnd"/>
      <w:r w:rsidRPr="004603DC">
        <w:rPr>
          <w:rFonts w:ascii="Arial" w:eastAsia="Times New Roman" w:hAnsi="Arial" w:cs="Arial"/>
          <w:kern w:val="0"/>
          <w:sz w:val="20"/>
          <w:szCs w:val="20"/>
          <w:lang w:eastAsia="en-IN"/>
          <w14:ligatures w14:val="none"/>
        </w:rPr>
        <w:t xml:space="preserve"> are often incompletely measured, further complicating attribution. Additionally, the genus </w:t>
      </w:r>
      <w:proofErr w:type="spellStart"/>
      <w:r w:rsidRPr="004603DC">
        <w:rPr>
          <w:rFonts w:ascii="Arial" w:eastAsia="Times New Roman" w:hAnsi="Arial" w:cs="Arial"/>
          <w:i/>
          <w:iCs/>
          <w:kern w:val="0"/>
          <w:sz w:val="20"/>
          <w:szCs w:val="20"/>
          <w:lang w:eastAsia="en-IN"/>
          <w14:ligatures w14:val="none"/>
        </w:rPr>
        <w:t>Akkermansia</w:t>
      </w:r>
      <w:proofErr w:type="spellEnd"/>
      <w:r w:rsidRPr="004603DC">
        <w:rPr>
          <w:rFonts w:ascii="Arial" w:eastAsia="Times New Roman" w:hAnsi="Arial" w:cs="Arial"/>
          <w:kern w:val="0"/>
          <w:sz w:val="20"/>
          <w:szCs w:val="20"/>
          <w:lang w:eastAsia="en-IN"/>
          <w14:ligatures w14:val="none"/>
        </w:rPr>
        <w:t xml:space="preserve"> includes multiple phylogroups and related species, yet many studies report only genus- or species-level abundance, potentially diluting functionally important strain-specific effects. Finally, while early human supplementation trials are encouraging, their sample sizes, follow-up durations, and population diversity are still insufficient to support firm conclusions about long-term prognostic value for complications or durable disease modification.</w:t>
      </w:r>
    </w:p>
    <w:p w14:paraId="75FE12B0" w14:textId="77777777" w:rsidR="000C059C" w:rsidRDefault="000C059C" w:rsidP="00CB5290">
      <w:pPr>
        <w:spacing w:after="0" w:line="360" w:lineRule="auto"/>
        <w:jc w:val="both"/>
        <w:rPr>
          <w:rFonts w:ascii="Arial" w:eastAsia="Times New Roman" w:hAnsi="Arial" w:cs="Arial"/>
          <w:kern w:val="0"/>
          <w:sz w:val="20"/>
          <w:szCs w:val="20"/>
          <w:lang w:eastAsia="en-IN"/>
          <w14:ligatures w14:val="none"/>
        </w:rPr>
      </w:pPr>
    </w:p>
    <w:p w14:paraId="7111FD17" w14:textId="77777777" w:rsidR="00FC22F1" w:rsidRPr="00CA3906" w:rsidRDefault="00FC22F1" w:rsidP="00CB5290">
      <w:pPr>
        <w:jc w:val="both"/>
        <w:rPr>
          <w:b/>
          <w:highlight w:val="yellow"/>
        </w:rPr>
      </w:pPr>
      <w:r w:rsidRPr="00CA3906">
        <w:rPr>
          <w:b/>
          <w:highlight w:val="yellow"/>
        </w:rPr>
        <w:t>Disclaimer (Artificial intelligence)</w:t>
      </w:r>
    </w:p>
    <w:p w14:paraId="5A274288" w14:textId="77777777" w:rsidR="00FC22F1" w:rsidRPr="00740879" w:rsidRDefault="00FC22F1" w:rsidP="00CB5290">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E775D8B" w14:textId="77777777" w:rsidR="00FC22F1" w:rsidRDefault="00FC22F1" w:rsidP="00CB5290">
      <w:pPr>
        <w:spacing w:after="0" w:line="360" w:lineRule="auto"/>
        <w:jc w:val="both"/>
        <w:rPr>
          <w:rFonts w:ascii="Arial" w:eastAsia="Times New Roman" w:hAnsi="Arial" w:cs="Arial"/>
          <w:kern w:val="0"/>
          <w:sz w:val="20"/>
          <w:szCs w:val="20"/>
          <w:lang w:eastAsia="en-IN"/>
          <w14:ligatures w14:val="none"/>
        </w:rPr>
      </w:pPr>
    </w:p>
    <w:p w14:paraId="0226B162" w14:textId="77777777" w:rsidR="00A37C08" w:rsidRPr="004603DC" w:rsidRDefault="00A37C08" w:rsidP="00CB5290">
      <w:pPr>
        <w:spacing w:after="0" w:line="360" w:lineRule="auto"/>
        <w:jc w:val="both"/>
        <w:rPr>
          <w:rFonts w:ascii="Arial" w:eastAsia="Times New Roman" w:hAnsi="Arial" w:cs="Arial"/>
          <w:kern w:val="0"/>
          <w:sz w:val="20"/>
          <w:szCs w:val="20"/>
          <w:lang w:eastAsia="en-IN"/>
          <w14:ligatures w14:val="none"/>
        </w:rPr>
      </w:pPr>
    </w:p>
    <w:p w14:paraId="1F812F2A" w14:textId="77777777" w:rsidR="00B65CFE" w:rsidRPr="00A37C08" w:rsidRDefault="00B65CFE" w:rsidP="00CB5290">
      <w:pPr>
        <w:spacing w:after="0" w:line="360" w:lineRule="auto"/>
        <w:jc w:val="both"/>
        <w:outlineLvl w:val="1"/>
        <w:rPr>
          <w:rFonts w:ascii="Arial" w:eastAsia="Times New Roman" w:hAnsi="Arial" w:cs="Arial"/>
          <w:b/>
          <w:bCs/>
          <w:kern w:val="0"/>
          <w:sz w:val="20"/>
          <w:szCs w:val="20"/>
          <w:lang w:eastAsia="en-IN"/>
          <w14:ligatures w14:val="none"/>
        </w:rPr>
      </w:pPr>
      <w:r w:rsidRPr="00A37C08">
        <w:rPr>
          <w:rFonts w:ascii="Arial" w:eastAsia="Times New Roman" w:hAnsi="Arial" w:cs="Arial"/>
          <w:b/>
          <w:bCs/>
          <w:kern w:val="0"/>
          <w:sz w:val="20"/>
          <w:szCs w:val="20"/>
          <w:lang w:eastAsia="en-IN"/>
          <w14:ligatures w14:val="none"/>
        </w:rPr>
        <w:t xml:space="preserve">References </w:t>
      </w:r>
    </w:p>
    <w:p w14:paraId="39FB328E" w14:textId="77777777" w:rsidR="00B65CFE" w:rsidRPr="00A37C08" w:rsidRDefault="00B65CFE" w:rsidP="000C059C">
      <w:pPr>
        <w:pStyle w:val="NormalWeb"/>
        <w:numPr>
          <w:ilvl w:val="0"/>
          <w:numId w:val="2"/>
        </w:numPr>
        <w:spacing w:before="0" w:beforeAutospacing="0" w:after="0" w:afterAutospacing="0" w:line="360" w:lineRule="auto"/>
        <w:jc w:val="both"/>
        <w:rPr>
          <w:rFonts w:ascii="Arial" w:hAnsi="Arial" w:cs="Arial"/>
          <w:sz w:val="20"/>
          <w:szCs w:val="20"/>
        </w:rPr>
      </w:pPr>
      <w:proofErr w:type="spellStart"/>
      <w:r w:rsidRPr="00A37C08">
        <w:rPr>
          <w:rFonts w:ascii="Arial" w:hAnsi="Arial" w:cs="Arial"/>
          <w:sz w:val="20"/>
          <w:szCs w:val="20"/>
        </w:rPr>
        <w:t>Cani</w:t>
      </w:r>
      <w:proofErr w:type="spellEnd"/>
      <w:r w:rsidRPr="00A37C08">
        <w:rPr>
          <w:rFonts w:ascii="Arial" w:hAnsi="Arial" w:cs="Arial"/>
          <w:sz w:val="20"/>
          <w:szCs w:val="20"/>
        </w:rPr>
        <w:t xml:space="preserve">, P. D., &amp; Knauf, C. (2021). A newly identified protein from </w:t>
      </w:r>
      <w:proofErr w:type="spellStart"/>
      <w:r w:rsidRPr="00A37C08">
        <w:rPr>
          <w:rStyle w:val="Emphasis"/>
          <w:rFonts w:ascii="Arial" w:eastAsiaTheme="majorEastAsia" w:hAnsi="Arial" w:cs="Arial"/>
          <w:sz w:val="20"/>
          <w:szCs w:val="20"/>
        </w:rPr>
        <w:t>Akkermansia</w:t>
      </w:r>
      <w:proofErr w:type="spellEnd"/>
      <w:r w:rsidRPr="00A37C08">
        <w:rPr>
          <w:rStyle w:val="Emphasis"/>
          <w:rFonts w:ascii="Arial" w:eastAsiaTheme="majorEastAsia" w:hAnsi="Arial" w:cs="Arial"/>
          <w:sz w:val="20"/>
          <w:szCs w:val="20"/>
        </w:rPr>
        <w:t xml:space="preserve"> </w:t>
      </w:r>
      <w:proofErr w:type="spellStart"/>
      <w:r w:rsidRPr="00A37C08">
        <w:rPr>
          <w:rStyle w:val="Emphasis"/>
          <w:rFonts w:ascii="Arial" w:eastAsiaTheme="majorEastAsia" w:hAnsi="Arial" w:cs="Arial"/>
          <w:sz w:val="20"/>
          <w:szCs w:val="20"/>
        </w:rPr>
        <w:t>muciniphila</w:t>
      </w:r>
      <w:proofErr w:type="spellEnd"/>
      <w:r w:rsidRPr="00A37C08">
        <w:rPr>
          <w:rFonts w:ascii="Arial" w:hAnsi="Arial" w:cs="Arial"/>
          <w:sz w:val="20"/>
          <w:szCs w:val="20"/>
        </w:rPr>
        <w:t xml:space="preserve"> stimulates GLP-1 secretion. </w:t>
      </w:r>
      <w:r w:rsidRPr="00A37C08">
        <w:rPr>
          <w:rStyle w:val="Emphasis"/>
          <w:rFonts w:ascii="Arial" w:eastAsiaTheme="majorEastAsia" w:hAnsi="Arial" w:cs="Arial"/>
          <w:sz w:val="20"/>
          <w:szCs w:val="20"/>
        </w:rPr>
        <w:t>Cell Metabolism, 33</w:t>
      </w:r>
      <w:r w:rsidRPr="00A37C08">
        <w:rPr>
          <w:rFonts w:ascii="Arial" w:hAnsi="Arial" w:cs="Arial"/>
          <w:sz w:val="20"/>
          <w:szCs w:val="20"/>
        </w:rPr>
        <w:t xml:space="preserve">(6), 1073–1075. </w:t>
      </w:r>
      <w:hyperlink r:id="rId7" w:tgtFrame="_new" w:history="1">
        <w:r w:rsidRPr="00A37C08">
          <w:rPr>
            <w:rStyle w:val="Hyperlink"/>
            <w:rFonts w:ascii="Arial" w:eastAsiaTheme="majorEastAsia" w:hAnsi="Arial" w:cs="Arial"/>
            <w:sz w:val="20"/>
            <w:szCs w:val="20"/>
          </w:rPr>
          <w:t>https://doi.org/10.1016/j.cmet.2021.05.004</w:t>
        </w:r>
      </w:hyperlink>
      <w:r w:rsidRPr="00A37C08">
        <w:rPr>
          <w:rFonts w:ascii="Arial" w:hAnsi="Arial" w:cs="Arial"/>
          <w:sz w:val="20"/>
          <w:szCs w:val="20"/>
        </w:rPr>
        <w:t xml:space="preserve"> </w:t>
      </w:r>
    </w:p>
    <w:p w14:paraId="74CF3252" w14:textId="77777777" w:rsidR="00B65CFE" w:rsidRPr="00A37C08" w:rsidRDefault="00B65CFE" w:rsidP="000C059C">
      <w:pPr>
        <w:pStyle w:val="NormalWeb"/>
        <w:numPr>
          <w:ilvl w:val="0"/>
          <w:numId w:val="2"/>
        </w:numPr>
        <w:spacing w:before="0" w:beforeAutospacing="0" w:after="0" w:afterAutospacing="0" w:line="360" w:lineRule="auto"/>
        <w:jc w:val="both"/>
        <w:rPr>
          <w:rStyle w:val="relative"/>
          <w:rFonts w:ascii="Arial" w:eastAsiaTheme="majorEastAsia" w:hAnsi="Arial" w:cs="Arial"/>
          <w:sz w:val="20"/>
          <w:szCs w:val="20"/>
        </w:rPr>
      </w:pPr>
      <w:r w:rsidRPr="00A37C08">
        <w:rPr>
          <w:rFonts w:ascii="Arial" w:hAnsi="Arial" w:cs="Arial"/>
          <w:sz w:val="20"/>
          <w:szCs w:val="20"/>
        </w:rPr>
        <w:t>Dao, M. C., Everard, A., Aron-</w:t>
      </w:r>
      <w:proofErr w:type="spellStart"/>
      <w:r w:rsidRPr="00A37C08">
        <w:rPr>
          <w:rFonts w:ascii="Arial" w:hAnsi="Arial" w:cs="Arial"/>
          <w:sz w:val="20"/>
          <w:szCs w:val="20"/>
        </w:rPr>
        <w:t>Wisnewsky</w:t>
      </w:r>
      <w:proofErr w:type="spellEnd"/>
      <w:r w:rsidRPr="00A37C08">
        <w:rPr>
          <w:rFonts w:ascii="Arial" w:hAnsi="Arial" w:cs="Arial"/>
          <w:sz w:val="20"/>
          <w:szCs w:val="20"/>
        </w:rPr>
        <w:t xml:space="preserve">, J., </w:t>
      </w:r>
      <w:proofErr w:type="spellStart"/>
      <w:r w:rsidRPr="00A37C08">
        <w:rPr>
          <w:rFonts w:ascii="Arial" w:hAnsi="Arial" w:cs="Arial"/>
          <w:sz w:val="20"/>
          <w:szCs w:val="20"/>
        </w:rPr>
        <w:t>Sokolovska</w:t>
      </w:r>
      <w:proofErr w:type="spellEnd"/>
      <w:r w:rsidRPr="00A37C08">
        <w:rPr>
          <w:rFonts w:ascii="Arial" w:hAnsi="Arial" w:cs="Arial"/>
          <w:sz w:val="20"/>
          <w:szCs w:val="20"/>
        </w:rPr>
        <w:t xml:space="preserve">, N., </w:t>
      </w:r>
      <w:proofErr w:type="spellStart"/>
      <w:r w:rsidRPr="00A37C08">
        <w:rPr>
          <w:rFonts w:ascii="Arial" w:hAnsi="Arial" w:cs="Arial"/>
          <w:sz w:val="20"/>
          <w:szCs w:val="20"/>
        </w:rPr>
        <w:t>Prifti</w:t>
      </w:r>
      <w:proofErr w:type="spellEnd"/>
      <w:r w:rsidRPr="00A37C08">
        <w:rPr>
          <w:rFonts w:ascii="Arial" w:hAnsi="Arial" w:cs="Arial"/>
          <w:sz w:val="20"/>
          <w:szCs w:val="20"/>
        </w:rPr>
        <w:t xml:space="preserve">, E., Verger, E. O., </w:t>
      </w:r>
      <w:proofErr w:type="spellStart"/>
      <w:r w:rsidRPr="00A37C08">
        <w:rPr>
          <w:rFonts w:ascii="Arial" w:hAnsi="Arial" w:cs="Arial"/>
          <w:sz w:val="20"/>
          <w:szCs w:val="20"/>
        </w:rPr>
        <w:t>Kayser</w:t>
      </w:r>
      <w:proofErr w:type="spellEnd"/>
      <w:r w:rsidRPr="00A37C08">
        <w:rPr>
          <w:rFonts w:ascii="Arial" w:hAnsi="Arial" w:cs="Arial"/>
          <w:sz w:val="20"/>
          <w:szCs w:val="20"/>
        </w:rPr>
        <w:t xml:space="preserve">, B. D., </w:t>
      </w:r>
      <w:proofErr w:type="spellStart"/>
      <w:r w:rsidRPr="00A37C08">
        <w:rPr>
          <w:rFonts w:ascii="Arial" w:hAnsi="Arial" w:cs="Arial"/>
          <w:sz w:val="20"/>
          <w:szCs w:val="20"/>
        </w:rPr>
        <w:t>Levenez</w:t>
      </w:r>
      <w:proofErr w:type="spellEnd"/>
      <w:r w:rsidRPr="00A37C08">
        <w:rPr>
          <w:rFonts w:ascii="Arial" w:hAnsi="Arial" w:cs="Arial"/>
          <w:sz w:val="20"/>
          <w:szCs w:val="20"/>
        </w:rPr>
        <w:t xml:space="preserve">, F., </w:t>
      </w:r>
      <w:proofErr w:type="spellStart"/>
      <w:r w:rsidRPr="00A37C08">
        <w:rPr>
          <w:rFonts w:ascii="Arial" w:hAnsi="Arial" w:cs="Arial"/>
          <w:sz w:val="20"/>
          <w:szCs w:val="20"/>
        </w:rPr>
        <w:t>Chilloux</w:t>
      </w:r>
      <w:proofErr w:type="spellEnd"/>
      <w:r w:rsidRPr="00A37C08">
        <w:rPr>
          <w:rFonts w:ascii="Arial" w:hAnsi="Arial" w:cs="Arial"/>
          <w:sz w:val="20"/>
          <w:szCs w:val="20"/>
        </w:rPr>
        <w:t xml:space="preserve">, J., </w:t>
      </w:r>
      <w:proofErr w:type="spellStart"/>
      <w:r w:rsidRPr="00A37C08">
        <w:rPr>
          <w:rFonts w:ascii="Arial" w:hAnsi="Arial" w:cs="Arial"/>
          <w:sz w:val="20"/>
          <w:szCs w:val="20"/>
        </w:rPr>
        <w:t>Hoyles</w:t>
      </w:r>
      <w:proofErr w:type="spellEnd"/>
      <w:r w:rsidRPr="00A37C08">
        <w:rPr>
          <w:rFonts w:ascii="Arial" w:hAnsi="Arial" w:cs="Arial"/>
          <w:sz w:val="20"/>
          <w:szCs w:val="20"/>
        </w:rPr>
        <w:t>, L., MICRO-</w:t>
      </w:r>
      <w:proofErr w:type="spellStart"/>
      <w:r w:rsidRPr="00A37C08">
        <w:rPr>
          <w:rFonts w:ascii="Arial" w:hAnsi="Arial" w:cs="Arial"/>
          <w:sz w:val="20"/>
          <w:szCs w:val="20"/>
        </w:rPr>
        <w:t>Obes</w:t>
      </w:r>
      <w:proofErr w:type="spellEnd"/>
      <w:r w:rsidRPr="00A37C08">
        <w:rPr>
          <w:rFonts w:ascii="Arial" w:hAnsi="Arial" w:cs="Arial"/>
          <w:sz w:val="20"/>
          <w:szCs w:val="20"/>
        </w:rPr>
        <w:t xml:space="preserve"> Consortium, Dumas, M.-E., </w:t>
      </w:r>
      <w:proofErr w:type="spellStart"/>
      <w:r w:rsidRPr="00A37C08">
        <w:rPr>
          <w:rFonts w:ascii="Arial" w:hAnsi="Arial" w:cs="Arial"/>
          <w:sz w:val="20"/>
          <w:szCs w:val="20"/>
        </w:rPr>
        <w:t>Rizkalla</w:t>
      </w:r>
      <w:proofErr w:type="spellEnd"/>
      <w:r w:rsidRPr="00A37C08">
        <w:rPr>
          <w:rFonts w:ascii="Arial" w:hAnsi="Arial" w:cs="Arial"/>
          <w:sz w:val="20"/>
          <w:szCs w:val="20"/>
        </w:rPr>
        <w:t xml:space="preserve">, S. W., </w:t>
      </w:r>
      <w:proofErr w:type="spellStart"/>
      <w:r w:rsidRPr="00A37C08">
        <w:rPr>
          <w:rFonts w:ascii="Arial" w:hAnsi="Arial" w:cs="Arial"/>
          <w:sz w:val="20"/>
          <w:szCs w:val="20"/>
        </w:rPr>
        <w:t>Doré</w:t>
      </w:r>
      <w:proofErr w:type="spellEnd"/>
      <w:r w:rsidRPr="00A37C08">
        <w:rPr>
          <w:rFonts w:ascii="Arial" w:hAnsi="Arial" w:cs="Arial"/>
          <w:sz w:val="20"/>
          <w:szCs w:val="20"/>
        </w:rPr>
        <w:t xml:space="preserve">, J., </w:t>
      </w:r>
      <w:proofErr w:type="spellStart"/>
      <w:r w:rsidRPr="00A37C08">
        <w:rPr>
          <w:rFonts w:ascii="Arial" w:hAnsi="Arial" w:cs="Arial"/>
          <w:sz w:val="20"/>
          <w:szCs w:val="20"/>
        </w:rPr>
        <w:t>Cani</w:t>
      </w:r>
      <w:proofErr w:type="spellEnd"/>
      <w:r w:rsidRPr="00A37C08">
        <w:rPr>
          <w:rFonts w:ascii="Arial" w:hAnsi="Arial" w:cs="Arial"/>
          <w:sz w:val="20"/>
          <w:szCs w:val="20"/>
        </w:rPr>
        <w:t xml:space="preserve">, P. D., &amp; Clément, K. (2016). </w:t>
      </w:r>
      <w:proofErr w:type="spellStart"/>
      <w:r w:rsidRPr="00A37C08">
        <w:rPr>
          <w:rStyle w:val="Emphasis"/>
          <w:rFonts w:ascii="Arial" w:eastAsiaTheme="majorEastAsia" w:hAnsi="Arial" w:cs="Arial"/>
          <w:sz w:val="20"/>
          <w:szCs w:val="20"/>
        </w:rPr>
        <w:t>Akkermansia</w:t>
      </w:r>
      <w:proofErr w:type="spellEnd"/>
      <w:r w:rsidRPr="00A37C08">
        <w:rPr>
          <w:rStyle w:val="Emphasis"/>
          <w:rFonts w:ascii="Arial" w:eastAsiaTheme="majorEastAsia" w:hAnsi="Arial" w:cs="Arial"/>
          <w:sz w:val="20"/>
          <w:szCs w:val="20"/>
        </w:rPr>
        <w:t xml:space="preserve"> </w:t>
      </w:r>
      <w:proofErr w:type="spellStart"/>
      <w:r w:rsidRPr="00A37C08">
        <w:rPr>
          <w:rStyle w:val="Emphasis"/>
          <w:rFonts w:ascii="Arial" w:eastAsiaTheme="majorEastAsia" w:hAnsi="Arial" w:cs="Arial"/>
          <w:sz w:val="20"/>
          <w:szCs w:val="20"/>
        </w:rPr>
        <w:t>muciniphila</w:t>
      </w:r>
      <w:proofErr w:type="spellEnd"/>
      <w:r w:rsidRPr="00A37C08">
        <w:rPr>
          <w:rFonts w:ascii="Arial" w:hAnsi="Arial" w:cs="Arial"/>
          <w:sz w:val="20"/>
          <w:szCs w:val="20"/>
        </w:rPr>
        <w:t xml:space="preserve"> and improved metabolic health during a dietary intervention in obesity: Relationship with gut microbiome richness and ecology. </w:t>
      </w:r>
      <w:r w:rsidRPr="00A37C08">
        <w:rPr>
          <w:rStyle w:val="Emphasis"/>
          <w:rFonts w:ascii="Arial" w:eastAsiaTheme="majorEastAsia" w:hAnsi="Arial" w:cs="Arial"/>
          <w:sz w:val="20"/>
          <w:szCs w:val="20"/>
        </w:rPr>
        <w:t>Gut, 65</w:t>
      </w:r>
      <w:r w:rsidRPr="00A37C08">
        <w:rPr>
          <w:rFonts w:ascii="Arial" w:hAnsi="Arial" w:cs="Arial"/>
          <w:sz w:val="20"/>
          <w:szCs w:val="20"/>
        </w:rPr>
        <w:t xml:space="preserve">(3), 426–436. </w:t>
      </w:r>
      <w:hyperlink r:id="rId8" w:tgtFrame="_new" w:history="1">
        <w:r w:rsidRPr="00A37C08">
          <w:rPr>
            <w:rStyle w:val="Hyperlink"/>
            <w:rFonts w:ascii="Arial" w:eastAsiaTheme="majorEastAsia" w:hAnsi="Arial" w:cs="Arial"/>
            <w:sz w:val="20"/>
            <w:szCs w:val="20"/>
          </w:rPr>
          <w:t>https://doi.org/10.1136/gutjnl-2014-308778</w:t>
        </w:r>
      </w:hyperlink>
      <w:r w:rsidRPr="00A37C08">
        <w:rPr>
          <w:rFonts w:ascii="Arial" w:hAnsi="Arial" w:cs="Arial"/>
          <w:sz w:val="20"/>
          <w:szCs w:val="20"/>
        </w:rPr>
        <w:t xml:space="preserve"> </w:t>
      </w:r>
    </w:p>
    <w:p w14:paraId="4BCA7198" w14:textId="77777777" w:rsidR="00B65CFE" w:rsidRPr="00A37C08" w:rsidRDefault="00B65CFE" w:rsidP="000C059C">
      <w:pPr>
        <w:pStyle w:val="NormalWeb"/>
        <w:numPr>
          <w:ilvl w:val="0"/>
          <w:numId w:val="2"/>
        </w:numPr>
        <w:spacing w:before="0" w:beforeAutospacing="0" w:after="0" w:afterAutospacing="0" w:line="360" w:lineRule="auto"/>
        <w:jc w:val="both"/>
        <w:rPr>
          <w:rStyle w:val="relative"/>
          <w:rFonts w:ascii="Arial" w:eastAsiaTheme="majorEastAsia" w:hAnsi="Arial" w:cs="Arial"/>
          <w:sz w:val="20"/>
          <w:szCs w:val="20"/>
        </w:rPr>
      </w:pPr>
      <w:r w:rsidRPr="00A37C08">
        <w:rPr>
          <w:rFonts w:ascii="Arial" w:hAnsi="Arial" w:cs="Arial"/>
          <w:sz w:val="20"/>
          <w:szCs w:val="20"/>
        </w:rPr>
        <w:t>de la Cuesta-</w:t>
      </w:r>
      <w:proofErr w:type="spellStart"/>
      <w:r w:rsidRPr="00A37C08">
        <w:rPr>
          <w:rFonts w:ascii="Arial" w:hAnsi="Arial" w:cs="Arial"/>
          <w:sz w:val="20"/>
          <w:szCs w:val="20"/>
        </w:rPr>
        <w:t>Zuluaga</w:t>
      </w:r>
      <w:proofErr w:type="spellEnd"/>
      <w:r w:rsidRPr="00A37C08">
        <w:rPr>
          <w:rFonts w:ascii="Arial" w:hAnsi="Arial" w:cs="Arial"/>
          <w:sz w:val="20"/>
          <w:szCs w:val="20"/>
        </w:rPr>
        <w:t>, J., Mueller, N. T., Corrales-</w:t>
      </w:r>
      <w:proofErr w:type="spellStart"/>
      <w:r w:rsidRPr="00A37C08">
        <w:rPr>
          <w:rFonts w:ascii="Arial" w:hAnsi="Arial" w:cs="Arial"/>
          <w:sz w:val="20"/>
          <w:szCs w:val="20"/>
        </w:rPr>
        <w:t>Agudelo</w:t>
      </w:r>
      <w:proofErr w:type="spellEnd"/>
      <w:r w:rsidRPr="00A37C08">
        <w:rPr>
          <w:rFonts w:ascii="Arial" w:hAnsi="Arial" w:cs="Arial"/>
          <w:sz w:val="20"/>
          <w:szCs w:val="20"/>
        </w:rPr>
        <w:t xml:space="preserve">, V., </w:t>
      </w:r>
      <w:proofErr w:type="spellStart"/>
      <w:r w:rsidRPr="00A37C08">
        <w:rPr>
          <w:rFonts w:ascii="Arial" w:hAnsi="Arial" w:cs="Arial"/>
          <w:sz w:val="20"/>
          <w:szCs w:val="20"/>
        </w:rPr>
        <w:t>Velásquez-Mejía</w:t>
      </w:r>
      <w:proofErr w:type="spellEnd"/>
      <w:r w:rsidRPr="00A37C08">
        <w:rPr>
          <w:rFonts w:ascii="Arial" w:hAnsi="Arial" w:cs="Arial"/>
          <w:sz w:val="20"/>
          <w:szCs w:val="20"/>
        </w:rPr>
        <w:t xml:space="preserve">, E. P., Carmona, J. A., Abad, J. M., &amp; Escobar, J. S. (2017). Metformin is associated with higher relative abundance of mucin-degrading </w:t>
      </w:r>
      <w:proofErr w:type="spellStart"/>
      <w:r w:rsidRPr="00A37C08">
        <w:rPr>
          <w:rStyle w:val="Emphasis"/>
          <w:rFonts w:ascii="Arial" w:eastAsiaTheme="majorEastAsia" w:hAnsi="Arial" w:cs="Arial"/>
          <w:sz w:val="20"/>
          <w:szCs w:val="20"/>
        </w:rPr>
        <w:t>Akkermansia</w:t>
      </w:r>
      <w:proofErr w:type="spellEnd"/>
      <w:r w:rsidRPr="00A37C08">
        <w:rPr>
          <w:rStyle w:val="Emphasis"/>
          <w:rFonts w:ascii="Arial" w:eastAsiaTheme="majorEastAsia" w:hAnsi="Arial" w:cs="Arial"/>
          <w:sz w:val="20"/>
          <w:szCs w:val="20"/>
        </w:rPr>
        <w:t xml:space="preserve"> </w:t>
      </w:r>
      <w:proofErr w:type="spellStart"/>
      <w:r w:rsidRPr="00A37C08">
        <w:rPr>
          <w:rStyle w:val="Emphasis"/>
          <w:rFonts w:ascii="Arial" w:eastAsiaTheme="majorEastAsia" w:hAnsi="Arial" w:cs="Arial"/>
          <w:sz w:val="20"/>
          <w:szCs w:val="20"/>
        </w:rPr>
        <w:t>muciniphila</w:t>
      </w:r>
      <w:proofErr w:type="spellEnd"/>
      <w:r w:rsidRPr="00A37C08">
        <w:rPr>
          <w:rFonts w:ascii="Arial" w:hAnsi="Arial" w:cs="Arial"/>
          <w:sz w:val="20"/>
          <w:szCs w:val="20"/>
        </w:rPr>
        <w:t xml:space="preserve"> and several short-chain fatty </w:t>
      </w:r>
      <w:proofErr w:type="gramStart"/>
      <w:r w:rsidRPr="00A37C08">
        <w:rPr>
          <w:rFonts w:ascii="Arial" w:hAnsi="Arial" w:cs="Arial"/>
          <w:sz w:val="20"/>
          <w:szCs w:val="20"/>
        </w:rPr>
        <w:t>acid</w:t>
      </w:r>
      <w:proofErr w:type="gramEnd"/>
      <w:r w:rsidRPr="00A37C08">
        <w:rPr>
          <w:rFonts w:ascii="Arial" w:hAnsi="Arial" w:cs="Arial"/>
          <w:sz w:val="20"/>
          <w:szCs w:val="20"/>
        </w:rPr>
        <w:t xml:space="preserve">–producing microbiota in the gut. </w:t>
      </w:r>
      <w:r w:rsidRPr="00A37C08">
        <w:rPr>
          <w:rStyle w:val="Emphasis"/>
          <w:rFonts w:ascii="Arial" w:eastAsiaTheme="majorEastAsia" w:hAnsi="Arial" w:cs="Arial"/>
          <w:sz w:val="20"/>
          <w:szCs w:val="20"/>
        </w:rPr>
        <w:t>Diabetes Care, 40</w:t>
      </w:r>
      <w:r w:rsidRPr="00A37C08">
        <w:rPr>
          <w:rFonts w:ascii="Arial" w:hAnsi="Arial" w:cs="Arial"/>
          <w:sz w:val="20"/>
          <w:szCs w:val="20"/>
        </w:rPr>
        <w:t xml:space="preserve">(1), 54–62. </w:t>
      </w:r>
      <w:hyperlink r:id="rId9" w:tgtFrame="_new" w:history="1">
        <w:r w:rsidRPr="00A37C08">
          <w:rPr>
            <w:rStyle w:val="Hyperlink"/>
            <w:rFonts w:ascii="Arial" w:eastAsiaTheme="majorEastAsia" w:hAnsi="Arial" w:cs="Arial"/>
            <w:sz w:val="20"/>
            <w:szCs w:val="20"/>
          </w:rPr>
          <w:t>https://doi.org/10.2337/dc16-1324</w:t>
        </w:r>
      </w:hyperlink>
      <w:r w:rsidRPr="00A37C08">
        <w:rPr>
          <w:rFonts w:ascii="Arial" w:hAnsi="Arial" w:cs="Arial"/>
          <w:sz w:val="20"/>
          <w:szCs w:val="20"/>
        </w:rPr>
        <w:t xml:space="preserve"> </w:t>
      </w:r>
    </w:p>
    <w:p w14:paraId="3074AD29" w14:textId="77777777" w:rsidR="00B65CFE" w:rsidRPr="00A37C08" w:rsidRDefault="00B65CFE" w:rsidP="000C059C">
      <w:pPr>
        <w:pStyle w:val="NormalWeb"/>
        <w:numPr>
          <w:ilvl w:val="0"/>
          <w:numId w:val="2"/>
        </w:numPr>
        <w:spacing w:before="0" w:beforeAutospacing="0" w:after="0" w:afterAutospacing="0" w:line="360" w:lineRule="auto"/>
        <w:jc w:val="both"/>
        <w:rPr>
          <w:rStyle w:val="relative"/>
          <w:rFonts w:ascii="Arial" w:eastAsiaTheme="majorEastAsia" w:hAnsi="Arial" w:cs="Arial"/>
          <w:sz w:val="20"/>
          <w:szCs w:val="20"/>
        </w:rPr>
      </w:pPr>
      <w:proofErr w:type="spellStart"/>
      <w:r w:rsidRPr="00A37C08">
        <w:rPr>
          <w:rFonts w:ascii="Arial" w:hAnsi="Arial" w:cs="Arial"/>
          <w:sz w:val="20"/>
          <w:szCs w:val="20"/>
        </w:rPr>
        <w:lastRenderedPageBreak/>
        <w:t>Depommier</w:t>
      </w:r>
      <w:proofErr w:type="spellEnd"/>
      <w:r w:rsidRPr="00A37C08">
        <w:rPr>
          <w:rFonts w:ascii="Arial" w:hAnsi="Arial" w:cs="Arial"/>
          <w:sz w:val="20"/>
          <w:szCs w:val="20"/>
        </w:rPr>
        <w:t xml:space="preserve">, C., Everard, A., </w:t>
      </w:r>
      <w:proofErr w:type="spellStart"/>
      <w:r w:rsidRPr="00A37C08">
        <w:rPr>
          <w:rFonts w:ascii="Arial" w:hAnsi="Arial" w:cs="Arial"/>
          <w:sz w:val="20"/>
          <w:szCs w:val="20"/>
        </w:rPr>
        <w:t>Druart</w:t>
      </w:r>
      <w:proofErr w:type="spellEnd"/>
      <w:r w:rsidRPr="00A37C08">
        <w:rPr>
          <w:rFonts w:ascii="Arial" w:hAnsi="Arial" w:cs="Arial"/>
          <w:sz w:val="20"/>
          <w:szCs w:val="20"/>
        </w:rPr>
        <w:t xml:space="preserve">, C., </w:t>
      </w:r>
      <w:proofErr w:type="spellStart"/>
      <w:r w:rsidRPr="00A37C08">
        <w:rPr>
          <w:rFonts w:ascii="Arial" w:hAnsi="Arial" w:cs="Arial"/>
          <w:sz w:val="20"/>
          <w:szCs w:val="20"/>
        </w:rPr>
        <w:t>Plovier</w:t>
      </w:r>
      <w:proofErr w:type="spellEnd"/>
      <w:r w:rsidRPr="00A37C08">
        <w:rPr>
          <w:rFonts w:ascii="Arial" w:hAnsi="Arial" w:cs="Arial"/>
          <w:sz w:val="20"/>
          <w:szCs w:val="20"/>
        </w:rPr>
        <w:t xml:space="preserve">, H., Van </w:t>
      </w:r>
      <w:proofErr w:type="spellStart"/>
      <w:r w:rsidRPr="00A37C08">
        <w:rPr>
          <w:rFonts w:ascii="Arial" w:hAnsi="Arial" w:cs="Arial"/>
          <w:sz w:val="20"/>
          <w:szCs w:val="20"/>
        </w:rPr>
        <w:t>Hul</w:t>
      </w:r>
      <w:proofErr w:type="spellEnd"/>
      <w:r w:rsidRPr="00A37C08">
        <w:rPr>
          <w:rFonts w:ascii="Arial" w:hAnsi="Arial" w:cs="Arial"/>
          <w:sz w:val="20"/>
          <w:szCs w:val="20"/>
        </w:rPr>
        <w:t xml:space="preserve">, M., Vieira-Silva, S., </w:t>
      </w:r>
      <w:proofErr w:type="spellStart"/>
      <w:r w:rsidRPr="00A37C08">
        <w:rPr>
          <w:rFonts w:ascii="Arial" w:hAnsi="Arial" w:cs="Arial"/>
          <w:sz w:val="20"/>
          <w:szCs w:val="20"/>
        </w:rPr>
        <w:t>Falony</w:t>
      </w:r>
      <w:proofErr w:type="spellEnd"/>
      <w:r w:rsidRPr="00A37C08">
        <w:rPr>
          <w:rFonts w:ascii="Arial" w:hAnsi="Arial" w:cs="Arial"/>
          <w:sz w:val="20"/>
          <w:szCs w:val="20"/>
        </w:rPr>
        <w:t xml:space="preserve">, G., </w:t>
      </w:r>
      <w:proofErr w:type="spellStart"/>
      <w:r w:rsidRPr="00A37C08">
        <w:rPr>
          <w:rFonts w:ascii="Arial" w:hAnsi="Arial" w:cs="Arial"/>
          <w:sz w:val="20"/>
          <w:szCs w:val="20"/>
        </w:rPr>
        <w:t>Raes</w:t>
      </w:r>
      <w:proofErr w:type="spellEnd"/>
      <w:r w:rsidRPr="00A37C08">
        <w:rPr>
          <w:rFonts w:ascii="Arial" w:hAnsi="Arial" w:cs="Arial"/>
          <w:sz w:val="20"/>
          <w:szCs w:val="20"/>
        </w:rPr>
        <w:t xml:space="preserve">, J., </w:t>
      </w:r>
      <w:proofErr w:type="spellStart"/>
      <w:r w:rsidRPr="00A37C08">
        <w:rPr>
          <w:rFonts w:ascii="Arial" w:hAnsi="Arial" w:cs="Arial"/>
          <w:sz w:val="20"/>
          <w:szCs w:val="20"/>
        </w:rPr>
        <w:t>Maiter</w:t>
      </w:r>
      <w:proofErr w:type="spellEnd"/>
      <w:r w:rsidRPr="00A37C08">
        <w:rPr>
          <w:rFonts w:ascii="Arial" w:hAnsi="Arial" w:cs="Arial"/>
          <w:sz w:val="20"/>
          <w:szCs w:val="20"/>
        </w:rPr>
        <w:t xml:space="preserve">, D., </w:t>
      </w:r>
      <w:proofErr w:type="spellStart"/>
      <w:r w:rsidRPr="00A37C08">
        <w:rPr>
          <w:rFonts w:ascii="Arial" w:hAnsi="Arial" w:cs="Arial"/>
          <w:sz w:val="20"/>
          <w:szCs w:val="20"/>
        </w:rPr>
        <w:t>Delzenne</w:t>
      </w:r>
      <w:proofErr w:type="spellEnd"/>
      <w:r w:rsidRPr="00A37C08">
        <w:rPr>
          <w:rFonts w:ascii="Arial" w:hAnsi="Arial" w:cs="Arial"/>
          <w:sz w:val="20"/>
          <w:szCs w:val="20"/>
        </w:rPr>
        <w:t xml:space="preserve">, N. M., de </w:t>
      </w:r>
      <w:proofErr w:type="spellStart"/>
      <w:r w:rsidRPr="00A37C08">
        <w:rPr>
          <w:rFonts w:ascii="Arial" w:hAnsi="Arial" w:cs="Arial"/>
          <w:sz w:val="20"/>
          <w:szCs w:val="20"/>
        </w:rPr>
        <w:t>Barsy</w:t>
      </w:r>
      <w:proofErr w:type="spellEnd"/>
      <w:r w:rsidRPr="00A37C08">
        <w:rPr>
          <w:rFonts w:ascii="Arial" w:hAnsi="Arial" w:cs="Arial"/>
          <w:sz w:val="20"/>
          <w:szCs w:val="20"/>
        </w:rPr>
        <w:t xml:space="preserve">, M., </w:t>
      </w:r>
      <w:proofErr w:type="spellStart"/>
      <w:r w:rsidRPr="00A37C08">
        <w:rPr>
          <w:rFonts w:ascii="Arial" w:hAnsi="Arial" w:cs="Arial"/>
          <w:sz w:val="20"/>
          <w:szCs w:val="20"/>
        </w:rPr>
        <w:t>Loumaye</w:t>
      </w:r>
      <w:proofErr w:type="spellEnd"/>
      <w:r w:rsidRPr="00A37C08">
        <w:rPr>
          <w:rFonts w:ascii="Arial" w:hAnsi="Arial" w:cs="Arial"/>
          <w:sz w:val="20"/>
          <w:szCs w:val="20"/>
        </w:rPr>
        <w:t xml:space="preserve">, A., </w:t>
      </w:r>
      <w:proofErr w:type="spellStart"/>
      <w:r w:rsidRPr="00A37C08">
        <w:rPr>
          <w:rFonts w:ascii="Arial" w:hAnsi="Arial" w:cs="Arial"/>
          <w:sz w:val="20"/>
          <w:szCs w:val="20"/>
        </w:rPr>
        <w:t>Hermans</w:t>
      </w:r>
      <w:proofErr w:type="spellEnd"/>
      <w:r w:rsidRPr="00A37C08">
        <w:rPr>
          <w:rFonts w:ascii="Arial" w:hAnsi="Arial" w:cs="Arial"/>
          <w:sz w:val="20"/>
          <w:szCs w:val="20"/>
        </w:rPr>
        <w:t xml:space="preserve">, M. P., </w:t>
      </w:r>
      <w:proofErr w:type="spellStart"/>
      <w:r w:rsidRPr="00A37C08">
        <w:rPr>
          <w:rFonts w:ascii="Arial" w:hAnsi="Arial" w:cs="Arial"/>
          <w:sz w:val="20"/>
          <w:szCs w:val="20"/>
        </w:rPr>
        <w:t>Thissen</w:t>
      </w:r>
      <w:proofErr w:type="spellEnd"/>
      <w:r w:rsidRPr="00A37C08">
        <w:rPr>
          <w:rFonts w:ascii="Arial" w:hAnsi="Arial" w:cs="Arial"/>
          <w:sz w:val="20"/>
          <w:szCs w:val="20"/>
        </w:rPr>
        <w:t xml:space="preserve">, J.-P., de Vos, W. M., &amp; </w:t>
      </w:r>
      <w:proofErr w:type="spellStart"/>
      <w:r w:rsidRPr="00A37C08">
        <w:rPr>
          <w:rFonts w:ascii="Arial" w:hAnsi="Arial" w:cs="Arial"/>
          <w:sz w:val="20"/>
          <w:szCs w:val="20"/>
        </w:rPr>
        <w:t>Cani</w:t>
      </w:r>
      <w:proofErr w:type="spellEnd"/>
      <w:r w:rsidRPr="00A37C08">
        <w:rPr>
          <w:rFonts w:ascii="Arial" w:hAnsi="Arial" w:cs="Arial"/>
          <w:sz w:val="20"/>
          <w:szCs w:val="20"/>
        </w:rPr>
        <w:t xml:space="preserve">, P. D. (2019). Supplementation with </w:t>
      </w:r>
      <w:proofErr w:type="spellStart"/>
      <w:r w:rsidRPr="00A37C08">
        <w:rPr>
          <w:rStyle w:val="Emphasis"/>
          <w:rFonts w:ascii="Arial" w:eastAsiaTheme="majorEastAsia" w:hAnsi="Arial" w:cs="Arial"/>
          <w:sz w:val="20"/>
          <w:szCs w:val="20"/>
        </w:rPr>
        <w:t>Akkermansia</w:t>
      </w:r>
      <w:proofErr w:type="spellEnd"/>
      <w:r w:rsidRPr="00A37C08">
        <w:rPr>
          <w:rStyle w:val="Emphasis"/>
          <w:rFonts w:ascii="Arial" w:eastAsiaTheme="majorEastAsia" w:hAnsi="Arial" w:cs="Arial"/>
          <w:sz w:val="20"/>
          <w:szCs w:val="20"/>
        </w:rPr>
        <w:t xml:space="preserve"> </w:t>
      </w:r>
      <w:proofErr w:type="spellStart"/>
      <w:r w:rsidRPr="00A37C08">
        <w:rPr>
          <w:rStyle w:val="Emphasis"/>
          <w:rFonts w:ascii="Arial" w:eastAsiaTheme="majorEastAsia" w:hAnsi="Arial" w:cs="Arial"/>
          <w:sz w:val="20"/>
          <w:szCs w:val="20"/>
        </w:rPr>
        <w:t>muciniphila</w:t>
      </w:r>
      <w:proofErr w:type="spellEnd"/>
      <w:r w:rsidRPr="00A37C08">
        <w:rPr>
          <w:rFonts w:ascii="Arial" w:hAnsi="Arial" w:cs="Arial"/>
          <w:sz w:val="20"/>
          <w:szCs w:val="20"/>
        </w:rPr>
        <w:t xml:space="preserve"> in overweight and obese human volunteers: A proof-of-concept exploratory study. </w:t>
      </w:r>
      <w:r w:rsidRPr="00A37C08">
        <w:rPr>
          <w:rStyle w:val="Emphasis"/>
          <w:rFonts w:ascii="Arial" w:eastAsiaTheme="majorEastAsia" w:hAnsi="Arial" w:cs="Arial"/>
          <w:sz w:val="20"/>
          <w:szCs w:val="20"/>
        </w:rPr>
        <w:t>Nature Medicine, 25</w:t>
      </w:r>
      <w:r w:rsidRPr="00A37C08">
        <w:rPr>
          <w:rFonts w:ascii="Arial" w:hAnsi="Arial" w:cs="Arial"/>
          <w:sz w:val="20"/>
          <w:szCs w:val="20"/>
        </w:rPr>
        <w:t xml:space="preserve">(7), 1096–1103. </w:t>
      </w:r>
      <w:hyperlink r:id="rId10" w:tgtFrame="_new" w:history="1">
        <w:r w:rsidRPr="00A37C08">
          <w:rPr>
            <w:rStyle w:val="Hyperlink"/>
            <w:rFonts w:ascii="Arial" w:eastAsiaTheme="majorEastAsia" w:hAnsi="Arial" w:cs="Arial"/>
            <w:sz w:val="20"/>
            <w:szCs w:val="20"/>
          </w:rPr>
          <w:t>https://doi.org/10.1038/s41591-019-0495-2</w:t>
        </w:r>
      </w:hyperlink>
      <w:r w:rsidRPr="00A37C08">
        <w:rPr>
          <w:rFonts w:ascii="Arial" w:hAnsi="Arial" w:cs="Arial"/>
          <w:sz w:val="20"/>
          <w:szCs w:val="20"/>
        </w:rPr>
        <w:t xml:space="preserve"> </w:t>
      </w:r>
    </w:p>
    <w:p w14:paraId="0723C8AD" w14:textId="77777777" w:rsidR="00B65CFE" w:rsidRPr="00A37C08" w:rsidRDefault="00B65CFE" w:rsidP="000C059C">
      <w:pPr>
        <w:pStyle w:val="NormalWeb"/>
        <w:numPr>
          <w:ilvl w:val="0"/>
          <w:numId w:val="2"/>
        </w:numPr>
        <w:spacing w:before="0" w:beforeAutospacing="0" w:after="0" w:afterAutospacing="0" w:line="360" w:lineRule="auto"/>
        <w:jc w:val="both"/>
        <w:rPr>
          <w:rFonts w:ascii="Arial" w:hAnsi="Arial" w:cs="Arial"/>
          <w:sz w:val="20"/>
          <w:szCs w:val="20"/>
        </w:rPr>
      </w:pPr>
      <w:proofErr w:type="spellStart"/>
      <w:r w:rsidRPr="00A37C08">
        <w:rPr>
          <w:rFonts w:ascii="Arial" w:hAnsi="Arial" w:cs="Arial"/>
          <w:sz w:val="20"/>
          <w:szCs w:val="20"/>
        </w:rPr>
        <w:t>ubourg</w:t>
      </w:r>
      <w:proofErr w:type="spellEnd"/>
      <w:r w:rsidRPr="00A37C08">
        <w:rPr>
          <w:rFonts w:ascii="Arial" w:hAnsi="Arial" w:cs="Arial"/>
          <w:sz w:val="20"/>
          <w:szCs w:val="20"/>
        </w:rPr>
        <w:t xml:space="preserve">, G., </w:t>
      </w:r>
      <w:proofErr w:type="spellStart"/>
      <w:r w:rsidRPr="00A37C08">
        <w:rPr>
          <w:rFonts w:ascii="Arial" w:hAnsi="Arial" w:cs="Arial"/>
          <w:sz w:val="20"/>
          <w:szCs w:val="20"/>
        </w:rPr>
        <w:t>Lagier</w:t>
      </w:r>
      <w:proofErr w:type="spellEnd"/>
      <w:r w:rsidRPr="00A37C08">
        <w:rPr>
          <w:rFonts w:ascii="Arial" w:hAnsi="Arial" w:cs="Arial"/>
          <w:sz w:val="20"/>
          <w:szCs w:val="20"/>
        </w:rPr>
        <w:t xml:space="preserve">, J.-C., </w:t>
      </w:r>
      <w:proofErr w:type="spellStart"/>
      <w:r w:rsidRPr="00A37C08">
        <w:rPr>
          <w:rFonts w:ascii="Arial" w:hAnsi="Arial" w:cs="Arial"/>
          <w:sz w:val="20"/>
          <w:szCs w:val="20"/>
        </w:rPr>
        <w:t>Armougom</w:t>
      </w:r>
      <w:proofErr w:type="spellEnd"/>
      <w:r w:rsidRPr="00A37C08">
        <w:rPr>
          <w:rFonts w:ascii="Arial" w:hAnsi="Arial" w:cs="Arial"/>
          <w:sz w:val="20"/>
          <w:szCs w:val="20"/>
        </w:rPr>
        <w:t xml:space="preserve">, F., Robert, C., Hamad, I., </w:t>
      </w:r>
      <w:proofErr w:type="spellStart"/>
      <w:r w:rsidRPr="00A37C08">
        <w:rPr>
          <w:rFonts w:ascii="Arial" w:hAnsi="Arial" w:cs="Arial"/>
          <w:sz w:val="20"/>
          <w:szCs w:val="20"/>
        </w:rPr>
        <w:t>Brouqui</w:t>
      </w:r>
      <w:proofErr w:type="spellEnd"/>
      <w:r w:rsidRPr="00A37C08">
        <w:rPr>
          <w:rFonts w:ascii="Arial" w:hAnsi="Arial" w:cs="Arial"/>
          <w:sz w:val="20"/>
          <w:szCs w:val="20"/>
        </w:rPr>
        <w:t xml:space="preserve">, P., &amp; </w:t>
      </w:r>
      <w:proofErr w:type="spellStart"/>
      <w:r w:rsidRPr="00A37C08">
        <w:rPr>
          <w:rFonts w:ascii="Arial" w:hAnsi="Arial" w:cs="Arial"/>
          <w:sz w:val="20"/>
          <w:szCs w:val="20"/>
        </w:rPr>
        <w:t>Raoult</w:t>
      </w:r>
      <w:proofErr w:type="spellEnd"/>
      <w:r w:rsidRPr="00A37C08">
        <w:rPr>
          <w:rFonts w:ascii="Arial" w:hAnsi="Arial" w:cs="Arial"/>
          <w:sz w:val="20"/>
          <w:szCs w:val="20"/>
        </w:rPr>
        <w:t xml:space="preserve">, D. (2021). Genotypic and phenotypic diversity among human isolates of </w:t>
      </w:r>
      <w:proofErr w:type="spellStart"/>
      <w:r w:rsidRPr="00A37C08">
        <w:rPr>
          <w:rStyle w:val="Emphasis"/>
          <w:rFonts w:ascii="Arial" w:eastAsiaTheme="majorEastAsia" w:hAnsi="Arial" w:cs="Arial"/>
          <w:sz w:val="20"/>
          <w:szCs w:val="20"/>
        </w:rPr>
        <w:t>Akkermansia</w:t>
      </w:r>
      <w:proofErr w:type="spellEnd"/>
      <w:r w:rsidRPr="00A37C08">
        <w:rPr>
          <w:rStyle w:val="Emphasis"/>
          <w:rFonts w:ascii="Arial" w:eastAsiaTheme="majorEastAsia" w:hAnsi="Arial" w:cs="Arial"/>
          <w:sz w:val="20"/>
          <w:szCs w:val="20"/>
        </w:rPr>
        <w:t xml:space="preserve"> </w:t>
      </w:r>
      <w:proofErr w:type="spellStart"/>
      <w:r w:rsidRPr="00A37C08">
        <w:rPr>
          <w:rStyle w:val="Emphasis"/>
          <w:rFonts w:ascii="Arial" w:eastAsiaTheme="majorEastAsia" w:hAnsi="Arial" w:cs="Arial"/>
          <w:sz w:val="20"/>
          <w:szCs w:val="20"/>
        </w:rPr>
        <w:t>muciniphila</w:t>
      </w:r>
      <w:proofErr w:type="spellEnd"/>
      <w:r w:rsidRPr="00A37C08">
        <w:rPr>
          <w:rFonts w:ascii="Arial" w:hAnsi="Arial" w:cs="Arial"/>
          <w:sz w:val="20"/>
          <w:szCs w:val="20"/>
        </w:rPr>
        <w:t xml:space="preserve">. </w:t>
      </w:r>
      <w:r w:rsidRPr="00A37C08">
        <w:rPr>
          <w:rStyle w:val="Emphasis"/>
          <w:rFonts w:ascii="Arial" w:eastAsiaTheme="majorEastAsia" w:hAnsi="Arial" w:cs="Arial"/>
          <w:sz w:val="20"/>
          <w:szCs w:val="20"/>
        </w:rPr>
        <w:t>mBio, 12</w:t>
      </w:r>
      <w:r w:rsidRPr="00A37C08">
        <w:rPr>
          <w:rFonts w:ascii="Arial" w:hAnsi="Arial" w:cs="Arial"/>
          <w:sz w:val="20"/>
          <w:szCs w:val="20"/>
        </w:rPr>
        <w:t xml:space="preserve">(4), e00478-21. </w:t>
      </w:r>
      <w:hyperlink r:id="rId11" w:tgtFrame="_new" w:history="1">
        <w:r w:rsidRPr="00A37C08">
          <w:rPr>
            <w:rStyle w:val="Hyperlink"/>
            <w:rFonts w:ascii="Arial" w:eastAsiaTheme="majorEastAsia" w:hAnsi="Arial" w:cs="Arial"/>
            <w:sz w:val="20"/>
            <w:szCs w:val="20"/>
          </w:rPr>
          <w:t>https://doi.org/10.1128/mBio.00478-21</w:t>
        </w:r>
      </w:hyperlink>
      <w:r w:rsidRPr="00A37C08">
        <w:rPr>
          <w:rFonts w:ascii="Arial" w:hAnsi="Arial" w:cs="Arial"/>
          <w:sz w:val="20"/>
          <w:szCs w:val="20"/>
        </w:rPr>
        <w:t xml:space="preserve"> </w:t>
      </w:r>
    </w:p>
    <w:p w14:paraId="02D652F8" w14:textId="77777777" w:rsidR="00B65CFE" w:rsidRPr="00A37C08" w:rsidRDefault="00B65CFE" w:rsidP="000C059C">
      <w:pPr>
        <w:pStyle w:val="NormalWeb"/>
        <w:numPr>
          <w:ilvl w:val="0"/>
          <w:numId w:val="2"/>
        </w:numPr>
        <w:spacing w:before="0" w:beforeAutospacing="0" w:after="0" w:afterAutospacing="0" w:line="360" w:lineRule="auto"/>
        <w:jc w:val="both"/>
        <w:rPr>
          <w:rFonts w:ascii="Arial" w:hAnsi="Arial" w:cs="Arial"/>
          <w:sz w:val="20"/>
          <w:szCs w:val="20"/>
        </w:rPr>
      </w:pPr>
      <w:proofErr w:type="spellStart"/>
      <w:r w:rsidRPr="00A37C08">
        <w:rPr>
          <w:rFonts w:ascii="Arial" w:hAnsi="Arial" w:cs="Arial"/>
          <w:sz w:val="20"/>
          <w:szCs w:val="20"/>
        </w:rPr>
        <w:t>Forslund</w:t>
      </w:r>
      <w:proofErr w:type="spellEnd"/>
      <w:r w:rsidRPr="00A37C08">
        <w:rPr>
          <w:rFonts w:ascii="Arial" w:hAnsi="Arial" w:cs="Arial"/>
          <w:sz w:val="20"/>
          <w:szCs w:val="20"/>
        </w:rPr>
        <w:t xml:space="preserve">, K., Hildebrand, F., Nielsen, T., </w:t>
      </w:r>
      <w:proofErr w:type="spellStart"/>
      <w:r w:rsidRPr="00A37C08">
        <w:rPr>
          <w:rFonts w:ascii="Arial" w:hAnsi="Arial" w:cs="Arial"/>
          <w:sz w:val="20"/>
          <w:szCs w:val="20"/>
        </w:rPr>
        <w:t>Falony</w:t>
      </w:r>
      <w:proofErr w:type="spellEnd"/>
      <w:r w:rsidRPr="00A37C08">
        <w:rPr>
          <w:rFonts w:ascii="Arial" w:hAnsi="Arial" w:cs="Arial"/>
          <w:sz w:val="20"/>
          <w:szCs w:val="20"/>
        </w:rPr>
        <w:t xml:space="preserve">, G., Le </w:t>
      </w:r>
      <w:proofErr w:type="spellStart"/>
      <w:r w:rsidRPr="00A37C08">
        <w:rPr>
          <w:rFonts w:ascii="Arial" w:hAnsi="Arial" w:cs="Arial"/>
          <w:sz w:val="20"/>
          <w:szCs w:val="20"/>
        </w:rPr>
        <w:t>Chatelier</w:t>
      </w:r>
      <w:proofErr w:type="spellEnd"/>
      <w:r w:rsidRPr="00A37C08">
        <w:rPr>
          <w:rFonts w:ascii="Arial" w:hAnsi="Arial" w:cs="Arial"/>
          <w:sz w:val="20"/>
          <w:szCs w:val="20"/>
        </w:rPr>
        <w:t xml:space="preserve">, E., </w:t>
      </w:r>
      <w:proofErr w:type="spellStart"/>
      <w:r w:rsidRPr="00A37C08">
        <w:rPr>
          <w:rFonts w:ascii="Arial" w:hAnsi="Arial" w:cs="Arial"/>
          <w:sz w:val="20"/>
          <w:szCs w:val="20"/>
        </w:rPr>
        <w:t>Sunagawa</w:t>
      </w:r>
      <w:proofErr w:type="spellEnd"/>
      <w:r w:rsidRPr="00A37C08">
        <w:rPr>
          <w:rFonts w:ascii="Arial" w:hAnsi="Arial" w:cs="Arial"/>
          <w:sz w:val="20"/>
          <w:szCs w:val="20"/>
        </w:rPr>
        <w:t xml:space="preserve">, S., </w:t>
      </w:r>
      <w:proofErr w:type="spellStart"/>
      <w:r w:rsidRPr="00A37C08">
        <w:rPr>
          <w:rFonts w:ascii="Arial" w:hAnsi="Arial" w:cs="Arial"/>
          <w:sz w:val="20"/>
          <w:szCs w:val="20"/>
        </w:rPr>
        <w:t>Prifti</w:t>
      </w:r>
      <w:proofErr w:type="spellEnd"/>
      <w:r w:rsidRPr="00A37C08">
        <w:rPr>
          <w:rFonts w:ascii="Arial" w:hAnsi="Arial" w:cs="Arial"/>
          <w:sz w:val="20"/>
          <w:szCs w:val="20"/>
        </w:rPr>
        <w:t xml:space="preserve">, E., Vieira-Silva, S., </w:t>
      </w:r>
      <w:proofErr w:type="spellStart"/>
      <w:r w:rsidRPr="00A37C08">
        <w:rPr>
          <w:rFonts w:ascii="Arial" w:hAnsi="Arial" w:cs="Arial"/>
          <w:sz w:val="20"/>
          <w:szCs w:val="20"/>
        </w:rPr>
        <w:t>Gudmundsdottir</w:t>
      </w:r>
      <w:proofErr w:type="spellEnd"/>
      <w:r w:rsidRPr="00A37C08">
        <w:rPr>
          <w:rFonts w:ascii="Arial" w:hAnsi="Arial" w:cs="Arial"/>
          <w:sz w:val="20"/>
          <w:szCs w:val="20"/>
        </w:rPr>
        <w:t xml:space="preserve">, V., Krogh Pedersen, H., Arumugam, M., Kristiansen, K., Voigt, A. Y., </w:t>
      </w:r>
      <w:proofErr w:type="spellStart"/>
      <w:r w:rsidRPr="00A37C08">
        <w:rPr>
          <w:rFonts w:ascii="Arial" w:hAnsi="Arial" w:cs="Arial"/>
          <w:sz w:val="20"/>
          <w:szCs w:val="20"/>
        </w:rPr>
        <w:t>Vestergaard</w:t>
      </w:r>
      <w:proofErr w:type="spellEnd"/>
      <w:r w:rsidRPr="00A37C08">
        <w:rPr>
          <w:rFonts w:ascii="Arial" w:hAnsi="Arial" w:cs="Arial"/>
          <w:sz w:val="20"/>
          <w:szCs w:val="20"/>
        </w:rPr>
        <w:t xml:space="preserve">, H., </w:t>
      </w:r>
      <w:proofErr w:type="spellStart"/>
      <w:r w:rsidRPr="00A37C08">
        <w:rPr>
          <w:rFonts w:ascii="Arial" w:hAnsi="Arial" w:cs="Arial"/>
          <w:sz w:val="20"/>
          <w:szCs w:val="20"/>
        </w:rPr>
        <w:t>Hercog</w:t>
      </w:r>
      <w:proofErr w:type="spellEnd"/>
      <w:r w:rsidRPr="00A37C08">
        <w:rPr>
          <w:rFonts w:ascii="Arial" w:hAnsi="Arial" w:cs="Arial"/>
          <w:sz w:val="20"/>
          <w:szCs w:val="20"/>
        </w:rPr>
        <w:t xml:space="preserve">, R., </w:t>
      </w:r>
      <w:proofErr w:type="spellStart"/>
      <w:r w:rsidRPr="00A37C08">
        <w:rPr>
          <w:rFonts w:ascii="Arial" w:hAnsi="Arial" w:cs="Arial"/>
          <w:sz w:val="20"/>
          <w:szCs w:val="20"/>
        </w:rPr>
        <w:t>Costea</w:t>
      </w:r>
      <w:proofErr w:type="spellEnd"/>
      <w:r w:rsidRPr="00A37C08">
        <w:rPr>
          <w:rFonts w:ascii="Arial" w:hAnsi="Arial" w:cs="Arial"/>
          <w:sz w:val="20"/>
          <w:szCs w:val="20"/>
        </w:rPr>
        <w:t xml:space="preserve">, P. I., </w:t>
      </w:r>
      <w:proofErr w:type="spellStart"/>
      <w:r w:rsidRPr="00A37C08">
        <w:rPr>
          <w:rFonts w:ascii="Arial" w:hAnsi="Arial" w:cs="Arial"/>
          <w:sz w:val="20"/>
          <w:szCs w:val="20"/>
        </w:rPr>
        <w:t>Kultima</w:t>
      </w:r>
      <w:proofErr w:type="spellEnd"/>
      <w:r w:rsidRPr="00A37C08">
        <w:rPr>
          <w:rFonts w:ascii="Arial" w:hAnsi="Arial" w:cs="Arial"/>
          <w:sz w:val="20"/>
          <w:szCs w:val="20"/>
        </w:rPr>
        <w:t xml:space="preserve">, J. R., Li, J., </w:t>
      </w:r>
      <w:proofErr w:type="spellStart"/>
      <w:r w:rsidRPr="00A37C08">
        <w:rPr>
          <w:rFonts w:ascii="Arial" w:hAnsi="Arial" w:cs="Arial"/>
          <w:sz w:val="20"/>
          <w:szCs w:val="20"/>
        </w:rPr>
        <w:t>Jørgensen</w:t>
      </w:r>
      <w:proofErr w:type="spellEnd"/>
      <w:r w:rsidRPr="00A37C08">
        <w:rPr>
          <w:rFonts w:ascii="Arial" w:hAnsi="Arial" w:cs="Arial"/>
          <w:sz w:val="20"/>
          <w:szCs w:val="20"/>
        </w:rPr>
        <w:t xml:space="preserve">, T., … Pedersen, O. (2015). Disentangling type 2 diabetes and metformin treatment signatures in the human gut microbiota. </w:t>
      </w:r>
      <w:r w:rsidRPr="00A37C08">
        <w:rPr>
          <w:rStyle w:val="Emphasis"/>
          <w:rFonts w:ascii="Arial" w:eastAsiaTheme="majorEastAsia" w:hAnsi="Arial" w:cs="Arial"/>
          <w:sz w:val="20"/>
          <w:szCs w:val="20"/>
        </w:rPr>
        <w:t>Nature, 528</w:t>
      </w:r>
      <w:r w:rsidRPr="00A37C08">
        <w:rPr>
          <w:rFonts w:ascii="Arial" w:hAnsi="Arial" w:cs="Arial"/>
          <w:sz w:val="20"/>
          <w:szCs w:val="20"/>
        </w:rPr>
        <w:t xml:space="preserve">(7581), 262–266. </w:t>
      </w:r>
      <w:hyperlink r:id="rId12" w:tgtFrame="_new" w:history="1">
        <w:r w:rsidRPr="00A37C08">
          <w:rPr>
            <w:rStyle w:val="Hyperlink"/>
            <w:rFonts w:ascii="Arial" w:eastAsiaTheme="majorEastAsia" w:hAnsi="Arial" w:cs="Arial"/>
            <w:sz w:val="20"/>
            <w:szCs w:val="20"/>
          </w:rPr>
          <w:t>https://doi.org/10.1038/nature15766</w:t>
        </w:r>
      </w:hyperlink>
      <w:r w:rsidRPr="00A37C08">
        <w:rPr>
          <w:rFonts w:ascii="Arial" w:hAnsi="Arial" w:cs="Arial"/>
          <w:sz w:val="20"/>
          <w:szCs w:val="20"/>
        </w:rPr>
        <w:t xml:space="preserve"> </w:t>
      </w:r>
    </w:p>
    <w:p w14:paraId="73399775" w14:textId="77777777" w:rsidR="00B65CFE" w:rsidRPr="00A37C08" w:rsidRDefault="00B65CFE" w:rsidP="000C059C">
      <w:pPr>
        <w:pStyle w:val="NormalWeb"/>
        <w:numPr>
          <w:ilvl w:val="0"/>
          <w:numId w:val="2"/>
        </w:numPr>
        <w:spacing w:before="0" w:beforeAutospacing="0" w:after="0" w:afterAutospacing="0" w:line="360" w:lineRule="auto"/>
        <w:jc w:val="both"/>
        <w:rPr>
          <w:rFonts w:ascii="Arial" w:hAnsi="Arial" w:cs="Arial"/>
          <w:sz w:val="20"/>
          <w:szCs w:val="20"/>
        </w:rPr>
      </w:pPr>
      <w:proofErr w:type="spellStart"/>
      <w:r w:rsidRPr="00A37C08">
        <w:rPr>
          <w:rFonts w:ascii="Arial" w:hAnsi="Arial" w:cs="Arial"/>
          <w:sz w:val="20"/>
          <w:szCs w:val="20"/>
        </w:rPr>
        <w:t>Gruszka</w:t>
      </w:r>
      <w:proofErr w:type="spellEnd"/>
      <w:r w:rsidRPr="00A37C08">
        <w:rPr>
          <w:rFonts w:ascii="Arial" w:hAnsi="Arial" w:cs="Arial"/>
          <w:sz w:val="20"/>
          <w:szCs w:val="20"/>
        </w:rPr>
        <w:t>, A. (2015). New insight into the mechanisms of the anti-</w:t>
      </w:r>
      <w:proofErr w:type="spellStart"/>
      <w:r w:rsidRPr="00A37C08">
        <w:rPr>
          <w:rFonts w:ascii="Arial" w:hAnsi="Arial" w:cs="Arial"/>
          <w:sz w:val="20"/>
          <w:szCs w:val="20"/>
        </w:rPr>
        <w:t>hyperglycemic</w:t>
      </w:r>
      <w:proofErr w:type="spellEnd"/>
      <w:r w:rsidRPr="00A37C08">
        <w:rPr>
          <w:rFonts w:ascii="Arial" w:hAnsi="Arial" w:cs="Arial"/>
          <w:sz w:val="20"/>
          <w:szCs w:val="20"/>
        </w:rPr>
        <w:t xml:space="preserve"> action of metformin. </w:t>
      </w:r>
      <w:r w:rsidRPr="00A37C08">
        <w:rPr>
          <w:rStyle w:val="Emphasis"/>
          <w:rFonts w:ascii="Arial" w:eastAsiaTheme="majorEastAsia" w:hAnsi="Arial" w:cs="Arial"/>
          <w:sz w:val="20"/>
          <w:szCs w:val="20"/>
        </w:rPr>
        <w:t>Journal of Advances in Medicine and Medical Research, 13</w:t>
      </w:r>
      <w:r w:rsidRPr="00A37C08">
        <w:rPr>
          <w:rFonts w:ascii="Arial" w:hAnsi="Arial" w:cs="Arial"/>
          <w:sz w:val="20"/>
          <w:szCs w:val="20"/>
        </w:rPr>
        <w:t xml:space="preserve">(1), 1–9. </w:t>
      </w:r>
      <w:hyperlink r:id="rId13" w:tgtFrame="_new" w:history="1">
        <w:r w:rsidRPr="00A37C08">
          <w:rPr>
            <w:rStyle w:val="Hyperlink"/>
            <w:rFonts w:ascii="Arial" w:eastAsiaTheme="majorEastAsia" w:hAnsi="Arial" w:cs="Arial"/>
            <w:sz w:val="20"/>
            <w:szCs w:val="20"/>
          </w:rPr>
          <w:t>https://doi.org/10.9734/BJMMR/2016/23354</w:t>
        </w:r>
      </w:hyperlink>
      <w:r w:rsidRPr="00A37C08">
        <w:rPr>
          <w:rFonts w:ascii="Arial" w:hAnsi="Arial" w:cs="Arial"/>
          <w:sz w:val="20"/>
          <w:szCs w:val="20"/>
        </w:rPr>
        <w:t xml:space="preserve"> </w:t>
      </w:r>
    </w:p>
    <w:p w14:paraId="03745986" w14:textId="77777777" w:rsidR="00B65CFE" w:rsidRPr="00A37C08" w:rsidRDefault="00B65CFE" w:rsidP="000C059C">
      <w:pPr>
        <w:pStyle w:val="NormalWeb"/>
        <w:numPr>
          <w:ilvl w:val="0"/>
          <w:numId w:val="2"/>
        </w:numPr>
        <w:spacing w:before="0" w:beforeAutospacing="0" w:after="0" w:afterAutospacing="0" w:line="360" w:lineRule="auto"/>
        <w:jc w:val="both"/>
        <w:rPr>
          <w:rStyle w:val="relative"/>
          <w:rFonts w:ascii="Arial" w:eastAsiaTheme="majorEastAsia" w:hAnsi="Arial" w:cs="Arial"/>
          <w:sz w:val="20"/>
          <w:szCs w:val="20"/>
        </w:rPr>
      </w:pPr>
      <w:r w:rsidRPr="00A37C08">
        <w:rPr>
          <w:rFonts w:ascii="Arial" w:hAnsi="Arial" w:cs="Arial"/>
          <w:sz w:val="20"/>
          <w:szCs w:val="20"/>
        </w:rPr>
        <w:t xml:space="preserve">Karlsson, F. H., </w:t>
      </w:r>
      <w:proofErr w:type="spellStart"/>
      <w:r w:rsidRPr="00A37C08">
        <w:rPr>
          <w:rFonts w:ascii="Arial" w:hAnsi="Arial" w:cs="Arial"/>
          <w:sz w:val="20"/>
          <w:szCs w:val="20"/>
        </w:rPr>
        <w:t>Tremaroli</w:t>
      </w:r>
      <w:proofErr w:type="spellEnd"/>
      <w:r w:rsidRPr="00A37C08">
        <w:rPr>
          <w:rFonts w:ascii="Arial" w:hAnsi="Arial" w:cs="Arial"/>
          <w:sz w:val="20"/>
          <w:szCs w:val="20"/>
        </w:rPr>
        <w:t xml:space="preserve">, V., </w:t>
      </w:r>
      <w:proofErr w:type="spellStart"/>
      <w:r w:rsidRPr="00A37C08">
        <w:rPr>
          <w:rFonts w:ascii="Arial" w:hAnsi="Arial" w:cs="Arial"/>
          <w:sz w:val="20"/>
          <w:szCs w:val="20"/>
        </w:rPr>
        <w:t>Nookaew</w:t>
      </w:r>
      <w:proofErr w:type="spellEnd"/>
      <w:r w:rsidRPr="00A37C08">
        <w:rPr>
          <w:rFonts w:ascii="Arial" w:hAnsi="Arial" w:cs="Arial"/>
          <w:sz w:val="20"/>
          <w:szCs w:val="20"/>
        </w:rPr>
        <w:t xml:space="preserve">, I., </w:t>
      </w:r>
      <w:proofErr w:type="spellStart"/>
      <w:r w:rsidRPr="00A37C08">
        <w:rPr>
          <w:rFonts w:ascii="Arial" w:hAnsi="Arial" w:cs="Arial"/>
          <w:sz w:val="20"/>
          <w:szCs w:val="20"/>
        </w:rPr>
        <w:t>Bergström</w:t>
      </w:r>
      <w:proofErr w:type="spellEnd"/>
      <w:r w:rsidRPr="00A37C08">
        <w:rPr>
          <w:rFonts w:ascii="Arial" w:hAnsi="Arial" w:cs="Arial"/>
          <w:sz w:val="20"/>
          <w:szCs w:val="20"/>
        </w:rPr>
        <w:t xml:space="preserve">, G., </w:t>
      </w:r>
      <w:proofErr w:type="spellStart"/>
      <w:r w:rsidRPr="00A37C08">
        <w:rPr>
          <w:rFonts w:ascii="Arial" w:hAnsi="Arial" w:cs="Arial"/>
          <w:sz w:val="20"/>
          <w:szCs w:val="20"/>
        </w:rPr>
        <w:t>Behre</w:t>
      </w:r>
      <w:proofErr w:type="spellEnd"/>
      <w:r w:rsidRPr="00A37C08">
        <w:rPr>
          <w:rFonts w:ascii="Arial" w:hAnsi="Arial" w:cs="Arial"/>
          <w:sz w:val="20"/>
          <w:szCs w:val="20"/>
        </w:rPr>
        <w:t xml:space="preserve">, C. J., Fagerberg, B., Nielsen, J., &amp; </w:t>
      </w:r>
      <w:proofErr w:type="spellStart"/>
      <w:r w:rsidRPr="00A37C08">
        <w:rPr>
          <w:rFonts w:ascii="Arial" w:hAnsi="Arial" w:cs="Arial"/>
          <w:sz w:val="20"/>
          <w:szCs w:val="20"/>
        </w:rPr>
        <w:t>Bäckhed</w:t>
      </w:r>
      <w:proofErr w:type="spellEnd"/>
      <w:r w:rsidRPr="00A37C08">
        <w:rPr>
          <w:rFonts w:ascii="Arial" w:hAnsi="Arial" w:cs="Arial"/>
          <w:sz w:val="20"/>
          <w:szCs w:val="20"/>
        </w:rPr>
        <w:t xml:space="preserve">, F. (2013). Gut metagenome in European women with normal, impaired and diabetic glucose control. </w:t>
      </w:r>
      <w:r w:rsidRPr="00A37C08">
        <w:rPr>
          <w:rStyle w:val="Emphasis"/>
          <w:rFonts w:ascii="Arial" w:eastAsiaTheme="majorEastAsia" w:hAnsi="Arial" w:cs="Arial"/>
          <w:sz w:val="20"/>
          <w:szCs w:val="20"/>
        </w:rPr>
        <w:t>Nature, 498</w:t>
      </w:r>
      <w:r w:rsidRPr="00A37C08">
        <w:rPr>
          <w:rFonts w:ascii="Arial" w:hAnsi="Arial" w:cs="Arial"/>
          <w:sz w:val="20"/>
          <w:szCs w:val="20"/>
        </w:rPr>
        <w:t xml:space="preserve">(7452), 99–103. </w:t>
      </w:r>
      <w:hyperlink r:id="rId14" w:tgtFrame="_new" w:history="1">
        <w:r w:rsidRPr="00A37C08">
          <w:rPr>
            <w:rStyle w:val="Hyperlink"/>
            <w:rFonts w:ascii="Arial" w:eastAsiaTheme="majorEastAsia" w:hAnsi="Arial" w:cs="Arial"/>
            <w:sz w:val="20"/>
            <w:szCs w:val="20"/>
          </w:rPr>
          <w:t>https://doi.org/10.1038/nature12198</w:t>
        </w:r>
      </w:hyperlink>
      <w:r w:rsidRPr="00A37C08">
        <w:rPr>
          <w:rFonts w:ascii="Arial" w:hAnsi="Arial" w:cs="Arial"/>
          <w:sz w:val="20"/>
          <w:szCs w:val="20"/>
        </w:rPr>
        <w:t xml:space="preserve"> </w:t>
      </w:r>
    </w:p>
    <w:p w14:paraId="219B1105" w14:textId="77777777" w:rsidR="00B65CFE" w:rsidRPr="00A37C08" w:rsidRDefault="00B65CFE" w:rsidP="000C059C">
      <w:pPr>
        <w:pStyle w:val="NormalWeb"/>
        <w:numPr>
          <w:ilvl w:val="0"/>
          <w:numId w:val="2"/>
        </w:numPr>
        <w:spacing w:before="0" w:beforeAutospacing="0" w:after="0" w:afterAutospacing="0" w:line="360" w:lineRule="auto"/>
        <w:jc w:val="both"/>
        <w:rPr>
          <w:rFonts w:ascii="Arial" w:hAnsi="Arial" w:cs="Arial"/>
          <w:sz w:val="20"/>
          <w:szCs w:val="20"/>
        </w:rPr>
      </w:pPr>
      <w:proofErr w:type="spellStart"/>
      <w:r w:rsidRPr="00A37C08">
        <w:rPr>
          <w:rFonts w:ascii="Arial" w:hAnsi="Arial" w:cs="Arial"/>
          <w:sz w:val="20"/>
          <w:szCs w:val="20"/>
        </w:rPr>
        <w:t>Karcher</w:t>
      </w:r>
      <w:proofErr w:type="spellEnd"/>
      <w:r w:rsidRPr="00A37C08">
        <w:rPr>
          <w:rFonts w:ascii="Arial" w:hAnsi="Arial" w:cs="Arial"/>
          <w:sz w:val="20"/>
          <w:szCs w:val="20"/>
        </w:rPr>
        <w:t xml:space="preserve">, N., Nigro, E., </w:t>
      </w:r>
      <w:proofErr w:type="spellStart"/>
      <w:r w:rsidRPr="00A37C08">
        <w:rPr>
          <w:rFonts w:ascii="Arial" w:hAnsi="Arial" w:cs="Arial"/>
          <w:sz w:val="20"/>
          <w:szCs w:val="20"/>
        </w:rPr>
        <w:t>Punčochář</w:t>
      </w:r>
      <w:proofErr w:type="spellEnd"/>
      <w:r w:rsidRPr="00A37C08">
        <w:rPr>
          <w:rFonts w:ascii="Arial" w:hAnsi="Arial" w:cs="Arial"/>
          <w:sz w:val="20"/>
          <w:szCs w:val="20"/>
        </w:rPr>
        <w:t>, M., Blanco-</w:t>
      </w:r>
      <w:proofErr w:type="spellStart"/>
      <w:r w:rsidRPr="00A37C08">
        <w:rPr>
          <w:rFonts w:ascii="Arial" w:hAnsi="Arial" w:cs="Arial"/>
          <w:sz w:val="20"/>
          <w:szCs w:val="20"/>
        </w:rPr>
        <w:t>Míguez</w:t>
      </w:r>
      <w:proofErr w:type="spellEnd"/>
      <w:r w:rsidRPr="00A37C08">
        <w:rPr>
          <w:rFonts w:ascii="Arial" w:hAnsi="Arial" w:cs="Arial"/>
          <w:sz w:val="20"/>
          <w:szCs w:val="20"/>
        </w:rPr>
        <w:t xml:space="preserve">, A., </w:t>
      </w:r>
      <w:proofErr w:type="spellStart"/>
      <w:r w:rsidRPr="00A37C08">
        <w:rPr>
          <w:rFonts w:ascii="Arial" w:hAnsi="Arial" w:cs="Arial"/>
          <w:sz w:val="20"/>
          <w:szCs w:val="20"/>
        </w:rPr>
        <w:t>Ciciani</w:t>
      </w:r>
      <w:proofErr w:type="spellEnd"/>
      <w:r w:rsidRPr="00A37C08">
        <w:rPr>
          <w:rFonts w:ascii="Arial" w:hAnsi="Arial" w:cs="Arial"/>
          <w:sz w:val="20"/>
          <w:szCs w:val="20"/>
        </w:rPr>
        <w:t xml:space="preserve">, M., </w:t>
      </w:r>
      <w:proofErr w:type="spellStart"/>
      <w:r w:rsidRPr="00A37C08">
        <w:rPr>
          <w:rFonts w:ascii="Arial" w:hAnsi="Arial" w:cs="Arial"/>
          <w:sz w:val="20"/>
          <w:szCs w:val="20"/>
        </w:rPr>
        <w:t>Manghi</w:t>
      </w:r>
      <w:proofErr w:type="spellEnd"/>
      <w:r w:rsidRPr="00A37C08">
        <w:rPr>
          <w:rFonts w:ascii="Arial" w:hAnsi="Arial" w:cs="Arial"/>
          <w:sz w:val="20"/>
          <w:szCs w:val="20"/>
        </w:rPr>
        <w:t xml:space="preserve">, P., Zolfo, M., </w:t>
      </w:r>
      <w:proofErr w:type="spellStart"/>
      <w:r w:rsidRPr="00A37C08">
        <w:rPr>
          <w:rFonts w:ascii="Arial" w:hAnsi="Arial" w:cs="Arial"/>
          <w:sz w:val="20"/>
          <w:szCs w:val="20"/>
        </w:rPr>
        <w:t>Cumbo</w:t>
      </w:r>
      <w:proofErr w:type="spellEnd"/>
      <w:r w:rsidRPr="00A37C08">
        <w:rPr>
          <w:rFonts w:ascii="Arial" w:hAnsi="Arial" w:cs="Arial"/>
          <w:sz w:val="20"/>
          <w:szCs w:val="20"/>
        </w:rPr>
        <w:t xml:space="preserve">, F., </w:t>
      </w:r>
      <w:proofErr w:type="spellStart"/>
      <w:r w:rsidRPr="00A37C08">
        <w:rPr>
          <w:rFonts w:ascii="Arial" w:hAnsi="Arial" w:cs="Arial"/>
          <w:sz w:val="20"/>
          <w:szCs w:val="20"/>
        </w:rPr>
        <w:t>Manara</w:t>
      </w:r>
      <w:proofErr w:type="spellEnd"/>
      <w:r w:rsidRPr="00A37C08">
        <w:rPr>
          <w:rFonts w:ascii="Arial" w:hAnsi="Arial" w:cs="Arial"/>
          <w:sz w:val="20"/>
          <w:szCs w:val="20"/>
        </w:rPr>
        <w:t xml:space="preserve">, S., </w:t>
      </w:r>
      <w:proofErr w:type="spellStart"/>
      <w:r w:rsidRPr="00A37C08">
        <w:rPr>
          <w:rFonts w:ascii="Arial" w:hAnsi="Arial" w:cs="Arial"/>
          <w:sz w:val="20"/>
          <w:szCs w:val="20"/>
        </w:rPr>
        <w:t>Golzato</w:t>
      </w:r>
      <w:proofErr w:type="spellEnd"/>
      <w:r w:rsidRPr="00A37C08">
        <w:rPr>
          <w:rFonts w:ascii="Arial" w:hAnsi="Arial" w:cs="Arial"/>
          <w:sz w:val="20"/>
          <w:szCs w:val="20"/>
        </w:rPr>
        <w:t xml:space="preserve">, D., </w:t>
      </w:r>
      <w:proofErr w:type="spellStart"/>
      <w:r w:rsidRPr="00A37C08">
        <w:rPr>
          <w:rFonts w:ascii="Arial" w:hAnsi="Arial" w:cs="Arial"/>
          <w:sz w:val="20"/>
          <w:szCs w:val="20"/>
        </w:rPr>
        <w:t>Cereseto</w:t>
      </w:r>
      <w:proofErr w:type="spellEnd"/>
      <w:r w:rsidRPr="00A37C08">
        <w:rPr>
          <w:rFonts w:ascii="Arial" w:hAnsi="Arial" w:cs="Arial"/>
          <w:sz w:val="20"/>
          <w:szCs w:val="20"/>
        </w:rPr>
        <w:t xml:space="preserve">, A., Arumugam, M., Bui, T. P. N., </w:t>
      </w:r>
      <w:proofErr w:type="spellStart"/>
      <w:r w:rsidRPr="00A37C08">
        <w:rPr>
          <w:rFonts w:ascii="Arial" w:hAnsi="Arial" w:cs="Arial"/>
          <w:sz w:val="20"/>
          <w:szCs w:val="20"/>
        </w:rPr>
        <w:t>Tytgat</w:t>
      </w:r>
      <w:proofErr w:type="spellEnd"/>
      <w:r w:rsidRPr="00A37C08">
        <w:rPr>
          <w:rFonts w:ascii="Arial" w:hAnsi="Arial" w:cs="Arial"/>
          <w:sz w:val="20"/>
          <w:szCs w:val="20"/>
        </w:rPr>
        <w:t>, H. L. P., Valles-</w:t>
      </w:r>
      <w:proofErr w:type="spellStart"/>
      <w:r w:rsidRPr="00A37C08">
        <w:rPr>
          <w:rFonts w:ascii="Arial" w:hAnsi="Arial" w:cs="Arial"/>
          <w:sz w:val="20"/>
          <w:szCs w:val="20"/>
        </w:rPr>
        <w:t>Colomer</w:t>
      </w:r>
      <w:proofErr w:type="spellEnd"/>
      <w:r w:rsidRPr="00A37C08">
        <w:rPr>
          <w:rFonts w:ascii="Arial" w:hAnsi="Arial" w:cs="Arial"/>
          <w:sz w:val="20"/>
          <w:szCs w:val="20"/>
        </w:rPr>
        <w:t xml:space="preserve">, M., de Vos, W. M., &amp; </w:t>
      </w:r>
      <w:proofErr w:type="spellStart"/>
      <w:r w:rsidRPr="00A37C08">
        <w:rPr>
          <w:rFonts w:ascii="Arial" w:hAnsi="Arial" w:cs="Arial"/>
          <w:sz w:val="20"/>
          <w:szCs w:val="20"/>
        </w:rPr>
        <w:t>Segata</w:t>
      </w:r>
      <w:proofErr w:type="spellEnd"/>
      <w:r w:rsidRPr="00A37C08">
        <w:rPr>
          <w:rFonts w:ascii="Arial" w:hAnsi="Arial" w:cs="Arial"/>
          <w:sz w:val="20"/>
          <w:szCs w:val="20"/>
        </w:rPr>
        <w:t xml:space="preserve">, N. (2021). Genomic diversity and ecology of human-associated </w:t>
      </w:r>
      <w:proofErr w:type="spellStart"/>
      <w:r w:rsidRPr="00A37C08">
        <w:rPr>
          <w:rStyle w:val="Emphasis"/>
          <w:rFonts w:ascii="Arial" w:eastAsiaTheme="majorEastAsia" w:hAnsi="Arial" w:cs="Arial"/>
          <w:sz w:val="20"/>
          <w:szCs w:val="20"/>
        </w:rPr>
        <w:t>Akkermansia</w:t>
      </w:r>
      <w:proofErr w:type="spellEnd"/>
      <w:r w:rsidRPr="00A37C08">
        <w:rPr>
          <w:rFonts w:ascii="Arial" w:hAnsi="Arial" w:cs="Arial"/>
          <w:sz w:val="20"/>
          <w:szCs w:val="20"/>
        </w:rPr>
        <w:t xml:space="preserve"> species. </w:t>
      </w:r>
      <w:r w:rsidRPr="00A37C08">
        <w:rPr>
          <w:rStyle w:val="Emphasis"/>
          <w:rFonts w:ascii="Arial" w:eastAsiaTheme="majorEastAsia" w:hAnsi="Arial" w:cs="Arial"/>
          <w:sz w:val="20"/>
          <w:szCs w:val="20"/>
        </w:rPr>
        <w:t>Genome Biology, 22</w:t>
      </w:r>
      <w:r w:rsidRPr="00A37C08">
        <w:rPr>
          <w:rFonts w:ascii="Arial" w:hAnsi="Arial" w:cs="Arial"/>
          <w:sz w:val="20"/>
          <w:szCs w:val="20"/>
        </w:rPr>
        <w:t xml:space="preserve">, Article 209. </w:t>
      </w:r>
      <w:hyperlink r:id="rId15" w:tgtFrame="_new" w:history="1">
        <w:r w:rsidRPr="00A37C08">
          <w:rPr>
            <w:rStyle w:val="Hyperlink"/>
            <w:rFonts w:ascii="Arial" w:eastAsiaTheme="majorEastAsia" w:hAnsi="Arial" w:cs="Arial"/>
            <w:sz w:val="20"/>
            <w:szCs w:val="20"/>
          </w:rPr>
          <w:t>https://doi.org/10.1186/s13059-021-02427-7</w:t>
        </w:r>
      </w:hyperlink>
      <w:r w:rsidRPr="00A37C08">
        <w:rPr>
          <w:rFonts w:ascii="Arial" w:hAnsi="Arial" w:cs="Arial"/>
          <w:sz w:val="20"/>
          <w:szCs w:val="20"/>
        </w:rPr>
        <w:t xml:space="preserve"> </w:t>
      </w:r>
    </w:p>
    <w:p w14:paraId="54E8AE27" w14:textId="77777777" w:rsidR="00B65CFE" w:rsidRPr="00A37C08" w:rsidRDefault="00B65CFE" w:rsidP="000C059C">
      <w:pPr>
        <w:pStyle w:val="NormalWeb"/>
        <w:numPr>
          <w:ilvl w:val="0"/>
          <w:numId w:val="2"/>
        </w:numPr>
        <w:spacing w:before="0" w:beforeAutospacing="0" w:after="0" w:afterAutospacing="0" w:line="360" w:lineRule="auto"/>
        <w:jc w:val="both"/>
        <w:rPr>
          <w:rFonts w:ascii="Arial" w:hAnsi="Arial" w:cs="Arial"/>
          <w:sz w:val="20"/>
          <w:szCs w:val="20"/>
        </w:rPr>
      </w:pPr>
      <w:r w:rsidRPr="00A37C08">
        <w:rPr>
          <w:rFonts w:ascii="Arial" w:hAnsi="Arial" w:cs="Arial"/>
          <w:sz w:val="20"/>
          <w:szCs w:val="20"/>
        </w:rPr>
        <w:t xml:space="preserve">Mei, Z., Wang, F., Bhosle, A., Dong, D., Mehta, R., Ghazi, A., Zhang, Y., Liu, Y., </w:t>
      </w:r>
      <w:proofErr w:type="spellStart"/>
      <w:r w:rsidRPr="00A37C08">
        <w:rPr>
          <w:rFonts w:ascii="Arial" w:hAnsi="Arial" w:cs="Arial"/>
          <w:sz w:val="20"/>
          <w:szCs w:val="20"/>
        </w:rPr>
        <w:t>Rinott</w:t>
      </w:r>
      <w:proofErr w:type="spellEnd"/>
      <w:r w:rsidRPr="00A37C08">
        <w:rPr>
          <w:rFonts w:ascii="Arial" w:hAnsi="Arial" w:cs="Arial"/>
          <w:sz w:val="20"/>
          <w:szCs w:val="20"/>
        </w:rPr>
        <w:t xml:space="preserve">, E., Ma, S., </w:t>
      </w:r>
      <w:proofErr w:type="spellStart"/>
      <w:r w:rsidRPr="00A37C08">
        <w:rPr>
          <w:rFonts w:ascii="Arial" w:hAnsi="Arial" w:cs="Arial"/>
          <w:sz w:val="20"/>
          <w:szCs w:val="20"/>
        </w:rPr>
        <w:t>Rimm</w:t>
      </w:r>
      <w:proofErr w:type="spellEnd"/>
      <w:r w:rsidRPr="00A37C08">
        <w:rPr>
          <w:rFonts w:ascii="Arial" w:hAnsi="Arial" w:cs="Arial"/>
          <w:sz w:val="20"/>
          <w:szCs w:val="20"/>
        </w:rPr>
        <w:t xml:space="preserve">, E. B., </w:t>
      </w:r>
      <w:proofErr w:type="spellStart"/>
      <w:r w:rsidRPr="00A37C08">
        <w:rPr>
          <w:rFonts w:ascii="Arial" w:hAnsi="Arial" w:cs="Arial"/>
          <w:sz w:val="20"/>
          <w:szCs w:val="20"/>
        </w:rPr>
        <w:t>Daviglus</w:t>
      </w:r>
      <w:proofErr w:type="spellEnd"/>
      <w:r w:rsidRPr="00A37C08">
        <w:rPr>
          <w:rFonts w:ascii="Arial" w:hAnsi="Arial" w:cs="Arial"/>
          <w:sz w:val="20"/>
          <w:szCs w:val="20"/>
        </w:rPr>
        <w:t xml:space="preserve">, M., Willett, W. C., Knight, R., Hu, F. B., Qi, Q., Chan, A. T., Burk, R. D., </w:t>
      </w:r>
      <w:proofErr w:type="spellStart"/>
      <w:r w:rsidRPr="00A37C08">
        <w:rPr>
          <w:rFonts w:ascii="Arial" w:hAnsi="Arial" w:cs="Arial"/>
          <w:sz w:val="20"/>
          <w:szCs w:val="20"/>
        </w:rPr>
        <w:t>Stampfer</w:t>
      </w:r>
      <w:proofErr w:type="spellEnd"/>
      <w:r w:rsidRPr="00A37C08">
        <w:rPr>
          <w:rFonts w:ascii="Arial" w:hAnsi="Arial" w:cs="Arial"/>
          <w:sz w:val="20"/>
          <w:szCs w:val="20"/>
        </w:rPr>
        <w:t xml:space="preserve">, M. J., … Wang, D. D. (2024). Strain-specific gut microbial signatures in type 2 diabetes identified in a cross-cohort analysis of 8,117 metagenomes. </w:t>
      </w:r>
      <w:r w:rsidRPr="00A37C08">
        <w:rPr>
          <w:rStyle w:val="Emphasis"/>
          <w:rFonts w:ascii="Arial" w:eastAsiaTheme="majorEastAsia" w:hAnsi="Arial" w:cs="Arial"/>
          <w:sz w:val="20"/>
          <w:szCs w:val="20"/>
        </w:rPr>
        <w:t>Nature Medicine, 30</w:t>
      </w:r>
      <w:r w:rsidRPr="00A37C08">
        <w:rPr>
          <w:rFonts w:ascii="Arial" w:hAnsi="Arial" w:cs="Arial"/>
          <w:sz w:val="20"/>
          <w:szCs w:val="20"/>
        </w:rPr>
        <w:t xml:space="preserve">(8), 2265–2276. </w:t>
      </w:r>
      <w:hyperlink r:id="rId16" w:tgtFrame="_new" w:history="1">
        <w:r w:rsidRPr="00A37C08">
          <w:rPr>
            <w:rStyle w:val="Hyperlink"/>
            <w:rFonts w:ascii="Arial" w:eastAsiaTheme="majorEastAsia" w:hAnsi="Arial" w:cs="Arial"/>
            <w:sz w:val="20"/>
            <w:szCs w:val="20"/>
          </w:rPr>
          <w:t>https://doi.org/10.1038/s41591-024-03067-7</w:t>
        </w:r>
      </w:hyperlink>
      <w:r w:rsidRPr="00A37C08">
        <w:rPr>
          <w:rFonts w:ascii="Arial" w:hAnsi="Arial" w:cs="Arial"/>
          <w:sz w:val="20"/>
          <w:szCs w:val="20"/>
        </w:rPr>
        <w:t xml:space="preserve"> </w:t>
      </w:r>
    </w:p>
    <w:p w14:paraId="7D6DF6FD" w14:textId="77777777" w:rsidR="00B65CFE" w:rsidRPr="00A37C08" w:rsidRDefault="00B65CFE" w:rsidP="000C059C">
      <w:pPr>
        <w:pStyle w:val="NormalWeb"/>
        <w:numPr>
          <w:ilvl w:val="0"/>
          <w:numId w:val="2"/>
        </w:numPr>
        <w:spacing w:before="0" w:beforeAutospacing="0" w:after="0" w:afterAutospacing="0" w:line="360" w:lineRule="auto"/>
        <w:jc w:val="both"/>
        <w:rPr>
          <w:rFonts w:ascii="Arial" w:hAnsi="Arial" w:cs="Arial"/>
          <w:sz w:val="20"/>
          <w:szCs w:val="20"/>
        </w:rPr>
      </w:pPr>
      <w:proofErr w:type="spellStart"/>
      <w:r w:rsidRPr="00A37C08">
        <w:rPr>
          <w:rFonts w:ascii="Arial" w:hAnsi="Arial" w:cs="Arial"/>
          <w:sz w:val="20"/>
          <w:szCs w:val="20"/>
        </w:rPr>
        <w:t>Plovier</w:t>
      </w:r>
      <w:proofErr w:type="spellEnd"/>
      <w:r w:rsidRPr="00A37C08">
        <w:rPr>
          <w:rFonts w:ascii="Arial" w:hAnsi="Arial" w:cs="Arial"/>
          <w:sz w:val="20"/>
          <w:szCs w:val="20"/>
        </w:rPr>
        <w:t xml:space="preserve">, H., Everard, A., </w:t>
      </w:r>
      <w:proofErr w:type="spellStart"/>
      <w:r w:rsidRPr="00A37C08">
        <w:rPr>
          <w:rFonts w:ascii="Arial" w:hAnsi="Arial" w:cs="Arial"/>
          <w:sz w:val="20"/>
          <w:szCs w:val="20"/>
        </w:rPr>
        <w:t>Druart</w:t>
      </w:r>
      <w:proofErr w:type="spellEnd"/>
      <w:r w:rsidRPr="00A37C08">
        <w:rPr>
          <w:rFonts w:ascii="Arial" w:hAnsi="Arial" w:cs="Arial"/>
          <w:sz w:val="20"/>
          <w:szCs w:val="20"/>
        </w:rPr>
        <w:t xml:space="preserve">, C., </w:t>
      </w:r>
      <w:proofErr w:type="spellStart"/>
      <w:r w:rsidRPr="00A37C08">
        <w:rPr>
          <w:rFonts w:ascii="Arial" w:hAnsi="Arial" w:cs="Arial"/>
          <w:sz w:val="20"/>
          <w:szCs w:val="20"/>
        </w:rPr>
        <w:t>Depommier</w:t>
      </w:r>
      <w:proofErr w:type="spellEnd"/>
      <w:r w:rsidRPr="00A37C08">
        <w:rPr>
          <w:rFonts w:ascii="Arial" w:hAnsi="Arial" w:cs="Arial"/>
          <w:sz w:val="20"/>
          <w:szCs w:val="20"/>
        </w:rPr>
        <w:t xml:space="preserve">, C., Van </w:t>
      </w:r>
      <w:proofErr w:type="spellStart"/>
      <w:r w:rsidRPr="00A37C08">
        <w:rPr>
          <w:rFonts w:ascii="Arial" w:hAnsi="Arial" w:cs="Arial"/>
          <w:sz w:val="20"/>
          <w:szCs w:val="20"/>
        </w:rPr>
        <w:t>Hul</w:t>
      </w:r>
      <w:proofErr w:type="spellEnd"/>
      <w:r w:rsidRPr="00A37C08">
        <w:rPr>
          <w:rFonts w:ascii="Arial" w:hAnsi="Arial" w:cs="Arial"/>
          <w:sz w:val="20"/>
          <w:szCs w:val="20"/>
        </w:rPr>
        <w:t xml:space="preserve">, M., </w:t>
      </w:r>
      <w:proofErr w:type="spellStart"/>
      <w:r w:rsidRPr="00A37C08">
        <w:rPr>
          <w:rFonts w:ascii="Arial" w:hAnsi="Arial" w:cs="Arial"/>
          <w:sz w:val="20"/>
          <w:szCs w:val="20"/>
        </w:rPr>
        <w:t>Geurts</w:t>
      </w:r>
      <w:proofErr w:type="spellEnd"/>
      <w:r w:rsidRPr="00A37C08">
        <w:rPr>
          <w:rFonts w:ascii="Arial" w:hAnsi="Arial" w:cs="Arial"/>
          <w:sz w:val="20"/>
          <w:szCs w:val="20"/>
        </w:rPr>
        <w:t xml:space="preserve">, L., </w:t>
      </w:r>
      <w:proofErr w:type="spellStart"/>
      <w:r w:rsidRPr="00A37C08">
        <w:rPr>
          <w:rFonts w:ascii="Arial" w:hAnsi="Arial" w:cs="Arial"/>
          <w:sz w:val="20"/>
          <w:szCs w:val="20"/>
        </w:rPr>
        <w:t>Chilloux</w:t>
      </w:r>
      <w:proofErr w:type="spellEnd"/>
      <w:r w:rsidRPr="00A37C08">
        <w:rPr>
          <w:rFonts w:ascii="Arial" w:hAnsi="Arial" w:cs="Arial"/>
          <w:sz w:val="20"/>
          <w:szCs w:val="20"/>
        </w:rPr>
        <w:t xml:space="preserve">, J., </w:t>
      </w:r>
      <w:proofErr w:type="spellStart"/>
      <w:r w:rsidRPr="00A37C08">
        <w:rPr>
          <w:rFonts w:ascii="Arial" w:hAnsi="Arial" w:cs="Arial"/>
          <w:sz w:val="20"/>
          <w:szCs w:val="20"/>
        </w:rPr>
        <w:t>Ottman</w:t>
      </w:r>
      <w:proofErr w:type="spellEnd"/>
      <w:r w:rsidRPr="00A37C08">
        <w:rPr>
          <w:rFonts w:ascii="Arial" w:hAnsi="Arial" w:cs="Arial"/>
          <w:sz w:val="20"/>
          <w:szCs w:val="20"/>
        </w:rPr>
        <w:t xml:space="preserve">, N., </w:t>
      </w:r>
      <w:proofErr w:type="spellStart"/>
      <w:r w:rsidRPr="00A37C08">
        <w:rPr>
          <w:rFonts w:ascii="Arial" w:hAnsi="Arial" w:cs="Arial"/>
          <w:sz w:val="20"/>
          <w:szCs w:val="20"/>
        </w:rPr>
        <w:t>Duparc</w:t>
      </w:r>
      <w:proofErr w:type="spellEnd"/>
      <w:r w:rsidRPr="00A37C08">
        <w:rPr>
          <w:rFonts w:ascii="Arial" w:hAnsi="Arial" w:cs="Arial"/>
          <w:sz w:val="20"/>
          <w:szCs w:val="20"/>
        </w:rPr>
        <w:t xml:space="preserve">, T., Lichtenstein, L., </w:t>
      </w:r>
      <w:proofErr w:type="spellStart"/>
      <w:r w:rsidRPr="00A37C08">
        <w:rPr>
          <w:rFonts w:ascii="Arial" w:hAnsi="Arial" w:cs="Arial"/>
          <w:sz w:val="20"/>
          <w:szCs w:val="20"/>
        </w:rPr>
        <w:t>Myridakis</w:t>
      </w:r>
      <w:proofErr w:type="spellEnd"/>
      <w:r w:rsidRPr="00A37C08">
        <w:rPr>
          <w:rFonts w:ascii="Arial" w:hAnsi="Arial" w:cs="Arial"/>
          <w:sz w:val="20"/>
          <w:szCs w:val="20"/>
        </w:rPr>
        <w:t xml:space="preserve">, A., </w:t>
      </w:r>
      <w:proofErr w:type="spellStart"/>
      <w:r w:rsidRPr="00A37C08">
        <w:rPr>
          <w:rFonts w:ascii="Arial" w:hAnsi="Arial" w:cs="Arial"/>
          <w:sz w:val="20"/>
          <w:szCs w:val="20"/>
        </w:rPr>
        <w:t>Delzenne</w:t>
      </w:r>
      <w:proofErr w:type="spellEnd"/>
      <w:r w:rsidRPr="00A37C08">
        <w:rPr>
          <w:rFonts w:ascii="Arial" w:hAnsi="Arial" w:cs="Arial"/>
          <w:sz w:val="20"/>
          <w:szCs w:val="20"/>
        </w:rPr>
        <w:t xml:space="preserve">, N. M., </w:t>
      </w:r>
      <w:proofErr w:type="spellStart"/>
      <w:r w:rsidRPr="00A37C08">
        <w:rPr>
          <w:rFonts w:ascii="Arial" w:hAnsi="Arial" w:cs="Arial"/>
          <w:sz w:val="20"/>
          <w:szCs w:val="20"/>
        </w:rPr>
        <w:t>Klievink</w:t>
      </w:r>
      <w:proofErr w:type="spellEnd"/>
      <w:r w:rsidRPr="00A37C08">
        <w:rPr>
          <w:rFonts w:ascii="Arial" w:hAnsi="Arial" w:cs="Arial"/>
          <w:sz w:val="20"/>
          <w:szCs w:val="20"/>
        </w:rPr>
        <w:t xml:space="preserve">, J., Bhattacharjee, A., van der Ark, K. C. H., </w:t>
      </w:r>
      <w:proofErr w:type="spellStart"/>
      <w:r w:rsidRPr="00A37C08">
        <w:rPr>
          <w:rFonts w:ascii="Arial" w:hAnsi="Arial" w:cs="Arial"/>
          <w:sz w:val="20"/>
          <w:szCs w:val="20"/>
        </w:rPr>
        <w:t>Aalvink</w:t>
      </w:r>
      <w:proofErr w:type="spellEnd"/>
      <w:r w:rsidRPr="00A37C08">
        <w:rPr>
          <w:rFonts w:ascii="Arial" w:hAnsi="Arial" w:cs="Arial"/>
          <w:sz w:val="20"/>
          <w:szCs w:val="20"/>
        </w:rPr>
        <w:t xml:space="preserve">, S., Martinez, L. O., Dumas, M.-E., </w:t>
      </w:r>
      <w:proofErr w:type="spellStart"/>
      <w:r w:rsidRPr="00A37C08">
        <w:rPr>
          <w:rFonts w:ascii="Arial" w:hAnsi="Arial" w:cs="Arial"/>
          <w:sz w:val="20"/>
          <w:szCs w:val="20"/>
        </w:rPr>
        <w:t>Maiter</w:t>
      </w:r>
      <w:proofErr w:type="spellEnd"/>
      <w:r w:rsidRPr="00A37C08">
        <w:rPr>
          <w:rFonts w:ascii="Arial" w:hAnsi="Arial" w:cs="Arial"/>
          <w:sz w:val="20"/>
          <w:szCs w:val="20"/>
        </w:rPr>
        <w:t xml:space="preserve">, D., … </w:t>
      </w:r>
      <w:proofErr w:type="spellStart"/>
      <w:r w:rsidRPr="00A37C08">
        <w:rPr>
          <w:rFonts w:ascii="Arial" w:hAnsi="Arial" w:cs="Arial"/>
          <w:sz w:val="20"/>
          <w:szCs w:val="20"/>
        </w:rPr>
        <w:t>Cani</w:t>
      </w:r>
      <w:proofErr w:type="spellEnd"/>
      <w:r w:rsidRPr="00A37C08">
        <w:rPr>
          <w:rFonts w:ascii="Arial" w:hAnsi="Arial" w:cs="Arial"/>
          <w:sz w:val="20"/>
          <w:szCs w:val="20"/>
        </w:rPr>
        <w:t xml:space="preserve">, P. D. (2017). A purified membrane protein from </w:t>
      </w:r>
      <w:proofErr w:type="spellStart"/>
      <w:r w:rsidRPr="00A37C08">
        <w:rPr>
          <w:rStyle w:val="Emphasis"/>
          <w:rFonts w:ascii="Arial" w:eastAsiaTheme="majorEastAsia" w:hAnsi="Arial" w:cs="Arial"/>
          <w:sz w:val="20"/>
          <w:szCs w:val="20"/>
        </w:rPr>
        <w:t>Akkermansia</w:t>
      </w:r>
      <w:proofErr w:type="spellEnd"/>
      <w:r w:rsidRPr="00A37C08">
        <w:rPr>
          <w:rStyle w:val="Emphasis"/>
          <w:rFonts w:ascii="Arial" w:eastAsiaTheme="majorEastAsia" w:hAnsi="Arial" w:cs="Arial"/>
          <w:sz w:val="20"/>
          <w:szCs w:val="20"/>
        </w:rPr>
        <w:t xml:space="preserve"> </w:t>
      </w:r>
      <w:proofErr w:type="spellStart"/>
      <w:r w:rsidRPr="00A37C08">
        <w:rPr>
          <w:rStyle w:val="Emphasis"/>
          <w:rFonts w:ascii="Arial" w:eastAsiaTheme="majorEastAsia" w:hAnsi="Arial" w:cs="Arial"/>
          <w:sz w:val="20"/>
          <w:szCs w:val="20"/>
        </w:rPr>
        <w:t>muciniphila</w:t>
      </w:r>
      <w:proofErr w:type="spellEnd"/>
      <w:r w:rsidRPr="00A37C08">
        <w:rPr>
          <w:rFonts w:ascii="Arial" w:hAnsi="Arial" w:cs="Arial"/>
          <w:sz w:val="20"/>
          <w:szCs w:val="20"/>
        </w:rPr>
        <w:t xml:space="preserve"> or the pasteurized bacterium improves metabolism in obese and diabetic mice. </w:t>
      </w:r>
      <w:r w:rsidRPr="00A37C08">
        <w:rPr>
          <w:rStyle w:val="Emphasis"/>
          <w:rFonts w:ascii="Arial" w:eastAsiaTheme="majorEastAsia" w:hAnsi="Arial" w:cs="Arial"/>
          <w:sz w:val="20"/>
          <w:szCs w:val="20"/>
        </w:rPr>
        <w:t>Nature Medicine, 23</w:t>
      </w:r>
      <w:r w:rsidRPr="00A37C08">
        <w:rPr>
          <w:rFonts w:ascii="Arial" w:hAnsi="Arial" w:cs="Arial"/>
          <w:sz w:val="20"/>
          <w:szCs w:val="20"/>
        </w:rPr>
        <w:t xml:space="preserve">(1), 107–113. </w:t>
      </w:r>
      <w:hyperlink r:id="rId17" w:tgtFrame="_new" w:history="1">
        <w:r w:rsidRPr="00A37C08">
          <w:rPr>
            <w:rStyle w:val="Hyperlink"/>
            <w:rFonts w:ascii="Arial" w:eastAsiaTheme="majorEastAsia" w:hAnsi="Arial" w:cs="Arial"/>
            <w:sz w:val="20"/>
            <w:szCs w:val="20"/>
          </w:rPr>
          <w:t>https://doi.org/10.1038/nm.4236</w:t>
        </w:r>
      </w:hyperlink>
      <w:r w:rsidRPr="00A37C08">
        <w:rPr>
          <w:rFonts w:ascii="Arial" w:hAnsi="Arial" w:cs="Arial"/>
          <w:sz w:val="20"/>
          <w:szCs w:val="20"/>
        </w:rPr>
        <w:t xml:space="preserve"> </w:t>
      </w:r>
    </w:p>
    <w:p w14:paraId="7EA94C88" w14:textId="77777777" w:rsidR="00B65CFE" w:rsidRPr="00A37C08" w:rsidRDefault="00B65CFE" w:rsidP="000C059C">
      <w:pPr>
        <w:pStyle w:val="NormalWeb"/>
        <w:numPr>
          <w:ilvl w:val="0"/>
          <w:numId w:val="2"/>
        </w:numPr>
        <w:spacing w:before="0" w:beforeAutospacing="0" w:after="0" w:afterAutospacing="0" w:line="360" w:lineRule="auto"/>
        <w:jc w:val="both"/>
        <w:rPr>
          <w:rStyle w:val="relative"/>
          <w:rFonts w:ascii="Arial" w:eastAsiaTheme="majorEastAsia" w:hAnsi="Arial" w:cs="Arial"/>
          <w:sz w:val="20"/>
          <w:szCs w:val="20"/>
        </w:rPr>
      </w:pPr>
      <w:r w:rsidRPr="00A37C08">
        <w:rPr>
          <w:rFonts w:ascii="Arial" w:hAnsi="Arial" w:cs="Arial"/>
          <w:sz w:val="20"/>
          <w:szCs w:val="20"/>
        </w:rPr>
        <w:t xml:space="preserve">Qin, J., Li, Y., Cai, Z., Li, S., Zhu, J., Zhang, F., Liang, S., Zhang, W., Guan, Y., Shen, D., Peng, Y., Zhang, D., </w:t>
      </w:r>
      <w:proofErr w:type="spellStart"/>
      <w:r w:rsidRPr="00A37C08">
        <w:rPr>
          <w:rFonts w:ascii="Arial" w:hAnsi="Arial" w:cs="Arial"/>
          <w:sz w:val="20"/>
          <w:szCs w:val="20"/>
        </w:rPr>
        <w:t>Jie</w:t>
      </w:r>
      <w:proofErr w:type="spellEnd"/>
      <w:r w:rsidRPr="00A37C08">
        <w:rPr>
          <w:rFonts w:ascii="Arial" w:hAnsi="Arial" w:cs="Arial"/>
          <w:sz w:val="20"/>
          <w:szCs w:val="20"/>
        </w:rPr>
        <w:t xml:space="preserve">, Z., Wu, W., Qin, Y., </w:t>
      </w:r>
      <w:proofErr w:type="spellStart"/>
      <w:r w:rsidRPr="00A37C08">
        <w:rPr>
          <w:rFonts w:ascii="Arial" w:hAnsi="Arial" w:cs="Arial"/>
          <w:sz w:val="20"/>
          <w:szCs w:val="20"/>
        </w:rPr>
        <w:t>Xue</w:t>
      </w:r>
      <w:proofErr w:type="spellEnd"/>
      <w:r w:rsidRPr="00A37C08">
        <w:rPr>
          <w:rFonts w:ascii="Arial" w:hAnsi="Arial" w:cs="Arial"/>
          <w:sz w:val="20"/>
          <w:szCs w:val="20"/>
        </w:rPr>
        <w:t xml:space="preserve">, W., Li, J., Han, L., Lu, D., … Wang, J. (2012). A metagenome-wide association study of gut microbiota in type 2 diabetes. </w:t>
      </w:r>
      <w:r w:rsidRPr="00A37C08">
        <w:rPr>
          <w:rStyle w:val="Emphasis"/>
          <w:rFonts w:ascii="Arial" w:eastAsiaTheme="majorEastAsia" w:hAnsi="Arial" w:cs="Arial"/>
          <w:sz w:val="20"/>
          <w:szCs w:val="20"/>
        </w:rPr>
        <w:t>Nature, 490</w:t>
      </w:r>
      <w:r w:rsidRPr="00A37C08">
        <w:rPr>
          <w:rFonts w:ascii="Arial" w:hAnsi="Arial" w:cs="Arial"/>
          <w:sz w:val="20"/>
          <w:szCs w:val="20"/>
        </w:rPr>
        <w:t xml:space="preserve">(7418), 55–60. </w:t>
      </w:r>
      <w:hyperlink r:id="rId18" w:tgtFrame="_new" w:history="1">
        <w:r w:rsidRPr="00A37C08">
          <w:rPr>
            <w:rStyle w:val="Hyperlink"/>
            <w:rFonts w:ascii="Arial" w:eastAsiaTheme="majorEastAsia" w:hAnsi="Arial" w:cs="Arial"/>
            <w:sz w:val="20"/>
            <w:szCs w:val="20"/>
          </w:rPr>
          <w:t>https://doi.org/10.1038/nature11450</w:t>
        </w:r>
      </w:hyperlink>
      <w:r w:rsidRPr="00A37C08">
        <w:rPr>
          <w:rFonts w:ascii="Arial" w:hAnsi="Arial" w:cs="Arial"/>
          <w:sz w:val="20"/>
          <w:szCs w:val="20"/>
        </w:rPr>
        <w:t xml:space="preserve"> </w:t>
      </w:r>
    </w:p>
    <w:p w14:paraId="3FE9EABA" w14:textId="77777777" w:rsidR="00B65CFE" w:rsidRPr="00A37C08" w:rsidRDefault="00B65CFE" w:rsidP="000C059C">
      <w:pPr>
        <w:pStyle w:val="NormalWeb"/>
        <w:numPr>
          <w:ilvl w:val="0"/>
          <w:numId w:val="2"/>
        </w:numPr>
        <w:spacing w:before="0" w:beforeAutospacing="0" w:after="0" w:afterAutospacing="0" w:line="360" w:lineRule="auto"/>
        <w:jc w:val="both"/>
        <w:rPr>
          <w:rStyle w:val="relative"/>
          <w:rFonts w:ascii="Arial" w:eastAsiaTheme="majorEastAsia" w:hAnsi="Arial" w:cs="Arial"/>
          <w:sz w:val="20"/>
          <w:szCs w:val="20"/>
        </w:rPr>
      </w:pPr>
      <w:proofErr w:type="spellStart"/>
      <w:r w:rsidRPr="00A37C08">
        <w:rPr>
          <w:rFonts w:ascii="Arial" w:hAnsi="Arial" w:cs="Arial"/>
          <w:sz w:val="20"/>
          <w:szCs w:val="20"/>
        </w:rPr>
        <w:lastRenderedPageBreak/>
        <w:t>Reitmeier</w:t>
      </w:r>
      <w:proofErr w:type="spellEnd"/>
      <w:r w:rsidRPr="00A37C08">
        <w:rPr>
          <w:rFonts w:ascii="Arial" w:hAnsi="Arial" w:cs="Arial"/>
          <w:sz w:val="20"/>
          <w:szCs w:val="20"/>
        </w:rPr>
        <w:t xml:space="preserve">, S., </w:t>
      </w:r>
      <w:proofErr w:type="spellStart"/>
      <w:r w:rsidRPr="00A37C08">
        <w:rPr>
          <w:rFonts w:ascii="Arial" w:hAnsi="Arial" w:cs="Arial"/>
          <w:sz w:val="20"/>
          <w:szCs w:val="20"/>
        </w:rPr>
        <w:t>Kiessling</w:t>
      </w:r>
      <w:proofErr w:type="spellEnd"/>
      <w:r w:rsidRPr="00A37C08">
        <w:rPr>
          <w:rFonts w:ascii="Arial" w:hAnsi="Arial" w:cs="Arial"/>
          <w:sz w:val="20"/>
          <w:szCs w:val="20"/>
        </w:rPr>
        <w:t xml:space="preserve">, S., </w:t>
      </w:r>
      <w:proofErr w:type="spellStart"/>
      <w:r w:rsidRPr="00A37C08">
        <w:rPr>
          <w:rFonts w:ascii="Arial" w:hAnsi="Arial" w:cs="Arial"/>
          <w:sz w:val="20"/>
          <w:szCs w:val="20"/>
        </w:rPr>
        <w:t>Clavel</w:t>
      </w:r>
      <w:proofErr w:type="spellEnd"/>
      <w:r w:rsidRPr="00A37C08">
        <w:rPr>
          <w:rFonts w:ascii="Arial" w:hAnsi="Arial" w:cs="Arial"/>
          <w:sz w:val="20"/>
          <w:szCs w:val="20"/>
        </w:rPr>
        <w:t xml:space="preserve">, T., List, M., Almeida, E. L., Ghosh, T. S., Neuhaus, K., </w:t>
      </w:r>
      <w:proofErr w:type="spellStart"/>
      <w:r w:rsidRPr="00A37C08">
        <w:rPr>
          <w:rFonts w:ascii="Arial" w:hAnsi="Arial" w:cs="Arial"/>
          <w:sz w:val="20"/>
          <w:szCs w:val="20"/>
        </w:rPr>
        <w:t>Grallert</w:t>
      </w:r>
      <w:proofErr w:type="spellEnd"/>
      <w:r w:rsidRPr="00A37C08">
        <w:rPr>
          <w:rFonts w:ascii="Arial" w:hAnsi="Arial" w:cs="Arial"/>
          <w:sz w:val="20"/>
          <w:szCs w:val="20"/>
        </w:rPr>
        <w:t xml:space="preserve">, H., </w:t>
      </w:r>
      <w:proofErr w:type="spellStart"/>
      <w:r w:rsidRPr="00A37C08">
        <w:rPr>
          <w:rFonts w:ascii="Arial" w:hAnsi="Arial" w:cs="Arial"/>
          <w:sz w:val="20"/>
          <w:szCs w:val="20"/>
        </w:rPr>
        <w:t>Linseisen</w:t>
      </w:r>
      <w:proofErr w:type="spellEnd"/>
      <w:r w:rsidRPr="00A37C08">
        <w:rPr>
          <w:rFonts w:ascii="Arial" w:hAnsi="Arial" w:cs="Arial"/>
          <w:sz w:val="20"/>
          <w:szCs w:val="20"/>
        </w:rPr>
        <w:t xml:space="preserve">, J., </w:t>
      </w:r>
      <w:proofErr w:type="spellStart"/>
      <w:r w:rsidRPr="00A37C08">
        <w:rPr>
          <w:rFonts w:ascii="Arial" w:hAnsi="Arial" w:cs="Arial"/>
          <w:sz w:val="20"/>
          <w:szCs w:val="20"/>
        </w:rPr>
        <w:t>Skurk</w:t>
      </w:r>
      <w:proofErr w:type="spellEnd"/>
      <w:r w:rsidRPr="00A37C08">
        <w:rPr>
          <w:rFonts w:ascii="Arial" w:hAnsi="Arial" w:cs="Arial"/>
          <w:sz w:val="20"/>
          <w:szCs w:val="20"/>
        </w:rPr>
        <w:t xml:space="preserve">, T., </w:t>
      </w:r>
      <w:proofErr w:type="spellStart"/>
      <w:r w:rsidRPr="00A37C08">
        <w:rPr>
          <w:rFonts w:ascii="Arial" w:hAnsi="Arial" w:cs="Arial"/>
          <w:sz w:val="20"/>
          <w:szCs w:val="20"/>
        </w:rPr>
        <w:t>Brandl</w:t>
      </w:r>
      <w:proofErr w:type="spellEnd"/>
      <w:r w:rsidRPr="00A37C08">
        <w:rPr>
          <w:rFonts w:ascii="Arial" w:hAnsi="Arial" w:cs="Arial"/>
          <w:sz w:val="20"/>
          <w:szCs w:val="20"/>
        </w:rPr>
        <w:t xml:space="preserve">, B., </w:t>
      </w:r>
      <w:proofErr w:type="spellStart"/>
      <w:r w:rsidRPr="00A37C08">
        <w:rPr>
          <w:rFonts w:ascii="Arial" w:hAnsi="Arial" w:cs="Arial"/>
          <w:sz w:val="20"/>
          <w:szCs w:val="20"/>
        </w:rPr>
        <w:t>Breuninger</w:t>
      </w:r>
      <w:proofErr w:type="spellEnd"/>
      <w:r w:rsidRPr="00A37C08">
        <w:rPr>
          <w:rFonts w:ascii="Arial" w:hAnsi="Arial" w:cs="Arial"/>
          <w:sz w:val="20"/>
          <w:szCs w:val="20"/>
        </w:rPr>
        <w:t xml:space="preserve">, T. A., Troll, M., </w:t>
      </w:r>
      <w:proofErr w:type="spellStart"/>
      <w:r w:rsidRPr="00A37C08">
        <w:rPr>
          <w:rFonts w:ascii="Arial" w:hAnsi="Arial" w:cs="Arial"/>
          <w:sz w:val="20"/>
          <w:szCs w:val="20"/>
        </w:rPr>
        <w:t>Rathmann</w:t>
      </w:r>
      <w:proofErr w:type="spellEnd"/>
      <w:r w:rsidRPr="00A37C08">
        <w:rPr>
          <w:rFonts w:ascii="Arial" w:hAnsi="Arial" w:cs="Arial"/>
          <w:sz w:val="20"/>
          <w:szCs w:val="20"/>
        </w:rPr>
        <w:t xml:space="preserve">, W., </w:t>
      </w:r>
      <w:proofErr w:type="spellStart"/>
      <w:r w:rsidRPr="00A37C08">
        <w:rPr>
          <w:rFonts w:ascii="Arial" w:hAnsi="Arial" w:cs="Arial"/>
          <w:sz w:val="20"/>
          <w:szCs w:val="20"/>
        </w:rPr>
        <w:t>Linkohr</w:t>
      </w:r>
      <w:proofErr w:type="spellEnd"/>
      <w:r w:rsidRPr="00A37C08">
        <w:rPr>
          <w:rFonts w:ascii="Arial" w:hAnsi="Arial" w:cs="Arial"/>
          <w:sz w:val="20"/>
          <w:szCs w:val="20"/>
        </w:rPr>
        <w:t xml:space="preserve">, B., </w:t>
      </w:r>
      <w:proofErr w:type="spellStart"/>
      <w:r w:rsidRPr="00A37C08">
        <w:rPr>
          <w:rFonts w:ascii="Arial" w:hAnsi="Arial" w:cs="Arial"/>
          <w:sz w:val="20"/>
          <w:szCs w:val="20"/>
        </w:rPr>
        <w:t>Hauner</w:t>
      </w:r>
      <w:proofErr w:type="spellEnd"/>
      <w:r w:rsidRPr="00A37C08">
        <w:rPr>
          <w:rFonts w:ascii="Arial" w:hAnsi="Arial" w:cs="Arial"/>
          <w:sz w:val="20"/>
          <w:szCs w:val="20"/>
        </w:rPr>
        <w:t xml:space="preserve">, H., </w:t>
      </w:r>
      <w:proofErr w:type="spellStart"/>
      <w:r w:rsidRPr="00A37C08">
        <w:rPr>
          <w:rFonts w:ascii="Arial" w:hAnsi="Arial" w:cs="Arial"/>
          <w:sz w:val="20"/>
          <w:szCs w:val="20"/>
        </w:rPr>
        <w:t>Laudes</w:t>
      </w:r>
      <w:proofErr w:type="spellEnd"/>
      <w:r w:rsidRPr="00A37C08">
        <w:rPr>
          <w:rFonts w:ascii="Arial" w:hAnsi="Arial" w:cs="Arial"/>
          <w:sz w:val="20"/>
          <w:szCs w:val="20"/>
        </w:rPr>
        <w:t xml:space="preserve">, M., Franke, A., Le Roy, C. I., … Haller, D. (2020). Arrhythmic gut microbiome signatures predict risk of type 2 diabetes. </w:t>
      </w:r>
      <w:r w:rsidRPr="00A37C08">
        <w:rPr>
          <w:rStyle w:val="Emphasis"/>
          <w:rFonts w:ascii="Arial" w:eastAsiaTheme="majorEastAsia" w:hAnsi="Arial" w:cs="Arial"/>
          <w:sz w:val="20"/>
          <w:szCs w:val="20"/>
        </w:rPr>
        <w:t>Cell Host &amp; Microbe, 28</w:t>
      </w:r>
      <w:r w:rsidRPr="00A37C08">
        <w:rPr>
          <w:rFonts w:ascii="Arial" w:hAnsi="Arial" w:cs="Arial"/>
          <w:sz w:val="20"/>
          <w:szCs w:val="20"/>
        </w:rPr>
        <w:t xml:space="preserve">(2), 258–272.e6. </w:t>
      </w:r>
      <w:hyperlink r:id="rId19" w:tgtFrame="_new" w:history="1">
        <w:r w:rsidRPr="00A37C08">
          <w:rPr>
            <w:rStyle w:val="Hyperlink"/>
            <w:rFonts w:ascii="Arial" w:eastAsiaTheme="majorEastAsia" w:hAnsi="Arial" w:cs="Arial"/>
            <w:sz w:val="20"/>
            <w:szCs w:val="20"/>
          </w:rPr>
          <w:t>https://doi.org/10.1016/j.chom.2020.06.004</w:t>
        </w:r>
      </w:hyperlink>
      <w:r w:rsidRPr="00A37C08">
        <w:rPr>
          <w:rFonts w:ascii="Arial" w:hAnsi="Arial" w:cs="Arial"/>
          <w:sz w:val="20"/>
          <w:szCs w:val="20"/>
        </w:rPr>
        <w:t xml:space="preserve"> </w:t>
      </w:r>
    </w:p>
    <w:p w14:paraId="0BDEBC03" w14:textId="77777777" w:rsidR="00B65CFE" w:rsidRPr="00A37C08" w:rsidRDefault="00B65CFE" w:rsidP="000C059C">
      <w:pPr>
        <w:pStyle w:val="NormalWeb"/>
        <w:numPr>
          <w:ilvl w:val="0"/>
          <w:numId w:val="2"/>
        </w:numPr>
        <w:spacing w:before="0" w:beforeAutospacing="0" w:after="0" w:afterAutospacing="0" w:line="360" w:lineRule="auto"/>
        <w:jc w:val="both"/>
        <w:rPr>
          <w:rStyle w:val="relative"/>
          <w:rFonts w:ascii="Arial" w:eastAsiaTheme="majorEastAsia" w:hAnsi="Arial" w:cs="Arial"/>
          <w:sz w:val="20"/>
          <w:szCs w:val="20"/>
        </w:rPr>
      </w:pPr>
      <w:r w:rsidRPr="00A37C08">
        <w:rPr>
          <w:rFonts w:ascii="Arial" w:hAnsi="Arial" w:cs="Arial"/>
          <w:sz w:val="20"/>
          <w:szCs w:val="20"/>
        </w:rPr>
        <w:t xml:space="preserve">Shin, N.-R., Lee, J.-C., Lee, H.-Y., Kim, M.-S., </w:t>
      </w:r>
      <w:proofErr w:type="spellStart"/>
      <w:r w:rsidRPr="00A37C08">
        <w:rPr>
          <w:rFonts w:ascii="Arial" w:hAnsi="Arial" w:cs="Arial"/>
          <w:sz w:val="20"/>
          <w:szCs w:val="20"/>
        </w:rPr>
        <w:t>Whon</w:t>
      </w:r>
      <w:proofErr w:type="spellEnd"/>
      <w:r w:rsidRPr="00A37C08">
        <w:rPr>
          <w:rFonts w:ascii="Arial" w:hAnsi="Arial" w:cs="Arial"/>
          <w:sz w:val="20"/>
          <w:szCs w:val="20"/>
        </w:rPr>
        <w:t xml:space="preserve">, T. W., Lee, M.-S., &amp; Bae, J.-W. (2014). An increase in the </w:t>
      </w:r>
      <w:proofErr w:type="spellStart"/>
      <w:r w:rsidRPr="00A37C08">
        <w:rPr>
          <w:rStyle w:val="Emphasis"/>
          <w:rFonts w:ascii="Arial" w:eastAsiaTheme="majorEastAsia" w:hAnsi="Arial" w:cs="Arial"/>
          <w:sz w:val="20"/>
          <w:szCs w:val="20"/>
        </w:rPr>
        <w:t>Akkermansia</w:t>
      </w:r>
      <w:proofErr w:type="spellEnd"/>
      <w:r w:rsidRPr="00A37C08">
        <w:rPr>
          <w:rFonts w:ascii="Arial" w:hAnsi="Arial" w:cs="Arial"/>
          <w:sz w:val="20"/>
          <w:szCs w:val="20"/>
        </w:rPr>
        <w:t xml:space="preserve"> spp. population induced by metformin treatment improves glucose homeostasis in diet-induced obese mice. </w:t>
      </w:r>
      <w:r w:rsidRPr="00A37C08">
        <w:rPr>
          <w:rStyle w:val="Emphasis"/>
          <w:rFonts w:ascii="Arial" w:eastAsiaTheme="majorEastAsia" w:hAnsi="Arial" w:cs="Arial"/>
          <w:sz w:val="20"/>
          <w:szCs w:val="20"/>
        </w:rPr>
        <w:t>Gut, 63</w:t>
      </w:r>
      <w:r w:rsidRPr="00A37C08">
        <w:rPr>
          <w:rFonts w:ascii="Arial" w:hAnsi="Arial" w:cs="Arial"/>
          <w:sz w:val="20"/>
          <w:szCs w:val="20"/>
        </w:rPr>
        <w:t xml:space="preserve">(5), 727–735. </w:t>
      </w:r>
      <w:hyperlink r:id="rId20" w:tgtFrame="_new" w:history="1">
        <w:r w:rsidRPr="00A37C08">
          <w:rPr>
            <w:rStyle w:val="Hyperlink"/>
            <w:rFonts w:ascii="Arial" w:eastAsiaTheme="majorEastAsia" w:hAnsi="Arial" w:cs="Arial"/>
            <w:sz w:val="20"/>
            <w:szCs w:val="20"/>
          </w:rPr>
          <w:t>https://doi.org/10.1136/gutjnl-2012-303839</w:t>
        </w:r>
      </w:hyperlink>
      <w:r w:rsidRPr="00A37C08">
        <w:rPr>
          <w:rFonts w:ascii="Arial" w:hAnsi="Arial" w:cs="Arial"/>
          <w:sz w:val="20"/>
          <w:szCs w:val="20"/>
        </w:rPr>
        <w:t xml:space="preserve"> </w:t>
      </w:r>
    </w:p>
    <w:p w14:paraId="7ADF7BC7" w14:textId="77777777" w:rsidR="00B65CFE" w:rsidRPr="00A37C08" w:rsidRDefault="00B65CFE" w:rsidP="000C059C">
      <w:pPr>
        <w:pStyle w:val="NormalWeb"/>
        <w:numPr>
          <w:ilvl w:val="0"/>
          <w:numId w:val="2"/>
        </w:numPr>
        <w:spacing w:before="0" w:beforeAutospacing="0" w:after="0" w:afterAutospacing="0" w:line="360" w:lineRule="auto"/>
        <w:jc w:val="both"/>
        <w:rPr>
          <w:rStyle w:val="relative"/>
          <w:rFonts w:ascii="Arial" w:eastAsiaTheme="majorEastAsia" w:hAnsi="Arial" w:cs="Arial"/>
          <w:sz w:val="20"/>
          <w:szCs w:val="20"/>
        </w:rPr>
      </w:pPr>
      <w:r w:rsidRPr="00A37C08">
        <w:rPr>
          <w:rFonts w:ascii="Arial" w:hAnsi="Arial" w:cs="Arial"/>
          <w:sz w:val="20"/>
          <w:szCs w:val="20"/>
        </w:rPr>
        <w:t xml:space="preserve">Wu, H., </w:t>
      </w:r>
      <w:proofErr w:type="spellStart"/>
      <w:r w:rsidRPr="00A37C08">
        <w:rPr>
          <w:rFonts w:ascii="Arial" w:hAnsi="Arial" w:cs="Arial"/>
          <w:sz w:val="20"/>
          <w:szCs w:val="20"/>
        </w:rPr>
        <w:t>Esteve</w:t>
      </w:r>
      <w:proofErr w:type="spellEnd"/>
      <w:r w:rsidRPr="00A37C08">
        <w:rPr>
          <w:rFonts w:ascii="Arial" w:hAnsi="Arial" w:cs="Arial"/>
          <w:sz w:val="20"/>
          <w:szCs w:val="20"/>
        </w:rPr>
        <w:t xml:space="preserve">, E., </w:t>
      </w:r>
      <w:proofErr w:type="spellStart"/>
      <w:r w:rsidRPr="00A37C08">
        <w:rPr>
          <w:rFonts w:ascii="Arial" w:hAnsi="Arial" w:cs="Arial"/>
          <w:sz w:val="20"/>
          <w:szCs w:val="20"/>
        </w:rPr>
        <w:t>Tremaroli</w:t>
      </w:r>
      <w:proofErr w:type="spellEnd"/>
      <w:r w:rsidRPr="00A37C08">
        <w:rPr>
          <w:rFonts w:ascii="Arial" w:hAnsi="Arial" w:cs="Arial"/>
          <w:sz w:val="20"/>
          <w:szCs w:val="20"/>
        </w:rPr>
        <w:t xml:space="preserve">, V., Khan, M. T., Caesar, R., </w:t>
      </w:r>
      <w:proofErr w:type="spellStart"/>
      <w:r w:rsidRPr="00A37C08">
        <w:rPr>
          <w:rFonts w:ascii="Arial" w:hAnsi="Arial" w:cs="Arial"/>
          <w:sz w:val="20"/>
          <w:szCs w:val="20"/>
        </w:rPr>
        <w:t>Mannerås</w:t>
      </w:r>
      <w:proofErr w:type="spellEnd"/>
      <w:r w:rsidRPr="00A37C08">
        <w:rPr>
          <w:rFonts w:ascii="Arial" w:hAnsi="Arial" w:cs="Arial"/>
          <w:sz w:val="20"/>
          <w:szCs w:val="20"/>
        </w:rPr>
        <w:t xml:space="preserve">-Holm, L., </w:t>
      </w:r>
      <w:proofErr w:type="spellStart"/>
      <w:r w:rsidRPr="00A37C08">
        <w:rPr>
          <w:rFonts w:ascii="Arial" w:hAnsi="Arial" w:cs="Arial"/>
          <w:sz w:val="20"/>
          <w:szCs w:val="20"/>
        </w:rPr>
        <w:t>Ståhlman</w:t>
      </w:r>
      <w:proofErr w:type="spellEnd"/>
      <w:r w:rsidRPr="00A37C08">
        <w:rPr>
          <w:rFonts w:ascii="Arial" w:hAnsi="Arial" w:cs="Arial"/>
          <w:sz w:val="20"/>
          <w:szCs w:val="20"/>
        </w:rPr>
        <w:t xml:space="preserve">, M., Olsson, L. M., </w:t>
      </w:r>
      <w:proofErr w:type="spellStart"/>
      <w:r w:rsidRPr="00A37C08">
        <w:rPr>
          <w:rFonts w:ascii="Arial" w:hAnsi="Arial" w:cs="Arial"/>
          <w:sz w:val="20"/>
          <w:szCs w:val="20"/>
        </w:rPr>
        <w:t>Serino</w:t>
      </w:r>
      <w:proofErr w:type="spellEnd"/>
      <w:r w:rsidRPr="00A37C08">
        <w:rPr>
          <w:rFonts w:ascii="Arial" w:hAnsi="Arial" w:cs="Arial"/>
          <w:sz w:val="20"/>
          <w:szCs w:val="20"/>
        </w:rPr>
        <w:t xml:space="preserve">, M., </w:t>
      </w:r>
      <w:proofErr w:type="spellStart"/>
      <w:r w:rsidRPr="00A37C08">
        <w:rPr>
          <w:rFonts w:ascii="Arial" w:hAnsi="Arial" w:cs="Arial"/>
          <w:sz w:val="20"/>
          <w:szCs w:val="20"/>
        </w:rPr>
        <w:t>Planas-Fèlix</w:t>
      </w:r>
      <w:proofErr w:type="spellEnd"/>
      <w:r w:rsidRPr="00A37C08">
        <w:rPr>
          <w:rFonts w:ascii="Arial" w:hAnsi="Arial" w:cs="Arial"/>
          <w:sz w:val="20"/>
          <w:szCs w:val="20"/>
        </w:rPr>
        <w:t xml:space="preserve">, M., </w:t>
      </w:r>
      <w:proofErr w:type="spellStart"/>
      <w:r w:rsidRPr="00A37C08">
        <w:rPr>
          <w:rFonts w:ascii="Arial" w:hAnsi="Arial" w:cs="Arial"/>
          <w:sz w:val="20"/>
          <w:szCs w:val="20"/>
        </w:rPr>
        <w:t>Xifra</w:t>
      </w:r>
      <w:proofErr w:type="spellEnd"/>
      <w:r w:rsidRPr="00A37C08">
        <w:rPr>
          <w:rFonts w:ascii="Arial" w:hAnsi="Arial" w:cs="Arial"/>
          <w:sz w:val="20"/>
          <w:szCs w:val="20"/>
        </w:rPr>
        <w:t xml:space="preserve">, G., Mercader, J. M., Torrents, D., </w:t>
      </w:r>
      <w:proofErr w:type="spellStart"/>
      <w:r w:rsidRPr="00A37C08">
        <w:rPr>
          <w:rFonts w:ascii="Arial" w:hAnsi="Arial" w:cs="Arial"/>
          <w:sz w:val="20"/>
          <w:szCs w:val="20"/>
        </w:rPr>
        <w:t>Burcelin</w:t>
      </w:r>
      <w:proofErr w:type="spellEnd"/>
      <w:r w:rsidRPr="00A37C08">
        <w:rPr>
          <w:rFonts w:ascii="Arial" w:hAnsi="Arial" w:cs="Arial"/>
          <w:sz w:val="20"/>
          <w:szCs w:val="20"/>
        </w:rPr>
        <w:t xml:space="preserve">, R., </w:t>
      </w:r>
      <w:proofErr w:type="spellStart"/>
      <w:r w:rsidRPr="00A37C08">
        <w:rPr>
          <w:rFonts w:ascii="Arial" w:hAnsi="Arial" w:cs="Arial"/>
          <w:sz w:val="20"/>
          <w:szCs w:val="20"/>
        </w:rPr>
        <w:t>Ricart</w:t>
      </w:r>
      <w:proofErr w:type="spellEnd"/>
      <w:r w:rsidRPr="00A37C08">
        <w:rPr>
          <w:rFonts w:ascii="Arial" w:hAnsi="Arial" w:cs="Arial"/>
          <w:sz w:val="20"/>
          <w:szCs w:val="20"/>
        </w:rPr>
        <w:t xml:space="preserve">, W., Perkins, R., </w:t>
      </w:r>
      <w:proofErr w:type="spellStart"/>
      <w:r w:rsidRPr="00A37C08">
        <w:rPr>
          <w:rFonts w:ascii="Arial" w:hAnsi="Arial" w:cs="Arial"/>
          <w:sz w:val="20"/>
          <w:szCs w:val="20"/>
        </w:rPr>
        <w:t>Fernàndez</w:t>
      </w:r>
      <w:proofErr w:type="spellEnd"/>
      <w:r w:rsidRPr="00A37C08">
        <w:rPr>
          <w:rFonts w:ascii="Arial" w:hAnsi="Arial" w:cs="Arial"/>
          <w:sz w:val="20"/>
          <w:szCs w:val="20"/>
        </w:rPr>
        <w:t xml:space="preserve">-Real, J. M., &amp; </w:t>
      </w:r>
      <w:proofErr w:type="spellStart"/>
      <w:r w:rsidRPr="00A37C08">
        <w:rPr>
          <w:rFonts w:ascii="Arial" w:hAnsi="Arial" w:cs="Arial"/>
          <w:sz w:val="20"/>
          <w:szCs w:val="20"/>
        </w:rPr>
        <w:t>Bäckhed</w:t>
      </w:r>
      <w:proofErr w:type="spellEnd"/>
      <w:r w:rsidRPr="00A37C08">
        <w:rPr>
          <w:rFonts w:ascii="Arial" w:hAnsi="Arial" w:cs="Arial"/>
          <w:sz w:val="20"/>
          <w:szCs w:val="20"/>
        </w:rPr>
        <w:t xml:space="preserve">, F. (2017). Metformin alters the gut microbiome of individuals with treatment-naive type 2 diabetes, contributing to the therapeutic effects of the drug. </w:t>
      </w:r>
      <w:r w:rsidRPr="00A37C08">
        <w:rPr>
          <w:rStyle w:val="Emphasis"/>
          <w:rFonts w:ascii="Arial" w:eastAsiaTheme="majorEastAsia" w:hAnsi="Arial" w:cs="Arial"/>
          <w:sz w:val="20"/>
          <w:szCs w:val="20"/>
        </w:rPr>
        <w:t>Nature Medicine, 23</w:t>
      </w:r>
      <w:r w:rsidRPr="00A37C08">
        <w:rPr>
          <w:rFonts w:ascii="Arial" w:hAnsi="Arial" w:cs="Arial"/>
          <w:sz w:val="20"/>
          <w:szCs w:val="20"/>
        </w:rPr>
        <w:t xml:space="preserve">(7), 850–858. </w:t>
      </w:r>
      <w:hyperlink r:id="rId21" w:tgtFrame="_new" w:history="1">
        <w:r w:rsidRPr="00A37C08">
          <w:rPr>
            <w:rStyle w:val="Hyperlink"/>
            <w:rFonts w:ascii="Arial" w:eastAsiaTheme="majorEastAsia" w:hAnsi="Arial" w:cs="Arial"/>
            <w:sz w:val="20"/>
            <w:szCs w:val="20"/>
          </w:rPr>
          <w:t>https://doi.org/10.1038/nm.4345</w:t>
        </w:r>
      </w:hyperlink>
      <w:r w:rsidRPr="00A37C08">
        <w:rPr>
          <w:rFonts w:ascii="Arial" w:hAnsi="Arial" w:cs="Arial"/>
          <w:sz w:val="20"/>
          <w:szCs w:val="20"/>
        </w:rPr>
        <w:t xml:space="preserve"> </w:t>
      </w:r>
    </w:p>
    <w:p w14:paraId="6A9C8670" w14:textId="77777777" w:rsidR="00B65CFE" w:rsidRPr="00A37C08" w:rsidRDefault="00B65CFE" w:rsidP="000C059C">
      <w:pPr>
        <w:pStyle w:val="NormalWeb"/>
        <w:numPr>
          <w:ilvl w:val="0"/>
          <w:numId w:val="2"/>
        </w:numPr>
        <w:spacing w:before="0" w:beforeAutospacing="0" w:after="0" w:afterAutospacing="0" w:line="360" w:lineRule="auto"/>
        <w:jc w:val="both"/>
        <w:rPr>
          <w:rFonts w:ascii="Arial" w:hAnsi="Arial" w:cs="Arial"/>
          <w:sz w:val="20"/>
          <w:szCs w:val="20"/>
        </w:rPr>
      </w:pPr>
      <w:proofErr w:type="spellStart"/>
      <w:r w:rsidRPr="00A37C08">
        <w:rPr>
          <w:rFonts w:ascii="Arial" w:hAnsi="Arial" w:cs="Arial"/>
          <w:sz w:val="20"/>
          <w:szCs w:val="20"/>
        </w:rPr>
        <w:t>Yassour</w:t>
      </w:r>
      <w:proofErr w:type="spellEnd"/>
      <w:r w:rsidRPr="00A37C08">
        <w:rPr>
          <w:rFonts w:ascii="Arial" w:hAnsi="Arial" w:cs="Arial"/>
          <w:sz w:val="20"/>
          <w:szCs w:val="20"/>
        </w:rPr>
        <w:t xml:space="preserve">, M., Lim, M. Y., Yun, H. S., Tickle, T. L., Sung, J., Song, Y.-M., Lee, K., </w:t>
      </w:r>
      <w:proofErr w:type="spellStart"/>
      <w:r w:rsidRPr="00A37C08">
        <w:rPr>
          <w:rFonts w:ascii="Arial" w:hAnsi="Arial" w:cs="Arial"/>
          <w:sz w:val="20"/>
          <w:szCs w:val="20"/>
        </w:rPr>
        <w:t>Franzosa</w:t>
      </w:r>
      <w:proofErr w:type="spellEnd"/>
      <w:r w:rsidRPr="00A37C08">
        <w:rPr>
          <w:rFonts w:ascii="Arial" w:hAnsi="Arial" w:cs="Arial"/>
          <w:sz w:val="20"/>
          <w:szCs w:val="20"/>
        </w:rPr>
        <w:t xml:space="preserve">, E. A., Morgan, X. C., </w:t>
      </w:r>
      <w:proofErr w:type="spellStart"/>
      <w:r w:rsidRPr="00A37C08">
        <w:rPr>
          <w:rFonts w:ascii="Arial" w:hAnsi="Arial" w:cs="Arial"/>
          <w:sz w:val="20"/>
          <w:szCs w:val="20"/>
        </w:rPr>
        <w:t>Gevers</w:t>
      </w:r>
      <w:proofErr w:type="spellEnd"/>
      <w:r w:rsidRPr="00A37C08">
        <w:rPr>
          <w:rFonts w:ascii="Arial" w:hAnsi="Arial" w:cs="Arial"/>
          <w:sz w:val="20"/>
          <w:szCs w:val="20"/>
        </w:rPr>
        <w:t xml:space="preserve">, D., Lander, E. S., Xavier, R. J., </w:t>
      </w:r>
      <w:proofErr w:type="spellStart"/>
      <w:r w:rsidRPr="00A37C08">
        <w:rPr>
          <w:rFonts w:ascii="Arial" w:hAnsi="Arial" w:cs="Arial"/>
          <w:sz w:val="20"/>
          <w:szCs w:val="20"/>
        </w:rPr>
        <w:t>Birren</w:t>
      </w:r>
      <w:proofErr w:type="spellEnd"/>
      <w:r w:rsidRPr="00A37C08">
        <w:rPr>
          <w:rFonts w:ascii="Arial" w:hAnsi="Arial" w:cs="Arial"/>
          <w:sz w:val="20"/>
          <w:szCs w:val="20"/>
        </w:rPr>
        <w:t xml:space="preserve">, B. W., Ko, G., &amp; </w:t>
      </w:r>
      <w:proofErr w:type="spellStart"/>
      <w:r w:rsidRPr="00A37C08">
        <w:rPr>
          <w:rFonts w:ascii="Arial" w:hAnsi="Arial" w:cs="Arial"/>
          <w:sz w:val="20"/>
          <w:szCs w:val="20"/>
        </w:rPr>
        <w:t>Huttenhower</w:t>
      </w:r>
      <w:proofErr w:type="spellEnd"/>
      <w:r w:rsidRPr="00A37C08">
        <w:rPr>
          <w:rFonts w:ascii="Arial" w:hAnsi="Arial" w:cs="Arial"/>
          <w:sz w:val="20"/>
          <w:szCs w:val="20"/>
        </w:rPr>
        <w:t xml:space="preserve">, C. (2016). Sub-clinical detection of gut microbial biomarkers of obesity and type 2 diabetes. </w:t>
      </w:r>
      <w:r w:rsidRPr="00A37C08">
        <w:rPr>
          <w:rStyle w:val="Emphasis"/>
          <w:rFonts w:ascii="Arial" w:eastAsiaTheme="majorEastAsia" w:hAnsi="Arial" w:cs="Arial"/>
          <w:sz w:val="20"/>
          <w:szCs w:val="20"/>
        </w:rPr>
        <w:t>Genome Medicine, 8</w:t>
      </w:r>
      <w:r w:rsidRPr="00A37C08">
        <w:rPr>
          <w:rFonts w:ascii="Arial" w:hAnsi="Arial" w:cs="Arial"/>
          <w:sz w:val="20"/>
          <w:szCs w:val="20"/>
        </w:rPr>
        <w:t xml:space="preserve">, Article 17. </w:t>
      </w:r>
      <w:hyperlink r:id="rId22" w:tgtFrame="_new" w:history="1">
        <w:r w:rsidRPr="00A37C08">
          <w:rPr>
            <w:rStyle w:val="Hyperlink"/>
            <w:rFonts w:ascii="Arial" w:eastAsiaTheme="majorEastAsia" w:hAnsi="Arial" w:cs="Arial"/>
            <w:sz w:val="20"/>
            <w:szCs w:val="20"/>
          </w:rPr>
          <w:t>https://doi.org/10.1186/s13073-016-0271-6</w:t>
        </w:r>
      </w:hyperlink>
      <w:r w:rsidRPr="00A37C08">
        <w:rPr>
          <w:rFonts w:ascii="Arial" w:hAnsi="Arial" w:cs="Arial"/>
          <w:sz w:val="20"/>
          <w:szCs w:val="20"/>
        </w:rPr>
        <w:t xml:space="preserve"> </w:t>
      </w:r>
    </w:p>
    <w:p w14:paraId="11DE6E5A" w14:textId="77777777" w:rsidR="00B65CFE" w:rsidRPr="00A37C08" w:rsidRDefault="00B65CFE" w:rsidP="000C059C">
      <w:pPr>
        <w:pStyle w:val="NormalWeb"/>
        <w:numPr>
          <w:ilvl w:val="0"/>
          <w:numId w:val="2"/>
        </w:numPr>
        <w:spacing w:before="0" w:beforeAutospacing="0" w:after="0" w:afterAutospacing="0" w:line="360" w:lineRule="auto"/>
        <w:jc w:val="both"/>
        <w:rPr>
          <w:rFonts w:ascii="Arial" w:hAnsi="Arial" w:cs="Arial"/>
          <w:sz w:val="20"/>
          <w:szCs w:val="20"/>
        </w:rPr>
      </w:pPr>
      <w:r w:rsidRPr="00A37C08">
        <w:rPr>
          <w:rFonts w:ascii="Arial" w:hAnsi="Arial" w:cs="Arial"/>
          <w:sz w:val="20"/>
          <w:szCs w:val="20"/>
        </w:rPr>
        <w:t xml:space="preserve">Yoon, H. S., Cho, C. H., Yun, M. S., Jang, S. J., You, H. J., Kim, J.-H., Han, D., Cha, K. H., Moon, S. H., Lee, K., Kim, Y.-J., Lee, S.-J., Nam, T.-W., &amp; Ko, G. (2021). </w:t>
      </w:r>
      <w:proofErr w:type="spellStart"/>
      <w:r w:rsidRPr="00A37C08">
        <w:rPr>
          <w:rStyle w:val="Emphasis"/>
          <w:rFonts w:ascii="Arial" w:eastAsiaTheme="majorEastAsia" w:hAnsi="Arial" w:cs="Arial"/>
          <w:sz w:val="20"/>
          <w:szCs w:val="20"/>
        </w:rPr>
        <w:t>Akkermansia</w:t>
      </w:r>
      <w:proofErr w:type="spellEnd"/>
      <w:r w:rsidRPr="00A37C08">
        <w:rPr>
          <w:rStyle w:val="Emphasis"/>
          <w:rFonts w:ascii="Arial" w:eastAsiaTheme="majorEastAsia" w:hAnsi="Arial" w:cs="Arial"/>
          <w:sz w:val="20"/>
          <w:szCs w:val="20"/>
        </w:rPr>
        <w:t xml:space="preserve"> </w:t>
      </w:r>
      <w:proofErr w:type="spellStart"/>
      <w:r w:rsidRPr="00A37C08">
        <w:rPr>
          <w:rStyle w:val="Emphasis"/>
          <w:rFonts w:ascii="Arial" w:eastAsiaTheme="majorEastAsia" w:hAnsi="Arial" w:cs="Arial"/>
          <w:sz w:val="20"/>
          <w:szCs w:val="20"/>
        </w:rPr>
        <w:t>muciniphila</w:t>
      </w:r>
      <w:proofErr w:type="spellEnd"/>
      <w:r w:rsidRPr="00A37C08">
        <w:rPr>
          <w:rFonts w:ascii="Arial" w:hAnsi="Arial" w:cs="Arial"/>
          <w:sz w:val="20"/>
          <w:szCs w:val="20"/>
        </w:rPr>
        <w:t xml:space="preserve"> secretes a glucagon-like peptide-1–inducing protein that improves glucose homeostasis and ameliorates metabolic disease in mice. </w:t>
      </w:r>
      <w:r w:rsidRPr="00A37C08">
        <w:rPr>
          <w:rStyle w:val="Emphasis"/>
          <w:rFonts w:ascii="Arial" w:eastAsiaTheme="majorEastAsia" w:hAnsi="Arial" w:cs="Arial"/>
          <w:sz w:val="20"/>
          <w:szCs w:val="20"/>
        </w:rPr>
        <w:t>Nature Microbiology, 6</w:t>
      </w:r>
      <w:r w:rsidRPr="00A37C08">
        <w:rPr>
          <w:rFonts w:ascii="Arial" w:hAnsi="Arial" w:cs="Arial"/>
          <w:sz w:val="20"/>
          <w:szCs w:val="20"/>
        </w:rPr>
        <w:t xml:space="preserve">, 563–573. </w:t>
      </w:r>
      <w:hyperlink r:id="rId23" w:tgtFrame="_new" w:history="1">
        <w:r w:rsidRPr="00A37C08">
          <w:rPr>
            <w:rStyle w:val="Hyperlink"/>
            <w:rFonts w:ascii="Arial" w:eastAsiaTheme="majorEastAsia" w:hAnsi="Arial" w:cs="Arial"/>
            <w:sz w:val="20"/>
            <w:szCs w:val="20"/>
          </w:rPr>
          <w:t>https://doi.org/10.1038/s41564-021-00880-5</w:t>
        </w:r>
      </w:hyperlink>
      <w:r w:rsidRPr="00A37C08">
        <w:rPr>
          <w:rFonts w:ascii="Arial" w:hAnsi="Arial" w:cs="Arial"/>
          <w:sz w:val="20"/>
          <w:szCs w:val="20"/>
        </w:rPr>
        <w:t xml:space="preserve"> </w:t>
      </w:r>
    </w:p>
    <w:p w14:paraId="1D3C293F" w14:textId="77777777" w:rsidR="00B65CFE" w:rsidRPr="00A37C08" w:rsidRDefault="00B65CFE" w:rsidP="000C059C">
      <w:pPr>
        <w:pStyle w:val="NormalWeb"/>
        <w:numPr>
          <w:ilvl w:val="0"/>
          <w:numId w:val="2"/>
        </w:numPr>
        <w:spacing w:before="0" w:beforeAutospacing="0" w:after="0" w:afterAutospacing="0" w:line="360" w:lineRule="auto"/>
        <w:jc w:val="both"/>
        <w:rPr>
          <w:rFonts w:ascii="Arial" w:hAnsi="Arial" w:cs="Arial"/>
          <w:sz w:val="20"/>
          <w:szCs w:val="20"/>
        </w:rPr>
      </w:pPr>
      <w:r w:rsidRPr="00A37C08">
        <w:rPr>
          <w:rFonts w:ascii="Arial" w:hAnsi="Arial" w:cs="Arial"/>
          <w:sz w:val="20"/>
          <w:szCs w:val="20"/>
        </w:rPr>
        <w:t xml:space="preserve">Zhang, Y., Liu, R., Chen, Y., Cao, Z., Liu, C., Bao, R., Wang, Y., Huang, S., Pan, S., Qin, L., Wang, J., Ning, G., &amp; Wang, W. (2025). </w:t>
      </w:r>
      <w:proofErr w:type="spellStart"/>
      <w:r w:rsidRPr="00A37C08">
        <w:rPr>
          <w:rStyle w:val="Emphasis"/>
          <w:rFonts w:ascii="Arial" w:eastAsiaTheme="majorEastAsia" w:hAnsi="Arial" w:cs="Arial"/>
          <w:sz w:val="20"/>
          <w:szCs w:val="20"/>
        </w:rPr>
        <w:t>Akkermansia</w:t>
      </w:r>
      <w:proofErr w:type="spellEnd"/>
      <w:r w:rsidRPr="00A37C08">
        <w:rPr>
          <w:rStyle w:val="Emphasis"/>
          <w:rFonts w:ascii="Arial" w:eastAsiaTheme="majorEastAsia" w:hAnsi="Arial" w:cs="Arial"/>
          <w:sz w:val="20"/>
          <w:szCs w:val="20"/>
        </w:rPr>
        <w:t xml:space="preserve"> </w:t>
      </w:r>
      <w:proofErr w:type="spellStart"/>
      <w:r w:rsidRPr="00A37C08">
        <w:rPr>
          <w:rStyle w:val="Emphasis"/>
          <w:rFonts w:ascii="Arial" w:eastAsiaTheme="majorEastAsia" w:hAnsi="Arial" w:cs="Arial"/>
          <w:sz w:val="20"/>
          <w:szCs w:val="20"/>
        </w:rPr>
        <w:t>muciniphila</w:t>
      </w:r>
      <w:proofErr w:type="spellEnd"/>
      <w:r w:rsidRPr="00A37C08">
        <w:rPr>
          <w:rFonts w:ascii="Arial" w:hAnsi="Arial" w:cs="Arial"/>
          <w:sz w:val="20"/>
          <w:szCs w:val="20"/>
        </w:rPr>
        <w:t xml:space="preserve"> supplementation in patients with overweight/obese type 2 diabetes: Efficacy depends on its baseline levels in the gut. </w:t>
      </w:r>
      <w:r w:rsidRPr="00A37C08">
        <w:rPr>
          <w:rStyle w:val="Emphasis"/>
          <w:rFonts w:ascii="Arial" w:eastAsiaTheme="majorEastAsia" w:hAnsi="Arial" w:cs="Arial"/>
          <w:sz w:val="20"/>
          <w:szCs w:val="20"/>
        </w:rPr>
        <w:t>Cell Metabolism, 37</w:t>
      </w:r>
      <w:r w:rsidRPr="00A37C08">
        <w:rPr>
          <w:rFonts w:ascii="Arial" w:hAnsi="Arial" w:cs="Arial"/>
          <w:sz w:val="20"/>
          <w:szCs w:val="20"/>
        </w:rPr>
        <w:t xml:space="preserve">(3), 592–605.e6. </w:t>
      </w:r>
      <w:hyperlink r:id="rId24" w:tgtFrame="_new" w:history="1">
        <w:r w:rsidRPr="00A37C08">
          <w:rPr>
            <w:rStyle w:val="Hyperlink"/>
            <w:rFonts w:ascii="Arial" w:eastAsiaTheme="majorEastAsia" w:hAnsi="Arial" w:cs="Arial"/>
            <w:sz w:val="20"/>
            <w:szCs w:val="20"/>
          </w:rPr>
          <w:t>https://doi.org/10.1016/j.cmet.2024.12.010</w:t>
        </w:r>
      </w:hyperlink>
    </w:p>
    <w:p w14:paraId="09DC51A7" w14:textId="77777777" w:rsidR="00A65A1D" w:rsidRPr="000C059C" w:rsidRDefault="00A65A1D" w:rsidP="000C059C">
      <w:pPr>
        <w:pStyle w:val="ListParagraph"/>
        <w:numPr>
          <w:ilvl w:val="0"/>
          <w:numId w:val="2"/>
        </w:numPr>
        <w:spacing w:line="360" w:lineRule="auto"/>
        <w:rPr>
          <w:color w:val="0D0D0D"/>
        </w:rPr>
      </w:pPr>
      <w:proofErr w:type="spellStart"/>
      <w:r w:rsidRPr="000C059C">
        <w:rPr>
          <w:color w:val="222222"/>
          <w:highlight w:val="yellow"/>
          <w:shd w:val="clear" w:color="auto" w:fill="FFFFFF"/>
        </w:rPr>
        <w:t>Xiong</w:t>
      </w:r>
      <w:proofErr w:type="spellEnd"/>
      <w:r w:rsidRPr="000C059C">
        <w:rPr>
          <w:color w:val="222222"/>
          <w:highlight w:val="yellow"/>
          <w:shd w:val="clear" w:color="auto" w:fill="FFFFFF"/>
        </w:rPr>
        <w:t xml:space="preserve"> Y, Sharma HP, Goyal RK, </w:t>
      </w:r>
      <w:proofErr w:type="spellStart"/>
      <w:r w:rsidRPr="000C059C">
        <w:rPr>
          <w:color w:val="222222"/>
          <w:highlight w:val="yellow"/>
          <w:shd w:val="clear" w:color="auto" w:fill="FFFFFF"/>
        </w:rPr>
        <w:t>Narwal</w:t>
      </w:r>
      <w:proofErr w:type="spellEnd"/>
      <w:r w:rsidRPr="000C059C">
        <w:rPr>
          <w:color w:val="222222"/>
          <w:highlight w:val="yellow"/>
          <w:shd w:val="clear" w:color="auto" w:fill="FFFFFF"/>
        </w:rPr>
        <w:t xml:space="preserve"> S, </w:t>
      </w:r>
      <w:proofErr w:type="spellStart"/>
      <w:r w:rsidRPr="000C059C">
        <w:rPr>
          <w:color w:val="222222"/>
          <w:highlight w:val="yellow"/>
          <w:shd w:val="clear" w:color="auto" w:fill="FFFFFF"/>
        </w:rPr>
        <w:t>Berwal</w:t>
      </w:r>
      <w:proofErr w:type="spellEnd"/>
      <w:r w:rsidRPr="000C059C">
        <w:rPr>
          <w:color w:val="222222"/>
          <w:highlight w:val="yellow"/>
          <w:shd w:val="clear" w:color="auto" w:fill="FFFFFF"/>
        </w:rPr>
        <w:t xml:space="preserve"> A, Jain S, Priya M, Singh M, Agarwal G, Wang X, Shen B. Bioflavonoid combination attenuates diabetes-induced nephropathy in rats via modulation of MMP-9/TIMP-1, TGF-β, and GLUT-4-associated pathways. </w:t>
      </w:r>
      <w:proofErr w:type="spellStart"/>
      <w:r w:rsidRPr="000C059C">
        <w:rPr>
          <w:color w:val="222222"/>
          <w:highlight w:val="yellow"/>
          <w:shd w:val="clear" w:color="auto" w:fill="FFFFFF"/>
        </w:rPr>
        <w:t>Heliyon</w:t>
      </w:r>
      <w:proofErr w:type="spellEnd"/>
      <w:r w:rsidRPr="000C059C">
        <w:rPr>
          <w:color w:val="222222"/>
          <w:highlight w:val="yellow"/>
          <w:shd w:val="clear" w:color="auto" w:fill="FFFFFF"/>
        </w:rPr>
        <w:t>. 2024 Jul 15;10(13).</w:t>
      </w:r>
    </w:p>
    <w:p w14:paraId="45D13324" w14:textId="240E04B0" w:rsidR="001E337C" w:rsidRPr="000C059C" w:rsidRDefault="00A65A1D" w:rsidP="000C059C">
      <w:pPr>
        <w:pStyle w:val="ListParagraph"/>
        <w:numPr>
          <w:ilvl w:val="0"/>
          <w:numId w:val="2"/>
        </w:numPr>
        <w:spacing w:after="0" w:line="360" w:lineRule="auto"/>
        <w:jc w:val="both"/>
        <w:rPr>
          <w:color w:val="222222"/>
          <w:highlight w:val="yellow"/>
          <w:shd w:val="clear" w:color="auto" w:fill="FFFFFF"/>
        </w:rPr>
      </w:pPr>
      <w:r w:rsidRPr="000C059C">
        <w:rPr>
          <w:color w:val="222222"/>
          <w:highlight w:val="yellow"/>
          <w:shd w:val="clear" w:color="auto" w:fill="FFFFFF"/>
        </w:rPr>
        <w:t>Agarwal G, Patel M. Review on monoclonal antibodies (</w:t>
      </w:r>
      <w:proofErr w:type="spellStart"/>
      <w:r w:rsidRPr="000C059C">
        <w:rPr>
          <w:color w:val="222222"/>
          <w:highlight w:val="yellow"/>
          <w:shd w:val="clear" w:color="auto" w:fill="FFFFFF"/>
        </w:rPr>
        <w:t>Mabs</w:t>
      </w:r>
      <w:proofErr w:type="spellEnd"/>
      <w:r w:rsidRPr="000C059C">
        <w:rPr>
          <w:color w:val="222222"/>
          <w:highlight w:val="yellow"/>
          <w:shd w:val="clear" w:color="auto" w:fill="FFFFFF"/>
        </w:rPr>
        <w:t>) as a therapeutic approach for type 1 diabetes. Current Diabetes Reviews. 2024 Sep 1;20(7):23-8.</w:t>
      </w:r>
    </w:p>
    <w:p w14:paraId="58D61670" w14:textId="77777777" w:rsidR="00B642CA" w:rsidRDefault="00A65A1D" w:rsidP="000C059C">
      <w:pPr>
        <w:numPr>
          <w:ilvl w:val="0"/>
          <w:numId w:val="2"/>
        </w:numPr>
        <w:shd w:val="clear" w:color="auto" w:fill="FFFFFF"/>
        <w:spacing w:before="100" w:beforeAutospacing="1" w:after="100" w:afterAutospacing="1" w:line="240" w:lineRule="auto"/>
        <w:rPr>
          <w:rFonts w:ascii="Segoe UI" w:hAnsi="Segoe UI" w:cs="Segoe UI"/>
          <w:color w:val="212121"/>
        </w:rPr>
      </w:pPr>
      <w:proofErr w:type="spellStart"/>
      <w:r w:rsidRPr="00E01CB9">
        <w:rPr>
          <w:color w:val="222222"/>
          <w:highlight w:val="yellow"/>
          <w:shd w:val="clear" w:color="auto" w:fill="FFFFFF"/>
        </w:rPr>
        <w:t>Otayf</w:t>
      </w:r>
      <w:proofErr w:type="spellEnd"/>
      <w:r w:rsidRPr="00E01CB9">
        <w:rPr>
          <w:color w:val="222222"/>
          <w:highlight w:val="yellow"/>
          <w:shd w:val="clear" w:color="auto" w:fill="FFFFFF"/>
        </w:rPr>
        <w:t xml:space="preserve"> AY, Agarwal G, Al </w:t>
      </w:r>
      <w:proofErr w:type="spellStart"/>
      <w:r w:rsidRPr="00E01CB9">
        <w:rPr>
          <w:color w:val="222222"/>
          <w:highlight w:val="yellow"/>
          <w:shd w:val="clear" w:color="auto" w:fill="FFFFFF"/>
        </w:rPr>
        <w:t>Khairat</w:t>
      </w:r>
      <w:proofErr w:type="spellEnd"/>
      <w:r w:rsidRPr="00E01CB9">
        <w:rPr>
          <w:color w:val="222222"/>
          <w:highlight w:val="yellow"/>
          <w:shd w:val="clear" w:color="auto" w:fill="FFFFFF"/>
        </w:rPr>
        <w:t xml:space="preserve"> M, </w:t>
      </w:r>
      <w:proofErr w:type="spellStart"/>
      <w:r w:rsidRPr="00E01CB9">
        <w:rPr>
          <w:color w:val="222222"/>
          <w:highlight w:val="yellow"/>
          <w:shd w:val="clear" w:color="auto" w:fill="FFFFFF"/>
        </w:rPr>
        <w:t>Khormi</w:t>
      </w:r>
      <w:proofErr w:type="spellEnd"/>
      <w:r w:rsidRPr="00E01CB9">
        <w:rPr>
          <w:color w:val="222222"/>
          <w:highlight w:val="yellow"/>
          <w:shd w:val="clear" w:color="auto" w:fill="FFFFFF"/>
        </w:rPr>
        <w:t xml:space="preserve"> EA, </w:t>
      </w:r>
      <w:proofErr w:type="spellStart"/>
      <w:r w:rsidRPr="00E01CB9">
        <w:rPr>
          <w:color w:val="222222"/>
          <w:highlight w:val="yellow"/>
          <w:shd w:val="clear" w:color="auto" w:fill="FFFFFF"/>
        </w:rPr>
        <w:t>Alnemi</w:t>
      </w:r>
      <w:proofErr w:type="spellEnd"/>
      <w:r w:rsidRPr="00E01CB9">
        <w:rPr>
          <w:color w:val="222222"/>
          <w:highlight w:val="yellow"/>
          <w:shd w:val="clear" w:color="auto" w:fill="FFFFFF"/>
        </w:rPr>
        <w:t xml:space="preserve"> H, </w:t>
      </w:r>
      <w:proofErr w:type="spellStart"/>
      <w:r w:rsidRPr="00E01CB9">
        <w:rPr>
          <w:color w:val="222222"/>
          <w:highlight w:val="yellow"/>
          <w:shd w:val="clear" w:color="auto" w:fill="FFFFFF"/>
        </w:rPr>
        <w:t>Alhazmi</w:t>
      </w:r>
      <w:proofErr w:type="spellEnd"/>
      <w:r w:rsidRPr="00E01CB9">
        <w:rPr>
          <w:color w:val="222222"/>
          <w:highlight w:val="yellow"/>
          <w:shd w:val="clear" w:color="auto" w:fill="FFFFFF"/>
        </w:rPr>
        <w:t xml:space="preserve"> A, </w:t>
      </w:r>
      <w:proofErr w:type="spellStart"/>
      <w:r w:rsidRPr="00E01CB9">
        <w:rPr>
          <w:color w:val="222222"/>
          <w:highlight w:val="yellow"/>
          <w:shd w:val="clear" w:color="auto" w:fill="FFFFFF"/>
        </w:rPr>
        <w:t>Abutawil</w:t>
      </w:r>
      <w:proofErr w:type="spellEnd"/>
      <w:r w:rsidRPr="00E01CB9">
        <w:rPr>
          <w:color w:val="222222"/>
          <w:highlight w:val="yellow"/>
          <w:shd w:val="clear" w:color="auto" w:fill="FFFFFF"/>
        </w:rPr>
        <w:t xml:space="preserve"> K, Agarwal S. Fructose, the sweet culprit behind </w:t>
      </w:r>
      <w:proofErr w:type="spellStart"/>
      <w:r w:rsidRPr="00E01CB9">
        <w:rPr>
          <w:color w:val="222222"/>
          <w:highlight w:val="yellow"/>
          <w:shd w:val="clear" w:color="auto" w:fill="FFFFFF"/>
        </w:rPr>
        <w:t>nonalcoholic</w:t>
      </w:r>
      <w:proofErr w:type="spellEnd"/>
      <w:r w:rsidRPr="00E01CB9">
        <w:rPr>
          <w:color w:val="222222"/>
          <w:highlight w:val="yellow"/>
          <w:shd w:val="clear" w:color="auto" w:fill="FFFFFF"/>
        </w:rPr>
        <w:t xml:space="preserve"> fatty liver disease and type 2 diabetes. Current diabetes reviews. 2025.</w:t>
      </w:r>
      <w:r w:rsidR="00B642CA">
        <w:rPr>
          <w:color w:val="222222"/>
          <w:highlight w:val="yellow"/>
          <w:shd w:val="clear" w:color="auto" w:fill="FFFFFF"/>
        </w:rPr>
        <w:t xml:space="preserve"> </w:t>
      </w:r>
      <w:r w:rsidR="00B642CA" w:rsidRPr="00E01CB9">
        <w:rPr>
          <w:rStyle w:val="id-label"/>
          <w:rFonts w:ascii="Segoe UI" w:hAnsi="Segoe UI" w:cs="Segoe UI"/>
          <w:color w:val="212121"/>
          <w:highlight w:val="yellow"/>
        </w:rPr>
        <w:t>DOI: </w:t>
      </w:r>
      <w:hyperlink r:id="rId25" w:tgtFrame="_blank" w:history="1">
        <w:r w:rsidR="00B642CA" w:rsidRPr="00E01CB9">
          <w:rPr>
            <w:rStyle w:val="Hyperlink"/>
            <w:rFonts w:ascii="Segoe UI" w:hAnsi="Segoe UI" w:cs="Segoe UI"/>
            <w:color w:val="0071BC"/>
            <w:highlight w:val="yellow"/>
          </w:rPr>
          <w:t>10.2174/0115733998336827250114071627</w:t>
        </w:r>
      </w:hyperlink>
    </w:p>
    <w:p w14:paraId="063DA1B7" w14:textId="1C8BCD57" w:rsidR="007C7E74" w:rsidRPr="000C059C" w:rsidRDefault="007C7E74" w:rsidP="000C059C">
      <w:pPr>
        <w:pStyle w:val="ListParagraph"/>
        <w:numPr>
          <w:ilvl w:val="0"/>
          <w:numId w:val="2"/>
        </w:numPr>
        <w:rPr>
          <w:rFonts w:ascii="Consolas" w:eastAsia="Times New Roman" w:hAnsi="Consolas" w:cs="Times New Roman"/>
          <w:kern w:val="0"/>
          <w:sz w:val="24"/>
          <w:szCs w:val="24"/>
          <w:lang w:val="en-US"/>
          <w14:ligatures w14:val="none"/>
        </w:rPr>
      </w:pPr>
      <w:proofErr w:type="spellStart"/>
      <w:r w:rsidRPr="000C059C">
        <w:rPr>
          <w:rFonts w:ascii="Consolas" w:eastAsia="Times New Roman" w:hAnsi="Consolas" w:cs="Times New Roman"/>
          <w:kern w:val="0"/>
          <w:sz w:val="24"/>
          <w:szCs w:val="24"/>
          <w:highlight w:val="yellow"/>
          <w:lang w:val="en-US"/>
          <w14:ligatures w14:val="none"/>
        </w:rPr>
        <w:t>Xue</w:t>
      </w:r>
      <w:proofErr w:type="spellEnd"/>
      <w:r w:rsidRPr="000C059C">
        <w:rPr>
          <w:rFonts w:ascii="Consolas" w:eastAsia="Times New Roman" w:hAnsi="Consolas" w:cs="Times New Roman"/>
          <w:kern w:val="0"/>
          <w:sz w:val="24"/>
          <w:szCs w:val="24"/>
          <w:highlight w:val="yellow"/>
          <w:lang w:val="en-US"/>
          <w14:ligatures w14:val="none"/>
        </w:rPr>
        <w:t xml:space="preserve"> C, Li G, Gu X, </w:t>
      </w:r>
      <w:proofErr w:type="spellStart"/>
      <w:r w:rsidRPr="000C059C">
        <w:rPr>
          <w:rFonts w:ascii="Consolas" w:eastAsia="Times New Roman" w:hAnsi="Consolas" w:cs="Times New Roman"/>
          <w:kern w:val="0"/>
          <w:sz w:val="24"/>
          <w:szCs w:val="24"/>
          <w:highlight w:val="yellow"/>
          <w:lang w:val="en-US"/>
          <w14:ligatures w14:val="none"/>
        </w:rPr>
        <w:t>Su</w:t>
      </w:r>
      <w:proofErr w:type="spellEnd"/>
      <w:r w:rsidRPr="000C059C">
        <w:rPr>
          <w:rFonts w:ascii="Consolas" w:eastAsia="Times New Roman" w:hAnsi="Consolas" w:cs="Times New Roman"/>
          <w:kern w:val="0"/>
          <w:sz w:val="24"/>
          <w:szCs w:val="24"/>
          <w:highlight w:val="yellow"/>
          <w:lang w:val="en-US"/>
          <w14:ligatures w14:val="none"/>
        </w:rPr>
        <w:t xml:space="preserve"> Y, Zheng Q, Yuan X, Bao Z, Lu J, Li L. Health and Disease: </w:t>
      </w:r>
      <w:proofErr w:type="spellStart"/>
      <w:r w:rsidRPr="000C059C">
        <w:rPr>
          <w:rFonts w:ascii="Consolas" w:eastAsia="Times New Roman" w:hAnsi="Consolas" w:cs="Times New Roman"/>
          <w:i/>
          <w:iCs/>
          <w:kern w:val="0"/>
          <w:sz w:val="24"/>
          <w:szCs w:val="24"/>
          <w:highlight w:val="yellow"/>
          <w:lang w:val="en-US"/>
          <w14:ligatures w14:val="none"/>
        </w:rPr>
        <w:t>Akkermansia</w:t>
      </w:r>
      <w:proofErr w:type="spellEnd"/>
      <w:r w:rsidRPr="000C059C">
        <w:rPr>
          <w:rFonts w:ascii="Consolas" w:eastAsia="Times New Roman" w:hAnsi="Consolas" w:cs="Times New Roman"/>
          <w:i/>
          <w:iCs/>
          <w:kern w:val="0"/>
          <w:sz w:val="24"/>
          <w:szCs w:val="24"/>
          <w:highlight w:val="yellow"/>
          <w:lang w:val="en-US"/>
          <w14:ligatures w14:val="none"/>
        </w:rPr>
        <w:t xml:space="preserve"> </w:t>
      </w:r>
      <w:proofErr w:type="spellStart"/>
      <w:r w:rsidRPr="000C059C">
        <w:rPr>
          <w:rFonts w:ascii="Consolas" w:eastAsia="Times New Roman" w:hAnsi="Consolas" w:cs="Times New Roman"/>
          <w:i/>
          <w:iCs/>
          <w:kern w:val="0"/>
          <w:sz w:val="24"/>
          <w:szCs w:val="24"/>
          <w:highlight w:val="yellow"/>
          <w:lang w:val="en-US"/>
          <w14:ligatures w14:val="none"/>
        </w:rPr>
        <w:t>muciniphila</w:t>
      </w:r>
      <w:proofErr w:type="spellEnd"/>
      <w:r w:rsidRPr="000C059C">
        <w:rPr>
          <w:rFonts w:ascii="Consolas" w:eastAsia="Times New Roman" w:hAnsi="Consolas" w:cs="Times New Roman"/>
          <w:kern w:val="0"/>
          <w:sz w:val="24"/>
          <w:szCs w:val="24"/>
          <w:highlight w:val="yellow"/>
          <w:lang w:val="en-US"/>
          <w14:ligatures w14:val="none"/>
        </w:rPr>
        <w:t xml:space="preserve">, the Shining Star of the Gut Flora. Research (Wash D C). </w:t>
      </w:r>
      <w:proofErr w:type="gramStart"/>
      <w:r w:rsidRPr="000C059C">
        <w:rPr>
          <w:rFonts w:ascii="Consolas" w:eastAsia="Times New Roman" w:hAnsi="Consolas" w:cs="Times New Roman"/>
          <w:kern w:val="0"/>
          <w:sz w:val="24"/>
          <w:szCs w:val="24"/>
          <w:highlight w:val="yellow"/>
          <w:lang w:val="en-US"/>
          <w14:ligatures w14:val="none"/>
        </w:rPr>
        <w:t>2023;6:0107</w:t>
      </w:r>
      <w:proofErr w:type="gramEnd"/>
      <w:r w:rsidRPr="000C059C">
        <w:rPr>
          <w:rFonts w:ascii="Consolas" w:eastAsia="Times New Roman" w:hAnsi="Consolas" w:cs="Times New Roman"/>
          <w:kern w:val="0"/>
          <w:sz w:val="24"/>
          <w:szCs w:val="24"/>
          <w:highlight w:val="yellow"/>
          <w:lang w:val="en-US"/>
          <w14:ligatures w14:val="none"/>
        </w:rPr>
        <w:t xml:space="preserve">. </w:t>
      </w:r>
      <w:proofErr w:type="spellStart"/>
      <w:r w:rsidRPr="000C059C">
        <w:rPr>
          <w:rFonts w:ascii="Consolas" w:eastAsia="Times New Roman" w:hAnsi="Consolas" w:cs="Times New Roman"/>
          <w:kern w:val="0"/>
          <w:sz w:val="24"/>
          <w:szCs w:val="24"/>
          <w:highlight w:val="yellow"/>
          <w:lang w:val="en-US"/>
          <w14:ligatures w14:val="none"/>
        </w:rPr>
        <w:t>doi</w:t>
      </w:r>
      <w:proofErr w:type="spellEnd"/>
      <w:r w:rsidRPr="000C059C">
        <w:rPr>
          <w:rFonts w:ascii="Consolas" w:eastAsia="Times New Roman" w:hAnsi="Consolas" w:cs="Times New Roman"/>
          <w:kern w:val="0"/>
          <w:sz w:val="24"/>
          <w:szCs w:val="24"/>
          <w:highlight w:val="yellow"/>
          <w:lang w:val="en-US"/>
          <w14:ligatures w14:val="none"/>
        </w:rPr>
        <w:t xml:space="preserve">: </w:t>
      </w:r>
      <w:r w:rsidRPr="000C059C">
        <w:rPr>
          <w:rFonts w:ascii="Consolas" w:eastAsia="Times New Roman" w:hAnsi="Consolas" w:cs="Times New Roman"/>
          <w:kern w:val="0"/>
          <w:sz w:val="24"/>
          <w:szCs w:val="24"/>
          <w:highlight w:val="yellow"/>
          <w:lang w:val="en-US"/>
          <w14:ligatures w14:val="none"/>
        </w:rPr>
        <w:lastRenderedPageBreak/>
        <w:t xml:space="preserve">10.34133/research.0107. </w:t>
      </w:r>
      <w:proofErr w:type="spellStart"/>
      <w:r w:rsidRPr="000C059C">
        <w:rPr>
          <w:rFonts w:ascii="Consolas" w:eastAsia="Times New Roman" w:hAnsi="Consolas" w:cs="Times New Roman"/>
          <w:kern w:val="0"/>
          <w:sz w:val="24"/>
          <w:szCs w:val="24"/>
          <w:highlight w:val="yellow"/>
          <w:lang w:val="en-US"/>
          <w14:ligatures w14:val="none"/>
        </w:rPr>
        <w:t>Epub</w:t>
      </w:r>
      <w:proofErr w:type="spellEnd"/>
      <w:r w:rsidRPr="000C059C">
        <w:rPr>
          <w:rFonts w:ascii="Consolas" w:eastAsia="Times New Roman" w:hAnsi="Consolas" w:cs="Times New Roman"/>
          <w:kern w:val="0"/>
          <w:sz w:val="24"/>
          <w:szCs w:val="24"/>
          <w:highlight w:val="yellow"/>
          <w:lang w:val="en-US"/>
          <w14:ligatures w14:val="none"/>
        </w:rPr>
        <w:t xml:space="preserve"> 2023 Apr 3. PMID: 37040299; PMCID: PMC10079265.</w:t>
      </w:r>
    </w:p>
    <w:p w14:paraId="4DF06245" w14:textId="77777777" w:rsidR="00DA0BD3" w:rsidRPr="000C059C" w:rsidRDefault="00DA0BD3" w:rsidP="000C059C">
      <w:pPr>
        <w:pStyle w:val="ListParagraph"/>
        <w:numPr>
          <w:ilvl w:val="0"/>
          <w:numId w:val="2"/>
        </w:numPr>
        <w:shd w:val="clear" w:color="auto" w:fill="FFFFFF"/>
        <w:spacing w:after="150" w:line="240" w:lineRule="auto"/>
        <w:rPr>
          <w:rFonts w:ascii="inherit" w:eastAsia="Times New Roman" w:hAnsi="inherit" w:cs="Helvetica"/>
          <w:color w:val="222222"/>
          <w:kern w:val="0"/>
          <w:sz w:val="18"/>
          <w:szCs w:val="18"/>
          <w:lang w:val="en-US"/>
          <w14:ligatures w14:val="none"/>
        </w:rPr>
      </w:pPr>
      <w:proofErr w:type="spellStart"/>
      <w:r w:rsidRPr="000C059C">
        <w:rPr>
          <w:rFonts w:ascii="inherit" w:eastAsia="Times New Roman" w:hAnsi="inherit" w:cs="Helvetica"/>
          <w:color w:val="222222"/>
          <w:kern w:val="0"/>
          <w:sz w:val="18"/>
          <w:szCs w:val="18"/>
          <w:highlight w:val="yellow"/>
          <w:lang w:val="en-US"/>
          <w14:ligatures w14:val="none"/>
        </w:rPr>
        <w:t>Mashal</w:t>
      </w:r>
      <w:proofErr w:type="spellEnd"/>
      <w:r w:rsidRPr="000C059C">
        <w:rPr>
          <w:rFonts w:ascii="inherit" w:eastAsia="Times New Roman" w:hAnsi="inherit" w:cs="Helvetica"/>
          <w:color w:val="222222"/>
          <w:kern w:val="0"/>
          <w:sz w:val="18"/>
          <w:szCs w:val="18"/>
          <w:highlight w:val="yellow"/>
          <w:lang w:val="en-US"/>
          <w14:ligatures w14:val="none"/>
        </w:rPr>
        <w:t>, R., Al-</w:t>
      </w:r>
      <w:proofErr w:type="spellStart"/>
      <w:r w:rsidRPr="000C059C">
        <w:rPr>
          <w:rFonts w:ascii="inherit" w:eastAsia="Times New Roman" w:hAnsi="inherit" w:cs="Helvetica"/>
          <w:color w:val="222222"/>
          <w:kern w:val="0"/>
          <w:sz w:val="18"/>
          <w:szCs w:val="18"/>
          <w:highlight w:val="yellow"/>
          <w:lang w:val="en-US"/>
          <w14:ligatures w14:val="none"/>
        </w:rPr>
        <w:t>Muhanna</w:t>
      </w:r>
      <w:proofErr w:type="spellEnd"/>
      <w:r w:rsidRPr="000C059C">
        <w:rPr>
          <w:rFonts w:ascii="inherit" w:eastAsia="Times New Roman" w:hAnsi="inherit" w:cs="Helvetica"/>
          <w:color w:val="222222"/>
          <w:kern w:val="0"/>
          <w:sz w:val="18"/>
          <w:szCs w:val="18"/>
          <w:highlight w:val="yellow"/>
          <w:lang w:val="en-US"/>
          <w14:ligatures w14:val="none"/>
        </w:rPr>
        <w:t xml:space="preserve">, A., Khader, S., </w:t>
      </w:r>
      <w:proofErr w:type="spellStart"/>
      <w:r w:rsidRPr="000C059C">
        <w:rPr>
          <w:rFonts w:ascii="inherit" w:eastAsia="Times New Roman" w:hAnsi="inherit" w:cs="Helvetica"/>
          <w:color w:val="222222"/>
          <w:kern w:val="0"/>
          <w:sz w:val="18"/>
          <w:szCs w:val="18"/>
          <w:highlight w:val="yellow"/>
          <w:lang w:val="en-US"/>
          <w14:ligatures w14:val="none"/>
        </w:rPr>
        <w:t>Khudair</w:t>
      </w:r>
      <w:proofErr w:type="spellEnd"/>
      <w:r w:rsidRPr="000C059C">
        <w:rPr>
          <w:rFonts w:ascii="inherit" w:eastAsia="Times New Roman" w:hAnsi="inherit" w:cs="Helvetica"/>
          <w:color w:val="222222"/>
          <w:kern w:val="0"/>
          <w:sz w:val="18"/>
          <w:szCs w:val="18"/>
          <w:highlight w:val="yellow"/>
          <w:lang w:val="en-US"/>
          <w14:ligatures w14:val="none"/>
        </w:rPr>
        <w:t xml:space="preserve">, A., </w:t>
      </w:r>
      <w:proofErr w:type="spellStart"/>
      <w:r w:rsidRPr="000C059C">
        <w:rPr>
          <w:rFonts w:ascii="inherit" w:eastAsia="Times New Roman" w:hAnsi="inherit" w:cs="Helvetica"/>
          <w:color w:val="222222"/>
          <w:kern w:val="0"/>
          <w:sz w:val="18"/>
          <w:szCs w:val="18"/>
          <w:highlight w:val="yellow"/>
          <w:lang w:val="en-US"/>
          <w14:ligatures w14:val="none"/>
        </w:rPr>
        <w:t>Khudair</w:t>
      </w:r>
      <w:proofErr w:type="spellEnd"/>
      <w:r w:rsidRPr="000C059C">
        <w:rPr>
          <w:rFonts w:ascii="inherit" w:eastAsia="Times New Roman" w:hAnsi="inherit" w:cs="Helvetica"/>
          <w:color w:val="222222"/>
          <w:kern w:val="0"/>
          <w:sz w:val="18"/>
          <w:szCs w:val="18"/>
          <w:highlight w:val="yellow"/>
          <w:lang w:val="en-US"/>
          <w14:ligatures w14:val="none"/>
        </w:rPr>
        <w:t>, A., &amp; Butler, A. E. (2025). The Role of the Gut Microbiome in Type 2 Diabetes Mellitus. </w:t>
      </w:r>
      <w:r w:rsidRPr="000C059C">
        <w:rPr>
          <w:rFonts w:ascii="inherit" w:eastAsia="Times New Roman" w:hAnsi="inherit" w:cs="Helvetica"/>
          <w:i/>
          <w:iCs/>
          <w:color w:val="222222"/>
          <w:kern w:val="0"/>
          <w:sz w:val="18"/>
          <w:szCs w:val="18"/>
          <w:highlight w:val="yellow"/>
          <w:lang w:val="en-US"/>
          <w14:ligatures w14:val="none"/>
        </w:rPr>
        <w:t>International Journal of Molecular Sciences</w:t>
      </w:r>
      <w:r w:rsidRPr="000C059C">
        <w:rPr>
          <w:rFonts w:ascii="inherit" w:eastAsia="Times New Roman" w:hAnsi="inherit" w:cs="Helvetica"/>
          <w:color w:val="222222"/>
          <w:kern w:val="0"/>
          <w:sz w:val="18"/>
          <w:szCs w:val="18"/>
          <w:highlight w:val="yellow"/>
          <w:lang w:val="en-US"/>
          <w14:ligatures w14:val="none"/>
        </w:rPr>
        <w:t>, </w:t>
      </w:r>
      <w:r w:rsidRPr="000C059C">
        <w:rPr>
          <w:rFonts w:ascii="inherit" w:eastAsia="Times New Roman" w:hAnsi="inherit" w:cs="Helvetica"/>
          <w:i/>
          <w:iCs/>
          <w:color w:val="222222"/>
          <w:kern w:val="0"/>
          <w:sz w:val="18"/>
          <w:szCs w:val="18"/>
          <w:highlight w:val="yellow"/>
          <w:lang w:val="en-US"/>
          <w14:ligatures w14:val="none"/>
        </w:rPr>
        <w:t>26</w:t>
      </w:r>
      <w:r w:rsidRPr="000C059C">
        <w:rPr>
          <w:rFonts w:ascii="inherit" w:eastAsia="Times New Roman" w:hAnsi="inherit" w:cs="Helvetica"/>
          <w:color w:val="222222"/>
          <w:kern w:val="0"/>
          <w:sz w:val="18"/>
          <w:szCs w:val="18"/>
          <w:highlight w:val="yellow"/>
          <w:lang w:val="en-US"/>
          <w14:ligatures w14:val="none"/>
        </w:rPr>
        <w:t>(23), 11412. https://doi.org/10.3390/ijms262311412</w:t>
      </w:r>
    </w:p>
    <w:p w14:paraId="48D6A802" w14:textId="77777777" w:rsidR="00A65A1D" w:rsidRPr="00A37C08" w:rsidRDefault="00A65A1D" w:rsidP="00CB5290">
      <w:pPr>
        <w:spacing w:after="0" w:line="360" w:lineRule="auto"/>
        <w:jc w:val="both"/>
        <w:rPr>
          <w:rFonts w:ascii="Arial" w:hAnsi="Arial" w:cs="Arial"/>
          <w:sz w:val="20"/>
          <w:szCs w:val="20"/>
        </w:rPr>
      </w:pPr>
    </w:p>
    <w:sectPr w:rsidR="00A65A1D" w:rsidRPr="00A37C08" w:rsidSect="001E337C">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6D21A" w14:textId="77777777" w:rsidR="003B6406" w:rsidRDefault="003B6406" w:rsidP="00AF700F">
      <w:pPr>
        <w:spacing w:after="0" w:line="240" w:lineRule="auto"/>
      </w:pPr>
      <w:r>
        <w:separator/>
      </w:r>
    </w:p>
  </w:endnote>
  <w:endnote w:type="continuationSeparator" w:id="0">
    <w:p w14:paraId="372FC09D" w14:textId="77777777" w:rsidR="003B6406" w:rsidRDefault="003B6406" w:rsidP="00AF7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C825E" w14:textId="77777777" w:rsidR="00AF700F" w:rsidRDefault="00AF7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9CA3" w14:textId="77777777" w:rsidR="00AF700F" w:rsidRDefault="00AF70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F063" w14:textId="77777777" w:rsidR="00AF700F" w:rsidRDefault="00AF7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09025" w14:textId="77777777" w:rsidR="003B6406" w:rsidRDefault="003B6406" w:rsidP="00AF700F">
      <w:pPr>
        <w:spacing w:after="0" w:line="240" w:lineRule="auto"/>
      </w:pPr>
      <w:r>
        <w:separator/>
      </w:r>
    </w:p>
  </w:footnote>
  <w:footnote w:type="continuationSeparator" w:id="0">
    <w:p w14:paraId="4E557DEF" w14:textId="77777777" w:rsidR="003B6406" w:rsidRDefault="003B6406" w:rsidP="00AF7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19FA" w14:textId="0F058103" w:rsidR="00AF700F" w:rsidRDefault="003B6406">
    <w:pPr>
      <w:pStyle w:val="Header"/>
    </w:pPr>
    <w:r>
      <w:rPr>
        <w:noProof/>
      </w:rPr>
      <w:pict w14:anchorId="43578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379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28014" w14:textId="214B5B42" w:rsidR="00AF700F" w:rsidRDefault="003B6406">
    <w:pPr>
      <w:pStyle w:val="Header"/>
    </w:pPr>
    <w:r>
      <w:rPr>
        <w:noProof/>
      </w:rPr>
      <w:pict w14:anchorId="278B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379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FEA16" w14:textId="15216080" w:rsidR="00AF700F" w:rsidRDefault="003B6406">
    <w:pPr>
      <w:pStyle w:val="Header"/>
    </w:pPr>
    <w:r>
      <w:rPr>
        <w:noProof/>
      </w:rPr>
      <w:pict w14:anchorId="5DBC1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379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F7731"/>
    <w:multiLevelType w:val="hybridMultilevel"/>
    <w:tmpl w:val="C0504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2718F2"/>
    <w:multiLevelType w:val="multilevel"/>
    <w:tmpl w:val="5C98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DY0NzM3MTYxMTKysDRW0lEKTi0uzszPAykwqgUAgESfkywAAAA="/>
  </w:docVars>
  <w:rsids>
    <w:rsidRoot w:val="00A374C3"/>
    <w:rsid w:val="000C059C"/>
    <w:rsid w:val="000E1074"/>
    <w:rsid w:val="001C69F9"/>
    <w:rsid w:val="001E337C"/>
    <w:rsid w:val="003B6406"/>
    <w:rsid w:val="00444475"/>
    <w:rsid w:val="004603DC"/>
    <w:rsid w:val="00622563"/>
    <w:rsid w:val="006F2CAD"/>
    <w:rsid w:val="00710AAD"/>
    <w:rsid w:val="007C7E74"/>
    <w:rsid w:val="00804FD1"/>
    <w:rsid w:val="008E06B9"/>
    <w:rsid w:val="00A374C3"/>
    <w:rsid w:val="00A37C08"/>
    <w:rsid w:val="00A65A1D"/>
    <w:rsid w:val="00AC093C"/>
    <w:rsid w:val="00AF700F"/>
    <w:rsid w:val="00B04FBC"/>
    <w:rsid w:val="00B43953"/>
    <w:rsid w:val="00B43EE7"/>
    <w:rsid w:val="00B642CA"/>
    <w:rsid w:val="00B64462"/>
    <w:rsid w:val="00B65CFE"/>
    <w:rsid w:val="00BC6052"/>
    <w:rsid w:val="00C66FBC"/>
    <w:rsid w:val="00CB5290"/>
    <w:rsid w:val="00DA0BD3"/>
    <w:rsid w:val="00E01CB9"/>
    <w:rsid w:val="00F5751A"/>
    <w:rsid w:val="00FC22F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33D61B"/>
  <w15:chartTrackingRefBased/>
  <w15:docId w15:val="{036E9A0A-2CAB-411E-8305-46E1E1CA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A374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374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374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74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74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7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4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374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374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74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74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7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4C3"/>
    <w:rPr>
      <w:rFonts w:eastAsiaTheme="majorEastAsia" w:cstheme="majorBidi"/>
      <w:color w:val="272727" w:themeColor="text1" w:themeTint="D8"/>
    </w:rPr>
  </w:style>
  <w:style w:type="paragraph" w:styleId="Title">
    <w:name w:val="Title"/>
    <w:basedOn w:val="Normal"/>
    <w:next w:val="Normal"/>
    <w:link w:val="TitleChar"/>
    <w:uiPriority w:val="10"/>
    <w:qFormat/>
    <w:rsid w:val="00A37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4C3"/>
    <w:pPr>
      <w:spacing w:before="160"/>
      <w:jc w:val="center"/>
    </w:pPr>
    <w:rPr>
      <w:i/>
      <w:iCs/>
      <w:color w:val="404040" w:themeColor="text1" w:themeTint="BF"/>
    </w:rPr>
  </w:style>
  <w:style w:type="character" w:customStyle="1" w:styleId="QuoteChar">
    <w:name w:val="Quote Char"/>
    <w:basedOn w:val="DefaultParagraphFont"/>
    <w:link w:val="Quote"/>
    <w:uiPriority w:val="29"/>
    <w:rsid w:val="00A374C3"/>
    <w:rPr>
      <w:i/>
      <w:iCs/>
      <w:color w:val="404040" w:themeColor="text1" w:themeTint="BF"/>
    </w:rPr>
  </w:style>
  <w:style w:type="paragraph" w:styleId="ListParagraph">
    <w:name w:val="List Paragraph"/>
    <w:basedOn w:val="Normal"/>
    <w:uiPriority w:val="34"/>
    <w:qFormat/>
    <w:rsid w:val="00A374C3"/>
    <w:pPr>
      <w:ind w:left="720"/>
      <w:contextualSpacing/>
    </w:pPr>
  </w:style>
  <w:style w:type="character" w:styleId="IntenseEmphasis">
    <w:name w:val="Intense Emphasis"/>
    <w:basedOn w:val="DefaultParagraphFont"/>
    <w:uiPriority w:val="21"/>
    <w:qFormat/>
    <w:rsid w:val="00A374C3"/>
    <w:rPr>
      <w:i/>
      <w:iCs/>
      <w:color w:val="2F5496" w:themeColor="accent1" w:themeShade="BF"/>
    </w:rPr>
  </w:style>
  <w:style w:type="paragraph" w:styleId="IntenseQuote">
    <w:name w:val="Intense Quote"/>
    <w:basedOn w:val="Normal"/>
    <w:next w:val="Normal"/>
    <w:link w:val="IntenseQuoteChar"/>
    <w:uiPriority w:val="30"/>
    <w:qFormat/>
    <w:rsid w:val="00A374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74C3"/>
    <w:rPr>
      <w:i/>
      <w:iCs/>
      <w:color w:val="2F5496" w:themeColor="accent1" w:themeShade="BF"/>
    </w:rPr>
  </w:style>
  <w:style w:type="character" w:styleId="IntenseReference">
    <w:name w:val="Intense Reference"/>
    <w:basedOn w:val="DefaultParagraphFont"/>
    <w:uiPriority w:val="32"/>
    <w:qFormat/>
    <w:rsid w:val="00A374C3"/>
    <w:rPr>
      <w:b/>
      <w:bCs/>
      <w:smallCaps/>
      <w:color w:val="2F5496" w:themeColor="accent1" w:themeShade="BF"/>
      <w:spacing w:val="5"/>
    </w:rPr>
  </w:style>
  <w:style w:type="paragraph" w:styleId="NormalWeb">
    <w:name w:val="Normal (Web)"/>
    <w:basedOn w:val="Normal"/>
    <w:uiPriority w:val="99"/>
    <w:semiHidden/>
    <w:unhideWhenUsed/>
    <w:rsid w:val="000E1074"/>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0E1074"/>
    <w:rPr>
      <w:b/>
      <w:bCs/>
    </w:rPr>
  </w:style>
  <w:style w:type="character" w:styleId="Emphasis">
    <w:name w:val="Emphasis"/>
    <w:basedOn w:val="DefaultParagraphFont"/>
    <w:uiPriority w:val="20"/>
    <w:qFormat/>
    <w:rsid w:val="000E1074"/>
    <w:rPr>
      <w:i/>
      <w:iCs/>
    </w:rPr>
  </w:style>
  <w:style w:type="character" w:styleId="Hyperlink">
    <w:name w:val="Hyperlink"/>
    <w:basedOn w:val="DefaultParagraphFont"/>
    <w:uiPriority w:val="99"/>
    <w:unhideWhenUsed/>
    <w:rsid w:val="00B65CFE"/>
    <w:rPr>
      <w:color w:val="0563C1" w:themeColor="hyperlink"/>
      <w:u w:val="single"/>
    </w:rPr>
  </w:style>
  <w:style w:type="character" w:customStyle="1" w:styleId="relative">
    <w:name w:val="relative"/>
    <w:basedOn w:val="DefaultParagraphFont"/>
    <w:rsid w:val="00B65CFE"/>
  </w:style>
  <w:style w:type="paragraph" w:styleId="Header">
    <w:name w:val="header"/>
    <w:basedOn w:val="Normal"/>
    <w:link w:val="HeaderChar"/>
    <w:uiPriority w:val="99"/>
    <w:unhideWhenUsed/>
    <w:rsid w:val="00AF7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00F"/>
  </w:style>
  <w:style w:type="paragraph" w:styleId="Footer">
    <w:name w:val="footer"/>
    <w:basedOn w:val="Normal"/>
    <w:link w:val="FooterChar"/>
    <w:uiPriority w:val="99"/>
    <w:unhideWhenUsed/>
    <w:rsid w:val="00AF7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00F"/>
  </w:style>
  <w:style w:type="paragraph" w:styleId="BalloonText">
    <w:name w:val="Balloon Text"/>
    <w:basedOn w:val="Normal"/>
    <w:link w:val="BalloonTextChar"/>
    <w:uiPriority w:val="99"/>
    <w:semiHidden/>
    <w:unhideWhenUsed/>
    <w:rsid w:val="00CB5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290"/>
    <w:rPr>
      <w:rFonts w:ascii="Segoe UI" w:hAnsi="Segoe UI" w:cs="Segoe UI"/>
      <w:sz w:val="18"/>
      <w:szCs w:val="18"/>
    </w:rPr>
  </w:style>
  <w:style w:type="character" w:customStyle="1" w:styleId="identifier">
    <w:name w:val="identifier"/>
    <w:basedOn w:val="DefaultParagraphFont"/>
    <w:rsid w:val="00B642CA"/>
  </w:style>
  <w:style w:type="character" w:customStyle="1" w:styleId="id-label">
    <w:name w:val="id-label"/>
    <w:basedOn w:val="DefaultParagraphFont"/>
    <w:rsid w:val="00B64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630095">
      <w:bodyDiv w:val="1"/>
      <w:marLeft w:val="0"/>
      <w:marRight w:val="0"/>
      <w:marTop w:val="0"/>
      <w:marBottom w:val="0"/>
      <w:divBdr>
        <w:top w:val="none" w:sz="0" w:space="0" w:color="auto"/>
        <w:left w:val="none" w:sz="0" w:space="0" w:color="auto"/>
        <w:bottom w:val="none" w:sz="0" w:space="0" w:color="auto"/>
        <w:right w:val="none" w:sz="0" w:space="0" w:color="auto"/>
      </w:divBdr>
      <w:divsChild>
        <w:div w:id="1247495617">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451513001">
      <w:bodyDiv w:val="1"/>
      <w:marLeft w:val="0"/>
      <w:marRight w:val="0"/>
      <w:marTop w:val="0"/>
      <w:marBottom w:val="0"/>
      <w:divBdr>
        <w:top w:val="none" w:sz="0" w:space="0" w:color="auto"/>
        <w:left w:val="none" w:sz="0" w:space="0" w:color="auto"/>
        <w:bottom w:val="none" w:sz="0" w:space="0" w:color="auto"/>
        <w:right w:val="none" w:sz="0" w:space="0" w:color="auto"/>
      </w:divBdr>
    </w:div>
    <w:div w:id="1844010831">
      <w:bodyDiv w:val="1"/>
      <w:marLeft w:val="0"/>
      <w:marRight w:val="0"/>
      <w:marTop w:val="0"/>
      <w:marBottom w:val="0"/>
      <w:divBdr>
        <w:top w:val="none" w:sz="0" w:space="0" w:color="auto"/>
        <w:left w:val="none" w:sz="0" w:space="0" w:color="auto"/>
        <w:bottom w:val="none" w:sz="0" w:space="0" w:color="auto"/>
        <w:right w:val="none" w:sz="0" w:space="0" w:color="auto"/>
      </w:divBdr>
      <w:divsChild>
        <w:div w:id="980694212">
          <w:marLeft w:val="0"/>
          <w:marRight w:val="0"/>
          <w:marTop w:val="0"/>
          <w:marBottom w:val="0"/>
          <w:divBdr>
            <w:top w:val="none" w:sz="0" w:space="0" w:color="auto"/>
            <w:left w:val="none" w:sz="0" w:space="0" w:color="auto"/>
            <w:bottom w:val="none" w:sz="0" w:space="0" w:color="auto"/>
            <w:right w:val="none" w:sz="0" w:space="0" w:color="auto"/>
          </w:divBdr>
          <w:divsChild>
            <w:div w:id="83272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BJMMR/2016/23354?utm_source=chatgpt.com" TargetMode="External"/><Relationship Id="rId18" Type="http://schemas.openxmlformats.org/officeDocument/2006/relationships/hyperlink" Target="https://doi.org/10.1038/nature1145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38/nm.4345" TargetMode="External"/><Relationship Id="rId7" Type="http://schemas.openxmlformats.org/officeDocument/2006/relationships/hyperlink" Target="https://doi.org/10.1016/j.cmet.2021.05.004" TargetMode="External"/><Relationship Id="rId12" Type="http://schemas.openxmlformats.org/officeDocument/2006/relationships/hyperlink" Target="https://doi.org/10.1038/nature15766" TargetMode="External"/><Relationship Id="rId17" Type="http://schemas.openxmlformats.org/officeDocument/2006/relationships/hyperlink" Target="https://doi.org/10.1038/nm.4236" TargetMode="External"/><Relationship Id="rId25" Type="http://schemas.openxmlformats.org/officeDocument/2006/relationships/hyperlink" Target="https://doi.org/10.2174/011573399833682725011407162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38/s41591-024-03067-7" TargetMode="External"/><Relationship Id="rId20" Type="http://schemas.openxmlformats.org/officeDocument/2006/relationships/hyperlink" Target="https://doi.org/10.1136/gutjnl-2012-303839"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28/mBio.00478-21" TargetMode="External"/><Relationship Id="rId24" Type="http://schemas.openxmlformats.org/officeDocument/2006/relationships/hyperlink" Target="https://doi.org/10.1016/j.cmet.2024.12.01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86/s13059-021-02427-7" TargetMode="External"/><Relationship Id="rId23" Type="http://schemas.openxmlformats.org/officeDocument/2006/relationships/hyperlink" Target="https://doi.org/10.1038/s41564-021-00880-5" TargetMode="External"/><Relationship Id="rId28" Type="http://schemas.openxmlformats.org/officeDocument/2006/relationships/footer" Target="footer1.xml"/><Relationship Id="rId10" Type="http://schemas.openxmlformats.org/officeDocument/2006/relationships/hyperlink" Target="https://doi.org/10.1038/s41591-019-0495-2" TargetMode="External"/><Relationship Id="rId19" Type="http://schemas.openxmlformats.org/officeDocument/2006/relationships/hyperlink" Target="https://doi.org/10.1016/j.chom.2020.06.004"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2337/dc16-1324" TargetMode="External"/><Relationship Id="rId14" Type="http://schemas.openxmlformats.org/officeDocument/2006/relationships/hyperlink" Target="https://doi.org/10.1038/nature12198" TargetMode="External"/><Relationship Id="rId22" Type="http://schemas.openxmlformats.org/officeDocument/2006/relationships/hyperlink" Target="https://doi.org/10.1186/s13073-016-0271-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36/gutjnl-2014-3087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14</Pages>
  <Words>6694</Words>
  <Characters>38162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Editor-1183</cp:lastModifiedBy>
  <cp:revision>20</cp:revision>
  <dcterms:created xsi:type="dcterms:W3CDTF">2026-01-16T10:36:00Z</dcterms:created>
  <dcterms:modified xsi:type="dcterms:W3CDTF">2026-01-23T08:38:00Z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6b30cdd5-ac93-450f-a04b-4c6a4b1c7664</vt:lpwstr>
  </property>
</Properties>
</file>