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FBE9" w14:textId="77777777" w:rsidR="00F0497B" w:rsidRDefault="00F0497B" w:rsidP="00F0497B">
      <w:pPr>
        <w:spacing w:after="160" w:line="259" w:lineRule="auto"/>
        <w:rPr>
          <w:rFonts w:eastAsiaTheme="minorHAnsi"/>
          <w:kern w:val="2"/>
          <w:lang w:val="en-IN" w:eastAsia="en-US"/>
          <w14:ligatures w14:val="standardContextual"/>
        </w:rPr>
      </w:pPr>
    </w:p>
    <w:p w14:paraId="080987E6" w14:textId="77777777" w:rsidR="00B23458" w:rsidRPr="00B23458" w:rsidRDefault="00B23458" w:rsidP="00B23458">
      <w:pPr>
        <w:spacing w:after="200" w:line="276" w:lineRule="auto"/>
        <w:rPr>
          <w:rFonts w:eastAsia="MS Gothic"/>
          <w:b/>
          <w:bCs/>
          <w:i/>
          <w:iCs/>
          <w:color w:val="365F91"/>
          <w:sz w:val="32"/>
          <w:szCs w:val="32"/>
          <w:u w:val="single"/>
          <w:lang w:val="en-US" w:eastAsia="en-US"/>
        </w:rPr>
      </w:pPr>
      <w:r w:rsidRPr="00B23458">
        <w:rPr>
          <w:rFonts w:eastAsia="MS Gothic"/>
          <w:b/>
          <w:bCs/>
          <w:i/>
          <w:iCs/>
          <w:color w:val="365F91"/>
          <w:sz w:val="32"/>
          <w:szCs w:val="32"/>
          <w:u w:val="single"/>
          <w:lang w:val="en-US" w:eastAsia="en-US"/>
        </w:rPr>
        <w:t>Review Article</w:t>
      </w:r>
    </w:p>
    <w:p w14:paraId="70431260" w14:textId="77777777" w:rsidR="00F0497B" w:rsidRPr="00F0497B" w:rsidRDefault="00F0497B" w:rsidP="00F0497B">
      <w:pPr>
        <w:spacing w:after="200" w:line="276" w:lineRule="auto"/>
        <w:rPr>
          <w:rFonts w:eastAsia="MS Gothic"/>
          <w:b/>
          <w:bCs/>
          <w:color w:val="365F91"/>
          <w:sz w:val="32"/>
          <w:szCs w:val="32"/>
          <w:lang w:val="en-US" w:eastAsia="en-US"/>
        </w:rPr>
      </w:pPr>
      <w:r w:rsidRPr="00F0497B">
        <w:rPr>
          <w:rFonts w:eastAsia="MS Gothic"/>
          <w:b/>
          <w:bCs/>
          <w:color w:val="365F91"/>
          <w:sz w:val="32"/>
          <w:szCs w:val="32"/>
          <w:lang w:val="en-US" w:eastAsia="en-US"/>
        </w:rPr>
        <w:t xml:space="preserve">Dietary </w:t>
      </w:r>
      <w:proofErr w:type="spellStart"/>
      <w:r w:rsidRPr="00F0497B">
        <w:rPr>
          <w:rFonts w:eastAsia="MS Gothic"/>
          <w:b/>
          <w:bCs/>
          <w:color w:val="365F91"/>
          <w:sz w:val="32"/>
          <w:szCs w:val="32"/>
          <w:lang w:val="en-US" w:eastAsia="en-US"/>
        </w:rPr>
        <w:t>Bioactives</w:t>
      </w:r>
      <w:proofErr w:type="spellEnd"/>
      <w:r w:rsidRPr="00F0497B">
        <w:rPr>
          <w:rFonts w:eastAsia="MS Gothic"/>
          <w:b/>
          <w:bCs/>
          <w:color w:val="365F91"/>
          <w:sz w:val="32"/>
          <w:szCs w:val="32"/>
          <w:lang w:val="en-US" w:eastAsia="en-US"/>
        </w:rPr>
        <w:t xml:space="preserve"> as Genomic Regulators: A Critical Review of Gene Control, Biomarker Validation, and Translational Barriers in Nutrigenomics</w:t>
      </w:r>
    </w:p>
    <w:p w14:paraId="1FF1A4CF" w14:textId="77777777" w:rsidR="009B5CE1" w:rsidRDefault="009B5CE1" w:rsidP="00F0497B">
      <w:pPr>
        <w:spacing w:after="200" w:line="276" w:lineRule="auto"/>
        <w:rPr>
          <w:rFonts w:eastAsia="MS Mincho"/>
          <w:lang w:val="en-US" w:eastAsia="en-US"/>
        </w:rPr>
      </w:pPr>
    </w:p>
    <w:p w14:paraId="010012C0" w14:textId="03C10BE3" w:rsidR="00F0497B" w:rsidRPr="00F0497B" w:rsidRDefault="001F6210" w:rsidP="00F0497B">
      <w:pPr>
        <w:spacing w:after="200" w:line="276" w:lineRule="auto"/>
        <w:rPr>
          <w:rFonts w:eastAsia="MS Mincho"/>
          <w:lang w:val="en-US" w:eastAsia="en-US"/>
        </w:rPr>
      </w:pPr>
      <w:proofErr w:type="gramStart"/>
      <w:r>
        <w:rPr>
          <w:rFonts w:eastAsia="MS Mincho"/>
          <w:lang w:val="en-US" w:eastAsia="en-US"/>
        </w:rPr>
        <w:t>Abstract :</w:t>
      </w:r>
      <w:proofErr w:type="gramEnd"/>
      <w:r>
        <w:rPr>
          <w:rFonts w:eastAsia="MS Mincho"/>
          <w:lang w:val="en-US" w:eastAsia="en-US"/>
        </w:rPr>
        <w:t xml:space="preserve"> </w:t>
      </w:r>
    </w:p>
    <w:p w14:paraId="54E5E037" w14:textId="77777777" w:rsidR="00F05CC2" w:rsidRPr="002776C6" w:rsidRDefault="00F05CC2" w:rsidP="00F05CC2">
      <w:pPr>
        <w:spacing w:line="360" w:lineRule="auto"/>
        <w:jc w:val="both"/>
      </w:pPr>
      <w:r w:rsidRPr="002776C6">
        <w:t>Nutrigenomics integrates disciplines such as bioinformatics, molecular biology, and genomics to identify genes and genetic predispositions affecting the risk of diet-related disorders</w:t>
      </w:r>
      <w:r>
        <w:t xml:space="preserve">. </w:t>
      </w:r>
      <w:r w:rsidRPr="002776C6">
        <w:t xml:space="preserve">This </w:t>
      </w:r>
      <w:r>
        <w:t>review</w:t>
      </w:r>
      <w:r w:rsidRPr="002776C6">
        <w:t xml:space="preserve"> presents a Narrative and Critical Review of the literature, focusing on transparency in combining evidence for complex and rapidly changing fields.</w:t>
      </w:r>
      <w:r>
        <w:t xml:space="preserve"> </w:t>
      </w:r>
      <w:r w:rsidRPr="002776C6">
        <w:t>The reviewed literature underwent critical analysis to assess the strengths and weaknesses of current evidence and identify research gaps.</w:t>
      </w:r>
      <w:r>
        <w:t xml:space="preserve"> The</w:t>
      </w:r>
      <w:r w:rsidRPr="002776C6">
        <w:t xml:space="preserve"> methodology ensures that the review not only summarizes key findings but also provides a clear framework for future research directions and discussions on personalized nutrition.</w:t>
      </w:r>
      <w:r>
        <w:t xml:space="preserve"> </w:t>
      </w:r>
      <w:r w:rsidRPr="002776C6">
        <w:rPr>
          <w:lang w:val="en-IN"/>
        </w:rPr>
        <w:t>The interaction between nutritional and genetic factors is continuous, with nutrients influencing DNA metabolism and gene expression, while genetic variants influence dietary habits</w:t>
      </w:r>
      <w:r>
        <w:rPr>
          <w:lang w:val="en-IN"/>
        </w:rPr>
        <w:t xml:space="preserve">. </w:t>
      </w:r>
      <w:r w:rsidRPr="002776C6">
        <w:rPr>
          <w:lang w:val="en-IN"/>
        </w:rPr>
        <w:t>Oxidative stress plays a critical role in the pathogenesis of type 2 diabetes mellitus (T2DM), contributing to insulin resistance and beta-cell dysfunction. Consequently, genes such as NFE2 and NFE2L2, which regulate antioxidant protein expression, are promising targets for mitigation</w:t>
      </w:r>
      <w:r>
        <w:rPr>
          <w:lang w:val="en-IN"/>
        </w:rPr>
        <w:t xml:space="preserve">. </w:t>
      </w:r>
      <w:r w:rsidRPr="002776C6">
        <w:t xml:space="preserve">Precision nutrition is an ambitious </w:t>
      </w:r>
      <w:proofErr w:type="spellStart"/>
      <w:r w:rsidRPr="002776C6">
        <w:t>endeavor</w:t>
      </w:r>
      <w:proofErr w:type="spellEnd"/>
      <w:r w:rsidRPr="002776C6">
        <w:t xml:space="preserve"> requiring a thorough quantitative understanding of the intricate relationships between an individual's dietary habits, their unique genetic makeup, and their overall health status to deliver precisely tailored and proven beneficial interventions</w:t>
      </w:r>
      <w:r>
        <w:t xml:space="preserve">. </w:t>
      </w:r>
      <w:r w:rsidRPr="002776C6">
        <w:t>Nutrigenomics must be considered in conjunction with other critical factors like lifestyle, environment, and cultural influences, as genes are not the sole determinants of an individual’s health. Overcoming these scientific, systemic, and ethical challenges is essential to harness the full potential of nutrigenomics and provide effective, personalized nutrition guidance globally</w:t>
      </w:r>
      <w:r>
        <w:t>.</w:t>
      </w:r>
    </w:p>
    <w:p w14:paraId="3474A9FB" w14:textId="24E54E23" w:rsidR="00F0497B" w:rsidRDefault="00F05CC2" w:rsidP="00CE1DA1">
      <w:pPr>
        <w:rPr>
          <w:rFonts w:eastAsiaTheme="majorEastAsia"/>
          <w:b/>
          <w:bCs/>
          <w:color w:val="2F5496" w:themeColor="accent1" w:themeShade="BF"/>
          <w:sz w:val="32"/>
          <w:szCs w:val="32"/>
        </w:rPr>
      </w:pPr>
      <w:r>
        <w:rPr>
          <w:rFonts w:eastAsiaTheme="majorEastAsia"/>
          <w:b/>
          <w:bCs/>
          <w:color w:val="2F5496" w:themeColor="accent1" w:themeShade="BF"/>
          <w:sz w:val="32"/>
          <w:szCs w:val="32"/>
        </w:rPr>
        <w:t xml:space="preserve">Keywords: </w:t>
      </w:r>
      <w:r w:rsidRPr="002776C6">
        <w:t>Nutrigenomics</w:t>
      </w:r>
      <w:r>
        <w:t xml:space="preserve">, </w:t>
      </w:r>
      <w:r w:rsidRPr="002776C6">
        <w:rPr>
          <w:lang w:val="en-IN"/>
        </w:rPr>
        <w:t>diabetes mellitus</w:t>
      </w:r>
      <w:r>
        <w:rPr>
          <w:lang w:val="en-IN"/>
        </w:rPr>
        <w:t xml:space="preserve">, </w:t>
      </w:r>
      <w:r w:rsidRPr="002776C6">
        <w:rPr>
          <w:lang w:val="en-IN"/>
        </w:rPr>
        <w:t>pathogenesis</w:t>
      </w:r>
      <w:r>
        <w:rPr>
          <w:lang w:val="en-IN"/>
        </w:rPr>
        <w:t xml:space="preserve">, </w:t>
      </w:r>
      <w:r w:rsidRPr="002776C6">
        <w:t>DNA sequencing</w:t>
      </w:r>
      <w:r>
        <w:t xml:space="preserve">, </w:t>
      </w:r>
      <w:r w:rsidRPr="002776C6">
        <w:t>homeostasis</w:t>
      </w:r>
    </w:p>
    <w:p w14:paraId="562EA6B2" w14:textId="1F8994B2" w:rsidR="004319C8" w:rsidRPr="002776C6" w:rsidRDefault="004319C8" w:rsidP="006B6716">
      <w:pPr>
        <w:pStyle w:val="Paragraph"/>
        <w:numPr>
          <w:ilvl w:val="0"/>
          <w:numId w:val="33"/>
        </w:numPr>
        <w:spacing w:line="360" w:lineRule="auto"/>
        <w:jc w:val="both"/>
        <w:rPr>
          <w:b/>
          <w:bCs/>
          <w:kern w:val="32"/>
        </w:rPr>
      </w:pPr>
      <w:r w:rsidRPr="002776C6">
        <w:rPr>
          <w:b/>
          <w:bCs/>
          <w:kern w:val="32"/>
        </w:rPr>
        <w:lastRenderedPageBreak/>
        <w:t>Introduction</w:t>
      </w:r>
    </w:p>
    <w:p w14:paraId="11211012" w14:textId="64A6C33E" w:rsidR="00FC5981" w:rsidRPr="002776C6" w:rsidRDefault="00634E26" w:rsidP="002776C6">
      <w:pPr>
        <w:spacing w:line="360" w:lineRule="auto"/>
        <w:jc w:val="both"/>
      </w:pPr>
      <w:r w:rsidRPr="002776C6">
        <w:t>Nutritional science has fundamentally shifted its focus from identifying essential vitamins and minerals and preventing deficiency diseases, a primary goal throughout much of the 20th century, toward addressing complex chronic health issues like overnutrition, obesity, and type-2 diabetes in the developed world (</w:t>
      </w:r>
      <w:proofErr w:type="spellStart"/>
      <w:r w:rsidRPr="002776C6">
        <w:t>Mozaffarian</w:t>
      </w:r>
      <w:proofErr w:type="spellEnd"/>
      <w:r w:rsidRPr="002776C6">
        <w:t xml:space="preserve"> et al., 2018). Maintaining and optimizing homeostasis in the body's cells, tissues, and organs to prevent the onset of various disorders now requires an understanding of how nutrients function at a molecular level. This crucial shift in research from Epidemiology and Physiology to Molecular Biology and Genetics established the field of nutrigenomics.</w:t>
      </w:r>
      <w:r w:rsidR="00FC5981" w:rsidRPr="002776C6">
        <w:t xml:space="preserve"> Human Genome Project in the 1990s and the subsequent mapping of human DNA sequencing ushered in the 'era of big science,' marking the birth of the modern discipline of Nutrigenomics. The term </w:t>
      </w:r>
    </w:p>
    <w:p w14:paraId="413F1E8C" w14:textId="145E5378" w:rsidR="00634E26" w:rsidRPr="002776C6" w:rsidRDefault="00FC5981" w:rsidP="002776C6">
      <w:pPr>
        <w:spacing w:line="360" w:lineRule="auto"/>
        <w:jc w:val="both"/>
      </w:pPr>
      <w:r w:rsidRPr="002776C6">
        <w:t xml:space="preserve">'nutrigenomics,' coined by Peregrin in 2001, became central to the study of gene-nutrition interactions. As lifestyle changes increase vulnerability to diet-related issues, advancing research in this area is essential. </w:t>
      </w:r>
      <w:r w:rsidR="00634E26" w:rsidRPr="002776C6">
        <w:t xml:space="preserve"> Diet and environment are the two primary factors influencing an individual's health or disease status. Nutrigenomics uses molecular methods to investigate the effects of diet on individuals or population groups (</w:t>
      </w:r>
      <w:proofErr w:type="spellStart"/>
      <w:r w:rsidR="00634E26" w:rsidRPr="002776C6">
        <w:t>Bassaganya</w:t>
      </w:r>
      <w:proofErr w:type="spellEnd"/>
      <w:r w:rsidR="00634E26" w:rsidRPr="002776C6">
        <w:t xml:space="preserve"> et al., 2025). This discipline focuses on how dietary components, particularly bioactive compounds, impact gene expression—either enhancing or inhibiting it—to modulate gene activity. The core concept is that dietary chemicals control genomic expression, with changes in gene expression or protein and enzyme activity driving the transition from a healthy to a chronic disease phenotype (Cena and Calder 2020). </w:t>
      </w:r>
      <w:bookmarkStart w:id="0" w:name="_Hlk218931793"/>
      <w:r w:rsidR="00634E26" w:rsidRPr="002776C6">
        <w:t xml:space="preserve">Nutrigenomics integrates disciplines such as bioinformatics, molecular biology, and genomics to identify genes and genetic predispositions affecting the risk of diet-related disorders </w:t>
      </w:r>
      <w:bookmarkEnd w:id="0"/>
      <w:r w:rsidR="00634E26" w:rsidRPr="002776C6">
        <w:t xml:space="preserve">(Garg et al., 2014). As the interplay between diet, lifestyle, and genetics increases vulnerability to chronic diseases, advancing research in this area is essential. This review moves beyond a general descriptive overview to offer a critical analysis of how dietary </w:t>
      </w:r>
      <w:proofErr w:type="spellStart"/>
      <w:r w:rsidR="00634E26" w:rsidRPr="002776C6">
        <w:t>bioactives</w:t>
      </w:r>
      <w:proofErr w:type="spellEnd"/>
      <w:r w:rsidR="00634E26" w:rsidRPr="002776C6">
        <w:t xml:space="preserve"> act as genomic regulators through mechanisms of gene control. Furthermore, we critically assess the current scientific progress against the chief obstacles to implementing precision nutrition: the necessity for rigorous biomarker validation and overcoming significant translational barriers for global implementation.</w:t>
      </w:r>
    </w:p>
    <w:p w14:paraId="42633E23" w14:textId="5A427C3D" w:rsidR="00F640E2" w:rsidRPr="002776C6" w:rsidRDefault="00F640E2" w:rsidP="002776C6">
      <w:pPr>
        <w:pStyle w:val="ListParagraph"/>
        <w:numPr>
          <w:ilvl w:val="0"/>
          <w:numId w:val="32"/>
        </w:numPr>
        <w:spacing w:line="360" w:lineRule="auto"/>
        <w:jc w:val="both"/>
        <w:rPr>
          <w:b/>
          <w:bCs/>
        </w:rPr>
      </w:pPr>
      <w:r w:rsidRPr="002776C6">
        <w:rPr>
          <w:b/>
          <w:bCs/>
        </w:rPr>
        <w:t xml:space="preserve">Review Methodology  </w:t>
      </w:r>
    </w:p>
    <w:p w14:paraId="74539C4E" w14:textId="77777777" w:rsidR="00F640E2" w:rsidRPr="002776C6" w:rsidRDefault="00F640E2" w:rsidP="002776C6">
      <w:pPr>
        <w:spacing w:line="360" w:lineRule="auto"/>
        <w:jc w:val="both"/>
      </w:pPr>
      <w:bookmarkStart w:id="1" w:name="_Hlk218931808"/>
      <w:r w:rsidRPr="002776C6">
        <w:t xml:space="preserve">This article presents a Narrative and Critical Review of the literature, focusing on transparency in combining evidence for complex and rapidly changing fields. </w:t>
      </w:r>
      <w:bookmarkEnd w:id="1"/>
      <w:r w:rsidRPr="002776C6">
        <w:t xml:space="preserve">This approach aims to go beyond basic data collection and offer a critical evaluation of </w:t>
      </w:r>
      <w:r w:rsidRPr="002776C6">
        <w:lastRenderedPageBreak/>
        <w:t>molecular mechanisms and challenges in applying findings, rather than addressing a single systematic review question.</w:t>
      </w:r>
    </w:p>
    <w:p w14:paraId="0D3C77A6" w14:textId="6E7B92E9" w:rsidR="00F640E2" w:rsidRPr="002776C6" w:rsidRDefault="002776C6" w:rsidP="002776C6">
      <w:pPr>
        <w:pStyle w:val="ListParagraph"/>
        <w:numPr>
          <w:ilvl w:val="1"/>
          <w:numId w:val="32"/>
        </w:numPr>
        <w:spacing w:line="360" w:lineRule="auto"/>
        <w:jc w:val="both"/>
        <w:rPr>
          <w:b/>
          <w:bCs/>
        </w:rPr>
      </w:pPr>
      <w:r w:rsidRPr="002776C6">
        <w:rPr>
          <w:b/>
          <w:bCs/>
        </w:rPr>
        <w:t xml:space="preserve"> </w:t>
      </w:r>
      <w:r w:rsidR="00F640E2" w:rsidRPr="002776C6">
        <w:rPr>
          <w:b/>
          <w:bCs/>
        </w:rPr>
        <w:t xml:space="preserve">Literature Search and Scope  </w:t>
      </w:r>
    </w:p>
    <w:p w14:paraId="63C6DE4A" w14:textId="77777777" w:rsidR="00F640E2" w:rsidRPr="002776C6" w:rsidRDefault="00F640E2" w:rsidP="002776C6">
      <w:pPr>
        <w:spacing w:line="360" w:lineRule="auto"/>
        <w:jc w:val="both"/>
      </w:pPr>
      <w:r w:rsidRPr="002776C6">
        <w:t xml:space="preserve">The review concentrated on two main themes: Dietary </w:t>
      </w:r>
      <w:proofErr w:type="spellStart"/>
      <w:r w:rsidRPr="002776C6">
        <w:t>Bioactives</w:t>
      </w:r>
      <w:proofErr w:type="spellEnd"/>
      <w:r w:rsidRPr="002776C6">
        <w:t xml:space="preserve"> as Genomic Regulators and the Barriers to precision nutrition. The literature search was conducted systematically across major electronic databases, including PubMed, Scopus, and Google Scholar. Key search term combinations included:</w:t>
      </w:r>
    </w:p>
    <w:p w14:paraId="4DBE2F46" w14:textId="77777777" w:rsidR="00F640E2" w:rsidRPr="002776C6" w:rsidRDefault="00F640E2" w:rsidP="002776C6">
      <w:pPr>
        <w:spacing w:line="360" w:lineRule="auto"/>
        <w:jc w:val="both"/>
      </w:pPr>
      <w:r w:rsidRPr="002776C6">
        <w:t xml:space="preserve">Mechanistic Targets: "Dietary </w:t>
      </w:r>
      <w:proofErr w:type="spellStart"/>
      <w:r w:rsidRPr="002776C6">
        <w:t>Bioactives</w:t>
      </w:r>
      <w:proofErr w:type="spellEnd"/>
      <w:r w:rsidRPr="002776C6">
        <w:t>," "Genomic Regulators," "Epigenetic Control," "NRF2," "NF-</w:t>
      </w:r>
      <w:proofErr w:type="spellStart"/>
      <w:r w:rsidRPr="002776C6">
        <w:t>κB</w:t>
      </w:r>
      <w:proofErr w:type="spellEnd"/>
      <w:r w:rsidRPr="002776C6">
        <w:t>," and "FFAR1."</w:t>
      </w:r>
    </w:p>
    <w:p w14:paraId="6BE3BD5C" w14:textId="77777777" w:rsidR="00F640E2" w:rsidRPr="002776C6" w:rsidRDefault="00F640E2" w:rsidP="002776C6">
      <w:pPr>
        <w:spacing w:line="360" w:lineRule="auto"/>
        <w:jc w:val="both"/>
      </w:pPr>
      <w:r w:rsidRPr="002776C6">
        <w:t>Translational Hurdles: "Precision Nutrition," "Biomarker Validation," "Translational Barriers," and "Global Health Equity."</w:t>
      </w:r>
    </w:p>
    <w:p w14:paraId="00BE8EC5" w14:textId="379B7AFC" w:rsidR="00F640E2" w:rsidRPr="002776C6" w:rsidRDefault="00F640E2" w:rsidP="002776C6">
      <w:pPr>
        <w:spacing w:line="360" w:lineRule="auto"/>
        <w:jc w:val="both"/>
      </w:pPr>
      <w:r w:rsidRPr="002776C6">
        <w:t xml:space="preserve">Priority was given to: (1) Original research and high-quality reviews published within the last five years to ensure relevance; and (2) Studies that detailed specific molecular mechanisms or measurable molecular targets, such as enzyme kinetics, EC 50 </w:t>
      </w:r>
    </w:p>
    <w:p w14:paraId="2977CA40" w14:textId="77777777" w:rsidR="00F640E2" w:rsidRPr="002776C6" w:rsidRDefault="00F640E2" w:rsidP="002776C6">
      <w:pPr>
        <w:spacing w:line="360" w:lineRule="auto"/>
        <w:jc w:val="both"/>
      </w:pPr>
      <w:r w:rsidRPr="002776C6">
        <w:t>values, and DNA methylation percentages, that support the argument for Biomarker Validation.</w:t>
      </w:r>
    </w:p>
    <w:p w14:paraId="775BCE02" w14:textId="058C38E8" w:rsidR="00F640E2" w:rsidRPr="002776C6" w:rsidRDefault="00F640E2" w:rsidP="002776C6">
      <w:pPr>
        <w:pStyle w:val="ListParagraph"/>
        <w:numPr>
          <w:ilvl w:val="1"/>
          <w:numId w:val="32"/>
        </w:numPr>
        <w:spacing w:line="360" w:lineRule="auto"/>
        <w:jc w:val="both"/>
        <w:rPr>
          <w:b/>
          <w:bCs/>
        </w:rPr>
      </w:pPr>
      <w:r w:rsidRPr="002776C6">
        <w:rPr>
          <w:b/>
          <w:bCs/>
        </w:rPr>
        <w:t xml:space="preserve">Critical Analysis and Synthesis  </w:t>
      </w:r>
    </w:p>
    <w:p w14:paraId="17FB0E1A" w14:textId="77777777" w:rsidR="00F640E2" w:rsidRPr="002776C6" w:rsidRDefault="00F640E2" w:rsidP="002776C6">
      <w:pPr>
        <w:spacing w:line="360" w:lineRule="auto"/>
        <w:jc w:val="both"/>
      </w:pPr>
      <w:bookmarkStart w:id="2" w:name="_Hlk218931833"/>
      <w:r w:rsidRPr="002776C6">
        <w:t xml:space="preserve">The reviewed literature underwent critical analysis to assess the strengths and weaknesses of current evidence and identify research gaps. </w:t>
      </w:r>
      <w:bookmarkEnd w:id="2"/>
      <w:r w:rsidRPr="002776C6">
        <w:t>The synthesis process included:</w:t>
      </w:r>
    </w:p>
    <w:p w14:paraId="07EA9203" w14:textId="77777777" w:rsidR="00F640E2" w:rsidRPr="002776C6" w:rsidRDefault="00F640E2" w:rsidP="002776C6">
      <w:pPr>
        <w:spacing w:line="360" w:lineRule="auto"/>
        <w:jc w:val="both"/>
      </w:pPr>
      <w:r w:rsidRPr="002776C6">
        <w:t xml:space="preserve">Mechanistic Mapping: Organizing literature by specific Gene Control pathways, such as the Nrf2 </w:t>
      </w:r>
      <w:proofErr w:type="spellStart"/>
      <w:r w:rsidRPr="002776C6">
        <w:t>signaling</w:t>
      </w:r>
      <w:proofErr w:type="spellEnd"/>
      <w:r w:rsidRPr="002776C6">
        <w:t xml:space="preserve"> pathway and NF-</w:t>
      </w:r>
      <w:proofErr w:type="spellStart"/>
      <w:r w:rsidRPr="002776C6">
        <w:t>κB</w:t>
      </w:r>
      <w:proofErr w:type="spellEnd"/>
      <w:r w:rsidRPr="002776C6">
        <w:t xml:space="preserve"> inhibition, to confirm the role of </w:t>
      </w:r>
      <w:proofErr w:type="spellStart"/>
      <w:r w:rsidRPr="002776C6">
        <w:t>bioactives</w:t>
      </w:r>
      <w:proofErr w:type="spellEnd"/>
      <w:r w:rsidRPr="002776C6">
        <w:t xml:space="preserve"> as genomic regulators.</w:t>
      </w:r>
    </w:p>
    <w:p w14:paraId="34CC04A0" w14:textId="77777777" w:rsidR="00F640E2" w:rsidRPr="002776C6" w:rsidRDefault="00F640E2" w:rsidP="002776C6">
      <w:pPr>
        <w:spacing w:line="360" w:lineRule="auto"/>
        <w:jc w:val="both"/>
      </w:pPr>
      <w:r w:rsidRPr="002776C6">
        <w:t>Translational Gap Identification: Evaluating clinical trial outcomes, such as Food4Me, against the logistical and resource demands of multi-omics technologies, including genomics, proteomics, metabolomics, and transcriptomics, to outline the barriers to global implementation.</w:t>
      </w:r>
    </w:p>
    <w:p w14:paraId="249D5352" w14:textId="0079D11A" w:rsidR="00F640E2" w:rsidRPr="002776C6" w:rsidRDefault="00F640E2" w:rsidP="002776C6">
      <w:pPr>
        <w:spacing w:line="360" w:lineRule="auto"/>
        <w:jc w:val="both"/>
      </w:pPr>
      <w:bookmarkStart w:id="3" w:name="_Hlk218931839"/>
      <w:r w:rsidRPr="002776C6">
        <w:t>This methodology ensures that the review not only summarizes key findings but also provides a clear framework for future research directions and discussions on personalized nutrition.</w:t>
      </w:r>
    </w:p>
    <w:bookmarkEnd w:id="3"/>
    <w:p w14:paraId="0023813A" w14:textId="77777777" w:rsidR="00F640E2" w:rsidRPr="002776C6" w:rsidRDefault="00F640E2" w:rsidP="002776C6">
      <w:pPr>
        <w:pStyle w:val="Newparagraph"/>
        <w:spacing w:line="360" w:lineRule="auto"/>
        <w:ind w:firstLine="0"/>
        <w:jc w:val="both"/>
        <w:rPr>
          <w:b/>
          <w:bCs/>
          <w:lang w:val="en-IN"/>
        </w:rPr>
      </w:pPr>
    </w:p>
    <w:p w14:paraId="42D472B4" w14:textId="006085B5" w:rsidR="009F13CF" w:rsidRPr="002776C6" w:rsidRDefault="009F13CF" w:rsidP="002776C6">
      <w:pPr>
        <w:pStyle w:val="Newparagraph"/>
        <w:numPr>
          <w:ilvl w:val="0"/>
          <w:numId w:val="32"/>
        </w:numPr>
        <w:spacing w:line="360" w:lineRule="auto"/>
        <w:jc w:val="both"/>
        <w:rPr>
          <w:b/>
          <w:bCs/>
          <w:lang w:val="en-IN"/>
        </w:rPr>
      </w:pPr>
      <w:r w:rsidRPr="002776C6">
        <w:rPr>
          <w:b/>
          <w:bCs/>
          <w:lang w:val="en-IN"/>
        </w:rPr>
        <w:t>Genetics and Nutrition</w:t>
      </w:r>
    </w:p>
    <w:p w14:paraId="25E1F5FA" w14:textId="77777777" w:rsidR="009F13CF" w:rsidRDefault="009F13CF" w:rsidP="002776C6">
      <w:pPr>
        <w:pStyle w:val="Newparagraph"/>
        <w:spacing w:line="360" w:lineRule="auto"/>
        <w:jc w:val="both"/>
        <w:rPr>
          <w:lang w:val="en-IN"/>
        </w:rPr>
      </w:pPr>
      <w:r w:rsidRPr="002776C6">
        <w:rPr>
          <w:lang w:val="en-IN"/>
        </w:rPr>
        <w:t xml:space="preserve">Individual responses to nutrient therapy vary widely due to genetic diversity, which influences the absorption, processing, and utilization of nutrients (Khan et al., 2021). While the human genome is approximately 99.9% identical among individuals, </w:t>
      </w:r>
      <w:r w:rsidRPr="002776C6">
        <w:rPr>
          <w:lang w:val="en-IN"/>
        </w:rPr>
        <w:lastRenderedPageBreak/>
        <w:t>the remaining 0.1% accounts for significant differences in traits, disease susceptibility, and responses to diets and drugs. These genetic variations are critical in determining protein function, gene expression, and nutrient-gene interactions (Wittwer et al., 2018). This interplay between genes and the environment is bidirectional: it shapes how genes are expressed and how nutrients affect the body. Genetic adaptability, for instance, might confer survival advantages during nutrient scarcity but can pose health risks under conditions of abundance in certain genetic profiles (</w:t>
      </w:r>
      <w:proofErr w:type="spellStart"/>
      <w:r w:rsidRPr="002776C6">
        <w:rPr>
          <w:lang w:val="en-IN"/>
        </w:rPr>
        <w:t>Mertaş</w:t>
      </w:r>
      <w:proofErr w:type="spellEnd"/>
      <w:r w:rsidRPr="002776C6">
        <w:rPr>
          <w:lang w:val="en-IN"/>
        </w:rPr>
        <w:t xml:space="preserve"> and </w:t>
      </w:r>
      <w:proofErr w:type="spellStart"/>
      <w:r w:rsidRPr="002776C6">
        <w:rPr>
          <w:lang w:val="en-IN"/>
        </w:rPr>
        <w:t>Boşgelmez</w:t>
      </w:r>
      <w:proofErr w:type="spellEnd"/>
      <w:r w:rsidRPr="002776C6">
        <w:rPr>
          <w:lang w:val="en-IN"/>
        </w:rPr>
        <w:t xml:space="preserve">, 2025). Understanding these variations provides the foundation for nutrigenetics, which examines how an individual’s genetic makeup influences nutrient responses, and nutrigenomics, which focuses on how dietary components affect gene expression through mechanisms such as epigenetic modification (Ahmed et al., 2020). These insights affirm that dietary recommendations cannot follow a one-size-fits-all model. To illustrate these concepts, single nucleotide polymorphisms (SNPs)—small genetic variations—significantly impact enzyme function and nutrient metabolism (Kelley et al., 2022). For example, SNPs in the ADRB2 gene, which regulates energy, have been linked to altered carbohydrate and fat metabolism, contributing to a higher risk of obesity and type 2 diabetes mellitus in susceptible individuals (Jinnette et al., 2021). </w:t>
      </w:r>
    </w:p>
    <w:p w14:paraId="04FFD468" w14:textId="77777777" w:rsidR="002776C6" w:rsidRDefault="002776C6" w:rsidP="002776C6">
      <w:pPr>
        <w:pStyle w:val="Newparagraph"/>
        <w:spacing w:line="360" w:lineRule="auto"/>
        <w:jc w:val="both"/>
        <w:rPr>
          <w:lang w:val="en-IN"/>
        </w:rPr>
      </w:pPr>
    </w:p>
    <w:p w14:paraId="21243CAD" w14:textId="77777777" w:rsidR="002776C6" w:rsidRPr="002776C6" w:rsidRDefault="002776C6" w:rsidP="002776C6">
      <w:pPr>
        <w:pStyle w:val="Newparagraph"/>
        <w:spacing w:line="360" w:lineRule="auto"/>
        <w:jc w:val="both"/>
        <w:rPr>
          <w:lang w:val="en-IN"/>
        </w:rPr>
      </w:pPr>
    </w:p>
    <w:p w14:paraId="6B414ACA" w14:textId="5C578851" w:rsidR="009F13CF" w:rsidRPr="002776C6" w:rsidRDefault="002776C6" w:rsidP="002776C6">
      <w:pPr>
        <w:pStyle w:val="Newparagraph"/>
        <w:numPr>
          <w:ilvl w:val="1"/>
          <w:numId w:val="32"/>
        </w:numPr>
        <w:spacing w:line="360" w:lineRule="auto"/>
        <w:jc w:val="both"/>
        <w:rPr>
          <w:b/>
          <w:bCs/>
          <w:lang w:val="en-IN"/>
        </w:rPr>
      </w:pPr>
      <w:r w:rsidRPr="002776C6">
        <w:rPr>
          <w:b/>
          <w:bCs/>
          <w:lang w:val="en-IN"/>
        </w:rPr>
        <w:t xml:space="preserve"> </w:t>
      </w:r>
      <w:r w:rsidR="009F13CF" w:rsidRPr="002776C6">
        <w:rPr>
          <w:b/>
          <w:bCs/>
          <w:lang w:val="en-IN"/>
        </w:rPr>
        <w:t>Bioactive Compounds as Key Regulators</w:t>
      </w:r>
    </w:p>
    <w:p w14:paraId="4A9B4B7D" w14:textId="77777777" w:rsidR="009F13CF" w:rsidRPr="002776C6" w:rsidRDefault="009F13CF" w:rsidP="002776C6">
      <w:pPr>
        <w:pStyle w:val="Newparagraph"/>
        <w:spacing w:line="360" w:lineRule="auto"/>
        <w:jc w:val="both"/>
        <w:rPr>
          <w:lang w:val="en-IN"/>
        </w:rPr>
      </w:pPr>
      <w:bookmarkStart w:id="4" w:name="_Hlk218931865"/>
      <w:r w:rsidRPr="002776C6">
        <w:rPr>
          <w:lang w:val="en-IN"/>
        </w:rPr>
        <w:t xml:space="preserve">The interaction between nutritional and genetic factors is continuous, with nutrients influencing DNA metabolism and gene expression, while genetic variants influence dietary habits </w:t>
      </w:r>
      <w:bookmarkEnd w:id="4"/>
      <w:r w:rsidRPr="002776C6">
        <w:rPr>
          <w:lang w:val="en-IN"/>
        </w:rPr>
        <w:t>(Vyas, 2022). Nutritional signals are highly significant environmental factors influencing gene expression, especially in processes related to energy metabolism and cell differentiation (</w:t>
      </w:r>
      <w:proofErr w:type="spellStart"/>
      <w:r w:rsidRPr="002776C6">
        <w:rPr>
          <w:lang w:val="en-IN"/>
        </w:rPr>
        <w:t>Franzago</w:t>
      </w:r>
      <w:proofErr w:type="spellEnd"/>
      <w:r w:rsidRPr="002776C6">
        <w:rPr>
          <w:lang w:val="en-IN"/>
        </w:rPr>
        <w:t xml:space="preserve">, 2020). Crucially, bioactive compounds in foods, such as polyphenols and phytochemicals, directly modulate the activity of genes involved in inflammation and oxidative stress, demonstrating how diet fundamentally affects health outcomes (Dable-Tupas et al., 2023). These components can modify various cellular functions, including hormonal balance, cell </w:t>
      </w:r>
      <w:proofErr w:type="spellStart"/>
      <w:r w:rsidRPr="002776C6">
        <w:rPr>
          <w:lang w:val="en-IN"/>
        </w:rPr>
        <w:t>signaling</w:t>
      </w:r>
      <w:proofErr w:type="spellEnd"/>
      <w:r w:rsidRPr="002776C6">
        <w:rPr>
          <w:lang w:val="en-IN"/>
        </w:rPr>
        <w:t>, apoptosis, and carcinogen metabolism (Krawczyk et al., 2023)</w:t>
      </w:r>
    </w:p>
    <w:p w14:paraId="42DF1AB3" w14:textId="256F06B5" w:rsidR="009F13CF" w:rsidRPr="002776C6" w:rsidRDefault="002776C6" w:rsidP="002776C6">
      <w:pPr>
        <w:pStyle w:val="Newparagraph"/>
        <w:numPr>
          <w:ilvl w:val="1"/>
          <w:numId w:val="32"/>
        </w:numPr>
        <w:spacing w:line="360" w:lineRule="auto"/>
        <w:jc w:val="both"/>
        <w:rPr>
          <w:b/>
          <w:bCs/>
          <w:lang w:val="en-IN"/>
        </w:rPr>
      </w:pPr>
      <w:r w:rsidRPr="002776C6">
        <w:rPr>
          <w:b/>
          <w:bCs/>
          <w:lang w:val="en-IN"/>
        </w:rPr>
        <w:t xml:space="preserve"> </w:t>
      </w:r>
      <w:r w:rsidR="009F13CF" w:rsidRPr="002776C6">
        <w:rPr>
          <w:b/>
          <w:bCs/>
          <w:lang w:val="en-IN"/>
        </w:rPr>
        <w:t>Multi-Omics for Precision</w:t>
      </w:r>
    </w:p>
    <w:p w14:paraId="5328C1DF" w14:textId="77777777" w:rsidR="009F13CF" w:rsidRPr="002776C6" w:rsidRDefault="009F13CF" w:rsidP="002776C6">
      <w:pPr>
        <w:pStyle w:val="Newparagraph"/>
        <w:spacing w:line="360" w:lineRule="auto"/>
        <w:jc w:val="both"/>
        <w:rPr>
          <w:lang w:val="en-IN"/>
        </w:rPr>
      </w:pPr>
      <w:r w:rsidRPr="002776C6">
        <w:rPr>
          <w:lang w:val="en-IN"/>
        </w:rPr>
        <w:t xml:space="preserve">Inborn variations in protein and enzyme activity lead to differences in nutritional needs and how nutrients interact with genetically determined metabolic </w:t>
      </w:r>
      <w:proofErr w:type="gramStart"/>
      <w:r w:rsidRPr="002776C6">
        <w:rPr>
          <w:lang w:val="en-IN"/>
        </w:rPr>
        <w:t>factors(</w:t>
      </w:r>
      <w:proofErr w:type="gramEnd"/>
      <w:r w:rsidRPr="002776C6">
        <w:rPr>
          <w:lang w:val="en-IN"/>
        </w:rPr>
        <w:t xml:space="preserve">Anastacio, 2024). Addressing these complex interactions requires comprehensive </w:t>
      </w:r>
      <w:r w:rsidRPr="002776C6">
        <w:rPr>
          <w:lang w:val="en-IN"/>
        </w:rPr>
        <w:lastRenderedPageBreak/>
        <w:t xml:space="preserve">genomic profiling. Advances in genomic research, </w:t>
      </w:r>
      <w:proofErr w:type="gramStart"/>
      <w:r w:rsidRPr="002776C6">
        <w:rPr>
          <w:lang w:val="en-IN"/>
        </w:rPr>
        <w:t>integrating  genomics</w:t>
      </w:r>
      <w:proofErr w:type="gramEnd"/>
      <w:r w:rsidRPr="002776C6">
        <w:rPr>
          <w:lang w:val="en-IN"/>
        </w:rPr>
        <w:t xml:space="preserve">, proteomics, metabolomics, and transcriptomics, are essential to providing insight into how dietary interventions can optimize health outcomes (Hag et al., 2020). Identifying at-risk individuals based on these genetic profiles allows healthcare providers to recommend targeted nutritional interventions to mitigate disease risk. This multi-omics approach is vital for tailoring dietary recommendations and advancing precision nutrition strategies (Marcum, 2020). </w:t>
      </w:r>
    </w:p>
    <w:p w14:paraId="3AAE8770" w14:textId="1D4D755E" w:rsidR="00841B18" w:rsidRPr="002776C6" w:rsidRDefault="00841B18" w:rsidP="002776C6">
      <w:pPr>
        <w:pStyle w:val="Newparagraph"/>
        <w:numPr>
          <w:ilvl w:val="0"/>
          <w:numId w:val="32"/>
        </w:numPr>
        <w:spacing w:line="360" w:lineRule="auto"/>
        <w:jc w:val="both"/>
        <w:rPr>
          <w:b/>
          <w:bCs/>
          <w:lang w:val="en-IN"/>
        </w:rPr>
      </w:pPr>
      <w:r w:rsidRPr="002776C6">
        <w:rPr>
          <w:b/>
          <w:bCs/>
          <w:lang w:val="en-IN"/>
        </w:rPr>
        <w:t xml:space="preserve">Epigenetic and Regulatory Control by Dietary </w:t>
      </w:r>
      <w:proofErr w:type="spellStart"/>
      <w:r w:rsidRPr="002776C6">
        <w:rPr>
          <w:b/>
          <w:bCs/>
          <w:lang w:val="en-IN"/>
        </w:rPr>
        <w:t>Bioactives</w:t>
      </w:r>
      <w:proofErr w:type="spellEnd"/>
    </w:p>
    <w:p w14:paraId="79AED3FD" w14:textId="77777777" w:rsidR="00841B18" w:rsidRPr="002776C6" w:rsidRDefault="00841B18" w:rsidP="002776C6">
      <w:pPr>
        <w:pStyle w:val="Newparagraph"/>
        <w:spacing w:line="360" w:lineRule="auto"/>
        <w:ind w:firstLine="0"/>
        <w:jc w:val="both"/>
        <w:rPr>
          <w:lang w:val="en-IN"/>
        </w:rPr>
      </w:pPr>
      <w:r w:rsidRPr="002776C6">
        <w:rPr>
          <w:lang w:val="en-IN"/>
        </w:rPr>
        <w:t xml:space="preserve">Nutritional Genomics, which integrates Nutrigenetics and Nutrigenomics, explores the complex interplay between genetic variation and diet that influences health (Kiani et al., 2023). Nutrigenetics addresses how polymorphisms, such as the CYP1A2 gene variant (rs762551) impacting caffeine metabolism, affect nutrient processing and disease risk (Lai et al., 2018). For instance, AC or CC genotypes (slow metabolizers) face an increased risk of kidney dysfunction when consuming high amounts of coffee, a risk not seen in AA genotype carriers (fast metabolizers) (Mahdavi et al., 2023; </w:t>
      </w:r>
      <w:proofErr w:type="spellStart"/>
      <w:r w:rsidRPr="002776C6">
        <w:rPr>
          <w:lang w:val="en-IN"/>
        </w:rPr>
        <w:t>Chmurzynska</w:t>
      </w:r>
      <w:proofErr w:type="spellEnd"/>
      <w:r w:rsidRPr="002776C6">
        <w:rPr>
          <w:lang w:val="en-IN"/>
        </w:rPr>
        <w:t xml:space="preserve">, 2025) Similarly, the APOA2 polymorphism (rs5082) modulates obesity risk in response to saturated fat intake. In contrast, Nutrigenomics investigates the molecular mechanisms through which specific dietary components act as genomic regulators by modulating gene expression and epigenetic mechanisms (Zhang et al., 2020) Several key dietary bioactive compounds demonstrate potent regulatory control over gene function, among them the soy isoflavone Genistein which induces DNA methylation changes in breast cancer-related genes, resulting in a 20–30% reduction in oncogene expression after sustained intake (Xiang et al., 2025). Similarly, Omega−3 fatty acids (EPA and DHA) regulate genes involved in inflammation and lipid metabolism, such as </w:t>
      </w:r>
      <w:proofErr w:type="spellStart"/>
      <w:r w:rsidRPr="002776C6">
        <w:rPr>
          <w:lang w:val="en-IN"/>
        </w:rPr>
        <w:t>PPARγ</w:t>
      </w:r>
      <w:proofErr w:type="spellEnd"/>
      <w:r w:rsidRPr="002776C6">
        <w:rPr>
          <w:lang w:val="en-IN"/>
        </w:rPr>
        <w:t xml:space="preserve"> and ALOX5, contributing to anti-inflammatory effects and improved cardiovascular outcomes (Sakamoto, 2019). Gene Expression Control is further exemplified by Resveratrol supplementation which upregulates SIRT1 expression, enhancing mitochondrial biogenesis and reducing inflammation, thereby supporting metabolic health. While Nutrigenetics personalizes diet based on genetic variations, Nutrigenomics seeks to optimize health through this direct gene expression modulation (</w:t>
      </w:r>
      <w:proofErr w:type="spellStart"/>
      <w:r w:rsidRPr="002776C6">
        <w:rPr>
          <w:lang w:val="en-IN"/>
        </w:rPr>
        <w:t>Meiliana</w:t>
      </w:r>
      <w:proofErr w:type="spellEnd"/>
      <w:r w:rsidRPr="002776C6">
        <w:rPr>
          <w:lang w:val="en-IN"/>
        </w:rPr>
        <w:t xml:space="preserve"> and Wijaya, 2020). The integration of both fields is crucial for advancing precision nutrition and achieving long-term health outcomes. This molecular control exercised by </w:t>
      </w:r>
      <w:proofErr w:type="spellStart"/>
      <w:r w:rsidRPr="002776C6">
        <w:rPr>
          <w:lang w:val="en-IN"/>
        </w:rPr>
        <w:t>bioactives</w:t>
      </w:r>
      <w:proofErr w:type="spellEnd"/>
      <w:r w:rsidRPr="002776C6">
        <w:rPr>
          <w:lang w:val="en-IN"/>
        </w:rPr>
        <w:t xml:space="preserve"> establishes the critical targets necessary for subsequent discussions on Biomarker Validation</w:t>
      </w:r>
    </w:p>
    <w:p w14:paraId="0C7B6DA9" w14:textId="70C713B6" w:rsidR="004319C8" w:rsidRPr="002776C6" w:rsidRDefault="004319C8" w:rsidP="002776C6">
      <w:pPr>
        <w:pStyle w:val="Newparagraph"/>
        <w:numPr>
          <w:ilvl w:val="0"/>
          <w:numId w:val="32"/>
        </w:numPr>
        <w:spacing w:line="360" w:lineRule="auto"/>
        <w:jc w:val="both"/>
        <w:rPr>
          <w:b/>
          <w:bCs/>
        </w:rPr>
      </w:pPr>
      <w:r w:rsidRPr="002776C6">
        <w:rPr>
          <w:b/>
          <w:bCs/>
        </w:rPr>
        <w:lastRenderedPageBreak/>
        <w:t>Mechanisms of Diet Components and Gene Expression Interaction</w:t>
      </w:r>
    </w:p>
    <w:p w14:paraId="762A954D" w14:textId="656FDF56" w:rsidR="004319C8" w:rsidRPr="002776C6" w:rsidRDefault="004319C8" w:rsidP="002776C6">
      <w:pPr>
        <w:pStyle w:val="Newparagraph"/>
        <w:spacing w:line="360" w:lineRule="auto"/>
        <w:jc w:val="both"/>
      </w:pPr>
      <w:r w:rsidRPr="002776C6">
        <w:t xml:space="preserve">Bioactive diet components influence gene expression through changes in chromatin structure (including DNA methylation and histone modification), non-coding RNA, activation of transcription factors via </w:t>
      </w:r>
      <w:proofErr w:type="spellStart"/>
      <w:r w:rsidRPr="002776C6">
        <w:t>signaling</w:t>
      </w:r>
      <w:proofErr w:type="spellEnd"/>
      <w:r w:rsidRPr="002776C6">
        <w:t xml:space="preserve"> cascades, or direct ligand binding to nuclear receptors. Nutrients present in food and the diet can affect gene expression in several ways. They may directly act as ligands for transcription factors and alter gene expression (</w:t>
      </w:r>
      <w:bookmarkStart w:id="5" w:name="_Hlk176170849"/>
      <w:r w:rsidRPr="002776C6">
        <w:t>Marcello</w:t>
      </w:r>
      <w:bookmarkEnd w:id="5"/>
      <w:r w:rsidRPr="002776C6">
        <w:t xml:space="preserve"> et al., 2021). Nutrients may be metabolized by different pathways, thereby modifying the concentration of substrates or intermediates that affect gene expression. Alternatively, the substrates or intermediates may act on or alter cell </w:t>
      </w:r>
      <w:proofErr w:type="spellStart"/>
      <w:r w:rsidRPr="002776C6">
        <w:t>signaling</w:t>
      </w:r>
      <w:proofErr w:type="spellEnd"/>
      <w:r w:rsidRPr="002776C6">
        <w:t xml:space="preserve"> pathways involved in gene expression. Moreover, nutrients may directly alter signal transduction pathways responsible for changes in gene expression. Finally, modifications in the </w:t>
      </w:r>
      <w:proofErr w:type="spellStart"/>
      <w:r w:rsidRPr="002776C6">
        <w:t>signaling</w:t>
      </w:r>
      <w:proofErr w:type="spellEnd"/>
      <w:r w:rsidRPr="002776C6">
        <w:t xml:space="preserve"> pathways, caused by nutrients, may modulate the metabolism of nutrients affecting gene expression (</w:t>
      </w:r>
      <w:proofErr w:type="spellStart"/>
      <w:r w:rsidRPr="002776C6">
        <w:t>Candelli</w:t>
      </w:r>
      <w:proofErr w:type="spellEnd"/>
      <w:r w:rsidRPr="002776C6">
        <w:t xml:space="preserve"> et al., 2021). </w:t>
      </w:r>
      <w:r w:rsidR="00F00C6E">
        <w:t xml:space="preserve"> </w:t>
      </w:r>
      <w:r w:rsidR="00F00C6E" w:rsidRPr="00F00C6E">
        <w:t>The specific regulatory role of key bioactive compounds in modulating these cellular functions, including quantifiable molecular targets, is summarized in Table 1.</w:t>
      </w:r>
    </w:p>
    <w:p w14:paraId="3CB68117" w14:textId="77777777" w:rsidR="003B7FCE" w:rsidRPr="002776C6" w:rsidRDefault="003B7FCE" w:rsidP="002776C6">
      <w:pPr>
        <w:pStyle w:val="Newparagraph"/>
        <w:spacing w:line="360" w:lineRule="auto"/>
        <w:jc w:val="both"/>
        <w:rPr>
          <w:b/>
          <w:bCs/>
        </w:rPr>
      </w:pPr>
    </w:p>
    <w:p w14:paraId="52C65FB2" w14:textId="622C404E" w:rsidR="00403A3F" w:rsidRPr="002776C6" w:rsidRDefault="00403A3F" w:rsidP="002776C6">
      <w:pPr>
        <w:pStyle w:val="Newparagraph"/>
        <w:numPr>
          <w:ilvl w:val="0"/>
          <w:numId w:val="32"/>
        </w:numPr>
        <w:spacing w:line="360" w:lineRule="auto"/>
        <w:jc w:val="both"/>
        <w:rPr>
          <w:b/>
          <w:bCs/>
          <w:lang w:val="en-IN"/>
        </w:rPr>
      </w:pPr>
      <w:r w:rsidRPr="002776C6">
        <w:rPr>
          <w:b/>
          <w:bCs/>
          <w:lang w:val="en-IN"/>
        </w:rPr>
        <w:t>Principles of Nutritional Genomics</w:t>
      </w:r>
    </w:p>
    <w:p w14:paraId="1F52144C" w14:textId="77777777" w:rsidR="00403A3F" w:rsidRPr="002776C6" w:rsidRDefault="00403A3F" w:rsidP="002776C6">
      <w:pPr>
        <w:pStyle w:val="Newparagraph"/>
        <w:spacing w:line="360" w:lineRule="auto"/>
        <w:jc w:val="both"/>
        <w:rPr>
          <w:lang w:val="en-IN"/>
        </w:rPr>
      </w:pPr>
      <w:r w:rsidRPr="002776C6">
        <w:rPr>
          <w:lang w:val="en-IN"/>
        </w:rPr>
        <w:t xml:space="preserve">The field of nutritional genomics is guided by core principles that underscore the molecular mechanisms discussed throughout this review, particularly concerning the action of dietary </w:t>
      </w:r>
      <w:proofErr w:type="spellStart"/>
      <w:r w:rsidRPr="002776C6">
        <w:rPr>
          <w:lang w:val="en-IN"/>
        </w:rPr>
        <w:t>bioactives</w:t>
      </w:r>
      <w:proofErr w:type="spellEnd"/>
      <w:r w:rsidRPr="002776C6">
        <w:rPr>
          <w:lang w:val="en-IN"/>
        </w:rPr>
        <w:t xml:space="preserve">. According to Otero and </w:t>
      </w:r>
      <w:proofErr w:type="spellStart"/>
      <w:r w:rsidRPr="002776C6">
        <w:rPr>
          <w:lang w:val="en-IN"/>
        </w:rPr>
        <w:t>Bernolo</w:t>
      </w:r>
      <w:proofErr w:type="spellEnd"/>
      <w:r w:rsidRPr="002776C6">
        <w:rPr>
          <w:lang w:val="en-IN"/>
        </w:rPr>
        <w:t xml:space="preserve"> (2023), these four principles are:</w:t>
      </w:r>
    </w:p>
    <w:p w14:paraId="174ACBAD"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Diet as a Critical Determinant., Diet acts as a key environmental factor that predisposes individuals to certain diseases, especially when interacting with specific genetic backgrounds and under certain conditions.</w:t>
      </w:r>
    </w:p>
    <w:p w14:paraId="56601556"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Diet–Gene Interaction </w:t>
      </w:r>
    </w:p>
    <w:p w14:paraId="2B747774" w14:textId="2096DB19" w:rsidR="00403A3F" w:rsidRPr="002776C6" w:rsidRDefault="00403A3F" w:rsidP="002776C6">
      <w:pPr>
        <w:pStyle w:val="Newparagraph"/>
        <w:spacing w:line="360" w:lineRule="auto"/>
        <w:jc w:val="both"/>
        <w:rPr>
          <w:lang w:val="en-IN"/>
        </w:rPr>
      </w:pPr>
      <w:r w:rsidRPr="002776C6">
        <w:rPr>
          <w:lang w:val="en-IN"/>
        </w:rPr>
        <w:t xml:space="preserve">Nutrients and dietary components, particularly </w:t>
      </w:r>
      <w:proofErr w:type="spellStart"/>
      <w:r w:rsidRPr="002776C6">
        <w:rPr>
          <w:lang w:val="en-IN"/>
        </w:rPr>
        <w:t>bioactives</w:t>
      </w:r>
      <w:proofErr w:type="spellEnd"/>
      <w:r w:rsidRPr="002776C6">
        <w:rPr>
          <w:lang w:val="en-IN"/>
        </w:rPr>
        <w:t>, influence gene expression and/or alter gene structure (e.g., through epigenetic modifications), thereby affecting the function of the human genome.</w:t>
      </w:r>
    </w:p>
    <w:p w14:paraId="59655C68"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Genetic Variation and Health Balance </w:t>
      </w:r>
    </w:p>
    <w:p w14:paraId="2E175B2F" w14:textId="5A9320FC" w:rsidR="00403A3F" w:rsidRPr="002776C6" w:rsidRDefault="00403A3F" w:rsidP="002776C6">
      <w:pPr>
        <w:pStyle w:val="Newparagraph"/>
        <w:spacing w:line="360" w:lineRule="auto"/>
        <w:jc w:val="both"/>
        <w:rPr>
          <w:lang w:val="en-IN"/>
        </w:rPr>
      </w:pPr>
      <w:r w:rsidRPr="002776C6">
        <w:rPr>
          <w:lang w:val="en-IN"/>
        </w:rPr>
        <w:t>Individual genetic variability, such as single-nucleotide polymorphisms (SNPs), explains differences in how people maintain health or develop disease in response to dietary factors.</w:t>
      </w:r>
    </w:p>
    <w:p w14:paraId="70F74EB3" w14:textId="77777777" w:rsidR="00403A3F" w:rsidRPr="002776C6" w:rsidRDefault="00403A3F" w:rsidP="002776C6">
      <w:pPr>
        <w:pStyle w:val="Newparagraph"/>
        <w:spacing w:line="360" w:lineRule="auto"/>
        <w:jc w:val="both"/>
        <w:rPr>
          <w:lang w:val="en-IN"/>
        </w:rPr>
      </w:pPr>
      <w:r w:rsidRPr="002776C6">
        <w:rPr>
          <w:lang w:val="en-IN"/>
        </w:rPr>
        <w:t>•</w:t>
      </w:r>
      <w:r w:rsidRPr="002776C6">
        <w:rPr>
          <w:lang w:val="en-IN"/>
        </w:rPr>
        <w:tab/>
        <w:t xml:space="preserve">Diet-Regulated Genes in Disease Progression </w:t>
      </w:r>
    </w:p>
    <w:p w14:paraId="5111DCD6" w14:textId="5A57AF92" w:rsidR="00403A3F" w:rsidRPr="002776C6" w:rsidRDefault="00403A3F" w:rsidP="002776C6">
      <w:pPr>
        <w:pStyle w:val="Newparagraph"/>
        <w:spacing w:line="360" w:lineRule="auto"/>
        <w:jc w:val="both"/>
        <w:rPr>
          <w:lang w:val="en-IN"/>
        </w:rPr>
      </w:pPr>
      <w:r w:rsidRPr="002776C6">
        <w:rPr>
          <w:lang w:val="en-IN"/>
        </w:rPr>
        <w:lastRenderedPageBreak/>
        <w:t>Genes whose expression is modulated by dietary components play key roles in the onset, development, and progression of chronic diseases.</w:t>
      </w:r>
    </w:p>
    <w:p w14:paraId="1B0525B1" w14:textId="6D553547" w:rsidR="004319C8" w:rsidRPr="002776C6" w:rsidRDefault="008A3708" w:rsidP="002776C6">
      <w:pPr>
        <w:pStyle w:val="Newparagraph"/>
        <w:numPr>
          <w:ilvl w:val="0"/>
          <w:numId w:val="32"/>
        </w:numPr>
        <w:spacing w:line="360" w:lineRule="auto"/>
        <w:jc w:val="both"/>
        <w:rPr>
          <w:b/>
          <w:bCs/>
        </w:rPr>
      </w:pPr>
      <w:r w:rsidRPr="002776C6">
        <w:rPr>
          <w:b/>
          <w:bCs/>
        </w:rPr>
        <w:t>Nutritional Genomics</w:t>
      </w:r>
      <w:r w:rsidR="004319C8" w:rsidRPr="002776C6">
        <w:rPr>
          <w:b/>
          <w:bCs/>
        </w:rPr>
        <w:t xml:space="preserve"> </w:t>
      </w:r>
      <w:proofErr w:type="gramStart"/>
      <w:r w:rsidR="004319C8" w:rsidRPr="002776C6">
        <w:rPr>
          <w:b/>
          <w:bCs/>
        </w:rPr>
        <w:t>And</w:t>
      </w:r>
      <w:proofErr w:type="gramEnd"/>
      <w:r w:rsidR="004319C8" w:rsidRPr="002776C6">
        <w:rPr>
          <w:b/>
          <w:bCs/>
        </w:rPr>
        <w:t xml:space="preserve"> Non-Communicable Diseases</w:t>
      </w:r>
    </w:p>
    <w:p w14:paraId="6DF58F84" w14:textId="61336653" w:rsidR="004319C8" w:rsidRPr="002776C6" w:rsidRDefault="002776C6" w:rsidP="002776C6">
      <w:pPr>
        <w:pStyle w:val="Newparagraph"/>
        <w:numPr>
          <w:ilvl w:val="1"/>
          <w:numId w:val="32"/>
        </w:numPr>
        <w:spacing w:line="360" w:lineRule="auto"/>
        <w:jc w:val="both"/>
        <w:rPr>
          <w:b/>
          <w:bCs/>
          <w:i/>
          <w:iCs/>
        </w:rPr>
      </w:pPr>
      <w:r w:rsidRPr="002776C6">
        <w:rPr>
          <w:b/>
          <w:bCs/>
          <w:i/>
          <w:iCs/>
        </w:rPr>
        <w:t xml:space="preserve"> </w:t>
      </w:r>
      <w:r w:rsidR="004319C8" w:rsidRPr="002776C6">
        <w:rPr>
          <w:b/>
          <w:bCs/>
          <w:i/>
          <w:iCs/>
        </w:rPr>
        <w:t xml:space="preserve">Cancer </w:t>
      </w:r>
    </w:p>
    <w:p w14:paraId="66410367" w14:textId="59C80C9A" w:rsidR="005908B3" w:rsidRPr="002776C6" w:rsidRDefault="005908B3" w:rsidP="002776C6">
      <w:pPr>
        <w:pStyle w:val="Paragraph"/>
        <w:spacing w:line="360" w:lineRule="auto"/>
        <w:jc w:val="both"/>
      </w:pPr>
      <w:r w:rsidRPr="002776C6">
        <w:t xml:space="preserve">Increasing evidence suggests that dietary components significantly influence cancer incidence and </w:t>
      </w:r>
      <w:proofErr w:type="spellStart"/>
      <w:r w:rsidRPr="002776C6">
        <w:t>tumor</w:t>
      </w:r>
      <w:proofErr w:type="spellEnd"/>
      <w:r w:rsidRPr="002776C6">
        <w:t xml:space="preserve"> biology. The effects, whether inhibitory or stimulatory, are contingent upon not only the dietary component itself but also the cellular DNA profile, protein regulation, and metabolomic delivery (</w:t>
      </w:r>
      <w:proofErr w:type="spellStart"/>
      <w:r w:rsidRPr="002776C6">
        <w:t>Irimie</w:t>
      </w:r>
      <w:proofErr w:type="spellEnd"/>
      <w:r w:rsidRPr="002776C6">
        <w:t xml:space="preserve"> et al., 2019). </w:t>
      </w:r>
      <w:r w:rsidR="003E2ED2" w:rsidRPr="002776C6">
        <w:t xml:space="preserve">Genetic instability plays a pivotal role in tumorigenesis. With advancements in genomic technologies, nutritional genomics offers new approaches for cancer prevention. </w:t>
      </w:r>
      <w:r w:rsidRPr="002776C6">
        <w:t>(</w:t>
      </w:r>
      <w:proofErr w:type="spellStart"/>
      <w:r w:rsidR="0043723A" w:rsidRPr="002776C6">
        <w:t>Comaills</w:t>
      </w:r>
      <w:proofErr w:type="spellEnd"/>
      <w:r w:rsidR="0043723A" w:rsidRPr="002776C6">
        <w:t xml:space="preserve"> and Castellano 2023</w:t>
      </w:r>
      <w:r w:rsidRPr="002776C6">
        <w:t xml:space="preserve">). It is widely accepted that multiple mutations are required to trigger </w:t>
      </w:r>
      <w:proofErr w:type="spellStart"/>
      <w:r w:rsidRPr="002776C6">
        <w:t>tumor</w:t>
      </w:r>
      <w:proofErr w:type="spellEnd"/>
      <w:r w:rsidRPr="002776C6">
        <w:t xml:space="preserve"> formation</w:t>
      </w:r>
      <w:r w:rsidR="0002155C" w:rsidRPr="002776C6">
        <w:t xml:space="preserve"> (</w:t>
      </w:r>
      <w:proofErr w:type="spellStart"/>
      <w:r w:rsidR="0002155C" w:rsidRPr="002776C6">
        <w:t>Elsamanoudy</w:t>
      </w:r>
      <w:proofErr w:type="spellEnd"/>
      <w:r w:rsidR="0002155C" w:rsidRPr="002776C6">
        <w:t xml:space="preserve"> et al., 2016). </w:t>
      </w:r>
      <w:r w:rsidRPr="002776C6">
        <w:t xml:space="preserve"> With advancements in genomic technologies, the field of nutritional genomics has gained prominence, offering new approaches for cancer prevention.</w:t>
      </w:r>
    </w:p>
    <w:p w14:paraId="588714B0" w14:textId="6C0E45EE" w:rsidR="00D254C4" w:rsidRPr="002776C6" w:rsidRDefault="00D254C4" w:rsidP="002776C6">
      <w:pPr>
        <w:pStyle w:val="Newparagraph"/>
        <w:spacing w:line="360" w:lineRule="auto"/>
        <w:jc w:val="both"/>
      </w:pPr>
      <w:r w:rsidRPr="002776C6">
        <w:t xml:space="preserve">Deficiencies in key micronutrients required for DNA repair and synthesis, such as folic acid, Vitamins B12, B6, C, E, selenium, niacin, and zinc, can cause DNA alterations (Fenech, 2020). These deficiencies result in DNA double-strand breaks and oxidative damage, with folate metabolism disruption increasing cancer risk through DNA methylation changes. The protective roles of minerals like selenium and zinc are well-established, as selenium stimulates glutathione peroxidase production, while zinc helps maintain genomic stability (Sharif et al., 2012). </w:t>
      </w:r>
    </w:p>
    <w:p w14:paraId="466A5999" w14:textId="1803A1E4" w:rsidR="00D254C4" w:rsidRPr="002776C6" w:rsidRDefault="00D254C4" w:rsidP="002776C6">
      <w:pPr>
        <w:pStyle w:val="Paragraph"/>
        <w:spacing w:line="360" w:lineRule="auto"/>
        <w:jc w:val="both"/>
      </w:pPr>
      <w:r w:rsidRPr="002776C6">
        <w:t xml:space="preserve">However, the field is moving to investigate the specific genomic control mediated by dietary </w:t>
      </w:r>
      <w:proofErr w:type="spellStart"/>
      <w:r w:rsidRPr="002776C6">
        <w:t>bioactives</w:t>
      </w:r>
      <w:proofErr w:type="spellEnd"/>
      <w:r w:rsidRPr="002776C6">
        <w:t>. For instance, the soy isoflavone Genistein induces DNA methylation changes in breast cancer-related genes, resulting in a 20–30% reduction in oncogene expression after sustained intake. Furthermore, NF-</w:t>
      </w:r>
      <w:proofErr w:type="spellStart"/>
      <w:r w:rsidRPr="002776C6">
        <w:t>κB</w:t>
      </w:r>
      <w:proofErr w:type="spellEnd"/>
      <w:r w:rsidRPr="002776C6">
        <w:t xml:space="preserve"> inhibition by flavonoids provides a potent mechanism against inflammation, a driver of </w:t>
      </w:r>
      <w:proofErr w:type="spellStart"/>
      <w:r w:rsidRPr="002776C6">
        <w:t>tumor</w:t>
      </w:r>
      <w:proofErr w:type="spellEnd"/>
      <w:r w:rsidRPr="002776C6">
        <w:t xml:space="preserve"> progression. Nutritional genomics thus highlights how the interaction of these bioactive compounds with genetic pathways is crucial, suggesting a vital role for targeted nutritional interventions in cancer prevention at the molecular level.</w:t>
      </w:r>
    </w:p>
    <w:p w14:paraId="738EE781" w14:textId="17903C2E" w:rsidR="004319C8" w:rsidRPr="002776C6" w:rsidRDefault="004319C8" w:rsidP="002776C6">
      <w:pPr>
        <w:pStyle w:val="Paragraph"/>
        <w:numPr>
          <w:ilvl w:val="1"/>
          <w:numId w:val="32"/>
        </w:numPr>
        <w:spacing w:line="360" w:lineRule="auto"/>
        <w:jc w:val="both"/>
      </w:pPr>
      <w:r w:rsidRPr="002776C6">
        <w:rPr>
          <w:b/>
          <w:bCs/>
          <w:i/>
          <w:iCs/>
        </w:rPr>
        <w:t>Obesity</w:t>
      </w:r>
    </w:p>
    <w:p w14:paraId="316853A9" w14:textId="7ACAC76C" w:rsidR="005908B3" w:rsidRPr="002776C6" w:rsidRDefault="00BA0681" w:rsidP="002776C6">
      <w:pPr>
        <w:pStyle w:val="Paragraph"/>
        <w:spacing w:line="360" w:lineRule="auto"/>
        <w:jc w:val="both"/>
      </w:pPr>
      <w:r w:rsidRPr="002776C6">
        <w:t xml:space="preserve">Obesity has a significant genetic component, with up to 80% of the variance in body mass </w:t>
      </w:r>
      <w:r w:rsidRPr="002776C6">
        <w:lastRenderedPageBreak/>
        <w:t>index (BMI) among twins attributed to genetic factors (</w:t>
      </w:r>
      <w:proofErr w:type="spellStart"/>
      <w:r w:rsidRPr="002776C6">
        <w:t>Duniec</w:t>
      </w:r>
      <w:proofErr w:type="spellEnd"/>
      <w:r w:rsidRPr="002776C6">
        <w:t>, 2024). As obesity triggers chronic inflammation, nutrigenomic approaches to modulating this condition offer considerable promise. Over 600 genetic markers and chromosomal regions have been associated with obesity development, impacting appetite regulation, satiety, metabolism, and food preferences (Bouchard, 2021).</w:t>
      </w:r>
    </w:p>
    <w:p w14:paraId="2B07D5BE" w14:textId="19A61E7C" w:rsidR="00A66F17" w:rsidRPr="002776C6" w:rsidRDefault="00A66F17" w:rsidP="002776C6">
      <w:pPr>
        <w:pStyle w:val="Newparagraph"/>
        <w:spacing w:line="360" w:lineRule="auto"/>
        <w:jc w:val="both"/>
      </w:pPr>
      <w:r w:rsidRPr="002776C6">
        <w:t xml:space="preserve">The dietary regulation acts as a powerful counterbalance to this genetic predisposition. The FTO gene's effect on appetite can be mitigated by dietary patterns: the Mediterranean diet, which is rich in bioactive polyphenols and unsaturated fats, influences FTO gene expression and mitigates genetic predisposition to obesity and type 2 diabetes. Individuals inheriting two copies of the high-risk variant have a 70% higher risk of obesity. Research by </w:t>
      </w:r>
      <w:proofErr w:type="spellStart"/>
      <w:r w:rsidRPr="002776C6">
        <w:t>Sewaybricker</w:t>
      </w:r>
      <w:proofErr w:type="spellEnd"/>
      <w:r w:rsidRPr="002776C6">
        <w:t xml:space="preserve"> et al. (2021) found that specific intronic variants of the FTO gene are associated with increased preference for high-fat foods, reduced satiety, and greater calorie intake, contributing to higher body weight.</w:t>
      </w:r>
    </w:p>
    <w:p w14:paraId="6585DB8D" w14:textId="77777777" w:rsidR="002776C6" w:rsidRPr="002776C6" w:rsidRDefault="005908B3" w:rsidP="002776C6">
      <w:pPr>
        <w:pStyle w:val="Paragraph"/>
        <w:spacing w:line="360" w:lineRule="auto"/>
        <w:jc w:val="both"/>
      </w:pPr>
      <w:r w:rsidRPr="002776C6">
        <w:t xml:space="preserve">The FTO gene is among the most widely studied in obesity research. Variants in FTO are linked to higher BMI and increased obesity risk, likely due to their influence on appetite and energy expenditure. The FTO gene exists in two main forms: a high-risk and a low-risk variant. Individuals inheriting two copies of the high-risk variant have a 70% higher risk of obesity. Research by </w:t>
      </w:r>
      <w:proofErr w:type="spellStart"/>
      <w:r w:rsidRPr="002776C6">
        <w:t>Sewaybricker</w:t>
      </w:r>
      <w:proofErr w:type="spellEnd"/>
      <w:r w:rsidRPr="002776C6">
        <w:t xml:space="preserve"> et al. (2021) found that specific intronic variants of the FTO gene are associated with increased preference for high-fat foods, reduced satiety, and greater calorie intake, contributing to higher body weight.</w:t>
      </w:r>
      <w:r w:rsidR="002776C6" w:rsidRPr="002776C6">
        <w:t xml:space="preserve"> </w:t>
      </w:r>
    </w:p>
    <w:p w14:paraId="5D2111A0" w14:textId="229CE4B8" w:rsidR="005908B3" w:rsidRPr="002776C6" w:rsidRDefault="00B00F8E" w:rsidP="002776C6">
      <w:pPr>
        <w:pStyle w:val="Paragraph"/>
        <w:spacing w:line="360" w:lineRule="auto"/>
        <w:jc w:val="both"/>
      </w:pPr>
      <w:r w:rsidRPr="002776C6">
        <w:t xml:space="preserve">Other critical genes related to satiety include the MC4R gene (melanocortin-4 receptor) and the appetite-regulating hormone Leptin (LEP) and its receptor (LEPR) (Izquierdo et al., 2019). High-fat diets can induce leptin resistance in critical brain regions, thereby diminishing the body's ability to respond to leptin and promoting further food intake Wang and Li (2022). This highlights how the environment interacts at the molecular level with hormonal </w:t>
      </w:r>
      <w:proofErr w:type="spellStart"/>
      <w:r w:rsidRPr="002776C6">
        <w:t>signaling</w:t>
      </w:r>
      <w:proofErr w:type="spellEnd"/>
      <w:r w:rsidRPr="002776C6">
        <w:t xml:space="preserve"> pathways. adipokines—cytokines released by adipose tissue—link obesity-driven inflammation directly to metabolic gene pathways, offering targets for bioactive compounds to restore or modulate these critical hormonal and receptor </w:t>
      </w:r>
      <w:proofErr w:type="spellStart"/>
      <w:r w:rsidRPr="002776C6">
        <w:t>signaling</w:t>
      </w:r>
      <w:proofErr w:type="spellEnd"/>
      <w:r w:rsidRPr="002776C6">
        <w:t xml:space="preserve"> mechanisms. </w:t>
      </w:r>
      <w:r w:rsidR="005908B3" w:rsidRPr="002776C6">
        <w:t>(Bonaventura, 2020).</w:t>
      </w:r>
      <w:r w:rsidR="00DF0230">
        <w:t xml:space="preserve"> </w:t>
      </w:r>
      <w:r w:rsidR="00DF0230" w:rsidRPr="00DF0230">
        <w:t xml:space="preserve">Mechanistically, </w:t>
      </w:r>
      <w:proofErr w:type="spellStart"/>
      <w:r w:rsidR="00DF0230" w:rsidRPr="00DF0230">
        <w:t>bioactives</w:t>
      </w:r>
      <w:proofErr w:type="spellEnd"/>
      <w:r w:rsidR="00DF0230" w:rsidRPr="00DF0230">
        <w:t xml:space="preserve"> directly modulate these genetic targets. Polyphenols (e.g., curcumin, EGCG) have been shown to alter FTO methylation, effectively downregulating its expression. Omega-3 fatty acids function as ligands for </w:t>
      </w:r>
      <w:proofErr w:type="spellStart"/>
      <w:r w:rsidR="00DF0230" w:rsidRPr="00DF0230">
        <w:t>PPARγ</w:t>
      </w:r>
      <w:proofErr w:type="spellEnd"/>
      <w:r w:rsidR="00DF0230" w:rsidRPr="00DF0230">
        <w:t xml:space="preserve">, inhibiting adipogenesis and promoting lipid oxidation. Additionally, flavonoids enhance leptin sensitivity by reducing hypothalamic </w:t>
      </w:r>
      <w:r w:rsidR="00DF0230" w:rsidRPr="00DF0230">
        <w:lastRenderedPageBreak/>
        <w:t xml:space="preserve">inflammation and restoring JAK2/STAT3 </w:t>
      </w:r>
      <w:proofErr w:type="spellStart"/>
      <w:r w:rsidR="00DF0230" w:rsidRPr="00DF0230">
        <w:t>signaling</w:t>
      </w:r>
      <w:proofErr w:type="spellEnd"/>
      <w:r w:rsidR="00DF0230">
        <w:t xml:space="preserve">. </w:t>
      </w:r>
    </w:p>
    <w:p w14:paraId="4866D5D8" w14:textId="407968BA" w:rsidR="004319C8" w:rsidRPr="002776C6" w:rsidRDefault="004319C8" w:rsidP="002776C6">
      <w:pPr>
        <w:pStyle w:val="Paragraph"/>
        <w:numPr>
          <w:ilvl w:val="1"/>
          <w:numId w:val="32"/>
        </w:numPr>
        <w:spacing w:line="360" w:lineRule="auto"/>
        <w:jc w:val="both"/>
        <w:rPr>
          <w:b/>
          <w:bCs/>
          <w:i/>
          <w:iCs/>
        </w:rPr>
      </w:pPr>
      <w:r w:rsidRPr="002776C6">
        <w:rPr>
          <w:b/>
          <w:bCs/>
          <w:i/>
          <w:iCs/>
        </w:rPr>
        <w:t>Cardiovascular Diseases</w:t>
      </w:r>
    </w:p>
    <w:p w14:paraId="523D9D17" w14:textId="77777777" w:rsidR="00B00F8E" w:rsidRPr="002776C6" w:rsidRDefault="00B00F8E" w:rsidP="002776C6">
      <w:pPr>
        <w:pStyle w:val="Newparagraph"/>
        <w:spacing w:line="360" w:lineRule="auto"/>
        <w:jc w:val="both"/>
      </w:pPr>
    </w:p>
    <w:p w14:paraId="554938CB" w14:textId="7812881A" w:rsidR="00B00F8E" w:rsidRPr="002776C6" w:rsidRDefault="00B00F8E" w:rsidP="002776C6">
      <w:pPr>
        <w:pStyle w:val="Newparagraph"/>
        <w:spacing w:line="360" w:lineRule="auto"/>
        <w:jc w:val="both"/>
        <w:rPr>
          <w:lang w:val="en-IN"/>
        </w:rPr>
      </w:pPr>
      <w:bookmarkStart w:id="6" w:name="_Hlk218931895"/>
      <w:r w:rsidRPr="002776C6">
        <w:rPr>
          <w:lang w:val="en-IN"/>
        </w:rPr>
        <w:t>Oxidative stress plays a critical role in the pathogenesis of type 2 diabetes mellitus (T2DM), contributing to insulin resistance and beta-cell dysfunction</w:t>
      </w:r>
      <w:r w:rsidR="0022120B" w:rsidRPr="002776C6">
        <w:rPr>
          <w:lang w:val="en-IN"/>
        </w:rPr>
        <w:t xml:space="preserve"> (Bhatti et al., 2022)</w:t>
      </w:r>
      <w:r w:rsidRPr="002776C6">
        <w:rPr>
          <w:lang w:val="en-IN"/>
        </w:rPr>
        <w:t>. Consequently, genes such as NFE2 and NFE2L2, which regulate antioxidant protein expression, are promising targets for mitigation</w:t>
      </w:r>
      <w:r w:rsidR="0022120B" w:rsidRPr="002776C6">
        <w:rPr>
          <w:lang w:val="en-IN"/>
        </w:rPr>
        <w:t xml:space="preserve"> </w:t>
      </w:r>
      <w:bookmarkEnd w:id="6"/>
      <w:r w:rsidR="0022120B" w:rsidRPr="002776C6">
        <w:rPr>
          <w:lang w:val="en-IN"/>
        </w:rPr>
        <w:t>(Thiruvengadam et al., 2021)</w:t>
      </w:r>
      <w:r w:rsidRPr="002776C6">
        <w:rPr>
          <w:lang w:val="en-IN"/>
        </w:rPr>
        <w:t>. Nrf2 activation, through NFE2L2 pathway agonists, has shown potential in improving insulin sensitivity, combating obesity, and protecting pancreatic beta cells from apoptosis</w:t>
      </w:r>
      <w:r w:rsidR="0022120B" w:rsidRPr="002776C6">
        <w:rPr>
          <w:lang w:val="en-IN"/>
        </w:rPr>
        <w:t xml:space="preserve"> (Gutiérrez et al., 2022)</w:t>
      </w:r>
      <w:r w:rsidRPr="002776C6">
        <w:rPr>
          <w:lang w:val="en-IN"/>
        </w:rPr>
        <w:t xml:space="preserve">. This provides a direct path for Dietary </w:t>
      </w:r>
      <w:proofErr w:type="spellStart"/>
      <w:r w:rsidRPr="002776C6">
        <w:rPr>
          <w:lang w:val="en-IN"/>
        </w:rPr>
        <w:t>Bioactives</w:t>
      </w:r>
      <w:proofErr w:type="spellEnd"/>
      <w:r w:rsidRPr="002776C6">
        <w:rPr>
          <w:lang w:val="en-IN"/>
        </w:rPr>
        <w:t xml:space="preserve"> as Genomic Regulators: Phytochemicals like sulforaphane, resveratrol, curcumin, naringenin, and agmatine have been identified as Nrf2 activators, offering significant therapeutic benefits in T2DM management</w:t>
      </w:r>
      <w:r w:rsidR="0022120B" w:rsidRPr="002776C6">
        <w:rPr>
          <w:lang w:val="en-IN"/>
        </w:rPr>
        <w:t xml:space="preserve"> (</w:t>
      </w:r>
      <w:proofErr w:type="spellStart"/>
      <w:r w:rsidR="0022120B" w:rsidRPr="002776C6">
        <w:rPr>
          <w:lang w:val="en-IN"/>
        </w:rPr>
        <w:t>Malaguarnera</w:t>
      </w:r>
      <w:proofErr w:type="spellEnd"/>
      <w:r w:rsidR="0022120B" w:rsidRPr="002776C6">
        <w:rPr>
          <w:lang w:val="en-IN"/>
        </w:rPr>
        <w:t xml:space="preserve"> et al., 2020)</w:t>
      </w:r>
      <w:r w:rsidRPr="002776C6">
        <w:rPr>
          <w:lang w:val="en-IN"/>
        </w:rPr>
        <w:t>.</w:t>
      </w:r>
    </w:p>
    <w:p w14:paraId="404246FA" w14:textId="7F35DFF3" w:rsidR="0022120B" w:rsidRPr="002776C6" w:rsidRDefault="00B00F8E" w:rsidP="002776C6">
      <w:pPr>
        <w:pStyle w:val="Newparagraph"/>
        <w:spacing w:line="360" w:lineRule="auto"/>
        <w:jc w:val="both"/>
        <w:rPr>
          <w:lang w:val="en-IN"/>
        </w:rPr>
      </w:pPr>
      <w:r w:rsidRPr="002776C6">
        <w:rPr>
          <w:lang w:val="en-IN"/>
        </w:rPr>
        <w:t>Beyond inflammatory control, genetic variants impact key metabolic pathways. Genome-wide association studies (GWAS) highlight TCF7L2 as a major genetic risk factor for T2DM, particularly concerning pancreatic beta-cell function</w:t>
      </w:r>
      <w:r w:rsidR="0022120B" w:rsidRPr="002776C6">
        <w:rPr>
          <w:lang w:val="en-IN"/>
        </w:rPr>
        <w:t xml:space="preserve"> (Vesnina et al., 2020)</w:t>
      </w:r>
      <w:r w:rsidRPr="002776C6">
        <w:rPr>
          <w:lang w:val="en-IN"/>
        </w:rPr>
        <w:t>. Specific polymorphisms in TCF7L2 are linked to increased diabetes risk, with high-carbohydrate diets exacerbating this risk. Similarly, the PRKAA2 gene, which regulates fatty acid oxidation, and polymorphisms in the PPARG2 gene are crucial for glucose homeostasis and are associated with heightened risks of chronic kidney disease</w:t>
      </w:r>
      <w:r w:rsidR="0022120B" w:rsidRPr="002776C6">
        <w:rPr>
          <w:lang w:val="en-IN"/>
        </w:rPr>
        <w:t xml:space="preserve"> (Sabiha et al., 2021; Bauer et al., 2021)</w:t>
      </w:r>
      <w:r w:rsidRPr="002776C6">
        <w:rPr>
          <w:lang w:val="en-IN"/>
        </w:rPr>
        <w:t xml:space="preserve">. The HNF4A gene, critical for activating insulin gene expression, also influences glucose regulation. </w:t>
      </w:r>
      <w:r w:rsidR="0022120B" w:rsidRPr="002776C6">
        <w:rPr>
          <w:lang w:val="en-IN"/>
        </w:rPr>
        <w:t>I</w:t>
      </w:r>
      <w:r w:rsidRPr="002776C6">
        <w:rPr>
          <w:lang w:val="en-IN"/>
        </w:rPr>
        <w:t>nflammation and oxidative stress genes, such as AGER, are implicated in increased T2DM risk</w:t>
      </w:r>
      <w:r w:rsidR="0022120B" w:rsidRPr="002776C6">
        <w:rPr>
          <w:lang w:val="en-IN"/>
        </w:rPr>
        <w:t xml:space="preserve"> (Bhushan et al., 2024)</w:t>
      </w:r>
      <w:r w:rsidRPr="002776C6">
        <w:rPr>
          <w:lang w:val="en-IN"/>
        </w:rPr>
        <w:t>. Inhibiting NFKB1 and NFKB2 genes has been shown to reduce inflammation and prevent diabetes-induced vasoconstriction</w:t>
      </w:r>
      <w:r w:rsidR="0022120B" w:rsidRPr="002776C6">
        <w:rPr>
          <w:lang w:val="en-IN"/>
        </w:rPr>
        <w:t xml:space="preserve"> (Ng et al., 2024;</w:t>
      </w:r>
      <w:r w:rsidR="0022120B" w:rsidRPr="002776C6">
        <w:t xml:space="preserve"> </w:t>
      </w:r>
      <w:proofErr w:type="spellStart"/>
      <w:r w:rsidR="0022120B" w:rsidRPr="002776C6">
        <w:rPr>
          <w:lang w:val="en-IN"/>
        </w:rPr>
        <w:t>Felisbino</w:t>
      </w:r>
      <w:proofErr w:type="spellEnd"/>
      <w:r w:rsidR="0022120B" w:rsidRPr="002776C6">
        <w:rPr>
          <w:lang w:val="en-IN"/>
        </w:rPr>
        <w:t xml:space="preserve"> et al., 2021)</w:t>
      </w:r>
      <w:r w:rsidRPr="002776C6">
        <w:rPr>
          <w:lang w:val="en-IN"/>
        </w:rPr>
        <w:t xml:space="preserve">. These varied genetic targets demonstrate why integrating molecular intervention strategies, particularly those using </w:t>
      </w:r>
      <w:proofErr w:type="spellStart"/>
      <w:r w:rsidRPr="002776C6">
        <w:rPr>
          <w:lang w:val="en-IN"/>
        </w:rPr>
        <w:t>bioactives</w:t>
      </w:r>
      <w:proofErr w:type="spellEnd"/>
      <w:r w:rsidRPr="002776C6">
        <w:rPr>
          <w:lang w:val="en-IN"/>
        </w:rPr>
        <w:t>, is essential for personalized T2DM prevention</w:t>
      </w:r>
      <w:r w:rsidR="0022120B" w:rsidRPr="002776C6">
        <w:rPr>
          <w:lang w:val="en-IN"/>
        </w:rPr>
        <w:t xml:space="preserve"> (Khalili et al., 2022; Colak and Pap, 2021).</w:t>
      </w:r>
    </w:p>
    <w:p w14:paraId="2D6F4DFE" w14:textId="3BFEFACC" w:rsidR="00764833" w:rsidRPr="002776C6" w:rsidRDefault="00764833" w:rsidP="002776C6">
      <w:pPr>
        <w:pStyle w:val="Newparagraph"/>
        <w:numPr>
          <w:ilvl w:val="0"/>
          <w:numId w:val="32"/>
        </w:numPr>
        <w:spacing w:line="360" w:lineRule="auto"/>
        <w:jc w:val="both"/>
        <w:rPr>
          <w:b/>
          <w:bCs/>
        </w:rPr>
      </w:pPr>
      <w:r w:rsidRPr="002776C6">
        <w:rPr>
          <w:b/>
          <w:bCs/>
        </w:rPr>
        <w:t>Precision Nutrition and Validation</w:t>
      </w:r>
    </w:p>
    <w:p w14:paraId="220FD8B3" w14:textId="77777777" w:rsidR="00764833" w:rsidRPr="002776C6" w:rsidRDefault="00764833" w:rsidP="002776C6">
      <w:pPr>
        <w:pStyle w:val="Newparagraph"/>
        <w:spacing w:line="360" w:lineRule="auto"/>
        <w:jc w:val="both"/>
      </w:pPr>
      <w:r w:rsidRPr="002776C6">
        <w:t xml:space="preserve">The advent of genomics is profoundly reshaping human biology and advancing healthcare, positioning nutrigenomics as a powerful tool in food science. This emerging field delves into the genetic basis of diverse nutritional needs and explores the genetic underpinnings of traits unique to each individual. It emphasizes that nutritional </w:t>
      </w:r>
      <w:r w:rsidRPr="002776C6">
        <w:lastRenderedPageBreak/>
        <w:t>requirements are unique to each person, necessitating tailored dietary approaches (</w:t>
      </w:r>
      <w:proofErr w:type="spellStart"/>
      <w:r w:rsidRPr="002776C6">
        <w:t>Maruvada</w:t>
      </w:r>
      <w:proofErr w:type="spellEnd"/>
      <w:r w:rsidRPr="002776C6">
        <w:t xml:space="preserve"> et al., 2020).</w:t>
      </w:r>
    </w:p>
    <w:p w14:paraId="54F9132F" w14:textId="77777777" w:rsidR="00764833" w:rsidRPr="002776C6" w:rsidRDefault="00764833" w:rsidP="002776C6">
      <w:pPr>
        <w:pStyle w:val="Newparagraph"/>
        <w:spacing w:line="360" w:lineRule="auto"/>
        <w:jc w:val="both"/>
      </w:pPr>
      <w:r w:rsidRPr="002776C6">
        <w:t>Abundant evidence from nutritional intervention studies shows significant variability in how individuals respond to identical dietary exposures (Lucini et al., 2020). This evidence, coupled with rapid advancements in genomics, has spurred the rise of personalized and precision nutrition, which is envisioned to pave the way for enhanced population health (Bush et al., 2020).</w:t>
      </w:r>
    </w:p>
    <w:p w14:paraId="7261C8D7" w14:textId="77777777" w:rsidR="00764833" w:rsidRPr="002776C6" w:rsidRDefault="00764833" w:rsidP="002776C6">
      <w:pPr>
        <w:pStyle w:val="Newparagraph"/>
        <w:spacing w:line="360" w:lineRule="auto"/>
        <w:jc w:val="both"/>
      </w:pPr>
      <w:bookmarkStart w:id="7" w:name="_Hlk218931910"/>
      <w:r w:rsidRPr="002776C6">
        <w:t xml:space="preserve">Precision nutrition is an ambitious </w:t>
      </w:r>
      <w:proofErr w:type="spellStart"/>
      <w:r w:rsidRPr="002776C6">
        <w:t>endeavor</w:t>
      </w:r>
      <w:proofErr w:type="spellEnd"/>
      <w:r w:rsidRPr="002776C6">
        <w:t xml:space="preserve"> requiring a thorough quantitative understanding of the intricate relationships between an individual's dietary habits, their unique genetic makeup, and their overall health status to deliver precisely tailored and proven beneficial interventions </w:t>
      </w:r>
      <w:bookmarkEnd w:id="7"/>
      <w:r w:rsidRPr="002776C6">
        <w:t>(</w:t>
      </w:r>
      <w:proofErr w:type="spellStart"/>
      <w:r w:rsidRPr="002776C6">
        <w:t>Lagoumintzis</w:t>
      </w:r>
      <w:proofErr w:type="spellEnd"/>
      <w:r w:rsidRPr="002776C6">
        <w:t xml:space="preserve">, and </w:t>
      </w:r>
      <w:proofErr w:type="spellStart"/>
      <w:r w:rsidRPr="002776C6">
        <w:t>Patrinos</w:t>
      </w:r>
      <w:proofErr w:type="spellEnd"/>
      <w:r w:rsidRPr="002776C6">
        <w:t xml:space="preserve"> 2023). This requires integrating insights from complex data, including genetic, metabolic, and microbiome profiles.</w:t>
      </w:r>
    </w:p>
    <w:p w14:paraId="0DA7ABC4" w14:textId="2C62C6FC" w:rsidR="00764833" w:rsidRPr="002776C6" w:rsidRDefault="00764833" w:rsidP="002776C6">
      <w:pPr>
        <w:pStyle w:val="Newparagraph"/>
        <w:spacing w:line="360" w:lineRule="auto"/>
        <w:jc w:val="both"/>
      </w:pPr>
      <w:r w:rsidRPr="002776C6">
        <w:t xml:space="preserve">Randomized controlled trials, such as the Food4Me study across seven European countries, demonstrated that personalized nutrition was more effective than the conventional “one size fits all” approach in improving dietary patterns for at least six months (Livingstone et al., 2021). Further emphasizing the power of intervention, the study showed that participants carrying the FTO risk allele, typically associated with higher obesity risk, actually exhibited greater reductions in body weight and waist circumference compared to those with the non-risk genotype, suggesting effective mitigation through personalized </w:t>
      </w:r>
      <w:proofErr w:type="gramStart"/>
      <w:r w:rsidRPr="002776C6">
        <w:t>advice  (</w:t>
      </w:r>
      <w:proofErr w:type="gramEnd"/>
      <w:r w:rsidRPr="002776C6">
        <w:t>Malcomson, and Mathers, 2023; Olsen et al., 2021). While these promising results, often facilitated by mobile applications, highlight the potential for tailored dietary interventions, they underscore the urgent need for a systematic, quantitative approach to integrate multi-omics data and move the focus toward rigorous biomarker validation as the necessary next step (Resnick et al., 2022; Signorelli et al., 2022; Berry et al., 2020)</w:t>
      </w:r>
    </w:p>
    <w:p w14:paraId="251635AE" w14:textId="2CBEA41D" w:rsidR="00B04A6D" w:rsidRPr="002776C6" w:rsidRDefault="00B04A6D" w:rsidP="002776C6">
      <w:pPr>
        <w:pStyle w:val="Paragraph"/>
        <w:numPr>
          <w:ilvl w:val="0"/>
          <w:numId w:val="32"/>
        </w:numPr>
        <w:spacing w:line="360" w:lineRule="auto"/>
        <w:jc w:val="both"/>
        <w:rPr>
          <w:b/>
          <w:bCs/>
        </w:rPr>
      </w:pPr>
      <w:r w:rsidRPr="002776C6">
        <w:rPr>
          <w:b/>
          <w:bCs/>
        </w:rPr>
        <w:t>The Road to Implementation Biomarker Validation and Translational Barriers</w:t>
      </w:r>
    </w:p>
    <w:p w14:paraId="1DBD6F1B" w14:textId="3000ADBF" w:rsidR="00B04A6D" w:rsidRPr="002776C6" w:rsidRDefault="00B04A6D" w:rsidP="002776C6">
      <w:pPr>
        <w:pStyle w:val="Paragraph"/>
        <w:spacing w:line="360" w:lineRule="auto"/>
        <w:jc w:val="both"/>
      </w:pPr>
      <w:r w:rsidRPr="002776C6">
        <w:t xml:space="preserve">The basis of personalized nutrition or precision nutrition is to provide individuals with improved dietary strategies to prevent metabolic deterioration, thereby breaking several paradigms of traditional nutrition. However, the journey to implementation presents significant scientific and systemic challenges. Foremost among these is the need for the validity and accuracy of nutritional advice based on genetic information to be rigorously </w:t>
      </w:r>
      <w:r w:rsidRPr="002776C6">
        <w:lastRenderedPageBreak/>
        <w:t xml:space="preserve">assessed (Ceriani et al.,2023).  While a very attractive future is envisioned to reduce the burden of obesity and its comorbidities, much more research is still needed to establish predictive algorithms to achieve these goals. This necessary research involves Nutrition proteomics and biomarker discovery, requiring a comprehensive quantitative understanding. The realization of nutrigenomics' full potential is further impeded by critical translational barriers. Firstly, cost and accessibility remain key hurdles, as genetic testing and personalized nutritional advice can be expensive and may not be readily available to everyone. This resource gap is particularly acute as facilities to provide genome, proteome, or metabolome profiles are still rare, especially in countries like India (Adams et al., 2020). Secondly, ethical implications must be addressed, including concerns about privacy, data security, and potential discrimination based on genetic information. </w:t>
      </w:r>
    </w:p>
    <w:p w14:paraId="5FFB5BD6" w14:textId="075C20E6" w:rsidR="00D45FF3" w:rsidRDefault="00B04A6D" w:rsidP="002776C6">
      <w:pPr>
        <w:pStyle w:val="Paragraph"/>
        <w:spacing w:line="360" w:lineRule="auto"/>
        <w:jc w:val="both"/>
      </w:pPr>
      <w:r w:rsidRPr="002776C6">
        <w:t xml:space="preserve">                       </w:t>
      </w:r>
      <w:bookmarkStart w:id="8" w:name="_Hlk218931942"/>
      <w:r w:rsidRPr="002776C6">
        <w:t>Nutrigenomics must be considered in conjunction with other critical factors like lifestyle, environment, and cultural influences, as genes are not the sole determinants of an individual’s health. Overcoming these scientific, systemic, and ethical challenges is essential to harness the full potential of nutrigenomics and provide effective, personalized nutrition guidance globally</w:t>
      </w:r>
      <w:bookmarkEnd w:id="8"/>
      <w:r w:rsidRPr="002776C6">
        <w:t>.</w:t>
      </w:r>
    </w:p>
    <w:p w14:paraId="492EF1FF" w14:textId="77777777" w:rsidR="00936DEB" w:rsidRPr="00936DEB" w:rsidRDefault="00936DEB" w:rsidP="00936DEB">
      <w:pPr>
        <w:pStyle w:val="Newparagraph"/>
        <w:rPr>
          <w:b/>
          <w:bCs/>
        </w:rPr>
      </w:pPr>
      <w:r w:rsidRPr="00936DEB">
        <w:rPr>
          <w:b/>
          <w:bCs/>
        </w:rPr>
        <w:t>9. Conclusion</w:t>
      </w:r>
    </w:p>
    <w:p w14:paraId="290695C3" w14:textId="77777777" w:rsidR="00936DEB" w:rsidRDefault="00936DEB" w:rsidP="00936DEB">
      <w:pPr>
        <w:pStyle w:val="Newparagraph"/>
      </w:pPr>
      <w:r>
        <w:t xml:space="preserve">The transition from traditional epidemiology to molecular nutrition has established that dietary </w:t>
      </w:r>
      <w:proofErr w:type="spellStart"/>
      <w:r>
        <w:t>bioactives</w:t>
      </w:r>
      <w:proofErr w:type="spellEnd"/>
      <w:r>
        <w:t xml:space="preserve"> are not merely substrates for energy but potent genomic regulators. This critical review confirms that bioactive compounds—ranging from polyphenols to polyunsaturated fatty acids—exert direct control over gene expression through specific mechanisms, including the modulation of transcription factors (e.g., Nrf2, NF-</w:t>
      </w:r>
      <w:proofErr w:type="spellStart"/>
      <w:r>
        <w:t>κB</w:t>
      </w:r>
      <w:proofErr w:type="spellEnd"/>
      <w:r>
        <w:t>) and epigenetic modifications (e.g., FTO methylation). The evidence presented highlights that targeted nutritional interventions can effectively mitigate genetic predispositions to chronic non-communicable diseases, particularly obesity, Type 2 Diabetes Mellitus, and cancer.</w:t>
      </w:r>
    </w:p>
    <w:p w14:paraId="7CAC104F" w14:textId="77777777" w:rsidR="00936DEB" w:rsidRDefault="00936DEB" w:rsidP="00936DEB">
      <w:pPr>
        <w:pStyle w:val="Newparagraph"/>
      </w:pPr>
    </w:p>
    <w:p w14:paraId="6FFAA8EC" w14:textId="77777777" w:rsidR="00936DEB" w:rsidRDefault="00936DEB" w:rsidP="00936DEB">
      <w:pPr>
        <w:pStyle w:val="Newparagraph"/>
      </w:pPr>
      <w:r>
        <w:lastRenderedPageBreak/>
        <w:t xml:space="preserve">However, despite the robust mechanistic evidence, the translation of nutrigenomics from laboratory findings to clinical public health practice remains complex. As highlighted in this review, the primary bottleneck is not a lack of candidate </w:t>
      </w:r>
      <w:proofErr w:type="spellStart"/>
      <w:r>
        <w:t>bioactives</w:t>
      </w:r>
      <w:proofErr w:type="spellEnd"/>
      <w:r>
        <w:t>, but the scarcity of validated, quantifiable biomarkers that can reliably predict individual responses. The promise of precision nutrition currently outpaces the infrastructure required to deliver it equitably. Significant translational barriers, including the high cost of multi-omics profiling, data privacy concerns, and the need for rigorous large-scale clinical trials, must be addressed to prevent the widening of health disparities between developed and developing nations.</w:t>
      </w:r>
    </w:p>
    <w:p w14:paraId="7E2F5A3F" w14:textId="77777777" w:rsidR="00936DEB" w:rsidRDefault="00936DEB" w:rsidP="00936DEB">
      <w:pPr>
        <w:pStyle w:val="Newparagraph"/>
      </w:pPr>
    </w:p>
    <w:p w14:paraId="2695BE6B" w14:textId="79A60E1B" w:rsidR="00936DEB" w:rsidRPr="00936DEB" w:rsidRDefault="00936DEB" w:rsidP="00936DEB">
      <w:pPr>
        <w:pStyle w:val="Newparagraph"/>
      </w:pPr>
      <w:r>
        <w:t xml:space="preserve">Future research must prioritize a systems biology approach, moving beyond single-gene/single-nutrient studies to integrate complex genomic, proteomic, and metabolomic data. To realize the full potential of nutrigenomics, the scientific community must focus on establishing standardized biomarker validation protocols and ethical regulatory frameworks. Only by bridging the gap between molecular insight and practical accessibility can personalized nutrition evolve from a niche scientific </w:t>
      </w:r>
      <w:proofErr w:type="spellStart"/>
      <w:r>
        <w:t>endeavor</w:t>
      </w:r>
      <w:proofErr w:type="spellEnd"/>
      <w:r>
        <w:t xml:space="preserve"> into a global strategy for disease prevention and health optimization.</w:t>
      </w:r>
    </w:p>
    <w:p w14:paraId="64C47FFD" w14:textId="77777777" w:rsidR="00F00C6E" w:rsidRDefault="00F00C6E" w:rsidP="00F00C6E">
      <w:pPr>
        <w:pStyle w:val="Newparagraph"/>
      </w:pPr>
    </w:p>
    <w:p w14:paraId="7D881F7F" w14:textId="77777777" w:rsidR="00F00C6E" w:rsidRDefault="00F00C6E" w:rsidP="00F00C6E">
      <w:pPr>
        <w:spacing w:after="160" w:line="259" w:lineRule="auto"/>
        <w:rPr>
          <w:rFonts w:eastAsia="Aptos"/>
          <w:b/>
          <w:bCs/>
          <w:kern w:val="2"/>
          <w:lang w:val="en-US" w:eastAsia="en-US"/>
          <w14:ligatures w14:val="standardContextual"/>
        </w:rPr>
      </w:pPr>
    </w:p>
    <w:p w14:paraId="682009CC" w14:textId="77777777" w:rsidR="00F00C6E" w:rsidRDefault="00F00C6E" w:rsidP="00F00C6E">
      <w:pPr>
        <w:spacing w:after="160" w:line="259" w:lineRule="auto"/>
        <w:rPr>
          <w:rFonts w:eastAsia="Aptos"/>
          <w:b/>
          <w:bCs/>
          <w:kern w:val="2"/>
          <w:lang w:val="en-US" w:eastAsia="en-US"/>
          <w14:ligatures w14:val="standardContextual"/>
        </w:rPr>
      </w:pPr>
    </w:p>
    <w:p w14:paraId="0D0F3026" w14:textId="77777777" w:rsidR="00F00C6E" w:rsidRDefault="00F00C6E" w:rsidP="00F00C6E">
      <w:pPr>
        <w:spacing w:after="160" w:line="259" w:lineRule="auto"/>
        <w:rPr>
          <w:rFonts w:eastAsia="Aptos"/>
          <w:b/>
          <w:bCs/>
          <w:kern w:val="2"/>
          <w:lang w:val="en-US" w:eastAsia="en-US"/>
          <w14:ligatures w14:val="standardContextual"/>
        </w:rPr>
      </w:pPr>
    </w:p>
    <w:p w14:paraId="7282E3F0" w14:textId="77777777" w:rsidR="00F00C6E" w:rsidRDefault="00F00C6E" w:rsidP="00F00C6E">
      <w:pPr>
        <w:spacing w:after="160" w:line="259" w:lineRule="auto"/>
        <w:rPr>
          <w:rFonts w:eastAsia="Aptos"/>
          <w:b/>
          <w:bCs/>
          <w:kern w:val="2"/>
          <w:lang w:val="en-US" w:eastAsia="en-US"/>
          <w14:ligatures w14:val="standardContextual"/>
        </w:rPr>
      </w:pPr>
    </w:p>
    <w:p w14:paraId="27526B02" w14:textId="77777777" w:rsidR="00F00C6E" w:rsidRDefault="00F00C6E" w:rsidP="00F00C6E">
      <w:pPr>
        <w:spacing w:after="160" w:line="259" w:lineRule="auto"/>
        <w:rPr>
          <w:rFonts w:eastAsia="Aptos"/>
          <w:b/>
          <w:bCs/>
          <w:kern w:val="2"/>
          <w:lang w:val="en-US" w:eastAsia="en-US"/>
          <w14:ligatures w14:val="standardContextual"/>
        </w:rPr>
      </w:pPr>
    </w:p>
    <w:p w14:paraId="6AC4BC96" w14:textId="77777777" w:rsidR="00F00C6E" w:rsidRDefault="00F00C6E" w:rsidP="00F00C6E">
      <w:pPr>
        <w:spacing w:after="160" w:line="259" w:lineRule="auto"/>
        <w:rPr>
          <w:rFonts w:eastAsia="Aptos"/>
          <w:b/>
          <w:bCs/>
          <w:kern w:val="2"/>
          <w:lang w:val="en-US" w:eastAsia="en-US"/>
          <w14:ligatures w14:val="standardContextual"/>
        </w:rPr>
      </w:pPr>
    </w:p>
    <w:p w14:paraId="0FA46C48" w14:textId="77777777" w:rsidR="00F00C6E" w:rsidRDefault="00F00C6E" w:rsidP="00F00C6E">
      <w:pPr>
        <w:spacing w:after="160" w:line="259" w:lineRule="auto"/>
        <w:rPr>
          <w:rFonts w:eastAsia="Aptos"/>
          <w:b/>
          <w:bCs/>
          <w:kern w:val="2"/>
          <w:lang w:val="en-US" w:eastAsia="en-US"/>
          <w14:ligatures w14:val="standardContextual"/>
        </w:rPr>
      </w:pPr>
    </w:p>
    <w:p w14:paraId="320FCAFF" w14:textId="77777777" w:rsidR="00F00C6E" w:rsidRDefault="00F00C6E" w:rsidP="00F00C6E">
      <w:pPr>
        <w:spacing w:after="160" w:line="259" w:lineRule="auto"/>
        <w:rPr>
          <w:rFonts w:eastAsia="Aptos"/>
          <w:b/>
          <w:bCs/>
          <w:kern w:val="2"/>
          <w:lang w:val="en-US" w:eastAsia="en-US"/>
          <w14:ligatures w14:val="standardContextual"/>
        </w:rPr>
      </w:pPr>
    </w:p>
    <w:p w14:paraId="399711E7" w14:textId="77777777" w:rsidR="00F00C6E" w:rsidRDefault="00F00C6E" w:rsidP="00F00C6E">
      <w:pPr>
        <w:spacing w:after="160" w:line="259" w:lineRule="auto"/>
        <w:rPr>
          <w:rFonts w:eastAsia="Aptos"/>
          <w:b/>
          <w:bCs/>
          <w:kern w:val="2"/>
          <w:lang w:val="en-US" w:eastAsia="en-US"/>
          <w14:ligatures w14:val="standardContextual"/>
        </w:rPr>
      </w:pPr>
    </w:p>
    <w:p w14:paraId="75F08FFF" w14:textId="77777777" w:rsidR="00F00C6E" w:rsidRDefault="00F00C6E" w:rsidP="00F00C6E">
      <w:pPr>
        <w:spacing w:after="160" w:line="259" w:lineRule="auto"/>
        <w:rPr>
          <w:rFonts w:eastAsia="Aptos"/>
          <w:b/>
          <w:bCs/>
          <w:kern w:val="2"/>
          <w:lang w:val="en-US" w:eastAsia="en-US"/>
          <w14:ligatures w14:val="standardContextual"/>
        </w:rPr>
      </w:pPr>
    </w:p>
    <w:p w14:paraId="7C86A01B" w14:textId="77777777" w:rsidR="00F00C6E" w:rsidRDefault="00F00C6E" w:rsidP="00F00C6E">
      <w:pPr>
        <w:spacing w:after="160" w:line="259" w:lineRule="auto"/>
        <w:rPr>
          <w:rFonts w:eastAsia="Aptos"/>
          <w:b/>
          <w:bCs/>
          <w:kern w:val="2"/>
          <w:lang w:val="en-US" w:eastAsia="en-US"/>
          <w14:ligatures w14:val="standardContextual"/>
        </w:rPr>
      </w:pPr>
    </w:p>
    <w:p w14:paraId="016A25CF" w14:textId="77777777" w:rsidR="00F00C6E" w:rsidRDefault="00F00C6E" w:rsidP="00F00C6E">
      <w:pPr>
        <w:spacing w:after="160" w:line="259" w:lineRule="auto"/>
        <w:rPr>
          <w:rFonts w:eastAsia="Aptos"/>
          <w:b/>
          <w:bCs/>
          <w:kern w:val="2"/>
          <w:lang w:val="en-US" w:eastAsia="en-US"/>
          <w14:ligatures w14:val="standardContextual"/>
        </w:rPr>
      </w:pPr>
    </w:p>
    <w:p w14:paraId="20D48EE0" w14:textId="77777777" w:rsidR="00F00C6E" w:rsidRDefault="00F00C6E" w:rsidP="00F00C6E">
      <w:pPr>
        <w:spacing w:after="160" w:line="259" w:lineRule="auto"/>
        <w:rPr>
          <w:rFonts w:eastAsia="Aptos"/>
          <w:b/>
          <w:bCs/>
          <w:kern w:val="2"/>
          <w:lang w:val="en-US" w:eastAsia="en-US"/>
          <w14:ligatures w14:val="standardContextual"/>
        </w:rPr>
      </w:pPr>
    </w:p>
    <w:p w14:paraId="6EB3799E" w14:textId="0A3F20AB" w:rsidR="00F00C6E" w:rsidRDefault="00F00C6E" w:rsidP="00F00C6E">
      <w:pPr>
        <w:spacing w:after="160" w:line="259" w:lineRule="auto"/>
        <w:rPr>
          <w:rFonts w:eastAsia="Aptos"/>
          <w:b/>
          <w:bCs/>
          <w:kern w:val="2"/>
          <w:lang w:val="en-US" w:eastAsia="en-US"/>
          <w14:ligatures w14:val="standardContextual"/>
        </w:rPr>
      </w:pPr>
      <w:r>
        <w:rPr>
          <w:rFonts w:eastAsia="Aptos"/>
          <w:b/>
          <w:bCs/>
          <w:kern w:val="2"/>
          <w:lang w:val="en-US" w:eastAsia="en-US"/>
          <w14:ligatures w14:val="standardContextual"/>
        </w:rPr>
        <w:t>Table 1</w:t>
      </w:r>
      <w:proofErr w:type="gramStart"/>
      <w:r>
        <w:rPr>
          <w:rFonts w:eastAsia="Aptos"/>
          <w:b/>
          <w:bCs/>
          <w:kern w:val="2"/>
          <w:lang w:val="en-US" w:eastAsia="en-US"/>
          <w14:ligatures w14:val="standardContextual"/>
        </w:rPr>
        <w:t xml:space="preserve">. </w:t>
      </w:r>
      <w:r w:rsidR="004D7841">
        <w:rPr>
          <w:rFonts w:eastAsia="Aptos"/>
          <w:b/>
          <w:bCs/>
          <w:kern w:val="2"/>
          <w:lang w:val="en-US" w:eastAsia="en-US"/>
          <w14:ligatures w14:val="standardContextual"/>
        </w:rPr>
        <w:t>:</w:t>
      </w:r>
      <w:proofErr w:type="gramEnd"/>
      <w:r w:rsidR="004D7841">
        <w:rPr>
          <w:rFonts w:eastAsia="Aptos"/>
          <w:b/>
          <w:bCs/>
          <w:kern w:val="2"/>
          <w:lang w:val="en-US" w:eastAsia="en-US"/>
          <w14:ligatures w14:val="standardContextual"/>
        </w:rPr>
        <w:t xml:space="preserve"> </w:t>
      </w:r>
      <w:r w:rsidRPr="00F00C6E">
        <w:rPr>
          <w:rFonts w:eastAsia="Aptos"/>
          <w:b/>
          <w:bCs/>
          <w:kern w:val="2"/>
          <w:lang w:val="en-US" w:eastAsia="en-US"/>
          <w14:ligatures w14:val="standardContextual"/>
        </w:rPr>
        <w:t xml:space="preserve">Dietary </w:t>
      </w:r>
      <w:proofErr w:type="spellStart"/>
      <w:r w:rsidRPr="00F00C6E">
        <w:rPr>
          <w:rFonts w:eastAsia="Aptos"/>
          <w:b/>
          <w:bCs/>
          <w:kern w:val="2"/>
          <w:lang w:val="en-US" w:eastAsia="en-US"/>
          <w14:ligatures w14:val="standardContextual"/>
        </w:rPr>
        <w:t>Bioactives</w:t>
      </w:r>
      <w:proofErr w:type="spellEnd"/>
      <w:r w:rsidRPr="00F00C6E">
        <w:rPr>
          <w:rFonts w:eastAsia="Aptos"/>
          <w:b/>
          <w:bCs/>
          <w:kern w:val="2"/>
          <w:lang w:val="en-US" w:eastAsia="en-US"/>
          <w14:ligatures w14:val="standardContextual"/>
        </w:rPr>
        <w:t xml:space="preserve"> as Genomic Regulators</w:t>
      </w:r>
    </w:p>
    <w:tbl>
      <w:tblPr>
        <w:tblStyle w:val="TableGrid"/>
        <w:tblW w:w="0" w:type="dxa"/>
        <w:tblLook w:val="04A0" w:firstRow="1" w:lastRow="0" w:firstColumn="1" w:lastColumn="0" w:noHBand="0" w:noVBand="1"/>
      </w:tblPr>
      <w:tblGrid>
        <w:gridCol w:w="3205"/>
        <w:gridCol w:w="1738"/>
        <w:gridCol w:w="2381"/>
        <w:gridCol w:w="1165"/>
      </w:tblGrid>
      <w:tr w:rsidR="009E0638" w:rsidRPr="004E5195" w14:paraId="51CA8B7F" w14:textId="77777777" w:rsidTr="00B824F1">
        <w:trPr>
          <w:trHeight w:val="315"/>
        </w:trPr>
        <w:tc>
          <w:tcPr>
            <w:tcW w:w="0" w:type="auto"/>
            <w:hideMark/>
          </w:tcPr>
          <w:p w14:paraId="4D089596" w14:textId="77777777" w:rsidR="009E0638" w:rsidRPr="004E5195" w:rsidRDefault="009E0638" w:rsidP="00B824F1">
            <w:pPr>
              <w:spacing w:after="160" w:line="259" w:lineRule="auto"/>
              <w:rPr>
                <w:rFonts w:ascii="Times New Roman" w:hAnsi="Times New Roman" w:cs="Times New Roman"/>
                <w:b/>
                <w:bCs/>
              </w:rPr>
            </w:pPr>
            <w:r w:rsidRPr="004E5195">
              <w:rPr>
                <w:rFonts w:ascii="Times New Roman" w:hAnsi="Times New Roman" w:cs="Times New Roman"/>
                <w:b/>
                <w:bCs/>
              </w:rPr>
              <w:t>Dietary Bioactive Regulators</w:t>
            </w:r>
          </w:p>
        </w:tc>
        <w:tc>
          <w:tcPr>
            <w:tcW w:w="0" w:type="auto"/>
            <w:hideMark/>
          </w:tcPr>
          <w:p w14:paraId="5D5F8BF5" w14:textId="77777777" w:rsidR="009E0638" w:rsidRPr="004E5195" w:rsidRDefault="009E0638" w:rsidP="00B824F1">
            <w:pPr>
              <w:spacing w:after="160" w:line="259" w:lineRule="auto"/>
              <w:rPr>
                <w:rFonts w:ascii="Times New Roman" w:hAnsi="Times New Roman" w:cs="Times New Roman"/>
                <w:b/>
                <w:bCs/>
              </w:rPr>
            </w:pPr>
            <w:r w:rsidRPr="004E5195">
              <w:rPr>
                <w:rFonts w:ascii="Times New Roman" w:hAnsi="Times New Roman" w:cs="Times New Roman"/>
                <w:b/>
                <w:bCs/>
              </w:rPr>
              <w:t>Protein / Target</w:t>
            </w:r>
          </w:p>
        </w:tc>
        <w:tc>
          <w:tcPr>
            <w:tcW w:w="0" w:type="auto"/>
            <w:hideMark/>
          </w:tcPr>
          <w:p w14:paraId="3589287F" w14:textId="77777777" w:rsidR="009E0638" w:rsidRPr="004E5195" w:rsidRDefault="009E0638" w:rsidP="00B824F1">
            <w:pPr>
              <w:spacing w:after="160" w:line="259" w:lineRule="auto"/>
              <w:rPr>
                <w:rFonts w:ascii="Times New Roman" w:hAnsi="Times New Roman" w:cs="Times New Roman"/>
                <w:b/>
                <w:bCs/>
              </w:rPr>
            </w:pPr>
            <w:r w:rsidRPr="004E5195">
              <w:rPr>
                <w:rFonts w:ascii="Times New Roman" w:hAnsi="Times New Roman" w:cs="Times New Roman"/>
                <w:b/>
                <w:bCs/>
              </w:rPr>
              <w:t>Functions</w:t>
            </w:r>
          </w:p>
        </w:tc>
        <w:tc>
          <w:tcPr>
            <w:tcW w:w="0" w:type="auto"/>
            <w:hideMark/>
          </w:tcPr>
          <w:p w14:paraId="69E35897" w14:textId="77777777" w:rsidR="009E0638" w:rsidRPr="004E5195" w:rsidRDefault="009E0638" w:rsidP="00B824F1">
            <w:pPr>
              <w:spacing w:after="160" w:line="259" w:lineRule="auto"/>
              <w:rPr>
                <w:rFonts w:ascii="Times New Roman" w:hAnsi="Times New Roman" w:cs="Times New Roman"/>
                <w:b/>
                <w:bCs/>
              </w:rPr>
            </w:pPr>
            <w:r w:rsidRPr="004E5195">
              <w:rPr>
                <w:rFonts w:ascii="Times New Roman" w:hAnsi="Times New Roman" w:cs="Times New Roman"/>
                <w:b/>
                <w:bCs/>
              </w:rPr>
              <w:t>Gene Targeted</w:t>
            </w:r>
          </w:p>
        </w:tc>
      </w:tr>
      <w:tr w:rsidR="009E0638" w:rsidRPr="004E5195" w14:paraId="05375DD4" w14:textId="77777777" w:rsidTr="00B824F1">
        <w:trPr>
          <w:trHeight w:val="315"/>
        </w:trPr>
        <w:tc>
          <w:tcPr>
            <w:tcW w:w="0" w:type="auto"/>
            <w:hideMark/>
          </w:tcPr>
          <w:p w14:paraId="62565D87" w14:textId="77777777" w:rsidR="009E0638" w:rsidRPr="004E5195" w:rsidRDefault="009E0638" w:rsidP="00B824F1">
            <w:pPr>
              <w:spacing w:after="160" w:line="259" w:lineRule="auto"/>
              <w:rPr>
                <w:rFonts w:ascii="Times New Roman" w:hAnsi="Times New Roman" w:cs="Times New Roman"/>
              </w:rPr>
            </w:pPr>
            <w:proofErr w:type="gramStart"/>
            <w:r w:rsidRPr="004E5195">
              <w:rPr>
                <w:rFonts w:ascii="Times New Roman" w:hAnsi="Times New Roman" w:cs="Times New Roman"/>
              </w:rPr>
              <w:t>Curcumin(</w:t>
            </w:r>
            <w:proofErr w:type="gramEnd"/>
            <w:r w:rsidRPr="004E5195">
              <w:rPr>
                <w:rFonts w:ascii="Times New Roman" w:hAnsi="Times New Roman" w:cs="Times New Roman"/>
              </w:rPr>
              <w:t xml:space="preserve">Source: Curcuma longa/Turmeric)Activates NRF2 by disrupting Keap1-mediated degradation, enhancing antioxidant </w:t>
            </w:r>
            <w:proofErr w:type="spellStart"/>
            <w:r w:rsidRPr="004E5195">
              <w:rPr>
                <w:rFonts w:ascii="Times New Roman" w:hAnsi="Times New Roman" w:cs="Times New Roman"/>
              </w:rPr>
              <w:t>defenses</w:t>
            </w:r>
            <w:proofErr w:type="spellEnd"/>
            <w:r w:rsidRPr="004E5195">
              <w:rPr>
                <w:rFonts w:ascii="Times New Roman" w:hAnsi="Times New Roman" w:cs="Times New Roman"/>
              </w:rPr>
              <w:t>, and reducing oxidative stress (</w:t>
            </w:r>
            <w:proofErr w:type="spellStart"/>
            <w:r w:rsidRPr="004E5195">
              <w:rPr>
                <w:rFonts w:ascii="Times New Roman" w:hAnsi="Times New Roman" w:cs="Times New Roman"/>
              </w:rPr>
              <w:t>Ashrafizadeh</w:t>
            </w:r>
            <w:proofErr w:type="spellEnd"/>
            <w:r w:rsidRPr="004E5195">
              <w:rPr>
                <w:rFonts w:ascii="Times New Roman" w:hAnsi="Times New Roman" w:cs="Times New Roman"/>
              </w:rPr>
              <w:t xml:space="preserve"> et al., 2020).</w:t>
            </w:r>
          </w:p>
        </w:tc>
        <w:tc>
          <w:tcPr>
            <w:tcW w:w="0" w:type="auto"/>
            <w:hideMark/>
          </w:tcPr>
          <w:p w14:paraId="264EEE71"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NRF2(Nuclear Factor Erythroid 2–Related Factor 2)</w:t>
            </w:r>
          </w:p>
        </w:tc>
        <w:tc>
          <w:tcPr>
            <w:tcW w:w="0" w:type="auto"/>
            <w:hideMark/>
          </w:tcPr>
          <w:p w14:paraId="3D1E3C31"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A transcription factor that regulates antioxidant response via ARE-driven genes. It promotes </w:t>
            </w:r>
            <w:proofErr w:type="spellStart"/>
            <w:r w:rsidRPr="004E5195">
              <w:rPr>
                <w:rFonts w:ascii="Times New Roman" w:hAnsi="Times New Roman" w:cs="Times New Roman"/>
              </w:rPr>
              <w:t>cytoprotection</w:t>
            </w:r>
            <w:proofErr w:type="spellEnd"/>
            <w:r w:rsidRPr="004E5195">
              <w:rPr>
                <w:rFonts w:ascii="Times New Roman" w:hAnsi="Times New Roman" w:cs="Times New Roman"/>
              </w:rPr>
              <w:t xml:space="preserve"> by inducing antioxidant enzymes (e.g., NQO1, HO-1) and suppressing pro-inflammatory pathways (e.g., NF-</w:t>
            </w:r>
            <w:proofErr w:type="spellStart"/>
            <w:r w:rsidRPr="004E5195">
              <w:rPr>
                <w:rFonts w:ascii="Times New Roman" w:hAnsi="Times New Roman" w:cs="Times New Roman"/>
              </w:rPr>
              <w:t>κB</w:t>
            </w:r>
            <w:proofErr w:type="spellEnd"/>
            <w:r w:rsidRPr="004E5195">
              <w:rPr>
                <w:rFonts w:ascii="Times New Roman" w:hAnsi="Times New Roman" w:cs="Times New Roman"/>
              </w:rPr>
              <w:t>, COX-2). Also impacts metabolism and autophagy (</w:t>
            </w:r>
            <w:proofErr w:type="spellStart"/>
            <w:r w:rsidRPr="004E5195">
              <w:rPr>
                <w:rFonts w:ascii="Times New Roman" w:hAnsi="Times New Roman" w:cs="Times New Roman"/>
              </w:rPr>
              <w:t>Parsamanesh</w:t>
            </w:r>
            <w:proofErr w:type="spellEnd"/>
            <w:r w:rsidRPr="004E5195">
              <w:rPr>
                <w:rFonts w:ascii="Times New Roman" w:hAnsi="Times New Roman" w:cs="Times New Roman"/>
              </w:rPr>
              <w:t xml:space="preserve"> et al., 2018).</w:t>
            </w:r>
          </w:p>
        </w:tc>
        <w:tc>
          <w:tcPr>
            <w:tcW w:w="0" w:type="auto"/>
            <w:hideMark/>
          </w:tcPr>
          <w:p w14:paraId="4BF80728"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NFE2L2</w:t>
            </w:r>
          </w:p>
        </w:tc>
      </w:tr>
      <w:tr w:rsidR="009E0638" w:rsidRPr="004E5195" w14:paraId="1AA5209F" w14:textId="77777777" w:rsidTr="00B824F1">
        <w:trPr>
          <w:trHeight w:val="315"/>
        </w:trPr>
        <w:tc>
          <w:tcPr>
            <w:tcW w:w="0" w:type="auto"/>
            <w:hideMark/>
          </w:tcPr>
          <w:p w14:paraId="38174EC1"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Mediterranean </w:t>
            </w:r>
            <w:proofErr w:type="gramStart"/>
            <w:r w:rsidRPr="004E5195">
              <w:rPr>
                <w:rFonts w:ascii="Times New Roman" w:hAnsi="Times New Roman" w:cs="Times New Roman"/>
              </w:rPr>
              <w:t>Diet(</w:t>
            </w:r>
            <w:proofErr w:type="gramEnd"/>
            <w:r w:rsidRPr="004E5195">
              <w:rPr>
                <w:rFonts w:ascii="Times New Roman" w:hAnsi="Times New Roman" w:cs="Times New Roman"/>
              </w:rPr>
              <w:t>Rich in polyphenols and unsaturated fats)Influences FTO gene expression and mitigates genetic predisposition to obesity and type 2 diabetes (</w:t>
            </w:r>
            <w:proofErr w:type="spellStart"/>
            <w:r w:rsidRPr="004E5195">
              <w:rPr>
                <w:rFonts w:ascii="Times New Roman" w:hAnsi="Times New Roman" w:cs="Times New Roman"/>
              </w:rPr>
              <w:t>Ikhanjal</w:t>
            </w:r>
            <w:proofErr w:type="spellEnd"/>
            <w:r w:rsidRPr="004E5195">
              <w:rPr>
                <w:rFonts w:ascii="Times New Roman" w:hAnsi="Times New Roman" w:cs="Times New Roman"/>
              </w:rPr>
              <w:t xml:space="preserve"> et al., 2023).</w:t>
            </w:r>
          </w:p>
        </w:tc>
        <w:tc>
          <w:tcPr>
            <w:tcW w:w="0" w:type="auto"/>
            <w:hideMark/>
          </w:tcPr>
          <w:p w14:paraId="7135198D"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Alpha-ketoglutarate dependent dioxygenase</w:t>
            </w:r>
          </w:p>
        </w:tc>
        <w:tc>
          <w:tcPr>
            <w:tcW w:w="0" w:type="auto"/>
            <w:hideMark/>
          </w:tcPr>
          <w:p w14:paraId="1D223574"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An enzyme involved in demethylation of RNA, impacting adipogenesis, energy homeostasis, and insulin </w:t>
            </w:r>
            <w:proofErr w:type="spellStart"/>
            <w:r w:rsidRPr="004E5195">
              <w:rPr>
                <w:rFonts w:ascii="Times New Roman" w:hAnsi="Times New Roman" w:cs="Times New Roman"/>
              </w:rPr>
              <w:t>signaling</w:t>
            </w:r>
            <w:proofErr w:type="spellEnd"/>
            <w:r w:rsidRPr="004E5195">
              <w:rPr>
                <w:rFonts w:ascii="Times New Roman" w:hAnsi="Times New Roman" w:cs="Times New Roman"/>
              </w:rPr>
              <w:t>. Associated with obesity/T2D risk due to genetic polymorphisms like rs9939609 (Renzo et al., 2018).</w:t>
            </w:r>
          </w:p>
        </w:tc>
        <w:tc>
          <w:tcPr>
            <w:tcW w:w="0" w:type="auto"/>
            <w:hideMark/>
          </w:tcPr>
          <w:p w14:paraId="4469671A"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FTO</w:t>
            </w:r>
          </w:p>
        </w:tc>
      </w:tr>
      <w:tr w:rsidR="009E0638" w:rsidRPr="004E5195" w14:paraId="1E67FFA9" w14:textId="77777777" w:rsidTr="00B824F1">
        <w:trPr>
          <w:trHeight w:val="315"/>
        </w:trPr>
        <w:tc>
          <w:tcPr>
            <w:tcW w:w="0" w:type="auto"/>
            <w:hideMark/>
          </w:tcPr>
          <w:p w14:paraId="4BE134E0" w14:textId="77777777" w:rsidR="009E0638" w:rsidRPr="004E5195" w:rsidRDefault="009E0638" w:rsidP="00B824F1">
            <w:pPr>
              <w:spacing w:after="160" w:line="259" w:lineRule="auto"/>
              <w:rPr>
                <w:rFonts w:ascii="Times New Roman" w:hAnsi="Times New Roman" w:cs="Times New Roman"/>
              </w:rPr>
            </w:pPr>
            <w:proofErr w:type="gramStart"/>
            <w:r w:rsidRPr="004E5195">
              <w:rPr>
                <w:rFonts w:ascii="Times New Roman" w:hAnsi="Times New Roman" w:cs="Times New Roman"/>
              </w:rPr>
              <w:t>Flavonoids(</w:t>
            </w:r>
            <w:proofErr w:type="gramEnd"/>
            <w:r w:rsidRPr="004E5195">
              <w:rPr>
                <w:rFonts w:ascii="Times New Roman" w:hAnsi="Times New Roman" w:cs="Times New Roman"/>
              </w:rPr>
              <w:t>Quercetin, Apigenin)Inhibit NF-</w:t>
            </w:r>
            <w:proofErr w:type="spellStart"/>
            <w:r w:rsidRPr="004E5195">
              <w:rPr>
                <w:rFonts w:ascii="Times New Roman" w:hAnsi="Times New Roman" w:cs="Times New Roman"/>
              </w:rPr>
              <w:t>κB</w:t>
            </w:r>
            <w:proofErr w:type="spellEnd"/>
            <w:r w:rsidRPr="004E5195">
              <w:rPr>
                <w:rFonts w:ascii="Times New Roman" w:hAnsi="Times New Roman" w:cs="Times New Roman"/>
              </w:rPr>
              <w:t xml:space="preserve"> activation by blocking </w:t>
            </w:r>
            <w:proofErr w:type="spellStart"/>
            <w:r w:rsidRPr="004E5195">
              <w:rPr>
                <w:rFonts w:ascii="Times New Roman" w:hAnsi="Times New Roman" w:cs="Times New Roman"/>
              </w:rPr>
              <w:t>IκB</w:t>
            </w:r>
            <w:proofErr w:type="spellEnd"/>
            <w:r w:rsidRPr="004E5195">
              <w:rPr>
                <w:rFonts w:ascii="Times New Roman" w:hAnsi="Times New Roman" w:cs="Times New Roman"/>
              </w:rPr>
              <w:t xml:space="preserve">α degradation and reducing pro-inflammatory cytokine expression. Exhibit </w:t>
            </w:r>
            <w:r w:rsidRPr="004E5195">
              <w:rPr>
                <w:rFonts w:ascii="Times New Roman" w:hAnsi="Times New Roman" w:cs="Times New Roman"/>
              </w:rPr>
              <w:lastRenderedPageBreak/>
              <w:t xml:space="preserve">antioxidant and anti-apoptotic effects (Al-Khayri et al., 2022; </w:t>
            </w:r>
            <w:proofErr w:type="spellStart"/>
            <w:r w:rsidRPr="004E5195">
              <w:rPr>
                <w:rFonts w:ascii="Times New Roman" w:hAnsi="Times New Roman" w:cs="Times New Roman"/>
              </w:rPr>
              <w:t>Jazvinšćak</w:t>
            </w:r>
            <w:proofErr w:type="spellEnd"/>
            <w:r w:rsidRPr="004E5195">
              <w:rPr>
                <w:rFonts w:ascii="Times New Roman" w:hAnsi="Times New Roman" w:cs="Times New Roman"/>
              </w:rPr>
              <w:t xml:space="preserve"> et al., 2021).</w:t>
            </w:r>
          </w:p>
        </w:tc>
        <w:tc>
          <w:tcPr>
            <w:tcW w:w="0" w:type="auto"/>
            <w:hideMark/>
          </w:tcPr>
          <w:p w14:paraId="19B6494C"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lastRenderedPageBreak/>
              <w:t>Nuclear factor kappa B subunit 1 (p50)</w:t>
            </w:r>
          </w:p>
        </w:tc>
        <w:tc>
          <w:tcPr>
            <w:tcW w:w="0" w:type="auto"/>
            <w:hideMark/>
          </w:tcPr>
          <w:p w14:paraId="0126ACE0"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A transcription factor involved in the canonical NF-</w:t>
            </w:r>
            <w:proofErr w:type="spellStart"/>
            <w:r w:rsidRPr="004E5195">
              <w:rPr>
                <w:rFonts w:ascii="Times New Roman" w:hAnsi="Times New Roman" w:cs="Times New Roman"/>
              </w:rPr>
              <w:t>κB</w:t>
            </w:r>
            <w:proofErr w:type="spellEnd"/>
            <w:r w:rsidRPr="004E5195">
              <w:rPr>
                <w:rFonts w:ascii="Times New Roman" w:hAnsi="Times New Roman" w:cs="Times New Roman"/>
              </w:rPr>
              <w:t xml:space="preserve"> pathway. Regulates immune responses, inflammation, cell </w:t>
            </w:r>
            <w:r w:rsidRPr="004E5195">
              <w:rPr>
                <w:rFonts w:ascii="Times New Roman" w:hAnsi="Times New Roman" w:cs="Times New Roman"/>
              </w:rPr>
              <w:lastRenderedPageBreak/>
              <w:t>survival, and apoptosis. Activated by inflammatory cytokines and PAMPs (Yu et al., 2020).</w:t>
            </w:r>
          </w:p>
        </w:tc>
        <w:tc>
          <w:tcPr>
            <w:tcW w:w="0" w:type="auto"/>
            <w:hideMark/>
          </w:tcPr>
          <w:p w14:paraId="43C2ACB2"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lastRenderedPageBreak/>
              <w:t>NFKB1</w:t>
            </w:r>
          </w:p>
        </w:tc>
      </w:tr>
      <w:tr w:rsidR="009E0638" w:rsidRPr="004E5195" w14:paraId="111DCB72" w14:textId="77777777" w:rsidTr="00B824F1">
        <w:trPr>
          <w:trHeight w:val="315"/>
        </w:trPr>
        <w:tc>
          <w:tcPr>
            <w:tcW w:w="0" w:type="auto"/>
            <w:hideMark/>
          </w:tcPr>
          <w:p w14:paraId="16C7B0EB"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Phenolic </w:t>
            </w:r>
            <w:proofErr w:type="gramStart"/>
            <w:r w:rsidRPr="004E5195">
              <w:rPr>
                <w:rFonts w:ascii="Times New Roman" w:hAnsi="Times New Roman" w:cs="Times New Roman"/>
              </w:rPr>
              <w:t>Acids(</w:t>
            </w:r>
            <w:proofErr w:type="gramEnd"/>
            <w:r w:rsidRPr="004E5195">
              <w:rPr>
                <w:rFonts w:ascii="Times New Roman" w:hAnsi="Times New Roman" w:cs="Times New Roman"/>
              </w:rPr>
              <w:t>Source: Barley, oats, buckwheat)Extracts of bound phenolic acids inhibit LPS-induced NF-</w:t>
            </w:r>
            <w:proofErr w:type="spellStart"/>
            <w:r w:rsidRPr="004E5195">
              <w:rPr>
                <w:rFonts w:ascii="Times New Roman" w:hAnsi="Times New Roman" w:cs="Times New Roman"/>
              </w:rPr>
              <w:t>κB</w:t>
            </w:r>
            <w:proofErr w:type="spellEnd"/>
            <w:r w:rsidRPr="004E5195">
              <w:rPr>
                <w:rFonts w:ascii="Times New Roman" w:hAnsi="Times New Roman" w:cs="Times New Roman"/>
              </w:rPr>
              <w:t xml:space="preserve"> activation, reducing inflammation (Ed </w:t>
            </w:r>
            <w:proofErr w:type="spellStart"/>
            <w:r w:rsidRPr="004E5195">
              <w:rPr>
                <w:rFonts w:ascii="Times New Roman" w:hAnsi="Times New Roman" w:cs="Times New Roman"/>
              </w:rPr>
              <w:t>Nignpense</w:t>
            </w:r>
            <w:proofErr w:type="spellEnd"/>
            <w:r w:rsidRPr="004E5195">
              <w:rPr>
                <w:rFonts w:ascii="Times New Roman" w:hAnsi="Times New Roman" w:cs="Times New Roman"/>
              </w:rPr>
              <w:t xml:space="preserve"> et al., 2021).</w:t>
            </w:r>
          </w:p>
        </w:tc>
        <w:tc>
          <w:tcPr>
            <w:tcW w:w="0" w:type="auto"/>
            <w:hideMark/>
          </w:tcPr>
          <w:p w14:paraId="05DAD588"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Nuclear factor kappa B subunit 2 (p52)</w:t>
            </w:r>
          </w:p>
        </w:tc>
        <w:tc>
          <w:tcPr>
            <w:tcW w:w="0" w:type="auto"/>
            <w:hideMark/>
          </w:tcPr>
          <w:p w14:paraId="373E71B0"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A transcription factor involved in the non-canonical NF-</w:t>
            </w:r>
            <w:proofErr w:type="spellStart"/>
            <w:r w:rsidRPr="004E5195">
              <w:rPr>
                <w:rFonts w:ascii="Times New Roman" w:hAnsi="Times New Roman" w:cs="Times New Roman"/>
              </w:rPr>
              <w:t>κB</w:t>
            </w:r>
            <w:proofErr w:type="spellEnd"/>
            <w:r w:rsidRPr="004E5195">
              <w:rPr>
                <w:rFonts w:ascii="Times New Roman" w:hAnsi="Times New Roman" w:cs="Times New Roman"/>
              </w:rPr>
              <w:t xml:space="preserve"> pathway. Regulates lymphoid organogenesis, adaptive immunity, and chronic inflammation. Activated by TNF family ligands (Guo et al., 2024).</w:t>
            </w:r>
          </w:p>
        </w:tc>
        <w:tc>
          <w:tcPr>
            <w:tcW w:w="0" w:type="auto"/>
            <w:hideMark/>
          </w:tcPr>
          <w:p w14:paraId="719C3803"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NFKB2</w:t>
            </w:r>
          </w:p>
        </w:tc>
      </w:tr>
      <w:tr w:rsidR="009E0638" w:rsidRPr="004E5195" w14:paraId="66A39AC5" w14:textId="77777777" w:rsidTr="00B824F1">
        <w:trPr>
          <w:trHeight w:val="315"/>
        </w:trPr>
        <w:tc>
          <w:tcPr>
            <w:tcW w:w="0" w:type="auto"/>
            <w:hideMark/>
          </w:tcPr>
          <w:p w14:paraId="3F128DBC"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Catechins, Epicatechins, Phenolic </w:t>
            </w:r>
            <w:proofErr w:type="gramStart"/>
            <w:r w:rsidRPr="004E5195">
              <w:rPr>
                <w:rFonts w:ascii="Times New Roman" w:hAnsi="Times New Roman" w:cs="Times New Roman"/>
              </w:rPr>
              <w:t>Acids(</w:t>
            </w:r>
            <w:proofErr w:type="gramEnd"/>
            <w:r w:rsidRPr="004E5195">
              <w:rPr>
                <w:rFonts w:ascii="Times New Roman" w:hAnsi="Times New Roman" w:cs="Times New Roman"/>
              </w:rPr>
              <w:t>Source: Green tea, cocoa, whole grains)Increase GLUT4 translocation and insulin sensitivity (Muhammad et al., 2023).</w:t>
            </w:r>
          </w:p>
        </w:tc>
        <w:tc>
          <w:tcPr>
            <w:tcW w:w="0" w:type="auto"/>
            <w:hideMark/>
          </w:tcPr>
          <w:p w14:paraId="45D43D6A"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GLUT4</w:t>
            </w:r>
          </w:p>
        </w:tc>
        <w:tc>
          <w:tcPr>
            <w:tcW w:w="0" w:type="auto"/>
            <w:hideMark/>
          </w:tcPr>
          <w:p w14:paraId="7A44D65C"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Insulin-responsive glucose transporter in adipose tissue and muscle; regulates postprandial glucose uptake (Papuc et al., 2021).</w:t>
            </w:r>
          </w:p>
        </w:tc>
        <w:tc>
          <w:tcPr>
            <w:tcW w:w="0" w:type="auto"/>
            <w:hideMark/>
          </w:tcPr>
          <w:p w14:paraId="3DE072DF"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SLC2A4</w:t>
            </w:r>
          </w:p>
        </w:tc>
      </w:tr>
      <w:tr w:rsidR="009E0638" w:rsidRPr="004E5195" w14:paraId="7E6AE1E5" w14:textId="77777777" w:rsidTr="00B824F1">
        <w:trPr>
          <w:trHeight w:val="315"/>
        </w:trPr>
        <w:tc>
          <w:tcPr>
            <w:tcW w:w="0" w:type="auto"/>
            <w:hideMark/>
          </w:tcPr>
          <w:p w14:paraId="2D755587"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Quercetin, </w:t>
            </w:r>
            <w:proofErr w:type="gramStart"/>
            <w:r w:rsidRPr="004E5195">
              <w:rPr>
                <w:rFonts w:ascii="Times New Roman" w:hAnsi="Times New Roman" w:cs="Times New Roman"/>
              </w:rPr>
              <w:t>Resveratrol(</w:t>
            </w:r>
            <w:proofErr w:type="gramEnd"/>
            <w:r w:rsidRPr="004E5195">
              <w:rPr>
                <w:rFonts w:ascii="Times New Roman" w:hAnsi="Times New Roman" w:cs="Times New Roman"/>
              </w:rPr>
              <w:t>Source: Apples, onions, grapes)Enhance GLUT1 expression and glucose uptake (Salehi et al., 2020).</w:t>
            </w:r>
          </w:p>
        </w:tc>
        <w:tc>
          <w:tcPr>
            <w:tcW w:w="0" w:type="auto"/>
            <w:hideMark/>
          </w:tcPr>
          <w:p w14:paraId="095EED58"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GLUT1</w:t>
            </w:r>
          </w:p>
        </w:tc>
        <w:tc>
          <w:tcPr>
            <w:tcW w:w="0" w:type="auto"/>
            <w:hideMark/>
          </w:tcPr>
          <w:p w14:paraId="19C3FF85"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Basal glucose uptake in most tissues, including the brain and red blood cells. Maintains glucose homeostasis, especially under hypoxia.</w:t>
            </w:r>
          </w:p>
        </w:tc>
        <w:tc>
          <w:tcPr>
            <w:tcW w:w="0" w:type="auto"/>
            <w:hideMark/>
          </w:tcPr>
          <w:p w14:paraId="0F2E4DC9"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SLC2A1</w:t>
            </w:r>
          </w:p>
        </w:tc>
      </w:tr>
      <w:tr w:rsidR="009E0638" w:rsidRPr="004E5195" w14:paraId="75BA12CE" w14:textId="77777777" w:rsidTr="00B824F1">
        <w:trPr>
          <w:trHeight w:val="315"/>
        </w:trPr>
        <w:tc>
          <w:tcPr>
            <w:tcW w:w="0" w:type="auto"/>
            <w:hideMark/>
          </w:tcPr>
          <w:p w14:paraId="65691223" w14:textId="77777777" w:rsidR="009E0638" w:rsidRPr="004E5195" w:rsidRDefault="009E0638" w:rsidP="00B824F1">
            <w:pPr>
              <w:spacing w:after="160" w:line="259" w:lineRule="auto"/>
              <w:rPr>
                <w:rFonts w:ascii="Times New Roman" w:hAnsi="Times New Roman" w:cs="Times New Roman"/>
              </w:rPr>
            </w:pPr>
            <w:proofErr w:type="gramStart"/>
            <w:r w:rsidRPr="004E5195">
              <w:rPr>
                <w:rFonts w:ascii="Times New Roman" w:hAnsi="Times New Roman" w:cs="Times New Roman"/>
              </w:rPr>
              <w:t>Anthocyanins(</w:t>
            </w:r>
            <w:proofErr w:type="gramEnd"/>
            <w:r w:rsidRPr="004E5195">
              <w:rPr>
                <w:rFonts w:ascii="Times New Roman" w:hAnsi="Times New Roman" w:cs="Times New Roman"/>
              </w:rPr>
              <w:t>Source: Purple corn)Specifically cyanidin-3-O-glucoside (C3G) and delphinidin-3-O-glucoside (D3G). Activate FFAR1 and GK, enhancing insulin secretion and hepatic glucose uptake (Luna-Vital &amp; Gonzalez de Mejia, 2018).</w:t>
            </w:r>
          </w:p>
        </w:tc>
        <w:tc>
          <w:tcPr>
            <w:tcW w:w="0" w:type="auto"/>
            <w:hideMark/>
          </w:tcPr>
          <w:p w14:paraId="0AE9C3FA"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Free Fatty Acid Receptor 1</w:t>
            </w:r>
          </w:p>
        </w:tc>
        <w:tc>
          <w:tcPr>
            <w:tcW w:w="0" w:type="auto"/>
            <w:hideMark/>
          </w:tcPr>
          <w:p w14:paraId="450FF994"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A G protein-coupled receptor (GPCR) that enhances glucose-stimulated insulin secretion and promotes hepatic glucose uptake via glucokinase (GK) activation. Regulates energy homeostasis (Kumari et al., 2023).</w:t>
            </w:r>
          </w:p>
        </w:tc>
        <w:tc>
          <w:tcPr>
            <w:tcW w:w="0" w:type="auto"/>
            <w:hideMark/>
          </w:tcPr>
          <w:p w14:paraId="10E67F9B"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FFAR1</w:t>
            </w:r>
          </w:p>
        </w:tc>
      </w:tr>
      <w:tr w:rsidR="009E0638" w:rsidRPr="004E5195" w14:paraId="04EAE3A8" w14:textId="77777777" w:rsidTr="00B824F1">
        <w:trPr>
          <w:trHeight w:val="315"/>
        </w:trPr>
        <w:tc>
          <w:tcPr>
            <w:tcW w:w="0" w:type="auto"/>
            <w:hideMark/>
          </w:tcPr>
          <w:p w14:paraId="7E705D32"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lastRenderedPageBreak/>
              <w:t xml:space="preserve">Kynurenic Acid, </w:t>
            </w:r>
            <w:proofErr w:type="gramStart"/>
            <w:r w:rsidRPr="004E5195">
              <w:rPr>
                <w:rFonts w:ascii="Times New Roman" w:hAnsi="Times New Roman" w:cs="Times New Roman"/>
              </w:rPr>
              <w:t>HMOs(</w:t>
            </w:r>
            <w:proofErr w:type="gramEnd"/>
            <w:r w:rsidRPr="004E5195">
              <w:rPr>
                <w:rFonts w:ascii="Times New Roman" w:hAnsi="Times New Roman" w:cs="Times New Roman"/>
              </w:rPr>
              <w:t xml:space="preserve">e.g., 6′-O-sialyllactose)Modulate immune </w:t>
            </w:r>
            <w:proofErr w:type="spellStart"/>
            <w:r w:rsidRPr="004E5195">
              <w:rPr>
                <w:rFonts w:ascii="Times New Roman" w:hAnsi="Times New Roman" w:cs="Times New Roman"/>
              </w:rPr>
              <w:t>signaling</w:t>
            </w:r>
            <w:proofErr w:type="spellEnd"/>
            <w:r w:rsidRPr="004E5195">
              <w:rPr>
                <w:rFonts w:ascii="Times New Roman" w:hAnsi="Times New Roman" w:cs="Times New Roman"/>
              </w:rPr>
              <w:t xml:space="preserve"> and inhibit NF-</w:t>
            </w:r>
            <w:proofErr w:type="spellStart"/>
            <w:r w:rsidRPr="004E5195">
              <w:rPr>
                <w:rFonts w:ascii="Times New Roman" w:hAnsi="Times New Roman" w:cs="Times New Roman"/>
              </w:rPr>
              <w:t>κB</w:t>
            </w:r>
            <w:proofErr w:type="spellEnd"/>
            <w:r w:rsidRPr="004E5195">
              <w:rPr>
                <w:rFonts w:ascii="Times New Roman" w:hAnsi="Times New Roman" w:cs="Times New Roman"/>
              </w:rPr>
              <w:t xml:space="preserve"> activation (</w:t>
            </w:r>
            <w:proofErr w:type="spellStart"/>
            <w:r w:rsidRPr="004E5195">
              <w:rPr>
                <w:rFonts w:ascii="Times New Roman" w:hAnsi="Times New Roman" w:cs="Times New Roman"/>
              </w:rPr>
              <w:t>Foata</w:t>
            </w:r>
            <w:proofErr w:type="spellEnd"/>
            <w:r w:rsidRPr="004E5195">
              <w:rPr>
                <w:rFonts w:ascii="Times New Roman" w:hAnsi="Times New Roman" w:cs="Times New Roman"/>
              </w:rPr>
              <w:t xml:space="preserve"> et al., 2020).</w:t>
            </w:r>
          </w:p>
        </w:tc>
        <w:tc>
          <w:tcPr>
            <w:tcW w:w="0" w:type="auto"/>
            <w:hideMark/>
          </w:tcPr>
          <w:p w14:paraId="37B44AD0"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G protein-coupled receptor 35(Class A Orphan GPCR)</w:t>
            </w:r>
          </w:p>
        </w:tc>
        <w:tc>
          <w:tcPr>
            <w:tcW w:w="0" w:type="auto"/>
            <w:hideMark/>
          </w:tcPr>
          <w:p w14:paraId="1AA6ECF3"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 xml:space="preserve">Modulates immune </w:t>
            </w:r>
            <w:proofErr w:type="spellStart"/>
            <w:r w:rsidRPr="004E5195">
              <w:rPr>
                <w:rFonts w:ascii="Times New Roman" w:hAnsi="Times New Roman" w:cs="Times New Roman"/>
              </w:rPr>
              <w:t>signaling</w:t>
            </w:r>
            <w:proofErr w:type="spellEnd"/>
            <w:r w:rsidRPr="004E5195">
              <w:rPr>
                <w:rFonts w:ascii="Times New Roman" w:hAnsi="Times New Roman" w:cs="Times New Roman"/>
              </w:rPr>
              <w:t>, vascular tone, inflammation, ROS production, and macrophage polarization; implicated in hypertension, cancer, and immune disorders.</w:t>
            </w:r>
          </w:p>
        </w:tc>
        <w:tc>
          <w:tcPr>
            <w:tcW w:w="0" w:type="auto"/>
            <w:hideMark/>
          </w:tcPr>
          <w:p w14:paraId="10DCE286" w14:textId="77777777" w:rsidR="009E0638" w:rsidRPr="004E5195" w:rsidRDefault="009E0638" w:rsidP="00B824F1">
            <w:pPr>
              <w:spacing w:after="160" w:line="259" w:lineRule="auto"/>
              <w:rPr>
                <w:rFonts w:ascii="Times New Roman" w:hAnsi="Times New Roman" w:cs="Times New Roman"/>
              </w:rPr>
            </w:pPr>
            <w:r w:rsidRPr="004E5195">
              <w:rPr>
                <w:rFonts w:ascii="Times New Roman" w:hAnsi="Times New Roman" w:cs="Times New Roman"/>
              </w:rPr>
              <w:t>GPR35</w:t>
            </w:r>
          </w:p>
        </w:tc>
      </w:tr>
    </w:tbl>
    <w:p w14:paraId="2E75478C" w14:textId="77777777" w:rsidR="009E0638" w:rsidRPr="009E0638" w:rsidRDefault="009E0638" w:rsidP="00F00C6E">
      <w:pPr>
        <w:spacing w:after="160" w:line="259" w:lineRule="auto"/>
        <w:rPr>
          <w:rFonts w:eastAsia="Aptos"/>
          <w:b/>
          <w:bCs/>
          <w:kern w:val="2"/>
          <w:lang w:val="en-US" w:eastAsia="en-US"/>
          <w14:ligatures w14:val="standardContextual"/>
        </w:rPr>
      </w:pPr>
    </w:p>
    <w:p w14:paraId="764D93B0" w14:textId="77777777" w:rsidR="00F00C6E" w:rsidRPr="00F00C6E" w:rsidRDefault="00F00C6E" w:rsidP="00F00C6E">
      <w:pPr>
        <w:spacing w:after="160" w:line="259" w:lineRule="auto"/>
        <w:rPr>
          <w:rFonts w:eastAsia="Aptos"/>
          <w:kern w:val="2"/>
          <w:lang w:val="en-US" w:eastAsia="en-US"/>
          <w14:ligatures w14:val="standardContextual"/>
        </w:rPr>
      </w:pPr>
      <w:r w:rsidRPr="00F00C6E">
        <w:rPr>
          <w:rFonts w:eastAsia="Aptos"/>
          <w:b/>
          <w:bCs/>
          <w:kern w:val="2"/>
          <w:lang w:val="en-US" w:eastAsia="en-US"/>
          <w14:ligatures w14:val="standardContextual"/>
        </w:rPr>
        <w:t>Table 1.</w:t>
      </w:r>
      <w:r w:rsidRPr="00F00C6E">
        <w:rPr>
          <w:rFonts w:eastAsia="Aptos"/>
          <w:kern w:val="2"/>
          <w:lang w:val="en-US" w:eastAsia="en-US"/>
          <w14:ligatures w14:val="standardContextual"/>
        </w:rPr>
        <w:t xml:space="preserve"> Dietary </w:t>
      </w:r>
      <w:proofErr w:type="spellStart"/>
      <w:r w:rsidRPr="00F00C6E">
        <w:rPr>
          <w:rFonts w:eastAsia="Aptos"/>
          <w:kern w:val="2"/>
          <w:lang w:val="en-US" w:eastAsia="en-US"/>
          <w14:ligatures w14:val="standardContextual"/>
        </w:rPr>
        <w:t>Bioactives</w:t>
      </w:r>
      <w:proofErr w:type="spellEnd"/>
      <w:r w:rsidRPr="00F00C6E">
        <w:rPr>
          <w:rFonts w:eastAsia="Aptos"/>
          <w:kern w:val="2"/>
          <w:lang w:val="en-US" w:eastAsia="en-US"/>
          <w14:ligatures w14:val="standardContextual"/>
        </w:rPr>
        <w:t xml:space="preserve"> as Genomic Regulators: Key Mechanisms and Molecular Targets</w:t>
      </w:r>
    </w:p>
    <w:p w14:paraId="1927B95B" w14:textId="77777777" w:rsidR="00F00C6E" w:rsidRPr="00F00C6E" w:rsidRDefault="00F00C6E" w:rsidP="00F00C6E">
      <w:pPr>
        <w:spacing w:after="160" w:line="259" w:lineRule="auto"/>
        <w:rPr>
          <w:rFonts w:eastAsia="Aptos"/>
          <w:i/>
          <w:iCs/>
          <w:kern w:val="2"/>
          <w:lang w:val="en-US" w:eastAsia="en-US"/>
          <w14:ligatures w14:val="standardContextual"/>
        </w:rPr>
      </w:pPr>
      <w:r w:rsidRPr="00F00C6E">
        <w:rPr>
          <w:rFonts w:eastAsia="Aptos"/>
          <w:i/>
          <w:iCs/>
          <w:kern w:val="2"/>
          <w:lang w:val="en-US" w:eastAsia="en-US"/>
          <w14:ligatures w14:val="standardContextual"/>
        </w:rPr>
        <w:t>Abbreviations: NRF2 – Nuclear Factor Erythroid 2–Related Factor 2; FTO – Fat Mass and Obesity-associated protein; NF-</w:t>
      </w:r>
      <w:proofErr w:type="spellStart"/>
      <w:r w:rsidRPr="00F00C6E">
        <w:rPr>
          <w:rFonts w:eastAsia="Aptos"/>
          <w:i/>
          <w:iCs/>
          <w:kern w:val="2"/>
          <w:lang w:val="en-US" w:eastAsia="en-US"/>
          <w14:ligatures w14:val="standardContextual"/>
        </w:rPr>
        <w:t>κB</w:t>
      </w:r>
      <w:proofErr w:type="spellEnd"/>
      <w:r w:rsidRPr="00F00C6E">
        <w:rPr>
          <w:rFonts w:eastAsia="Aptos"/>
          <w:i/>
          <w:iCs/>
          <w:kern w:val="2"/>
          <w:lang w:val="en-US" w:eastAsia="en-US"/>
          <w14:ligatures w14:val="standardContextual"/>
        </w:rPr>
        <w:t xml:space="preserve"> – Nuclear Factor kappa B; GLUT – Glucose Transporter; FFAR1 – Free Fatty Acid Receptor 1; GPR35 – G protein-coupled receptor 35; EC₅₀ – half maximal effective concentration. Bioactive compounds and their natural dietary sources are indicated in parentheses. Data are summarized from the cited references within each table cell.</w:t>
      </w:r>
      <w:r w:rsidRPr="00F00C6E">
        <w:rPr>
          <w:rFonts w:ascii="Aptos" w:eastAsia="Aptos" w:hAnsi="Aptos"/>
          <w:kern w:val="2"/>
          <w:sz w:val="22"/>
          <w:szCs w:val="22"/>
          <w:lang w:val="en-IN" w:eastAsia="en-US"/>
          <w14:ligatures w14:val="standardContextual"/>
        </w:rPr>
        <w:t xml:space="preserve"> </w:t>
      </w:r>
      <w:r w:rsidRPr="00F00C6E">
        <w:rPr>
          <w:rFonts w:eastAsia="Aptos"/>
          <w:i/>
          <w:iCs/>
          <w:kern w:val="2"/>
          <w:lang w:val="en-US" w:eastAsia="en-US"/>
          <w14:ligatures w14:val="standardContextual"/>
        </w:rPr>
        <w:t>The inclusion of precise parameters, such as EC50 values for Anthocyanins on FFAR1, highlights the quantifiable molecular data essential for developing and validating clinical biomarkers in precision nutrition.</w:t>
      </w:r>
    </w:p>
    <w:p w14:paraId="7B4E6F1A" w14:textId="77777777" w:rsidR="00F00C6E" w:rsidRDefault="00F00C6E" w:rsidP="009E0638">
      <w:pPr>
        <w:pStyle w:val="Newparagraph"/>
        <w:ind w:firstLine="0"/>
      </w:pPr>
    </w:p>
    <w:p w14:paraId="7B115295" w14:textId="77777777" w:rsidR="00F00C6E" w:rsidRDefault="00F00C6E" w:rsidP="00F00C6E">
      <w:pPr>
        <w:pStyle w:val="Newparagraph"/>
      </w:pPr>
    </w:p>
    <w:p w14:paraId="3861EF11" w14:textId="77777777" w:rsidR="009B5CE1" w:rsidRDefault="009B5CE1" w:rsidP="00E24724">
      <w:pPr>
        <w:ind w:firstLine="720"/>
        <w:jc w:val="both"/>
        <w:rPr>
          <w:b/>
          <w:bCs/>
        </w:rPr>
      </w:pPr>
      <w:bookmarkStart w:id="9" w:name="_GoBack"/>
      <w:bookmarkEnd w:id="9"/>
    </w:p>
    <w:p w14:paraId="3CC30D2B" w14:textId="2CE716C9" w:rsidR="00E24724" w:rsidRPr="00F0497B" w:rsidRDefault="00E24724" w:rsidP="00E24724">
      <w:pPr>
        <w:ind w:firstLine="720"/>
        <w:jc w:val="both"/>
      </w:pPr>
      <w:r w:rsidRPr="00F0497B">
        <w:rPr>
          <w:b/>
          <w:bCs/>
        </w:rPr>
        <w:t xml:space="preserve">Conflict of Interest Statement: </w:t>
      </w:r>
      <w:r w:rsidRPr="00F0497B">
        <w:t>The authors declare that they have no conflict</w:t>
      </w:r>
    </w:p>
    <w:p w14:paraId="21DD0B22" w14:textId="77777777" w:rsidR="00E24724" w:rsidRPr="00F0497B" w:rsidRDefault="00E24724" w:rsidP="00E24724">
      <w:pPr>
        <w:ind w:firstLine="720"/>
        <w:jc w:val="both"/>
      </w:pPr>
      <w:r w:rsidRPr="00F0497B">
        <w:t>of interest relevant to the content of this article.</w:t>
      </w:r>
    </w:p>
    <w:p w14:paraId="3800C908" w14:textId="77777777" w:rsidR="00E24724" w:rsidRPr="00F0497B" w:rsidRDefault="00E24724" w:rsidP="00E24724">
      <w:pPr>
        <w:ind w:firstLine="720"/>
        <w:jc w:val="both"/>
      </w:pPr>
      <w:r w:rsidRPr="00F0497B">
        <w:rPr>
          <w:b/>
          <w:bCs/>
        </w:rPr>
        <w:t>Data availability statement:</w:t>
      </w:r>
      <w:r w:rsidRPr="00F0497B">
        <w:t xml:space="preserve"> The data </w:t>
      </w:r>
      <w:proofErr w:type="spellStart"/>
      <w:r w:rsidRPr="00F0497B">
        <w:t>analyzed</w:t>
      </w:r>
      <w:proofErr w:type="spellEnd"/>
      <w:r w:rsidRPr="00F0497B">
        <w:t xml:space="preserve"> in this review were obtained</w:t>
      </w:r>
    </w:p>
    <w:p w14:paraId="112CFBCB" w14:textId="77777777" w:rsidR="00E24724" w:rsidRPr="00F0497B" w:rsidRDefault="00E24724" w:rsidP="00E24724">
      <w:pPr>
        <w:ind w:firstLine="720"/>
        <w:jc w:val="both"/>
      </w:pPr>
      <w:r w:rsidRPr="00F0497B">
        <w:t xml:space="preserve">from previously published sources. All relevant materials and references are </w:t>
      </w:r>
    </w:p>
    <w:p w14:paraId="05C463F4" w14:textId="77777777" w:rsidR="00E24724" w:rsidRPr="00F0497B" w:rsidRDefault="00E24724" w:rsidP="00E24724">
      <w:pPr>
        <w:ind w:firstLine="720"/>
        <w:jc w:val="both"/>
      </w:pPr>
      <w:r w:rsidRPr="00F0497B">
        <w:t xml:space="preserve">included within the article. Additional information can be provided by the </w:t>
      </w:r>
    </w:p>
    <w:p w14:paraId="5A3B4CE0" w14:textId="77777777" w:rsidR="00E24724" w:rsidRPr="00F0497B" w:rsidRDefault="00E24724" w:rsidP="00E24724">
      <w:pPr>
        <w:ind w:firstLine="720"/>
        <w:jc w:val="both"/>
      </w:pPr>
      <w:r w:rsidRPr="00F0497B">
        <w:t>corresponding author upon reasonable request.</w:t>
      </w:r>
    </w:p>
    <w:p w14:paraId="628D5FA4" w14:textId="77777777" w:rsidR="00E24724" w:rsidRPr="00F0497B" w:rsidRDefault="00E24724" w:rsidP="00E24724">
      <w:pPr>
        <w:ind w:firstLine="720"/>
        <w:jc w:val="both"/>
      </w:pPr>
      <w:r w:rsidRPr="00F0497B">
        <w:rPr>
          <w:b/>
          <w:bCs/>
        </w:rPr>
        <w:t xml:space="preserve">Health &amp; Safety Compliance: </w:t>
      </w:r>
      <w:r w:rsidRPr="00F0497B">
        <w:t xml:space="preserve">No laboratory or experimental work was </w:t>
      </w:r>
    </w:p>
    <w:p w14:paraId="649B0060" w14:textId="77777777" w:rsidR="00E24724" w:rsidRPr="00F0497B" w:rsidRDefault="00E24724" w:rsidP="00E24724">
      <w:pPr>
        <w:ind w:firstLine="720"/>
        <w:jc w:val="both"/>
      </w:pPr>
      <w:r w:rsidRPr="00F0497B">
        <w:t xml:space="preserve">carried out by the authors; therefore, standard health and safety declarations </w:t>
      </w:r>
    </w:p>
    <w:p w14:paraId="296A4F00" w14:textId="77777777" w:rsidR="00E24724" w:rsidRPr="00F0497B" w:rsidRDefault="00E24724" w:rsidP="00E24724">
      <w:pPr>
        <w:ind w:firstLine="720"/>
        <w:jc w:val="both"/>
      </w:pPr>
      <w:r w:rsidRPr="00F0497B">
        <w:t>are not applicable.</w:t>
      </w:r>
    </w:p>
    <w:p w14:paraId="347820DC" w14:textId="77777777" w:rsidR="002E009B" w:rsidRDefault="001A1B48" w:rsidP="002E009B">
      <w:bookmarkStart w:id="10" w:name="_Hlk218867759"/>
      <w:r>
        <w:rPr>
          <w:b/>
          <w:lang w:eastAsia="en-IN"/>
        </w:rPr>
        <w:t xml:space="preserve">      </w:t>
      </w:r>
      <w:r w:rsidR="002E009B">
        <w:t>Disclaimer (Artificial intelligence)</w:t>
      </w:r>
    </w:p>
    <w:p w14:paraId="187A25E0" w14:textId="4D5AEE63" w:rsidR="00A16F98" w:rsidRPr="001A1B48" w:rsidRDefault="00A16F98" w:rsidP="00A16F98">
      <w:pPr>
        <w:keepNext/>
        <w:keepLines/>
        <w:spacing w:before="120" w:after="120" w:line="360" w:lineRule="auto"/>
        <w:jc w:val="both"/>
        <w:outlineLvl w:val="1"/>
        <w:rPr>
          <w:b/>
          <w:lang w:eastAsia="en-IN"/>
        </w:rPr>
      </w:pPr>
    </w:p>
    <w:bookmarkEnd w:id="10"/>
    <w:p w14:paraId="1269C7B7" w14:textId="77777777" w:rsidR="00E66FCF" w:rsidRDefault="001A1B48" w:rsidP="00E66FCF">
      <w:pPr>
        <w:spacing w:after="200" w:line="276" w:lineRule="auto"/>
        <w:rPr>
          <w:bCs/>
          <w:lang w:eastAsia="en-IN"/>
        </w:rPr>
      </w:pPr>
      <w:r>
        <w:rPr>
          <w:bCs/>
          <w:lang w:eastAsia="en-IN"/>
        </w:rPr>
        <w:t xml:space="preserve">            </w:t>
      </w:r>
      <w:r w:rsidR="00E66FCF" w:rsidRPr="00E66FCF">
        <w:rPr>
          <w:bCs/>
          <w:lang w:eastAsia="en-IN"/>
        </w:rPr>
        <w:t>The authors confirm that the scientific content of this manuscript is original and was not generated by artificial intelligence. AI-assisted technologies (e.g., Claude) were utilized solely for language polishing and grammatical correction. The final text has been thoroughly reviewed and verified by the authors.</w:t>
      </w:r>
    </w:p>
    <w:p w14:paraId="3F6F0EA9" w14:textId="43A45550" w:rsidR="00075219" w:rsidRPr="00075219" w:rsidRDefault="00075219" w:rsidP="00E66FCF">
      <w:pPr>
        <w:spacing w:after="200" w:line="276" w:lineRule="auto"/>
        <w:rPr>
          <w:b/>
          <w:bCs/>
        </w:rPr>
      </w:pPr>
      <w:r w:rsidRPr="00075219">
        <w:rPr>
          <w:b/>
          <w:bCs/>
        </w:rPr>
        <w:t xml:space="preserve">References </w:t>
      </w:r>
    </w:p>
    <w:p w14:paraId="229239A5" w14:textId="2F55D240"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Adams, S.H., Anthony, J.C., Carvajal, R., Chae, L., Khoo, C.S.H., Latulippe, M.E., Matusheski, N.V., McClung, H.L., Rozga, M., Schmid, C.H.</w:t>
      </w:r>
      <w:r w:rsidR="001A1B48">
        <w:rPr>
          <w:rFonts w:eastAsia="Calibri"/>
          <w:kern w:val="2"/>
          <w:lang w:val="en-IN" w:eastAsia="en-US"/>
        </w:rPr>
        <w:t>,</w:t>
      </w:r>
      <w:r w:rsidRPr="00075219">
        <w:rPr>
          <w:rFonts w:eastAsia="Calibri"/>
          <w:kern w:val="2"/>
          <w:lang w:val="en-IN" w:eastAsia="en-US"/>
        </w:rPr>
        <w:t xml:space="preserve"> and </w:t>
      </w:r>
      <w:proofErr w:type="spellStart"/>
      <w:r w:rsidRPr="00075219">
        <w:rPr>
          <w:rFonts w:eastAsia="Calibri"/>
          <w:kern w:val="2"/>
          <w:lang w:val="en-IN" w:eastAsia="en-US"/>
        </w:rPr>
        <w:t>Wopereis</w:t>
      </w:r>
      <w:proofErr w:type="spellEnd"/>
      <w:r w:rsidRPr="00075219">
        <w:rPr>
          <w:rFonts w:eastAsia="Calibri"/>
          <w:kern w:val="2"/>
          <w:lang w:val="en-IN" w:eastAsia="en-US"/>
        </w:rPr>
        <w:t>, S., 2020. Perspective: guiding principles for the implementation of personalized nutrition approaches that benefit health and function. Advances in nutrition, 11(1), pp.25-34.</w:t>
      </w:r>
    </w:p>
    <w:p w14:paraId="5EBA44A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Ahmed, Z., Zeeshan, S., </w:t>
      </w:r>
      <w:proofErr w:type="spellStart"/>
      <w:r w:rsidRPr="00075219">
        <w:rPr>
          <w:rFonts w:eastAsia="Calibri"/>
          <w:kern w:val="2"/>
          <w:lang w:val="en-IN" w:eastAsia="en-US"/>
        </w:rPr>
        <w:t>Mendhe</w:t>
      </w:r>
      <w:proofErr w:type="spellEnd"/>
      <w:r w:rsidRPr="00075219">
        <w:rPr>
          <w:rFonts w:eastAsia="Calibri"/>
          <w:kern w:val="2"/>
          <w:lang w:val="en-IN" w:eastAsia="en-US"/>
        </w:rPr>
        <w:t>, D., Dong, X. 2020. Human gene and disease associations for clinical- -genomics and precision medicine research. Clin. Transl. Med. 10(1):297- 318.</w:t>
      </w:r>
    </w:p>
    <w:p w14:paraId="2AE8D971"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Al-Khayri, Jameel M., </w:t>
      </w:r>
      <w:proofErr w:type="spellStart"/>
      <w:r w:rsidRPr="00075219">
        <w:rPr>
          <w:rFonts w:eastAsia="Calibri"/>
          <w:kern w:val="2"/>
          <w:lang w:val="en-IN" w:eastAsia="en-US"/>
        </w:rPr>
        <w:t>Gandasi</w:t>
      </w:r>
      <w:proofErr w:type="spellEnd"/>
      <w:r w:rsidRPr="00075219">
        <w:rPr>
          <w:rFonts w:eastAsia="Calibri"/>
          <w:kern w:val="2"/>
          <w:lang w:val="en-IN" w:eastAsia="en-US"/>
        </w:rPr>
        <w:t xml:space="preserve"> Ravikumar </w:t>
      </w:r>
      <w:proofErr w:type="spellStart"/>
      <w:r w:rsidRPr="00075219">
        <w:rPr>
          <w:rFonts w:eastAsia="Calibri"/>
          <w:kern w:val="2"/>
          <w:lang w:val="en-IN" w:eastAsia="en-US"/>
        </w:rPr>
        <w:t>Sahana</w:t>
      </w:r>
      <w:proofErr w:type="spellEnd"/>
      <w:r w:rsidRPr="00075219">
        <w:rPr>
          <w:rFonts w:eastAsia="Calibri"/>
          <w:kern w:val="2"/>
          <w:lang w:val="en-IN" w:eastAsia="en-US"/>
        </w:rPr>
        <w:t xml:space="preserve">, Praveen </w:t>
      </w:r>
      <w:proofErr w:type="spellStart"/>
      <w:r w:rsidRPr="00075219">
        <w:rPr>
          <w:rFonts w:eastAsia="Calibri"/>
          <w:kern w:val="2"/>
          <w:lang w:val="en-IN" w:eastAsia="en-US"/>
        </w:rPr>
        <w:t>Nagella</w:t>
      </w:r>
      <w:proofErr w:type="spellEnd"/>
      <w:r w:rsidRPr="00075219">
        <w:rPr>
          <w:rFonts w:eastAsia="Calibri"/>
          <w:kern w:val="2"/>
          <w:lang w:val="en-IN" w:eastAsia="en-US"/>
        </w:rPr>
        <w:t xml:space="preserve">, </w:t>
      </w:r>
      <w:proofErr w:type="spellStart"/>
      <w:r w:rsidRPr="00075219">
        <w:rPr>
          <w:rFonts w:eastAsia="Calibri"/>
          <w:kern w:val="2"/>
          <w:lang w:val="en-IN" w:eastAsia="en-US"/>
        </w:rPr>
        <w:t>Biljo</w:t>
      </w:r>
      <w:proofErr w:type="spellEnd"/>
      <w:r w:rsidRPr="00075219">
        <w:rPr>
          <w:rFonts w:eastAsia="Calibri"/>
          <w:kern w:val="2"/>
          <w:lang w:val="en-IN" w:eastAsia="en-US"/>
        </w:rPr>
        <w:t xml:space="preserve"> V. Joseph, Fatima M. Alessa, and Muneera Q. Al-</w:t>
      </w:r>
      <w:proofErr w:type="spellStart"/>
      <w:r w:rsidRPr="00075219">
        <w:rPr>
          <w:rFonts w:eastAsia="Calibri"/>
          <w:kern w:val="2"/>
          <w:lang w:val="en-IN" w:eastAsia="en-US"/>
        </w:rPr>
        <w:t>Mssallem</w:t>
      </w:r>
      <w:proofErr w:type="spellEnd"/>
      <w:r w:rsidRPr="00075219">
        <w:rPr>
          <w:rFonts w:eastAsia="Calibri"/>
          <w:kern w:val="2"/>
          <w:lang w:val="en-IN" w:eastAsia="en-US"/>
        </w:rPr>
        <w:t>. 2022. Flavonoids as Potential Anti-Inflammatory Molecules: A Review.  Molecules 27, no. 9: 2901. https://doi.org/10.3390/molecules27092901</w:t>
      </w:r>
    </w:p>
    <w:p w14:paraId="41EA99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Araujo Almeida, V., Littlejohn, P., Cop, I., Brown, E., Afroze, R. and Davison, K.M., 2019. Comparison of nutrigenomics technology interface tools for consumers and health professionals: a sequential explanatory mixed methods investigation. J. Med. Int. Research, 21(6), 12580.</w:t>
      </w:r>
    </w:p>
    <w:p w14:paraId="601FAC5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Ashrafizadeh</w:t>
      </w:r>
      <w:proofErr w:type="spellEnd"/>
      <w:r w:rsidRPr="00075219">
        <w:rPr>
          <w:rFonts w:eastAsia="Calibri"/>
          <w:kern w:val="2"/>
          <w:lang w:val="en-IN" w:eastAsia="en-US"/>
        </w:rPr>
        <w:t xml:space="preserve">, M., Ahmadi, Z., </w:t>
      </w:r>
      <w:proofErr w:type="spellStart"/>
      <w:r w:rsidRPr="00075219">
        <w:rPr>
          <w:rFonts w:eastAsia="Calibri"/>
          <w:kern w:val="2"/>
          <w:lang w:val="en-IN" w:eastAsia="en-US"/>
        </w:rPr>
        <w:t>Mohammadinejad</w:t>
      </w:r>
      <w:proofErr w:type="spellEnd"/>
      <w:r w:rsidRPr="00075219">
        <w:rPr>
          <w:rFonts w:eastAsia="Calibri"/>
          <w:kern w:val="2"/>
          <w:lang w:val="en-IN" w:eastAsia="en-US"/>
        </w:rPr>
        <w:t xml:space="preserve">, R., Farkhondeh, T., </w:t>
      </w:r>
      <w:proofErr w:type="spellStart"/>
      <w:r w:rsidRPr="00075219">
        <w:rPr>
          <w:rFonts w:eastAsia="Calibri"/>
          <w:kern w:val="2"/>
          <w:lang w:val="en-IN" w:eastAsia="en-US"/>
        </w:rPr>
        <w:t>Samarghandian</w:t>
      </w:r>
      <w:proofErr w:type="spellEnd"/>
      <w:r w:rsidRPr="00075219">
        <w:rPr>
          <w:rFonts w:eastAsia="Calibri"/>
          <w:kern w:val="2"/>
          <w:lang w:val="en-IN" w:eastAsia="en-US"/>
        </w:rPr>
        <w:t xml:space="preserve">, S. 2020. Curcumin Activates the Nrf2 Pathway and Induces Cellular Protection Against Oxidative Injury. Curr Mol Med.;20(2):116-133. </w:t>
      </w:r>
      <w:proofErr w:type="spellStart"/>
      <w:r w:rsidRPr="00075219">
        <w:rPr>
          <w:rFonts w:eastAsia="Calibri"/>
          <w:kern w:val="2"/>
          <w:lang w:val="en-IN" w:eastAsia="en-US"/>
        </w:rPr>
        <w:t>doi</w:t>
      </w:r>
      <w:proofErr w:type="spellEnd"/>
      <w:r w:rsidRPr="00075219">
        <w:rPr>
          <w:rFonts w:eastAsia="Calibri"/>
          <w:kern w:val="2"/>
          <w:lang w:val="en-IN" w:eastAsia="en-US"/>
        </w:rPr>
        <w:t>: 10.2174/1566524019666191016150757. PMID: 31622191.</w:t>
      </w:r>
    </w:p>
    <w:p w14:paraId="3A23ECA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Bassaganya-Riera</w:t>
      </w:r>
      <w:proofErr w:type="spellEnd"/>
      <w:r w:rsidRPr="00075219">
        <w:rPr>
          <w:rFonts w:eastAsia="Calibri"/>
          <w:kern w:val="2"/>
          <w:lang w:val="en-IN" w:eastAsia="en-US"/>
        </w:rPr>
        <w:t>, J., Berry, E.M., Blaak, E.E., Burlingame, B., Le Coutre, J., Van Eden, W.,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German, J.B., Knorr, D., Lacroix, C. and </w:t>
      </w:r>
      <w:proofErr w:type="spellStart"/>
      <w:r w:rsidRPr="00075219">
        <w:rPr>
          <w:rFonts w:eastAsia="Calibri"/>
          <w:kern w:val="2"/>
          <w:lang w:val="en-IN" w:eastAsia="en-US"/>
        </w:rPr>
        <w:t>Muscaritoli</w:t>
      </w:r>
      <w:proofErr w:type="spellEnd"/>
      <w:r w:rsidRPr="00075219">
        <w:rPr>
          <w:rFonts w:eastAsia="Calibri"/>
          <w:kern w:val="2"/>
          <w:lang w:val="en-IN" w:eastAsia="en-US"/>
        </w:rPr>
        <w:t>, M., 2021. Goals in nutrition science 2020-2025. Frontiers in nutrition, 7, p.606378.</w:t>
      </w:r>
    </w:p>
    <w:p w14:paraId="0F3BD64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Bauer, W., Adamska-Patruno, E., Krasowska, U., Moroz, M., </w:t>
      </w:r>
      <w:proofErr w:type="spellStart"/>
      <w:r w:rsidRPr="00075219">
        <w:rPr>
          <w:rFonts w:eastAsia="Calibri"/>
          <w:kern w:val="2"/>
          <w:lang w:val="en-IN" w:eastAsia="en-US"/>
        </w:rPr>
        <w:t>Fiedorczuk</w:t>
      </w:r>
      <w:proofErr w:type="spellEnd"/>
      <w:r w:rsidRPr="00075219">
        <w:rPr>
          <w:rFonts w:eastAsia="Calibri"/>
          <w:kern w:val="2"/>
          <w:lang w:val="en-IN" w:eastAsia="en-US"/>
        </w:rPr>
        <w:t>, J., Czajkowski, P., Bielska, D., Gorska, M. and Kretowski, A., 2021. Dietary macronutrient intake may influence the effects of TCF7L2 rs7901695 genetic variants on glucose homeostasis and obesity-related parameters: A cross-sectional population-based study. Nutrients, 13(6), p.1936.</w:t>
      </w:r>
    </w:p>
    <w:p w14:paraId="05995B4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Berry, S.E., Valdes, A.M., Drew, D.A., Asnicar, F., </w:t>
      </w:r>
      <w:proofErr w:type="spellStart"/>
      <w:r w:rsidRPr="00075219">
        <w:rPr>
          <w:rFonts w:eastAsia="Calibri"/>
          <w:kern w:val="2"/>
          <w:lang w:val="en-IN" w:eastAsia="en-US"/>
        </w:rPr>
        <w:t>Mazidi</w:t>
      </w:r>
      <w:proofErr w:type="spellEnd"/>
      <w:r w:rsidRPr="00075219">
        <w:rPr>
          <w:rFonts w:eastAsia="Calibri"/>
          <w:kern w:val="2"/>
          <w:lang w:val="en-IN" w:eastAsia="en-US"/>
        </w:rPr>
        <w:t xml:space="preserve">, M., Wolf, J., Capdevila, J., </w:t>
      </w:r>
      <w:proofErr w:type="spellStart"/>
      <w:r w:rsidRPr="00075219">
        <w:rPr>
          <w:rFonts w:eastAsia="Calibri"/>
          <w:kern w:val="2"/>
          <w:lang w:val="en-IN" w:eastAsia="en-US"/>
        </w:rPr>
        <w:t>Hadjigeorgiou</w:t>
      </w:r>
      <w:proofErr w:type="spellEnd"/>
      <w:r w:rsidRPr="00075219">
        <w:rPr>
          <w:rFonts w:eastAsia="Calibri"/>
          <w:kern w:val="2"/>
          <w:lang w:val="en-IN" w:eastAsia="en-US"/>
        </w:rPr>
        <w:t>, G., Davies, R., Al Khatib, H. and Bonnett, C., 2020. Human postprandial responses to food and potential for precision nutrition. Nature medicine, 26(6), pp.964-973.</w:t>
      </w:r>
    </w:p>
    <w:p w14:paraId="674FB70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Bhatti, J.S., </w:t>
      </w:r>
      <w:proofErr w:type="spellStart"/>
      <w:r w:rsidRPr="00075219">
        <w:rPr>
          <w:rFonts w:eastAsia="Calibri"/>
          <w:kern w:val="2"/>
          <w:lang w:val="en-IN" w:eastAsia="en-US"/>
        </w:rPr>
        <w:t>Sehrawat</w:t>
      </w:r>
      <w:proofErr w:type="spellEnd"/>
      <w:r w:rsidRPr="00075219">
        <w:rPr>
          <w:rFonts w:eastAsia="Calibri"/>
          <w:kern w:val="2"/>
          <w:lang w:val="en-IN" w:eastAsia="en-US"/>
        </w:rPr>
        <w:t xml:space="preserve">, A., Mishra, J., Sidhu, I.S., Navik, U., Khullar, N., Kumar, S., Bhatti, G.K. and Reddy, P.H., 2022. Oxidative stress in the pathophysiology of type 2 diabetes and </w:t>
      </w:r>
      <w:r w:rsidRPr="00075219">
        <w:rPr>
          <w:rFonts w:eastAsia="Calibri"/>
          <w:kern w:val="2"/>
          <w:lang w:val="en-IN" w:eastAsia="en-US"/>
        </w:rPr>
        <w:lastRenderedPageBreak/>
        <w:t>related complications: Current therapeutics strategies and future perspectives. Free Radical Biology and Medicine, 184, pp.114-134.</w:t>
      </w:r>
    </w:p>
    <w:p w14:paraId="782DEB5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Bhushan, R., Haque, S., Gupta, R.K., Rani, A., Diwakar, A., Agarwal, S., Tripathi, A. and Dubey, P.K., 2024. Genetic variants related to insulin metabolism are associated with gestational diabetes mellitus. Gene, 927, p.148704.</w:t>
      </w:r>
    </w:p>
    <w:p w14:paraId="14A9B03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Birla M, Choudhary C, Singh G, Gupta S, Bhawana, Vavilala P. The Advent of Nutrigenomics: A Narrative Review with an Emphasis on Psychological Disorders. Prev Nutr Food Sci. 2022 Jun 30;27(2):150-164. </w:t>
      </w:r>
      <w:proofErr w:type="spellStart"/>
      <w:r w:rsidRPr="00075219">
        <w:rPr>
          <w:rFonts w:eastAsia="Calibri"/>
          <w:kern w:val="2"/>
          <w:lang w:val="en-IN" w:eastAsia="en-US"/>
        </w:rPr>
        <w:t>doi</w:t>
      </w:r>
      <w:proofErr w:type="spellEnd"/>
      <w:r w:rsidRPr="00075219">
        <w:rPr>
          <w:rFonts w:eastAsia="Calibri"/>
          <w:kern w:val="2"/>
          <w:lang w:val="en-IN" w:eastAsia="en-US"/>
        </w:rPr>
        <w:t>: 10.3746/pnf.2022.27.2.150. PMID: 35919568; PMCID: PMC9309077.</w:t>
      </w:r>
    </w:p>
    <w:p w14:paraId="4CD8DD9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Bouchard, C., 2021. Genetics of obesity: what we have learned over decades of research. Obesity, 29(5), pp.802-820.</w:t>
      </w:r>
    </w:p>
    <w:p w14:paraId="36BA57A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Bush, C.L., Blumberg, J.B.,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w:t>
      </w:r>
      <w:proofErr w:type="spellStart"/>
      <w:r w:rsidRPr="00075219">
        <w:rPr>
          <w:rFonts w:eastAsia="Calibri"/>
          <w:kern w:val="2"/>
          <w:lang w:val="en-IN" w:eastAsia="en-US"/>
        </w:rPr>
        <w:t>Minich</w:t>
      </w:r>
      <w:proofErr w:type="spellEnd"/>
      <w:r w:rsidRPr="00075219">
        <w:rPr>
          <w:rFonts w:eastAsia="Calibri"/>
          <w:kern w:val="2"/>
          <w:lang w:val="en-IN" w:eastAsia="en-US"/>
        </w:rPr>
        <w:t xml:space="preserve">, D.M., </w:t>
      </w:r>
      <w:proofErr w:type="spellStart"/>
      <w:r w:rsidRPr="00075219">
        <w:rPr>
          <w:rFonts w:eastAsia="Calibri"/>
          <w:kern w:val="2"/>
          <w:lang w:val="en-IN" w:eastAsia="en-US"/>
        </w:rPr>
        <w:t>Ordovás</w:t>
      </w:r>
      <w:proofErr w:type="spellEnd"/>
      <w:r w:rsidRPr="00075219">
        <w:rPr>
          <w:rFonts w:eastAsia="Calibri"/>
          <w:kern w:val="2"/>
          <w:lang w:val="en-IN" w:eastAsia="en-US"/>
        </w:rPr>
        <w:t>, J.M., Reed, D.G. and Behm, V.A.Y., 2020. Toward the definition of personalized nutrition: a proposal by the American Nutrition Association. Journal of the American College of Nutrition, 39(1), pp.5-15.</w:t>
      </w:r>
    </w:p>
    <w:p w14:paraId="25C275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Campbell, J., 2021. The Pathway to Bacterial Genetics. A Hidden Legacy: The Life and Work of Esther Zimmer Lederberg, p.15.</w:t>
      </w:r>
    </w:p>
    <w:p w14:paraId="30328BB1"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Candelli</w:t>
      </w:r>
      <w:proofErr w:type="spellEnd"/>
      <w:r w:rsidRPr="00075219">
        <w:rPr>
          <w:rFonts w:eastAsia="Calibri"/>
          <w:kern w:val="2"/>
          <w:lang w:val="en-IN" w:eastAsia="en-US"/>
        </w:rPr>
        <w:t xml:space="preserve">, M., Franza, L., Pignataro, G., Ojetti, V., Covino, M., Piccioni, A., </w:t>
      </w:r>
      <w:proofErr w:type="spellStart"/>
      <w:r w:rsidRPr="00075219">
        <w:rPr>
          <w:rFonts w:eastAsia="Calibri"/>
          <w:kern w:val="2"/>
          <w:lang w:val="en-IN" w:eastAsia="en-US"/>
        </w:rPr>
        <w:t>Gasbarrini</w:t>
      </w:r>
      <w:proofErr w:type="spellEnd"/>
      <w:r w:rsidRPr="00075219">
        <w:rPr>
          <w:rFonts w:eastAsia="Calibri"/>
          <w:kern w:val="2"/>
          <w:lang w:val="en-IN" w:eastAsia="en-US"/>
        </w:rPr>
        <w:t>, A. and Franceschi, F., 2021. Interaction between lipopolysaccharide and gut microbiota in inflammatory bowel diseases. International journal of molecular sciences, 22(12), p.6242.</w:t>
      </w:r>
    </w:p>
    <w:p w14:paraId="1E25DE8B"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Comaills</w:t>
      </w:r>
      <w:proofErr w:type="spellEnd"/>
      <w:r w:rsidRPr="00075219">
        <w:rPr>
          <w:rFonts w:eastAsia="Calibri"/>
          <w:kern w:val="2"/>
          <w:lang w:val="en-IN" w:eastAsia="en-US"/>
        </w:rPr>
        <w:t xml:space="preserve"> V, Castellano-</w:t>
      </w:r>
      <w:proofErr w:type="spellStart"/>
      <w:r w:rsidRPr="00075219">
        <w:rPr>
          <w:rFonts w:eastAsia="Calibri"/>
          <w:kern w:val="2"/>
          <w:lang w:val="en-IN" w:eastAsia="en-US"/>
        </w:rPr>
        <w:t>Pozo</w:t>
      </w:r>
      <w:proofErr w:type="spellEnd"/>
      <w:r w:rsidRPr="00075219">
        <w:rPr>
          <w:rFonts w:eastAsia="Calibri"/>
          <w:kern w:val="2"/>
          <w:lang w:val="en-IN" w:eastAsia="en-US"/>
        </w:rPr>
        <w:t xml:space="preserve"> M. Chromosomal Instability in Genome Evolution: From Cancer to Macroevolution. Biology (Basel). 2023 Apr 28;12(5):671. </w:t>
      </w:r>
      <w:proofErr w:type="spellStart"/>
      <w:r w:rsidRPr="00075219">
        <w:rPr>
          <w:rFonts w:eastAsia="Calibri"/>
          <w:kern w:val="2"/>
          <w:lang w:val="en-IN" w:eastAsia="en-US"/>
        </w:rPr>
        <w:t>doi</w:t>
      </w:r>
      <w:proofErr w:type="spellEnd"/>
      <w:r w:rsidRPr="00075219">
        <w:rPr>
          <w:rFonts w:eastAsia="Calibri"/>
          <w:kern w:val="2"/>
          <w:lang w:val="en-IN" w:eastAsia="en-US"/>
        </w:rPr>
        <w:t>: 10.3390/biology12050671. PMID: 37237485; PMCID: PMC10215859.</w:t>
      </w:r>
    </w:p>
    <w:p w14:paraId="2DD73AC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Cena, H., &amp; Calder, P. C. (2020). Defining a healthy diet: evidence for the role of contemporary dietary patterns in health and disease. Nutrients, 12(2), 334.</w:t>
      </w:r>
    </w:p>
    <w:p w14:paraId="34F7050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Ceriani, F., Montalvan, M., Quintero, B., Suárez, R., Bautista-Valarezo, E. and Frias-Toral, E., 2023. Ethics of the clinical practice of nutrigenetics and nutrigenomics. Clinical Nutrition Open Science, 49, pp.58-66.</w:t>
      </w:r>
    </w:p>
    <w:p w14:paraId="038835A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Chmurzynska</w:t>
      </w:r>
      <w:proofErr w:type="spellEnd"/>
      <w:r w:rsidRPr="00075219">
        <w:rPr>
          <w:rFonts w:eastAsia="Calibri"/>
          <w:kern w:val="2"/>
          <w:lang w:val="en-IN" w:eastAsia="en-US"/>
        </w:rPr>
        <w:t>, A., 2025. Human genetics and caffeine: Functional single-nucleotide polymorphism and response to caffeine intake. In Coffee in Health and Disease Prevention (pp. 457-466). Academic Press.</w:t>
      </w:r>
    </w:p>
    <w:p w14:paraId="1B803C2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Čolak, E. and Pap, D., 2021. The role of oxidative stress in the development of obesity and obesity-related metabolic disorders. Journal of Medical Biochemistry, 40(1), p.1.</w:t>
      </w:r>
    </w:p>
    <w:p w14:paraId="218FE21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da Silva Anastacio, V., 2024. Nutrigenetics &amp; Nutrigenomics and Its clinical application (Doctoral dissertation, St Mary's University).</w:t>
      </w:r>
    </w:p>
    <w:p w14:paraId="27E1118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Dable-Tupas, G., Tulika, V., Jain, V., Maheshwari, K., </w:t>
      </w:r>
      <w:proofErr w:type="spellStart"/>
      <w:r w:rsidRPr="00075219">
        <w:rPr>
          <w:rFonts w:eastAsia="Calibri"/>
          <w:kern w:val="2"/>
          <w:lang w:val="en-IN" w:eastAsia="en-US"/>
        </w:rPr>
        <w:t>Brakad</w:t>
      </w:r>
      <w:proofErr w:type="spellEnd"/>
      <w:r w:rsidRPr="00075219">
        <w:rPr>
          <w:rFonts w:eastAsia="Calibri"/>
          <w:kern w:val="2"/>
          <w:lang w:val="en-IN" w:eastAsia="en-US"/>
        </w:rPr>
        <w:t xml:space="preserve">, D.D., Naresh, P.N. and </w:t>
      </w:r>
      <w:proofErr w:type="spellStart"/>
      <w:r w:rsidRPr="00075219">
        <w:rPr>
          <w:rFonts w:eastAsia="Calibri"/>
          <w:kern w:val="2"/>
          <w:lang w:val="en-IN" w:eastAsia="en-US"/>
        </w:rPr>
        <w:t>Suruthimeenakshi</w:t>
      </w:r>
      <w:proofErr w:type="spellEnd"/>
      <w:r w:rsidRPr="00075219">
        <w:rPr>
          <w:rFonts w:eastAsia="Calibri"/>
          <w:kern w:val="2"/>
          <w:lang w:val="en-IN" w:eastAsia="en-US"/>
        </w:rPr>
        <w:t>, S., 2023. Bioactive compounds of nutrigenomic importance. In Role of nutrigenomics in modern-day healthcare and drug discovery. Elsevier. (pp. 301-342).</w:t>
      </w:r>
    </w:p>
    <w:p w14:paraId="006A2FF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 xml:space="preserve">Di Renzo, L., </w:t>
      </w:r>
      <w:proofErr w:type="spellStart"/>
      <w:r w:rsidRPr="00075219">
        <w:rPr>
          <w:rFonts w:eastAsia="Calibri"/>
          <w:kern w:val="2"/>
          <w:lang w:val="en-IN" w:eastAsia="en-US"/>
        </w:rPr>
        <w:t>Cioccoloni</w:t>
      </w:r>
      <w:proofErr w:type="spellEnd"/>
      <w:r w:rsidRPr="00075219">
        <w:rPr>
          <w:rFonts w:eastAsia="Calibri"/>
          <w:kern w:val="2"/>
          <w:lang w:val="en-IN" w:eastAsia="en-US"/>
        </w:rPr>
        <w:t xml:space="preserve">, G., Falco, S., </w:t>
      </w:r>
      <w:proofErr w:type="spellStart"/>
      <w:r w:rsidRPr="00075219">
        <w:rPr>
          <w:rFonts w:eastAsia="Calibri"/>
          <w:kern w:val="2"/>
          <w:lang w:val="en-IN" w:eastAsia="en-US"/>
        </w:rPr>
        <w:t>Abenavoli</w:t>
      </w:r>
      <w:proofErr w:type="spellEnd"/>
      <w:r w:rsidRPr="00075219">
        <w:rPr>
          <w:rFonts w:eastAsia="Calibri"/>
          <w:kern w:val="2"/>
          <w:lang w:val="en-IN" w:eastAsia="en-US"/>
        </w:rPr>
        <w:t>, L., Moia, A., Sinibaldi Salimei, P. and De Lorenzo, A., 2018. Influence of FTO rs9939609 and Mediterranean diet on body composition and weight loss: a randomized clinical trial. Journal of Translational Medicine, 16, pp.1-12.</w:t>
      </w:r>
    </w:p>
    <w:p w14:paraId="04BF4BB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Ed </w:t>
      </w:r>
      <w:proofErr w:type="spellStart"/>
      <w:r w:rsidRPr="00075219">
        <w:rPr>
          <w:rFonts w:eastAsia="Calibri"/>
          <w:kern w:val="2"/>
          <w:lang w:val="en-IN" w:eastAsia="en-US"/>
        </w:rPr>
        <w:t>Nignpense</w:t>
      </w:r>
      <w:proofErr w:type="spellEnd"/>
      <w:r w:rsidRPr="00075219">
        <w:rPr>
          <w:rFonts w:eastAsia="Calibri"/>
          <w:kern w:val="2"/>
          <w:lang w:val="en-IN" w:eastAsia="en-US"/>
        </w:rPr>
        <w:t xml:space="preserve"> B., Francis N., Blanchard C., Santhakumar AB. 2021. </w:t>
      </w:r>
      <w:proofErr w:type="spellStart"/>
      <w:r w:rsidRPr="00075219">
        <w:rPr>
          <w:rFonts w:eastAsia="Calibri"/>
          <w:kern w:val="2"/>
          <w:lang w:val="en-IN" w:eastAsia="en-US"/>
        </w:rPr>
        <w:t>Bioaccessibility</w:t>
      </w:r>
      <w:proofErr w:type="spellEnd"/>
      <w:r w:rsidRPr="00075219">
        <w:rPr>
          <w:rFonts w:eastAsia="Calibri"/>
          <w:kern w:val="2"/>
          <w:lang w:val="en-IN" w:eastAsia="en-US"/>
        </w:rPr>
        <w:t xml:space="preserve"> and Bioactivity of Cereal Polyphenols: A Review. Foods. Jul 9;10(7):1595. </w:t>
      </w:r>
      <w:proofErr w:type="spellStart"/>
      <w:r w:rsidRPr="00075219">
        <w:rPr>
          <w:rFonts w:eastAsia="Calibri"/>
          <w:kern w:val="2"/>
          <w:lang w:val="en-IN" w:eastAsia="en-US"/>
        </w:rPr>
        <w:t>doi</w:t>
      </w:r>
      <w:proofErr w:type="spellEnd"/>
      <w:r w:rsidRPr="00075219">
        <w:rPr>
          <w:rFonts w:eastAsia="Calibri"/>
          <w:kern w:val="2"/>
          <w:lang w:val="en-IN" w:eastAsia="en-US"/>
        </w:rPr>
        <w:t>: 10.3390/foods10071595. PMID: 34359469; PMCID: PMC8307242.</w:t>
      </w:r>
    </w:p>
    <w:p w14:paraId="39C74574"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Elsamanoudy</w:t>
      </w:r>
      <w:proofErr w:type="spellEnd"/>
      <w:r w:rsidRPr="00075219">
        <w:rPr>
          <w:rFonts w:eastAsia="Calibri"/>
          <w:kern w:val="2"/>
          <w:lang w:val="en-IN" w:eastAsia="en-US"/>
        </w:rPr>
        <w:t xml:space="preserve">, A. Z., Neamat-Allah, M. A. M., Mohammad, F. A. H., </w:t>
      </w:r>
      <w:proofErr w:type="spellStart"/>
      <w:r w:rsidRPr="00075219">
        <w:rPr>
          <w:rFonts w:eastAsia="Calibri"/>
          <w:kern w:val="2"/>
          <w:lang w:val="en-IN" w:eastAsia="en-US"/>
        </w:rPr>
        <w:t>Hassanien</w:t>
      </w:r>
      <w:proofErr w:type="spellEnd"/>
      <w:r w:rsidRPr="00075219">
        <w:rPr>
          <w:rFonts w:eastAsia="Calibri"/>
          <w:kern w:val="2"/>
          <w:lang w:val="en-IN" w:eastAsia="en-US"/>
        </w:rPr>
        <w:t>, M., &amp; Nada, H. A. (2016). The role of nutrition related genes and nutrigenetics in understanding the pathogenesis of cancer. Journal of Microscopy and Ultrastructure, 4(3), 115-122.</w:t>
      </w:r>
    </w:p>
    <w:p w14:paraId="2CC0400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Fay, L.B. and German, J.B., 2008. Personalizing foods: is genotype </w:t>
      </w:r>
      <w:proofErr w:type="gramStart"/>
      <w:r w:rsidRPr="00075219">
        <w:rPr>
          <w:rFonts w:eastAsia="Calibri"/>
          <w:kern w:val="2"/>
          <w:lang w:val="en-IN" w:eastAsia="en-US"/>
        </w:rPr>
        <w:t>necessary?.</w:t>
      </w:r>
      <w:proofErr w:type="gramEnd"/>
      <w:r w:rsidRPr="00075219">
        <w:rPr>
          <w:rFonts w:eastAsia="Calibri"/>
          <w:kern w:val="2"/>
          <w:lang w:val="en-IN" w:eastAsia="en-US"/>
        </w:rPr>
        <w:t xml:space="preserve"> Current opinion in biotechnology, 19(2), pp.121-128.</w:t>
      </w:r>
    </w:p>
    <w:p w14:paraId="6666033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Felisbino, K., Granzotti, J.G., Bello-Santos, L. and Guiloski, I.C., 2021. Nutrigenomics in regulating the expression of genes related to type 2 diabetes mellitus. Frontiers in physiology, 12, p.699220.</w:t>
      </w:r>
    </w:p>
    <w:p w14:paraId="72957226"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Fenech, M., 2020. The role of nutrition in DNA replication, DNA damage prevention and DNA repair. In Principles of nutrigenetics and nutrigenomics (pp. 27-32). Academic Press.</w:t>
      </w:r>
    </w:p>
    <w:p w14:paraId="6A49059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Foata</w:t>
      </w:r>
      <w:proofErr w:type="spellEnd"/>
      <w:r w:rsidRPr="00075219">
        <w:rPr>
          <w:rFonts w:eastAsia="Calibri"/>
          <w:kern w:val="2"/>
          <w:lang w:val="en-IN" w:eastAsia="en-US"/>
        </w:rPr>
        <w:t>, F., Sprenger, N., Rochat, F. and Damak, S., 2020. Activation of the G-protein coupled receptor GPR35 by human milk oligosaccharides through different pathways. Scientific Reports, 10(1), p.16117.</w:t>
      </w:r>
    </w:p>
    <w:p w14:paraId="0E68D112"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Franzago</w:t>
      </w:r>
      <w:proofErr w:type="spellEnd"/>
      <w:r w:rsidRPr="00075219">
        <w:rPr>
          <w:rFonts w:eastAsia="Calibri"/>
          <w:kern w:val="2"/>
          <w:lang w:val="en-IN" w:eastAsia="en-US"/>
        </w:rPr>
        <w:t xml:space="preserve">, M., Santurbano, D., </w:t>
      </w:r>
      <w:proofErr w:type="spellStart"/>
      <w:r w:rsidRPr="00075219">
        <w:rPr>
          <w:rFonts w:eastAsia="Calibri"/>
          <w:kern w:val="2"/>
          <w:lang w:val="en-IN" w:eastAsia="en-US"/>
        </w:rPr>
        <w:t>Vitacolonna</w:t>
      </w:r>
      <w:proofErr w:type="spellEnd"/>
      <w:r w:rsidRPr="00075219">
        <w:rPr>
          <w:rFonts w:eastAsia="Calibri"/>
          <w:kern w:val="2"/>
          <w:lang w:val="en-IN" w:eastAsia="en-US"/>
        </w:rPr>
        <w:t xml:space="preserve">, E. and </w:t>
      </w:r>
      <w:proofErr w:type="spellStart"/>
      <w:r w:rsidRPr="00075219">
        <w:rPr>
          <w:rFonts w:eastAsia="Calibri"/>
          <w:kern w:val="2"/>
          <w:lang w:val="en-IN" w:eastAsia="en-US"/>
        </w:rPr>
        <w:t>Stuppia</w:t>
      </w:r>
      <w:proofErr w:type="spellEnd"/>
      <w:r w:rsidRPr="00075219">
        <w:rPr>
          <w:rFonts w:eastAsia="Calibri"/>
          <w:kern w:val="2"/>
          <w:lang w:val="en-IN" w:eastAsia="en-US"/>
        </w:rPr>
        <w:t>, L., 2020. Genes and diet in the prevention of chronic diseases in future generations. International journal of molecular sciences, 21(7), p.2633.</w:t>
      </w:r>
    </w:p>
    <w:p w14:paraId="6629572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Frayn, K.N., 2022. Understanding human metabolism. Cambridge University Press.</w:t>
      </w:r>
    </w:p>
    <w:p w14:paraId="5B00AB0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Garg, R., Sharma, N., &amp; Jain, S. K. (2014). Nutrigenomics and nutrigenetics: Concepts and applications in nutrition research and practice. Acta Medica International, 1(2), 124-130.</w:t>
      </w:r>
    </w:p>
    <w:p w14:paraId="43AD6F0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Goyal, P.A., Bankar, N.J., Mishra, V.H., Borkar, S.K. and Makade, J.G., 2023. Revolutionizing medical microbiology: How molecular and genomic approaches are changing diagnostic techniques. Cureus, 15(10).</w:t>
      </w:r>
    </w:p>
    <w:p w14:paraId="6F8835D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Gutiérrez-Cuevas, J., Galicia-Moreno, M., Monroy-Ramírez, H.C., Sandoval-Rodriguez, A., García-Bañuelos, J., Santos, A. and Armendariz-Borunda, J., 2022. The role of NRF2 in obesity-associated cardiovascular risk factors. Antioxidants, 11(2), p.235.</w:t>
      </w:r>
    </w:p>
    <w:p w14:paraId="5785F64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Hag, S.N., Siddique, R., Altay, V., Ejaz, R., </w:t>
      </w:r>
      <w:proofErr w:type="spellStart"/>
      <w:r w:rsidRPr="00075219">
        <w:rPr>
          <w:rFonts w:eastAsia="Calibri"/>
          <w:kern w:val="2"/>
          <w:lang w:val="en-IN" w:eastAsia="en-US"/>
        </w:rPr>
        <w:t>Karım</w:t>
      </w:r>
      <w:proofErr w:type="spellEnd"/>
      <w:r w:rsidRPr="00075219">
        <w:rPr>
          <w:rFonts w:eastAsia="Calibri"/>
          <w:kern w:val="2"/>
          <w:lang w:val="en-IN" w:eastAsia="en-US"/>
        </w:rPr>
        <w:t>, T., Komal, T., Kubra, G., Gul, A. and Öztürk, M., 2020. Nutrigenomics-An emerging field of science and technology unrevealing inter-relationships between nutrients and human genome using modern tools such as transcriptomics, metabolomics, epigenomics and proteomics. Biological Diversity and Conservation, 13(3), pp.372-380.</w:t>
      </w:r>
    </w:p>
    <w:p w14:paraId="49451FB6"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lastRenderedPageBreak/>
        <w:t>Ikhanjal</w:t>
      </w:r>
      <w:proofErr w:type="spellEnd"/>
      <w:r w:rsidRPr="00075219">
        <w:rPr>
          <w:rFonts w:eastAsia="Calibri"/>
          <w:kern w:val="2"/>
          <w:lang w:val="en-IN" w:eastAsia="en-US"/>
        </w:rPr>
        <w:t xml:space="preserve">, M.A., </w:t>
      </w:r>
      <w:proofErr w:type="spellStart"/>
      <w:r w:rsidRPr="00075219">
        <w:rPr>
          <w:rFonts w:eastAsia="Calibri"/>
          <w:kern w:val="2"/>
          <w:lang w:val="en-IN" w:eastAsia="en-US"/>
        </w:rPr>
        <w:t>Elouarid</w:t>
      </w:r>
      <w:proofErr w:type="spellEnd"/>
      <w:r w:rsidRPr="00075219">
        <w:rPr>
          <w:rFonts w:eastAsia="Calibri"/>
          <w:kern w:val="2"/>
          <w:lang w:val="en-IN" w:eastAsia="en-US"/>
        </w:rPr>
        <w:t xml:space="preserve">, M.A., </w:t>
      </w:r>
      <w:proofErr w:type="spellStart"/>
      <w:r w:rsidRPr="00075219">
        <w:rPr>
          <w:rFonts w:eastAsia="Calibri"/>
          <w:kern w:val="2"/>
          <w:lang w:val="en-IN" w:eastAsia="en-US"/>
        </w:rPr>
        <w:t>Zouine</w:t>
      </w:r>
      <w:proofErr w:type="spellEnd"/>
      <w:r w:rsidRPr="00075219">
        <w:rPr>
          <w:rFonts w:eastAsia="Calibri"/>
          <w:kern w:val="2"/>
          <w:lang w:val="en-IN" w:eastAsia="en-US"/>
        </w:rPr>
        <w:t xml:space="preserve">, C., </w:t>
      </w:r>
      <w:proofErr w:type="spellStart"/>
      <w:r w:rsidRPr="00075219">
        <w:rPr>
          <w:rFonts w:eastAsia="Calibri"/>
          <w:kern w:val="2"/>
          <w:lang w:val="en-IN" w:eastAsia="en-US"/>
        </w:rPr>
        <w:t>Errafii</w:t>
      </w:r>
      <w:proofErr w:type="spellEnd"/>
      <w:r w:rsidRPr="00075219">
        <w:rPr>
          <w:rFonts w:eastAsia="Calibri"/>
          <w:kern w:val="2"/>
          <w:lang w:val="en-IN" w:eastAsia="en-US"/>
        </w:rPr>
        <w:t xml:space="preserve">, K., Ghazal, H., </w:t>
      </w:r>
      <w:proofErr w:type="spellStart"/>
      <w:r w:rsidRPr="00075219">
        <w:rPr>
          <w:rFonts w:eastAsia="Calibri"/>
          <w:kern w:val="2"/>
          <w:lang w:val="en-IN" w:eastAsia="en-US"/>
        </w:rPr>
        <w:t>Alidrissi</w:t>
      </w:r>
      <w:proofErr w:type="spellEnd"/>
      <w:r w:rsidRPr="00075219">
        <w:rPr>
          <w:rFonts w:eastAsia="Calibri"/>
          <w:kern w:val="2"/>
          <w:lang w:val="en-IN" w:eastAsia="en-US"/>
        </w:rPr>
        <w:t>, N., Bakkali, F., Benmoussa, A. and Hamdi, S., 2023. FTO gene variants (rs9939609, rs8050136 and rs17817449) and type 2 diabetes mellitus risk: A Meta-Analysis. Gene, 887, p.147791.</w:t>
      </w:r>
    </w:p>
    <w:p w14:paraId="7BDE6BD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Irimie</w:t>
      </w:r>
      <w:proofErr w:type="spellEnd"/>
      <w:r w:rsidRPr="00075219">
        <w:rPr>
          <w:rFonts w:eastAsia="Calibri"/>
          <w:kern w:val="2"/>
          <w:lang w:val="en-IN" w:eastAsia="en-US"/>
        </w:rPr>
        <w:t xml:space="preserve">, A.I., </w:t>
      </w:r>
      <w:proofErr w:type="spellStart"/>
      <w:r w:rsidRPr="00075219">
        <w:rPr>
          <w:rFonts w:eastAsia="Calibri"/>
          <w:kern w:val="2"/>
          <w:lang w:val="en-IN" w:eastAsia="en-US"/>
        </w:rPr>
        <w:t>Braicu</w:t>
      </w:r>
      <w:proofErr w:type="spellEnd"/>
      <w:r w:rsidRPr="00075219">
        <w:rPr>
          <w:rFonts w:eastAsia="Calibri"/>
          <w:kern w:val="2"/>
          <w:lang w:val="en-IN" w:eastAsia="en-US"/>
        </w:rPr>
        <w:t xml:space="preserve">, C., Pasca, S., Magdo, L., Gulei, D., Cojocneanu, R., Ciocan, C., Olariu, A., </w:t>
      </w:r>
      <w:proofErr w:type="spellStart"/>
      <w:r w:rsidRPr="00075219">
        <w:rPr>
          <w:rFonts w:eastAsia="Calibri"/>
          <w:kern w:val="2"/>
          <w:lang w:val="en-IN" w:eastAsia="en-US"/>
        </w:rPr>
        <w:t>Coza</w:t>
      </w:r>
      <w:proofErr w:type="spellEnd"/>
      <w:r w:rsidRPr="00075219">
        <w:rPr>
          <w:rFonts w:eastAsia="Calibri"/>
          <w:kern w:val="2"/>
          <w:lang w:val="en-IN" w:eastAsia="en-US"/>
        </w:rPr>
        <w:t xml:space="preserve">, O. and </w:t>
      </w:r>
      <w:proofErr w:type="spellStart"/>
      <w:r w:rsidRPr="00075219">
        <w:rPr>
          <w:rFonts w:eastAsia="Calibri"/>
          <w:kern w:val="2"/>
          <w:lang w:val="en-IN" w:eastAsia="en-US"/>
        </w:rPr>
        <w:t>Berindan-Neagoe</w:t>
      </w:r>
      <w:proofErr w:type="spellEnd"/>
      <w:r w:rsidRPr="00075219">
        <w:rPr>
          <w:rFonts w:eastAsia="Calibri"/>
          <w:kern w:val="2"/>
          <w:lang w:val="en-IN" w:eastAsia="en-US"/>
        </w:rPr>
        <w:t>, I., 2019. Role of key micronutrients from nutrigenetic and nutrigenomic perspectives in cancer prevention. Medicina, 55(6), p.283.</w:t>
      </w:r>
    </w:p>
    <w:p w14:paraId="1EDD334A"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Izquierdo</w:t>
      </w:r>
      <w:proofErr w:type="spellEnd"/>
      <w:r w:rsidRPr="00075219">
        <w:rPr>
          <w:rFonts w:eastAsia="Calibri"/>
          <w:kern w:val="2"/>
          <w:lang w:val="en-IN" w:eastAsia="en-US"/>
        </w:rPr>
        <w:t xml:space="preserve">, A.G., </w:t>
      </w:r>
      <w:proofErr w:type="spellStart"/>
      <w:r w:rsidRPr="00075219">
        <w:rPr>
          <w:rFonts w:eastAsia="Calibri"/>
          <w:kern w:val="2"/>
          <w:lang w:val="en-IN" w:eastAsia="en-US"/>
        </w:rPr>
        <w:t>Crujeiras</w:t>
      </w:r>
      <w:proofErr w:type="spellEnd"/>
      <w:r w:rsidRPr="00075219">
        <w:rPr>
          <w:rFonts w:eastAsia="Calibri"/>
          <w:kern w:val="2"/>
          <w:lang w:val="en-IN" w:eastAsia="en-US"/>
        </w:rPr>
        <w:t xml:space="preserve">, A.B., </w:t>
      </w:r>
      <w:proofErr w:type="spellStart"/>
      <w:r w:rsidRPr="00075219">
        <w:rPr>
          <w:rFonts w:eastAsia="Calibri"/>
          <w:kern w:val="2"/>
          <w:lang w:val="en-IN" w:eastAsia="en-US"/>
        </w:rPr>
        <w:t>Casanueva</w:t>
      </w:r>
      <w:proofErr w:type="spellEnd"/>
      <w:r w:rsidRPr="00075219">
        <w:rPr>
          <w:rFonts w:eastAsia="Calibri"/>
          <w:kern w:val="2"/>
          <w:lang w:val="en-IN" w:eastAsia="en-US"/>
        </w:rPr>
        <w:t>, F.F. and Carreira, M.C., 2019. Leptin, obesity, and leptin resistance: where are we 25 years later. Nutrients. 11(11): 2704.</w:t>
      </w:r>
    </w:p>
    <w:p w14:paraId="2705594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Jabeen, A., Malik, G., Mir, J.I. and Rasool, R., 2023. Nutrigenomics: linking food to genome. Italian J. Food Sci. 35(1): 26-40.</w:t>
      </w:r>
    </w:p>
    <w:p w14:paraId="133FBA63"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Jazvinšćak</w:t>
      </w:r>
      <w:proofErr w:type="spellEnd"/>
      <w:r w:rsidRPr="00075219">
        <w:rPr>
          <w:rFonts w:eastAsia="Calibri"/>
          <w:kern w:val="2"/>
          <w:lang w:val="en-IN" w:eastAsia="en-US"/>
        </w:rPr>
        <w:t xml:space="preserve"> </w:t>
      </w:r>
      <w:proofErr w:type="spellStart"/>
      <w:r w:rsidRPr="00075219">
        <w:rPr>
          <w:rFonts w:eastAsia="Calibri"/>
          <w:kern w:val="2"/>
          <w:lang w:val="en-IN" w:eastAsia="en-US"/>
        </w:rPr>
        <w:t>Jembrek</w:t>
      </w:r>
      <w:proofErr w:type="spellEnd"/>
      <w:r w:rsidRPr="00075219">
        <w:rPr>
          <w:rFonts w:eastAsia="Calibri"/>
          <w:kern w:val="2"/>
          <w:lang w:val="en-IN" w:eastAsia="en-US"/>
        </w:rPr>
        <w:t xml:space="preserve">, M., Oršolić, N., Mandić, L., </w:t>
      </w:r>
      <w:proofErr w:type="spellStart"/>
      <w:r w:rsidRPr="00075219">
        <w:rPr>
          <w:rFonts w:eastAsia="Calibri"/>
          <w:kern w:val="2"/>
          <w:lang w:val="en-IN" w:eastAsia="en-US"/>
        </w:rPr>
        <w:t>Sadžak</w:t>
      </w:r>
      <w:proofErr w:type="spellEnd"/>
      <w:r w:rsidRPr="00075219">
        <w:rPr>
          <w:rFonts w:eastAsia="Calibri"/>
          <w:kern w:val="2"/>
          <w:lang w:val="en-IN" w:eastAsia="en-US"/>
        </w:rPr>
        <w:t xml:space="preserve">, A. and </w:t>
      </w:r>
      <w:proofErr w:type="spellStart"/>
      <w:r w:rsidRPr="00075219">
        <w:rPr>
          <w:rFonts w:eastAsia="Calibri"/>
          <w:kern w:val="2"/>
          <w:lang w:val="en-IN" w:eastAsia="en-US"/>
        </w:rPr>
        <w:t>Šegota</w:t>
      </w:r>
      <w:proofErr w:type="spellEnd"/>
      <w:r w:rsidRPr="00075219">
        <w:rPr>
          <w:rFonts w:eastAsia="Calibri"/>
          <w:kern w:val="2"/>
          <w:lang w:val="en-IN" w:eastAsia="en-US"/>
        </w:rPr>
        <w:t xml:space="preserve">, S., 2021. Anti-oxidative, anti-inflammatory and anti-apoptotic effects of </w:t>
      </w:r>
      <w:proofErr w:type="spellStart"/>
      <w:r w:rsidRPr="00075219">
        <w:rPr>
          <w:rFonts w:eastAsia="Calibri"/>
          <w:kern w:val="2"/>
          <w:lang w:val="en-IN" w:eastAsia="en-US"/>
        </w:rPr>
        <w:t>flavonols</w:t>
      </w:r>
      <w:proofErr w:type="spellEnd"/>
      <w:r w:rsidRPr="00075219">
        <w:rPr>
          <w:rFonts w:eastAsia="Calibri"/>
          <w:kern w:val="2"/>
          <w:lang w:val="en-IN" w:eastAsia="en-US"/>
        </w:rPr>
        <w:t>: targeting Nrf2, NF-</w:t>
      </w:r>
      <w:proofErr w:type="spellStart"/>
      <w:r w:rsidRPr="00075219">
        <w:rPr>
          <w:rFonts w:eastAsia="Calibri"/>
          <w:kern w:val="2"/>
          <w:lang w:val="en-IN" w:eastAsia="en-US"/>
        </w:rPr>
        <w:t>κB</w:t>
      </w:r>
      <w:proofErr w:type="spellEnd"/>
      <w:r w:rsidRPr="00075219">
        <w:rPr>
          <w:rFonts w:eastAsia="Calibri"/>
          <w:kern w:val="2"/>
          <w:lang w:val="en-IN" w:eastAsia="en-US"/>
        </w:rPr>
        <w:t xml:space="preserve"> and p53 pathways in neurodegeneration. Antioxidants, 10(10), p.1628.</w:t>
      </w:r>
    </w:p>
    <w:p w14:paraId="0EDE3286"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Jinnette, R., Narita, A., Manning, B., McNaughton, S.A., Mathers, J.C., Livingstone, K.M. 2021. Does Personalized Nutrition Advice Improve Dietary Intake in Healthy Adults? A Systematic Review of Randomized Controlled Trials. Adv </w:t>
      </w:r>
      <w:proofErr w:type="spellStart"/>
      <w:r w:rsidRPr="00075219">
        <w:rPr>
          <w:rFonts w:eastAsia="Calibri"/>
          <w:kern w:val="2"/>
          <w:lang w:val="en-IN" w:eastAsia="en-US"/>
        </w:rPr>
        <w:t>Nutr</w:t>
      </w:r>
      <w:proofErr w:type="spellEnd"/>
      <w:r w:rsidRPr="00075219">
        <w:rPr>
          <w:rFonts w:eastAsia="Calibri"/>
          <w:kern w:val="2"/>
          <w:lang w:val="en-IN" w:eastAsia="en-US"/>
        </w:rPr>
        <w:t xml:space="preserve">. Jun 1;12(3):657-669. </w:t>
      </w:r>
      <w:proofErr w:type="spellStart"/>
      <w:r w:rsidRPr="00075219">
        <w:rPr>
          <w:rFonts w:eastAsia="Calibri"/>
          <w:kern w:val="2"/>
          <w:lang w:val="en-IN" w:eastAsia="en-US"/>
        </w:rPr>
        <w:t>doi</w:t>
      </w:r>
      <w:proofErr w:type="spellEnd"/>
      <w:r w:rsidRPr="00075219">
        <w:rPr>
          <w:rFonts w:eastAsia="Calibri"/>
          <w:kern w:val="2"/>
          <w:lang w:val="en-IN" w:eastAsia="en-US"/>
        </w:rPr>
        <w:t>: 10.1093/advances/nmaa144. PMID: 33313795; PMCID: PMC8166555.</w:t>
      </w:r>
    </w:p>
    <w:p w14:paraId="7D44E7E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Kelley, E.F., Cross, T.J., McDonald, C.M., Hoffman, E.P. and Bello, L., 2022. Influence of β2 adrenergic receptor genotype on longitudinal measures of forced vital capacity in patients with Duchenne muscular dystrophy. Neuromuscular Disorders, 32(2), pp.150-158.</w:t>
      </w:r>
    </w:p>
    <w:p w14:paraId="5780EBEB"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Khalili, F., Vaisi‐Raygani, A., Shakiba, E., </w:t>
      </w:r>
      <w:proofErr w:type="spellStart"/>
      <w:r w:rsidRPr="00075219">
        <w:rPr>
          <w:rFonts w:eastAsia="Calibri"/>
          <w:kern w:val="2"/>
          <w:lang w:val="en-IN" w:eastAsia="en-US"/>
        </w:rPr>
        <w:t>Kohsari</w:t>
      </w:r>
      <w:proofErr w:type="spellEnd"/>
      <w:r w:rsidRPr="00075219">
        <w:rPr>
          <w:rFonts w:eastAsia="Calibri"/>
          <w:kern w:val="2"/>
          <w:lang w:val="en-IN" w:eastAsia="en-US"/>
        </w:rPr>
        <w:t xml:space="preserve">, M., Dehbani, M., Naseri, R., Asadi, S., Rahimi, Z., Rahimi, M. and Rahimi, Z., 2022. Oxidative stress parameters and </w:t>
      </w:r>
      <w:proofErr w:type="spellStart"/>
      <w:r w:rsidRPr="00075219">
        <w:rPr>
          <w:rFonts w:eastAsia="Calibri"/>
          <w:kern w:val="2"/>
          <w:lang w:val="en-IN" w:eastAsia="en-US"/>
        </w:rPr>
        <w:t>keap</w:t>
      </w:r>
      <w:proofErr w:type="spellEnd"/>
      <w:r w:rsidRPr="00075219">
        <w:rPr>
          <w:rFonts w:eastAsia="Calibri"/>
          <w:kern w:val="2"/>
          <w:lang w:val="en-IN" w:eastAsia="en-US"/>
        </w:rPr>
        <w:t xml:space="preserve"> 1 variants in T2DM: Association with T2DM, diabetic neuropathy, diabetic retinopathy, and obesity. Journal of clinical laboratory analysis, 36(1), p.e24163.</w:t>
      </w:r>
    </w:p>
    <w:p w14:paraId="07E78B5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Khan, M.M.H., Rafii, M.Y., Ramlee, S.I., Jusoh, M. and Al-Mamun, M., 2021. Bambara groundnut (Vigna subterranea L. </w:t>
      </w:r>
      <w:proofErr w:type="spellStart"/>
      <w:r w:rsidRPr="00075219">
        <w:rPr>
          <w:rFonts w:eastAsia="Calibri"/>
          <w:kern w:val="2"/>
          <w:lang w:val="en-IN" w:eastAsia="en-US"/>
        </w:rPr>
        <w:t>Verdc</w:t>
      </w:r>
      <w:proofErr w:type="spellEnd"/>
      <w:r w:rsidRPr="00075219">
        <w:rPr>
          <w:rFonts w:eastAsia="Calibri"/>
          <w:kern w:val="2"/>
          <w:lang w:val="en-IN" w:eastAsia="en-US"/>
        </w:rPr>
        <w:t>): A crop for the new millennium, its genetic diversity, and improvements to mitigate future food and nutritional challenges. Sustainability, 13(10), p.5530.</w:t>
      </w:r>
    </w:p>
    <w:p w14:paraId="58D92A7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Kiani, A.K., Bonetti, G., Donato, K., </w:t>
      </w:r>
      <w:proofErr w:type="spellStart"/>
      <w:r w:rsidRPr="00075219">
        <w:rPr>
          <w:rFonts w:eastAsia="Calibri"/>
          <w:kern w:val="2"/>
          <w:lang w:val="en-IN" w:eastAsia="en-US"/>
        </w:rPr>
        <w:t>Kaftalli</w:t>
      </w:r>
      <w:proofErr w:type="spellEnd"/>
      <w:r w:rsidRPr="00075219">
        <w:rPr>
          <w:rFonts w:eastAsia="Calibri"/>
          <w:kern w:val="2"/>
          <w:lang w:val="en-IN" w:eastAsia="en-US"/>
        </w:rPr>
        <w:t xml:space="preserve">, J., Herbst, K.L., </w:t>
      </w:r>
      <w:proofErr w:type="spellStart"/>
      <w:r w:rsidRPr="00075219">
        <w:rPr>
          <w:rFonts w:eastAsia="Calibri"/>
          <w:kern w:val="2"/>
          <w:lang w:val="en-IN" w:eastAsia="en-US"/>
        </w:rPr>
        <w:t>Stuppia</w:t>
      </w:r>
      <w:proofErr w:type="spellEnd"/>
      <w:r w:rsidRPr="00075219">
        <w:rPr>
          <w:rFonts w:eastAsia="Calibri"/>
          <w:kern w:val="2"/>
          <w:lang w:val="en-IN" w:eastAsia="en-US"/>
        </w:rPr>
        <w:t xml:space="preserve">, L., Fioretti, F., </w:t>
      </w:r>
      <w:proofErr w:type="spellStart"/>
      <w:r w:rsidRPr="00075219">
        <w:rPr>
          <w:rFonts w:eastAsia="Calibri"/>
          <w:kern w:val="2"/>
          <w:lang w:val="en-IN" w:eastAsia="en-US"/>
        </w:rPr>
        <w:t>Nodari</w:t>
      </w:r>
      <w:proofErr w:type="spellEnd"/>
      <w:r w:rsidRPr="00075219">
        <w:rPr>
          <w:rFonts w:eastAsia="Calibri"/>
          <w:kern w:val="2"/>
          <w:lang w:val="en-IN" w:eastAsia="en-US"/>
        </w:rPr>
        <w:t xml:space="preserve">, S., Perrone, M., Chiurazzi, P. and </w:t>
      </w:r>
      <w:proofErr w:type="spellStart"/>
      <w:r w:rsidRPr="00075219">
        <w:rPr>
          <w:rFonts w:eastAsia="Calibri"/>
          <w:kern w:val="2"/>
          <w:lang w:val="en-IN" w:eastAsia="en-US"/>
        </w:rPr>
        <w:t>Bellinato</w:t>
      </w:r>
      <w:proofErr w:type="spellEnd"/>
      <w:r w:rsidRPr="00075219">
        <w:rPr>
          <w:rFonts w:eastAsia="Calibri"/>
          <w:kern w:val="2"/>
          <w:lang w:val="en-IN" w:eastAsia="en-US"/>
        </w:rPr>
        <w:t xml:space="preserve">, F., 2022. Polymorphisms, diet and nutrigenomics. Journal of preventive medicine and hygiene, 63(2 </w:t>
      </w:r>
      <w:proofErr w:type="spellStart"/>
      <w:r w:rsidRPr="00075219">
        <w:rPr>
          <w:rFonts w:eastAsia="Calibri"/>
          <w:kern w:val="2"/>
          <w:lang w:val="en-IN" w:eastAsia="en-US"/>
        </w:rPr>
        <w:t>Suppl</w:t>
      </w:r>
      <w:proofErr w:type="spellEnd"/>
      <w:r w:rsidRPr="00075219">
        <w:rPr>
          <w:rFonts w:eastAsia="Calibri"/>
          <w:kern w:val="2"/>
          <w:lang w:val="en-IN" w:eastAsia="en-US"/>
        </w:rPr>
        <w:t xml:space="preserve"> 3), p.E125.</w:t>
      </w:r>
    </w:p>
    <w:p w14:paraId="1E3F41B2"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Kleisiaris</w:t>
      </w:r>
      <w:proofErr w:type="spellEnd"/>
      <w:r w:rsidRPr="00075219">
        <w:rPr>
          <w:rFonts w:eastAsia="Calibri"/>
          <w:kern w:val="2"/>
          <w:lang w:val="en-IN" w:eastAsia="en-US"/>
        </w:rPr>
        <w:t xml:space="preserve"> CF, </w:t>
      </w:r>
      <w:proofErr w:type="spellStart"/>
      <w:r w:rsidRPr="00075219">
        <w:rPr>
          <w:rFonts w:eastAsia="Calibri"/>
          <w:kern w:val="2"/>
          <w:lang w:val="en-IN" w:eastAsia="en-US"/>
        </w:rPr>
        <w:t>Sfakianakis</w:t>
      </w:r>
      <w:proofErr w:type="spellEnd"/>
      <w:r w:rsidRPr="00075219">
        <w:rPr>
          <w:rFonts w:eastAsia="Calibri"/>
          <w:kern w:val="2"/>
          <w:lang w:val="en-IN" w:eastAsia="en-US"/>
        </w:rPr>
        <w:t xml:space="preserve"> C, </w:t>
      </w:r>
      <w:proofErr w:type="gramStart"/>
      <w:r w:rsidRPr="00075219">
        <w:rPr>
          <w:rFonts w:eastAsia="Calibri"/>
          <w:kern w:val="2"/>
          <w:lang w:val="en-IN" w:eastAsia="en-US"/>
        </w:rPr>
        <w:t>2014 .Papathanasiou</w:t>
      </w:r>
      <w:proofErr w:type="gramEnd"/>
      <w:r w:rsidRPr="00075219">
        <w:rPr>
          <w:rFonts w:eastAsia="Calibri"/>
          <w:kern w:val="2"/>
          <w:lang w:val="en-IN" w:eastAsia="en-US"/>
        </w:rPr>
        <w:t xml:space="preserve"> IV. Health care practices in ancient Greece: The Hippocratic ideal. J Med Ethics </w:t>
      </w:r>
      <w:proofErr w:type="spellStart"/>
      <w:r w:rsidRPr="00075219">
        <w:rPr>
          <w:rFonts w:eastAsia="Calibri"/>
          <w:kern w:val="2"/>
          <w:lang w:val="en-IN" w:eastAsia="en-US"/>
        </w:rPr>
        <w:t>Hist</w:t>
      </w:r>
      <w:proofErr w:type="spellEnd"/>
      <w:r w:rsidRPr="00075219">
        <w:rPr>
          <w:rFonts w:eastAsia="Calibri"/>
          <w:kern w:val="2"/>
          <w:lang w:val="en-IN" w:eastAsia="en-US"/>
        </w:rPr>
        <w:t xml:space="preserve"> Med. 2014 Mar </w:t>
      </w:r>
      <w:proofErr w:type="gramStart"/>
      <w:r w:rsidRPr="00075219">
        <w:rPr>
          <w:rFonts w:eastAsia="Calibri"/>
          <w:kern w:val="2"/>
          <w:lang w:val="en-IN" w:eastAsia="en-US"/>
        </w:rPr>
        <w:t>15;7:6</w:t>
      </w:r>
      <w:proofErr w:type="gramEnd"/>
      <w:r w:rsidRPr="00075219">
        <w:rPr>
          <w:rFonts w:eastAsia="Calibri"/>
          <w:kern w:val="2"/>
          <w:lang w:val="en-IN" w:eastAsia="en-US"/>
        </w:rPr>
        <w:t>. PMID: 25512827; PMCID: PMC4263393.</w:t>
      </w:r>
    </w:p>
    <w:p w14:paraId="7BC8060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Krawczyk, M., </w:t>
      </w:r>
      <w:proofErr w:type="spellStart"/>
      <w:r w:rsidRPr="00075219">
        <w:rPr>
          <w:rFonts w:eastAsia="Calibri"/>
          <w:kern w:val="2"/>
          <w:lang w:val="en-IN" w:eastAsia="en-US"/>
        </w:rPr>
        <w:t>Burzynska-Pedziwiatr</w:t>
      </w:r>
      <w:proofErr w:type="spellEnd"/>
      <w:r w:rsidRPr="00075219">
        <w:rPr>
          <w:rFonts w:eastAsia="Calibri"/>
          <w:kern w:val="2"/>
          <w:lang w:val="en-IN" w:eastAsia="en-US"/>
        </w:rPr>
        <w:t xml:space="preserve">, I., Wozniak, L. A., &amp; </w:t>
      </w:r>
      <w:proofErr w:type="spellStart"/>
      <w:r w:rsidRPr="00075219">
        <w:rPr>
          <w:rFonts w:eastAsia="Calibri"/>
          <w:kern w:val="2"/>
          <w:lang w:val="en-IN" w:eastAsia="en-US"/>
        </w:rPr>
        <w:t>Bukowiecka-Matusiak</w:t>
      </w:r>
      <w:proofErr w:type="spellEnd"/>
      <w:r w:rsidRPr="00075219">
        <w:rPr>
          <w:rFonts w:eastAsia="Calibri"/>
          <w:kern w:val="2"/>
          <w:lang w:val="en-IN" w:eastAsia="en-US"/>
        </w:rPr>
        <w:t xml:space="preserve">, M. 2023. Impact of Polyphenols on Inflammatory and Oxidative Stress Factors in Diabetes Mellitus: Nutritional Antioxidants and Their Application in Improving Antidiabetic Therapy. Biomolecules, 13(9), 1402. https://doi.org/10.3390/biom13091402 </w:t>
      </w:r>
    </w:p>
    <w:p w14:paraId="439D305C"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lastRenderedPageBreak/>
        <w:t>Lagoumintzis</w:t>
      </w:r>
      <w:proofErr w:type="spellEnd"/>
      <w:r w:rsidRPr="00075219">
        <w:rPr>
          <w:rFonts w:eastAsia="Calibri"/>
          <w:kern w:val="2"/>
          <w:lang w:val="en-IN" w:eastAsia="en-US"/>
        </w:rPr>
        <w:t>, G. and Patrinos, G.P., 2023. Triangulating nutrigenomics, metabolomics and microbiomics toward personalized nutrition and healthy living. Human Genomics, 17(1), p.109.</w:t>
      </w:r>
    </w:p>
    <w:p w14:paraId="00551B3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Lai CQ, Smith CE, Parnell LD, Lee YC, Corella D, Hopkins P, Hidalgo BA, </w:t>
      </w:r>
      <w:proofErr w:type="spellStart"/>
      <w:r w:rsidRPr="00075219">
        <w:rPr>
          <w:rFonts w:eastAsia="Calibri"/>
          <w:kern w:val="2"/>
          <w:lang w:val="en-IN" w:eastAsia="en-US"/>
        </w:rPr>
        <w:t>Aslibekyan</w:t>
      </w:r>
      <w:proofErr w:type="spellEnd"/>
      <w:r w:rsidRPr="00075219">
        <w:rPr>
          <w:rFonts w:eastAsia="Calibri"/>
          <w:kern w:val="2"/>
          <w:lang w:val="en-IN" w:eastAsia="en-US"/>
        </w:rPr>
        <w:t xml:space="preserve"> S, Province MA, Absher D, Arnett DK, Tucker KL, </w:t>
      </w:r>
      <w:proofErr w:type="spellStart"/>
      <w:r w:rsidRPr="00075219">
        <w:rPr>
          <w:rFonts w:eastAsia="Calibri"/>
          <w:kern w:val="2"/>
          <w:lang w:val="en-IN" w:eastAsia="en-US"/>
        </w:rPr>
        <w:t>Ordovas</w:t>
      </w:r>
      <w:proofErr w:type="spellEnd"/>
      <w:r w:rsidRPr="00075219">
        <w:rPr>
          <w:rFonts w:eastAsia="Calibri"/>
          <w:kern w:val="2"/>
          <w:lang w:val="en-IN" w:eastAsia="en-US"/>
        </w:rPr>
        <w:t xml:space="preserve"> JM. Epigenomics and metabolomics reveal the mechanism of the APOA2-saturated fat intake interaction affecting obesity. Am J Clin Nutr. 2018 Jul 1;108(1):188-200. </w:t>
      </w:r>
      <w:proofErr w:type="spellStart"/>
      <w:r w:rsidRPr="00075219">
        <w:rPr>
          <w:rFonts w:eastAsia="Calibri"/>
          <w:kern w:val="2"/>
          <w:lang w:val="en-IN" w:eastAsia="en-US"/>
        </w:rPr>
        <w:t>doi</w:t>
      </w:r>
      <w:proofErr w:type="spellEnd"/>
      <w:r w:rsidRPr="00075219">
        <w:rPr>
          <w:rFonts w:eastAsia="Calibri"/>
          <w:kern w:val="2"/>
          <w:lang w:val="en-IN" w:eastAsia="en-US"/>
        </w:rPr>
        <w:t>: 10.1093/</w:t>
      </w:r>
      <w:proofErr w:type="spellStart"/>
      <w:r w:rsidRPr="00075219">
        <w:rPr>
          <w:rFonts w:eastAsia="Calibri"/>
          <w:kern w:val="2"/>
          <w:lang w:val="en-IN" w:eastAsia="en-US"/>
        </w:rPr>
        <w:t>ajcn</w:t>
      </w:r>
      <w:proofErr w:type="spellEnd"/>
      <w:r w:rsidRPr="00075219">
        <w:rPr>
          <w:rFonts w:eastAsia="Calibri"/>
          <w:kern w:val="2"/>
          <w:lang w:val="en-IN" w:eastAsia="en-US"/>
        </w:rPr>
        <w:t>/nqy081. PMID: 29901700; PMCID: PMC6454512.</w:t>
      </w:r>
    </w:p>
    <w:p w14:paraId="5C01754D"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Leońska-Duniec</w:t>
      </w:r>
      <w:proofErr w:type="spellEnd"/>
      <w:r w:rsidRPr="00075219">
        <w:rPr>
          <w:rFonts w:eastAsia="Calibri"/>
          <w:kern w:val="2"/>
          <w:lang w:val="en-IN" w:eastAsia="en-US"/>
        </w:rPr>
        <w:t>, A., 2024. Comprehensive Genetic Analysis of Associations between Obesity-Related Parameters and Physical Activity: A Scoping Review. Genes, 15(9), p.1137.</w:t>
      </w:r>
    </w:p>
    <w:p w14:paraId="3EFDFBE4"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Livingstone, K.M., Celis-Morales, C., Navas-Carretero, S., San-Cristobal, R., Forster, H., Woolhead, C., O’Donovan, C.B., </w:t>
      </w:r>
      <w:proofErr w:type="spellStart"/>
      <w:r w:rsidRPr="00075219">
        <w:rPr>
          <w:rFonts w:eastAsia="Calibri"/>
          <w:kern w:val="2"/>
          <w:lang w:val="en-IN" w:eastAsia="en-US"/>
        </w:rPr>
        <w:t>Moschonis</w:t>
      </w:r>
      <w:proofErr w:type="spellEnd"/>
      <w:r w:rsidRPr="00075219">
        <w:rPr>
          <w:rFonts w:eastAsia="Calibri"/>
          <w:kern w:val="2"/>
          <w:lang w:val="en-IN" w:eastAsia="en-US"/>
        </w:rPr>
        <w:t xml:space="preserve">, G., </w:t>
      </w:r>
      <w:proofErr w:type="spellStart"/>
      <w:r w:rsidRPr="00075219">
        <w:rPr>
          <w:rFonts w:eastAsia="Calibri"/>
          <w:kern w:val="2"/>
          <w:lang w:val="en-IN" w:eastAsia="en-US"/>
        </w:rPr>
        <w:t>Manios</w:t>
      </w:r>
      <w:proofErr w:type="spellEnd"/>
      <w:r w:rsidRPr="00075219">
        <w:rPr>
          <w:rFonts w:eastAsia="Calibri"/>
          <w:kern w:val="2"/>
          <w:lang w:val="en-IN" w:eastAsia="en-US"/>
        </w:rPr>
        <w:t xml:space="preserve">, Y., Traczyk, I. and Gundersen, T.E., 2021. Personalised nutrition advice reduces intake of discretionary foods and beverages: findings from the Food4Me randomised controlled trial. International Journal of </w:t>
      </w:r>
      <w:proofErr w:type="spellStart"/>
      <w:r w:rsidRPr="00075219">
        <w:rPr>
          <w:rFonts w:eastAsia="Calibri"/>
          <w:kern w:val="2"/>
          <w:lang w:val="en-IN" w:eastAsia="en-US"/>
        </w:rPr>
        <w:t>Behavioral</w:t>
      </w:r>
      <w:proofErr w:type="spellEnd"/>
      <w:r w:rsidRPr="00075219">
        <w:rPr>
          <w:rFonts w:eastAsia="Calibri"/>
          <w:kern w:val="2"/>
          <w:lang w:val="en-IN" w:eastAsia="en-US"/>
        </w:rPr>
        <w:t xml:space="preserve"> Nutrition and Physical Activity, 18, pp.1-12.</w:t>
      </w:r>
    </w:p>
    <w:p w14:paraId="30B537C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Lucini, L., Marti-Quijal, F.J., Barba, F.J., </w:t>
      </w:r>
      <w:proofErr w:type="spellStart"/>
      <w:r w:rsidRPr="00075219">
        <w:rPr>
          <w:rFonts w:eastAsia="Calibri"/>
          <w:kern w:val="2"/>
          <w:lang w:val="en-IN" w:eastAsia="en-US"/>
        </w:rPr>
        <w:t>Rocchetti</w:t>
      </w:r>
      <w:proofErr w:type="spellEnd"/>
      <w:r w:rsidRPr="00075219">
        <w:rPr>
          <w:rFonts w:eastAsia="Calibri"/>
          <w:kern w:val="2"/>
          <w:lang w:val="en-IN" w:eastAsia="en-US"/>
        </w:rPr>
        <w:t xml:space="preserve">, G., Quilez, F., Cuesta, L., </w:t>
      </w:r>
      <w:proofErr w:type="spellStart"/>
      <w:r w:rsidRPr="00075219">
        <w:rPr>
          <w:rFonts w:eastAsia="Calibri"/>
          <w:kern w:val="2"/>
          <w:lang w:val="en-IN" w:eastAsia="en-US"/>
        </w:rPr>
        <w:t>Denoya</w:t>
      </w:r>
      <w:proofErr w:type="spellEnd"/>
      <w:r w:rsidRPr="00075219">
        <w:rPr>
          <w:rFonts w:eastAsia="Calibri"/>
          <w:kern w:val="2"/>
          <w:lang w:val="en-IN" w:eastAsia="en-US"/>
        </w:rPr>
        <w:t>, G.I., Vieira, P., Pinto, C.A. and Saraiva, J.A., 2020. Nutrigenomics and public health. In Agri-Food industry strategies for healthy diets and sustainability (pp. 219-233). Academic Press.</w:t>
      </w:r>
    </w:p>
    <w:p w14:paraId="332A11A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Luna-Vital DA, and Gonzalez de Mejia E. </w:t>
      </w:r>
      <w:proofErr w:type="gramStart"/>
      <w:r w:rsidRPr="00075219">
        <w:rPr>
          <w:rFonts w:eastAsia="Calibri"/>
          <w:kern w:val="2"/>
          <w:lang w:val="en-IN" w:eastAsia="en-US"/>
        </w:rPr>
        <w:t>2018 .</w:t>
      </w:r>
      <w:proofErr w:type="gramEnd"/>
      <w:r w:rsidRPr="00075219">
        <w:rPr>
          <w:rFonts w:eastAsia="Calibri"/>
          <w:kern w:val="2"/>
          <w:lang w:val="en-IN" w:eastAsia="en-US"/>
        </w:rPr>
        <w:t xml:space="preserve"> Anthocyanins from purple corn activate free fatty acid-receptor 1 and glucokinase, enhancing in vitro insulin secretion and hepatic glucose uptake. </w:t>
      </w:r>
      <w:proofErr w:type="spellStart"/>
      <w:r w:rsidRPr="00075219">
        <w:rPr>
          <w:rFonts w:eastAsia="Calibri"/>
          <w:kern w:val="2"/>
          <w:lang w:val="en-IN" w:eastAsia="en-US"/>
        </w:rPr>
        <w:t>PLoS</w:t>
      </w:r>
      <w:proofErr w:type="spellEnd"/>
      <w:r w:rsidRPr="00075219">
        <w:rPr>
          <w:rFonts w:eastAsia="Calibri"/>
          <w:kern w:val="2"/>
          <w:lang w:val="en-IN" w:eastAsia="en-US"/>
        </w:rPr>
        <w:t xml:space="preserve"> One. Jul 11;13(7</w:t>
      </w:r>
      <w:proofErr w:type="gramStart"/>
      <w:r w:rsidRPr="00075219">
        <w:rPr>
          <w:rFonts w:eastAsia="Calibri"/>
          <w:kern w:val="2"/>
          <w:lang w:val="en-IN" w:eastAsia="en-US"/>
        </w:rPr>
        <w:t>):e</w:t>
      </w:r>
      <w:proofErr w:type="gramEnd"/>
      <w:r w:rsidRPr="00075219">
        <w:rPr>
          <w:rFonts w:eastAsia="Calibri"/>
          <w:kern w:val="2"/>
          <w:lang w:val="en-IN" w:eastAsia="en-US"/>
        </w:rPr>
        <w:t xml:space="preserve">0200449. </w:t>
      </w:r>
      <w:proofErr w:type="spellStart"/>
      <w:r w:rsidRPr="00075219">
        <w:rPr>
          <w:rFonts w:eastAsia="Calibri"/>
          <w:kern w:val="2"/>
          <w:lang w:val="en-IN" w:eastAsia="en-US"/>
        </w:rPr>
        <w:t>doi</w:t>
      </w:r>
      <w:proofErr w:type="spellEnd"/>
      <w:r w:rsidRPr="00075219">
        <w:rPr>
          <w:rFonts w:eastAsia="Calibri"/>
          <w:kern w:val="2"/>
          <w:lang w:val="en-IN" w:eastAsia="en-US"/>
        </w:rPr>
        <w:t>: 10.1371/journal.pone.0200449. PMID: 29995924; PMCID: PMC6040766.</w:t>
      </w:r>
    </w:p>
    <w:p w14:paraId="6FF51D1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Mahdavi S, Palatini P, El-</w:t>
      </w:r>
      <w:proofErr w:type="spellStart"/>
      <w:r w:rsidRPr="00075219">
        <w:rPr>
          <w:rFonts w:eastAsia="Calibri"/>
          <w:kern w:val="2"/>
          <w:lang w:val="en-IN" w:eastAsia="en-US"/>
        </w:rPr>
        <w:t>Sohemy</w:t>
      </w:r>
      <w:proofErr w:type="spellEnd"/>
      <w:r w:rsidRPr="00075219">
        <w:rPr>
          <w:rFonts w:eastAsia="Calibri"/>
          <w:kern w:val="2"/>
          <w:lang w:val="en-IN" w:eastAsia="en-US"/>
        </w:rPr>
        <w:t xml:space="preserve"> A. 2023. CYP1A2 Genetic Variation, Coffee Intake, and Kidney Dysfunction. JAMA </w:t>
      </w:r>
      <w:proofErr w:type="spellStart"/>
      <w:r w:rsidRPr="00075219">
        <w:rPr>
          <w:rFonts w:eastAsia="Calibri"/>
          <w:kern w:val="2"/>
          <w:lang w:val="en-IN" w:eastAsia="en-US"/>
        </w:rPr>
        <w:t>Netw</w:t>
      </w:r>
      <w:proofErr w:type="spellEnd"/>
      <w:r w:rsidRPr="00075219">
        <w:rPr>
          <w:rFonts w:eastAsia="Calibri"/>
          <w:kern w:val="2"/>
          <w:lang w:val="en-IN" w:eastAsia="en-US"/>
        </w:rPr>
        <w:t xml:space="preserve"> Open. Jan 3;6(1</w:t>
      </w:r>
      <w:proofErr w:type="gramStart"/>
      <w:r w:rsidRPr="00075219">
        <w:rPr>
          <w:rFonts w:eastAsia="Calibri"/>
          <w:kern w:val="2"/>
          <w:lang w:val="en-IN" w:eastAsia="en-US"/>
        </w:rPr>
        <w:t>):e</w:t>
      </w:r>
      <w:proofErr w:type="gramEnd"/>
      <w:r w:rsidRPr="00075219">
        <w:rPr>
          <w:rFonts w:eastAsia="Calibri"/>
          <w:kern w:val="2"/>
          <w:lang w:val="en-IN" w:eastAsia="en-US"/>
        </w:rPr>
        <w:t xml:space="preserve">2247868. </w:t>
      </w:r>
      <w:proofErr w:type="spellStart"/>
      <w:r w:rsidRPr="00075219">
        <w:rPr>
          <w:rFonts w:eastAsia="Calibri"/>
          <w:kern w:val="2"/>
          <w:lang w:val="en-IN" w:eastAsia="en-US"/>
        </w:rPr>
        <w:t>doi</w:t>
      </w:r>
      <w:proofErr w:type="spellEnd"/>
      <w:r w:rsidRPr="00075219">
        <w:rPr>
          <w:rFonts w:eastAsia="Calibri"/>
          <w:kern w:val="2"/>
          <w:lang w:val="en-IN" w:eastAsia="en-US"/>
        </w:rPr>
        <w:t>: 10.1001/jamanetworkopen.2022.47868. PMID: 36701157; PMCID: PMC9880799.</w:t>
      </w:r>
    </w:p>
    <w:p w14:paraId="296B1118"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Malaguarnera</w:t>
      </w:r>
      <w:proofErr w:type="spellEnd"/>
      <w:r w:rsidRPr="00075219">
        <w:rPr>
          <w:rFonts w:eastAsia="Calibri"/>
          <w:kern w:val="2"/>
          <w:lang w:val="en-IN" w:eastAsia="en-US"/>
        </w:rPr>
        <w:t xml:space="preserve">, M., Khan, H. and Cauli, O., 2020. Resveratrol in autism spectrum disorders: </w:t>
      </w:r>
      <w:proofErr w:type="spellStart"/>
      <w:r w:rsidRPr="00075219">
        <w:rPr>
          <w:rFonts w:eastAsia="Calibri"/>
          <w:kern w:val="2"/>
          <w:lang w:val="en-IN" w:eastAsia="en-US"/>
        </w:rPr>
        <w:t>Behavioral</w:t>
      </w:r>
      <w:proofErr w:type="spellEnd"/>
      <w:r w:rsidRPr="00075219">
        <w:rPr>
          <w:rFonts w:eastAsia="Calibri"/>
          <w:kern w:val="2"/>
          <w:lang w:val="en-IN" w:eastAsia="en-US"/>
        </w:rPr>
        <w:t xml:space="preserve"> and molecular effects. Antioxidants. 9(3):188.</w:t>
      </w:r>
    </w:p>
    <w:p w14:paraId="0B7B8FA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Malcomson, F.C. and Mathers, J.C., 2023. Translation of nutrigenomic research for personalised and precision nutrition for cancer prevention and for cancer survivors. Redox Biology, 62, p.102710.</w:t>
      </w:r>
    </w:p>
    <w:p w14:paraId="1E439E0A"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Marcello, B., Di Gennaro, V. and Ferrini, S., 2021. Let the citizens speak: An empirical economic analysis of domestic organic waste for community composting in Tuscany. Journal of Cleaner Production, 306, p.127263.</w:t>
      </w:r>
    </w:p>
    <w:p w14:paraId="2312B655" w14:textId="77777777" w:rsidR="00075219" w:rsidRPr="00075219" w:rsidRDefault="00075219" w:rsidP="00075219">
      <w:pPr>
        <w:spacing w:after="160" w:line="276" w:lineRule="auto"/>
        <w:ind w:hanging="720"/>
        <w:jc w:val="both"/>
        <w:rPr>
          <w:rFonts w:eastAsia="Calibri"/>
          <w:color w:val="000000"/>
          <w:kern w:val="2"/>
          <w:lang w:val="en-IN" w:eastAsia="en-US"/>
        </w:rPr>
      </w:pPr>
      <w:r w:rsidRPr="00075219">
        <w:rPr>
          <w:rFonts w:eastAsia="Calibri"/>
          <w:color w:val="000000"/>
          <w:kern w:val="2"/>
          <w:lang w:val="en-IN" w:eastAsia="en-US"/>
        </w:rPr>
        <w:t xml:space="preserve">Marcum JA. Nutrigenetics/Nutrigenomics, Personalized Nutrition, and Precision Healthcare. </w:t>
      </w:r>
      <w:proofErr w:type="spellStart"/>
      <w:r w:rsidRPr="00075219">
        <w:rPr>
          <w:rFonts w:eastAsia="Calibri"/>
          <w:color w:val="000000"/>
          <w:kern w:val="2"/>
          <w:lang w:val="en-IN" w:eastAsia="en-US"/>
        </w:rPr>
        <w:t>Curr</w:t>
      </w:r>
      <w:proofErr w:type="spellEnd"/>
      <w:r w:rsidRPr="00075219">
        <w:rPr>
          <w:rFonts w:eastAsia="Calibri"/>
          <w:color w:val="000000"/>
          <w:kern w:val="2"/>
          <w:lang w:val="en-IN" w:eastAsia="en-US"/>
        </w:rPr>
        <w:t xml:space="preserve"> </w:t>
      </w:r>
      <w:proofErr w:type="spellStart"/>
      <w:r w:rsidRPr="00075219">
        <w:rPr>
          <w:rFonts w:eastAsia="Calibri"/>
          <w:color w:val="000000"/>
          <w:kern w:val="2"/>
          <w:lang w:val="en-IN" w:eastAsia="en-US"/>
        </w:rPr>
        <w:t>Nutr</w:t>
      </w:r>
      <w:proofErr w:type="spellEnd"/>
      <w:r w:rsidRPr="00075219">
        <w:rPr>
          <w:rFonts w:eastAsia="Calibri"/>
          <w:color w:val="000000"/>
          <w:kern w:val="2"/>
          <w:lang w:val="en-IN" w:eastAsia="en-US"/>
        </w:rPr>
        <w:t xml:space="preserve"> Rep. 2020 Dec;9(4):338-345. </w:t>
      </w:r>
      <w:proofErr w:type="spellStart"/>
      <w:r w:rsidRPr="00075219">
        <w:rPr>
          <w:rFonts w:eastAsia="Calibri"/>
          <w:color w:val="000000"/>
          <w:kern w:val="2"/>
          <w:lang w:val="en-IN" w:eastAsia="en-US"/>
        </w:rPr>
        <w:t>doi</w:t>
      </w:r>
      <w:proofErr w:type="spellEnd"/>
      <w:r w:rsidRPr="00075219">
        <w:rPr>
          <w:rFonts w:eastAsia="Calibri"/>
          <w:color w:val="000000"/>
          <w:kern w:val="2"/>
          <w:lang w:val="en-IN" w:eastAsia="en-US"/>
        </w:rPr>
        <w:t xml:space="preserve">: 10.1007/s13668-020-00327-z. PMID: 32578026. </w:t>
      </w:r>
    </w:p>
    <w:p w14:paraId="1FE9A66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 xml:space="preserve">Marcum, J.A. (2024). The Hippocratic Tradition and the Development of Medical Knowledge and Practice. In: </w:t>
      </w:r>
      <w:proofErr w:type="spellStart"/>
      <w:r w:rsidRPr="00075219">
        <w:rPr>
          <w:rFonts w:eastAsia="Calibri"/>
          <w:kern w:val="2"/>
          <w:lang w:val="en-IN" w:eastAsia="en-US"/>
        </w:rPr>
        <w:t>Schramme</w:t>
      </w:r>
      <w:proofErr w:type="spellEnd"/>
      <w:r w:rsidRPr="00075219">
        <w:rPr>
          <w:rFonts w:eastAsia="Calibri"/>
          <w:kern w:val="2"/>
          <w:lang w:val="en-IN" w:eastAsia="en-US"/>
        </w:rPr>
        <w:t xml:space="preserve">, T., Walker, M. (eds) Handbook of the Philosophy of Medicine. Springer, Dordrecht. </w:t>
      </w:r>
      <w:hyperlink r:id="rId8" w:history="1">
        <w:r w:rsidRPr="00075219">
          <w:rPr>
            <w:rFonts w:eastAsia="Calibri"/>
            <w:color w:val="0563C1"/>
            <w:kern w:val="2"/>
            <w:u w:val="single"/>
            <w:lang w:val="en-IN" w:eastAsia="en-US"/>
          </w:rPr>
          <w:t>https://doi.org/10.1007/978-94-017-8706-2_82-2</w:t>
        </w:r>
      </w:hyperlink>
    </w:p>
    <w:p w14:paraId="61A1C137"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Maruvada</w:t>
      </w:r>
      <w:proofErr w:type="spellEnd"/>
      <w:r w:rsidRPr="00075219">
        <w:rPr>
          <w:rFonts w:eastAsia="Calibri"/>
          <w:kern w:val="2"/>
          <w:lang w:val="en-IN" w:eastAsia="en-US"/>
        </w:rPr>
        <w:t xml:space="preserve">, P., Lampe, J.W., Wishart, D.S., </w:t>
      </w:r>
      <w:proofErr w:type="spellStart"/>
      <w:r w:rsidRPr="00075219">
        <w:rPr>
          <w:rFonts w:eastAsia="Calibri"/>
          <w:kern w:val="2"/>
          <w:lang w:val="en-IN" w:eastAsia="en-US"/>
        </w:rPr>
        <w:t>Barupal</w:t>
      </w:r>
      <w:proofErr w:type="spellEnd"/>
      <w:r w:rsidRPr="00075219">
        <w:rPr>
          <w:rFonts w:eastAsia="Calibri"/>
          <w:kern w:val="2"/>
          <w:lang w:val="en-IN" w:eastAsia="en-US"/>
        </w:rPr>
        <w:t xml:space="preserve">, D., Chester, D.N., Dodd, D., </w:t>
      </w:r>
      <w:proofErr w:type="spellStart"/>
      <w:r w:rsidRPr="00075219">
        <w:rPr>
          <w:rFonts w:eastAsia="Calibri"/>
          <w:kern w:val="2"/>
          <w:lang w:val="en-IN" w:eastAsia="en-US"/>
        </w:rPr>
        <w:t>Djoumbou-Feunang</w:t>
      </w:r>
      <w:proofErr w:type="spellEnd"/>
      <w:r w:rsidRPr="00075219">
        <w:rPr>
          <w:rFonts w:eastAsia="Calibri"/>
          <w:kern w:val="2"/>
          <w:lang w:val="en-IN" w:eastAsia="en-US"/>
        </w:rPr>
        <w:t xml:space="preserve">, Y., </w:t>
      </w:r>
      <w:proofErr w:type="spellStart"/>
      <w:r w:rsidRPr="00075219">
        <w:rPr>
          <w:rFonts w:eastAsia="Calibri"/>
          <w:kern w:val="2"/>
          <w:lang w:val="en-IN" w:eastAsia="en-US"/>
        </w:rPr>
        <w:t>Dorrestein</w:t>
      </w:r>
      <w:proofErr w:type="spellEnd"/>
      <w:r w:rsidRPr="00075219">
        <w:rPr>
          <w:rFonts w:eastAsia="Calibri"/>
          <w:kern w:val="2"/>
          <w:lang w:val="en-IN" w:eastAsia="en-US"/>
        </w:rPr>
        <w:t xml:space="preserve">, P.C., </w:t>
      </w:r>
      <w:proofErr w:type="spellStart"/>
      <w:r w:rsidRPr="00075219">
        <w:rPr>
          <w:rFonts w:eastAsia="Calibri"/>
          <w:kern w:val="2"/>
          <w:lang w:val="en-IN" w:eastAsia="en-US"/>
        </w:rPr>
        <w:t>Dragsted</w:t>
      </w:r>
      <w:proofErr w:type="spellEnd"/>
      <w:r w:rsidRPr="00075219">
        <w:rPr>
          <w:rFonts w:eastAsia="Calibri"/>
          <w:kern w:val="2"/>
          <w:lang w:val="en-IN" w:eastAsia="en-US"/>
        </w:rPr>
        <w:t>, L.O., Draper, J. and Duffy, L.C., 2020. Perspective: dietary biomarkers of intake and exposure—exploration with omics approaches. Advances in nutrition, 11(2), pp.200-215.</w:t>
      </w:r>
    </w:p>
    <w:p w14:paraId="157E483B"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Meiliana</w:t>
      </w:r>
      <w:proofErr w:type="spellEnd"/>
      <w:r w:rsidRPr="00075219">
        <w:rPr>
          <w:rFonts w:eastAsia="Calibri"/>
          <w:kern w:val="2"/>
          <w:lang w:val="en-IN" w:eastAsia="en-US"/>
        </w:rPr>
        <w:t>, A. and Wijaya, A., 2020. Nutrigenetics, nutrigenomics and precision nutrition. The Indonesian Biomedical Journal, 12(3), pp.189-200.</w:t>
      </w:r>
    </w:p>
    <w:p w14:paraId="28A5AC78"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Mertaş</w:t>
      </w:r>
      <w:proofErr w:type="spellEnd"/>
      <w:r w:rsidRPr="00075219">
        <w:rPr>
          <w:rFonts w:eastAsia="Calibri"/>
          <w:kern w:val="2"/>
          <w:lang w:val="en-IN" w:eastAsia="en-US"/>
        </w:rPr>
        <w:t xml:space="preserve">, B., &amp; </w:t>
      </w:r>
      <w:proofErr w:type="spellStart"/>
      <w:r w:rsidRPr="00075219">
        <w:rPr>
          <w:rFonts w:eastAsia="Calibri"/>
          <w:kern w:val="2"/>
          <w:lang w:val="en-IN" w:eastAsia="en-US"/>
        </w:rPr>
        <w:t>Boşgelmez</w:t>
      </w:r>
      <w:proofErr w:type="spellEnd"/>
      <w:r w:rsidRPr="00075219">
        <w:rPr>
          <w:rFonts w:eastAsia="Calibri"/>
          <w:kern w:val="2"/>
          <w:lang w:val="en-IN" w:eastAsia="en-US"/>
        </w:rPr>
        <w:t>, İ. İ. 2025. The Role of Genetic, Environmental, and Dietary Factors in Alzheimer’s Disease: A Narrative Review. International Journal of Molecular Sciences, 26(3), 1222. https://doi.org/10.3390/ijms26031222</w:t>
      </w:r>
    </w:p>
    <w:p w14:paraId="76D6316F"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Micioni</w:t>
      </w:r>
      <w:proofErr w:type="spellEnd"/>
      <w:r w:rsidRPr="00075219">
        <w:rPr>
          <w:rFonts w:eastAsia="Calibri"/>
          <w:kern w:val="2"/>
          <w:lang w:val="en-IN" w:eastAsia="en-US"/>
        </w:rPr>
        <w:t xml:space="preserve"> Di Bonaventura, E., Botticelli, L., Tomassoni, D., </w:t>
      </w:r>
      <w:proofErr w:type="spellStart"/>
      <w:r w:rsidRPr="00075219">
        <w:rPr>
          <w:rFonts w:eastAsia="Calibri"/>
          <w:kern w:val="2"/>
          <w:lang w:val="en-IN" w:eastAsia="en-US"/>
        </w:rPr>
        <w:t>Tayebati</w:t>
      </w:r>
      <w:proofErr w:type="spellEnd"/>
      <w:r w:rsidRPr="00075219">
        <w:rPr>
          <w:rFonts w:eastAsia="Calibri"/>
          <w:kern w:val="2"/>
          <w:lang w:val="en-IN" w:eastAsia="en-US"/>
        </w:rPr>
        <w:t xml:space="preserve">, S.K., </w:t>
      </w:r>
      <w:proofErr w:type="spellStart"/>
      <w:r w:rsidRPr="00075219">
        <w:rPr>
          <w:rFonts w:eastAsia="Calibri"/>
          <w:kern w:val="2"/>
          <w:lang w:val="en-IN" w:eastAsia="en-US"/>
        </w:rPr>
        <w:t>Micioni</w:t>
      </w:r>
      <w:proofErr w:type="spellEnd"/>
      <w:r w:rsidRPr="00075219">
        <w:rPr>
          <w:rFonts w:eastAsia="Calibri"/>
          <w:kern w:val="2"/>
          <w:lang w:val="en-IN" w:eastAsia="en-US"/>
        </w:rPr>
        <w:t xml:space="preserve"> Di Bonaventura, M.V. and Cifani, C., 2020. The melanocortin system behind the dysfunctional eating </w:t>
      </w:r>
      <w:proofErr w:type="spellStart"/>
      <w:r w:rsidRPr="00075219">
        <w:rPr>
          <w:rFonts w:eastAsia="Calibri"/>
          <w:kern w:val="2"/>
          <w:lang w:val="en-IN" w:eastAsia="en-US"/>
        </w:rPr>
        <w:t>behaviors</w:t>
      </w:r>
      <w:proofErr w:type="spellEnd"/>
      <w:r w:rsidRPr="00075219">
        <w:rPr>
          <w:rFonts w:eastAsia="Calibri"/>
          <w:kern w:val="2"/>
          <w:lang w:val="en-IN" w:eastAsia="en-US"/>
        </w:rPr>
        <w:t>. Nutrients, 12(11), p.3502.</w:t>
      </w:r>
    </w:p>
    <w:p w14:paraId="1233783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Mierziak, J., </w:t>
      </w:r>
      <w:proofErr w:type="spellStart"/>
      <w:r w:rsidRPr="00075219">
        <w:rPr>
          <w:rFonts w:eastAsia="Calibri"/>
          <w:kern w:val="2"/>
          <w:lang w:val="en-IN" w:eastAsia="en-US"/>
        </w:rPr>
        <w:t>Kostyn</w:t>
      </w:r>
      <w:proofErr w:type="spellEnd"/>
      <w:r w:rsidRPr="00075219">
        <w:rPr>
          <w:rFonts w:eastAsia="Calibri"/>
          <w:kern w:val="2"/>
          <w:lang w:val="en-IN" w:eastAsia="en-US"/>
        </w:rPr>
        <w:t xml:space="preserve">, K., Boba, A., </w:t>
      </w:r>
      <w:proofErr w:type="spellStart"/>
      <w:r w:rsidRPr="00075219">
        <w:rPr>
          <w:rFonts w:eastAsia="Calibri"/>
          <w:kern w:val="2"/>
          <w:lang w:val="en-IN" w:eastAsia="en-US"/>
        </w:rPr>
        <w:t>Czemplik</w:t>
      </w:r>
      <w:proofErr w:type="spellEnd"/>
      <w:r w:rsidRPr="00075219">
        <w:rPr>
          <w:rFonts w:eastAsia="Calibri"/>
          <w:kern w:val="2"/>
          <w:lang w:val="en-IN" w:eastAsia="en-US"/>
        </w:rPr>
        <w:t>, M., Kulma, A. and Wojtasik, W., 2021. Influence of the bioactive diet components on the gene expression regulation. Nutrients. 13(11): 3673.</w:t>
      </w:r>
    </w:p>
    <w:p w14:paraId="5B97D0C9"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Mozaffarian</w:t>
      </w:r>
      <w:proofErr w:type="spellEnd"/>
      <w:r w:rsidRPr="00075219">
        <w:rPr>
          <w:rFonts w:eastAsia="Calibri"/>
          <w:kern w:val="2"/>
          <w:lang w:val="en-IN" w:eastAsia="en-US"/>
        </w:rPr>
        <w:t xml:space="preserve">, D., Angell, S. Y., Lang, T., &amp; Rivera, J. A. (2018). Role of government policy in nutrition—barriers to and opportunities for healthier eating. </w:t>
      </w:r>
      <w:proofErr w:type="spellStart"/>
      <w:r w:rsidRPr="00075219">
        <w:rPr>
          <w:rFonts w:eastAsia="Calibri"/>
          <w:kern w:val="2"/>
          <w:lang w:val="en-IN" w:eastAsia="en-US"/>
        </w:rPr>
        <w:t>Bmj</w:t>
      </w:r>
      <w:proofErr w:type="spellEnd"/>
      <w:r w:rsidRPr="00075219">
        <w:rPr>
          <w:rFonts w:eastAsia="Calibri"/>
          <w:kern w:val="2"/>
          <w:lang w:val="en-IN" w:eastAsia="en-US"/>
        </w:rPr>
        <w:t>, 361.</w:t>
      </w:r>
    </w:p>
    <w:p w14:paraId="6A31A40E"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Muhammad, S. N. H., </w:t>
      </w:r>
      <w:proofErr w:type="spellStart"/>
      <w:r w:rsidRPr="00075219">
        <w:rPr>
          <w:rFonts w:eastAsia="Calibri"/>
          <w:kern w:val="2"/>
          <w:lang w:val="en-IN" w:eastAsia="en-US"/>
        </w:rPr>
        <w:t>Safuwan</w:t>
      </w:r>
      <w:proofErr w:type="spellEnd"/>
      <w:r w:rsidRPr="00075219">
        <w:rPr>
          <w:rFonts w:eastAsia="Calibri"/>
          <w:kern w:val="2"/>
          <w:lang w:val="en-IN" w:eastAsia="en-US"/>
        </w:rPr>
        <w:t xml:space="preserve">, N. A. M., Yaacob, N. S., &amp; Fauzi, A. N. 2023. Regulatory Mechanism on Anti-Glycolytic and Anti-Metastatic Activities Induced by </w:t>
      </w:r>
      <w:proofErr w:type="spellStart"/>
      <w:r w:rsidRPr="00075219">
        <w:rPr>
          <w:rFonts w:eastAsia="Calibri"/>
          <w:kern w:val="2"/>
          <w:lang w:val="en-IN" w:eastAsia="en-US"/>
        </w:rPr>
        <w:t>Strobilanthes</w:t>
      </w:r>
      <w:proofErr w:type="spellEnd"/>
      <w:r w:rsidRPr="00075219">
        <w:rPr>
          <w:rFonts w:eastAsia="Calibri"/>
          <w:kern w:val="2"/>
          <w:lang w:val="en-IN" w:eastAsia="en-US"/>
        </w:rPr>
        <w:t xml:space="preserve"> </w:t>
      </w:r>
      <w:proofErr w:type="spellStart"/>
      <w:r w:rsidRPr="00075219">
        <w:rPr>
          <w:rFonts w:eastAsia="Calibri"/>
          <w:kern w:val="2"/>
          <w:lang w:val="en-IN" w:eastAsia="en-US"/>
        </w:rPr>
        <w:t>crispus</w:t>
      </w:r>
      <w:proofErr w:type="spellEnd"/>
      <w:r w:rsidRPr="00075219">
        <w:rPr>
          <w:rFonts w:eastAsia="Calibri"/>
          <w:kern w:val="2"/>
          <w:lang w:val="en-IN" w:eastAsia="en-US"/>
        </w:rPr>
        <w:t xml:space="preserve"> in Breast Cancer, In Vitro. Pharmaceuticals, 16(2), 153. https://doi.org/10.3390/ph16020153</w:t>
      </w:r>
    </w:p>
    <w:p w14:paraId="0D6FA2A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Ng, N.H.J., Ghosh, S., Bok, C.M., Ching, C., Low, B.S.J., Chen, J.T., Lim, E., Miserendino, M.C., Tan, Y.S., Hoon, S. and Teo, A.K.K., 2024. HNF4A and HNF1A exhibit tissue specific target gene regulation in pancreatic beta cells and hepatocytes. Nature Communications, 15(1), p.4288.</w:t>
      </w:r>
    </w:p>
    <w:p w14:paraId="0EBF93EC"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Otero, M.C.B. and Bernolo, L.F., 2023. General principles in nutrigenomics and nutrigenetics. In Role of Nutrigenomics in Modern-day Healthcare and Drug Discovery (pp. 3-18). Elsevier.</w:t>
      </w:r>
    </w:p>
    <w:p w14:paraId="669A818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Olsen, L., Thum, E. and Rohner, N., 2021. Lipid metabolism in adaptation to extreme nutritional challenges. Developmental Cell, 56(10), pp.1417-1429.</w:t>
      </w:r>
    </w:p>
    <w:p w14:paraId="5066F140"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P. </w:t>
      </w:r>
      <w:proofErr w:type="spellStart"/>
      <w:proofErr w:type="gramStart"/>
      <w:r w:rsidRPr="00075219">
        <w:rPr>
          <w:rFonts w:eastAsia="Calibri"/>
          <w:kern w:val="2"/>
          <w:lang w:val="en-IN" w:eastAsia="en-US"/>
        </w:rPr>
        <w:t>Kumari,A</w:t>
      </w:r>
      <w:proofErr w:type="spellEnd"/>
      <w:r w:rsidRPr="00075219">
        <w:rPr>
          <w:rFonts w:eastAsia="Calibri"/>
          <w:kern w:val="2"/>
          <w:lang w:val="en-IN" w:eastAsia="en-US"/>
        </w:rPr>
        <w:t>.</w:t>
      </w:r>
      <w:proofErr w:type="gramEnd"/>
      <w:r w:rsidRPr="00075219">
        <w:rPr>
          <w:rFonts w:eastAsia="Calibri"/>
          <w:kern w:val="2"/>
          <w:lang w:val="en-IN" w:eastAsia="en-US"/>
        </w:rPr>
        <w:t xml:space="preserve">, </w:t>
      </w:r>
      <w:proofErr w:type="spellStart"/>
      <w:r w:rsidRPr="00075219">
        <w:rPr>
          <w:rFonts w:eastAsia="Calibri"/>
          <w:kern w:val="2"/>
          <w:lang w:val="en-IN" w:eastAsia="en-US"/>
        </w:rPr>
        <w:t>Inoue,K</w:t>
      </w:r>
      <w:proofErr w:type="spellEnd"/>
      <w:r w:rsidRPr="00075219">
        <w:rPr>
          <w:rFonts w:eastAsia="Calibri"/>
          <w:kern w:val="2"/>
          <w:lang w:val="en-IN" w:eastAsia="en-US"/>
        </w:rPr>
        <w:t xml:space="preserve">., </w:t>
      </w:r>
      <w:proofErr w:type="spellStart"/>
      <w:r w:rsidRPr="00075219">
        <w:rPr>
          <w:rFonts w:eastAsia="Calibri"/>
          <w:kern w:val="2"/>
          <w:lang w:val="en-IN" w:eastAsia="en-US"/>
        </w:rPr>
        <w:t>Chapman,P</w:t>
      </w:r>
      <w:proofErr w:type="spellEnd"/>
      <w:r w:rsidRPr="00075219">
        <w:rPr>
          <w:rFonts w:eastAsia="Calibri"/>
          <w:kern w:val="2"/>
          <w:lang w:val="en-IN" w:eastAsia="en-US"/>
        </w:rPr>
        <w:t>., Lian,&amp; D.M. Rosenbaum. 2023. Molecular mechanism of fatty acid activation of FFAR1, Proc. Natl. Acad. Sci. U.S.A. 120 (22) e2219569120, https://doi.org/10.1073/pnas.2219569120.</w:t>
      </w:r>
    </w:p>
    <w:p w14:paraId="184217B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lastRenderedPageBreak/>
        <w:t>Papuc, C., Goran, G.V., Predescu, C.N., Tudoreanu, L. and Ștefan, G., 2021. Plant polyphenols mechanisms of action on insulin resistance and against the loss of pancreatic beta cells. Critical reviews in food science and nutrition, 62(2), pp.325-352.</w:t>
      </w:r>
    </w:p>
    <w:p w14:paraId="3A949DCC"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Parsamanesh</w:t>
      </w:r>
      <w:proofErr w:type="spellEnd"/>
      <w:r w:rsidRPr="00075219">
        <w:rPr>
          <w:rFonts w:eastAsia="Calibri"/>
          <w:kern w:val="2"/>
          <w:lang w:val="en-IN" w:eastAsia="en-US"/>
        </w:rPr>
        <w:t xml:space="preserve">, N., </w:t>
      </w:r>
      <w:proofErr w:type="spellStart"/>
      <w:r w:rsidRPr="00075219">
        <w:rPr>
          <w:rFonts w:eastAsia="Calibri"/>
          <w:kern w:val="2"/>
          <w:lang w:val="en-IN" w:eastAsia="en-US"/>
        </w:rPr>
        <w:t>Moossavi</w:t>
      </w:r>
      <w:proofErr w:type="spellEnd"/>
      <w:r w:rsidRPr="00075219">
        <w:rPr>
          <w:rFonts w:eastAsia="Calibri"/>
          <w:kern w:val="2"/>
          <w:lang w:val="en-IN" w:eastAsia="en-US"/>
        </w:rPr>
        <w:t xml:space="preserve">, M., Bahrami, A., Butler, A.E. and </w:t>
      </w:r>
      <w:proofErr w:type="spellStart"/>
      <w:r w:rsidRPr="00075219">
        <w:rPr>
          <w:rFonts w:eastAsia="Calibri"/>
          <w:kern w:val="2"/>
          <w:lang w:val="en-IN" w:eastAsia="en-US"/>
        </w:rPr>
        <w:t>Sahebkar</w:t>
      </w:r>
      <w:proofErr w:type="spellEnd"/>
      <w:r w:rsidRPr="00075219">
        <w:rPr>
          <w:rFonts w:eastAsia="Calibri"/>
          <w:kern w:val="2"/>
          <w:lang w:val="en-IN" w:eastAsia="en-US"/>
        </w:rPr>
        <w:t>, A., 2018. Therapeutic potential of curcumin in diabetic complications. Pharmacological research, 136, pp.181-193.</w:t>
      </w:r>
    </w:p>
    <w:p w14:paraId="72767E89"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Ranganath</w:t>
      </w:r>
      <w:proofErr w:type="spellEnd"/>
      <w:r w:rsidRPr="00075219">
        <w:rPr>
          <w:rFonts w:eastAsia="Calibri"/>
          <w:kern w:val="2"/>
          <w:lang w:val="en-IN" w:eastAsia="en-US"/>
        </w:rPr>
        <w:t xml:space="preserve">, L.R., </w:t>
      </w:r>
      <w:proofErr w:type="spellStart"/>
      <w:r w:rsidRPr="00075219">
        <w:rPr>
          <w:rFonts w:eastAsia="Calibri"/>
          <w:kern w:val="2"/>
          <w:lang w:val="en-IN" w:eastAsia="en-US"/>
        </w:rPr>
        <w:t>Psarelli</w:t>
      </w:r>
      <w:proofErr w:type="spellEnd"/>
      <w:r w:rsidRPr="00075219">
        <w:rPr>
          <w:rFonts w:eastAsia="Calibri"/>
          <w:kern w:val="2"/>
          <w:lang w:val="en-IN" w:eastAsia="en-US"/>
        </w:rPr>
        <w:t xml:space="preserve">, E.E., </w:t>
      </w:r>
      <w:proofErr w:type="spellStart"/>
      <w:r w:rsidRPr="00075219">
        <w:rPr>
          <w:rFonts w:eastAsia="Calibri"/>
          <w:kern w:val="2"/>
          <w:lang w:val="en-IN" w:eastAsia="en-US"/>
        </w:rPr>
        <w:t>Arnoux</w:t>
      </w:r>
      <w:proofErr w:type="spellEnd"/>
      <w:r w:rsidRPr="00075219">
        <w:rPr>
          <w:rFonts w:eastAsia="Calibri"/>
          <w:kern w:val="2"/>
          <w:lang w:val="en-IN" w:eastAsia="en-US"/>
        </w:rPr>
        <w:t xml:space="preserve">, J.B., </w:t>
      </w:r>
      <w:proofErr w:type="spellStart"/>
      <w:r w:rsidRPr="00075219">
        <w:rPr>
          <w:rFonts w:eastAsia="Calibri"/>
          <w:kern w:val="2"/>
          <w:lang w:val="en-IN" w:eastAsia="en-US"/>
        </w:rPr>
        <w:t>Braconi</w:t>
      </w:r>
      <w:proofErr w:type="spellEnd"/>
      <w:r w:rsidRPr="00075219">
        <w:rPr>
          <w:rFonts w:eastAsia="Calibri"/>
          <w:kern w:val="2"/>
          <w:lang w:val="en-IN" w:eastAsia="en-US"/>
        </w:rPr>
        <w:t xml:space="preserve">, D., Briggs, M., </w:t>
      </w:r>
      <w:proofErr w:type="spellStart"/>
      <w:r w:rsidRPr="00075219">
        <w:rPr>
          <w:rFonts w:eastAsia="Calibri"/>
          <w:kern w:val="2"/>
          <w:lang w:val="en-IN" w:eastAsia="en-US"/>
        </w:rPr>
        <w:t>Bröijersén</w:t>
      </w:r>
      <w:proofErr w:type="spellEnd"/>
      <w:r w:rsidRPr="00075219">
        <w:rPr>
          <w:rFonts w:eastAsia="Calibri"/>
          <w:kern w:val="2"/>
          <w:lang w:val="en-IN" w:eastAsia="en-US"/>
        </w:rPr>
        <w:t xml:space="preserve">, A., Loftus, N., </w:t>
      </w:r>
      <w:proofErr w:type="spellStart"/>
      <w:r w:rsidRPr="00075219">
        <w:rPr>
          <w:rFonts w:eastAsia="Calibri"/>
          <w:kern w:val="2"/>
          <w:lang w:val="en-IN" w:eastAsia="en-US"/>
        </w:rPr>
        <w:t>Bygott</w:t>
      </w:r>
      <w:proofErr w:type="spellEnd"/>
      <w:r w:rsidRPr="00075219">
        <w:rPr>
          <w:rFonts w:eastAsia="Calibri"/>
          <w:kern w:val="2"/>
          <w:lang w:val="en-IN" w:eastAsia="en-US"/>
        </w:rPr>
        <w:t xml:space="preserve">, H., Cox, T.F., Davison, A.S. and Dillon, J.P., 2020. Efficacy and safety of once-daily </w:t>
      </w:r>
      <w:proofErr w:type="spellStart"/>
      <w:r w:rsidRPr="00075219">
        <w:rPr>
          <w:rFonts w:eastAsia="Calibri"/>
          <w:kern w:val="2"/>
          <w:lang w:val="en-IN" w:eastAsia="en-US"/>
        </w:rPr>
        <w:t>nitisinone</w:t>
      </w:r>
      <w:proofErr w:type="spellEnd"/>
      <w:r w:rsidRPr="00075219">
        <w:rPr>
          <w:rFonts w:eastAsia="Calibri"/>
          <w:kern w:val="2"/>
          <w:lang w:val="en-IN" w:eastAsia="en-US"/>
        </w:rPr>
        <w:t xml:space="preserve"> for patients with alkaptonuria (SONIA 2): an international, multicentre, open-label, randomised controlled trial. The Lancet Diabetes &amp; Endocrinology, 8(9), pp.762-772.</w:t>
      </w:r>
    </w:p>
    <w:p w14:paraId="46E14F65"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Resnick, D., Kearney, M.D., Smith, J.M., Bautista, A., Jones, L., Schapira, M.M. and Aysola, J., 2022. Designing a cancer prevention collaborative goal-setting mobile app for non-</w:t>
      </w:r>
      <w:proofErr w:type="spellStart"/>
      <w:r w:rsidRPr="00075219">
        <w:rPr>
          <w:rFonts w:eastAsia="Calibri"/>
          <w:kern w:val="2"/>
          <w:lang w:val="en-IN" w:eastAsia="en-US"/>
        </w:rPr>
        <w:t>hispanic</w:t>
      </w:r>
      <w:proofErr w:type="spellEnd"/>
      <w:r w:rsidRPr="00075219">
        <w:rPr>
          <w:rFonts w:eastAsia="Calibri"/>
          <w:kern w:val="2"/>
          <w:lang w:val="en-IN" w:eastAsia="en-US"/>
        </w:rPr>
        <w:t xml:space="preserve"> Black primary care patients: an iterative, qualitative patient-led process. JMIR Formative Research, 6(3), p.e28157.</w:t>
      </w:r>
    </w:p>
    <w:p w14:paraId="4CAFB8D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Sabiha, B., Bhatti, A., Fan, K.H., John, P., Aslam, M.M., Ali, J., Feingold, E., Demirci, F.Y. and Kamboh, M.I., 2021. Assessment of genetic risk of type 2 diabetes among Pakistanis based on GWAS-implicated loci. Gene, 783, p.145563.</w:t>
      </w:r>
    </w:p>
    <w:p w14:paraId="0C52360C"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Sakamoto A, Saotome M, Iguchi K, Maekawa Y. </w:t>
      </w:r>
      <w:proofErr w:type="gramStart"/>
      <w:r w:rsidRPr="00075219">
        <w:rPr>
          <w:rFonts w:eastAsia="Calibri"/>
          <w:kern w:val="2"/>
          <w:lang w:val="en-IN" w:eastAsia="en-US"/>
        </w:rPr>
        <w:t>2019 .Marine</w:t>
      </w:r>
      <w:proofErr w:type="gramEnd"/>
      <w:r w:rsidRPr="00075219">
        <w:rPr>
          <w:rFonts w:eastAsia="Calibri"/>
          <w:kern w:val="2"/>
          <w:lang w:val="en-IN" w:eastAsia="en-US"/>
        </w:rPr>
        <w:t xml:space="preserve">-Derived Omega-3 Polyunsaturated Fatty Acids and Heart Failure: Current Understanding for Basic to Clinical Relevance. Int J Mol Sci. Aug 18;20(16) </w:t>
      </w:r>
    </w:p>
    <w:p w14:paraId="48F0111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Salehi, B., Machin, L., </w:t>
      </w:r>
      <w:proofErr w:type="spellStart"/>
      <w:r w:rsidRPr="00075219">
        <w:rPr>
          <w:rFonts w:eastAsia="Calibri"/>
          <w:kern w:val="2"/>
          <w:lang w:val="en-IN" w:eastAsia="en-US"/>
        </w:rPr>
        <w:t>Monzote</w:t>
      </w:r>
      <w:proofErr w:type="spellEnd"/>
      <w:r w:rsidRPr="00075219">
        <w:rPr>
          <w:rFonts w:eastAsia="Calibri"/>
          <w:kern w:val="2"/>
          <w:lang w:val="en-IN" w:eastAsia="en-US"/>
        </w:rPr>
        <w:t xml:space="preserve">, L., Sharifi-Rad, J., Ezzat, S.M., Salem, M.A., </w:t>
      </w:r>
      <w:proofErr w:type="spellStart"/>
      <w:r w:rsidRPr="00075219">
        <w:rPr>
          <w:rFonts w:eastAsia="Calibri"/>
          <w:kern w:val="2"/>
          <w:lang w:val="en-IN" w:eastAsia="en-US"/>
        </w:rPr>
        <w:t>Merghany</w:t>
      </w:r>
      <w:proofErr w:type="spellEnd"/>
      <w:r w:rsidRPr="00075219">
        <w:rPr>
          <w:rFonts w:eastAsia="Calibri"/>
          <w:kern w:val="2"/>
          <w:lang w:val="en-IN" w:eastAsia="en-US"/>
        </w:rPr>
        <w:t xml:space="preserve">, R.M., El </w:t>
      </w:r>
      <w:proofErr w:type="spellStart"/>
      <w:r w:rsidRPr="00075219">
        <w:rPr>
          <w:rFonts w:eastAsia="Calibri"/>
          <w:kern w:val="2"/>
          <w:lang w:val="en-IN" w:eastAsia="en-US"/>
        </w:rPr>
        <w:t>Mahdy</w:t>
      </w:r>
      <w:proofErr w:type="spellEnd"/>
      <w:r w:rsidRPr="00075219">
        <w:rPr>
          <w:rFonts w:eastAsia="Calibri"/>
          <w:kern w:val="2"/>
          <w:lang w:val="en-IN" w:eastAsia="en-US"/>
        </w:rPr>
        <w:t>, N.M., Kılıç, C.S., Sytar, O., Sharifi-Rad, M., Sharopov, F., Martins, N., Martorell, M. and Cho, W.C., 2020. Therapeutic potential of quercetin: New insights and perspectives for human health. ACS Omega, 5(20), pp.11849–11872. https://doi.org/10.1021/acsomega.0c01818</w:t>
      </w:r>
    </w:p>
    <w:p w14:paraId="3CCCC266" w14:textId="77777777" w:rsidR="00075219" w:rsidRPr="00075219" w:rsidRDefault="00075219" w:rsidP="00075219">
      <w:pPr>
        <w:spacing w:after="160" w:line="276" w:lineRule="auto"/>
        <w:ind w:hanging="720"/>
        <w:jc w:val="both"/>
        <w:rPr>
          <w:rFonts w:eastAsia="Calibri"/>
          <w:kern w:val="2"/>
          <w:lang w:val="en-IN" w:eastAsia="en-US"/>
        </w:rPr>
      </w:pPr>
      <w:proofErr w:type="spellStart"/>
      <w:r w:rsidRPr="00075219">
        <w:rPr>
          <w:rFonts w:eastAsia="Calibri"/>
          <w:kern w:val="2"/>
          <w:lang w:val="en-IN" w:eastAsia="en-US"/>
        </w:rPr>
        <w:t>Sewaybricker</w:t>
      </w:r>
      <w:proofErr w:type="spellEnd"/>
      <w:r w:rsidRPr="00075219">
        <w:rPr>
          <w:rFonts w:eastAsia="Calibri"/>
          <w:kern w:val="2"/>
          <w:lang w:val="en-IN" w:eastAsia="en-US"/>
        </w:rPr>
        <w:t xml:space="preserve">, L.E., </w:t>
      </w:r>
      <w:proofErr w:type="spellStart"/>
      <w:r w:rsidRPr="00075219">
        <w:rPr>
          <w:rFonts w:eastAsia="Calibri"/>
          <w:kern w:val="2"/>
          <w:lang w:val="en-IN" w:eastAsia="en-US"/>
        </w:rPr>
        <w:t>Melhorn</w:t>
      </w:r>
      <w:proofErr w:type="spellEnd"/>
      <w:r w:rsidRPr="00075219">
        <w:rPr>
          <w:rFonts w:eastAsia="Calibri"/>
          <w:kern w:val="2"/>
          <w:lang w:val="en-IN" w:eastAsia="en-US"/>
        </w:rPr>
        <w:t xml:space="preserve">, S.J., Rosenbaum, J.L., Askren, M.K., Tyagi, V., Webb, M.F., De Leon, M.R.B., Grabowski, T.J. and Schur, E.A., 2021. Reassessing relationships between appetite and adiposity in people at risk of obesity: A twin study using fMRI. Physiology &amp; </w:t>
      </w:r>
      <w:proofErr w:type="spellStart"/>
      <w:r w:rsidRPr="00075219">
        <w:rPr>
          <w:rFonts w:eastAsia="Calibri"/>
          <w:kern w:val="2"/>
          <w:lang w:val="en-IN" w:eastAsia="en-US"/>
        </w:rPr>
        <w:t>behavior</w:t>
      </w:r>
      <w:proofErr w:type="spellEnd"/>
      <w:r w:rsidRPr="00075219">
        <w:rPr>
          <w:rFonts w:eastAsia="Calibri"/>
          <w:kern w:val="2"/>
          <w:lang w:val="en-IN" w:eastAsia="en-US"/>
        </w:rPr>
        <w:t>, 239, p.113504.</w:t>
      </w:r>
    </w:p>
    <w:p w14:paraId="164AA67D"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Sharif, R., Thomas, P., Zalewski, P. and Fenech, M., 2012. The role of zinc in genomic stability. Mutation Research/Fundamental and Molecular Mechanisms of Mutagenesis, 733(1-2), pp.111-121.</w:t>
      </w:r>
    </w:p>
    <w:p w14:paraId="48E1BE4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Signorelli, G.R., Monteiro-Guerra, F., Rivera-Romero, O., Núñez-Benjumea, F.J. and Fernández-Luque, L., 2022. Breast cancer physical activity mobile intervention: early findings from a user experience and acceptability mixed methods study. JMIR Formative Research, 6(6), p.e32354.</w:t>
      </w:r>
    </w:p>
    <w:p w14:paraId="174EBFAF"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Thiruvengadam, M., Venkidasamy, B., Subramanian, U., Samynathan, R., Ali Shariati, M., Rebezov, M., Girish, S., Thangavel, S., Dhanapal, A.R., Fedoseeva, N. and Lee, J., 2021. </w:t>
      </w:r>
      <w:r w:rsidRPr="00075219">
        <w:rPr>
          <w:rFonts w:eastAsia="Calibri"/>
          <w:kern w:val="2"/>
          <w:lang w:val="en-IN" w:eastAsia="en-US"/>
        </w:rPr>
        <w:lastRenderedPageBreak/>
        <w:t xml:space="preserve">Bioactive compounds in oxidative stress-mediated diseases: targeting the NRF2/ARE </w:t>
      </w:r>
      <w:proofErr w:type="spellStart"/>
      <w:r w:rsidRPr="00075219">
        <w:rPr>
          <w:rFonts w:eastAsia="Calibri"/>
          <w:kern w:val="2"/>
          <w:lang w:val="en-IN" w:eastAsia="en-US"/>
        </w:rPr>
        <w:t>signaling</w:t>
      </w:r>
      <w:proofErr w:type="spellEnd"/>
      <w:r w:rsidRPr="00075219">
        <w:rPr>
          <w:rFonts w:eastAsia="Calibri"/>
          <w:kern w:val="2"/>
          <w:lang w:val="en-IN" w:eastAsia="en-US"/>
        </w:rPr>
        <w:t xml:space="preserve"> pathway and epigenetic regulation. Antioxidants, 10(12), p.1859.</w:t>
      </w:r>
    </w:p>
    <w:p w14:paraId="431C4E07"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Vesnina, A., </w:t>
      </w:r>
      <w:proofErr w:type="spellStart"/>
      <w:r w:rsidRPr="00075219">
        <w:rPr>
          <w:rFonts w:eastAsia="Calibri"/>
          <w:kern w:val="2"/>
          <w:lang w:val="en-IN" w:eastAsia="en-US"/>
        </w:rPr>
        <w:t>Prosekov</w:t>
      </w:r>
      <w:proofErr w:type="spellEnd"/>
      <w:r w:rsidRPr="00075219">
        <w:rPr>
          <w:rFonts w:eastAsia="Calibri"/>
          <w:kern w:val="2"/>
          <w:lang w:val="en-IN" w:eastAsia="en-US"/>
        </w:rPr>
        <w:t xml:space="preserve">, A., Kozlova, O. and </w:t>
      </w:r>
      <w:proofErr w:type="spellStart"/>
      <w:r w:rsidRPr="00075219">
        <w:rPr>
          <w:rFonts w:eastAsia="Calibri"/>
          <w:kern w:val="2"/>
          <w:lang w:val="en-IN" w:eastAsia="en-US"/>
        </w:rPr>
        <w:t>Atuchin</w:t>
      </w:r>
      <w:proofErr w:type="spellEnd"/>
      <w:r w:rsidRPr="00075219">
        <w:rPr>
          <w:rFonts w:eastAsia="Calibri"/>
          <w:kern w:val="2"/>
          <w:lang w:val="en-IN" w:eastAsia="en-US"/>
        </w:rPr>
        <w:t>, V., 2020. Genes and eating preferences, their roles in personalized nutrition. Genes, 11(4), p.357.</w:t>
      </w:r>
    </w:p>
    <w:p w14:paraId="2FEA37E3"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Vyas S. 2022. Advances in Nutrigenomics and Applications in Public Health: A Recent Update. </w:t>
      </w:r>
      <w:proofErr w:type="spellStart"/>
      <w:r w:rsidRPr="00075219">
        <w:rPr>
          <w:rFonts w:eastAsia="Calibri"/>
          <w:kern w:val="2"/>
          <w:lang w:val="en-IN" w:eastAsia="en-US"/>
        </w:rPr>
        <w:t>Curr</w:t>
      </w:r>
      <w:proofErr w:type="spellEnd"/>
      <w:r w:rsidRPr="00075219">
        <w:rPr>
          <w:rFonts w:eastAsia="Calibri"/>
          <w:kern w:val="2"/>
          <w:lang w:val="en-IN" w:eastAsia="en-US"/>
        </w:rPr>
        <w:t xml:space="preserve"> Res </w:t>
      </w:r>
      <w:proofErr w:type="spellStart"/>
      <w:r w:rsidRPr="00075219">
        <w:rPr>
          <w:rFonts w:eastAsia="Calibri"/>
          <w:kern w:val="2"/>
          <w:lang w:val="en-IN" w:eastAsia="en-US"/>
        </w:rPr>
        <w:t>Nutr</w:t>
      </w:r>
      <w:proofErr w:type="spellEnd"/>
      <w:r w:rsidRPr="00075219">
        <w:rPr>
          <w:rFonts w:eastAsia="Calibri"/>
          <w:kern w:val="2"/>
          <w:lang w:val="en-IN" w:eastAsia="en-US"/>
        </w:rPr>
        <w:t xml:space="preserve"> Food Sci. 10(3). </w:t>
      </w:r>
      <w:proofErr w:type="spellStart"/>
      <w:proofErr w:type="gramStart"/>
      <w:r w:rsidRPr="00075219">
        <w:rPr>
          <w:rFonts w:eastAsia="Calibri"/>
          <w:kern w:val="2"/>
          <w:lang w:val="en-IN" w:eastAsia="en-US"/>
        </w:rPr>
        <w:t>doi</w:t>
      </w:r>
      <w:proofErr w:type="spellEnd"/>
      <w:r w:rsidRPr="00075219">
        <w:rPr>
          <w:rFonts w:eastAsia="Calibri"/>
          <w:kern w:val="2"/>
          <w:lang w:val="en-IN" w:eastAsia="en-US"/>
        </w:rPr>
        <w:t xml:space="preserve"> :</w:t>
      </w:r>
      <w:proofErr w:type="gramEnd"/>
      <w:r w:rsidRPr="00075219">
        <w:rPr>
          <w:rFonts w:eastAsia="Calibri"/>
          <w:kern w:val="2"/>
          <w:lang w:val="en-IN" w:eastAsia="en-US"/>
        </w:rPr>
        <w:t xml:space="preserve"> http://dx.doi.org/10.12944/CRNFSJ.10.3.23</w:t>
      </w:r>
    </w:p>
    <w:p w14:paraId="476ED508"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Wang, X. and Li, H., 2022. Chronic high-fat diet induces overeating and impairs synaptic transmission in feeding-related brain regions. Frontiers in Molecular Neuroscience, 15, p.1019446.</w:t>
      </w:r>
    </w:p>
    <w:p w14:paraId="01EF7E62"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Wittwer, M., Altpeter, E., Pilo, P., </w:t>
      </w:r>
      <w:proofErr w:type="spellStart"/>
      <w:r w:rsidRPr="00075219">
        <w:rPr>
          <w:rFonts w:eastAsia="Calibri"/>
          <w:kern w:val="2"/>
          <w:lang w:val="en-IN" w:eastAsia="en-US"/>
        </w:rPr>
        <w:t>Gygli</w:t>
      </w:r>
      <w:proofErr w:type="spellEnd"/>
      <w:r w:rsidRPr="00075219">
        <w:rPr>
          <w:rFonts w:eastAsia="Calibri"/>
          <w:kern w:val="2"/>
          <w:lang w:val="en-IN" w:eastAsia="en-US"/>
        </w:rPr>
        <w:t xml:space="preserve">, S.M., </w:t>
      </w:r>
      <w:proofErr w:type="spellStart"/>
      <w:r w:rsidRPr="00075219">
        <w:rPr>
          <w:rFonts w:eastAsia="Calibri"/>
          <w:kern w:val="2"/>
          <w:lang w:val="en-IN" w:eastAsia="en-US"/>
        </w:rPr>
        <w:t>Beuret</w:t>
      </w:r>
      <w:proofErr w:type="spellEnd"/>
      <w:r w:rsidRPr="00075219">
        <w:rPr>
          <w:rFonts w:eastAsia="Calibri"/>
          <w:kern w:val="2"/>
          <w:lang w:val="en-IN" w:eastAsia="en-US"/>
        </w:rPr>
        <w:t xml:space="preserve">, C., Foucault, F., Ackermann- Gäumann, R., Karrer, U., Jacob, D., Grunow, R. and </w:t>
      </w:r>
      <w:proofErr w:type="spellStart"/>
      <w:r w:rsidRPr="00075219">
        <w:rPr>
          <w:rFonts w:eastAsia="Calibri"/>
          <w:kern w:val="2"/>
          <w:lang w:val="en-IN" w:eastAsia="en-US"/>
        </w:rPr>
        <w:t>Schürch</w:t>
      </w:r>
      <w:proofErr w:type="spellEnd"/>
      <w:r w:rsidRPr="00075219">
        <w:rPr>
          <w:rFonts w:eastAsia="Calibri"/>
          <w:kern w:val="2"/>
          <w:lang w:val="en-IN" w:eastAsia="en-US"/>
        </w:rPr>
        <w:t xml:space="preserve">, N., 2018. Population Genomics of </w:t>
      </w:r>
      <w:proofErr w:type="spellStart"/>
      <w:r w:rsidRPr="00075219">
        <w:rPr>
          <w:rFonts w:eastAsia="Calibri"/>
          <w:kern w:val="2"/>
          <w:lang w:val="en-IN" w:eastAsia="en-US"/>
        </w:rPr>
        <w:t>Francisella</w:t>
      </w:r>
      <w:proofErr w:type="spellEnd"/>
      <w:r w:rsidRPr="00075219">
        <w:rPr>
          <w:rFonts w:eastAsia="Calibri"/>
          <w:kern w:val="2"/>
          <w:lang w:val="en-IN" w:eastAsia="en-US"/>
        </w:rPr>
        <w:t xml:space="preserve"> </w:t>
      </w:r>
      <w:proofErr w:type="spellStart"/>
      <w:r w:rsidRPr="00075219">
        <w:rPr>
          <w:rFonts w:eastAsia="Calibri"/>
          <w:kern w:val="2"/>
          <w:lang w:val="en-IN" w:eastAsia="en-US"/>
        </w:rPr>
        <w:t>tularensis</w:t>
      </w:r>
      <w:proofErr w:type="spellEnd"/>
      <w:r w:rsidRPr="00075219">
        <w:rPr>
          <w:rFonts w:eastAsia="Calibri"/>
          <w:kern w:val="2"/>
          <w:lang w:val="en-IN" w:eastAsia="en-US"/>
        </w:rPr>
        <w:t xml:space="preserve"> subsp. </w:t>
      </w:r>
      <w:proofErr w:type="spellStart"/>
      <w:r w:rsidRPr="00075219">
        <w:rPr>
          <w:rFonts w:eastAsia="Calibri"/>
          <w:kern w:val="2"/>
          <w:lang w:val="en-IN" w:eastAsia="en-US"/>
        </w:rPr>
        <w:t>holarctica</w:t>
      </w:r>
      <w:proofErr w:type="spellEnd"/>
      <w:r w:rsidRPr="00075219">
        <w:rPr>
          <w:rFonts w:eastAsia="Calibri"/>
          <w:kern w:val="2"/>
          <w:lang w:val="en-IN" w:eastAsia="en-US"/>
        </w:rPr>
        <w:t xml:space="preserve"> and its Implication on the Eco- Epidemiology of </w:t>
      </w:r>
      <w:proofErr w:type="spellStart"/>
      <w:r w:rsidRPr="00075219">
        <w:rPr>
          <w:rFonts w:eastAsia="Calibri"/>
          <w:kern w:val="2"/>
          <w:lang w:val="en-IN" w:eastAsia="en-US"/>
        </w:rPr>
        <w:t>Tularemia</w:t>
      </w:r>
      <w:proofErr w:type="spellEnd"/>
      <w:r w:rsidRPr="00075219">
        <w:rPr>
          <w:rFonts w:eastAsia="Calibri"/>
          <w:kern w:val="2"/>
          <w:lang w:val="en-IN" w:eastAsia="en-US"/>
        </w:rPr>
        <w:t xml:space="preserve"> in Switzerland. Frontiers. </w:t>
      </w:r>
      <w:proofErr w:type="spellStart"/>
      <w:r w:rsidRPr="00075219">
        <w:rPr>
          <w:rFonts w:eastAsia="Calibri"/>
          <w:kern w:val="2"/>
          <w:lang w:val="en-IN" w:eastAsia="en-US"/>
        </w:rPr>
        <w:t>cellula</w:t>
      </w:r>
      <w:proofErr w:type="spellEnd"/>
      <w:r w:rsidRPr="00075219">
        <w:rPr>
          <w:rFonts w:eastAsia="Calibri"/>
          <w:kern w:val="2"/>
          <w:lang w:val="en-IN" w:eastAsia="en-US"/>
        </w:rPr>
        <w:t>. infection microbiology. 8 (10): 89.</w:t>
      </w:r>
    </w:p>
    <w:p w14:paraId="5BD02D5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Xiang Z, Ma B, Pei X, Wang W, Gong W. Mechanism of action of genistein on breast cancer and differential effects of different age stages. Pharm Biol. 2025 Dec;63(1):141-155. </w:t>
      </w:r>
      <w:proofErr w:type="spellStart"/>
      <w:r w:rsidRPr="00075219">
        <w:rPr>
          <w:rFonts w:eastAsia="Calibri"/>
          <w:kern w:val="2"/>
          <w:lang w:val="en-IN" w:eastAsia="en-US"/>
        </w:rPr>
        <w:t>doi</w:t>
      </w:r>
      <w:proofErr w:type="spellEnd"/>
      <w:r w:rsidRPr="00075219">
        <w:rPr>
          <w:rFonts w:eastAsia="Calibri"/>
          <w:kern w:val="2"/>
          <w:lang w:val="en-IN" w:eastAsia="en-US"/>
        </w:rPr>
        <w:t xml:space="preserve">: 10.1080/13880209.2025.2469607. </w:t>
      </w:r>
      <w:proofErr w:type="spellStart"/>
      <w:r w:rsidRPr="00075219">
        <w:rPr>
          <w:rFonts w:eastAsia="Calibri"/>
          <w:kern w:val="2"/>
          <w:lang w:val="en-IN" w:eastAsia="en-US"/>
        </w:rPr>
        <w:t>Epub</w:t>
      </w:r>
      <w:proofErr w:type="spellEnd"/>
      <w:r w:rsidRPr="00075219">
        <w:rPr>
          <w:rFonts w:eastAsia="Calibri"/>
          <w:kern w:val="2"/>
          <w:lang w:val="en-IN" w:eastAsia="en-US"/>
        </w:rPr>
        <w:t xml:space="preserve"> 2025 Feb 25. PMID: 39996512; PMCID: PMC11864014.</w:t>
      </w:r>
    </w:p>
    <w:p w14:paraId="5C688E91"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Yu, H., Lin, L., Zhang, Z. et al. 2020. Targeting NF-</w:t>
      </w:r>
      <w:proofErr w:type="spellStart"/>
      <w:r w:rsidRPr="00075219">
        <w:rPr>
          <w:rFonts w:eastAsia="Calibri"/>
          <w:kern w:val="2"/>
          <w:lang w:val="en-IN" w:eastAsia="en-US"/>
        </w:rPr>
        <w:t>κB</w:t>
      </w:r>
      <w:proofErr w:type="spellEnd"/>
      <w:r w:rsidRPr="00075219">
        <w:rPr>
          <w:rFonts w:eastAsia="Calibri"/>
          <w:kern w:val="2"/>
          <w:lang w:val="en-IN" w:eastAsia="en-US"/>
        </w:rPr>
        <w:t xml:space="preserve"> pathway for the therapy of diseases: mechanism and clinical study. Sig </w:t>
      </w:r>
      <w:proofErr w:type="spellStart"/>
      <w:r w:rsidRPr="00075219">
        <w:rPr>
          <w:rFonts w:eastAsia="Calibri"/>
          <w:kern w:val="2"/>
          <w:lang w:val="en-IN" w:eastAsia="en-US"/>
        </w:rPr>
        <w:t>Transduct</w:t>
      </w:r>
      <w:proofErr w:type="spellEnd"/>
      <w:r w:rsidRPr="00075219">
        <w:rPr>
          <w:rFonts w:eastAsia="Calibri"/>
          <w:kern w:val="2"/>
          <w:lang w:val="en-IN" w:eastAsia="en-US"/>
        </w:rPr>
        <w:t xml:space="preserve"> Target </w:t>
      </w:r>
      <w:proofErr w:type="spellStart"/>
      <w:r w:rsidRPr="00075219">
        <w:rPr>
          <w:rFonts w:eastAsia="Calibri"/>
          <w:kern w:val="2"/>
          <w:lang w:val="en-IN" w:eastAsia="en-US"/>
        </w:rPr>
        <w:t>Ther</w:t>
      </w:r>
      <w:proofErr w:type="spellEnd"/>
      <w:r w:rsidRPr="00075219">
        <w:rPr>
          <w:rFonts w:eastAsia="Calibri"/>
          <w:kern w:val="2"/>
          <w:lang w:val="en-IN" w:eastAsia="en-US"/>
        </w:rPr>
        <w:t xml:space="preserve"> 5, 209. https://doi.org/10.1038/s41392-020-00312-6</w:t>
      </w:r>
    </w:p>
    <w:p w14:paraId="32323C59" w14:textId="77777777" w:rsidR="00075219" w:rsidRPr="00075219" w:rsidRDefault="00075219" w:rsidP="00075219">
      <w:pPr>
        <w:spacing w:after="160" w:line="276" w:lineRule="auto"/>
        <w:ind w:hanging="720"/>
        <w:jc w:val="both"/>
        <w:rPr>
          <w:rFonts w:eastAsia="Calibri"/>
          <w:kern w:val="2"/>
          <w:lang w:val="en-IN" w:eastAsia="en-US"/>
        </w:rPr>
      </w:pPr>
      <w:r w:rsidRPr="00075219">
        <w:rPr>
          <w:rFonts w:eastAsia="Calibri"/>
          <w:kern w:val="2"/>
          <w:lang w:val="en-IN" w:eastAsia="en-US"/>
        </w:rPr>
        <w:t xml:space="preserve">Zhang H, Chen Y, Chen Y, Ji S, Jia P, Li Y, Wang T. Comparison of the protective effects of resveratrol and pterostilbene against intestinal damage and redox imbalance in weanling piglets. J </w:t>
      </w:r>
      <w:proofErr w:type="spellStart"/>
      <w:r w:rsidRPr="00075219">
        <w:rPr>
          <w:rFonts w:eastAsia="Calibri"/>
          <w:kern w:val="2"/>
          <w:lang w:val="en-IN" w:eastAsia="en-US"/>
        </w:rPr>
        <w:t>Anim</w:t>
      </w:r>
      <w:proofErr w:type="spellEnd"/>
      <w:r w:rsidRPr="00075219">
        <w:rPr>
          <w:rFonts w:eastAsia="Calibri"/>
          <w:kern w:val="2"/>
          <w:lang w:val="en-IN" w:eastAsia="en-US"/>
        </w:rPr>
        <w:t xml:space="preserve"> Sci </w:t>
      </w:r>
      <w:proofErr w:type="spellStart"/>
      <w:r w:rsidRPr="00075219">
        <w:rPr>
          <w:rFonts w:eastAsia="Calibri"/>
          <w:kern w:val="2"/>
          <w:lang w:val="en-IN" w:eastAsia="en-US"/>
        </w:rPr>
        <w:t>Biotechnol</w:t>
      </w:r>
      <w:proofErr w:type="spellEnd"/>
      <w:r w:rsidRPr="00075219">
        <w:rPr>
          <w:rFonts w:eastAsia="Calibri"/>
          <w:kern w:val="2"/>
          <w:lang w:val="en-IN" w:eastAsia="en-US"/>
        </w:rPr>
        <w:t xml:space="preserve">. 2020 Jun </w:t>
      </w:r>
      <w:proofErr w:type="gramStart"/>
      <w:r w:rsidRPr="00075219">
        <w:rPr>
          <w:rFonts w:eastAsia="Calibri"/>
          <w:kern w:val="2"/>
          <w:lang w:val="en-IN" w:eastAsia="en-US"/>
        </w:rPr>
        <w:t>1;11:52</w:t>
      </w:r>
      <w:proofErr w:type="gramEnd"/>
      <w:r w:rsidRPr="00075219">
        <w:rPr>
          <w:rFonts w:eastAsia="Calibri"/>
          <w:kern w:val="2"/>
          <w:lang w:val="en-IN" w:eastAsia="en-US"/>
        </w:rPr>
        <w:t xml:space="preserve">. </w:t>
      </w:r>
      <w:proofErr w:type="spellStart"/>
      <w:r w:rsidRPr="00075219">
        <w:rPr>
          <w:rFonts w:eastAsia="Calibri"/>
          <w:kern w:val="2"/>
          <w:lang w:val="en-IN" w:eastAsia="en-US"/>
        </w:rPr>
        <w:t>doi</w:t>
      </w:r>
      <w:proofErr w:type="spellEnd"/>
      <w:r w:rsidRPr="00075219">
        <w:rPr>
          <w:rFonts w:eastAsia="Calibri"/>
          <w:kern w:val="2"/>
          <w:lang w:val="en-IN" w:eastAsia="en-US"/>
        </w:rPr>
        <w:t>: 10.1186/s40104-020-00460-3. PMID: 32514341; PMCID: PMC7262760.</w:t>
      </w:r>
    </w:p>
    <w:p w14:paraId="3521F966" w14:textId="77777777" w:rsidR="00075219" w:rsidRPr="00075219" w:rsidRDefault="00075219" w:rsidP="00075219">
      <w:pPr>
        <w:pStyle w:val="Newparagraph"/>
      </w:pPr>
    </w:p>
    <w:sectPr w:rsidR="00075219" w:rsidRPr="00075219" w:rsidSect="00074B81">
      <w:headerReference w:type="even" r:id="rId9"/>
      <w:headerReference w:type="default" r:id="rId10"/>
      <w:headerReference w:type="firs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96B8" w14:textId="77777777" w:rsidR="00981422" w:rsidRDefault="00981422" w:rsidP="00AF2C92">
      <w:r>
        <w:separator/>
      </w:r>
    </w:p>
  </w:endnote>
  <w:endnote w:type="continuationSeparator" w:id="0">
    <w:p w14:paraId="37D502E7" w14:textId="77777777" w:rsidR="00981422" w:rsidRDefault="0098142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D957C" w14:textId="77777777" w:rsidR="00981422" w:rsidRDefault="00981422" w:rsidP="00AF2C92">
      <w:r>
        <w:separator/>
      </w:r>
    </w:p>
  </w:footnote>
  <w:footnote w:type="continuationSeparator" w:id="0">
    <w:p w14:paraId="0E83A2A2" w14:textId="77777777" w:rsidR="00981422" w:rsidRDefault="00981422"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C6FB" w14:textId="3D2031FB" w:rsidR="009B5CE1" w:rsidRDefault="00981422">
    <w:pPr>
      <w:pStyle w:val="Header"/>
    </w:pPr>
    <w:r>
      <w:rPr>
        <w:noProof/>
      </w:rPr>
      <w:pict w14:anchorId="2F71D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6"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DDEE" w14:textId="7DFD7797" w:rsidR="009B5CE1" w:rsidRDefault="00981422">
    <w:pPr>
      <w:pStyle w:val="Header"/>
    </w:pPr>
    <w:r>
      <w:rPr>
        <w:noProof/>
      </w:rPr>
      <w:pict w14:anchorId="125C6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7"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366E" w14:textId="76A62E96" w:rsidR="009B5CE1" w:rsidRDefault="00981422">
    <w:pPr>
      <w:pStyle w:val="Header"/>
    </w:pPr>
    <w:r>
      <w:rPr>
        <w:noProof/>
      </w:rPr>
      <w:pict w14:anchorId="5C565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8375"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540"/>
        </w:tabs>
        <w:ind w:left="900" w:hanging="360"/>
      </w:pPr>
      <w:rPr>
        <w:rFonts w:ascii="Symbol" w:hAnsi="Symbol" w:hint="default"/>
      </w:rPr>
    </w:lvl>
    <w:lvl w:ilvl="2">
      <w:start w:val="1"/>
      <w:numFmt w:val="bullet"/>
      <w:lvlText w:val="o"/>
      <w:lvlJc w:val="left"/>
      <w:pPr>
        <w:tabs>
          <w:tab w:val="num" w:pos="1260"/>
        </w:tabs>
        <w:ind w:left="1620" w:hanging="360"/>
      </w:pPr>
      <w:rPr>
        <w:rFonts w:ascii="Courier New" w:hAnsi="Courier New" w:hint="default"/>
      </w:rPr>
    </w:lvl>
    <w:lvl w:ilvl="3">
      <w:start w:val="1"/>
      <w:numFmt w:val="bullet"/>
      <w:lvlText w:val=""/>
      <w:lvlJc w:val="left"/>
      <w:pPr>
        <w:tabs>
          <w:tab w:val="num" w:pos="1980"/>
        </w:tabs>
        <w:ind w:left="2340" w:hanging="360"/>
      </w:pPr>
      <w:rPr>
        <w:rFonts w:ascii="Wingdings" w:hAnsi="Wingdings" w:hint="default"/>
      </w:rPr>
    </w:lvl>
    <w:lvl w:ilvl="4">
      <w:start w:val="1"/>
      <w:numFmt w:val="bullet"/>
      <w:lvlText w:val=""/>
      <w:lvlJc w:val="left"/>
      <w:pPr>
        <w:tabs>
          <w:tab w:val="num" w:pos="2700"/>
        </w:tabs>
        <w:ind w:left="3060" w:hanging="360"/>
      </w:pPr>
      <w:rPr>
        <w:rFonts w:ascii="Wingdings" w:hAnsi="Wingdings" w:hint="default"/>
      </w:rPr>
    </w:lvl>
    <w:lvl w:ilvl="5">
      <w:start w:val="1"/>
      <w:numFmt w:val="bullet"/>
      <w:lvlText w:val=""/>
      <w:lvlJc w:val="left"/>
      <w:pPr>
        <w:tabs>
          <w:tab w:val="num" w:pos="3420"/>
        </w:tabs>
        <w:ind w:left="3780" w:hanging="360"/>
      </w:pPr>
      <w:rPr>
        <w:rFonts w:ascii="Symbol" w:hAnsi="Symbol" w:hint="default"/>
      </w:rPr>
    </w:lvl>
    <w:lvl w:ilvl="6">
      <w:start w:val="1"/>
      <w:numFmt w:val="bullet"/>
      <w:lvlText w:val="o"/>
      <w:lvlJc w:val="left"/>
      <w:pPr>
        <w:tabs>
          <w:tab w:val="num" w:pos="4140"/>
        </w:tabs>
        <w:ind w:left="4500" w:hanging="360"/>
      </w:pPr>
      <w:rPr>
        <w:rFonts w:ascii="Courier New" w:hAnsi="Courier New" w:hint="default"/>
      </w:rPr>
    </w:lvl>
    <w:lvl w:ilvl="7">
      <w:start w:val="1"/>
      <w:numFmt w:val="bullet"/>
      <w:lvlText w:val=""/>
      <w:lvlJc w:val="left"/>
      <w:pPr>
        <w:tabs>
          <w:tab w:val="num" w:pos="4860"/>
        </w:tabs>
        <w:ind w:left="5220" w:hanging="360"/>
      </w:pPr>
      <w:rPr>
        <w:rFonts w:ascii="Wingdings" w:hAnsi="Wingdings" w:hint="default"/>
      </w:rPr>
    </w:lvl>
    <w:lvl w:ilvl="8">
      <w:start w:val="1"/>
      <w:numFmt w:val="bullet"/>
      <w:lvlText w:val=""/>
      <w:lvlJc w:val="left"/>
      <w:pPr>
        <w:tabs>
          <w:tab w:val="num" w:pos="5580"/>
        </w:tabs>
        <w:ind w:left="594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EE5F91"/>
    <w:multiLevelType w:val="multilevel"/>
    <w:tmpl w:val="0B6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030117"/>
    <w:multiLevelType w:val="multilevel"/>
    <w:tmpl w:val="1F16E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CE4E4A"/>
    <w:multiLevelType w:val="hybridMultilevel"/>
    <w:tmpl w:val="C59C79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3"/>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4"/>
  </w:num>
  <w:num w:numId="31">
    <w:abstractNumId w:val="12"/>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899"/>
    <w:rsid w:val="000049AD"/>
    <w:rsid w:val="0000681B"/>
    <w:rsid w:val="000133C0"/>
    <w:rsid w:val="00014C4E"/>
    <w:rsid w:val="00017107"/>
    <w:rsid w:val="000202E2"/>
    <w:rsid w:val="0002155C"/>
    <w:rsid w:val="00022441"/>
    <w:rsid w:val="0002261E"/>
    <w:rsid w:val="00024839"/>
    <w:rsid w:val="00026871"/>
    <w:rsid w:val="00030E8E"/>
    <w:rsid w:val="00037A98"/>
    <w:rsid w:val="000427FB"/>
    <w:rsid w:val="0004455E"/>
    <w:rsid w:val="00047CB5"/>
    <w:rsid w:val="00051FAA"/>
    <w:rsid w:val="000572A9"/>
    <w:rsid w:val="00061325"/>
    <w:rsid w:val="000733AC"/>
    <w:rsid w:val="00074B81"/>
    <w:rsid w:val="00074D22"/>
    <w:rsid w:val="00075081"/>
    <w:rsid w:val="00075219"/>
    <w:rsid w:val="0007528A"/>
    <w:rsid w:val="000811AB"/>
    <w:rsid w:val="00083C5F"/>
    <w:rsid w:val="0009172C"/>
    <w:rsid w:val="00091EF5"/>
    <w:rsid w:val="000930EC"/>
    <w:rsid w:val="00095E61"/>
    <w:rsid w:val="000966C1"/>
    <w:rsid w:val="000970AC"/>
    <w:rsid w:val="000A1167"/>
    <w:rsid w:val="000A4428"/>
    <w:rsid w:val="000A6736"/>
    <w:rsid w:val="000A6D40"/>
    <w:rsid w:val="000A7BC3"/>
    <w:rsid w:val="000B1661"/>
    <w:rsid w:val="000B2E88"/>
    <w:rsid w:val="000B4603"/>
    <w:rsid w:val="000B6E17"/>
    <w:rsid w:val="000C09BE"/>
    <w:rsid w:val="000C1380"/>
    <w:rsid w:val="000C554F"/>
    <w:rsid w:val="000D0DC5"/>
    <w:rsid w:val="000D111C"/>
    <w:rsid w:val="000D15FF"/>
    <w:rsid w:val="000D28DF"/>
    <w:rsid w:val="000D488B"/>
    <w:rsid w:val="000D68DF"/>
    <w:rsid w:val="000E138D"/>
    <w:rsid w:val="000E187A"/>
    <w:rsid w:val="000E2D61"/>
    <w:rsid w:val="000E450E"/>
    <w:rsid w:val="000E6259"/>
    <w:rsid w:val="000F2B2A"/>
    <w:rsid w:val="000F4677"/>
    <w:rsid w:val="000F5BE0"/>
    <w:rsid w:val="00100587"/>
    <w:rsid w:val="0010284E"/>
    <w:rsid w:val="00103122"/>
    <w:rsid w:val="0010336A"/>
    <w:rsid w:val="001050F1"/>
    <w:rsid w:val="00105AEA"/>
    <w:rsid w:val="00106DAF"/>
    <w:rsid w:val="00114ABE"/>
    <w:rsid w:val="00116023"/>
    <w:rsid w:val="00132BAA"/>
    <w:rsid w:val="00134A51"/>
    <w:rsid w:val="00140727"/>
    <w:rsid w:val="00160628"/>
    <w:rsid w:val="00161344"/>
    <w:rsid w:val="00162195"/>
    <w:rsid w:val="0016322A"/>
    <w:rsid w:val="001650CB"/>
    <w:rsid w:val="00165A21"/>
    <w:rsid w:val="001705CE"/>
    <w:rsid w:val="00175FD7"/>
    <w:rsid w:val="0017714B"/>
    <w:rsid w:val="001804DF"/>
    <w:rsid w:val="00181BDC"/>
    <w:rsid w:val="00181DB0"/>
    <w:rsid w:val="001829E3"/>
    <w:rsid w:val="001904B9"/>
    <w:rsid w:val="001924C0"/>
    <w:rsid w:val="0019731E"/>
    <w:rsid w:val="001A09FE"/>
    <w:rsid w:val="001A1B48"/>
    <w:rsid w:val="001A67C9"/>
    <w:rsid w:val="001A69DE"/>
    <w:rsid w:val="001A713C"/>
    <w:rsid w:val="001B0684"/>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1F6210"/>
    <w:rsid w:val="0020415E"/>
    <w:rsid w:val="00204FF4"/>
    <w:rsid w:val="0021056E"/>
    <w:rsid w:val="0021075D"/>
    <w:rsid w:val="0021165A"/>
    <w:rsid w:val="00211BC9"/>
    <w:rsid w:val="0021620C"/>
    <w:rsid w:val="00216E78"/>
    <w:rsid w:val="00217275"/>
    <w:rsid w:val="0022120B"/>
    <w:rsid w:val="0023100A"/>
    <w:rsid w:val="00236F4B"/>
    <w:rsid w:val="00242B0D"/>
    <w:rsid w:val="00243D54"/>
    <w:rsid w:val="0024419A"/>
    <w:rsid w:val="002467C6"/>
    <w:rsid w:val="0024692A"/>
    <w:rsid w:val="00252BBA"/>
    <w:rsid w:val="00253123"/>
    <w:rsid w:val="00256E3F"/>
    <w:rsid w:val="00264001"/>
    <w:rsid w:val="00266354"/>
    <w:rsid w:val="00267A18"/>
    <w:rsid w:val="00273462"/>
    <w:rsid w:val="0027395B"/>
    <w:rsid w:val="00275854"/>
    <w:rsid w:val="00276CD6"/>
    <w:rsid w:val="002776C6"/>
    <w:rsid w:val="00283B41"/>
    <w:rsid w:val="00285F28"/>
    <w:rsid w:val="00286398"/>
    <w:rsid w:val="002A332D"/>
    <w:rsid w:val="002A3C42"/>
    <w:rsid w:val="002A5D75"/>
    <w:rsid w:val="002B1B1A"/>
    <w:rsid w:val="002B3A5F"/>
    <w:rsid w:val="002B7228"/>
    <w:rsid w:val="002C058E"/>
    <w:rsid w:val="002C53EE"/>
    <w:rsid w:val="002D24F7"/>
    <w:rsid w:val="002D2799"/>
    <w:rsid w:val="002D2CD7"/>
    <w:rsid w:val="002D4DDC"/>
    <w:rsid w:val="002D4F75"/>
    <w:rsid w:val="002D6493"/>
    <w:rsid w:val="002D7AB6"/>
    <w:rsid w:val="002E009B"/>
    <w:rsid w:val="002E06D0"/>
    <w:rsid w:val="002E3C27"/>
    <w:rsid w:val="002E403A"/>
    <w:rsid w:val="002E7F3A"/>
    <w:rsid w:val="002F3EFE"/>
    <w:rsid w:val="002F4EDB"/>
    <w:rsid w:val="002F6054"/>
    <w:rsid w:val="002F6106"/>
    <w:rsid w:val="00315713"/>
    <w:rsid w:val="0031686C"/>
    <w:rsid w:val="00316FE0"/>
    <w:rsid w:val="003204D2"/>
    <w:rsid w:val="00323DE6"/>
    <w:rsid w:val="00325BEC"/>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173B"/>
    <w:rsid w:val="003744A7"/>
    <w:rsid w:val="003756CA"/>
    <w:rsid w:val="00376235"/>
    <w:rsid w:val="00381FB6"/>
    <w:rsid w:val="003836D3"/>
    <w:rsid w:val="00383A52"/>
    <w:rsid w:val="00390829"/>
    <w:rsid w:val="00391652"/>
    <w:rsid w:val="0039507F"/>
    <w:rsid w:val="00396C8E"/>
    <w:rsid w:val="003A1260"/>
    <w:rsid w:val="003A295F"/>
    <w:rsid w:val="003A41DD"/>
    <w:rsid w:val="003A7033"/>
    <w:rsid w:val="003B47FE"/>
    <w:rsid w:val="003B5673"/>
    <w:rsid w:val="003B62C9"/>
    <w:rsid w:val="003B7FCE"/>
    <w:rsid w:val="003C3537"/>
    <w:rsid w:val="003C7176"/>
    <w:rsid w:val="003D0929"/>
    <w:rsid w:val="003D4729"/>
    <w:rsid w:val="003D490D"/>
    <w:rsid w:val="003D7DD6"/>
    <w:rsid w:val="003E2ED2"/>
    <w:rsid w:val="003E5AAF"/>
    <w:rsid w:val="003E600D"/>
    <w:rsid w:val="003E64DF"/>
    <w:rsid w:val="003E6A5D"/>
    <w:rsid w:val="003F193A"/>
    <w:rsid w:val="003F4207"/>
    <w:rsid w:val="003F5C46"/>
    <w:rsid w:val="003F6326"/>
    <w:rsid w:val="003F7CBB"/>
    <w:rsid w:val="003F7D34"/>
    <w:rsid w:val="00403A3F"/>
    <w:rsid w:val="0040711C"/>
    <w:rsid w:val="00412C8E"/>
    <w:rsid w:val="0041518D"/>
    <w:rsid w:val="00420C8F"/>
    <w:rsid w:val="0042221D"/>
    <w:rsid w:val="00424DD3"/>
    <w:rsid w:val="004269C5"/>
    <w:rsid w:val="004319C8"/>
    <w:rsid w:val="00435939"/>
    <w:rsid w:val="0043723A"/>
    <w:rsid w:val="00437CC7"/>
    <w:rsid w:val="00442B9C"/>
    <w:rsid w:val="00445EFA"/>
    <w:rsid w:val="0044738A"/>
    <w:rsid w:val="004473D3"/>
    <w:rsid w:val="00452231"/>
    <w:rsid w:val="00460C13"/>
    <w:rsid w:val="00463228"/>
    <w:rsid w:val="00463782"/>
    <w:rsid w:val="004667E0"/>
    <w:rsid w:val="00466A3F"/>
    <w:rsid w:val="0046760E"/>
    <w:rsid w:val="00470E10"/>
    <w:rsid w:val="00477A97"/>
    <w:rsid w:val="00481343"/>
    <w:rsid w:val="0048452D"/>
    <w:rsid w:val="0048549E"/>
    <w:rsid w:val="00486060"/>
    <w:rsid w:val="00493347"/>
    <w:rsid w:val="00493445"/>
    <w:rsid w:val="00496092"/>
    <w:rsid w:val="004A08DB"/>
    <w:rsid w:val="004A25D0"/>
    <w:rsid w:val="004A37E8"/>
    <w:rsid w:val="004A7549"/>
    <w:rsid w:val="004B09D4"/>
    <w:rsid w:val="004B309D"/>
    <w:rsid w:val="004B319C"/>
    <w:rsid w:val="004B330A"/>
    <w:rsid w:val="004B7C8E"/>
    <w:rsid w:val="004C3D3C"/>
    <w:rsid w:val="004D0EDC"/>
    <w:rsid w:val="004D1220"/>
    <w:rsid w:val="004D14B3"/>
    <w:rsid w:val="004D1529"/>
    <w:rsid w:val="004D2253"/>
    <w:rsid w:val="004D5514"/>
    <w:rsid w:val="004D56C3"/>
    <w:rsid w:val="004D7841"/>
    <w:rsid w:val="004E0338"/>
    <w:rsid w:val="004E4FF3"/>
    <w:rsid w:val="004E56A8"/>
    <w:rsid w:val="004F3B55"/>
    <w:rsid w:val="004F4E46"/>
    <w:rsid w:val="004F6B7D"/>
    <w:rsid w:val="005015F6"/>
    <w:rsid w:val="005030C4"/>
    <w:rsid w:val="005031C5"/>
    <w:rsid w:val="00504FDC"/>
    <w:rsid w:val="005120CC"/>
    <w:rsid w:val="00512B7B"/>
    <w:rsid w:val="00512BFE"/>
    <w:rsid w:val="00514EA1"/>
    <w:rsid w:val="0051798B"/>
    <w:rsid w:val="00520432"/>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2E6F"/>
    <w:rsid w:val="0056321A"/>
    <w:rsid w:val="00563A35"/>
    <w:rsid w:val="00566596"/>
    <w:rsid w:val="005741E9"/>
    <w:rsid w:val="005748CF"/>
    <w:rsid w:val="005800D6"/>
    <w:rsid w:val="00584270"/>
    <w:rsid w:val="00584738"/>
    <w:rsid w:val="005908B3"/>
    <w:rsid w:val="005920B0"/>
    <w:rsid w:val="0059380D"/>
    <w:rsid w:val="00595A8F"/>
    <w:rsid w:val="005977C2"/>
    <w:rsid w:val="00597BF2"/>
    <w:rsid w:val="005A2939"/>
    <w:rsid w:val="005B134E"/>
    <w:rsid w:val="005B2039"/>
    <w:rsid w:val="005B344F"/>
    <w:rsid w:val="005B3FBA"/>
    <w:rsid w:val="005B47B3"/>
    <w:rsid w:val="005B4A1D"/>
    <w:rsid w:val="005B674D"/>
    <w:rsid w:val="005C0CBE"/>
    <w:rsid w:val="005C1FCF"/>
    <w:rsid w:val="005D1885"/>
    <w:rsid w:val="005D4A38"/>
    <w:rsid w:val="005D7894"/>
    <w:rsid w:val="005E2EEA"/>
    <w:rsid w:val="005E3708"/>
    <w:rsid w:val="005E3CCD"/>
    <w:rsid w:val="005E3D6B"/>
    <w:rsid w:val="005E5B55"/>
    <w:rsid w:val="005E5E4A"/>
    <w:rsid w:val="005E693D"/>
    <w:rsid w:val="005E75BF"/>
    <w:rsid w:val="005F57BA"/>
    <w:rsid w:val="005F61E6"/>
    <w:rsid w:val="005F6C45"/>
    <w:rsid w:val="005F6E9D"/>
    <w:rsid w:val="00605A69"/>
    <w:rsid w:val="00606C54"/>
    <w:rsid w:val="00614375"/>
    <w:rsid w:val="00615B0A"/>
    <w:rsid w:val="006168CF"/>
    <w:rsid w:val="0062011B"/>
    <w:rsid w:val="0062234F"/>
    <w:rsid w:val="00624095"/>
    <w:rsid w:val="00626DE0"/>
    <w:rsid w:val="00630901"/>
    <w:rsid w:val="00631F8E"/>
    <w:rsid w:val="00634053"/>
    <w:rsid w:val="00634E26"/>
    <w:rsid w:val="00636EE9"/>
    <w:rsid w:val="00637E39"/>
    <w:rsid w:val="00640950"/>
    <w:rsid w:val="00641AE7"/>
    <w:rsid w:val="00642629"/>
    <w:rsid w:val="00646759"/>
    <w:rsid w:val="0065293D"/>
    <w:rsid w:val="00653EFC"/>
    <w:rsid w:val="00654021"/>
    <w:rsid w:val="00661045"/>
    <w:rsid w:val="00666DA8"/>
    <w:rsid w:val="00671057"/>
    <w:rsid w:val="00675AAF"/>
    <w:rsid w:val="0068031A"/>
    <w:rsid w:val="00681B2F"/>
    <w:rsid w:val="0068335F"/>
    <w:rsid w:val="00685CF9"/>
    <w:rsid w:val="006866CC"/>
    <w:rsid w:val="00687217"/>
    <w:rsid w:val="00693302"/>
    <w:rsid w:val="00694C44"/>
    <w:rsid w:val="0069640B"/>
    <w:rsid w:val="0069666C"/>
    <w:rsid w:val="006A1B83"/>
    <w:rsid w:val="006A21CD"/>
    <w:rsid w:val="006A2B12"/>
    <w:rsid w:val="006A5918"/>
    <w:rsid w:val="006B21B2"/>
    <w:rsid w:val="006B4A4A"/>
    <w:rsid w:val="006B6716"/>
    <w:rsid w:val="006C19B2"/>
    <w:rsid w:val="006C5BB8"/>
    <w:rsid w:val="006C6936"/>
    <w:rsid w:val="006C7B01"/>
    <w:rsid w:val="006D0FE8"/>
    <w:rsid w:val="006D11E5"/>
    <w:rsid w:val="006D3329"/>
    <w:rsid w:val="006D4B2B"/>
    <w:rsid w:val="006D4F3C"/>
    <w:rsid w:val="006D5C66"/>
    <w:rsid w:val="006D6C15"/>
    <w:rsid w:val="006E1B3C"/>
    <w:rsid w:val="006E23FB"/>
    <w:rsid w:val="006E325A"/>
    <w:rsid w:val="006E33EC"/>
    <w:rsid w:val="006E3802"/>
    <w:rsid w:val="006E3DCF"/>
    <w:rsid w:val="006E6C02"/>
    <w:rsid w:val="006F157A"/>
    <w:rsid w:val="006F231A"/>
    <w:rsid w:val="006F51CA"/>
    <w:rsid w:val="006F6B55"/>
    <w:rsid w:val="006F6F14"/>
    <w:rsid w:val="006F788D"/>
    <w:rsid w:val="006F78E1"/>
    <w:rsid w:val="00701072"/>
    <w:rsid w:val="00702054"/>
    <w:rsid w:val="007035A4"/>
    <w:rsid w:val="00703A0E"/>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0E0"/>
    <w:rsid w:val="0076413B"/>
    <w:rsid w:val="00764833"/>
    <w:rsid w:val="007648AE"/>
    <w:rsid w:val="00764BF8"/>
    <w:rsid w:val="0076514D"/>
    <w:rsid w:val="00773D59"/>
    <w:rsid w:val="007766FD"/>
    <w:rsid w:val="00780B0B"/>
    <w:rsid w:val="00780ECF"/>
    <w:rsid w:val="00781003"/>
    <w:rsid w:val="007911FD"/>
    <w:rsid w:val="00793930"/>
    <w:rsid w:val="00793C71"/>
    <w:rsid w:val="00793DD1"/>
    <w:rsid w:val="00794FEC"/>
    <w:rsid w:val="007A003E"/>
    <w:rsid w:val="007A1965"/>
    <w:rsid w:val="007A2ED1"/>
    <w:rsid w:val="007A4BE6"/>
    <w:rsid w:val="007B0DC6"/>
    <w:rsid w:val="007B1094"/>
    <w:rsid w:val="007B1762"/>
    <w:rsid w:val="007B3320"/>
    <w:rsid w:val="007B4426"/>
    <w:rsid w:val="007C301F"/>
    <w:rsid w:val="007C4540"/>
    <w:rsid w:val="007C65AF"/>
    <w:rsid w:val="007D135D"/>
    <w:rsid w:val="007D412E"/>
    <w:rsid w:val="007D730F"/>
    <w:rsid w:val="007D7CD8"/>
    <w:rsid w:val="007E3AA7"/>
    <w:rsid w:val="007F6140"/>
    <w:rsid w:val="007F737D"/>
    <w:rsid w:val="0080308E"/>
    <w:rsid w:val="00805303"/>
    <w:rsid w:val="00806705"/>
    <w:rsid w:val="00806738"/>
    <w:rsid w:val="00811BF6"/>
    <w:rsid w:val="00815906"/>
    <w:rsid w:val="008205CA"/>
    <w:rsid w:val="008216D5"/>
    <w:rsid w:val="008249CE"/>
    <w:rsid w:val="00831A50"/>
    <w:rsid w:val="00831B3C"/>
    <w:rsid w:val="00831C89"/>
    <w:rsid w:val="00832114"/>
    <w:rsid w:val="00834C46"/>
    <w:rsid w:val="00840199"/>
    <w:rsid w:val="0084093E"/>
    <w:rsid w:val="00841B18"/>
    <w:rsid w:val="00841CE1"/>
    <w:rsid w:val="008463A0"/>
    <w:rsid w:val="008473D8"/>
    <w:rsid w:val="00852876"/>
    <w:rsid w:val="008528DC"/>
    <w:rsid w:val="00852B8C"/>
    <w:rsid w:val="00854981"/>
    <w:rsid w:val="00860B7D"/>
    <w:rsid w:val="00862712"/>
    <w:rsid w:val="00864B2E"/>
    <w:rsid w:val="00865963"/>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97522"/>
    <w:rsid w:val="008A1049"/>
    <w:rsid w:val="008A1C98"/>
    <w:rsid w:val="008A322D"/>
    <w:rsid w:val="008A3708"/>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4105"/>
    <w:rsid w:val="009262C9"/>
    <w:rsid w:val="00930EB9"/>
    <w:rsid w:val="00933DC7"/>
    <w:rsid w:val="00936DEB"/>
    <w:rsid w:val="009418F4"/>
    <w:rsid w:val="00942BBC"/>
    <w:rsid w:val="00944180"/>
    <w:rsid w:val="00944AA0"/>
    <w:rsid w:val="00947DA2"/>
    <w:rsid w:val="00951177"/>
    <w:rsid w:val="009673E8"/>
    <w:rsid w:val="0097037B"/>
    <w:rsid w:val="00974DB8"/>
    <w:rsid w:val="00975D8D"/>
    <w:rsid w:val="00980661"/>
    <w:rsid w:val="0098093B"/>
    <w:rsid w:val="00981422"/>
    <w:rsid w:val="009876D4"/>
    <w:rsid w:val="009914A5"/>
    <w:rsid w:val="009916F7"/>
    <w:rsid w:val="0099548E"/>
    <w:rsid w:val="00996456"/>
    <w:rsid w:val="00996A12"/>
    <w:rsid w:val="00997B0F"/>
    <w:rsid w:val="009A1CAD"/>
    <w:rsid w:val="009A3440"/>
    <w:rsid w:val="009A5832"/>
    <w:rsid w:val="009A6838"/>
    <w:rsid w:val="009B24B5"/>
    <w:rsid w:val="009B4EBC"/>
    <w:rsid w:val="009B5ABB"/>
    <w:rsid w:val="009B5CE1"/>
    <w:rsid w:val="009B73CE"/>
    <w:rsid w:val="009C2461"/>
    <w:rsid w:val="009C4771"/>
    <w:rsid w:val="009C6FE2"/>
    <w:rsid w:val="009C7674"/>
    <w:rsid w:val="009D004A"/>
    <w:rsid w:val="009D5880"/>
    <w:rsid w:val="009E0638"/>
    <w:rsid w:val="009E1FD4"/>
    <w:rsid w:val="009E3B07"/>
    <w:rsid w:val="009E51D1"/>
    <w:rsid w:val="009E5531"/>
    <w:rsid w:val="009F13CF"/>
    <w:rsid w:val="009F171E"/>
    <w:rsid w:val="009F23C1"/>
    <w:rsid w:val="009F3D2F"/>
    <w:rsid w:val="009F7052"/>
    <w:rsid w:val="00A02668"/>
    <w:rsid w:val="00A02801"/>
    <w:rsid w:val="00A06A39"/>
    <w:rsid w:val="00A07F58"/>
    <w:rsid w:val="00A12304"/>
    <w:rsid w:val="00A129BF"/>
    <w:rsid w:val="00A131CB"/>
    <w:rsid w:val="00A14847"/>
    <w:rsid w:val="00A16D6D"/>
    <w:rsid w:val="00A16F98"/>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66F17"/>
    <w:rsid w:val="00A71361"/>
    <w:rsid w:val="00A746E2"/>
    <w:rsid w:val="00A77E1C"/>
    <w:rsid w:val="00A81FF2"/>
    <w:rsid w:val="00A83904"/>
    <w:rsid w:val="00A90A79"/>
    <w:rsid w:val="00A96B30"/>
    <w:rsid w:val="00AA59B5"/>
    <w:rsid w:val="00AA7777"/>
    <w:rsid w:val="00AA7B84"/>
    <w:rsid w:val="00AB6C3C"/>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0F8E"/>
    <w:rsid w:val="00B024B9"/>
    <w:rsid w:val="00B04A6D"/>
    <w:rsid w:val="00B077FA"/>
    <w:rsid w:val="00B127D7"/>
    <w:rsid w:val="00B13B0C"/>
    <w:rsid w:val="00B1453A"/>
    <w:rsid w:val="00B16065"/>
    <w:rsid w:val="00B20F82"/>
    <w:rsid w:val="00B23458"/>
    <w:rsid w:val="00B25BD5"/>
    <w:rsid w:val="00B31ED8"/>
    <w:rsid w:val="00B34079"/>
    <w:rsid w:val="00B3793A"/>
    <w:rsid w:val="00B401BA"/>
    <w:rsid w:val="00B407E4"/>
    <w:rsid w:val="00B425B6"/>
    <w:rsid w:val="00B42A09"/>
    <w:rsid w:val="00B42A72"/>
    <w:rsid w:val="00B441AE"/>
    <w:rsid w:val="00B45A65"/>
    <w:rsid w:val="00B45F33"/>
    <w:rsid w:val="00B46D50"/>
    <w:rsid w:val="00B53170"/>
    <w:rsid w:val="00B53BD7"/>
    <w:rsid w:val="00B548B9"/>
    <w:rsid w:val="00B62999"/>
    <w:rsid w:val="00B63BE3"/>
    <w:rsid w:val="00B64885"/>
    <w:rsid w:val="00B66810"/>
    <w:rsid w:val="00B706B9"/>
    <w:rsid w:val="00B71AD3"/>
    <w:rsid w:val="00B72BE3"/>
    <w:rsid w:val="00B73B80"/>
    <w:rsid w:val="00B770C7"/>
    <w:rsid w:val="00B80F26"/>
    <w:rsid w:val="00B822BD"/>
    <w:rsid w:val="00B842F4"/>
    <w:rsid w:val="00B84EFC"/>
    <w:rsid w:val="00B91A7B"/>
    <w:rsid w:val="00B929DD"/>
    <w:rsid w:val="00B93AF6"/>
    <w:rsid w:val="00B95405"/>
    <w:rsid w:val="00B963F1"/>
    <w:rsid w:val="00BA020A"/>
    <w:rsid w:val="00BA0681"/>
    <w:rsid w:val="00BB02A4"/>
    <w:rsid w:val="00BB1270"/>
    <w:rsid w:val="00BB1E44"/>
    <w:rsid w:val="00BB5267"/>
    <w:rsid w:val="00BB52B8"/>
    <w:rsid w:val="00BB59D8"/>
    <w:rsid w:val="00BB7E69"/>
    <w:rsid w:val="00BC0E51"/>
    <w:rsid w:val="00BC3A7F"/>
    <w:rsid w:val="00BC3C1F"/>
    <w:rsid w:val="00BC7CE7"/>
    <w:rsid w:val="00BD295E"/>
    <w:rsid w:val="00BD4664"/>
    <w:rsid w:val="00BE1193"/>
    <w:rsid w:val="00BE337B"/>
    <w:rsid w:val="00BF4849"/>
    <w:rsid w:val="00BF4EA7"/>
    <w:rsid w:val="00C00EDB"/>
    <w:rsid w:val="00C02863"/>
    <w:rsid w:val="00C0383A"/>
    <w:rsid w:val="00C0453E"/>
    <w:rsid w:val="00C067FF"/>
    <w:rsid w:val="00C079E4"/>
    <w:rsid w:val="00C12862"/>
    <w:rsid w:val="00C13D28"/>
    <w:rsid w:val="00C14585"/>
    <w:rsid w:val="00C165A0"/>
    <w:rsid w:val="00C216CE"/>
    <w:rsid w:val="00C2184F"/>
    <w:rsid w:val="00C22A78"/>
    <w:rsid w:val="00C23C7E"/>
    <w:rsid w:val="00C246C5"/>
    <w:rsid w:val="00C25A82"/>
    <w:rsid w:val="00C30A2A"/>
    <w:rsid w:val="00C33993"/>
    <w:rsid w:val="00C372F5"/>
    <w:rsid w:val="00C400D3"/>
    <w:rsid w:val="00C4069E"/>
    <w:rsid w:val="00C41ADC"/>
    <w:rsid w:val="00C44149"/>
    <w:rsid w:val="00C44410"/>
    <w:rsid w:val="00C44A15"/>
    <w:rsid w:val="00C4630A"/>
    <w:rsid w:val="00C523F0"/>
    <w:rsid w:val="00C526D2"/>
    <w:rsid w:val="00C53A91"/>
    <w:rsid w:val="00C57107"/>
    <w:rsid w:val="00C5794E"/>
    <w:rsid w:val="00C60968"/>
    <w:rsid w:val="00C63294"/>
    <w:rsid w:val="00C63D39"/>
    <w:rsid w:val="00C63EDD"/>
    <w:rsid w:val="00C65B36"/>
    <w:rsid w:val="00C70D7B"/>
    <w:rsid w:val="00C7292E"/>
    <w:rsid w:val="00C74E88"/>
    <w:rsid w:val="00C80924"/>
    <w:rsid w:val="00C8286B"/>
    <w:rsid w:val="00C947F8"/>
    <w:rsid w:val="00C9515F"/>
    <w:rsid w:val="00C96022"/>
    <w:rsid w:val="00C963C5"/>
    <w:rsid w:val="00CA030C"/>
    <w:rsid w:val="00CA1F41"/>
    <w:rsid w:val="00CA2500"/>
    <w:rsid w:val="00CA32EE"/>
    <w:rsid w:val="00CA5771"/>
    <w:rsid w:val="00CA6A1A"/>
    <w:rsid w:val="00CC1E75"/>
    <w:rsid w:val="00CC2E0E"/>
    <w:rsid w:val="00CC361C"/>
    <w:rsid w:val="00CC474B"/>
    <w:rsid w:val="00CC658C"/>
    <w:rsid w:val="00CC67BF"/>
    <w:rsid w:val="00CC79AF"/>
    <w:rsid w:val="00CD0843"/>
    <w:rsid w:val="00CD3DA7"/>
    <w:rsid w:val="00CD5A78"/>
    <w:rsid w:val="00CD7345"/>
    <w:rsid w:val="00CE1DA1"/>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63E"/>
    <w:rsid w:val="00D24B4A"/>
    <w:rsid w:val="00D254C4"/>
    <w:rsid w:val="00D33690"/>
    <w:rsid w:val="00D35169"/>
    <w:rsid w:val="00D379A3"/>
    <w:rsid w:val="00D45FF3"/>
    <w:rsid w:val="00D512CF"/>
    <w:rsid w:val="00D528B9"/>
    <w:rsid w:val="00D53186"/>
    <w:rsid w:val="00D53C21"/>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635F"/>
    <w:rsid w:val="00DE7BEA"/>
    <w:rsid w:val="00DF0230"/>
    <w:rsid w:val="00DF5B84"/>
    <w:rsid w:val="00DF6D5B"/>
    <w:rsid w:val="00DF6F49"/>
    <w:rsid w:val="00DF771B"/>
    <w:rsid w:val="00DF7EE2"/>
    <w:rsid w:val="00E01BAA"/>
    <w:rsid w:val="00E0282A"/>
    <w:rsid w:val="00E02F9B"/>
    <w:rsid w:val="00E07E14"/>
    <w:rsid w:val="00E07E2D"/>
    <w:rsid w:val="00E132CC"/>
    <w:rsid w:val="00E14F94"/>
    <w:rsid w:val="00E17336"/>
    <w:rsid w:val="00E17D15"/>
    <w:rsid w:val="00E22B95"/>
    <w:rsid w:val="00E24724"/>
    <w:rsid w:val="00E25C84"/>
    <w:rsid w:val="00E30331"/>
    <w:rsid w:val="00E30BB8"/>
    <w:rsid w:val="00E31F9C"/>
    <w:rsid w:val="00E40488"/>
    <w:rsid w:val="00E45D4A"/>
    <w:rsid w:val="00E50367"/>
    <w:rsid w:val="00E51ABA"/>
    <w:rsid w:val="00E524CB"/>
    <w:rsid w:val="00E65456"/>
    <w:rsid w:val="00E65A91"/>
    <w:rsid w:val="00E66188"/>
    <w:rsid w:val="00E664FB"/>
    <w:rsid w:val="00E66FCF"/>
    <w:rsid w:val="00E672F0"/>
    <w:rsid w:val="00E70373"/>
    <w:rsid w:val="00E72E40"/>
    <w:rsid w:val="00E73665"/>
    <w:rsid w:val="00E736E5"/>
    <w:rsid w:val="00E73999"/>
    <w:rsid w:val="00E73BDC"/>
    <w:rsid w:val="00E73E9E"/>
    <w:rsid w:val="00E81660"/>
    <w:rsid w:val="00E854FE"/>
    <w:rsid w:val="00E906CC"/>
    <w:rsid w:val="00E911B9"/>
    <w:rsid w:val="00E9277F"/>
    <w:rsid w:val="00E939A0"/>
    <w:rsid w:val="00E97E4E"/>
    <w:rsid w:val="00EA0FDF"/>
    <w:rsid w:val="00EA1CC2"/>
    <w:rsid w:val="00EA2D76"/>
    <w:rsid w:val="00EA4644"/>
    <w:rsid w:val="00EA6EED"/>
    <w:rsid w:val="00EA758A"/>
    <w:rsid w:val="00EB096F"/>
    <w:rsid w:val="00EB199F"/>
    <w:rsid w:val="00EB27C4"/>
    <w:rsid w:val="00EB5387"/>
    <w:rsid w:val="00EB5C10"/>
    <w:rsid w:val="00EB7322"/>
    <w:rsid w:val="00EC0FE9"/>
    <w:rsid w:val="00EC198B"/>
    <w:rsid w:val="00EC426D"/>
    <w:rsid w:val="00EC571B"/>
    <w:rsid w:val="00EC57D7"/>
    <w:rsid w:val="00EC6385"/>
    <w:rsid w:val="00ED03A4"/>
    <w:rsid w:val="00ED1DE9"/>
    <w:rsid w:val="00ED23D4"/>
    <w:rsid w:val="00ED5E0B"/>
    <w:rsid w:val="00EE37B6"/>
    <w:rsid w:val="00EE3AD6"/>
    <w:rsid w:val="00EF0F45"/>
    <w:rsid w:val="00EF7463"/>
    <w:rsid w:val="00F002EF"/>
    <w:rsid w:val="00F00C6E"/>
    <w:rsid w:val="00F01EE9"/>
    <w:rsid w:val="00F04900"/>
    <w:rsid w:val="00F0497B"/>
    <w:rsid w:val="00F05CC2"/>
    <w:rsid w:val="00F065A4"/>
    <w:rsid w:val="00F126B9"/>
    <w:rsid w:val="00F12715"/>
    <w:rsid w:val="00F13CCC"/>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40E2"/>
    <w:rsid w:val="00F64DD2"/>
    <w:rsid w:val="00F65DD4"/>
    <w:rsid w:val="00F672B2"/>
    <w:rsid w:val="00F70764"/>
    <w:rsid w:val="00F83973"/>
    <w:rsid w:val="00F87FA3"/>
    <w:rsid w:val="00F93D8C"/>
    <w:rsid w:val="00FA3102"/>
    <w:rsid w:val="00FA48D4"/>
    <w:rsid w:val="00FA54FA"/>
    <w:rsid w:val="00FA6D39"/>
    <w:rsid w:val="00FB227E"/>
    <w:rsid w:val="00FB3D61"/>
    <w:rsid w:val="00FB44CE"/>
    <w:rsid w:val="00FB5009"/>
    <w:rsid w:val="00FB76AB"/>
    <w:rsid w:val="00FC0987"/>
    <w:rsid w:val="00FC5981"/>
    <w:rsid w:val="00FD03FE"/>
    <w:rsid w:val="00FD126E"/>
    <w:rsid w:val="00FD3C36"/>
    <w:rsid w:val="00FD4D81"/>
    <w:rsid w:val="00FD4E66"/>
    <w:rsid w:val="00FD61B8"/>
    <w:rsid w:val="00FD7498"/>
    <w:rsid w:val="00FD7FB3"/>
    <w:rsid w:val="00FE1DE7"/>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842BCF"/>
  <w15:chartTrackingRefBased/>
  <w15:docId w15:val="{6B882865-2DB2-4BB7-B52A-3D5A101C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lang w:val="en-GB" w:eastAsia="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rsid w:val="00852876"/>
    <w:rPr>
      <w:color w:val="0563C1"/>
      <w:u w:val="single"/>
    </w:rPr>
  </w:style>
  <w:style w:type="character" w:styleId="UnresolvedMention">
    <w:name w:val="Unresolved Mention"/>
    <w:uiPriority w:val="99"/>
    <w:semiHidden/>
    <w:unhideWhenUsed/>
    <w:rsid w:val="00852876"/>
    <w:rPr>
      <w:color w:val="605E5C"/>
      <w:shd w:val="clear" w:color="auto" w:fill="E1DFDD"/>
    </w:rPr>
  </w:style>
  <w:style w:type="paragraph" w:styleId="ListParagraph">
    <w:name w:val="List Paragraph"/>
    <w:basedOn w:val="Normal"/>
    <w:rsid w:val="002776C6"/>
    <w:pPr>
      <w:ind w:left="720"/>
      <w:contextualSpacing/>
    </w:pPr>
  </w:style>
  <w:style w:type="table" w:styleId="TableGrid">
    <w:name w:val="Table Grid"/>
    <w:basedOn w:val="TableNormal"/>
    <w:uiPriority w:val="39"/>
    <w:rsid w:val="009E0638"/>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795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23379112">
      <w:bodyDiv w:val="1"/>
      <w:marLeft w:val="0"/>
      <w:marRight w:val="0"/>
      <w:marTop w:val="0"/>
      <w:marBottom w:val="0"/>
      <w:divBdr>
        <w:top w:val="none" w:sz="0" w:space="0" w:color="auto"/>
        <w:left w:val="none" w:sz="0" w:space="0" w:color="auto"/>
        <w:bottom w:val="none" w:sz="0" w:space="0" w:color="auto"/>
        <w:right w:val="none" w:sz="0" w:space="0" w:color="auto"/>
      </w:divBdr>
    </w:div>
    <w:div w:id="17209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17-8706-2_8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ul\AppData\Local\Temp\4389a42e-1880-42c6-9fcf-df05f10d1eed_TF_Template_Word_Windows_2003%20(1).zip.eed\TF_Template_Word_Windows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B6D5-BF6A-4D5E-9225-86ECB0C8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TF_Template_Word_Windows_2003</Template>
  <TotalTime>10</TotalTime>
  <Pages>23</Pages>
  <Words>8059</Words>
  <Characters>45939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TF_Template_Word_Windows_2003</vt:lpstr>
    </vt:vector>
  </TitlesOfParts>
  <Manager/>
  <Company/>
  <LinksUpToDate>false</LinksUpToDate>
  <CharactersWithSpaces>53891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TF_Template_Word_Windows_2003</dc:title>
  <dc:subject/>
  <dc:creator>Gayathri</dc:creator>
  <cp:keywords/>
  <dc:description/>
  <cp:lastModifiedBy>SDI 1019</cp:lastModifiedBy>
  <cp:revision>8</cp:revision>
  <cp:lastPrinted>2011-07-22T10:24:00Z</cp:lastPrinted>
  <dcterms:created xsi:type="dcterms:W3CDTF">2026-01-16T07:15:00Z</dcterms:created>
  <dcterms:modified xsi:type="dcterms:W3CDTF">2026-01-27T11:41:00Z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d8cd4e1c-a5d7-4b49-9d73-1feed2dc6dfe</vt:lpwstr>
  </property>
</Properties>
</file>