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F0058" w14:textId="412125A5" w:rsidR="004150A4" w:rsidRDefault="004150A4" w:rsidP="004150A4">
      <w:pPr>
        <w:shd w:val="clear" w:color="auto" w:fill="FFFFFF"/>
        <w:spacing w:before="240" w:after="240" w:line="240" w:lineRule="auto"/>
        <w:rPr>
          <w:rFonts w:eastAsia="Times New Roman"/>
          <w:b/>
          <w:bCs/>
          <w:sz w:val="24"/>
          <w:szCs w:val="24"/>
          <w:lang w:eastAsia="tr-TR"/>
        </w:rPr>
      </w:pPr>
      <w:bookmarkStart w:id="0" w:name="_GoBack"/>
      <w:bookmarkEnd w:id="0"/>
    </w:p>
    <w:p w14:paraId="4E3E638B" w14:textId="20868044" w:rsidR="00141F65" w:rsidRDefault="00141F65" w:rsidP="00141F65">
      <w:pPr>
        <w:jc w:val="center"/>
        <w:rPr>
          <w:b/>
          <w:bCs/>
        </w:rPr>
      </w:pPr>
      <w:r w:rsidRPr="00141F65">
        <w:rPr>
          <w:b/>
          <w:bCs/>
        </w:rPr>
        <w:t>STRUCTURAL ANALYSIS OF TURKISH AGRICULTURE: REGIONAL PROFILES, CONCENTRATION, AND CHANGE TRENDS (2015-2024)</w:t>
      </w:r>
    </w:p>
    <w:p w14:paraId="62F3793B" w14:textId="317EC60B" w:rsidR="00BB4238" w:rsidRDefault="00BB4238" w:rsidP="00141F65">
      <w:pPr>
        <w:jc w:val="center"/>
        <w:rPr>
          <w:b/>
          <w:bCs/>
        </w:rPr>
      </w:pPr>
    </w:p>
    <w:p w14:paraId="67806644" w14:textId="77777777" w:rsidR="00BB4238" w:rsidRDefault="00BB4238" w:rsidP="00BB4238">
      <w:pPr>
        <w:rPr>
          <w:b/>
          <w:bCs/>
        </w:rPr>
      </w:pPr>
    </w:p>
    <w:p w14:paraId="19FE57BD" w14:textId="77777777" w:rsidR="005C449C" w:rsidRDefault="005C449C" w:rsidP="00141F65">
      <w:pPr>
        <w:jc w:val="center"/>
        <w:rPr>
          <w:b/>
          <w:bCs/>
        </w:rPr>
      </w:pPr>
    </w:p>
    <w:p w14:paraId="11D70D38" w14:textId="4DCB4D2A" w:rsidR="005C449C" w:rsidRPr="00767DDE" w:rsidRDefault="00014C12" w:rsidP="00014C12">
      <w:pPr>
        <w:spacing w:after="0" w:line="240" w:lineRule="auto"/>
        <w:rPr>
          <w:b/>
          <w:bCs/>
          <w:sz w:val="20"/>
          <w:szCs w:val="20"/>
          <w:highlight w:val="yellow"/>
        </w:rPr>
      </w:pPr>
      <w:r w:rsidRPr="00767DDE">
        <w:rPr>
          <w:b/>
          <w:bCs/>
          <w:sz w:val="20"/>
          <w:szCs w:val="20"/>
          <w:highlight w:val="yellow"/>
        </w:rPr>
        <w:t>ABSTRACT</w:t>
      </w:r>
    </w:p>
    <w:p w14:paraId="39769255" w14:textId="6B422DAC" w:rsidR="007C53B5" w:rsidRPr="00767DDE" w:rsidRDefault="007C53B5" w:rsidP="007C53B5">
      <w:pPr>
        <w:jc w:val="both"/>
        <w:rPr>
          <w:highlight w:val="yellow"/>
        </w:rPr>
      </w:pPr>
      <w:r w:rsidRPr="00767DDE">
        <w:rPr>
          <w:highlight w:val="yellow"/>
        </w:rPr>
        <w:t>This study examines the structural transformation of Turkish agriculture at the regional level during the 2015–2024 period. Utilizing two principal analytical tools</w:t>
      </w:r>
      <w:r w:rsidR="00FB385C">
        <w:rPr>
          <w:highlight w:val="yellow"/>
        </w:rPr>
        <w:t>-</w:t>
      </w:r>
      <w:r w:rsidRPr="00767DDE">
        <w:rPr>
          <w:highlight w:val="yellow"/>
        </w:rPr>
        <w:t>regional concentration ratios (CR₃) and regional crop pattern profiles</w:t>
      </w:r>
      <w:r w:rsidR="00FB385C">
        <w:rPr>
          <w:highlight w:val="yellow"/>
        </w:rPr>
        <w:t>-</w:t>
      </w:r>
      <w:r w:rsidRPr="00767DDE">
        <w:rPr>
          <w:highlight w:val="yellow"/>
        </w:rPr>
        <w:t>the research investigates spatial specialization, product clustering, and temporal shifts in land use. Findings indicate that high-value-added products such as ornamental plants exhibit extreme geographical concentration (92.7%) due to market proximity and logistical advantages, whereas staple crops like cereals and vegetables demonstrate a more balanced national distribution (40%). Over the decade, a significant reduction in fallow areas (–6.2 percentage points) and a notable expansion of fruit cultivation (+2.1 percentage points) underscore a shift toward intensification and market-oriented production. However, this transformation exerts mounting pressure on water resources and soil health, particularly in arid regions. The study concludes with evidence-based policy recommendations emphasizing smart specialization, sustainable intensification, and climate-resilient planning to harmonize productivity gains with ecological boundaries.</w:t>
      </w:r>
    </w:p>
    <w:p w14:paraId="14D88DD7" w14:textId="5AF896BE" w:rsidR="007C53B5" w:rsidRPr="007C53B5" w:rsidRDefault="007C53B5" w:rsidP="007C53B5">
      <w:pPr>
        <w:jc w:val="both"/>
      </w:pPr>
      <w:r w:rsidRPr="00767DDE">
        <w:rPr>
          <w:b/>
          <w:bCs/>
          <w:highlight w:val="yellow"/>
        </w:rPr>
        <w:t>KEYWORDS:</w:t>
      </w:r>
      <w:r w:rsidRPr="00767DDE">
        <w:rPr>
          <w:highlight w:val="yellow"/>
        </w:rPr>
        <w:t> Agricultural structure, regional concentration, crop pattern, Turkish agriculture, sustainability, intensification, climate resilience, water stress.</w:t>
      </w:r>
    </w:p>
    <w:p w14:paraId="7192E61C" w14:textId="77777777" w:rsidR="007C53B5" w:rsidRDefault="007C53B5" w:rsidP="00D31857">
      <w:pPr>
        <w:jc w:val="both"/>
      </w:pPr>
    </w:p>
    <w:p w14:paraId="5A776926" w14:textId="77777777" w:rsidR="00D31857" w:rsidRPr="00141F65" w:rsidRDefault="00D31857" w:rsidP="00D31857">
      <w:pPr>
        <w:jc w:val="both"/>
      </w:pPr>
    </w:p>
    <w:p w14:paraId="48E79720" w14:textId="3209BC2F" w:rsidR="00D31857" w:rsidRPr="00D31857" w:rsidRDefault="00141F65" w:rsidP="00D31857">
      <w:pPr>
        <w:pStyle w:val="ListParagraph"/>
        <w:numPr>
          <w:ilvl w:val="0"/>
          <w:numId w:val="26"/>
        </w:numPr>
        <w:jc w:val="both"/>
      </w:pPr>
      <w:r w:rsidRPr="00D31857">
        <w:rPr>
          <w:b/>
          <w:bCs/>
        </w:rPr>
        <w:t>INTRODUCTION</w:t>
      </w:r>
    </w:p>
    <w:p w14:paraId="3A8527B3" w14:textId="77777777" w:rsidR="00D31857" w:rsidRDefault="00D31857" w:rsidP="00D31857">
      <w:pPr>
        <w:pStyle w:val="ListParagraph"/>
        <w:jc w:val="both"/>
      </w:pPr>
    </w:p>
    <w:p w14:paraId="7F99DC4F" w14:textId="2C56982B" w:rsidR="00CE5A8D" w:rsidRPr="00767DDE" w:rsidRDefault="00CE5A8D" w:rsidP="000F6A03">
      <w:pPr>
        <w:jc w:val="both"/>
        <w:rPr>
          <w:highlight w:val="yellow"/>
        </w:rPr>
      </w:pPr>
      <w:r w:rsidRPr="00767DDE">
        <w:rPr>
          <w:highlight w:val="yellow"/>
        </w:rPr>
        <w:t>Turkey's agricultural sector is undergoing a profound and continuous transformation shaped by the interplay of geographical diversity, climatic variability, historical legacies, and evolving market dynamics. The period from 2015 to 2024 has been particularly pivotal, witnessing structural shifts propelled by national agricultural policies, technological diffusion, expanded irrigation infrastructure, and changing domestic and global demand patterns (Yıldırım, 2025; Çelik, 2016). A clear transition has been observed away from the traditional, risk-averse “fallow–cereal” model</w:t>
      </w:r>
      <w:r w:rsidR="00FB385C">
        <w:rPr>
          <w:highlight w:val="yellow"/>
        </w:rPr>
        <w:t>-</w:t>
      </w:r>
      <w:r w:rsidRPr="00767DDE">
        <w:rPr>
          <w:highlight w:val="yellow"/>
        </w:rPr>
        <w:t>characteristic of rain-fed, extensive farming systems</w:t>
      </w:r>
      <w:r w:rsidR="00FB385C">
        <w:rPr>
          <w:highlight w:val="yellow"/>
        </w:rPr>
        <w:t>-</w:t>
      </w:r>
      <w:r w:rsidRPr="00767DDE">
        <w:rPr>
          <w:highlight w:val="yellow"/>
        </w:rPr>
        <w:t>toward more intensive, market-integrated, and higher value-added agricultural production (Benek, 2009).</w:t>
      </w:r>
    </w:p>
    <w:p w14:paraId="4CA5B8B6" w14:textId="77777777" w:rsidR="00CE5A8D" w:rsidRPr="00767DDE" w:rsidRDefault="00CE5A8D" w:rsidP="000F6A03">
      <w:pPr>
        <w:jc w:val="both"/>
        <w:rPr>
          <w:highlight w:val="yellow"/>
        </w:rPr>
      </w:pPr>
      <w:r w:rsidRPr="00767DDE">
        <w:rPr>
          <w:highlight w:val="yellow"/>
        </w:rPr>
        <w:t>This evolution, however, is not spatially uniform. Turkey’s agricultural landscape is increasingly characterized by a dual-polar structure: one pole consists of modern, export-oriented, and high-input production clusters, often concentrated in regions with advanced logistics and access to metropolitan markets; the other pole comprises traditional, subsistence-oriented farming systems that persist in more arid, remote, or less commercially integrated regions (Demiralay, 2010; Gürsoy, 2020). This growing divergence raises critical questions regarding regional equity, resource sustainability, and long-term resilience in the face of climate change (IPCC, 2022; Türkeş, 2020).</w:t>
      </w:r>
    </w:p>
    <w:p w14:paraId="0CABFB42" w14:textId="7FC60A6F" w:rsidR="00CE5A8D" w:rsidRPr="00767DDE" w:rsidRDefault="00CE5A8D" w:rsidP="000F6A03">
      <w:pPr>
        <w:jc w:val="both"/>
        <w:rPr>
          <w:highlight w:val="yellow"/>
        </w:rPr>
      </w:pPr>
      <w:r w:rsidRPr="00767DDE">
        <w:rPr>
          <w:highlight w:val="yellow"/>
        </w:rPr>
        <w:t xml:space="preserve">Moreover, the intensification of agriculture, while boosting productivity and farm incomes, has triggered serious environmental concerns. The rapid expansion of irrigated orchards and vegetable fields, especially in water-scarce regions like Central and Southeastern Anatolia, has led to over-exploitation </w:t>
      </w:r>
      <w:r w:rsidRPr="00767DDE">
        <w:rPr>
          <w:highlight w:val="yellow"/>
        </w:rPr>
        <w:lastRenderedPageBreak/>
        <w:t>of groundwater, soil salinization, and ecosystem degradation (Erdogan et al., 2022; G</w:t>
      </w:r>
      <w:r w:rsidR="002101BD" w:rsidRPr="00767DDE">
        <w:rPr>
          <w:highlight w:val="yellow"/>
        </w:rPr>
        <w:t>ültaş</w:t>
      </w:r>
      <w:r w:rsidRPr="00767DDE">
        <w:rPr>
          <w:highlight w:val="yellow"/>
        </w:rPr>
        <w:t>, 2024). Concurrently, climate change manifests through increased frequency of droughts, heatwaves, and erratic precipitation, threatening to disrupt established production geographies and regional specializations (World Bank, 2014). Understanding the spatial and structural dimensions of this transformation is therefore essential for designing policies that balance economic objectives with ecological and social sustainability.</w:t>
      </w:r>
    </w:p>
    <w:p w14:paraId="3CD2BDFC" w14:textId="77777777" w:rsidR="00CE5A8D" w:rsidRPr="00CE5A8D" w:rsidRDefault="00CE5A8D" w:rsidP="000F6A03">
      <w:pPr>
        <w:jc w:val="both"/>
      </w:pPr>
      <w:r w:rsidRPr="00767DDE">
        <w:rPr>
          <w:highlight w:val="yellow"/>
        </w:rPr>
        <w:t>The primary aim of this study is to systematically analyze the structural anatomy, geographical concentration trends, and crop pattern changes in Turkish agriculture at the NUTS-1 regional level from 2015 to 2024. This is achieved through two complementary analytical lenses: (1) quantifying the degree of geographical concentration of major product groups using regional concentration ratios, and (2) delineating the “agricultural identity” of regions through detailed crop pattern profiles. By integrating decade-long official statistics with secondary data on water use and climate risks, this research provides a granular, evidence-based assessment of how Turkish agriculture is restructuring itself. The ultimate objective is to contribute to the academic and policy discourse by offering actionable insights for fostering a more resilient, equitable, and sustainable agricultural future for Turkey.</w:t>
      </w:r>
    </w:p>
    <w:p w14:paraId="751D889A" w14:textId="413B7933" w:rsidR="00141F65" w:rsidRDefault="00141F65" w:rsidP="00141F65"/>
    <w:p w14:paraId="39D5E520" w14:textId="77777777" w:rsidR="00D31857" w:rsidRDefault="00141F65" w:rsidP="00D31857">
      <w:pPr>
        <w:pStyle w:val="ListParagraph"/>
        <w:numPr>
          <w:ilvl w:val="0"/>
          <w:numId w:val="26"/>
        </w:numPr>
      </w:pPr>
      <w:r w:rsidRPr="00D31857">
        <w:rPr>
          <w:b/>
          <w:bCs/>
        </w:rPr>
        <w:t>MATERIALS AND METHODS</w:t>
      </w:r>
    </w:p>
    <w:p w14:paraId="50B7E95A" w14:textId="743B4374" w:rsidR="00D31857" w:rsidRPr="00767DDE" w:rsidRDefault="005C5136" w:rsidP="000F6A03">
      <w:pPr>
        <w:jc w:val="both"/>
        <w:rPr>
          <w:highlight w:val="yellow"/>
        </w:rPr>
      </w:pPr>
      <w:r w:rsidRPr="00767DDE">
        <w:rPr>
          <w:highlight w:val="yellow"/>
        </w:rPr>
        <w:t>This study employs a quantitative, data-driven methodology to analyze the regional structure of Turkish agriculture. The analytical framework is designed to be reproducible and combines descriptive statistics with spatial analysis to reveal concentration patterns and temporal changes.</w:t>
      </w:r>
    </w:p>
    <w:p w14:paraId="15500CDE" w14:textId="77777777" w:rsidR="005C5136" w:rsidRPr="00767DDE" w:rsidRDefault="005C5136" w:rsidP="005C5136">
      <w:pPr>
        <w:jc w:val="both"/>
        <w:rPr>
          <w:b/>
          <w:bCs/>
          <w:highlight w:val="yellow"/>
        </w:rPr>
      </w:pPr>
      <w:r w:rsidRPr="00767DDE">
        <w:rPr>
          <w:b/>
          <w:bCs/>
          <w:highlight w:val="yellow"/>
        </w:rPr>
        <w:t>2.1. Data Sources</w:t>
      </w:r>
    </w:p>
    <w:p w14:paraId="3B0A4C7B" w14:textId="77777777" w:rsidR="005C5136" w:rsidRPr="00767DDE" w:rsidRDefault="005C5136" w:rsidP="005C5136">
      <w:pPr>
        <w:jc w:val="both"/>
        <w:rPr>
          <w:highlight w:val="yellow"/>
        </w:rPr>
      </w:pPr>
      <w:r w:rsidRPr="00767DDE">
        <w:rPr>
          <w:highlight w:val="yellow"/>
        </w:rPr>
        <w:t>The core dataset is derived from the annual “Crop Production Statistics” published by the Turkish Statistical Institute (TurkStat). Data for the benchmark years 2015, 2020, and 2024 were compiled at the NUTS-1 regional level (12 regions: TR1 Istanbul, TR2 West Marmara, TR3 Aegean, TR4 East Marmara, TR5 West Anatolia, TR6 Mediterranean, TR7 Central Anatolia, TR8 West Black Sea, TR9 East Black Sea, TRA Northeast Anatolia, TRB Central East Anatolia, TRC Southeast Anatolia). The dataset includes sown area (hectares) and production quantity (tons) for six main crop groups: Cereals, Fallow, Fruits, Vegetables, Ornamental Plants, and Other Minor Groups. Data consistency was validated by cross-referencing aggregate national totals with publications from the Ministry of Agriculture and Forestry.</w:t>
      </w:r>
    </w:p>
    <w:p w14:paraId="1524EE7E" w14:textId="77777777" w:rsidR="005C5136" w:rsidRPr="00767DDE" w:rsidRDefault="005C5136" w:rsidP="005C5136">
      <w:pPr>
        <w:jc w:val="both"/>
        <w:rPr>
          <w:highlight w:val="yellow"/>
        </w:rPr>
      </w:pPr>
      <w:r w:rsidRPr="00767DDE">
        <w:rPr>
          <w:highlight w:val="yellow"/>
        </w:rPr>
        <w:t>To contextualize the agricultural findings within ecological limits, supplementary data were incorporated:</w:t>
      </w:r>
    </w:p>
    <w:p w14:paraId="44DE0927" w14:textId="77777777" w:rsidR="005C5136" w:rsidRPr="00767DDE" w:rsidRDefault="005C5136" w:rsidP="005C5136">
      <w:pPr>
        <w:numPr>
          <w:ilvl w:val="0"/>
          <w:numId w:val="36"/>
        </w:numPr>
        <w:jc w:val="both"/>
        <w:rPr>
          <w:highlight w:val="yellow"/>
        </w:rPr>
      </w:pPr>
      <w:r w:rsidRPr="00767DDE">
        <w:rPr>
          <w:highlight w:val="yellow"/>
        </w:rPr>
        <w:t>Water use and stress indicators from the State Hydraulic Works (DSI) reports and recent scientific studies, particularly focusing on groundwater level trends in critical basins like Konya (Erdogan et al., 2022).</w:t>
      </w:r>
    </w:p>
    <w:p w14:paraId="1511EB8C" w14:textId="77777777" w:rsidR="005C5136" w:rsidRPr="00767DDE" w:rsidRDefault="005C5136" w:rsidP="005C5136">
      <w:pPr>
        <w:numPr>
          <w:ilvl w:val="0"/>
          <w:numId w:val="36"/>
        </w:numPr>
        <w:jc w:val="both"/>
        <w:rPr>
          <w:highlight w:val="yellow"/>
        </w:rPr>
      </w:pPr>
      <w:r w:rsidRPr="00767DDE">
        <w:rPr>
          <w:highlight w:val="yellow"/>
        </w:rPr>
        <w:t>Climate data and projections from the Turkish State Meteorological Service and IPCC regional assessments (Türkeş, 2020; IPCC, 2022).</w:t>
      </w:r>
    </w:p>
    <w:p w14:paraId="6B860D2F" w14:textId="77777777" w:rsidR="005C5136" w:rsidRPr="00767DDE" w:rsidRDefault="005C5136" w:rsidP="005C5136">
      <w:pPr>
        <w:numPr>
          <w:ilvl w:val="0"/>
          <w:numId w:val="36"/>
        </w:numPr>
        <w:jc w:val="both"/>
        <w:rPr>
          <w:highlight w:val="yellow"/>
        </w:rPr>
      </w:pPr>
      <w:r w:rsidRPr="00767DDE">
        <w:rPr>
          <w:highlight w:val="yellow"/>
        </w:rPr>
        <w:t>Socio-economic and sustainability indicators from national surveys and international reports (World Bank, 2014; Seçer et al., 2019).</w:t>
      </w:r>
    </w:p>
    <w:p w14:paraId="10B4AE2D" w14:textId="77777777" w:rsidR="005C5136" w:rsidRPr="00767DDE" w:rsidRDefault="005C5136" w:rsidP="005C5136">
      <w:pPr>
        <w:jc w:val="both"/>
        <w:rPr>
          <w:b/>
          <w:bCs/>
          <w:highlight w:val="yellow"/>
        </w:rPr>
      </w:pPr>
      <w:r w:rsidRPr="00767DDE">
        <w:rPr>
          <w:b/>
          <w:bCs/>
          <w:highlight w:val="yellow"/>
        </w:rPr>
        <w:t>2.2. Analytical Tools and Calculations</w:t>
      </w:r>
    </w:p>
    <w:p w14:paraId="20EE4F68" w14:textId="77777777" w:rsidR="005C52BA" w:rsidRPr="00767DDE" w:rsidRDefault="005C5136" w:rsidP="005C5136">
      <w:pPr>
        <w:jc w:val="both"/>
        <w:rPr>
          <w:b/>
          <w:bCs/>
          <w:highlight w:val="yellow"/>
        </w:rPr>
      </w:pPr>
      <w:r w:rsidRPr="00767DDE">
        <w:rPr>
          <w:b/>
          <w:bCs/>
          <w:highlight w:val="yellow"/>
        </w:rPr>
        <w:t>1. Regional Concentration Ratio (CR₃):</w:t>
      </w:r>
    </w:p>
    <w:p w14:paraId="7E8AAF9D" w14:textId="71691475" w:rsidR="005C5136" w:rsidRPr="00767DDE" w:rsidRDefault="005C5136" w:rsidP="000F6A03">
      <w:pPr>
        <w:jc w:val="both"/>
        <w:rPr>
          <w:highlight w:val="yellow"/>
        </w:rPr>
      </w:pPr>
      <w:r w:rsidRPr="00767DDE">
        <w:rPr>
          <w:highlight w:val="yellow"/>
        </w:rPr>
        <w:t>This index measures the extent to which the total sown area or production of a specific crop group is concentrated in the top three producing regions. It is calculated as:</w:t>
      </w:r>
    </w:p>
    <w:p w14:paraId="6742B7E0" w14:textId="3D92ADE4" w:rsidR="005C52BA" w:rsidRPr="00767DDE" w:rsidRDefault="005C52BA" w:rsidP="005C5136">
      <w:pPr>
        <w:jc w:val="both"/>
        <w:rPr>
          <w:highlight w:val="yellow"/>
        </w:rPr>
      </w:pPr>
      <w:r w:rsidRPr="00767DDE">
        <w:rPr>
          <w:noProof/>
          <w:highlight w:val="yellow"/>
        </w:rPr>
        <w:lastRenderedPageBreak/>
        <w:drawing>
          <wp:inline distT="0" distB="0" distL="0" distR="0" wp14:anchorId="3F25CAC9" wp14:editId="74BBEF32">
            <wp:extent cx="5746629" cy="1066800"/>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4648" cy="1068289"/>
                    </a:xfrm>
                    <a:prstGeom prst="rect">
                      <a:avLst/>
                    </a:prstGeom>
                  </pic:spPr>
                </pic:pic>
              </a:graphicData>
            </a:graphic>
          </wp:inline>
        </w:drawing>
      </w:r>
    </w:p>
    <w:p w14:paraId="30A11D52" w14:textId="081679F5" w:rsidR="005C5136" w:rsidRPr="00767DDE" w:rsidRDefault="005C5136" w:rsidP="005C5136">
      <w:pPr>
        <w:jc w:val="both"/>
        <w:rPr>
          <w:highlight w:val="yellow"/>
        </w:rPr>
      </w:pPr>
      <w:r w:rsidRPr="00767DDE">
        <w:rPr>
          <w:highlight w:val="yellow"/>
        </w:rPr>
        <w:t>Where the top three regions are ranked by their contribution to the national total for each crop group. A CR₃ value approaching 100 indicates extreme geographical concentration, while lower values suggest a more dispersed production pattern. This ratio helps distinguish between market/logistics-driven clustering (e.g., ornamental plants) and climate/ecology-driven distribution (e.g., fallow).</w:t>
      </w:r>
    </w:p>
    <w:p w14:paraId="615154D7" w14:textId="77777777" w:rsidR="00CC4183" w:rsidRPr="00767DDE" w:rsidRDefault="00CC4183" w:rsidP="005C5136">
      <w:pPr>
        <w:jc w:val="both"/>
        <w:rPr>
          <w:highlight w:val="yellow"/>
        </w:rPr>
      </w:pPr>
    </w:p>
    <w:p w14:paraId="72C3E3E3" w14:textId="600A772B" w:rsidR="005C52BA" w:rsidRPr="00767DDE" w:rsidRDefault="005C5136" w:rsidP="005C52BA">
      <w:pPr>
        <w:pStyle w:val="ListParagraph"/>
        <w:numPr>
          <w:ilvl w:val="0"/>
          <w:numId w:val="26"/>
        </w:numPr>
        <w:jc w:val="both"/>
        <w:rPr>
          <w:b/>
          <w:bCs/>
          <w:highlight w:val="yellow"/>
        </w:rPr>
      </w:pPr>
      <w:r w:rsidRPr="00767DDE">
        <w:rPr>
          <w:b/>
          <w:bCs/>
          <w:highlight w:val="yellow"/>
        </w:rPr>
        <w:t>Regional Crop Pattern Profile:</w:t>
      </w:r>
    </w:p>
    <w:p w14:paraId="2FEEAF8D" w14:textId="083095B9" w:rsidR="005C5136" w:rsidRPr="00767DDE" w:rsidRDefault="005C5136" w:rsidP="005C52BA">
      <w:pPr>
        <w:jc w:val="both"/>
        <w:rPr>
          <w:highlight w:val="yellow"/>
        </w:rPr>
      </w:pPr>
      <w:r w:rsidRPr="00767DDE">
        <w:rPr>
          <w:highlight w:val="yellow"/>
        </w:rPr>
        <w:t>For each NUTS-1 region, the percentage share of each major crop group within the region’s total agricultural area was calculated. This profile creates an “agricultural identity card” for each region, revealing its degree of specialization (e.g., monoculture vs. diversification) and primary economic orientation (subsistence, market, export).</w:t>
      </w:r>
    </w:p>
    <w:p w14:paraId="4AEC96F9" w14:textId="77777777" w:rsidR="00CC4183" w:rsidRPr="00767DDE" w:rsidRDefault="00CC4183" w:rsidP="005C52BA">
      <w:pPr>
        <w:jc w:val="both"/>
        <w:rPr>
          <w:highlight w:val="yellow"/>
        </w:rPr>
      </w:pPr>
    </w:p>
    <w:p w14:paraId="5A620043" w14:textId="7CB0F0B0" w:rsidR="005C52BA" w:rsidRPr="00767DDE" w:rsidRDefault="005C5136" w:rsidP="005C52BA">
      <w:pPr>
        <w:pStyle w:val="ListParagraph"/>
        <w:numPr>
          <w:ilvl w:val="0"/>
          <w:numId w:val="26"/>
        </w:numPr>
        <w:jc w:val="both"/>
        <w:rPr>
          <w:b/>
          <w:bCs/>
          <w:highlight w:val="yellow"/>
        </w:rPr>
      </w:pPr>
      <w:r w:rsidRPr="00767DDE">
        <w:rPr>
          <w:b/>
          <w:bCs/>
          <w:highlight w:val="yellow"/>
        </w:rPr>
        <w:t>Temporal Change Analysis:</w:t>
      </w:r>
    </w:p>
    <w:p w14:paraId="72D1891D" w14:textId="7168B435" w:rsidR="005C5136" w:rsidRPr="00767DDE" w:rsidRDefault="005C5136" w:rsidP="005C52BA">
      <w:pPr>
        <w:jc w:val="both"/>
        <w:rPr>
          <w:highlight w:val="yellow"/>
        </w:rPr>
      </w:pPr>
      <w:r w:rsidRPr="00767DDE">
        <w:rPr>
          <w:highlight w:val="yellow"/>
        </w:rPr>
        <w:t>Changes in national and regional crop patterns between 2015 and 2024 were examined by calculating percentage point changes in area shares. This allows for the identification of macro-structural trends, such as the decline of fallow or the rise of fruit cultivation.</w:t>
      </w:r>
    </w:p>
    <w:p w14:paraId="58D648B8" w14:textId="77777777" w:rsidR="00CC4183" w:rsidRPr="00767DDE" w:rsidRDefault="00CC4183" w:rsidP="005C52BA">
      <w:pPr>
        <w:jc w:val="both"/>
        <w:rPr>
          <w:highlight w:val="yellow"/>
        </w:rPr>
      </w:pPr>
    </w:p>
    <w:p w14:paraId="7186256A" w14:textId="425650A3" w:rsidR="005C52BA" w:rsidRPr="00767DDE" w:rsidRDefault="005C5136" w:rsidP="005C52BA">
      <w:pPr>
        <w:pStyle w:val="ListParagraph"/>
        <w:numPr>
          <w:ilvl w:val="0"/>
          <w:numId w:val="26"/>
        </w:numPr>
        <w:jc w:val="both"/>
        <w:rPr>
          <w:b/>
          <w:bCs/>
          <w:highlight w:val="yellow"/>
        </w:rPr>
      </w:pPr>
      <w:r w:rsidRPr="00767DDE">
        <w:rPr>
          <w:b/>
          <w:bCs/>
          <w:highlight w:val="yellow"/>
        </w:rPr>
        <w:t>Sustainability Risk Mapping:</w:t>
      </w:r>
    </w:p>
    <w:p w14:paraId="6B861604" w14:textId="499AC64B" w:rsidR="005C5136" w:rsidRPr="00767DDE" w:rsidRDefault="005C5136" w:rsidP="005C52BA">
      <w:pPr>
        <w:jc w:val="both"/>
        <w:rPr>
          <w:highlight w:val="yellow"/>
        </w:rPr>
      </w:pPr>
      <w:r w:rsidRPr="00767DDE">
        <w:rPr>
          <w:highlight w:val="yellow"/>
        </w:rPr>
        <w:t>By overlaying crop concentration data with water stress indices and climate vulnerability maps, regions of potential socio-ecological risk were identified. This integrative analysis aims to highlight where agricultural intensification may be approaching or exceeding local resource carrying capacities.</w:t>
      </w:r>
    </w:p>
    <w:p w14:paraId="51B5FE57" w14:textId="77777777" w:rsidR="005C52BA" w:rsidRPr="00767DDE" w:rsidRDefault="005C52BA" w:rsidP="005C52BA">
      <w:pPr>
        <w:jc w:val="both"/>
        <w:rPr>
          <w:highlight w:val="yellow"/>
        </w:rPr>
      </w:pPr>
    </w:p>
    <w:p w14:paraId="12079AA8" w14:textId="77777777" w:rsidR="005C5136" w:rsidRPr="00767DDE" w:rsidRDefault="005C5136" w:rsidP="005C5136">
      <w:pPr>
        <w:jc w:val="both"/>
        <w:rPr>
          <w:b/>
          <w:bCs/>
          <w:highlight w:val="yellow"/>
        </w:rPr>
      </w:pPr>
      <w:r w:rsidRPr="00767DDE">
        <w:rPr>
          <w:b/>
          <w:bCs/>
          <w:highlight w:val="yellow"/>
        </w:rPr>
        <w:t>2.3. Graphical Presentation and Software</w:t>
      </w:r>
    </w:p>
    <w:p w14:paraId="0713D3B4" w14:textId="2FB0913D" w:rsidR="001A51D5" w:rsidRPr="00CC4183" w:rsidRDefault="005C5136" w:rsidP="00263A75">
      <w:pPr>
        <w:jc w:val="both"/>
      </w:pPr>
      <w:r w:rsidRPr="00767DDE">
        <w:rPr>
          <w:highlight w:val="yellow"/>
        </w:rPr>
        <w:t>All statistical analyses, calculations, and data processing were performed using Microsoft Excel and Python (with pandas, numpy, and matplotlib libraries). This combination ensured accuracy, reproducibility, and the ability to generate high-quality visualizations (bar charts, trend lines, stacked area graphs) directly from the processed data.</w:t>
      </w:r>
    </w:p>
    <w:p w14:paraId="52BE01E1" w14:textId="77777777" w:rsidR="005C5136" w:rsidRDefault="005C5136" w:rsidP="00263A75">
      <w:pPr>
        <w:jc w:val="both"/>
        <w:rPr>
          <w:b/>
          <w:bCs/>
        </w:rPr>
      </w:pPr>
    </w:p>
    <w:p w14:paraId="1B6DE256" w14:textId="6210363B" w:rsidR="00982C8E" w:rsidRPr="00CC4183" w:rsidRDefault="00141F65" w:rsidP="00982C8E">
      <w:pPr>
        <w:pStyle w:val="ListParagraph"/>
        <w:numPr>
          <w:ilvl w:val="0"/>
          <w:numId w:val="37"/>
        </w:numPr>
        <w:rPr>
          <w:b/>
          <w:bCs/>
        </w:rPr>
      </w:pPr>
      <w:r w:rsidRPr="005C52BA">
        <w:rPr>
          <w:b/>
          <w:bCs/>
        </w:rPr>
        <w:t>FINDINGS AND DISCUSSION</w:t>
      </w:r>
    </w:p>
    <w:p w14:paraId="28B23CA9" w14:textId="77777777" w:rsidR="00982C8E" w:rsidRPr="00767DDE" w:rsidRDefault="00982C8E" w:rsidP="00982C8E">
      <w:pPr>
        <w:rPr>
          <w:b/>
          <w:bCs/>
          <w:highlight w:val="yellow"/>
        </w:rPr>
      </w:pPr>
      <w:r w:rsidRPr="00767DDE">
        <w:rPr>
          <w:b/>
          <w:bCs/>
          <w:highlight w:val="yellow"/>
        </w:rPr>
        <w:t>3.1. A Synthesis Framework: Concentration and Identity</w:t>
      </w:r>
    </w:p>
    <w:p w14:paraId="58CDEA2C" w14:textId="22FD4E4D" w:rsidR="00982C8E" w:rsidRPr="00767DDE" w:rsidRDefault="00982C8E" w:rsidP="00CC4183">
      <w:pPr>
        <w:jc w:val="both"/>
        <w:rPr>
          <w:highlight w:val="yellow"/>
        </w:rPr>
      </w:pPr>
      <w:r w:rsidRPr="00767DDE">
        <w:rPr>
          <w:highlight w:val="yellow"/>
        </w:rPr>
        <w:t>Turkish agriculture experienced a profound spatial and structural reorganization between 2015 and 2024. The dual analytical framework of concentration ratios and crop pattern profiles provides a powerful lens to dissect this transformation, revealing the coexistence of a modern, concentrated, high-value pole and a traditional, dispersed, subsistence-oriented pole.</w:t>
      </w:r>
    </w:p>
    <w:p w14:paraId="6AB1A3C8" w14:textId="77777777" w:rsidR="00CC4183" w:rsidRPr="00767DDE" w:rsidRDefault="00CC4183" w:rsidP="00982C8E">
      <w:pPr>
        <w:jc w:val="both"/>
        <w:rPr>
          <w:highlight w:val="yellow"/>
        </w:rPr>
      </w:pPr>
    </w:p>
    <w:p w14:paraId="6E9D7E76" w14:textId="77777777" w:rsidR="00982C8E" w:rsidRPr="00767DDE" w:rsidRDefault="00982C8E" w:rsidP="00982C8E">
      <w:pPr>
        <w:rPr>
          <w:b/>
          <w:bCs/>
          <w:highlight w:val="yellow"/>
        </w:rPr>
      </w:pPr>
      <w:r w:rsidRPr="00767DDE">
        <w:rPr>
          <w:b/>
          <w:bCs/>
          <w:highlight w:val="yellow"/>
        </w:rPr>
        <w:lastRenderedPageBreak/>
        <w:t>3.2. Spatial Concentration of Product Groups: Market vs. Nature Dynamics</w:t>
      </w:r>
    </w:p>
    <w:p w14:paraId="2B0964F6" w14:textId="77777777" w:rsidR="00982C8E" w:rsidRPr="00982C8E" w:rsidRDefault="00982C8E" w:rsidP="00982C8E">
      <w:pPr>
        <w:jc w:val="both"/>
      </w:pPr>
      <w:r w:rsidRPr="00767DDE">
        <w:rPr>
          <w:highlight w:val="yellow"/>
        </w:rPr>
        <w:t>The geographical distribution of agricultural products is a function of both economic forces (market access, profitability) and biophysical constraints (climate, soil, water). Table 1, based on 2024 sown area data, illustrates stark differences in concentration levels.</w:t>
      </w:r>
    </w:p>
    <w:p w14:paraId="4C827566" w14:textId="77777777" w:rsidR="00F17099" w:rsidRPr="00141F65" w:rsidRDefault="00F17099" w:rsidP="00F17099">
      <w:pPr>
        <w:jc w:val="both"/>
      </w:pPr>
    </w:p>
    <w:p w14:paraId="6C97F81C" w14:textId="77777777" w:rsidR="00141F65" w:rsidRPr="00141F65" w:rsidRDefault="00141F65" w:rsidP="00141F65">
      <w:r w:rsidRPr="00141F65">
        <w:rPr>
          <w:b/>
          <w:bCs/>
        </w:rPr>
        <w:t>Table 1. Degrees of Spatial Concentration of Product Groups in 2024 (Combined Share of Top Three Regions)</w:t>
      </w:r>
    </w:p>
    <w:tbl>
      <w:tblPr>
        <w:tblW w:w="925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2002"/>
        <w:gridCol w:w="1931"/>
        <w:gridCol w:w="3637"/>
      </w:tblGrid>
      <w:tr w:rsidR="00141F65" w:rsidRPr="00141F65" w14:paraId="1D99346C" w14:textId="77777777" w:rsidTr="003143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D164CA0" w14:textId="77777777" w:rsidR="00141F65" w:rsidRPr="00141F65" w:rsidRDefault="00141F65" w:rsidP="003143BC">
            <w:pPr>
              <w:spacing w:after="0" w:line="240" w:lineRule="auto"/>
              <w:rPr>
                <w:b/>
                <w:bCs/>
              </w:rPr>
            </w:pPr>
            <w:r w:rsidRPr="00141F65">
              <w:rPr>
                <w:b/>
                <w:bCs/>
              </w:rPr>
              <w:t>Product Group</w:t>
            </w:r>
          </w:p>
        </w:tc>
        <w:tc>
          <w:tcPr>
            <w:tcW w:w="2002" w:type="dxa"/>
            <w:tcBorders>
              <w:top w:val="single" w:sz="4" w:space="0" w:color="auto"/>
              <w:bottom w:val="single" w:sz="4" w:space="0" w:color="auto"/>
            </w:tcBorders>
            <w:tcMar>
              <w:top w:w="150" w:type="dxa"/>
              <w:left w:w="240" w:type="dxa"/>
              <w:bottom w:w="150" w:type="dxa"/>
              <w:right w:w="240" w:type="dxa"/>
            </w:tcMar>
            <w:vAlign w:val="center"/>
            <w:hideMark/>
          </w:tcPr>
          <w:p w14:paraId="7B8652BD" w14:textId="77777777" w:rsidR="00141F65" w:rsidRPr="00141F65" w:rsidRDefault="00141F65" w:rsidP="003143BC">
            <w:pPr>
              <w:spacing w:after="0" w:line="240" w:lineRule="auto"/>
              <w:rPr>
                <w:b/>
                <w:bCs/>
              </w:rPr>
            </w:pPr>
            <w:r w:rsidRPr="00141F65">
              <w:rPr>
                <w:b/>
                <w:bCs/>
              </w:rPr>
              <w:t>Top 3 Regions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B211AD6" w14:textId="77777777" w:rsidR="00141F65" w:rsidRPr="00141F65" w:rsidRDefault="00141F65" w:rsidP="003143BC">
            <w:pPr>
              <w:spacing w:after="0" w:line="240" w:lineRule="auto"/>
              <w:rPr>
                <w:b/>
                <w:bCs/>
              </w:rPr>
            </w:pPr>
            <w:r w:rsidRPr="00141F65">
              <w:rPr>
                <w:b/>
                <w:bCs/>
              </w:rPr>
              <w:t>Combined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00F7F72" w14:textId="77777777" w:rsidR="00141F65" w:rsidRPr="00141F65" w:rsidRDefault="00141F65" w:rsidP="003143BC">
            <w:pPr>
              <w:spacing w:after="0" w:line="240" w:lineRule="auto"/>
              <w:rPr>
                <w:b/>
                <w:bCs/>
              </w:rPr>
            </w:pPr>
            <w:r w:rsidRPr="00141F65">
              <w:rPr>
                <w:b/>
                <w:bCs/>
              </w:rPr>
              <w:t>Concentration Characteristic and Primary Determinant</w:t>
            </w:r>
          </w:p>
        </w:tc>
      </w:tr>
      <w:tr w:rsidR="00141F65" w:rsidRPr="00141F65" w14:paraId="136F9BE4" w14:textId="77777777" w:rsidTr="003143BC">
        <w:tc>
          <w:tcPr>
            <w:tcW w:w="0" w:type="auto"/>
            <w:tcBorders>
              <w:top w:val="single" w:sz="4" w:space="0" w:color="auto"/>
            </w:tcBorders>
            <w:tcMar>
              <w:top w:w="150" w:type="dxa"/>
              <w:left w:w="0" w:type="dxa"/>
              <w:bottom w:w="150" w:type="dxa"/>
              <w:right w:w="240" w:type="dxa"/>
            </w:tcMar>
            <w:vAlign w:val="center"/>
            <w:hideMark/>
          </w:tcPr>
          <w:p w14:paraId="197CDE64" w14:textId="77777777" w:rsidR="00141F65" w:rsidRPr="00141F65" w:rsidRDefault="00141F65" w:rsidP="003143BC">
            <w:pPr>
              <w:spacing w:after="0" w:line="240" w:lineRule="auto"/>
            </w:pPr>
            <w:r w:rsidRPr="00141F65">
              <w:rPr>
                <w:b/>
                <w:bCs/>
              </w:rPr>
              <w:t>Ornamental Plants</w:t>
            </w:r>
          </w:p>
        </w:tc>
        <w:tc>
          <w:tcPr>
            <w:tcW w:w="2002" w:type="dxa"/>
            <w:tcBorders>
              <w:top w:val="single" w:sz="4" w:space="0" w:color="auto"/>
            </w:tcBorders>
            <w:tcMar>
              <w:top w:w="150" w:type="dxa"/>
              <w:left w:w="240" w:type="dxa"/>
              <w:bottom w:w="150" w:type="dxa"/>
              <w:right w:w="240" w:type="dxa"/>
            </w:tcMar>
            <w:vAlign w:val="center"/>
            <w:hideMark/>
          </w:tcPr>
          <w:p w14:paraId="666C5CEC" w14:textId="77777777" w:rsidR="00141F65" w:rsidRPr="00141F65" w:rsidRDefault="00141F65" w:rsidP="003143BC">
            <w:pPr>
              <w:spacing w:after="0" w:line="240" w:lineRule="auto"/>
            </w:pPr>
            <w:r w:rsidRPr="00141F65">
              <w:t>TR1, TR3, TR4</w:t>
            </w:r>
          </w:p>
        </w:tc>
        <w:tc>
          <w:tcPr>
            <w:tcW w:w="0" w:type="auto"/>
            <w:tcBorders>
              <w:top w:val="single" w:sz="4" w:space="0" w:color="auto"/>
            </w:tcBorders>
            <w:tcMar>
              <w:top w:w="150" w:type="dxa"/>
              <w:left w:w="240" w:type="dxa"/>
              <w:bottom w:w="150" w:type="dxa"/>
              <w:right w:w="240" w:type="dxa"/>
            </w:tcMar>
            <w:vAlign w:val="center"/>
            <w:hideMark/>
          </w:tcPr>
          <w:p w14:paraId="6635A538" w14:textId="77777777" w:rsidR="00141F65" w:rsidRPr="00141F65" w:rsidRDefault="00141F65" w:rsidP="003143BC">
            <w:pPr>
              <w:spacing w:after="0" w:line="240" w:lineRule="auto"/>
            </w:pPr>
            <w:r w:rsidRPr="00141F65">
              <w:rPr>
                <w:b/>
                <w:bCs/>
              </w:rPr>
              <w:t>92.7</w:t>
            </w:r>
          </w:p>
        </w:tc>
        <w:tc>
          <w:tcPr>
            <w:tcW w:w="0" w:type="auto"/>
            <w:tcBorders>
              <w:top w:val="single" w:sz="4" w:space="0" w:color="auto"/>
            </w:tcBorders>
            <w:tcMar>
              <w:top w:w="150" w:type="dxa"/>
              <w:left w:w="240" w:type="dxa"/>
              <w:bottom w:w="150" w:type="dxa"/>
              <w:right w:w="0" w:type="dxa"/>
            </w:tcMar>
            <w:vAlign w:val="center"/>
            <w:hideMark/>
          </w:tcPr>
          <w:p w14:paraId="33104D3B" w14:textId="77777777" w:rsidR="00141F65" w:rsidRPr="00141F65" w:rsidRDefault="00141F65" w:rsidP="003143BC">
            <w:pPr>
              <w:spacing w:after="0" w:line="240" w:lineRule="auto"/>
            </w:pPr>
            <w:r w:rsidRPr="00141F65">
              <w:rPr>
                <w:b/>
                <w:bCs/>
              </w:rPr>
              <w:t>Very High (Market and Logistics-Oriented)</w:t>
            </w:r>
          </w:p>
        </w:tc>
      </w:tr>
      <w:tr w:rsidR="00141F65" w:rsidRPr="00141F65" w14:paraId="11A9D1C7" w14:textId="77777777" w:rsidTr="003143BC">
        <w:tc>
          <w:tcPr>
            <w:tcW w:w="0" w:type="auto"/>
            <w:tcMar>
              <w:top w:w="150" w:type="dxa"/>
              <w:left w:w="0" w:type="dxa"/>
              <w:bottom w:w="150" w:type="dxa"/>
              <w:right w:w="240" w:type="dxa"/>
            </w:tcMar>
            <w:vAlign w:val="center"/>
            <w:hideMark/>
          </w:tcPr>
          <w:p w14:paraId="3BBC29EF" w14:textId="77777777" w:rsidR="00141F65" w:rsidRPr="00141F65" w:rsidRDefault="00141F65" w:rsidP="003143BC">
            <w:pPr>
              <w:spacing w:after="0" w:line="240" w:lineRule="auto"/>
            </w:pPr>
            <w:r w:rsidRPr="00141F65">
              <w:rPr>
                <w:b/>
                <w:bCs/>
              </w:rPr>
              <w:t>Fallow Area</w:t>
            </w:r>
          </w:p>
        </w:tc>
        <w:tc>
          <w:tcPr>
            <w:tcW w:w="2002" w:type="dxa"/>
            <w:tcMar>
              <w:top w:w="150" w:type="dxa"/>
              <w:left w:w="240" w:type="dxa"/>
              <w:bottom w:w="150" w:type="dxa"/>
              <w:right w:w="240" w:type="dxa"/>
            </w:tcMar>
            <w:vAlign w:val="center"/>
            <w:hideMark/>
          </w:tcPr>
          <w:p w14:paraId="3CA180D4" w14:textId="77777777" w:rsidR="00141F65" w:rsidRPr="00141F65" w:rsidRDefault="00141F65" w:rsidP="003143BC">
            <w:pPr>
              <w:spacing w:after="0" w:line="240" w:lineRule="auto"/>
            </w:pPr>
            <w:r w:rsidRPr="00141F65">
              <w:t>TR7, TR5, TR8</w:t>
            </w:r>
          </w:p>
        </w:tc>
        <w:tc>
          <w:tcPr>
            <w:tcW w:w="0" w:type="auto"/>
            <w:tcMar>
              <w:top w:w="150" w:type="dxa"/>
              <w:left w:w="240" w:type="dxa"/>
              <w:bottom w:w="150" w:type="dxa"/>
              <w:right w:w="240" w:type="dxa"/>
            </w:tcMar>
            <w:vAlign w:val="center"/>
            <w:hideMark/>
          </w:tcPr>
          <w:p w14:paraId="1AD8180A" w14:textId="77777777" w:rsidR="00141F65" w:rsidRPr="00141F65" w:rsidRDefault="00141F65" w:rsidP="003143BC">
            <w:pPr>
              <w:spacing w:after="0" w:line="240" w:lineRule="auto"/>
            </w:pPr>
            <w:r w:rsidRPr="00141F65">
              <w:rPr>
                <w:b/>
                <w:bCs/>
              </w:rPr>
              <w:t>59.3</w:t>
            </w:r>
          </w:p>
        </w:tc>
        <w:tc>
          <w:tcPr>
            <w:tcW w:w="0" w:type="auto"/>
            <w:tcMar>
              <w:top w:w="150" w:type="dxa"/>
              <w:left w:w="240" w:type="dxa"/>
              <w:bottom w:w="150" w:type="dxa"/>
              <w:right w:w="0" w:type="dxa"/>
            </w:tcMar>
            <w:vAlign w:val="center"/>
            <w:hideMark/>
          </w:tcPr>
          <w:p w14:paraId="6F1EF4FF" w14:textId="77777777" w:rsidR="00141F65" w:rsidRPr="00141F65" w:rsidRDefault="00141F65" w:rsidP="003143BC">
            <w:pPr>
              <w:spacing w:after="0" w:line="240" w:lineRule="auto"/>
            </w:pPr>
            <w:r w:rsidRPr="00141F65">
              <w:rPr>
                <w:b/>
                <w:bCs/>
              </w:rPr>
              <w:t>High (Climate and Traditional System-Oriented)</w:t>
            </w:r>
          </w:p>
        </w:tc>
      </w:tr>
      <w:tr w:rsidR="00141F65" w:rsidRPr="00141F65" w14:paraId="1E6260FB" w14:textId="77777777" w:rsidTr="003143BC">
        <w:tc>
          <w:tcPr>
            <w:tcW w:w="0" w:type="auto"/>
            <w:tcMar>
              <w:top w:w="150" w:type="dxa"/>
              <w:left w:w="0" w:type="dxa"/>
              <w:bottom w:w="150" w:type="dxa"/>
              <w:right w:w="240" w:type="dxa"/>
            </w:tcMar>
            <w:vAlign w:val="center"/>
            <w:hideMark/>
          </w:tcPr>
          <w:p w14:paraId="3AE16B94" w14:textId="77777777" w:rsidR="00141F65" w:rsidRPr="00141F65" w:rsidRDefault="00141F65" w:rsidP="003143BC">
            <w:pPr>
              <w:spacing w:after="0" w:line="240" w:lineRule="auto"/>
            </w:pPr>
            <w:r w:rsidRPr="00141F65">
              <w:rPr>
                <w:b/>
                <w:bCs/>
              </w:rPr>
              <w:t>Fruit</w:t>
            </w:r>
          </w:p>
        </w:tc>
        <w:tc>
          <w:tcPr>
            <w:tcW w:w="2002" w:type="dxa"/>
            <w:tcMar>
              <w:top w:w="150" w:type="dxa"/>
              <w:left w:w="240" w:type="dxa"/>
              <w:bottom w:w="150" w:type="dxa"/>
              <w:right w:w="240" w:type="dxa"/>
            </w:tcMar>
            <w:vAlign w:val="center"/>
            <w:hideMark/>
          </w:tcPr>
          <w:p w14:paraId="74E8CDA7" w14:textId="77777777" w:rsidR="00141F65" w:rsidRPr="00141F65" w:rsidRDefault="00141F65" w:rsidP="003143BC">
            <w:pPr>
              <w:spacing w:after="0" w:line="240" w:lineRule="auto"/>
            </w:pPr>
            <w:r w:rsidRPr="00141F65">
              <w:t>TR3, TRC, TR6</w:t>
            </w:r>
          </w:p>
        </w:tc>
        <w:tc>
          <w:tcPr>
            <w:tcW w:w="0" w:type="auto"/>
            <w:tcMar>
              <w:top w:w="150" w:type="dxa"/>
              <w:left w:w="240" w:type="dxa"/>
              <w:bottom w:w="150" w:type="dxa"/>
              <w:right w:w="240" w:type="dxa"/>
            </w:tcMar>
            <w:vAlign w:val="center"/>
            <w:hideMark/>
          </w:tcPr>
          <w:p w14:paraId="2226650C" w14:textId="77777777" w:rsidR="00141F65" w:rsidRPr="00141F65" w:rsidRDefault="00141F65" w:rsidP="003143BC">
            <w:pPr>
              <w:spacing w:after="0" w:line="240" w:lineRule="auto"/>
            </w:pPr>
            <w:r w:rsidRPr="00141F65">
              <w:t>58.1</w:t>
            </w:r>
          </w:p>
        </w:tc>
        <w:tc>
          <w:tcPr>
            <w:tcW w:w="0" w:type="auto"/>
            <w:tcMar>
              <w:top w:w="150" w:type="dxa"/>
              <w:left w:w="240" w:type="dxa"/>
              <w:bottom w:w="150" w:type="dxa"/>
              <w:right w:w="0" w:type="dxa"/>
            </w:tcMar>
            <w:vAlign w:val="center"/>
            <w:hideMark/>
          </w:tcPr>
          <w:p w14:paraId="35FF4E0F" w14:textId="77777777" w:rsidR="00141F65" w:rsidRPr="00141F65" w:rsidRDefault="00141F65" w:rsidP="003143BC">
            <w:pPr>
              <w:spacing w:after="0" w:line="240" w:lineRule="auto"/>
            </w:pPr>
            <w:r w:rsidRPr="00141F65">
              <w:t>Medium-High (Climate and Investment-Oriented)</w:t>
            </w:r>
          </w:p>
        </w:tc>
      </w:tr>
      <w:tr w:rsidR="00141F65" w:rsidRPr="00141F65" w14:paraId="32376962" w14:textId="77777777" w:rsidTr="003143BC">
        <w:tc>
          <w:tcPr>
            <w:tcW w:w="0" w:type="auto"/>
            <w:tcMar>
              <w:top w:w="150" w:type="dxa"/>
              <w:left w:w="0" w:type="dxa"/>
              <w:bottom w:w="150" w:type="dxa"/>
              <w:right w:w="240" w:type="dxa"/>
            </w:tcMar>
            <w:vAlign w:val="center"/>
            <w:hideMark/>
          </w:tcPr>
          <w:p w14:paraId="3F2F3442" w14:textId="77777777" w:rsidR="00141F65" w:rsidRPr="00141F65" w:rsidRDefault="00141F65" w:rsidP="003143BC">
            <w:pPr>
              <w:spacing w:after="0" w:line="240" w:lineRule="auto"/>
            </w:pPr>
            <w:r w:rsidRPr="00141F65">
              <w:rPr>
                <w:b/>
                <w:bCs/>
              </w:rPr>
              <w:t>Vegetables</w:t>
            </w:r>
          </w:p>
        </w:tc>
        <w:tc>
          <w:tcPr>
            <w:tcW w:w="2002" w:type="dxa"/>
            <w:tcMar>
              <w:top w:w="150" w:type="dxa"/>
              <w:left w:w="240" w:type="dxa"/>
              <w:bottom w:w="150" w:type="dxa"/>
              <w:right w:w="240" w:type="dxa"/>
            </w:tcMar>
            <w:vAlign w:val="center"/>
            <w:hideMark/>
          </w:tcPr>
          <w:p w14:paraId="10F48EDD" w14:textId="77777777" w:rsidR="00141F65" w:rsidRPr="00141F65" w:rsidRDefault="00141F65" w:rsidP="003143BC">
            <w:pPr>
              <w:spacing w:after="0" w:line="240" w:lineRule="auto"/>
            </w:pPr>
            <w:r w:rsidRPr="00141F65">
              <w:t>TR3, TR7, TR6</w:t>
            </w:r>
          </w:p>
        </w:tc>
        <w:tc>
          <w:tcPr>
            <w:tcW w:w="0" w:type="auto"/>
            <w:tcMar>
              <w:top w:w="150" w:type="dxa"/>
              <w:left w:w="240" w:type="dxa"/>
              <w:bottom w:w="150" w:type="dxa"/>
              <w:right w:w="240" w:type="dxa"/>
            </w:tcMar>
            <w:vAlign w:val="center"/>
            <w:hideMark/>
          </w:tcPr>
          <w:p w14:paraId="11196152" w14:textId="77777777" w:rsidR="00141F65" w:rsidRPr="00141F65" w:rsidRDefault="00141F65" w:rsidP="003143BC">
            <w:pPr>
              <w:spacing w:after="0" w:line="240" w:lineRule="auto"/>
            </w:pPr>
            <w:r w:rsidRPr="00141F65">
              <w:t>40.6</w:t>
            </w:r>
          </w:p>
        </w:tc>
        <w:tc>
          <w:tcPr>
            <w:tcW w:w="0" w:type="auto"/>
            <w:tcMar>
              <w:top w:w="150" w:type="dxa"/>
              <w:left w:w="240" w:type="dxa"/>
              <w:bottom w:w="150" w:type="dxa"/>
              <w:right w:w="0" w:type="dxa"/>
            </w:tcMar>
            <w:vAlign w:val="center"/>
            <w:hideMark/>
          </w:tcPr>
          <w:p w14:paraId="15B740A3" w14:textId="77777777" w:rsidR="00141F65" w:rsidRPr="00141F65" w:rsidRDefault="00141F65" w:rsidP="003143BC">
            <w:pPr>
              <w:spacing w:after="0" w:line="240" w:lineRule="auto"/>
            </w:pPr>
            <w:r w:rsidRPr="00141F65">
              <w:t>Dispersed / Balanced (Market and Climate)</w:t>
            </w:r>
          </w:p>
        </w:tc>
      </w:tr>
      <w:tr w:rsidR="00141F65" w:rsidRPr="00141F65" w14:paraId="7D46C603" w14:textId="77777777" w:rsidTr="003143BC">
        <w:tc>
          <w:tcPr>
            <w:tcW w:w="0" w:type="auto"/>
            <w:tcMar>
              <w:top w:w="150" w:type="dxa"/>
              <w:left w:w="0" w:type="dxa"/>
              <w:bottom w:w="150" w:type="dxa"/>
              <w:right w:w="240" w:type="dxa"/>
            </w:tcMar>
            <w:vAlign w:val="center"/>
            <w:hideMark/>
          </w:tcPr>
          <w:p w14:paraId="12D2A8F9" w14:textId="77777777" w:rsidR="00141F65" w:rsidRPr="00141F65" w:rsidRDefault="00141F65" w:rsidP="003143BC">
            <w:pPr>
              <w:spacing w:after="0" w:line="240" w:lineRule="auto"/>
            </w:pPr>
            <w:r w:rsidRPr="00141F65">
              <w:rPr>
                <w:b/>
                <w:bCs/>
              </w:rPr>
              <w:t>Cereals</w:t>
            </w:r>
          </w:p>
        </w:tc>
        <w:tc>
          <w:tcPr>
            <w:tcW w:w="2002" w:type="dxa"/>
            <w:tcMar>
              <w:top w:w="150" w:type="dxa"/>
              <w:left w:w="240" w:type="dxa"/>
              <w:bottom w:w="150" w:type="dxa"/>
              <w:right w:w="240" w:type="dxa"/>
            </w:tcMar>
            <w:vAlign w:val="center"/>
            <w:hideMark/>
          </w:tcPr>
          <w:p w14:paraId="36A9202A" w14:textId="77777777" w:rsidR="00141F65" w:rsidRPr="00141F65" w:rsidRDefault="00141F65" w:rsidP="003143BC">
            <w:pPr>
              <w:spacing w:after="0" w:line="240" w:lineRule="auto"/>
            </w:pPr>
            <w:r w:rsidRPr="00141F65">
              <w:t>TR7, TR5, TR2</w:t>
            </w:r>
          </w:p>
        </w:tc>
        <w:tc>
          <w:tcPr>
            <w:tcW w:w="0" w:type="auto"/>
            <w:tcMar>
              <w:top w:w="150" w:type="dxa"/>
              <w:left w:w="240" w:type="dxa"/>
              <w:bottom w:w="150" w:type="dxa"/>
              <w:right w:w="240" w:type="dxa"/>
            </w:tcMar>
            <w:vAlign w:val="center"/>
            <w:hideMark/>
          </w:tcPr>
          <w:p w14:paraId="1143BE95" w14:textId="77777777" w:rsidR="00141F65" w:rsidRPr="00141F65" w:rsidRDefault="00141F65" w:rsidP="003143BC">
            <w:pPr>
              <w:spacing w:after="0" w:line="240" w:lineRule="auto"/>
            </w:pPr>
            <w:r w:rsidRPr="00141F65">
              <w:t>40.4</w:t>
            </w:r>
          </w:p>
        </w:tc>
        <w:tc>
          <w:tcPr>
            <w:tcW w:w="0" w:type="auto"/>
            <w:tcMar>
              <w:top w:w="150" w:type="dxa"/>
              <w:left w:w="240" w:type="dxa"/>
              <w:bottom w:w="150" w:type="dxa"/>
              <w:right w:w="0" w:type="dxa"/>
            </w:tcMar>
            <w:vAlign w:val="center"/>
            <w:hideMark/>
          </w:tcPr>
          <w:p w14:paraId="6EF30D01" w14:textId="77777777" w:rsidR="00141F65" w:rsidRPr="00141F65" w:rsidRDefault="00141F65" w:rsidP="003143BC">
            <w:pPr>
              <w:spacing w:after="0" w:line="240" w:lineRule="auto"/>
            </w:pPr>
            <w:r w:rsidRPr="00141F65">
              <w:t>Dispersed / Strategic (Food Security)</w:t>
            </w:r>
          </w:p>
        </w:tc>
      </w:tr>
    </w:tbl>
    <w:p w14:paraId="1F275B9A" w14:textId="37E021D1" w:rsidR="00141F65" w:rsidRDefault="00141F65" w:rsidP="00141F65">
      <w:pPr>
        <w:rPr>
          <w:i/>
          <w:iCs/>
        </w:rPr>
      </w:pPr>
      <w:r w:rsidRPr="00141F65">
        <w:rPr>
          <w:i/>
          <w:iCs/>
        </w:rPr>
        <w:t>Source: Based on calculations from TurkStat Crop Production Statistics (2024).</w:t>
      </w:r>
    </w:p>
    <w:p w14:paraId="2C7E2B77" w14:textId="77777777" w:rsidR="008736D1" w:rsidRDefault="008736D1" w:rsidP="00141F65">
      <w:pPr>
        <w:rPr>
          <w:i/>
          <w:iCs/>
        </w:rPr>
      </w:pPr>
    </w:p>
    <w:p w14:paraId="76B060BC" w14:textId="677C0215" w:rsidR="001F47BE" w:rsidRDefault="001F47BE" w:rsidP="00141F65">
      <w:pPr>
        <w:rPr>
          <w:i/>
          <w:iCs/>
        </w:rPr>
      </w:pPr>
    </w:p>
    <w:p w14:paraId="1B68CE27" w14:textId="1EB95E93" w:rsidR="001F47BE" w:rsidRPr="00141F65" w:rsidRDefault="001F47BE" w:rsidP="00141F65">
      <w:r>
        <w:rPr>
          <w:noProof/>
        </w:rPr>
        <w:drawing>
          <wp:inline distT="0" distB="0" distL="0" distR="0" wp14:anchorId="486DEDEA" wp14:editId="3C4D12E8">
            <wp:extent cx="5424488" cy="2990850"/>
            <wp:effectExtent l="0" t="0" r="5080" b="0"/>
            <wp:docPr id="2" name="Grafik 2">
              <a:extLst xmlns:a="http://schemas.openxmlformats.org/drawingml/2006/main">
                <a:ext uri="{FF2B5EF4-FFF2-40B4-BE49-F238E27FC236}">
                  <a16:creationId xmlns:a16="http://schemas.microsoft.com/office/drawing/2014/main" id="{805256AB-6394-4D03-A04F-A17A5872A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0755F3" w14:textId="3BE51842" w:rsidR="00982C8E" w:rsidRDefault="00982C8E" w:rsidP="00141F65">
      <w:pPr>
        <w:rPr>
          <w:i/>
          <w:iCs/>
        </w:rPr>
      </w:pPr>
      <w:r w:rsidRPr="00982C8E">
        <w:rPr>
          <w:b/>
          <w:bCs/>
        </w:rPr>
        <w:lastRenderedPageBreak/>
        <w:t>Figure 1. Comparative Geographical Concentration of Product Groups (2024)</w:t>
      </w:r>
      <w:r w:rsidRPr="00982C8E">
        <w:br/>
      </w:r>
      <w:r w:rsidRPr="00982C8E">
        <w:rPr>
          <w:i/>
          <w:iCs/>
        </w:rPr>
        <w:t>(Visual note: A bar chart would display the CR₃ values from Table 1 in descending order, with a trend line showing the decline.)</w:t>
      </w:r>
    </w:p>
    <w:p w14:paraId="5EE06554" w14:textId="77777777" w:rsidR="00CC4183" w:rsidRPr="00141F65" w:rsidRDefault="00CC4183" w:rsidP="00141F65"/>
    <w:p w14:paraId="21C91E01" w14:textId="4A3DEAA1" w:rsidR="00FE6DD5" w:rsidRDefault="00F349D5" w:rsidP="00FE6DD5">
      <w:pPr>
        <w:jc w:val="both"/>
      </w:pPr>
      <w:r w:rsidRPr="00767DDE">
        <w:rPr>
          <w:highlight w:val="yellow"/>
        </w:rPr>
        <w:t>The CR₃ analysis reveals a clear hierarchy of spatial clustering. The extreme concentration of ornamental plants (92.7%) underscores a production model utterly dependent on proximity to major metropolitan markets (Istanbul-TR1, İzmir-TR3) and export hubs, aligning with findings by Taşçıoğlu &amp; Sayın (2005) on cut-flower logistics. Conversely, cereals and vegetables show balanced distributions (40%), reflecting their dual role as staple food security crops and their broader agro-climatic adaptability (Gürsoy, 2020). The high concentration of fallow (59.3%) in arid interior regions (TR7, TR5) is a direct indicator of persistent climatic constraints (low rainfall) and the endurance of traditional risk-management practices (Demiralay, 2010). The descending trend line in Figure 1 signifies that, overall, staple food production is more geographically diffused than high-value, perishable commodities</w:t>
      </w:r>
      <w:r w:rsidR="00767DDE" w:rsidRPr="00767DDE">
        <w:rPr>
          <w:highlight w:val="yellow"/>
        </w:rPr>
        <w:t>-</w:t>
      </w:r>
      <w:r w:rsidRPr="00767DDE">
        <w:rPr>
          <w:highlight w:val="yellow"/>
        </w:rPr>
        <w:t>a pattern shaped by both policy (strategic dispersal for food security) and economics (cost of transportation vs. product value).</w:t>
      </w:r>
    </w:p>
    <w:p w14:paraId="0AE70978" w14:textId="77777777" w:rsidR="00F349D5" w:rsidRPr="00F349D5" w:rsidRDefault="00F349D5" w:rsidP="00FE6DD5">
      <w:pPr>
        <w:jc w:val="both"/>
      </w:pPr>
    </w:p>
    <w:p w14:paraId="1AC77554" w14:textId="7D5433FC" w:rsidR="00FE6DD5" w:rsidRDefault="008C41FC" w:rsidP="008C41FC">
      <w:pPr>
        <w:jc w:val="both"/>
      </w:pPr>
      <w:r>
        <w:rPr>
          <w:b/>
          <w:bCs/>
        </w:rPr>
        <w:t>3.3.</w:t>
      </w:r>
      <w:r w:rsidR="00141F65" w:rsidRPr="008C41FC">
        <w:rPr>
          <w:b/>
          <w:bCs/>
        </w:rPr>
        <w:t>Agricultural Identity Cards of Regions: Specialization and Profile Comparison</w:t>
      </w:r>
    </w:p>
    <w:p w14:paraId="3EE24153" w14:textId="445EF31C" w:rsidR="00FE6DD5" w:rsidRDefault="00141F65" w:rsidP="00FE6DD5">
      <w:pPr>
        <w:jc w:val="both"/>
      </w:pPr>
      <w:r w:rsidRPr="00141F65">
        <w:t>The other side of geographical concentration is the internal crop patterns of regions themselves. Each region has developed a distinct "agricultural identity" based on its natural resources, historical accumulation, and economic orientation.</w:t>
      </w:r>
    </w:p>
    <w:p w14:paraId="09A16419" w14:textId="0F89CE47" w:rsidR="00767DDE" w:rsidRDefault="00767DDE" w:rsidP="00FE6DD5">
      <w:pPr>
        <w:jc w:val="both"/>
      </w:pPr>
    </w:p>
    <w:p w14:paraId="34BB404D" w14:textId="0E9EA0E5" w:rsidR="00767DDE" w:rsidRDefault="00767DDE" w:rsidP="00FE6DD5">
      <w:pPr>
        <w:jc w:val="both"/>
      </w:pPr>
    </w:p>
    <w:p w14:paraId="768F1946" w14:textId="6AC99973" w:rsidR="00767DDE" w:rsidRDefault="00767DDE" w:rsidP="00FE6DD5">
      <w:pPr>
        <w:jc w:val="both"/>
      </w:pPr>
    </w:p>
    <w:p w14:paraId="5310B6E7" w14:textId="4345ABF0" w:rsidR="00767DDE" w:rsidRDefault="00767DDE" w:rsidP="00FE6DD5">
      <w:pPr>
        <w:jc w:val="both"/>
      </w:pPr>
    </w:p>
    <w:p w14:paraId="62E1DEDE" w14:textId="77777777" w:rsidR="00767DDE" w:rsidRDefault="00767DDE" w:rsidP="00FE6DD5">
      <w:pPr>
        <w:jc w:val="both"/>
      </w:pPr>
    </w:p>
    <w:p w14:paraId="0CB0A9E9" w14:textId="77777777" w:rsidR="00F349D5" w:rsidRPr="00141F65" w:rsidRDefault="00F349D5" w:rsidP="00FE6DD5">
      <w:pPr>
        <w:jc w:val="both"/>
      </w:pPr>
    </w:p>
    <w:p w14:paraId="43ECAFBD" w14:textId="77777777" w:rsidR="00141F65" w:rsidRPr="00141F65" w:rsidRDefault="00141F65" w:rsidP="00141F65">
      <w:r w:rsidRPr="00141F65">
        <w:rPr>
          <w:b/>
          <w:bCs/>
        </w:rPr>
        <w:t>Table 2. Agricultural Crop Pattern Profiles of Selected Regions (2024, % Share within Total Agricultural Area)</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687"/>
        <w:gridCol w:w="2161"/>
        <w:gridCol w:w="1527"/>
        <w:gridCol w:w="2149"/>
      </w:tblGrid>
      <w:tr w:rsidR="00141F65" w:rsidRPr="00141F65" w14:paraId="5F1D8A6C" w14:textId="77777777" w:rsidTr="00FE6DD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A1EB78E"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74B0E2" w14:textId="77777777" w:rsidR="00141F65" w:rsidRPr="00141F65" w:rsidRDefault="00141F65" w:rsidP="00FE6DD5">
            <w:pPr>
              <w:spacing w:after="0" w:line="240" w:lineRule="auto"/>
              <w:rPr>
                <w:b/>
                <w:bCs/>
              </w:rPr>
            </w:pPr>
            <w:r w:rsidRPr="00141F65">
              <w:rPr>
                <w:b/>
                <w:bCs/>
              </w:rPr>
              <w:t>TR7 (Central Anatolia)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2B28FF7" w14:textId="77777777" w:rsidR="00141F65" w:rsidRPr="00141F65" w:rsidRDefault="00141F65" w:rsidP="00FE6DD5">
            <w:pPr>
              <w:spacing w:after="0" w:line="240" w:lineRule="auto"/>
              <w:rPr>
                <w:b/>
                <w:bCs/>
              </w:rPr>
            </w:pPr>
            <w:r w:rsidRPr="00141F65">
              <w:rPr>
                <w:b/>
                <w:bCs/>
              </w:rPr>
              <w:t>TR6 (Mediterranean)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49C39B" w14:textId="77777777" w:rsidR="00141F65" w:rsidRPr="00141F65" w:rsidRDefault="00141F65" w:rsidP="00FE6DD5">
            <w:pPr>
              <w:spacing w:after="0" w:line="240" w:lineRule="auto"/>
              <w:rPr>
                <w:b/>
                <w:bCs/>
              </w:rPr>
            </w:pPr>
            <w:r w:rsidRPr="00141F65">
              <w:rPr>
                <w:b/>
                <w:bCs/>
              </w:rPr>
              <w:t>TR1 (Istanbul)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E1F916" w14:textId="77777777" w:rsidR="00141F65" w:rsidRPr="00141F65" w:rsidRDefault="00141F65" w:rsidP="00FE6DD5">
            <w:pPr>
              <w:spacing w:after="0" w:line="240" w:lineRule="auto"/>
              <w:rPr>
                <w:b/>
                <w:bCs/>
              </w:rPr>
            </w:pPr>
            <w:r w:rsidRPr="00141F65">
              <w:rPr>
                <w:b/>
                <w:bCs/>
              </w:rPr>
              <w:t>TRC (Southeastern Anatolia)</w:t>
            </w:r>
          </w:p>
        </w:tc>
      </w:tr>
      <w:tr w:rsidR="00141F65" w:rsidRPr="00141F65" w14:paraId="656CD538" w14:textId="77777777" w:rsidTr="00FE6DD5">
        <w:tc>
          <w:tcPr>
            <w:tcW w:w="0" w:type="auto"/>
            <w:tcBorders>
              <w:top w:val="single" w:sz="4" w:space="0" w:color="auto"/>
            </w:tcBorders>
            <w:tcMar>
              <w:top w:w="150" w:type="dxa"/>
              <w:left w:w="0" w:type="dxa"/>
              <w:bottom w:w="150" w:type="dxa"/>
              <w:right w:w="240" w:type="dxa"/>
            </w:tcMar>
            <w:vAlign w:val="center"/>
            <w:hideMark/>
          </w:tcPr>
          <w:p w14:paraId="0B542B60"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3710C90F" w14:textId="77777777" w:rsidR="00141F65" w:rsidRPr="00141F65" w:rsidRDefault="00141F65" w:rsidP="00FE6DD5">
            <w:pPr>
              <w:spacing w:after="0" w:line="240" w:lineRule="auto"/>
            </w:pPr>
            <w:r w:rsidRPr="00141F65">
              <w:rPr>
                <w:b/>
                <w:bCs/>
              </w:rPr>
              <w:t>57.1</w:t>
            </w:r>
          </w:p>
        </w:tc>
        <w:tc>
          <w:tcPr>
            <w:tcW w:w="0" w:type="auto"/>
            <w:tcBorders>
              <w:top w:val="single" w:sz="4" w:space="0" w:color="auto"/>
            </w:tcBorders>
            <w:tcMar>
              <w:top w:w="150" w:type="dxa"/>
              <w:left w:w="240" w:type="dxa"/>
              <w:bottom w:w="150" w:type="dxa"/>
              <w:right w:w="240" w:type="dxa"/>
            </w:tcMar>
            <w:vAlign w:val="center"/>
            <w:hideMark/>
          </w:tcPr>
          <w:p w14:paraId="19FE0D5B" w14:textId="77777777" w:rsidR="00141F65" w:rsidRPr="00141F65" w:rsidRDefault="00141F65" w:rsidP="00FE6DD5">
            <w:pPr>
              <w:spacing w:after="0" w:line="240" w:lineRule="auto"/>
            </w:pPr>
            <w:r w:rsidRPr="00141F65">
              <w:t>48.6</w:t>
            </w:r>
          </w:p>
        </w:tc>
        <w:tc>
          <w:tcPr>
            <w:tcW w:w="0" w:type="auto"/>
            <w:tcBorders>
              <w:top w:val="single" w:sz="4" w:space="0" w:color="auto"/>
            </w:tcBorders>
            <w:tcMar>
              <w:top w:w="150" w:type="dxa"/>
              <w:left w:w="240" w:type="dxa"/>
              <w:bottom w:w="150" w:type="dxa"/>
              <w:right w:w="240" w:type="dxa"/>
            </w:tcMar>
            <w:vAlign w:val="center"/>
            <w:hideMark/>
          </w:tcPr>
          <w:p w14:paraId="42532BC8" w14:textId="77777777" w:rsidR="00141F65" w:rsidRPr="00141F65" w:rsidRDefault="00141F65" w:rsidP="00FE6DD5">
            <w:pPr>
              <w:spacing w:after="0" w:line="240" w:lineRule="auto"/>
            </w:pPr>
            <w:r w:rsidRPr="00141F65">
              <w:t>28.8</w:t>
            </w:r>
          </w:p>
        </w:tc>
        <w:tc>
          <w:tcPr>
            <w:tcW w:w="0" w:type="auto"/>
            <w:tcBorders>
              <w:top w:val="single" w:sz="4" w:space="0" w:color="auto"/>
            </w:tcBorders>
            <w:tcMar>
              <w:top w:w="150" w:type="dxa"/>
              <w:left w:w="240" w:type="dxa"/>
              <w:bottom w:w="150" w:type="dxa"/>
              <w:right w:w="0" w:type="dxa"/>
            </w:tcMar>
            <w:vAlign w:val="center"/>
            <w:hideMark/>
          </w:tcPr>
          <w:p w14:paraId="0BC37BB0" w14:textId="77777777" w:rsidR="00141F65" w:rsidRPr="00141F65" w:rsidRDefault="00141F65" w:rsidP="00FE6DD5">
            <w:pPr>
              <w:spacing w:after="0" w:line="240" w:lineRule="auto"/>
            </w:pPr>
            <w:r w:rsidRPr="00141F65">
              <w:t>36.8</w:t>
            </w:r>
          </w:p>
        </w:tc>
      </w:tr>
      <w:tr w:rsidR="00141F65" w:rsidRPr="00141F65" w14:paraId="1B4503AA" w14:textId="77777777" w:rsidTr="00FE6DD5">
        <w:tc>
          <w:tcPr>
            <w:tcW w:w="0" w:type="auto"/>
            <w:tcMar>
              <w:top w:w="150" w:type="dxa"/>
              <w:left w:w="0" w:type="dxa"/>
              <w:bottom w:w="150" w:type="dxa"/>
              <w:right w:w="240" w:type="dxa"/>
            </w:tcMar>
            <w:vAlign w:val="center"/>
            <w:hideMark/>
          </w:tcPr>
          <w:p w14:paraId="1B3CADB9"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01E146A9" w14:textId="77777777" w:rsidR="00141F65" w:rsidRPr="00141F65" w:rsidRDefault="00141F65" w:rsidP="00FE6DD5">
            <w:pPr>
              <w:spacing w:after="0" w:line="240" w:lineRule="auto"/>
            </w:pPr>
            <w:r w:rsidRPr="00141F65">
              <w:rPr>
                <w:b/>
                <w:bCs/>
              </w:rPr>
              <w:t>28.0</w:t>
            </w:r>
          </w:p>
        </w:tc>
        <w:tc>
          <w:tcPr>
            <w:tcW w:w="0" w:type="auto"/>
            <w:tcMar>
              <w:top w:w="150" w:type="dxa"/>
              <w:left w:w="240" w:type="dxa"/>
              <w:bottom w:w="150" w:type="dxa"/>
              <w:right w:w="240" w:type="dxa"/>
            </w:tcMar>
            <w:vAlign w:val="center"/>
            <w:hideMark/>
          </w:tcPr>
          <w:p w14:paraId="3A607A91" w14:textId="77777777" w:rsidR="00141F65" w:rsidRPr="00141F65" w:rsidRDefault="00141F65" w:rsidP="00FE6DD5">
            <w:pPr>
              <w:spacing w:after="0" w:line="240" w:lineRule="auto"/>
            </w:pPr>
            <w:r w:rsidRPr="00141F65">
              <w:t>7.1</w:t>
            </w:r>
          </w:p>
        </w:tc>
        <w:tc>
          <w:tcPr>
            <w:tcW w:w="0" w:type="auto"/>
            <w:tcMar>
              <w:top w:w="150" w:type="dxa"/>
              <w:left w:w="240" w:type="dxa"/>
              <w:bottom w:w="150" w:type="dxa"/>
              <w:right w:w="240" w:type="dxa"/>
            </w:tcMar>
            <w:vAlign w:val="center"/>
            <w:hideMark/>
          </w:tcPr>
          <w:p w14:paraId="224AD6DC" w14:textId="77777777" w:rsidR="00141F65" w:rsidRPr="00141F65" w:rsidRDefault="00141F65" w:rsidP="00FE6DD5">
            <w:pPr>
              <w:spacing w:after="0" w:line="240" w:lineRule="auto"/>
            </w:pPr>
            <w:r w:rsidRPr="00141F65">
              <w:t>0.03</w:t>
            </w:r>
          </w:p>
        </w:tc>
        <w:tc>
          <w:tcPr>
            <w:tcW w:w="0" w:type="auto"/>
            <w:tcMar>
              <w:top w:w="150" w:type="dxa"/>
              <w:left w:w="240" w:type="dxa"/>
              <w:bottom w:w="150" w:type="dxa"/>
              <w:right w:w="0" w:type="dxa"/>
            </w:tcMar>
            <w:vAlign w:val="center"/>
            <w:hideMark/>
          </w:tcPr>
          <w:p w14:paraId="2C2179A9" w14:textId="77777777" w:rsidR="00141F65" w:rsidRPr="00141F65" w:rsidRDefault="00141F65" w:rsidP="00FE6DD5">
            <w:pPr>
              <w:spacing w:after="0" w:line="240" w:lineRule="auto"/>
            </w:pPr>
            <w:r w:rsidRPr="00141F65">
              <w:t>2.3</w:t>
            </w:r>
          </w:p>
        </w:tc>
      </w:tr>
      <w:tr w:rsidR="00141F65" w:rsidRPr="00141F65" w14:paraId="717DE115" w14:textId="77777777" w:rsidTr="00FE6DD5">
        <w:tc>
          <w:tcPr>
            <w:tcW w:w="0" w:type="auto"/>
            <w:tcMar>
              <w:top w:w="150" w:type="dxa"/>
              <w:left w:w="0" w:type="dxa"/>
              <w:bottom w:w="150" w:type="dxa"/>
              <w:right w:w="240" w:type="dxa"/>
            </w:tcMar>
            <w:vAlign w:val="center"/>
            <w:hideMark/>
          </w:tcPr>
          <w:p w14:paraId="41AA5E3C"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FEDF698" w14:textId="77777777" w:rsidR="00141F65" w:rsidRPr="00141F65" w:rsidRDefault="00141F65" w:rsidP="00FE6DD5">
            <w:pPr>
              <w:spacing w:after="0" w:line="240" w:lineRule="auto"/>
            </w:pPr>
            <w:r w:rsidRPr="00141F65">
              <w:t>4.0</w:t>
            </w:r>
          </w:p>
        </w:tc>
        <w:tc>
          <w:tcPr>
            <w:tcW w:w="0" w:type="auto"/>
            <w:tcMar>
              <w:top w:w="150" w:type="dxa"/>
              <w:left w:w="240" w:type="dxa"/>
              <w:bottom w:w="150" w:type="dxa"/>
              <w:right w:w="240" w:type="dxa"/>
            </w:tcMar>
            <w:vAlign w:val="center"/>
            <w:hideMark/>
          </w:tcPr>
          <w:p w14:paraId="2719F40C" w14:textId="77777777" w:rsidR="00141F65" w:rsidRPr="00141F65" w:rsidRDefault="00141F65" w:rsidP="00FE6DD5">
            <w:pPr>
              <w:spacing w:after="0" w:line="240" w:lineRule="auto"/>
            </w:pPr>
            <w:r w:rsidRPr="00141F65">
              <w:rPr>
                <w:b/>
                <w:bCs/>
              </w:rPr>
              <w:t>29.5</w:t>
            </w:r>
          </w:p>
        </w:tc>
        <w:tc>
          <w:tcPr>
            <w:tcW w:w="0" w:type="auto"/>
            <w:tcMar>
              <w:top w:w="150" w:type="dxa"/>
              <w:left w:w="240" w:type="dxa"/>
              <w:bottom w:w="150" w:type="dxa"/>
              <w:right w:w="240" w:type="dxa"/>
            </w:tcMar>
            <w:vAlign w:val="center"/>
            <w:hideMark/>
          </w:tcPr>
          <w:p w14:paraId="29B42722" w14:textId="77777777" w:rsidR="00141F65" w:rsidRPr="00141F65" w:rsidRDefault="00141F65" w:rsidP="00FE6DD5">
            <w:pPr>
              <w:spacing w:after="0" w:line="240" w:lineRule="auto"/>
            </w:pPr>
            <w:r w:rsidRPr="00141F65">
              <w:t>0.02</w:t>
            </w:r>
          </w:p>
        </w:tc>
        <w:tc>
          <w:tcPr>
            <w:tcW w:w="0" w:type="auto"/>
            <w:tcMar>
              <w:top w:w="150" w:type="dxa"/>
              <w:left w:w="240" w:type="dxa"/>
              <w:bottom w:w="150" w:type="dxa"/>
              <w:right w:w="0" w:type="dxa"/>
            </w:tcMar>
            <w:vAlign w:val="center"/>
            <w:hideMark/>
          </w:tcPr>
          <w:p w14:paraId="7F4E14B8" w14:textId="77777777" w:rsidR="00141F65" w:rsidRPr="00141F65" w:rsidRDefault="00141F65" w:rsidP="00FE6DD5">
            <w:pPr>
              <w:spacing w:after="0" w:line="240" w:lineRule="auto"/>
            </w:pPr>
            <w:r w:rsidRPr="00141F65">
              <w:rPr>
                <w:b/>
                <w:bCs/>
              </w:rPr>
              <w:t>53.1</w:t>
            </w:r>
          </w:p>
        </w:tc>
      </w:tr>
      <w:tr w:rsidR="00141F65" w:rsidRPr="00141F65" w14:paraId="04F67765" w14:textId="77777777" w:rsidTr="00FE6DD5">
        <w:tc>
          <w:tcPr>
            <w:tcW w:w="0" w:type="auto"/>
            <w:tcMar>
              <w:top w:w="150" w:type="dxa"/>
              <w:left w:w="0" w:type="dxa"/>
              <w:bottom w:w="150" w:type="dxa"/>
              <w:right w:w="240" w:type="dxa"/>
            </w:tcMar>
            <w:vAlign w:val="center"/>
            <w:hideMark/>
          </w:tcPr>
          <w:p w14:paraId="0530E7C8" w14:textId="77777777" w:rsidR="00141F65" w:rsidRPr="00141F65" w:rsidRDefault="00141F65" w:rsidP="00FE6DD5">
            <w:pPr>
              <w:spacing w:after="0" w:line="240" w:lineRule="auto"/>
            </w:pPr>
            <w:r w:rsidRPr="00141F65">
              <w:rPr>
                <w:b/>
                <w:bCs/>
              </w:rPr>
              <w:t>Ornamental Plants</w:t>
            </w:r>
          </w:p>
        </w:tc>
        <w:tc>
          <w:tcPr>
            <w:tcW w:w="0" w:type="auto"/>
            <w:tcMar>
              <w:top w:w="150" w:type="dxa"/>
              <w:left w:w="240" w:type="dxa"/>
              <w:bottom w:w="150" w:type="dxa"/>
              <w:right w:w="240" w:type="dxa"/>
            </w:tcMar>
            <w:vAlign w:val="center"/>
            <w:hideMark/>
          </w:tcPr>
          <w:p w14:paraId="40388E97" w14:textId="77777777" w:rsidR="00141F65" w:rsidRPr="00141F65" w:rsidRDefault="00141F65" w:rsidP="00FE6DD5">
            <w:pPr>
              <w:spacing w:after="0" w:line="240" w:lineRule="auto"/>
            </w:pPr>
            <w:r w:rsidRPr="00141F65">
              <w:t>0.0</w:t>
            </w:r>
          </w:p>
        </w:tc>
        <w:tc>
          <w:tcPr>
            <w:tcW w:w="0" w:type="auto"/>
            <w:tcMar>
              <w:top w:w="150" w:type="dxa"/>
              <w:left w:w="240" w:type="dxa"/>
              <w:bottom w:w="150" w:type="dxa"/>
              <w:right w:w="240" w:type="dxa"/>
            </w:tcMar>
            <w:vAlign w:val="center"/>
            <w:hideMark/>
          </w:tcPr>
          <w:p w14:paraId="54C313C4" w14:textId="77777777" w:rsidR="00141F65" w:rsidRPr="00141F65" w:rsidRDefault="00141F65" w:rsidP="00FE6DD5">
            <w:pPr>
              <w:spacing w:after="0" w:line="240" w:lineRule="auto"/>
            </w:pPr>
            <w:r w:rsidRPr="00141F65">
              <w:t>0.1</w:t>
            </w:r>
          </w:p>
        </w:tc>
        <w:tc>
          <w:tcPr>
            <w:tcW w:w="0" w:type="auto"/>
            <w:tcMar>
              <w:top w:w="150" w:type="dxa"/>
              <w:left w:w="240" w:type="dxa"/>
              <w:bottom w:w="150" w:type="dxa"/>
              <w:right w:w="240" w:type="dxa"/>
            </w:tcMar>
            <w:vAlign w:val="center"/>
            <w:hideMark/>
          </w:tcPr>
          <w:p w14:paraId="5ADA2908" w14:textId="77777777" w:rsidR="00141F65" w:rsidRPr="00141F65" w:rsidRDefault="00141F65" w:rsidP="00FE6DD5">
            <w:pPr>
              <w:spacing w:after="0" w:line="240" w:lineRule="auto"/>
            </w:pPr>
            <w:r w:rsidRPr="00141F65">
              <w:rPr>
                <w:b/>
                <w:bCs/>
              </w:rPr>
              <w:t>66.6</w:t>
            </w:r>
          </w:p>
        </w:tc>
        <w:tc>
          <w:tcPr>
            <w:tcW w:w="0" w:type="auto"/>
            <w:tcMar>
              <w:top w:w="150" w:type="dxa"/>
              <w:left w:w="240" w:type="dxa"/>
              <w:bottom w:w="150" w:type="dxa"/>
              <w:right w:w="0" w:type="dxa"/>
            </w:tcMar>
            <w:vAlign w:val="center"/>
            <w:hideMark/>
          </w:tcPr>
          <w:p w14:paraId="7E650825" w14:textId="77777777" w:rsidR="00141F65" w:rsidRPr="00141F65" w:rsidRDefault="00141F65" w:rsidP="00FE6DD5">
            <w:pPr>
              <w:spacing w:after="0" w:line="240" w:lineRule="auto"/>
            </w:pPr>
            <w:r w:rsidRPr="00141F65">
              <w:t>0.01</w:t>
            </w:r>
          </w:p>
        </w:tc>
      </w:tr>
    </w:tbl>
    <w:p w14:paraId="7E4F0C38" w14:textId="1AF2EBED" w:rsidR="00141F65" w:rsidRDefault="00141F65" w:rsidP="00141F65">
      <w:pPr>
        <w:rPr>
          <w:i/>
          <w:iCs/>
        </w:rPr>
      </w:pPr>
      <w:r w:rsidRPr="00141F65">
        <w:rPr>
          <w:i/>
          <w:iCs/>
        </w:rPr>
        <w:t>Source: Calculations based on TurkStat Crop Production Statistics (2024) data.</w:t>
      </w:r>
    </w:p>
    <w:p w14:paraId="7451B272" w14:textId="77777777" w:rsidR="00FE6DD5" w:rsidRDefault="00FE6DD5" w:rsidP="00141F65">
      <w:pPr>
        <w:rPr>
          <w:i/>
          <w:iCs/>
        </w:rPr>
      </w:pPr>
    </w:p>
    <w:p w14:paraId="5727DA4C" w14:textId="2EEE6A81" w:rsidR="00C520E2" w:rsidRPr="00141F65" w:rsidRDefault="00C520E2" w:rsidP="00141F65">
      <w:r>
        <w:rPr>
          <w:noProof/>
        </w:rPr>
        <w:lastRenderedPageBreak/>
        <w:drawing>
          <wp:inline distT="0" distB="0" distL="0" distR="0" wp14:anchorId="0B78A8FD" wp14:editId="2EF7A862">
            <wp:extent cx="5753100" cy="3067050"/>
            <wp:effectExtent l="0" t="0" r="0" b="0"/>
            <wp:docPr id="3" name="Grafik 3">
              <a:extLst xmlns:a="http://schemas.openxmlformats.org/drawingml/2006/main">
                <a:ext uri="{FF2B5EF4-FFF2-40B4-BE49-F238E27FC236}">
                  <a16:creationId xmlns:a16="http://schemas.microsoft.com/office/drawing/2014/main" id="{E4E328FB-E0BD-45A4-9C6D-E7D7EB5FE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94B8D4" w14:textId="7D37A6F6" w:rsidR="00141F65" w:rsidRDefault="00141F65" w:rsidP="00141F65">
      <w:pPr>
        <w:rPr>
          <w:i/>
          <w:iCs/>
        </w:rPr>
      </w:pPr>
      <w:r w:rsidRPr="00141F65">
        <w:rPr>
          <w:b/>
          <w:bCs/>
        </w:rPr>
        <w:t>Figure 2. Regional Crop Pattern Comparison (2024)</w:t>
      </w:r>
      <w:r w:rsidRPr="00141F65">
        <w:br/>
      </w:r>
      <w:r w:rsidRPr="00141F65">
        <w:rPr>
          <w:i/>
          <w:iCs/>
        </w:rPr>
        <w:t>Note: Figure 2 would be a grouped bar chart or stacked bar chart visualizing the profiles in Table 2.</w:t>
      </w:r>
    </w:p>
    <w:p w14:paraId="5B0D2CC4" w14:textId="77777777" w:rsidR="00FE6DD5" w:rsidRPr="00141F65" w:rsidRDefault="00FE6DD5" w:rsidP="00141F65"/>
    <w:p w14:paraId="25F6CFF6" w14:textId="0CBFF035" w:rsidR="00F349D5" w:rsidRPr="00767DDE" w:rsidRDefault="00F349D5" w:rsidP="00F349D5">
      <w:pPr>
        <w:numPr>
          <w:ilvl w:val="0"/>
          <w:numId w:val="38"/>
        </w:numPr>
        <w:jc w:val="both"/>
        <w:rPr>
          <w:highlight w:val="yellow"/>
        </w:rPr>
      </w:pPr>
      <w:r w:rsidRPr="00767DDE">
        <w:rPr>
          <w:b/>
          <w:bCs/>
          <w:highlight w:val="yellow"/>
        </w:rPr>
        <w:t>TR7 (Central Anatolia) – “The Cereal and Fallow Plain”:</w:t>
      </w:r>
      <w:r w:rsidRPr="00767DDE">
        <w:rPr>
          <w:highlight w:val="yellow"/>
        </w:rPr>
        <w:t> This region epitomizes Turkey’s traditional agricultural heartland under arid conditions. The profile (57.1% cereals, 28.0% fallow) highlights rain-fed cereal production and fallow as a vital risk buffer</w:t>
      </w:r>
      <w:r w:rsidR="00335B27" w:rsidRPr="00767DDE">
        <w:rPr>
          <w:highlight w:val="yellow"/>
        </w:rPr>
        <w:t>(Figure 2, Table 2)</w:t>
      </w:r>
      <w:r w:rsidRPr="00767DDE">
        <w:rPr>
          <w:highlight w:val="yellow"/>
        </w:rPr>
        <w:t>. The negligible share of water-intensive fruits and ornamental plants reflects both climatic limitations and a slower pace of market integration. However, even here, the fallow share has decreased significantly since 2015, indicating the encroachment of intensification, often at the expense of groundwater resources, as documented in the Konya Closed Basin (Erdogan et al., 2022).</w:t>
      </w:r>
    </w:p>
    <w:p w14:paraId="0894E2CB" w14:textId="02DF5E03" w:rsidR="00F349D5" w:rsidRPr="00767DDE" w:rsidRDefault="00F349D5" w:rsidP="00F349D5">
      <w:pPr>
        <w:numPr>
          <w:ilvl w:val="0"/>
          <w:numId w:val="38"/>
        </w:numPr>
        <w:jc w:val="both"/>
        <w:rPr>
          <w:highlight w:val="yellow"/>
        </w:rPr>
      </w:pPr>
      <w:r w:rsidRPr="00767DDE">
        <w:rPr>
          <w:b/>
          <w:bCs/>
          <w:highlight w:val="yellow"/>
        </w:rPr>
        <w:t>TR1 (Istanbul) – “The Metropolitan Ornamental Hub”:</w:t>
      </w:r>
      <w:r w:rsidRPr="00767DDE">
        <w:rPr>
          <w:highlight w:val="yellow"/>
        </w:rPr>
        <w:t> With 66.6% of its agricultural area dedicated to ornamental plants, TR1 represents the purest form of market-proximity driven specialization. This monostructure is economically rational but denotes high vulnerability to urban expansion, labor costs, and shifts in metropolitan demand</w:t>
      </w:r>
      <w:r w:rsidR="00335B27" w:rsidRPr="00767DDE">
        <w:rPr>
          <w:highlight w:val="yellow"/>
        </w:rPr>
        <w:t xml:space="preserve"> (Figure 2, Table 2)</w:t>
      </w:r>
      <w:r w:rsidRPr="00767DDE">
        <w:rPr>
          <w:highlight w:val="yellow"/>
        </w:rPr>
        <w:t>.</w:t>
      </w:r>
    </w:p>
    <w:p w14:paraId="52CD31BA" w14:textId="2790C63C" w:rsidR="00F349D5" w:rsidRPr="00767DDE" w:rsidRDefault="00F349D5" w:rsidP="00F349D5">
      <w:pPr>
        <w:numPr>
          <w:ilvl w:val="0"/>
          <w:numId w:val="38"/>
        </w:numPr>
        <w:jc w:val="both"/>
        <w:rPr>
          <w:highlight w:val="yellow"/>
        </w:rPr>
      </w:pPr>
      <w:r w:rsidRPr="00767DDE">
        <w:rPr>
          <w:b/>
          <w:bCs/>
          <w:highlight w:val="yellow"/>
        </w:rPr>
        <w:t>TRC (Southeastern Anatolia) – “The Rising Fruit Powerhouse”:</w:t>
      </w:r>
      <w:r w:rsidRPr="00767DDE">
        <w:rPr>
          <w:highlight w:val="yellow"/>
        </w:rPr>
        <w:t> The transformative impact of the Southeastern Anatolia Project (GAP) irrigation infrastructure is unmistakable (Benek, 2009). The dominance of fruit cultivation (53.1%) has redefined the region’s identity from subsistence grains to commercial export-oriented production</w:t>
      </w:r>
      <w:r w:rsidR="00335B27" w:rsidRPr="00767DDE">
        <w:rPr>
          <w:highlight w:val="yellow"/>
        </w:rPr>
        <w:t>(Figure 2, Table 2)</w:t>
      </w:r>
      <w:r w:rsidRPr="00767DDE">
        <w:rPr>
          <w:highlight w:val="yellow"/>
        </w:rPr>
        <w:t>. The minimal fallow area (2.3%) signals a shift to perennial, intensive irrigation, which brings income growth but also severe sustainability challenges related to water over-extraction and soil salinity, as highlighted in regional water footprint assessments (G</w:t>
      </w:r>
      <w:r w:rsidR="002101BD" w:rsidRPr="00767DDE">
        <w:rPr>
          <w:highlight w:val="yellow"/>
        </w:rPr>
        <w:t>ültaş</w:t>
      </w:r>
      <w:r w:rsidRPr="00767DDE">
        <w:rPr>
          <w:highlight w:val="yellow"/>
        </w:rPr>
        <w:t>, 2024).</w:t>
      </w:r>
    </w:p>
    <w:p w14:paraId="24F99E50" w14:textId="537EAD80" w:rsidR="00F349D5" w:rsidRPr="00767DDE" w:rsidRDefault="00F349D5" w:rsidP="00F349D5">
      <w:pPr>
        <w:numPr>
          <w:ilvl w:val="0"/>
          <w:numId w:val="38"/>
        </w:numPr>
        <w:jc w:val="both"/>
        <w:rPr>
          <w:highlight w:val="yellow"/>
        </w:rPr>
      </w:pPr>
      <w:r w:rsidRPr="00767DDE">
        <w:rPr>
          <w:b/>
          <w:bCs/>
          <w:highlight w:val="yellow"/>
        </w:rPr>
        <w:t>TR6 (Mediterranean) – “The Diversified Climate Advantage Zone”:</w:t>
      </w:r>
      <w:r w:rsidRPr="00767DDE">
        <w:rPr>
          <w:highlight w:val="yellow"/>
        </w:rPr>
        <w:t> This region maintains a balanced and diversified portfolio (29.5% fruit, 48.6% cereals), leveraging its favorable climate for both high-value permanent crops and staple production</w:t>
      </w:r>
      <w:r w:rsidR="00335B27" w:rsidRPr="00767DDE">
        <w:rPr>
          <w:highlight w:val="yellow"/>
        </w:rPr>
        <w:t>(Figure 2, Table 2)</w:t>
      </w:r>
      <w:r w:rsidRPr="00767DDE">
        <w:rPr>
          <w:highlight w:val="yellow"/>
        </w:rPr>
        <w:t>. This mixed model may offer greater resilience against market and climate shocks compared to highly specialized regions.</w:t>
      </w:r>
    </w:p>
    <w:p w14:paraId="5A4AF85E" w14:textId="77777777" w:rsidR="00FE6DD5" w:rsidRPr="00141F65" w:rsidRDefault="00FE6DD5" w:rsidP="00656628"/>
    <w:p w14:paraId="74CA42B1" w14:textId="3CA21EAD" w:rsidR="00FE6DD5" w:rsidRDefault="008C41FC" w:rsidP="00FE6DD5">
      <w:pPr>
        <w:jc w:val="both"/>
      </w:pPr>
      <w:r>
        <w:rPr>
          <w:b/>
          <w:bCs/>
        </w:rPr>
        <w:lastRenderedPageBreak/>
        <w:t>3.4.</w:t>
      </w:r>
      <w:r w:rsidR="00141F65" w:rsidRPr="00141F65">
        <w:rPr>
          <w:b/>
          <w:bCs/>
        </w:rPr>
        <w:t>Decadal Macro Transformation (2015-2024): Three Major Structural Trends</w:t>
      </w:r>
    </w:p>
    <w:p w14:paraId="3B2E4602" w14:textId="0E6D739E" w:rsidR="00141F65" w:rsidRDefault="00141F65" w:rsidP="00FE6DD5">
      <w:pPr>
        <w:jc w:val="both"/>
      </w:pPr>
      <w:r w:rsidRPr="00141F65">
        <w:t>The crop pattern within the total agricultural area across Turkey underwent deep structural shifts throughout the 2015-2024 period. These shifts are macro-level reflections of agricultural policies, market demands, and technological change.</w:t>
      </w:r>
    </w:p>
    <w:p w14:paraId="17F93CDB" w14:textId="77777777" w:rsidR="00FE6DD5" w:rsidRPr="00141F65" w:rsidRDefault="00FE6DD5" w:rsidP="00FE6DD5">
      <w:pPr>
        <w:jc w:val="both"/>
      </w:pPr>
    </w:p>
    <w:p w14:paraId="794099CF" w14:textId="77777777" w:rsidR="00141F65" w:rsidRPr="00141F65" w:rsidRDefault="00141F65" w:rsidP="00141F65">
      <w:r w:rsidRPr="00141F65">
        <w:rPr>
          <w:b/>
          <w:bCs/>
        </w:rPr>
        <w:t>Table 3. Change in the Structure of Crop Patterns within Turkey's Total Agricultural Area (2015-2024, % Share)</w:t>
      </w:r>
    </w:p>
    <w:tbl>
      <w:tblPr>
        <w:tblW w:w="8196"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835"/>
        <w:gridCol w:w="1835"/>
        <w:gridCol w:w="2901"/>
      </w:tblGrid>
      <w:tr w:rsidR="00141F65" w:rsidRPr="00141F65" w14:paraId="22C446B2" w14:textId="77777777" w:rsidTr="00FE6DD5">
        <w:trPr>
          <w:trHeight w:val="243"/>
          <w:tblHeader/>
          <w:jc w:val="cent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59874C"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BA83412" w14:textId="77777777" w:rsidR="00141F65" w:rsidRPr="00141F65" w:rsidRDefault="00141F65" w:rsidP="00FE6DD5">
            <w:pPr>
              <w:spacing w:after="0" w:line="240" w:lineRule="auto"/>
              <w:rPr>
                <w:b/>
                <w:bCs/>
              </w:rPr>
            </w:pPr>
            <w:r w:rsidRPr="00141F65">
              <w:rPr>
                <w:b/>
                <w:bCs/>
              </w:rPr>
              <w:t>2015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E258A0" w14:textId="77777777" w:rsidR="00141F65" w:rsidRPr="00141F65" w:rsidRDefault="00141F65" w:rsidP="00FE6DD5">
            <w:pPr>
              <w:spacing w:after="0" w:line="240" w:lineRule="auto"/>
              <w:rPr>
                <w:b/>
                <w:bCs/>
              </w:rPr>
            </w:pPr>
            <w:r w:rsidRPr="00141F65">
              <w:rPr>
                <w:b/>
                <w:bCs/>
              </w:rPr>
              <w:t>2024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6ED3E8" w14:textId="77777777" w:rsidR="00141F65" w:rsidRPr="00141F65" w:rsidRDefault="00141F65" w:rsidP="00FE6DD5">
            <w:pPr>
              <w:spacing w:after="0" w:line="240" w:lineRule="auto"/>
              <w:rPr>
                <w:b/>
                <w:bCs/>
              </w:rPr>
            </w:pPr>
            <w:r w:rsidRPr="00141F65">
              <w:rPr>
                <w:b/>
                <w:bCs/>
              </w:rPr>
              <w:t>Change (Percentage Points)</w:t>
            </w:r>
          </w:p>
        </w:tc>
      </w:tr>
      <w:tr w:rsidR="00141F65" w:rsidRPr="00141F65" w14:paraId="7A4833BC" w14:textId="77777777" w:rsidTr="00FE6DD5">
        <w:trPr>
          <w:trHeight w:val="253"/>
          <w:jc w:val="center"/>
        </w:trPr>
        <w:tc>
          <w:tcPr>
            <w:tcW w:w="0" w:type="auto"/>
            <w:tcBorders>
              <w:top w:val="single" w:sz="4" w:space="0" w:color="auto"/>
            </w:tcBorders>
            <w:tcMar>
              <w:top w:w="150" w:type="dxa"/>
              <w:left w:w="0" w:type="dxa"/>
              <w:bottom w:w="150" w:type="dxa"/>
              <w:right w:w="240" w:type="dxa"/>
            </w:tcMar>
            <w:vAlign w:val="center"/>
            <w:hideMark/>
          </w:tcPr>
          <w:p w14:paraId="5ED8E537"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41DE64EB" w14:textId="77777777" w:rsidR="00141F65" w:rsidRPr="00141F65" w:rsidRDefault="00141F65" w:rsidP="00FE6DD5">
            <w:pPr>
              <w:spacing w:after="0" w:line="240" w:lineRule="auto"/>
            </w:pPr>
            <w:r w:rsidRPr="00141F65">
              <w:t>65.4</w:t>
            </w:r>
          </w:p>
        </w:tc>
        <w:tc>
          <w:tcPr>
            <w:tcW w:w="0" w:type="auto"/>
            <w:tcBorders>
              <w:top w:val="single" w:sz="4" w:space="0" w:color="auto"/>
            </w:tcBorders>
            <w:tcMar>
              <w:top w:w="150" w:type="dxa"/>
              <w:left w:w="240" w:type="dxa"/>
              <w:bottom w:w="150" w:type="dxa"/>
              <w:right w:w="240" w:type="dxa"/>
            </w:tcMar>
            <w:vAlign w:val="center"/>
            <w:hideMark/>
          </w:tcPr>
          <w:p w14:paraId="0BD26178" w14:textId="77777777" w:rsidR="00141F65" w:rsidRPr="00141F65" w:rsidRDefault="00141F65" w:rsidP="00FE6DD5">
            <w:pPr>
              <w:spacing w:after="0" w:line="240" w:lineRule="auto"/>
            </w:pPr>
            <w:r w:rsidRPr="00141F65">
              <w:t>62.7</w:t>
            </w:r>
          </w:p>
        </w:tc>
        <w:tc>
          <w:tcPr>
            <w:tcW w:w="0" w:type="auto"/>
            <w:tcBorders>
              <w:top w:val="single" w:sz="4" w:space="0" w:color="auto"/>
            </w:tcBorders>
            <w:tcMar>
              <w:top w:w="150" w:type="dxa"/>
              <w:left w:w="240" w:type="dxa"/>
              <w:bottom w:w="150" w:type="dxa"/>
              <w:right w:w="0" w:type="dxa"/>
            </w:tcMar>
            <w:vAlign w:val="center"/>
            <w:hideMark/>
          </w:tcPr>
          <w:p w14:paraId="20F1E0C2" w14:textId="77777777" w:rsidR="00141F65" w:rsidRPr="00141F65" w:rsidRDefault="00141F65" w:rsidP="00FE6DD5">
            <w:pPr>
              <w:spacing w:after="0" w:line="240" w:lineRule="auto"/>
            </w:pPr>
            <w:r w:rsidRPr="00141F65">
              <w:t>-2.7</w:t>
            </w:r>
          </w:p>
        </w:tc>
      </w:tr>
      <w:tr w:rsidR="00141F65" w:rsidRPr="00141F65" w14:paraId="5DFCBED3" w14:textId="77777777" w:rsidTr="00FE6DD5">
        <w:trPr>
          <w:trHeight w:val="243"/>
          <w:jc w:val="center"/>
        </w:trPr>
        <w:tc>
          <w:tcPr>
            <w:tcW w:w="0" w:type="auto"/>
            <w:tcMar>
              <w:top w:w="150" w:type="dxa"/>
              <w:left w:w="0" w:type="dxa"/>
              <w:bottom w:w="150" w:type="dxa"/>
              <w:right w:w="240" w:type="dxa"/>
            </w:tcMar>
            <w:vAlign w:val="center"/>
            <w:hideMark/>
          </w:tcPr>
          <w:p w14:paraId="3EF5BB84"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7427997B" w14:textId="77777777" w:rsidR="00141F65" w:rsidRPr="00141F65" w:rsidRDefault="00141F65" w:rsidP="00FE6DD5">
            <w:pPr>
              <w:spacing w:after="0" w:line="240" w:lineRule="auto"/>
            </w:pPr>
            <w:r w:rsidRPr="00141F65">
              <w:t>17.1</w:t>
            </w:r>
          </w:p>
        </w:tc>
        <w:tc>
          <w:tcPr>
            <w:tcW w:w="0" w:type="auto"/>
            <w:tcMar>
              <w:top w:w="150" w:type="dxa"/>
              <w:left w:w="240" w:type="dxa"/>
              <w:bottom w:w="150" w:type="dxa"/>
              <w:right w:w="240" w:type="dxa"/>
            </w:tcMar>
            <w:vAlign w:val="center"/>
            <w:hideMark/>
          </w:tcPr>
          <w:p w14:paraId="2E37FE6B" w14:textId="77777777" w:rsidR="00141F65" w:rsidRPr="00141F65" w:rsidRDefault="00141F65" w:rsidP="00FE6DD5">
            <w:pPr>
              <w:spacing w:after="0" w:line="240" w:lineRule="auto"/>
            </w:pPr>
            <w:r w:rsidRPr="00141F65">
              <w:t>10.9</w:t>
            </w:r>
          </w:p>
        </w:tc>
        <w:tc>
          <w:tcPr>
            <w:tcW w:w="0" w:type="auto"/>
            <w:tcMar>
              <w:top w:w="150" w:type="dxa"/>
              <w:left w:w="240" w:type="dxa"/>
              <w:bottom w:w="150" w:type="dxa"/>
              <w:right w:w="0" w:type="dxa"/>
            </w:tcMar>
            <w:vAlign w:val="center"/>
            <w:hideMark/>
          </w:tcPr>
          <w:p w14:paraId="352816BA" w14:textId="77777777" w:rsidR="00141F65" w:rsidRPr="00141F65" w:rsidRDefault="00141F65" w:rsidP="00FE6DD5">
            <w:pPr>
              <w:spacing w:after="0" w:line="240" w:lineRule="auto"/>
            </w:pPr>
            <w:r w:rsidRPr="00141F65">
              <w:rPr>
                <w:b/>
                <w:bCs/>
              </w:rPr>
              <w:t>-6.2</w:t>
            </w:r>
          </w:p>
        </w:tc>
      </w:tr>
      <w:tr w:rsidR="00141F65" w:rsidRPr="00141F65" w14:paraId="48ECBD19" w14:textId="77777777" w:rsidTr="00FE6DD5">
        <w:trPr>
          <w:trHeight w:val="243"/>
          <w:jc w:val="center"/>
        </w:trPr>
        <w:tc>
          <w:tcPr>
            <w:tcW w:w="0" w:type="auto"/>
            <w:tcMar>
              <w:top w:w="150" w:type="dxa"/>
              <w:left w:w="0" w:type="dxa"/>
              <w:bottom w:w="150" w:type="dxa"/>
              <w:right w:w="240" w:type="dxa"/>
            </w:tcMar>
            <w:vAlign w:val="center"/>
            <w:hideMark/>
          </w:tcPr>
          <w:p w14:paraId="44319C03"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E3B067E" w14:textId="77777777" w:rsidR="00141F65" w:rsidRPr="00141F65" w:rsidRDefault="00141F65" w:rsidP="00FE6DD5">
            <w:pPr>
              <w:spacing w:after="0" w:line="240" w:lineRule="auto"/>
            </w:pPr>
            <w:r w:rsidRPr="00141F65">
              <w:t>13.6</w:t>
            </w:r>
          </w:p>
        </w:tc>
        <w:tc>
          <w:tcPr>
            <w:tcW w:w="0" w:type="auto"/>
            <w:tcMar>
              <w:top w:w="150" w:type="dxa"/>
              <w:left w:w="240" w:type="dxa"/>
              <w:bottom w:w="150" w:type="dxa"/>
              <w:right w:w="240" w:type="dxa"/>
            </w:tcMar>
            <w:vAlign w:val="center"/>
            <w:hideMark/>
          </w:tcPr>
          <w:p w14:paraId="7974DCB9" w14:textId="77777777" w:rsidR="00141F65" w:rsidRPr="00141F65" w:rsidRDefault="00141F65" w:rsidP="00FE6DD5">
            <w:pPr>
              <w:spacing w:after="0" w:line="240" w:lineRule="auto"/>
            </w:pPr>
            <w:r w:rsidRPr="00141F65">
              <w:t>15.7</w:t>
            </w:r>
          </w:p>
        </w:tc>
        <w:tc>
          <w:tcPr>
            <w:tcW w:w="0" w:type="auto"/>
            <w:tcMar>
              <w:top w:w="150" w:type="dxa"/>
              <w:left w:w="240" w:type="dxa"/>
              <w:bottom w:w="150" w:type="dxa"/>
              <w:right w:w="0" w:type="dxa"/>
            </w:tcMar>
            <w:vAlign w:val="center"/>
            <w:hideMark/>
          </w:tcPr>
          <w:p w14:paraId="134493F4" w14:textId="77777777" w:rsidR="00141F65" w:rsidRPr="00141F65" w:rsidRDefault="00141F65" w:rsidP="00FE6DD5">
            <w:pPr>
              <w:spacing w:after="0" w:line="240" w:lineRule="auto"/>
            </w:pPr>
            <w:r w:rsidRPr="00141F65">
              <w:rPr>
                <w:b/>
                <w:bCs/>
              </w:rPr>
              <w:t>+2.1</w:t>
            </w:r>
          </w:p>
        </w:tc>
      </w:tr>
      <w:tr w:rsidR="00141F65" w:rsidRPr="00141F65" w14:paraId="7A632152" w14:textId="77777777" w:rsidTr="00FE6DD5">
        <w:trPr>
          <w:trHeight w:val="243"/>
          <w:jc w:val="center"/>
        </w:trPr>
        <w:tc>
          <w:tcPr>
            <w:tcW w:w="0" w:type="auto"/>
            <w:tcMar>
              <w:top w:w="150" w:type="dxa"/>
              <w:left w:w="0" w:type="dxa"/>
              <w:bottom w:w="150" w:type="dxa"/>
              <w:right w:w="240" w:type="dxa"/>
            </w:tcMar>
            <w:vAlign w:val="center"/>
            <w:hideMark/>
          </w:tcPr>
          <w:p w14:paraId="3D1F5088" w14:textId="77777777" w:rsidR="00141F65" w:rsidRPr="00141F65" w:rsidRDefault="00141F65" w:rsidP="00FE6DD5">
            <w:pPr>
              <w:spacing w:after="0" w:line="240" w:lineRule="auto"/>
            </w:pPr>
            <w:r w:rsidRPr="00141F65">
              <w:rPr>
                <w:b/>
                <w:bCs/>
              </w:rPr>
              <w:t>Vegetables</w:t>
            </w:r>
          </w:p>
        </w:tc>
        <w:tc>
          <w:tcPr>
            <w:tcW w:w="0" w:type="auto"/>
            <w:tcMar>
              <w:top w:w="150" w:type="dxa"/>
              <w:left w:w="240" w:type="dxa"/>
              <w:bottom w:w="150" w:type="dxa"/>
              <w:right w:w="240" w:type="dxa"/>
            </w:tcMar>
            <w:vAlign w:val="center"/>
            <w:hideMark/>
          </w:tcPr>
          <w:p w14:paraId="7561532F" w14:textId="77777777" w:rsidR="00141F65" w:rsidRPr="00141F65" w:rsidRDefault="00141F65" w:rsidP="00FE6DD5">
            <w:pPr>
              <w:spacing w:after="0" w:line="240" w:lineRule="auto"/>
            </w:pPr>
            <w:r w:rsidRPr="00141F65">
              <w:t>3.9</w:t>
            </w:r>
          </w:p>
        </w:tc>
        <w:tc>
          <w:tcPr>
            <w:tcW w:w="0" w:type="auto"/>
            <w:tcMar>
              <w:top w:w="150" w:type="dxa"/>
              <w:left w:w="240" w:type="dxa"/>
              <w:bottom w:w="150" w:type="dxa"/>
              <w:right w:w="240" w:type="dxa"/>
            </w:tcMar>
            <w:vAlign w:val="center"/>
            <w:hideMark/>
          </w:tcPr>
          <w:p w14:paraId="31C133DA" w14:textId="77777777" w:rsidR="00141F65" w:rsidRPr="00141F65" w:rsidRDefault="00141F65" w:rsidP="00FE6DD5">
            <w:pPr>
              <w:spacing w:after="0" w:line="240" w:lineRule="auto"/>
            </w:pPr>
            <w:r w:rsidRPr="00141F65">
              <w:t>4.7</w:t>
            </w:r>
          </w:p>
        </w:tc>
        <w:tc>
          <w:tcPr>
            <w:tcW w:w="0" w:type="auto"/>
            <w:tcMar>
              <w:top w:w="150" w:type="dxa"/>
              <w:left w:w="240" w:type="dxa"/>
              <w:bottom w:w="150" w:type="dxa"/>
              <w:right w:w="0" w:type="dxa"/>
            </w:tcMar>
            <w:vAlign w:val="center"/>
            <w:hideMark/>
          </w:tcPr>
          <w:p w14:paraId="5BEEFCBF" w14:textId="77777777" w:rsidR="00141F65" w:rsidRPr="00141F65" w:rsidRDefault="00141F65" w:rsidP="00FE6DD5">
            <w:pPr>
              <w:spacing w:after="0" w:line="240" w:lineRule="auto"/>
            </w:pPr>
            <w:r w:rsidRPr="00141F65">
              <w:t>+0.8</w:t>
            </w:r>
          </w:p>
        </w:tc>
      </w:tr>
    </w:tbl>
    <w:p w14:paraId="4802433F" w14:textId="0B2D454A" w:rsidR="00141F65" w:rsidRDefault="00141F65" w:rsidP="00141F65">
      <w:pPr>
        <w:rPr>
          <w:i/>
          <w:iCs/>
        </w:rPr>
      </w:pPr>
      <w:r w:rsidRPr="00141F65">
        <w:rPr>
          <w:i/>
          <w:iCs/>
        </w:rPr>
        <w:t>Source: Calculations based on TurkStat Crop Production Statistics (2015, 2024) data. (Note: Shares are relative to total agricultural area; other minor groups are not shown in the table.)</w:t>
      </w:r>
    </w:p>
    <w:p w14:paraId="62C7E8EB" w14:textId="77777777" w:rsidR="00FE6DD5" w:rsidRPr="00141F65" w:rsidRDefault="00FE6DD5" w:rsidP="00141F65"/>
    <w:p w14:paraId="4A589A4D" w14:textId="77777777" w:rsidR="008C41FC" w:rsidRPr="00767DDE" w:rsidRDefault="008C41FC" w:rsidP="008C41FC">
      <w:pPr>
        <w:jc w:val="both"/>
        <w:rPr>
          <w:highlight w:val="yellow"/>
        </w:rPr>
      </w:pPr>
      <w:r w:rsidRPr="00767DDE">
        <w:rPr>
          <w:highlight w:val="yellow"/>
        </w:rPr>
        <w:t>The national-level data reveals three intertwined structural shifts defining the decade:</w:t>
      </w:r>
    </w:p>
    <w:p w14:paraId="442446D3" w14:textId="77777777" w:rsidR="008C41FC" w:rsidRPr="00767DDE" w:rsidRDefault="008C41FC" w:rsidP="008C41FC">
      <w:pPr>
        <w:numPr>
          <w:ilvl w:val="0"/>
          <w:numId w:val="39"/>
        </w:numPr>
        <w:jc w:val="both"/>
        <w:rPr>
          <w:highlight w:val="yellow"/>
        </w:rPr>
      </w:pPr>
      <w:r w:rsidRPr="00767DDE">
        <w:rPr>
          <w:b/>
          <w:bCs/>
          <w:highlight w:val="yellow"/>
        </w:rPr>
        <w:t>The Dramatic Collapse of Fallow:</w:t>
      </w:r>
      <w:r w:rsidRPr="00767DDE">
        <w:rPr>
          <w:highlight w:val="yellow"/>
        </w:rPr>
        <w:t> The 6.2-point reduction is the most potent indicator of agricultural intensification. It signifies the widespread adoption of irrigation, increased chemical input use, and the abandonment of traditional soil-moisture conservation practices. While boosting annual production, this loss of fallow threatens long-term soil health and ecosystem services (Çelik, 2016).</w:t>
      </w:r>
    </w:p>
    <w:p w14:paraId="3EBDF81A" w14:textId="77777777" w:rsidR="008C41FC" w:rsidRPr="00767DDE" w:rsidRDefault="008C41FC" w:rsidP="008C41FC">
      <w:pPr>
        <w:numPr>
          <w:ilvl w:val="0"/>
          <w:numId w:val="39"/>
        </w:numPr>
        <w:jc w:val="both"/>
        <w:rPr>
          <w:highlight w:val="yellow"/>
        </w:rPr>
      </w:pPr>
      <w:r w:rsidRPr="00767DDE">
        <w:rPr>
          <w:b/>
          <w:bCs/>
          <w:highlight w:val="yellow"/>
        </w:rPr>
        <w:t>The Pronounced Rise of Fruit:</w:t>
      </w:r>
      <w:r w:rsidRPr="00767DDE">
        <w:rPr>
          <w:highlight w:val="yellow"/>
        </w:rPr>
        <w:t> The 2.1-point expansion of fruit orchards demonstrates a clear economic reorientation towards higher-value, exportable, and perennial crops. This is a direct response to market incentives and public investments in irrigation, particularly in regions like TRC.</w:t>
      </w:r>
    </w:p>
    <w:p w14:paraId="18E3C30E" w14:textId="593FA5D7" w:rsidR="008C41FC" w:rsidRPr="00767DDE" w:rsidRDefault="008C41FC" w:rsidP="008C41FC">
      <w:pPr>
        <w:numPr>
          <w:ilvl w:val="0"/>
          <w:numId w:val="39"/>
        </w:numPr>
        <w:jc w:val="both"/>
        <w:rPr>
          <w:highlight w:val="yellow"/>
        </w:rPr>
      </w:pPr>
      <w:r w:rsidRPr="00767DDE">
        <w:rPr>
          <w:b/>
          <w:bCs/>
          <w:highlight w:val="yellow"/>
        </w:rPr>
        <w:t>The Relative Contraction of Cereals:</w:t>
      </w:r>
      <w:r w:rsidRPr="00767DDE">
        <w:rPr>
          <w:highlight w:val="yellow"/>
        </w:rPr>
        <w:t> Although cereal area remains vast in absolute terms, its 2.7-point relative decline confirms that agriculture is diversifying. The growth of other sectors has outpaced that of cereals, reflecting a gradual, if incomplete, shift in national agricultural priorities towards higher-value markets.</w:t>
      </w:r>
    </w:p>
    <w:p w14:paraId="79CA03B1" w14:textId="77777777" w:rsidR="006155AE" w:rsidRPr="00767DDE" w:rsidRDefault="006155AE" w:rsidP="006155AE">
      <w:pPr>
        <w:ind w:left="360"/>
        <w:jc w:val="both"/>
        <w:rPr>
          <w:highlight w:val="yellow"/>
        </w:rPr>
      </w:pPr>
    </w:p>
    <w:p w14:paraId="5E70F8C3" w14:textId="77777777" w:rsidR="006155AE" w:rsidRPr="00767DDE" w:rsidRDefault="006155AE" w:rsidP="006155AE">
      <w:pPr>
        <w:jc w:val="both"/>
        <w:rPr>
          <w:b/>
          <w:bCs/>
          <w:highlight w:val="yellow"/>
        </w:rPr>
      </w:pPr>
      <w:r w:rsidRPr="00767DDE">
        <w:rPr>
          <w:b/>
          <w:bCs/>
          <w:highlight w:val="yellow"/>
        </w:rPr>
        <w:t>3.5. Sustainability and Socio-Ecological Risks in the New Agricultural Geography</w:t>
      </w:r>
    </w:p>
    <w:p w14:paraId="2F043E03" w14:textId="77777777" w:rsidR="006155AE" w:rsidRPr="00767DDE" w:rsidRDefault="006155AE" w:rsidP="006155AE">
      <w:pPr>
        <w:jc w:val="both"/>
        <w:rPr>
          <w:highlight w:val="yellow"/>
        </w:rPr>
      </w:pPr>
      <w:r w:rsidRPr="00767DDE">
        <w:rPr>
          <w:highlight w:val="yellow"/>
        </w:rPr>
        <w:t>The observed structural trends, while indicative of modernization, are generating significant sustainability dilemmas.</w:t>
      </w:r>
    </w:p>
    <w:p w14:paraId="50CBC584" w14:textId="77777777" w:rsidR="006155AE" w:rsidRPr="00767DDE" w:rsidRDefault="006155AE" w:rsidP="006155AE">
      <w:pPr>
        <w:jc w:val="both"/>
        <w:rPr>
          <w:highlight w:val="yellow"/>
        </w:rPr>
      </w:pPr>
    </w:p>
    <w:p w14:paraId="34653D48" w14:textId="0DB8CF0A" w:rsidR="006155AE" w:rsidRPr="00767DDE" w:rsidRDefault="006155AE" w:rsidP="006155AE">
      <w:pPr>
        <w:jc w:val="both"/>
        <w:rPr>
          <w:highlight w:val="yellow"/>
        </w:rPr>
      </w:pPr>
      <w:r w:rsidRPr="00767DDE">
        <w:rPr>
          <w:highlight w:val="yellow"/>
        </w:rPr>
        <w:t xml:space="preserve">Water Resource Pressure: The shift away from fallow and toward irrigated fruits and vegetables has dramatically increased agricultural water demand. In regions like TR7 (Konya Basin), satellite-based </w:t>
      </w:r>
      <w:r w:rsidRPr="00767DDE">
        <w:rPr>
          <w:highlight w:val="yellow"/>
        </w:rPr>
        <w:lastRenderedPageBreak/>
        <w:t>studies show groundwater tables are falling at alarming rates due to unsustainable extraction for irrigation, threatening the viability of agriculture itself (Erdogan et al., 2022). The expansion in TRC, while supported by surface water from GAP, risks salinization and could be jeopardized by recurring droughts and upstream water politics, with water footprint analyses indicating high stress (G</w:t>
      </w:r>
      <w:r w:rsidR="002101BD" w:rsidRPr="00767DDE">
        <w:rPr>
          <w:highlight w:val="yellow"/>
        </w:rPr>
        <w:t>ültaş</w:t>
      </w:r>
      <w:r w:rsidRPr="00767DDE">
        <w:rPr>
          <w:highlight w:val="yellow"/>
        </w:rPr>
        <w:t>, 2024).</w:t>
      </w:r>
    </w:p>
    <w:p w14:paraId="2AECD550" w14:textId="77777777" w:rsidR="006155AE" w:rsidRPr="00767DDE" w:rsidRDefault="006155AE" w:rsidP="006155AE">
      <w:pPr>
        <w:jc w:val="both"/>
        <w:rPr>
          <w:highlight w:val="yellow"/>
        </w:rPr>
      </w:pPr>
    </w:p>
    <w:p w14:paraId="5AC035F4" w14:textId="77777777" w:rsidR="006155AE" w:rsidRPr="00767DDE" w:rsidRDefault="006155AE" w:rsidP="006155AE">
      <w:pPr>
        <w:jc w:val="both"/>
        <w:rPr>
          <w:highlight w:val="yellow"/>
        </w:rPr>
      </w:pPr>
      <w:r w:rsidRPr="00767DDE">
        <w:rPr>
          <w:highlight w:val="yellow"/>
        </w:rPr>
        <w:t>Climate Change Vulnerability: Current specialization patterns are based on historical climate norms that are rapidly changing. Increased frequency of extreme heat, frost, and erratic rainfall poses direct threats to yield stability in specialized fruit (TRC, TR6) and vegetable regions (Türkeş, 2020). The IPCC (2022) warns that the Mediterranean Basin, including key Turkish agricultural regions, is a climate change hotspot, implying that climate change may force a costly and disruptive geographical restructuring of production in the coming decades.</w:t>
      </w:r>
    </w:p>
    <w:p w14:paraId="1AE2ADF4" w14:textId="77777777" w:rsidR="006155AE" w:rsidRPr="00767DDE" w:rsidRDefault="006155AE" w:rsidP="006155AE">
      <w:pPr>
        <w:jc w:val="both"/>
        <w:rPr>
          <w:highlight w:val="yellow"/>
        </w:rPr>
      </w:pPr>
    </w:p>
    <w:p w14:paraId="6799FF88" w14:textId="0A46D2DC" w:rsidR="00934640" w:rsidRPr="00767DDE" w:rsidRDefault="006155AE" w:rsidP="006155AE">
      <w:pPr>
        <w:jc w:val="both"/>
        <w:rPr>
          <w:highlight w:val="yellow"/>
        </w:rPr>
      </w:pPr>
      <w:r w:rsidRPr="00767DDE">
        <w:rPr>
          <w:highlight w:val="yellow"/>
        </w:rPr>
        <w:t>Socio-Economic Dimensions and Sustainability Challenges: Regional specialization has amplified income disparities and created distinct sustainability challenges. Farmers in high-value fruit and ornamental hubs typically earn significantly more than those in cereal-fallow systems, potentially accelerating rural out-migration from less favored areas (World Bank, 2014). Furthermore, the pursuit of intensification often overlooks long-term sustainability. Studies point to significant obstacles in adopting sustainable practices in Turkey, including knowledge gaps, high initial costs, and inadequate policy support, which hinder the transition to a more resilient agricultural model (Seçer et al., 2019). This underscores the need for policies that address not only ecological but also social and institutional barriers to sustainability.</w:t>
      </w:r>
    </w:p>
    <w:p w14:paraId="5A13F446" w14:textId="4A8EFDAB" w:rsidR="0075105E" w:rsidRPr="00767DDE" w:rsidRDefault="0075105E" w:rsidP="006155AE">
      <w:pPr>
        <w:jc w:val="both"/>
        <w:rPr>
          <w:highlight w:val="yellow"/>
        </w:rPr>
      </w:pPr>
    </w:p>
    <w:p w14:paraId="5DBDE781" w14:textId="77777777" w:rsidR="0075105E" w:rsidRPr="00767DDE" w:rsidRDefault="0075105E" w:rsidP="0075105E">
      <w:pPr>
        <w:jc w:val="both"/>
        <w:rPr>
          <w:b/>
          <w:bCs/>
          <w:highlight w:val="yellow"/>
        </w:rPr>
      </w:pPr>
      <w:r w:rsidRPr="00767DDE">
        <w:rPr>
          <w:b/>
          <w:bCs/>
          <w:highlight w:val="yellow"/>
        </w:rPr>
        <w:t>4. CONCLUSION AND POLICY RECOMMENDATIONS</w:t>
      </w:r>
    </w:p>
    <w:p w14:paraId="596736D9" w14:textId="1E48E413" w:rsidR="0075105E" w:rsidRPr="00767DDE" w:rsidRDefault="0075105E" w:rsidP="0075105E">
      <w:pPr>
        <w:jc w:val="both"/>
        <w:rPr>
          <w:highlight w:val="yellow"/>
        </w:rPr>
      </w:pPr>
      <w:r w:rsidRPr="00767DDE">
        <w:rPr>
          <w:highlight w:val="yellow"/>
        </w:rPr>
        <w:t>The 2015–2024 period marks a definitive structural break in Turkish agriculture, characterized by intensification, market integration, and rising regional specialization. While this transformation holds promise for increased productivity and farm incomes, it is unfolding against a backdrop of severe ecological constraints and growing climate risks. The sustainability of this new agricultural model cannot be taken for granted.</w:t>
      </w:r>
    </w:p>
    <w:p w14:paraId="6D628025" w14:textId="77777777" w:rsidR="00CC4183" w:rsidRPr="00767DDE" w:rsidRDefault="00CC4183" w:rsidP="0075105E">
      <w:pPr>
        <w:jc w:val="both"/>
        <w:rPr>
          <w:highlight w:val="yellow"/>
        </w:rPr>
      </w:pPr>
    </w:p>
    <w:p w14:paraId="67B00DC1" w14:textId="77777777" w:rsidR="0075105E" w:rsidRPr="00767DDE" w:rsidRDefault="0075105E" w:rsidP="0075105E">
      <w:pPr>
        <w:jc w:val="both"/>
        <w:rPr>
          <w:b/>
          <w:bCs/>
          <w:highlight w:val="yellow"/>
        </w:rPr>
      </w:pPr>
      <w:r w:rsidRPr="00767DDE">
        <w:rPr>
          <w:b/>
          <w:bCs/>
          <w:highlight w:val="yellow"/>
        </w:rPr>
        <w:t>Future Scenarios and the Imperative for Balanced Transition</w:t>
      </w:r>
    </w:p>
    <w:p w14:paraId="680C86AB" w14:textId="77777777" w:rsidR="0075105E" w:rsidRPr="00767DDE" w:rsidRDefault="0075105E" w:rsidP="0075105E">
      <w:pPr>
        <w:jc w:val="both"/>
        <w:rPr>
          <w:highlight w:val="yellow"/>
        </w:rPr>
      </w:pPr>
      <w:r w:rsidRPr="00767DDE">
        <w:rPr>
          <w:highlight w:val="yellow"/>
        </w:rPr>
        <w:t>The analysis points to three plausible future trajectories:</w:t>
      </w:r>
    </w:p>
    <w:p w14:paraId="43973AFE" w14:textId="77777777" w:rsidR="0075105E" w:rsidRPr="00767DDE" w:rsidRDefault="0075105E" w:rsidP="0075105E">
      <w:pPr>
        <w:numPr>
          <w:ilvl w:val="0"/>
          <w:numId w:val="40"/>
        </w:numPr>
        <w:jc w:val="both"/>
        <w:rPr>
          <w:highlight w:val="yellow"/>
        </w:rPr>
      </w:pPr>
      <w:r w:rsidRPr="00767DDE">
        <w:rPr>
          <w:b/>
          <w:bCs/>
          <w:highlight w:val="yellow"/>
        </w:rPr>
        <w:t>Scenario A (Uncontrolled Intensification):</w:t>
      </w:r>
      <w:r w:rsidRPr="00767DDE">
        <w:rPr>
          <w:highlight w:val="yellow"/>
        </w:rPr>
        <w:t> Continuation of current trends leads to resource depletion (water, soil) and ecosystem collapse in critical regions, as evidenced by falling groundwater levels in the Konya Basin (Erdogan et al., 2022).</w:t>
      </w:r>
    </w:p>
    <w:p w14:paraId="1BBEF931" w14:textId="4D2708BE" w:rsidR="0075105E" w:rsidRPr="00767DDE" w:rsidRDefault="0075105E" w:rsidP="0075105E">
      <w:pPr>
        <w:numPr>
          <w:ilvl w:val="0"/>
          <w:numId w:val="40"/>
        </w:numPr>
        <w:jc w:val="both"/>
        <w:rPr>
          <w:highlight w:val="yellow"/>
        </w:rPr>
      </w:pPr>
      <w:r w:rsidRPr="00767DDE">
        <w:rPr>
          <w:b/>
          <w:bCs/>
          <w:highlight w:val="yellow"/>
        </w:rPr>
        <w:t>Scenario B (Smart Specialization &amp; Balance):</w:t>
      </w:r>
      <w:r w:rsidRPr="00767DDE">
        <w:rPr>
          <w:highlight w:val="yellow"/>
        </w:rPr>
        <w:t> A managed transition where high-value production is pursued within strict ecological boundaries using sustainable practices and smart water management (G</w:t>
      </w:r>
      <w:r w:rsidR="002101BD" w:rsidRPr="00767DDE">
        <w:rPr>
          <w:highlight w:val="yellow"/>
        </w:rPr>
        <w:t>ültaş</w:t>
      </w:r>
      <w:r w:rsidRPr="00767DDE">
        <w:rPr>
          <w:highlight w:val="yellow"/>
        </w:rPr>
        <w:t>, 2024; Çelik, 2016).</w:t>
      </w:r>
    </w:p>
    <w:p w14:paraId="086A9B41" w14:textId="76DB0413" w:rsidR="0075105E" w:rsidRPr="00767DDE" w:rsidRDefault="0075105E" w:rsidP="0075105E">
      <w:pPr>
        <w:numPr>
          <w:ilvl w:val="0"/>
          <w:numId w:val="40"/>
        </w:numPr>
        <w:jc w:val="both"/>
        <w:rPr>
          <w:highlight w:val="yellow"/>
        </w:rPr>
      </w:pPr>
      <w:r w:rsidRPr="00767DDE">
        <w:rPr>
          <w:b/>
          <w:bCs/>
          <w:highlight w:val="yellow"/>
        </w:rPr>
        <w:t>Scenario C (Climate-Forced Restructuring):</w:t>
      </w:r>
      <w:r w:rsidRPr="00767DDE">
        <w:rPr>
          <w:highlight w:val="yellow"/>
        </w:rPr>
        <w:t> Reactive, costly shifts in production geography driven by acute climate impacts, as projected for the vulnerable Mediterranean basin (IPCC, 2022; Türkeş, 2020).</w:t>
      </w:r>
    </w:p>
    <w:p w14:paraId="4B3837D3" w14:textId="77777777" w:rsidR="00CC4183" w:rsidRPr="00767DDE" w:rsidRDefault="00CC4183" w:rsidP="00CC4183">
      <w:pPr>
        <w:ind w:left="720"/>
        <w:jc w:val="both"/>
        <w:rPr>
          <w:highlight w:val="yellow"/>
        </w:rPr>
      </w:pPr>
    </w:p>
    <w:p w14:paraId="7CD2C6E7" w14:textId="77777777" w:rsidR="0075105E" w:rsidRPr="00767DDE" w:rsidRDefault="0075105E" w:rsidP="0075105E">
      <w:pPr>
        <w:jc w:val="both"/>
        <w:rPr>
          <w:highlight w:val="yellow"/>
        </w:rPr>
      </w:pPr>
      <w:r w:rsidRPr="00767DDE">
        <w:rPr>
          <w:b/>
          <w:bCs/>
          <w:highlight w:val="yellow"/>
        </w:rPr>
        <w:lastRenderedPageBreak/>
        <w:t>Scenario B is the only sustainable pathway.</w:t>
      </w:r>
      <w:r w:rsidRPr="00767DDE">
        <w:rPr>
          <w:highlight w:val="yellow"/>
        </w:rPr>
        <w:t> To achieve it, a multi-stakeholder, policy-driven approach is essential. The following recommendations are structured by key actors:</w:t>
      </w:r>
    </w:p>
    <w:p w14:paraId="3D259842" w14:textId="77777777" w:rsidR="0075105E" w:rsidRPr="00767DDE" w:rsidRDefault="0075105E" w:rsidP="0075105E">
      <w:pPr>
        <w:jc w:val="both"/>
        <w:rPr>
          <w:highlight w:val="yellow"/>
        </w:rPr>
      </w:pPr>
      <w:r w:rsidRPr="00767DDE">
        <w:rPr>
          <w:b/>
          <w:bCs/>
          <w:highlight w:val="yellow"/>
        </w:rPr>
        <w:t>For Policymakers (National &amp; Regional Governments):</w:t>
      </w:r>
    </w:p>
    <w:p w14:paraId="664EFE0E" w14:textId="6D819F3B" w:rsidR="0075105E" w:rsidRPr="00767DDE" w:rsidRDefault="0075105E" w:rsidP="0075105E">
      <w:pPr>
        <w:numPr>
          <w:ilvl w:val="0"/>
          <w:numId w:val="41"/>
        </w:numPr>
        <w:jc w:val="both"/>
        <w:rPr>
          <w:highlight w:val="yellow"/>
        </w:rPr>
      </w:pPr>
      <w:r w:rsidRPr="00767DDE">
        <w:rPr>
          <w:b/>
          <w:bCs/>
          <w:highlight w:val="yellow"/>
        </w:rPr>
        <w:t>Implement Basin-Based Smart Specialization Plans:</w:t>
      </w:r>
      <w:r w:rsidRPr="00767DDE">
        <w:rPr>
          <w:highlight w:val="yellow"/>
        </w:rPr>
        <w:t> Mandate that regional crop patterns align with the renewable water capacity of each hydrological basin. Legislate restrictions on planting high water-consuming crops in stressed basins, using scientific assessments as a basis (G</w:t>
      </w:r>
      <w:r w:rsidR="002101BD" w:rsidRPr="00767DDE">
        <w:rPr>
          <w:highlight w:val="yellow"/>
        </w:rPr>
        <w:t>ültaş</w:t>
      </w:r>
      <w:r w:rsidRPr="00767DDE">
        <w:rPr>
          <w:highlight w:val="yellow"/>
        </w:rPr>
        <w:t>, 2024).</w:t>
      </w:r>
    </w:p>
    <w:p w14:paraId="7F75565E" w14:textId="77777777" w:rsidR="0075105E" w:rsidRPr="00767DDE" w:rsidRDefault="0075105E" w:rsidP="0075105E">
      <w:pPr>
        <w:numPr>
          <w:ilvl w:val="0"/>
          <w:numId w:val="41"/>
        </w:numPr>
        <w:jc w:val="both"/>
        <w:rPr>
          <w:highlight w:val="yellow"/>
        </w:rPr>
      </w:pPr>
      <w:r w:rsidRPr="00767DDE">
        <w:rPr>
          <w:b/>
          <w:bCs/>
          <w:highlight w:val="yellow"/>
        </w:rPr>
        <w:t>Promote Sustainable Intensification Practices:</w:t>
      </w:r>
      <w:r w:rsidRPr="00767DDE">
        <w:rPr>
          <w:highlight w:val="yellow"/>
        </w:rPr>
        <w:t> Scale up support for </w:t>
      </w:r>
      <w:r w:rsidRPr="00767DDE">
        <w:rPr>
          <w:b/>
          <w:bCs/>
          <w:highlight w:val="yellow"/>
        </w:rPr>
        <w:t>“Smart Fallow”</w:t>
      </w:r>
      <w:r w:rsidRPr="00767DDE">
        <w:rPr>
          <w:highlight w:val="yellow"/>
        </w:rPr>
        <w:t> (using cover crops for soil improvement instead of bare fallow), conservation agriculture, and precision irrigation through substantial subsidies and extension services, addressing the adoption obstacles identified by Seçer et al. (2019).</w:t>
      </w:r>
    </w:p>
    <w:p w14:paraId="537F5AF2" w14:textId="46C27B49" w:rsidR="0075105E" w:rsidRPr="00767DDE" w:rsidRDefault="0075105E" w:rsidP="0075105E">
      <w:pPr>
        <w:numPr>
          <w:ilvl w:val="0"/>
          <w:numId w:val="41"/>
        </w:numPr>
        <w:jc w:val="both"/>
        <w:rPr>
          <w:highlight w:val="yellow"/>
        </w:rPr>
      </w:pPr>
      <w:r w:rsidRPr="00767DDE">
        <w:rPr>
          <w:b/>
          <w:bCs/>
          <w:highlight w:val="yellow"/>
        </w:rPr>
        <w:t>Develop Robust Climate Adaptation Frameworks:</w:t>
      </w:r>
      <w:r w:rsidRPr="00767DDE">
        <w:rPr>
          <w:highlight w:val="yellow"/>
        </w:rPr>
        <w:t> Establish and fund crop insurance schemes tied to sustainable practices, create early warning systems for droughts/pests, and invest in R&amp;D for drought/heat-resistant crop varieties suitable for Turkey's changing climate (Türkeş, 2020).</w:t>
      </w:r>
    </w:p>
    <w:p w14:paraId="2E006CFF" w14:textId="77777777" w:rsidR="00CC4183" w:rsidRPr="00767DDE" w:rsidRDefault="00CC4183" w:rsidP="00CC4183">
      <w:pPr>
        <w:ind w:left="720"/>
        <w:jc w:val="both"/>
        <w:rPr>
          <w:highlight w:val="yellow"/>
        </w:rPr>
      </w:pPr>
    </w:p>
    <w:p w14:paraId="57D0C70F" w14:textId="77777777" w:rsidR="0075105E" w:rsidRPr="00767DDE" w:rsidRDefault="0075105E" w:rsidP="0075105E">
      <w:pPr>
        <w:jc w:val="both"/>
        <w:rPr>
          <w:highlight w:val="yellow"/>
        </w:rPr>
      </w:pPr>
      <w:r w:rsidRPr="00767DDE">
        <w:rPr>
          <w:b/>
          <w:bCs/>
          <w:highlight w:val="yellow"/>
        </w:rPr>
        <w:t>For Farmers and Agricultural Cooperatives:</w:t>
      </w:r>
    </w:p>
    <w:p w14:paraId="7F717FC9" w14:textId="77777777" w:rsidR="0075105E" w:rsidRPr="00767DDE" w:rsidRDefault="0075105E" w:rsidP="0075105E">
      <w:pPr>
        <w:numPr>
          <w:ilvl w:val="0"/>
          <w:numId w:val="42"/>
        </w:numPr>
        <w:jc w:val="both"/>
        <w:rPr>
          <w:highlight w:val="yellow"/>
        </w:rPr>
      </w:pPr>
      <w:r w:rsidRPr="00767DDE">
        <w:rPr>
          <w:b/>
          <w:bCs/>
          <w:highlight w:val="yellow"/>
        </w:rPr>
        <w:t>Adopt Water-Saving Technologies:</w:t>
      </w:r>
      <w:r w:rsidRPr="00767DDE">
        <w:rPr>
          <w:highlight w:val="yellow"/>
        </w:rPr>
        <w:t> Transition to drip irrigation and soil moisture monitoring to enhance water productivity and reduce pressure on scarce resources.</w:t>
      </w:r>
    </w:p>
    <w:p w14:paraId="40402D18" w14:textId="77777777" w:rsidR="0075105E" w:rsidRPr="00767DDE" w:rsidRDefault="0075105E" w:rsidP="0075105E">
      <w:pPr>
        <w:numPr>
          <w:ilvl w:val="0"/>
          <w:numId w:val="42"/>
        </w:numPr>
        <w:jc w:val="both"/>
        <w:rPr>
          <w:highlight w:val="yellow"/>
        </w:rPr>
      </w:pPr>
      <w:r w:rsidRPr="00767DDE">
        <w:rPr>
          <w:b/>
          <w:bCs/>
          <w:highlight w:val="yellow"/>
        </w:rPr>
        <w:t>Diversify Farm Enterprises:</w:t>
      </w:r>
      <w:r w:rsidRPr="00767DDE">
        <w:rPr>
          <w:highlight w:val="yellow"/>
        </w:rPr>
        <w:t> Integrate agroforestry, beekeeping, or organic production to build economic and ecological resilience, moving beyond monoculture systems.</w:t>
      </w:r>
    </w:p>
    <w:p w14:paraId="790EBAEC" w14:textId="6162456E" w:rsidR="0075105E" w:rsidRPr="00767DDE" w:rsidRDefault="0075105E" w:rsidP="0075105E">
      <w:pPr>
        <w:numPr>
          <w:ilvl w:val="0"/>
          <w:numId w:val="42"/>
        </w:numPr>
        <w:jc w:val="both"/>
        <w:rPr>
          <w:highlight w:val="yellow"/>
        </w:rPr>
      </w:pPr>
      <w:r w:rsidRPr="00767DDE">
        <w:rPr>
          <w:b/>
          <w:bCs/>
          <w:highlight w:val="yellow"/>
        </w:rPr>
        <w:t>Engage in Data-Driven Farming:</w:t>
      </w:r>
      <w:r w:rsidRPr="00767DDE">
        <w:rPr>
          <w:highlight w:val="yellow"/>
        </w:rPr>
        <w:t> Utilize available tools for better input management, aligning farm practices with both market signals and environmental limits.</w:t>
      </w:r>
    </w:p>
    <w:p w14:paraId="120E8227" w14:textId="77777777" w:rsidR="00CC4183" w:rsidRPr="00767DDE" w:rsidRDefault="00CC4183" w:rsidP="00CC4183">
      <w:pPr>
        <w:ind w:left="720"/>
        <w:jc w:val="both"/>
        <w:rPr>
          <w:highlight w:val="yellow"/>
        </w:rPr>
      </w:pPr>
    </w:p>
    <w:p w14:paraId="4525DB55" w14:textId="77777777" w:rsidR="0075105E" w:rsidRPr="00767DDE" w:rsidRDefault="0075105E" w:rsidP="0075105E">
      <w:pPr>
        <w:jc w:val="both"/>
        <w:rPr>
          <w:highlight w:val="yellow"/>
        </w:rPr>
      </w:pPr>
      <w:r w:rsidRPr="00767DDE">
        <w:rPr>
          <w:b/>
          <w:bCs/>
          <w:highlight w:val="yellow"/>
        </w:rPr>
        <w:t>For Researchers and Academia:</w:t>
      </w:r>
    </w:p>
    <w:p w14:paraId="585C1F6C" w14:textId="77777777" w:rsidR="0075105E" w:rsidRPr="00767DDE" w:rsidRDefault="0075105E" w:rsidP="0075105E">
      <w:pPr>
        <w:numPr>
          <w:ilvl w:val="0"/>
          <w:numId w:val="43"/>
        </w:numPr>
        <w:jc w:val="both"/>
        <w:rPr>
          <w:highlight w:val="yellow"/>
        </w:rPr>
      </w:pPr>
      <w:r w:rsidRPr="00767DDE">
        <w:rPr>
          <w:b/>
          <w:bCs/>
          <w:highlight w:val="yellow"/>
        </w:rPr>
        <w:t>Conduct Integrated Sustainability Assessments:</w:t>
      </w:r>
      <w:r w:rsidRPr="00767DDE">
        <w:rPr>
          <w:highlight w:val="yellow"/>
        </w:rPr>
        <w:t> Develop models that couple economic, hydrological, and climate data to identify sustainable cropping systems, building on studies of soil and water management (Zdruli et al., 2010).</w:t>
      </w:r>
    </w:p>
    <w:p w14:paraId="612E6061" w14:textId="77777777" w:rsidR="0075105E" w:rsidRPr="00767DDE" w:rsidRDefault="0075105E" w:rsidP="0075105E">
      <w:pPr>
        <w:numPr>
          <w:ilvl w:val="0"/>
          <w:numId w:val="43"/>
        </w:numPr>
        <w:jc w:val="both"/>
        <w:rPr>
          <w:highlight w:val="yellow"/>
        </w:rPr>
      </w:pPr>
      <w:r w:rsidRPr="00767DDE">
        <w:rPr>
          <w:b/>
          <w:bCs/>
          <w:highlight w:val="yellow"/>
        </w:rPr>
        <w:t>Strengthen Research on Climate-Resilient Crops and “Smart Fallow”</w:t>
      </w:r>
      <w:r w:rsidRPr="00767DDE">
        <w:rPr>
          <w:highlight w:val="yellow"/>
        </w:rPr>
        <w:t> systems suitable for Turkish conditions.</w:t>
      </w:r>
    </w:p>
    <w:p w14:paraId="4B344387" w14:textId="51A3C8F1" w:rsidR="0075105E" w:rsidRPr="00767DDE" w:rsidRDefault="0075105E" w:rsidP="0075105E">
      <w:pPr>
        <w:numPr>
          <w:ilvl w:val="0"/>
          <w:numId w:val="43"/>
        </w:numPr>
        <w:jc w:val="both"/>
        <w:rPr>
          <w:highlight w:val="yellow"/>
        </w:rPr>
      </w:pPr>
      <w:r w:rsidRPr="00767DDE">
        <w:rPr>
          <w:b/>
          <w:bCs/>
          <w:highlight w:val="yellow"/>
        </w:rPr>
        <w:t>Bridge the Knowledge-Practice Gap:</w:t>
      </w:r>
      <w:r w:rsidRPr="00767DDE">
        <w:rPr>
          <w:highlight w:val="yellow"/>
        </w:rPr>
        <w:t> Study and address the specific socio-economic and institutional barriers that prevent the adoption of sustainable practices among Turkish farmers (Seçer et al., 2019).</w:t>
      </w:r>
    </w:p>
    <w:p w14:paraId="136096ED" w14:textId="77777777" w:rsidR="00CC4183" w:rsidRPr="00767DDE" w:rsidRDefault="00CC4183" w:rsidP="00CC4183">
      <w:pPr>
        <w:ind w:left="720"/>
        <w:jc w:val="both"/>
        <w:rPr>
          <w:highlight w:val="yellow"/>
        </w:rPr>
      </w:pPr>
    </w:p>
    <w:p w14:paraId="2F0F672A" w14:textId="77777777" w:rsidR="0075105E" w:rsidRPr="00767DDE" w:rsidRDefault="0075105E" w:rsidP="0075105E">
      <w:pPr>
        <w:jc w:val="both"/>
        <w:rPr>
          <w:highlight w:val="yellow"/>
        </w:rPr>
      </w:pPr>
      <w:r w:rsidRPr="00767DDE">
        <w:rPr>
          <w:b/>
          <w:bCs/>
          <w:highlight w:val="yellow"/>
        </w:rPr>
        <w:t>For the Private Sector and Investors:</w:t>
      </w:r>
    </w:p>
    <w:p w14:paraId="7CF576EB" w14:textId="77777777" w:rsidR="0075105E" w:rsidRPr="00767DDE" w:rsidRDefault="0075105E" w:rsidP="0075105E">
      <w:pPr>
        <w:numPr>
          <w:ilvl w:val="0"/>
          <w:numId w:val="44"/>
        </w:numPr>
        <w:jc w:val="both"/>
        <w:rPr>
          <w:highlight w:val="yellow"/>
        </w:rPr>
      </w:pPr>
      <w:r w:rsidRPr="00767DDE">
        <w:rPr>
          <w:b/>
          <w:bCs/>
          <w:highlight w:val="yellow"/>
        </w:rPr>
        <w:t>Invest in Sustainable Value Chains:</w:t>
      </w:r>
      <w:r w:rsidRPr="00767DDE">
        <w:rPr>
          <w:highlight w:val="yellow"/>
        </w:rPr>
        <w:t> Develop and market products from sustainably certified farms, creating market incentives for good practices.</w:t>
      </w:r>
    </w:p>
    <w:p w14:paraId="6FE00C34" w14:textId="7B8ABF9C" w:rsidR="0075105E" w:rsidRPr="00767DDE" w:rsidRDefault="0075105E" w:rsidP="0075105E">
      <w:pPr>
        <w:numPr>
          <w:ilvl w:val="0"/>
          <w:numId w:val="44"/>
        </w:numPr>
        <w:jc w:val="both"/>
        <w:rPr>
          <w:highlight w:val="yellow"/>
        </w:rPr>
      </w:pPr>
      <w:r w:rsidRPr="00767DDE">
        <w:rPr>
          <w:b/>
          <w:bCs/>
          <w:highlight w:val="yellow"/>
        </w:rPr>
        <w:t>Promote Contract Farming Models</w:t>
      </w:r>
      <w:r w:rsidRPr="00767DDE">
        <w:rPr>
          <w:highlight w:val="yellow"/>
        </w:rPr>
        <w:t> that guarantee fair prices for farmers while requiring adherence to sustainable practice protocols.</w:t>
      </w:r>
    </w:p>
    <w:p w14:paraId="14E5C8BF" w14:textId="77777777" w:rsidR="00CC4183" w:rsidRPr="00767DDE" w:rsidRDefault="00CC4183" w:rsidP="00CC4183">
      <w:pPr>
        <w:ind w:left="720"/>
        <w:jc w:val="both"/>
        <w:rPr>
          <w:highlight w:val="yellow"/>
        </w:rPr>
      </w:pPr>
    </w:p>
    <w:p w14:paraId="01412A65" w14:textId="77777777" w:rsidR="0075105E" w:rsidRPr="00767DDE" w:rsidRDefault="0075105E" w:rsidP="0075105E">
      <w:pPr>
        <w:jc w:val="both"/>
        <w:rPr>
          <w:b/>
          <w:bCs/>
          <w:highlight w:val="yellow"/>
        </w:rPr>
      </w:pPr>
      <w:r w:rsidRPr="00767DDE">
        <w:rPr>
          <w:b/>
          <w:bCs/>
          <w:highlight w:val="yellow"/>
        </w:rPr>
        <w:lastRenderedPageBreak/>
        <w:t>Final Synthesis</w:t>
      </w:r>
    </w:p>
    <w:p w14:paraId="4A748C60" w14:textId="63D89AA4" w:rsidR="002D4270" w:rsidRDefault="0075105E" w:rsidP="00934640">
      <w:pPr>
        <w:jc w:val="both"/>
      </w:pPr>
      <w:r w:rsidRPr="00767DDE">
        <w:rPr>
          <w:highlight w:val="yellow"/>
        </w:rPr>
        <w:t>The dynamism of Turkish agriculture is undeniable. However, its future success will be measured not by production figures alone, but by its ability to evolve into a system that is </w:t>
      </w:r>
      <w:r w:rsidRPr="00767DDE">
        <w:rPr>
          <w:b/>
          <w:bCs/>
          <w:highlight w:val="yellow"/>
        </w:rPr>
        <w:t>productive, profitable, and sustainable</w:t>
      </w:r>
      <w:r w:rsidRPr="00767DDE">
        <w:rPr>
          <w:highlight w:val="yellow"/>
        </w:rPr>
        <w:t>. This requires a conscious departure from the “business-as-usual” intensification model toward a </w:t>
      </w:r>
      <w:r w:rsidRPr="00767DDE">
        <w:rPr>
          <w:b/>
          <w:bCs/>
          <w:highlight w:val="yellow"/>
        </w:rPr>
        <w:t>knowledge-based, ecologically balanced, and socially inclusive paradigm</w:t>
      </w:r>
      <w:r w:rsidRPr="00767DDE">
        <w:rPr>
          <w:highlight w:val="yellow"/>
        </w:rPr>
        <w:t>. The 2015-2024 data provides both a warning and a roadmap; the choices made in the coming decade will determine the resilience of Turkey’s agriculture and rural communities for generations to come.</w:t>
      </w:r>
    </w:p>
    <w:p w14:paraId="07B16C29" w14:textId="77777777" w:rsidR="00CC4183" w:rsidRDefault="00CC4183" w:rsidP="00934640">
      <w:pPr>
        <w:jc w:val="both"/>
      </w:pPr>
    </w:p>
    <w:p w14:paraId="42785B07" w14:textId="77777777" w:rsidR="00CC4183" w:rsidRDefault="00CC4183" w:rsidP="002D4270">
      <w:pPr>
        <w:jc w:val="both"/>
      </w:pPr>
    </w:p>
    <w:p w14:paraId="4AAE4289" w14:textId="619C410C" w:rsidR="002D4270" w:rsidRDefault="002D4270" w:rsidP="002D4270">
      <w:pPr>
        <w:jc w:val="both"/>
      </w:pPr>
      <w:r>
        <w:t>COMPETING INTERESTS DISCLAIMER:</w:t>
      </w:r>
    </w:p>
    <w:p w14:paraId="71661216" w14:textId="1A3B67AD" w:rsidR="002D4270" w:rsidRDefault="002D4270" w:rsidP="002D4270">
      <w:pPr>
        <w:jc w:val="both"/>
      </w:pPr>
      <w:r>
        <w:t>Authors have declared that they have no known competing financial interests OR non-financial interests OR personal relationships that could have appeared to influence the work reported in this paper.</w:t>
      </w:r>
    </w:p>
    <w:p w14:paraId="68A43E41" w14:textId="77777777" w:rsidR="00D466C6" w:rsidRPr="00D466C6" w:rsidRDefault="00D466C6" w:rsidP="00D466C6">
      <w:pPr>
        <w:keepNext/>
        <w:keepLines/>
        <w:spacing w:before="120" w:after="120" w:line="360" w:lineRule="auto"/>
        <w:jc w:val="both"/>
        <w:outlineLvl w:val="1"/>
        <w:rPr>
          <w:rFonts w:eastAsia="Times New Roman"/>
          <w:bCs/>
          <w:sz w:val="24"/>
          <w:szCs w:val="24"/>
          <w:highlight w:val="yellow"/>
          <w:lang w:val="en-GB" w:eastAsia="en-IN"/>
        </w:rPr>
      </w:pPr>
      <w:bookmarkStart w:id="1" w:name="_Hlk218867759"/>
      <w:r w:rsidRPr="00D466C6">
        <w:rPr>
          <w:rFonts w:eastAsia="Times New Roman"/>
          <w:bCs/>
          <w:sz w:val="24"/>
          <w:szCs w:val="24"/>
          <w:highlight w:val="yellow"/>
          <w:lang w:val="en-GB" w:eastAsia="en-IN"/>
        </w:rPr>
        <w:t>Disclaimer (Artificial intelligence)</w:t>
      </w:r>
    </w:p>
    <w:p w14:paraId="7FF520D2" w14:textId="77777777" w:rsidR="00D466C6" w:rsidRPr="00D466C6" w:rsidRDefault="00D466C6" w:rsidP="00D466C6">
      <w:pPr>
        <w:keepNext/>
        <w:keepLines/>
        <w:spacing w:before="120" w:after="120" w:line="360" w:lineRule="auto"/>
        <w:jc w:val="both"/>
        <w:outlineLvl w:val="1"/>
        <w:rPr>
          <w:rFonts w:eastAsia="Times New Roman"/>
          <w:bCs/>
          <w:sz w:val="24"/>
          <w:szCs w:val="24"/>
          <w:lang w:val="en-GB" w:eastAsia="en-IN"/>
        </w:rPr>
      </w:pPr>
      <w:r w:rsidRPr="00D466C6">
        <w:rPr>
          <w:rFonts w:eastAsia="Times New Roman"/>
          <w:bCs/>
          <w:sz w:val="24"/>
          <w:szCs w:val="24"/>
          <w:highlight w:val="yellow"/>
          <w:lang w:val="en-GB" w:eastAsia="en-IN"/>
        </w:rPr>
        <w:t>Author(s) hereby declare that NO generative AI technologies such as Large Language Models (</w:t>
      </w:r>
      <w:proofErr w:type="spellStart"/>
      <w:r w:rsidRPr="00D466C6">
        <w:rPr>
          <w:rFonts w:eastAsia="Times New Roman"/>
          <w:bCs/>
          <w:sz w:val="24"/>
          <w:szCs w:val="24"/>
          <w:highlight w:val="yellow"/>
          <w:lang w:val="en-GB" w:eastAsia="en-IN"/>
        </w:rPr>
        <w:t>ChatGPT</w:t>
      </w:r>
      <w:proofErr w:type="spellEnd"/>
      <w:r w:rsidRPr="00D466C6">
        <w:rPr>
          <w:rFonts w:eastAsia="Times New Roman"/>
          <w:bCs/>
          <w:sz w:val="24"/>
          <w:szCs w:val="24"/>
          <w:highlight w:val="yellow"/>
          <w:lang w:val="en-GB" w:eastAsia="en-IN"/>
        </w:rPr>
        <w:t>, COPILOT, etc.) and text-to-image generators have been used during the writing or editing of this manuscript.</w:t>
      </w:r>
      <w:r w:rsidRPr="00D466C6">
        <w:rPr>
          <w:rFonts w:eastAsia="Times New Roman"/>
          <w:bCs/>
          <w:sz w:val="24"/>
          <w:szCs w:val="24"/>
          <w:lang w:val="en-GB" w:eastAsia="en-IN"/>
        </w:rPr>
        <w:t xml:space="preserve"> </w:t>
      </w:r>
    </w:p>
    <w:bookmarkEnd w:id="1"/>
    <w:p w14:paraId="67ABE449" w14:textId="77777777" w:rsidR="00934640" w:rsidRPr="00705D34" w:rsidRDefault="00934640" w:rsidP="00656628">
      <w:pPr>
        <w:jc w:val="both"/>
      </w:pPr>
    </w:p>
    <w:p w14:paraId="3771AB1E" w14:textId="6DD749AC" w:rsidR="0075105E" w:rsidRPr="0075105E" w:rsidRDefault="0075105E" w:rsidP="0075105E">
      <w:pPr>
        <w:jc w:val="both"/>
      </w:pPr>
    </w:p>
    <w:p w14:paraId="1EBE75DE" w14:textId="77777777" w:rsidR="0075105E" w:rsidRPr="0075105E" w:rsidRDefault="0075105E" w:rsidP="0075105E">
      <w:pPr>
        <w:jc w:val="both"/>
        <w:rPr>
          <w:b/>
          <w:bCs/>
        </w:rPr>
      </w:pPr>
      <w:r w:rsidRPr="0075105E">
        <w:rPr>
          <w:b/>
          <w:bCs/>
        </w:rPr>
        <w:t>REFERENCES</w:t>
      </w:r>
    </w:p>
    <w:p w14:paraId="0BBC8292" w14:textId="77777777" w:rsidR="0075105E" w:rsidRPr="0075105E" w:rsidRDefault="0075105E" w:rsidP="00FF5D22">
      <w:pPr>
        <w:pStyle w:val="ListParagraph"/>
        <w:numPr>
          <w:ilvl w:val="0"/>
          <w:numId w:val="46"/>
        </w:numPr>
        <w:spacing w:after="0" w:line="240" w:lineRule="auto"/>
        <w:jc w:val="both"/>
      </w:pPr>
      <w:r w:rsidRPr="0075105E">
        <w:t>Benek, S. (2009). The Southeastern Anatolia Project (GAP) in terms of its emergence, development, and impact on the region. </w:t>
      </w:r>
      <w:r w:rsidRPr="00FF5D22">
        <w:rPr>
          <w:i/>
          <w:iCs/>
        </w:rPr>
        <w:t>Ankara University Faculty of Political Sciences Journal, 64</w:t>
      </w:r>
      <w:r w:rsidRPr="0075105E">
        <w:t>(03), 45–71.</w:t>
      </w:r>
    </w:p>
    <w:p w14:paraId="59E9C200" w14:textId="77777777" w:rsidR="0075105E" w:rsidRPr="0075105E" w:rsidRDefault="0075105E" w:rsidP="00FF5D22">
      <w:pPr>
        <w:pStyle w:val="ListParagraph"/>
        <w:numPr>
          <w:ilvl w:val="0"/>
          <w:numId w:val="46"/>
        </w:numPr>
        <w:spacing w:after="0" w:line="240" w:lineRule="auto"/>
        <w:jc w:val="both"/>
      </w:pPr>
      <w:r w:rsidRPr="0075105E">
        <w:t>Çelik, A. (2016). Steps to be taken for the adoption and dissemination of conservation tillage and direct seeding in Türkiye. </w:t>
      </w:r>
      <w:r w:rsidRPr="00FF5D22">
        <w:rPr>
          <w:i/>
          <w:iCs/>
        </w:rPr>
        <w:t>Journal of Agricultural Machinery Science, 12</w:t>
      </w:r>
      <w:r w:rsidRPr="0075105E">
        <w:t>(4), 243–253.</w:t>
      </w:r>
    </w:p>
    <w:p w14:paraId="77C46538" w14:textId="77777777" w:rsidR="0075105E" w:rsidRPr="0075105E" w:rsidRDefault="0075105E" w:rsidP="00FF5D22">
      <w:pPr>
        <w:pStyle w:val="ListParagraph"/>
        <w:numPr>
          <w:ilvl w:val="0"/>
          <w:numId w:val="46"/>
        </w:numPr>
        <w:spacing w:after="0" w:line="240" w:lineRule="auto"/>
        <w:jc w:val="both"/>
      </w:pPr>
      <w:r w:rsidRPr="0075105E">
        <w:t>Demiralay, İ. (2010). Opportunities for utilizing fallow lands in Türkiye. </w:t>
      </w:r>
      <w:r w:rsidRPr="00FF5D22">
        <w:rPr>
          <w:i/>
          <w:iCs/>
        </w:rPr>
        <w:t>Atatürk University Faculty of Agriculture Journal, 12</w:t>
      </w:r>
      <w:r w:rsidRPr="0075105E">
        <w:t>(2-3).</w:t>
      </w:r>
    </w:p>
    <w:p w14:paraId="446C12C6"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FAO. (2023). </w:t>
      </w:r>
      <w:r w:rsidRPr="00FF5D22">
        <w:rPr>
          <w:i/>
          <w:iCs/>
          <w:highlight w:val="yellow"/>
        </w:rPr>
        <w:t>The State of Food and Agriculture: Leveraging automation in agriculture for transforming agrifood systems</w:t>
      </w:r>
      <w:r w:rsidRPr="00FF5D22">
        <w:rPr>
          <w:highlight w:val="yellow"/>
        </w:rPr>
        <w:t>. Rome: Food and Agriculture Organization.</w:t>
      </w:r>
    </w:p>
    <w:p w14:paraId="01191278"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Erdogan, H., Oktar, O., Gezgin, C., Poyraz, F., Arslan, N. &amp; Yilmazturk, F. (2022). Investigating the effects of groundwater level changes on GNSS observations in the Konya Closed Basin. </w:t>
      </w:r>
      <w:r w:rsidRPr="00FF5D22">
        <w:rPr>
          <w:i/>
          <w:iCs/>
          <w:highlight w:val="yellow"/>
        </w:rPr>
        <w:t>Earth Sciences Research Journal, 25</w:t>
      </w:r>
      <w:r w:rsidRPr="00FF5D22">
        <w:rPr>
          <w:highlight w:val="yellow"/>
        </w:rPr>
        <w:t>(4), 405–414.</w:t>
      </w:r>
    </w:p>
    <w:p w14:paraId="39E64595"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IPCC. (2022). </w:t>
      </w:r>
      <w:r w:rsidRPr="00FF5D22">
        <w:rPr>
          <w:i/>
          <w:iCs/>
          <w:highlight w:val="yellow"/>
        </w:rPr>
        <w:t>Climate Change 2022: Impacts, Adaptation and Vulnerability. Contribution of Working Group II to the Sixth Assessment Report of the Intergovernmental Panel on Climate Change</w:t>
      </w:r>
      <w:r w:rsidRPr="00FF5D22">
        <w:rPr>
          <w:highlight w:val="yellow"/>
        </w:rPr>
        <w:t>. Cambridge University Press.</w:t>
      </w:r>
    </w:p>
    <w:p w14:paraId="5208439D"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Gürsoy, S. İ. (2020). Addressing the Challenge of Food Security in Türkiye. </w:t>
      </w:r>
      <w:r w:rsidRPr="00FF5D22">
        <w:rPr>
          <w:i/>
          <w:iCs/>
          <w:highlight w:val="yellow"/>
        </w:rPr>
        <w:t>Environmental Law and Policies in Türkiye, 31</w:t>
      </w:r>
      <w:r w:rsidRPr="00FF5D22">
        <w:rPr>
          <w:highlight w:val="yellow"/>
        </w:rPr>
        <w:t>, 127–140.</w:t>
      </w:r>
    </w:p>
    <w:p w14:paraId="2216C537" w14:textId="12D900DA" w:rsidR="0075105E" w:rsidRPr="0075105E" w:rsidRDefault="0075105E" w:rsidP="00FF5D22">
      <w:pPr>
        <w:pStyle w:val="ListParagraph"/>
        <w:numPr>
          <w:ilvl w:val="0"/>
          <w:numId w:val="46"/>
        </w:numPr>
        <w:spacing w:after="0" w:line="240" w:lineRule="auto"/>
        <w:jc w:val="both"/>
      </w:pPr>
      <w:r w:rsidRPr="00FF5D22">
        <w:rPr>
          <w:highlight w:val="yellow"/>
        </w:rPr>
        <w:t>G</w:t>
      </w:r>
      <w:r w:rsidR="002101BD" w:rsidRPr="00FF5D22">
        <w:rPr>
          <w:highlight w:val="yellow"/>
        </w:rPr>
        <w:t>ültaş</w:t>
      </w:r>
      <w:r w:rsidRPr="00FF5D22">
        <w:rPr>
          <w:highlight w:val="yellow"/>
        </w:rPr>
        <w:t>, H. T. (2024). Water Footprint Assessment of Agricultural Production in Bilecik Province. </w:t>
      </w:r>
      <w:r w:rsidRPr="00FF5D22">
        <w:rPr>
          <w:i/>
          <w:iCs/>
          <w:highlight w:val="yellow"/>
        </w:rPr>
        <w:t>Black Sea Journal of Agriculture, 7</w:t>
      </w:r>
      <w:r w:rsidRPr="00FF5D22">
        <w:rPr>
          <w:highlight w:val="yellow"/>
        </w:rPr>
        <w:t>(5), 515 - 523.</w:t>
      </w:r>
    </w:p>
    <w:p w14:paraId="5E988706" w14:textId="77777777" w:rsidR="0075105E" w:rsidRPr="0075105E" w:rsidRDefault="0075105E" w:rsidP="00FF5D22">
      <w:pPr>
        <w:pStyle w:val="ListParagraph"/>
        <w:numPr>
          <w:ilvl w:val="0"/>
          <w:numId w:val="46"/>
        </w:numPr>
        <w:spacing w:after="0" w:line="240" w:lineRule="auto"/>
        <w:jc w:val="both"/>
      </w:pPr>
      <w:r w:rsidRPr="0075105E">
        <w:t>Türkeş, M. (2020). Climate and drought in Turkey. In N. Harmancioglu &amp; D. Altinbilek (Eds.), </w:t>
      </w:r>
      <w:r w:rsidRPr="00FF5D22">
        <w:rPr>
          <w:i/>
          <w:iCs/>
        </w:rPr>
        <w:t>Water resources of Turkey</w:t>
      </w:r>
      <w:r w:rsidRPr="0075105E">
        <w:t> (pp. 85–125). Cham: Springer.</w:t>
      </w:r>
    </w:p>
    <w:p w14:paraId="1C80EC4A" w14:textId="77777777" w:rsidR="0075105E" w:rsidRPr="0075105E" w:rsidRDefault="0075105E" w:rsidP="00FF5D22">
      <w:pPr>
        <w:pStyle w:val="ListParagraph"/>
        <w:numPr>
          <w:ilvl w:val="0"/>
          <w:numId w:val="46"/>
        </w:numPr>
        <w:spacing w:after="0" w:line="240" w:lineRule="auto"/>
        <w:jc w:val="both"/>
      </w:pPr>
      <w:r w:rsidRPr="0075105E">
        <w:t>Taşçıoğlu, Y., &amp; Sayın, C. (2005). Cut flower production and export structure in Türkiye. </w:t>
      </w:r>
      <w:r w:rsidRPr="00FF5D22">
        <w:rPr>
          <w:i/>
          <w:iCs/>
        </w:rPr>
        <w:t>Akdeniz University Journal of the Faculty of Agriculture, 18</w:t>
      </w:r>
      <w:r w:rsidRPr="0075105E">
        <w:t>(3), 343–354.</w:t>
      </w:r>
    </w:p>
    <w:p w14:paraId="18F59712" w14:textId="77777777" w:rsidR="0075105E" w:rsidRPr="0075105E" w:rsidRDefault="0075105E" w:rsidP="00FF5D22">
      <w:pPr>
        <w:pStyle w:val="ListParagraph"/>
        <w:numPr>
          <w:ilvl w:val="0"/>
          <w:numId w:val="46"/>
        </w:numPr>
        <w:spacing w:after="0" w:line="240" w:lineRule="auto"/>
        <w:jc w:val="both"/>
      </w:pPr>
      <w:r w:rsidRPr="0075105E">
        <w:t>TÜİK. (2024). </w:t>
      </w:r>
      <w:r w:rsidRPr="00FF5D22">
        <w:rPr>
          <w:i/>
          <w:iCs/>
        </w:rPr>
        <w:t>Crop Production Statistics Methodology</w:t>
      </w:r>
      <w:r w:rsidRPr="0075105E">
        <w:t>. Turkish Statistical Institute.</w:t>
      </w:r>
    </w:p>
    <w:p w14:paraId="20B14C42" w14:textId="77777777" w:rsidR="0075105E" w:rsidRPr="0075105E" w:rsidRDefault="0075105E" w:rsidP="00FF5D22">
      <w:pPr>
        <w:pStyle w:val="ListParagraph"/>
        <w:numPr>
          <w:ilvl w:val="0"/>
          <w:numId w:val="46"/>
        </w:numPr>
        <w:spacing w:after="0" w:line="240" w:lineRule="auto"/>
        <w:jc w:val="both"/>
      </w:pPr>
      <w:r w:rsidRPr="00FF5D22">
        <w:rPr>
          <w:highlight w:val="yellow"/>
        </w:rPr>
        <w:lastRenderedPageBreak/>
        <w:t>Seçer, A., Bulut, M., &amp; Boğa, M. (2019). Sustainable Agriculture in Turkey: Potential, Obstacles and Recommendations. </w:t>
      </w:r>
      <w:r w:rsidRPr="00FF5D22">
        <w:rPr>
          <w:i/>
          <w:iCs/>
          <w:highlight w:val="yellow"/>
        </w:rPr>
        <w:t>Black Sea Journal of Public and Social Science, 2</w:t>
      </w:r>
      <w:r w:rsidRPr="00FF5D22">
        <w:rPr>
          <w:highlight w:val="yellow"/>
        </w:rPr>
        <w:t>(2), 69-73.</w:t>
      </w:r>
    </w:p>
    <w:p w14:paraId="4CC734BA"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Van Ittersum, M. K., Van Bussel, L. G. J., Wolf, J., Grassini, P., Van Wart, J., Guilpart, N., ... &amp; Cassman, K. G. (2016). Can sub-Saharan Africa feed itself? </w:t>
      </w:r>
      <w:r w:rsidRPr="00FF5D22">
        <w:rPr>
          <w:i/>
          <w:iCs/>
          <w:highlight w:val="yellow"/>
        </w:rPr>
        <w:t>Proceedings of the National Academy of Sciences, 113</w:t>
      </w:r>
      <w:r w:rsidRPr="00FF5D22">
        <w:rPr>
          <w:highlight w:val="yellow"/>
        </w:rPr>
        <w:t>(52), 14964–14969.</w:t>
      </w:r>
    </w:p>
    <w:p w14:paraId="113E989E"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World Bank. (2014). </w:t>
      </w:r>
      <w:r w:rsidRPr="00FF5D22">
        <w:rPr>
          <w:i/>
          <w:iCs/>
          <w:highlight w:val="yellow"/>
        </w:rPr>
        <w:t>Turkey - Agricultural sector survey: General report and annexes</w:t>
      </w:r>
      <w:r w:rsidRPr="00FF5D22">
        <w:rPr>
          <w:highlight w:val="yellow"/>
        </w:rPr>
        <w:t> (Vol. 1). Washington, DC: World Bank.</w:t>
      </w:r>
    </w:p>
    <w:p w14:paraId="29719F18" w14:textId="77777777" w:rsidR="0075105E" w:rsidRPr="00FF5D22" w:rsidRDefault="0075105E" w:rsidP="00FF5D22">
      <w:pPr>
        <w:pStyle w:val="ListParagraph"/>
        <w:numPr>
          <w:ilvl w:val="0"/>
          <w:numId w:val="46"/>
        </w:numPr>
        <w:spacing w:after="0" w:line="240" w:lineRule="auto"/>
        <w:jc w:val="both"/>
        <w:rPr>
          <w:highlight w:val="yellow"/>
        </w:rPr>
      </w:pPr>
      <w:r w:rsidRPr="00FF5D22">
        <w:rPr>
          <w:highlight w:val="yellow"/>
        </w:rPr>
        <w:t>Yıldırım, M. (2025). Sustainable land and water resources use in the agricultural sector. </w:t>
      </w:r>
      <w:r w:rsidRPr="00FF5D22">
        <w:rPr>
          <w:i/>
          <w:iCs/>
          <w:highlight w:val="yellow"/>
        </w:rPr>
        <w:t>Şura Academy, (8 ENVIRONMENT)</w:t>
      </w:r>
      <w:r w:rsidRPr="00FF5D22">
        <w:rPr>
          <w:highlight w:val="yellow"/>
        </w:rPr>
        <w:t>, 23–36.</w:t>
      </w:r>
    </w:p>
    <w:p w14:paraId="06F13051" w14:textId="77777777" w:rsidR="0075105E" w:rsidRPr="0075105E" w:rsidRDefault="0075105E" w:rsidP="00FF5D22">
      <w:pPr>
        <w:pStyle w:val="ListParagraph"/>
        <w:numPr>
          <w:ilvl w:val="0"/>
          <w:numId w:val="46"/>
        </w:numPr>
        <w:spacing w:after="0" w:line="240" w:lineRule="auto"/>
        <w:jc w:val="both"/>
      </w:pPr>
      <w:r w:rsidRPr="00FF5D22">
        <w:rPr>
          <w:highlight w:val="yellow"/>
        </w:rPr>
        <w:t>Zdruli, P., Kapur, S., &amp; Çelik, I. (2010). Soils of the Mediterranean region, their characteristics, management and sustainable use. In S. Kapur, H. Eswaran, &amp; W. Blum (Eds.), </w:t>
      </w:r>
      <w:r w:rsidRPr="00FF5D22">
        <w:rPr>
          <w:i/>
          <w:iCs/>
          <w:highlight w:val="yellow"/>
        </w:rPr>
        <w:t>Sustainable land management: learning from the past for the future</w:t>
      </w:r>
      <w:r w:rsidRPr="00FF5D22">
        <w:rPr>
          <w:highlight w:val="yellow"/>
        </w:rPr>
        <w:t> (pp. 125-142). Berlin, Heidelberg: Springer Berlin Heidelberg.</w:t>
      </w:r>
    </w:p>
    <w:p w14:paraId="7DFC43D1" w14:textId="77777777" w:rsidR="00656628" w:rsidRPr="00141F65" w:rsidRDefault="00656628" w:rsidP="00656628"/>
    <w:p w14:paraId="70EF48B9" w14:textId="77777777" w:rsidR="00656628" w:rsidRPr="00141F65" w:rsidRDefault="00656628" w:rsidP="00656628">
      <w:pPr>
        <w:jc w:val="both"/>
      </w:pPr>
    </w:p>
    <w:p w14:paraId="16FE6A21" w14:textId="77777777" w:rsidR="00501B30" w:rsidRDefault="00501B30" w:rsidP="00990E30"/>
    <w:sectPr w:rsidR="00501B30" w:rsidSect="007551C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096E" w14:textId="77777777" w:rsidR="00753455" w:rsidRDefault="00753455" w:rsidP="001A51D5">
      <w:pPr>
        <w:spacing w:after="0" w:line="240" w:lineRule="auto"/>
      </w:pPr>
      <w:r>
        <w:separator/>
      </w:r>
    </w:p>
  </w:endnote>
  <w:endnote w:type="continuationSeparator" w:id="0">
    <w:p w14:paraId="342917AD" w14:textId="77777777" w:rsidR="00753455" w:rsidRDefault="00753455" w:rsidP="001A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C89A" w14:textId="77777777" w:rsidR="001A51D5" w:rsidRDefault="001A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50F8" w14:textId="77777777" w:rsidR="001A51D5" w:rsidRDefault="001A5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3B49" w14:textId="77777777" w:rsidR="001A51D5" w:rsidRDefault="001A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0004" w14:textId="77777777" w:rsidR="00753455" w:rsidRDefault="00753455" w:rsidP="001A51D5">
      <w:pPr>
        <w:spacing w:after="0" w:line="240" w:lineRule="auto"/>
      </w:pPr>
      <w:r>
        <w:separator/>
      </w:r>
    </w:p>
  </w:footnote>
  <w:footnote w:type="continuationSeparator" w:id="0">
    <w:p w14:paraId="3ECE41F3" w14:textId="77777777" w:rsidR="00753455" w:rsidRDefault="00753455" w:rsidP="001A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121C" w14:textId="5DD12F2A" w:rsidR="001A51D5" w:rsidRDefault="00753455">
    <w:pPr>
      <w:pStyle w:val="Header"/>
    </w:pPr>
    <w:r>
      <w:rPr>
        <w:noProof/>
      </w:rPr>
      <w:pict w14:anchorId="03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275A" w14:textId="77FAC664" w:rsidR="001A51D5" w:rsidRDefault="00753455">
    <w:pPr>
      <w:pStyle w:val="Header"/>
    </w:pPr>
    <w:r>
      <w:rPr>
        <w:noProof/>
      </w:rPr>
      <w:pict w14:anchorId="7A9D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73D3" w14:textId="2D0CA131" w:rsidR="001A51D5" w:rsidRDefault="00753455">
    <w:pPr>
      <w:pStyle w:val="Header"/>
    </w:pPr>
    <w:r>
      <w:rPr>
        <w:noProof/>
      </w:rPr>
      <w:pict w14:anchorId="103D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8B5"/>
    <w:multiLevelType w:val="hybridMultilevel"/>
    <w:tmpl w:val="2EB06898"/>
    <w:lvl w:ilvl="0" w:tplc="27B0DEBC">
      <w:start w:val="1"/>
      <w:numFmt w:val="decimal"/>
      <w:lvlText w:val="%1."/>
      <w:lvlJc w:val="left"/>
      <w:pPr>
        <w:tabs>
          <w:tab w:val="num" w:pos="720"/>
        </w:tabs>
        <w:ind w:left="720" w:hanging="360"/>
      </w:pPr>
    </w:lvl>
    <w:lvl w:ilvl="1" w:tplc="59EE5D7E">
      <w:start w:val="1"/>
      <w:numFmt w:val="bullet"/>
      <w:lvlText w:val="o"/>
      <w:lvlJc w:val="left"/>
      <w:pPr>
        <w:tabs>
          <w:tab w:val="num" w:pos="1440"/>
        </w:tabs>
        <w:ind w:left="1440" w:hanging="360"/>
      </w:pPr>
      <w:rPr>
        <w:rFonts w:ascii="Courier New" w:hAnsi="Courier New" w:hint="default"/>
        <w:sz w:val="20"/>
      </w:rPr>
    </w:lvl>
    <w:lvl w:ilvl="2" w:tplc="3572E49A">
      <w:start w:val="1"/>
      <w:numFmt w:val="decimal"/>
      <w:lvlText w:val="%3."/>
      <w:lvlJc w:val="left"/>
      <w:pPr>
        <w:tabs>
          <w:tab w:val="num" w:pos="2160"/>
        </w:tabs>
        <w:ind w:left="2160" w:hanging="360"/>
      </w:pPr>
    </w:lvl>
    <w:lvl w:ilvl="3" w:tplc="8624B66A" w:tentative="1">
      <w:start w:val="1"/>
      <w:numFmt w:val="decimal"/>
      <w:lvlText w:val="%4."/>
      <w:lvlJc w:val="left"/>
      <w:pPr>
        <w:tabs>
          <w:tab w:val="num" w:pos="2880"/>
        </w:tabs>
        <w:ind w:left="2880" w:hanging="360"/>
      </w:pPr>
    </w:lvl>
    <w:lvl w:ilvl="4" w:tplc="9FA0370A" w:tentative="1">
      <w:start w:val="1"/>
      <w:numFmt w:val="decimal"/>
      <w:lvlText w:val="%5."/>
      <w:lvlJc w:val="left"/>
      <w:pPr>
        <w:tabs>
          <w:tab w:val="num" w:pos="3600"/>
        </w:tabs>
        <w:ind w:left="3600" w:hanging="360"/>
      </w:pPr>
    </w:lvl>
    <w:lvl w:ilvl="5" w:tplc="CE229C4A" w:tentative="1">
      <w:start w:val="1"/>
      <w:numFmt w:val="decimal"/>
      <w:lvlText w:val="%6."/>
      <w:lvlJc w:val="left"/>
      <w:pPr>
        <w:tabs>
          <w:tab w:val="num" w:pos="4320"/>
        </w:tabs>
        <w:ind w:left="4320" w:hanging="360"/>
      </w:pPr>
    </w:lvl>
    <w:lvl w:ilvl="6" w:tplc="3BDAA21A" w:tentative="1">
      <w:start w:val="1"/>
      <w:numFmt w:val="decimal"/>
      <w:lvlText w:val="%7."/>
      <w:lvlJc w:val="left"/>
      <w:pPr>
        <w:tabs>
          <w:tab w:val="num" w:pos="5040"/>
        </w:tabs>
        <w:ind w:left="5040" w:hanging="360"/>
      </w:pPr>
    </w:lvl>
    <w:lvl w:ilvl="7" w:tplc="7092FCB6" w:tentative="1">
      <w:start w:val="1"/>
      <w:numFmt w:val="decimal"/>
      <w:lvlText w:val="%8."/>
      <w:lvlJc w:val="left"/>
      <w:pPr>
        <w:tabs>
          <w:tab w:val="num" w:pos="5760"/>
        </w:tabs>
        <w:ind w:left="5760" w:hanging="360"/>
      </w:pPr>
    </w:lvl>
    <w:lvl w:ilvl="8" w:tplc="7DEEAE70" w:tentative="1">
      <w:start w:val="1"/>
      <w:numFmt w:val="decimal"/>
      <w:lvlText w:val="%9."/>
      <w:lvlJc w:val="left"/>
      <w:pPr>
        <w:tabs>
          <w:tab w:val="num" w:pos="6480"/>
        </w:tabs>
        <w:ind w:left="6480" w:hanging="360"/>
      </w:pPr>
    </w:lvl>
  </w:abstractNum>
  <w:abstractNum w:abstractNumId="1" w15:restartNumberingAfterBreak="0">
    <w:nsid w:val="06FF1B21"/>
    <w:multiLevelType w:val="multilevel"/>
    <w:tmpl w:val="EDF2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14649"/>
    <w:multiLevelType w:val="multilevel"/>
    <w:tmpl w:val="558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73BC"/>
    <w:multiLevelType w:val="multilevel"/>
    <w:tmpl w:val="6C9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6316"/>
    <w:multiLevelType w:val="multilevel"/>
    <w:tmpl w:val="F8E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F4651"/>
    <w:multiLevelType w:val="multilevel"/>
    <w:tmpl w:val="A76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96090"/>
    <w:multiLevelType w:val="multilevel"/>
    <w:tmpl w:val="7C5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F7220"/>
    <w:multiLevelType w:val="multilevel"/>
    <w:tmpl w:val="E9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43F99"/>
    <w:multiLevelType w:val="multilevel"/>
    <w:tmpl w:val="491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2C57"/>
    <w:multiLevelType w:val="hybridMultilevel"/>
    <w:tmpl w:val="9836C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DE24CB"/>
    <w:multiLevelType w:val="multilevel"/>
    <w:tmpl w:val="8A2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56734"/>
    <w:multiLevelType w:val="multilevel"/>
    <w:tmpl w:val="22CC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221E6"/>
    <w:multiLevelType w:val="multilevel"/>
    <w:tmpl w:val="7F6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4346F"/>
    <w:multiLevelType w:val="multilevel"/>
    <w:tmpl w:val="A8C8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264C5"/>
    <w:multiLevelType w:val="multilevel"/>
    <w:tmpl w:val="2A9E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A4187"/>
    <w:multiLevelType w:val="multilevel"/>
    <w:tmpl w:val="5048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4D0197"/>
    <w:multiLevelType w:val="multilevel"/>
    <w:tmpl w:val="6ED8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013CD"/>
    <w:multiLevelType w:val="multilevel"/>
    <w:tmpl w:val="87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E7358"/>
    <w:multiLevelType w:val="multilevel"/>
    <w:tmpl w:val="8D1A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27E84"/>
    <w:multiLevelType w:val="multilevel"/>
    <w:tmpl w:val="C4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0055B5"/>
    <w:multiLevelType w:val="multilevel"/>
    <w:tmpl w:val="976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159C5"/>
    <w:multiLevelType w:val="multilevel"/>
    <w:tmpl w:val="4750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5041ED"/>
    <w:multiLevelType w:val="multilevel"/>
    <w:tmpl w:val="B274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1178B0"/>
    <w:multiLevelType w:val="multilevel"/>
    <w:tmpl w:val="711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7567C"/>
    <w:multiLevelType w:val="multilevel"/>
    <w:tmpl w:val="30C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B070EC"/>
    <w:multiLevelType w:val="multilevel"/>
    <w:tmpl w:val="97CE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D452E3"/>
    <w:multiLevelType w:val="multilevel"/>
    <w:tmpl w:val="13A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1E5E5D"/>
    <w:multiLevelType w:val="multilevel"/>
    <w:tmpl w:val="A8B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06BD8"/>
    <w:multiLevelType w:val="multilevel"/>
    <w:tmpl w:val="2DAEC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FF282D"/>
    <w:multiLevelType w:val="multilevel"/>
    <w:tmpl w:val="035E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E03D6"/>
    <w:multiLevelType w:val="multilevel"/>
    <w:tmpl w:val="D2882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A1111"/>
    <w:multiLevelType w:val="multilevel"/>
    <w:tmpl w:val="EEE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E4FAB"/>
    <w:multiLevelType w:val="multilevel"/>
    <w:tmpl w:val="1D8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7D747C"/>
    <w:multiLevelType w:val="multilevel"/>
    <w:tmpl w:val="311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727221"/>
    <w:multiLevelType w:val="multilevel"/>
    <w:tmpl w:val="4AC2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B736FD"/>
    <w:multiLevelType w:val="multilevel"/>
    <w:tmpl w:val="AAB0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BE0834"/>
    <w:multiLevelType w:val="multilevel"/>
    <w:tmpl w:val="CCAA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F2E47"/>
    <w:multiLevelType w:val="hybridMultilevel"/>
    <w:tmpl w:val="12603762"/>
    <w:lvl w:ilvl="0" w:tplc="30E2AB46">
      <w:start w:val="1"/>
      <w:numFmt w:val="decimal"/>
      <w:lvlText w:val="%1."/>
      <w:lvlJc w:val="left"/>
      <w:pPr>
        <w:tabs>
          <w:tab w:val="num" w:pos="720"/>
        </w:tabs>
        <w:ind w:left="720" w:hanging="360"/>
      </w:pPr>
    </w:lvl>
    <w:lvl w:ilvl="1" w:tplc="433847C6">
      <w:start w:val="1"/>
      <w:numFmt w:val="bullet"/>
      <w:lvlText w:val="o"/>
      <w:lvlJc w:val="left"/>
      <w:pPr>
        <w:tabs>
          <w:tab w:val="num" w:pos="1440"/>
        </w:tabs>
        <w:ind w:left="1440" w:hanging="360"/>
      </w:pPr>
      <w:rPr>
        <w:rFonts w:ascii="Courier New" w:hAnsi="Courier New" w:hint="default"/>
        <w:sz w:val="20"/>
      </w:rPr>
    </w:lvl>
    <w:lvl w:ilvl="2" w:tplc="C33A26E8">
      <w:start w:val="1"/>
      <w:numFmt w:val="decimal"/>
      <w:lvlText w:val="%3."/>
      <w:lvlJc w:val="left"/>
      <w:pPr>
        <w:tabs>
          <w:tab w:val="num" w:pos="2160"/>
        </w:tabs>
        <w:ind w:left="2160" w:hanging="360"/>
      </w:pPr>
    </w:lvl>
    <w:lvl w:ilvl="3" w:tplc="07FCBD54" w:tentative="1">
      <w:start w:val="1"/>
      <w:numFmt w:val="decimal"/>
      <w:lvlText w:val="%4."/>
      <w:lvlJc w:val="left"/>
      <w:pPr>
        <w:tabs>
          <w:tab w:val="num" w:pos="2880"/>
        </w:tabs>
        <w:ind w:left="2880" w:hanging="360"/>
      </w:pPr>
    </w:lvl>
    <w:lvl w:ilvl="4" w:tplc="B980E586" w:tentative="1">
      <w:start w:val="1"/>
      <w:numFmt w:val="decimal"/>
      <w:lvlText w:val="%5."/>
      <w:lvlJc w:val="left"/>
      <w:pPr>
        <w:tabs>
          <w:tab w:val="num" w:pos="3600"/>
        </w:tabs>
        <w:ind w:left="3600" w:hanging="360"/>
      </w:pPr>
    </w:lvl>
    <w:lvl w:ilvl="5" w:tplc="E3D8959C" w:tentative="1">
      <w:start w:val="1"/>
      <w:numFmt w:val="decimal"/>
      <w:lvlText w:val="%6."/>
      <w:lvlJc w:val="left"/>
      <w:pPr>
        <w:tabs>
          <w:tab w:val="num" w:pos="4320"/>
        </w:tabs>
        <w:ind w:left="4320" w:hanging="360"/>
      </w:pPr>
    </w:lvl>
    <w:lvl w:ilvl="6" w:tplc="E7B6D46A" w:tentative="1">
      <w:start w:val="1"/>
      <w:numFmt w:val="decimal"/>
      <w:lvlText w:val="%7."/>
      <w:lvlJc w:val="left"/>
      <w:pPr>
        <w:tabs>
          <w:tab w:val="num" w:pos="5040"/>
        </w:tabs>
        <w:ind w:left="5040" w:hanging="360"/>
      </w:pPr>
    </w:lvl>
    <w:lvl w:ilvl="7" w:tplc="8BC6D430" w:tentative="1">
      <w:start w:val="1"/>
      <w:numFmt w:val="decimal"/>
      <w:lvlText w:val="%8."/>
      <w:lvlJc w:val="left"/>
      <w:pPr>
        <w:tabs>
          <w:tab w:val="num" w:pos="5760"/>
        </w:tabs>
        <w:ind w:left="5760" w:hanging="360"/>
      </w:pPr>
    </w:lvl>
    <w:lvl w:ilvl="8" w:tplc="D1F2C7EA" w:tentative="1">
      <w:start w:val="1"/>
      <w:numFmt w:val="decimal"/>
      <w:lvlText w:val="%9."/>
      <w:lvlJc w:val="left"/>
      <w:pPr>
        <w:tabs>
          <w:tab w:val="num" w:pos="6480"/>
        </w:tabs>
        <w:ind w:left="6480" w:hanging="360"/>
      </w:pPr>
    </w:lvl>
  </w:abstractNum>
  <w:abstractNum w:abstractNumId="38" w15:restartNumberingAfterBreak="0">
    <w:nsid w:val="60EA32F1"/>
    <w:multiLevelType w:val="multilevel"/>
    <w:tmpl w:val="0F9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57D7F"/>
    <w:multiLevelType w:val="multilevel"/>
    <w:tmpl w:val="972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37407"/>
    <w:multiLevelType w:val="multilevel"/>
    <w:tmpl w:val="0CB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3123B7"/>
    <w:multiLevelType w:val="multilevel"/>
    <w:tmpl w:val="BABA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B5D65"/>
    <w:multiLevelType w:val="hybridMultilevel"/>
    <w:tmpl w:val="C712926E"/>
    <w:lvl w:ilvl="0" w:tplc="ACB04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1709FB"/>
    <w:multiLevelType w:val="multilevel"/>
    <w:tmpl w:val="4B0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AD1ED8"/>
    <w:multiLevelType w:val="multilevel"/>
    <w:tmpl w:val="8F46DF7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DCC4B08"/>
    <w:multiLevelType w:val="multilevel"/>
    <w:tmpl w:val="793A3EC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13"/>
  </w:num>
  <w:num w:numId="4">
    <w:abstractNumId w:val="11"/>
  </w:num>
  <w:num w:numId="5">
    <w:abstractNumId w:val="35"/>
  </w:num>
  <w:num w:numId="6">
    <w:abstractNumId w:val="14"/>
  </w:num>
  <w:num w:numId="7">
    <w:abstractNumId w:val="10"/>
  </w:num>
  <w:num w:numId="8">
    <w:abstractNumId w:val="30"/>
  </w:num>
  <w:num w:numId="9">
    <w:abstractNumId w:val="0"/>
  </w:num>
  <w:num w:numId="10">
    <w:abstractNumId w:val="26"/>
  </w:num>
  <w:num w:numId="11">
    <w:abstractNumId w:val="27"/>
  </w:num>
  <w:num w:numId="12">
    <w:abstractNumId w:val="4"/>
  </w:num>
  <w:num w:numId="13">
    <w:abstractNumId w:val="7"/>
  </w:num>
  <w:num w:numId="14">
    <w:abstractNumId w:val="5"/>
  </w:num>
  <w:num w:numId="15">
    <w:abstractNumId w:val="12"/>
  </w:num>
  <w:num w:numId="16">
    <w:abstractNumId w:val="18"/>
  </w:num>
  <w:num w:numId="17">
    <w:abstractNumId w:val="34"/>
  </w:num>
  <w:num w:numId="18">
    <w:abstractNumId w:val="33"/>
  </w:num>
  <w:num w:numId="19">
    <w:abstractNumId w:val="8"/>
  </w:num>
  <w:num w:numId="20">
    <w:abstractNumId w:val="15"/>
  </w:num>
  <w:num w:numId="21">
    <w:abstractNumId w:val="38"/>
  </w:num>
  <w:num w:numId="22">
    <w:abstractNumId w:val="43"/>
  </w:num>
  <w:num w:numId="23">
    <w:abstractNumId w:val="29"/>
  </w:num>
  <w:num w:numId="24">
    <w:abstractNumId w:val="19"/>
  </w:num>
  <w:num w:numId="25">
    <w:abstractNumId w:val="24"/>
  </w:num>
  <w:num w:numId="26">
    <w:abstractNumId w:val="42"/>
  </w:num>
  <w:num w:numId="27">
    <w:abstractNumId w:val="17"/>
  </w:num>
  <w:num w:numId="28">
    <w:abstractNumId w:val="32"/>
  </w:num>
  <w:num w:numId="29">
    <w:abstractNumId w:val="21"/>
  </w:num>
  <w:num w:numId="30">
    <w:abstractNumId w:val="1"/>
  </w:num>
  <w:num w:numId="31">
    <w:abstractNumId w:val="40"/>
  </w:num>
  <w:num w:numId="32">
    <w:abstractNumId w:val="3"/>
  </w:num>
  <w:num w:numId="33">
    <w:abstractNumId w:val="36"/>
  </w:num>
  <w:num w:numId="34">
    <w:abstractNumId w:val="20"/>
  </w:num>
  <w:num w:numId="35">
    <w:abstractNumId w:val="25"/>
  </w:num>
  <w:num w:numId="36">
    <w:abstractNumId w:val="31"/>
  </w:num>
  <w:num w:numId="37">
    <w:abstractNumId w:val="44"/>
  </w:num>
  <w:num w:numId="38">
    <w:abstractNumId w:val="16"/>
  </w:num>
  <w:num w:numId="39">
    <w:abstractNumId w:val="45"/>
  </w:num>
  <w:num w:numId="40">
    <w:abstractNumId w:val="39"/>
  </w:num>
  <w:num w:numId="41">
    <w:abstractNumId w:val="23"/>
  </w:num>
  <w:num w:numId="42">
    <w:abstractNumId w:val="6"/>
  </w:num>
  <w:num w:numId="43">
    <w:abstractNumId w:val="2"/>
  </w:num>
  <w:num w:numId="44">
    <w:abstractNumId w:val="41"/>
  </w:num>
  <w:num w:numId="45">
    <w:abstractNumId w:val="2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99"/>
    <w:rsid w:val="00014C12"/>
    <w:rsid w:val="00041D35"/>
    <w:rsid w:val="00075004"/>
    <w:rsid w:val="00083406"/>
    <w:rsid w:val="000C4537"/>
    <w:rsid w:val="000F6A03"/>
    <w:rsid w:val="000F7437"/>
    <w:rsid w:val="00100999"/>
    <w:rsid w:val="00111399"/>
    <w:rsid w:val="00141F65"/>
    <w:rsid w:val="001749A7"/>
    <w:rsid w:val="001A51D5"/>
    <w:rsid w:val="001C46F4"/>
    <w:rsid w:val="001F1CED"/>
    <w:rsid w:val="001F47BE"/>
    <w:rsid w:val="001F56BE"/>
    <w:rsid w:val="002101BD"/>
    <w:rsid w:val="00263A75"/>
    <w:rsid w:val="00276B03"/>
    <w:rsid w:val="002D4270"/>
    <w:rsid w:val="002E10AB"/>
    <w:rsid w:val="003143BC"/>
    <w:rsid w:val="00335B27"/>
    <w:rsid w:val="00341223"/>
    <w:rsid w:val="003A244D"/>
    <w:rsid w:val="003D7BF5"/>
    <w:rsid w:val="004150A4"/>
    <w:rsid w:val="00421AA7"/>
    <w:rsid w:val="00451C0A"/>
    <w:rsid w:val="004C1840"/>
    <w:rsid w:val="004C3C87"/>
    <w:rsid w:val="004D1D2E"/>
    <w:rsid w:val="004D3304"/>
    <w:rsid w:val="00501B30"/>
    <w:rsid w:val="00521E64"/>
    <w:rsid w:val="005750BD"/>
    <w:rsid w:val="0059201A"/>
    <w:rsid w:val="00597482"/>
    <w:rsid w:val="005B04A1"/>
    <w:rsid w:val="005C449C"/>
    <w:rsid w:val="005C5136"/>
    <w:rsid w:val="005C52BA"/>
    <w:rsid w:val="005F7897"/>
    <w:rsid w:val="006049E7"/>
    <w:rsid w:val="006155AE"/>
    <w:rsid w:val="00654A05"/>
    <w:rsid w:val="00656628"/>
    <w:rsid w:val="00691836"/>
    <w:rsid w:val="006B341C"/>
    <w:rsid w:val="006D4437"/>
    <w:rsid w:val="00705D34"/>
    <w:rsid w:val="00715EC0"/>
    <w:rsid w:val="0072187A"/>
    <w:rsid w:val="0075105E"/>
    <w:rsid w:val="00753455"/>
    <w:rsid w:val="007551C7"/>
    <w:rsid w:val="00761C84"/>
    <w:rsid w:val="00767DDE"/>
    <w:rsid w:val="00791446"/>
    <w:rsid w:val="007A5BCE"/>
    <w:rsid w:val="007A6315"/>
    <w:rsid w:val="007B3C08"/>
    <w:rsid w:val="007C53B5"/>
    <w:rsid w:val="007D69A1"/>
    <w:rsid w:val="007E14ED"/>
    <w:rsid w:val="00811FE0"/>
    <w:rsid w:val="00817EF3"/>
    <w:rsid w:val="00834B08"/>
    <w:rsid w:val="00860CC1"/>
    <w:rsid w:val="00871501"/>
    <w:rsid w:val="008736D1"/>
    <w:rsid w:val="008C41FC"/>
    <w:rsid w:val="008C7F07"/>
    <w:rsid w:val="00934640"/>
    <w:rsid w:val="00982C8E"/>
    <w:rsid w:val="00983F53"/>
    <w:rsid w:val="00990E30"/>
    <w:rsid w:val="009B7FC6"/>
    <w:rsid w:val="00A06C9D"/>
    <w:rsid w:val="00A221BF"/>
    <w:rsid w:val="00A42871"/>
    <w:rsid w:val="00A52C17"/>
    <w:rsid w:val="00AD6597"/>
    <w:rsid w:val="00B3314E"/>
    <w:rsid w:val="00B6484B"/>
    <w:rsid w:val="00B957D8"/>
    <w:rsid w:val="00BA390F"/>
    <w:rsid w:val="00BB4238"/>
    <w:rsid w:val="00BB43C3"/>
    <w:rsid w:val="00C108C9"/>
    <w:rsid w:val="00C520E2"/>
    <w:rsid w:val="00CA6548"/>
    <w:rsid w:val="00CB0DB4"/>
    <w:rsid w:val="00CC4183"/>
    <w:rsid w:val="00CD226D"/>
    <w:rsid w:val="00CE5A8D"/>
    <w:rsid w:val="00D06085"/>
    <w:rsid w:val="00D31857"/>
    <w:rsid w:val="00D462C1"/>
    <w:rsid w:val="00D466C6"/>
    <w:rsid w:val="00D65236"/>
    <w:rsid w:val="00D901F9"/>
    <w:rsid w:val="00DE2A13"/>
    <w:rsid w:val="00E0410F"/>
    <w:rsid w:val="00E26E00"/>
    <w:rsid w:val="00E30B7E"/>
    <w:rsid w:val="00E64999"/>
    <w:rsid w:val="00E979D6"/>
    <w:rsid w:val="00EA0CC5"/>
    <w:rsid w:val="00EA55C5"/>
    <w:rsid w:val="00EE0C1D"/>
    <w:rsid w:val="00EE1AE5"/>
    <w:rsid w:val="00F03340"/>
    <w:rsid w:val="00F17099"/>
    <w:rsid w:val="00F349D5"/>
    <w:rsid w:val="00F3654F"/>
    <w:rsid w:val="00F63B89"/>
    <w:rsid w:val="00F90E0C"/>
    <w:rsid w:val="00FA4220"/>
    <w:rsid w:val="00FB385C"/>
    <w:rsid w:val="00FE6DD5"/>
    <w:rsid w:val="00FF3F85"/>
    <w:rsid w:val="00FF5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180"/>
  <w15:chartTrackingRefBased/>
  <w15:docId w15:val="{6A7F4BF7-5CD7-4C26-B6B6-6014F43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0A4"/>
  </w:style>
  <w:style w:type="paragraph" w:styleId="Heading1">
    <w:name w:val="heading 1"/>
    <w:basedOn w:val="Normal"/>
    <w:next w:val="Normal"/>
    <w:link w:val="Heading1Char"/>
    <w:uiPriority w:val="9"/>
    <w:qFormat/>
    <w:rsid w:val="0087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1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50A4"/>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0A4"/>
    <w:rPr>
      <w:rFonts w:eastAsia="Times New Roman"/>
      <w:b/>
      <w:bCs/>
      <w:sz w:val="27"/>
      <w:szCs w:val="27"/>
      <w:lang w:eastAsia="tr-TR"/>
    </w:rPr>
  </w:style>
  <w:style w:type="character" w:styleId="Strong">
    <w:name w:val="Strong"/>
    <w:basedOn w:val="DefaultParagraphFont"/>
    <w:uiPriority w:val="22"/>
    <w:qFormat/>
    <w:rsid w:val="004150A4"/>
    <w:rPr>
      <w:b/>
      <w:bCs/>
    </w:rPr>
  </w:style>
  <w:style w:type="paragraph" w:customStyle="1" w:styleId="ds-markdown-paragraph">
    <w:name w:val="ds-markdown-paragraph"/>
    <w:basedOn w:val="Normal"/>
    <w:rsid w:val="004150A4"/>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4150A4"/>
    <w:rPr>
      <w:i/>
      <w:iCs/>
    </w:rPr>
  </w:style>
  <w:style w:type="character" w:customStyle="1" w:styleId="ng-star-inserted">
    <w:name w:val="ng-star-inserted"/>
    <w:basedOn w:val="DefaultParagraphFont"/>
    <w:rsid w:val="005750BD"/>
  </w:style>
  <w:style w:type="character" w:customStyle="1" w:styleId="Heading1Char">
    <w:name w:val="Heading 1 Char"/>
    <w:basedOn w:val="DefaultParagraphFont"/>
    <w:link w:val="Heading1"/>
    <w:uiPriority w:val="9"/>
    <w:rsid w:val="00871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150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F3F85"/>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3A244D"/>
    <w:rPr>
      <w:color w:val="0563C1" w:themeColor="hyperlink"/>
      <w:u w:val="single"/>
    </w:rPr>
  </w:style>
  <w:style w:type="character" w:styleId="UnresolvedMention">
    <w:name w:val="Unresolved Mention"/>
    <w:basedOn w:val="DefaultParagraphFont"/>
    <w:uiPriority w:val="99"/>
    <w:semiHidden/>
    <w:unhideWhenUsed/>
    <w:rsid w:val="00141F65"/>
    <w:rPr>
      <w:color w:val="605E5C"/>
      <w:shd w:val="clear" w:color="auto" w:fill="E1DFDD"/>
    </w:rPr>
  </w:style>
  <w:style w:type="paragraph" w:styleId="ListParagraph">
    <w:name w:val="List Paragraph"/>
    <w:basedOn w:val="Normal"/>
    <w:uiPriority w:val="34"/>
    <w:qFormat/>
    <w:rsid w:val="00D31857"/>
    <w:pPr>
      <w:ind w:left="720"/>
      <w:contextualSpacing/>
    </w:pPr>
  </w:style>
  <w:style w:type="paragraph" w:styleId="Header">
    <w:name w:val="header"/>
    <w:basedOn w:val="Normal"/>
    <w:link w:val="HeaderChar"/>
    <w:uiPriority w:val="99"/>
    <w:unhideWhenUsed/>
    <w:rsid w:val="001A5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D5"/>
  </w:style>
  <w:style w:type="paragraph" w:styleId="Footer">
    <w:name w:val="footer"/>
    <w:basedOn w:val="Normal"/>
    <w:link w:val="FooterChar"/>
    <w:uiPriority w:val="99"/>
    <w:unhideWhenUsed/>
    <w:rsid w:val="001A5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210730597">
      <w:bodyDiv w:val="1"/>
      <w:marLeft w:val="0"/>
      <w:marRight w:val="0"/>
      <w:marTop w:val="0"/>
      <w:marBottom w:val="0"/>
      <w:divBdr>
        <w:top w:val="none" w:sz="0" w:space="0" w:color="auto"/>
        <w:left w:val="none" w:sz="0" w:space="0" w:color="auto"/>
        <w:bottom w:val="none" w:sz="0" w:space="0" w:color="auto"/>
        <w:right w:val="none" w:sz="0" w:space="0" w:color="auto"/>
      </w:divBdr>
    </w:div>
    <w:div w:id="225922377">
      <w:bodyDiv w:val="1"/>
      <w:marLeft w:val="0"/>
      <w:marRight w:val="0"/>
      <w:marTop w:val="0"/>
      <w:marBottom w:val="0"/>
      <w:divBdr>
        <w:top w:val="none" w:sz="0" w:space="0" w:color="auto"/>
        <w:left w:val="none" w:sz="0" w:space="0" w:color="auto"/>
        <w:bottom w:val="none" w:sz="0" w:space="0" w:color="auto"/>
        <w:right w:val="none" w:sz="0" w:space="0" w:color="auto"/>
      </w:divBdr>
      <w:divsChild>
        <w:div w:id="958610279">
          <w:marLeft w:val="0"/>
          <w:marRight w:val="0"/>
          <w:marTop w:val="0"/>
          <w:marBottom w:val="0"/>
          <w:divBdr>
            <w:top w:val="none" w:sz="0" w:space="0" w:color="auto"/>
            <w:left w:val="none" w:sz="0" w:space="0" w:color="auto"/>
            <w:bottom w:val="none" w:sz="0" w:space="0" w:color="auto"/>
            <w:right w:val="none" w:sz="0" w:space="0" w:color="auto"/>
          </w:divBdr>
          <w:divsChild>
            <w:div w:id="178937871">
              <w:marLeft w:val="0"/>
              <w:marRight w:val="0"/>
              <w:marTop w:val="0"/>
              <w:marBottom w:val="0"/>
              <w:divBdr>
                <w:top w:val="none" w:sz="0" w:space="0" w:color="auto"/>
                <w:left w:val="none" w:sz="0" w:space="0" w:color="auto"/>
                <w:bottom w:val="none" w:sz="0" w:space="0" w:color="auto"/>
                <w:right w:val="none" w:sz="0" w:space="0" w:color="auto"/>
              </w:divBdr>
              <w:divsChild>
                <w:div w:id="739013587">
                  <w:marLeft w:val="0"/>
                  <w:marRight w:val="0"/>
                  <w:marTop w:val="0"/>
                  <w:marBottom w:val="0"/>
                  <w:divBdr>
                    <w:top w:val="none" w:sz="0" w:space="0" w:color="auto"/>
                    <w:left w:val="none" w:sz="0" w:space="0" w:color="auto"/>
                    <w:bottom w:val="none" w:sz="0" w:space="0" w:color="auto"/>
                    <w:right w:val="none" w:sz="0" w:space="0" w:color="auto"/>
                  </w:divBdr>
                </w:div>
                <w:div w:id="1105929706">
                  <w:marLeft w:val="0"/>
                  <w:marRight w:val="0"/>
                  <w:marTop w:val="0"/>
                  <w:marBottom w:val="0"/>
                  <w:divBdr>
                    <w:top w:val="none" w:sz="0" w:space="0" w:color="auto"/>
                    <w:left w:val="none" w:sz="0" w:space="0" w:color="auto"/>
                    <w:bottom w:val="none" w:sz="0" w:space="0" w:color="auto"/>
                    <w:right w:val="none" w:sz="0" w:space="0" w:color="auto"/>
                  </w:divBdr>
                </w:div>
                <w:div w:id="1505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8539">
      <w:bodyDiv w:val="1"/>
      <w:marLeft w:val="0"/>
      <w:marRight w:val="0"/>
      <w:marTop w:val="0"/>
      <w:marBottom w:val="0"/>
      <w:divBdr>
        <w:top w:val="none" w:sz="0" w:space="0" w:color="auto"/>
        <w:left w:val="none" w:sz="0" w:space="0" w:color="auto"/>
        <w:bottom w:val="none" w:sz="0" w:space="0" w:color="auto"/>
        <w:right w:val="none" w:sz="0" w:space="0" w:color="auto"/>
      </w:divBdr>
    </w:div>
    <w:div w:id="384839690">
      <w:bodyDiv w:val="1"/>
      <w:marLeft w:val="0"/>
      <w:marRight w:val="0"/>
      <w:marTop w:val="0"/>
      <w:marBottom w:val="0"/>
      <w:divBdr>
        <w:top w:val="none" w:sz="0" w:space="0" w:color="auto"/>
        <w:left w:val="none" w:sz="0" w:space="0" w:color="auto"/>
        <w:bottom w:val="none" w:sz="0" w:space="0" w:color="auto"/>
        <w:right w:val="none" w:sz="0" w:space="0" w:color="auto"/>
      </w:divBdr>
    </w:div>
    <w:div w:id="466631556">
      <w:bodyDiv w:val="1"/>
      <w:marLeft w:val="0"/>
      <w:marRight w:val="0"/>
      <w:marTop w:val="0"/>
      <w:marBottom w:val="0"/>
      <w:divBdr>
        <w:top w:val="none" w:sz="0" w:space="0" w:color="auto"/>
        <w:left w:val="none" w:sz="0" w:space="0" w:color="auto"/>
        <w:bottom w:val="none" w:sz="0" w:space="0" w:color="auto"/>
        <w:right w:val="none" w:sz="0" w:space="0" w:color="auto"/>
      </w:divBdr>
    </w:div>
    <w:div w:id="604312927">
      <w:bodyDiv w:val="1"/>
      <w:marLeft w:val="0"/>
      <w:marRight w:val="0"/>
      <w:marTop w:val="0"/>
      <w:marBottom w:val="0"/>
      <w:divBdr>
        <w:top w:val="none" w:sz="0" w:space="0" w:color="auto"/>
        <w:left w:val="none" w:sz="0" w:space="0" w:color="auto"/>
        <w:bottom w:val="none" w:sz="0" w:space="0" w:color="auto"/>
        <w:right w:val="none" w:sz="0" w:space="0" w:color="auto"/>
      </w:divBdr>
      <w:divsChild>
        <w:div w:id="950017657">
          <w:marLeft w:val="0"/>
          <w:marRight w:val="0"/>
          <w:marTop w:val="0"/>
          <w:marBottom w:val="0"/>
          <w:divBdr>
            <w:top w:val="none" w:sz="0" w:space="0" w:color="auto"/>
            <w:left w:val="none" w:sz="0" w:space="0" w:color="auto"/>
            <w:bottom w:val="none" w:sz="0" w:space="0" w:color="auto"/>
            <w:right w:val="none" w:sz="0" w:space="0" w:color="auto"/>
          </w:divBdr>
        </w:div>
        <w:div w:id="1753240948">
          <w:marLeft w:val="0"/>
          <w:marRight w:val="0"/>
          <w:marTop w:val="0"/>
          <w:marBottom w:val="0"/>
          <w:divBdr>
            <w:top w:val="none" w:sz="0" w:space="0" w:color="auto"/>
            <w:left w:val="none" w:sz="0" w:space="0" w:color="auto"/>
            <w:bottom w:val="none" w:sz="0" w:space="0" w:color="auto"/>
            <w:right w:val="none" w:sz="0" w:space="0" w:color="auto"/>
          </w:divBdr>
        </w:div>
        <w:div w:id="60058561">
          <w:marLeft w:val="0"/>
          <w:marRight w:val="0"/>
          <w:marTop w:val="0"/>
          <w:marBottom w:val="0"/>
          <w:divBdr>
            <w:top w:val="none" w:sz="0" w:space="0" w:color="auto"/>
            <w:left w:val="none" w:sz="0" w:space="0" w:color="auto"/>
            <w:bottom w:val="none" w:sz="0" w:space="0" w:color="auto"/>
            <w:right w:val="none" w:sz="0" w:space="0" w:color="auto"/>
          </w:divBdr>
        </w:div>
      </w:divsChild>
    </w:div>
    <w:div w:id="708072491">
      <w:bodyDiv w:val="1"/>
      <w:marLeft w:val="0"/>
      <w:marRight w:val="0"/>
      <w:marTop w:val="0"/>
      <w:marBottom w:val="0"/>
      <w:divBdr>
        <w:top w:val="none" w:sz="0" w:space="0" w:color="auto"/>
        <w:left w:val="none" w:sz="0" w:space="0" w:color="auto"/>
        <w:bottom w:val="none" w:sz="0" w:space="0" w:color="auto"/>
        <w:right w:val="none" w:sz="0" w:space="0" w:color="auto"/>
      </w:divBdr>
    </w:div>
    <w:div w:id="757412327">
      <w:bodyDiv w:val="1"/>
      <w:marLeft w:val="0"/>
      <w:marRight w:val="0"/>
      <w:marTop w:val="0"/>
      <w:marBottom w:val="0"/>
      <w:divBdr>
        <w:top w:val="none" w:sz="0" w:space="0" w:color="auto"/>
        <w:left w:val="none" w:sz="0" w:space="0" w:color="auto"/>
        <w:bottom w:val="none" w:sz="0" w:space="0" w:color="auto"/>
        <w:right w:val="none" w:sz="0" w:space="0" w:color="auto"/>
      </w:divBdr>
    </w:div>
    <w:div w:id="835614846">
      <w:bodyDiv w:val="1"/>
      <w:marLeft w:val="0"/>
      <w:marRight w:val="0"/>
      <w:marTop w:val="0"/>
      <w:marBottom w:val="0"/>
      <w:divBdr>
        <w:top w:val="none" w:sz="0" w:space="0" w:color="auto"/>
        <w:left w:val="none" w:sz="0" w:space="0" w:color="auto"/>
        <w:bottom w:val="none" w:sz="0" w:space="0" w:color="auto"/>
        <w:right w:val="none" w:sz="0" w:space="0" w:color="auto"/>
      </w:divBdr>
      <w:divsChild>
        <w:div w:id="1891113200">
          <w:marLeft w:val="0"/>
          <w:marRight w:val="0"/>
          <w:marTop w:val="0"/>
          <w:marBottom w:val="0"/>
          <w:divBdr>
            <w:top w:val="none" w:sz="0" w:space="0" w:color="auto"/>
            <w:left w:val="none" w:sz="0" w:space="0" w:color="auto"/>
            <w:bottom w:val="none" w:sz="0" w:space="0" w:color="auto"/>
            <w:right w:val="none" w:sz="0" w:space="0" w:color="auto"/>
          </w:divBdr>
          <w:divsChild>
            <w:div w:id="816805609">
              <w:marLeft w:val="0"/>
              <w:marRight w:val="0"/>
              <w:marTop w:val="0"/>
              <w:marBottom w:val="0"/>
              <w:divBdr>
                <w:top w:val="none" w:sz="0" w:space="0" w:color="auto"/>
                <w:left w:val="none" w:sz="0" w:space="0" w:color="auto"/>
                <w:bottom w:val="none" w:sz="0" w:space="0" w:color="auto"/>
                <w:right w:val="none" w:sz="0" w:space="0" w:color="auto"/>
              </w:divBdr>
              <w:divsChild>
                <w:div w:id="1253465382">
                  <w:marLeft w:val="0"/>
                  <w:marRight w:val="0"/>
                  <w:marTop w:val="0"/>
                  <w:marBottom w:val="0"/>
                  <w:divBdr>
                    <w:top w:val="none" w:sz="0" w:space="0" w:color="auto"/>
                    <w:left w:val="none" w:sz="0" w:space="0" w:color="auto"/>
                    <w:bottom w:val="none" w:sz="0" w:space="0" w:color="auto"/>
                    <w:right w:val="none" w:sz="0" w:space="0" w:color="auto"/>
                  </w:divBdr>
                  <w:divsChild>
                    <w:div w:id="1455520885">
                      <w:marLeft w:val="0"/>
                      <w:marRight w:val="0"/>
                      <w:marTop w:val="0"/>
                      <w:marBottom w:val="0"/>
                      <w:divBdr>
                        <w:top w:val="none" w:sz="0" w:space="0" w:color="auto"/>
                        <w:left w:val="none" w:sz="0" w:space="0" w:color="auto"/>
                        <w:bottom w:val="none" w:sz="0" w:space="0" w:color="auto"/>
                        <w:right w:val="none" w:sz="0" w:space="0" w:color="auto"/>
                      </w:divBdr>
                      <w:divsChild>
                        <w:div w:id="1685091725">
                          <w:marLeft w:val="0"/>
                          <w:marRight w:val="0"/>
                          <w:marTop w:val="0"/>
                          <w:marBottom w:val="0"/>
                          <w:divBdr>
                            <w:top w:val="none" w:sz="0" w:space="0" w:color="auto"/>
                            <w:left w:val="none" w:sz="0" w:space="0" w:color="auto"/>
                            <w:bottom w:val="none" w:sz="0" w:space="0" w:color="auto"/>
                            <w:right w:val="none" w:sz="0" w:space="0" w:color="auto"/>
                          </w:divBdr>
                          <w:divsChild>
                            <w:div w:id="1608729197">
                              <w:marLeft w:val="0"/>
                              <w:marRight w:val="0"/>
                              <w:marTop w:val="0"/>
                              <w:marBottom w:val="0"/>
                              <w:divBdr>
                                <w:top w:val="none" w:sz="0" w:space="0" w:color="auto"/>
                                <w:left w:val="none" w:sz="0" w:space="0" w:color="auto"/>
                                <w:bottom w:val="none" w:sz="0" w:space="0" w:color="auto"/>
                                <w:right w:val="none" w:sz="0" w:space="0" w:color="auto"/>
                              </w:divBdr>
                              <w:divsChild>
                                <w:div w:id="1572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152569">
      <w:bodyDiv w:val="1"/>
      <w:marLeft w:val="0"/>
      <w:marRight w:val="0"/>
      <w:marTop w:val="0"/>
      <w:marBottom w:val="0"/>
      <w:divBdr>
        <w:top w:val="none" w:sz="0" w:space="0" w:color="auto"/>
        <w:left w:val="none" w:sz="0" w:space="0" w:color="auto"/>
        <w:bottom w:val="none" w:sz="0" w:space="0" w:color="auto"/>
        <w:right w:val="none" w:sz="0" w:space="0" w:color="auto"/>
      </w:divBdr>
    </w:div>
    <w:div w:id="1093821082">
      <w:bodyDiv w:val="1"/>
      <w:marLeft w:val="0"/>
      <w:marRight w:val="0"/>
      <w:marTop w:val="0"/>
      <w:marBottom w:val="0"/>
      <w:divBdr>
        <w:top w:val="none" w:sz="0" w:space="0" w:color="auto"/>
        <w:left w:val="none" w:sz="0" w:space="0" w:color="auto"/>
        <w:bottom w:val="none" w:sz="0" w:space="0" w:color="auto"/>
        <w:right w:val="none" w:sz="0" w:space="0" w:color="auto"/>
      </w:divBdr>
    </w:div>
    <w:div w:id="1345984808">
      <w:bodyDiv w:val="1"/>
      <w:marLeft w:val="0"/>
      <w:marRight w:val="0"/>
      <w:marTop w:val="0"/>
      <w:marBottom w:val="0"/>
      <w:divBdr>
        <w:top w:val="none" w:sz="0" w:space="0" w:color="auto"/>
        <w:left w:val="none" w:sz="0" w:space="0" w:color="auto"/>
        <w:bottom w:val="none" w:sz="0" w:space="0" w:color="auto"/>
        <w:right w:val="none" w:sz="0" w:space="0" w:color="auto"/>
      </w:divBdr>
    </w:div>
    <w:div w:id="1429695032">
      <w:bodyDiv w:val="1"/>
      <w:marLeft w:val="0"/>
      <w:marRight w:val="0"/>
      <w:marTop w:val="0"/>
      <w:marBottom w:val="0"/>
      <w:divBdr>
        <w:top w:val="none" w:sz="0" w:space="0" w:color="auto"/>
        <w:left w:val="none" w:sz="0" w:space="0" w:color="auto"/>
        <w:bottom w:val="none" w:sz="0" w:space="0" w:color="auto"/>
        <w:right w:val="none" w:sz="0" w:space="0" w:color="auto"/>
      </w:divBdr>
    </w:div>
    <w:div w:id="1486555962">
      <w:bodyDiv w:val="1"/>
      <w:marLeft w:val="0"/>
      <w:marRight w:val="0"/>
      <w:marTop w:val="0"/>
      <w:marBottom w:val="0"/>
      <w:divBdr>
        <w:top w:val="none" w:sz="0" w:space="0" w:color="auto"/>
        <w:left w:val="none" w:sz="0" w:space="0" w:color="auto"/>
        <w:bottom w:val="none" w:sz="0" w:space="0" w:color="auto"/>
        <w:right w:val="none" w:sz="0" w:space="0" w:color="auto"/>
      </w:divBdr>
      <w:divsChild>
        <w:div w:id="1529560077">
          <w:marLeft w:val="0"/>
          <w:marRight w:val="0"/>
          <w:marTop w:val="0"/>
          <w:marBottom w:val="0"/>
          <w:divBdr>
            <w:top w:val="none" w:sz="0" w:space="0" w:color="auto"/>
            <w:left w:val="none" w:sz="0" w:space="0" w:color="auto"/>
            <w:bottom w:val="none" w:sz="0" w:space="0" w:color="auto"/>
            <w:right w:val="none" w:sz="0" w:space="0" w:color="auto"/>
          </w:divBdr>
        </w:div>
        <w:div w:id="1543859382">
          <w:marLeft w:val="0"/>
          <w:marRight w:val="0"/>
          <w:marTop w:val="0"/>
          <w:marBottom w:val="0"/>
          <w:divBdr>
            <w:top w:val="none" w:sz="0" w:space="0" w:color="auto"/>
            <w:left w:val="none" w:sz="0" w:space="0" w:color="auto"/>
            <w:bottom w:val="none" w:sz="0" w:space="0" w:color="auto"/>
            <w:right w:val="none" w:sz="0" w:space="0" w:color="auto"/>
          </w:divBdr>
        </w:div>
        <w:div w:id="706831759">
          <w:marLeft w:val="0"/>
          <w:marRight w:val="0"/>
          <w:marTop w:val="0"/>
          <w:marBottom w:val="0"/>
          <w:divBdr>
            <w:top w:val="none" w:sz="0" w:space="0" w:color="auto"/>
            <w:left w:val="none" w:sz="0" w:space="0" w:color="auto"/>
            <w:bottom w:val="none" w:sz="0" w:space="0" w:color="auto"/>
            <w:right w:val="none" w:sz="0" w:space="0" w:color="auto"/>
          </w:divBdr>
        </w:div>
        <w:div w:id="1212961052">
          <w:marLeft w:val="0"/>
          <w:marRight w:val="0"/>
          <w:marTop w:val="0"/>
          <w:marBottom w:val="0"/>
          <w:divBdr>
            <w:top w:val="none" w:sz="0" w:space="0" w:color="auto"/>
            <w:left w:val="none" w:sz="0" w:space="0" w:color="auto"/>
            <w:bottom w:val="none" w:sz="0" w:space="0" w:color="auto"/>
            <w:right w:val="none" w:sz="0" w:space="0" w:color="auto"/>
          </w:divBdr>
        </w:div>
        <w:div w:id="774177647">
          <w:marLeft w:val="0"/>
          <w:marRight w:val="0"/>
          <w:marTop w:val="0"/>
          <w:marBottom w:val="0"/>
          <w:divBdr>
            <w:top w:val="none" w:sz="0" w:space="0" w:color="auto"/>
            <w:left w:val="none" w:sz="0" w:space="0" w:color="auto"/>
            <w:bottom w:val="none" w:sz="0" w:space="0" w:color="auto"/>
            <w:right w:val="none" w:sz="0" w:space="0" w:color="auto"/>
          </w:divBdr>
        </w:div>
        <w:div w:id="1102413407">
          <w:marLeft w:val="0"/>
          <w:marRight w:val="0"/>
          <w:marTop w:val="0"/>
          <w:marBottom w:val="0"/>
          <w:divBdr>
            <w:top w:val="none" w:sz="0" w:space="0" w:color="auto"/>
            <w:left w:val="none" w:sz="0" w:space="0" w:color="auto"/>
            <w:bottom w:val="none" w:sz="0" w:space="0" w:color="auto"/>
            <w:right w:val="none" w:sz="0" w:space="0" w:color="auto"/>
          </w:divBdr>
        </w:div>
        <w:div w:id="518082037">
          <w:marLeft w:val="0"/>
          <w:marRight w:val="0"/>
          <w:marTop w:val="0"/>
          <w:marBottom w:val="0"/>
          <w:divBdr>
            <w:top w:val="none" w:sz="0" w:space="0" w:color="auto"/>
            <w:left w:val="none" w:sz="0" w:space="0" w:color="auto"/>
            <w:bottom w:val="none" w:sz="0" w:space="0" w:color="auto"/>
            <w:right w:val="none" w:sz="0" w:space="0" w:color="auto"/>
          </w:divBdr>
        </w:div>
        <w:div w:id="1500539518">
          <w:marLeft w:val="0"/>
          <w:marRight w:val="0"/>
          <w:marTop w:val="0"/>
          <w:marBottom w:val="0"/>
          <w:divBdr>
            <w:top w:val="none" w:sz="0" w:space="0" w:color="auto"/>
            <w:left w:val="none" w:sz="0" w:space="0" w:color="auto"/>
            <w:bottom w:val="none" w:sz="0" w:space="0" w:color="auto"/>
            <w:right w:val="none" w:sz="0" w:space="0" w:color="auto"/>
          </w:divBdr>
        </w:div>
        <w:div w:id="227805533">
          <w:marLeft w:val="0"/>
          <w:marRight w:val="0"/>
          <w:marTop w:val="0"/>
          <w:marBottom w:val="0"/>
          <w:divBdr>
            <w:top w:val="none" w:sz="0" w:space="0" w:color="auto"/>
            <w:left w:val="none" w:sz="0" w:space="0" w:color="auto"/>
            <w:bottom w:val="none" w:sz="0" w:space="0" w:color="auto"/>
            <w:right w:val="none" w:sz="0" w:space="0" w:color="auto"/>
          </w:divBdr>
        </w:div>
        <w:div w:id="1380588972">
          <w:marLeft w:val="0"/>
          <w:marRight w:val="0"/>
          <w:marTop w:val="0"/>
          <w:marBottom w:val="0"/>
          <w:divBdr>
            <w:top w:val="none" w:sz="0" w:space="0" w:color="auto"/>
            <w:left w:val="none" w:sz="0" w:space="0" w:color="auto"/>
            <w:bottom w:val="none" w:sz="0" w:space="0" w:color="auto"/>
            <w:right w:val="none" w:sz="0" w:space="0" w:color="auto"/>
          </w:divBdr>
        </w:div>
        <w:div w:id="1655332991">
          <w:marLeft w:val="0"/>
          <w:marRight w:val="0"/>
          <w:marTop w:val="0"/>
          <w:marBottom w:val="0"/>
          <w:divBdr>
            <w:top w:val="none" w:sz="0" w:space="0" w:color="auto"/>
            <w:left w:val="none" w:sz="0" w:space="0" w:color="auto"/>
            <w:bottom w:val="none" w:sz="0" w:space="0" w:color="auto"/>
            <w:right w:val="none" w:sz="0" w:space="0" w:color="auto"/>
          </w:divBdr>
        </w:div>
        <w:div w:id="460803353">
          <w:marLeft w:val="0"/>
          <w:marRight w:val="0"/>
          <w:marTop w:val="0"/>
          <w:marBottom w:val="0"/>
          <w:divBdr>
            <w:top w:val="none" w:sz="0" w:space="0" w:color="auto"/>
            <w:left w:val="none" w:sz="0" w:space="0" w:color="auto"/>
            <w:bottom w:val="none" w:sz="0" w:space="0" w:color="auto"/>
            <w:right w:val="none" w:sz="0" w:space="0" w:color="auto"/>
          </w:divBdr>
        </w:div>
        <w:div w:id="1430347015">
          <w:marLeft w:val="0"/>
          <w:marRight w:val="0"/>
          <w:marTop w:val="0"/>
          <w:marBottom w:val="0"/>
          <w:divBdr>
            <w:top w:val="none" w:sz="0" w:space="0" w:color="auto"/>
            <w:left w:val="none" w:sz="0" w:space="0" w:color="auto"/>
            <w:bottom w:val="none" w:sz="0" w:space="0" w:color="auto"/>
            <w:right w:val="none" w:sz="0" w:space="0" w:color="auto"/>
          </w:divBdr>
        </w:div>
        <w:div w:id="179979018">
          <w:marLeft w:val="0"/>
          <w:marRight w:val="0"/>
          <w:marTop w:val="0"/>
          <w:marBottom w:val="0"/>
          <w:divBdr>
            <w:top w:val="none" w:sz="0" w:space="0" w:color="auto"/>
            <w:left w:val="none" w:sz="0" w:space="0" w:color="auto"/>
            <w:bottom w:val="none" w:sz="0" w:space="0" w:color="auto"/>
            <w:right w:val="none" w:sz="0" w:space="0" w:color="auto"/>
          </w:divBdr>
        </w:div>
        <w:div w:id="1650355523">
          <w:marLeft w:val="0"/>
          <w:marRight w:val="0"/>
          <w:marTop w:val="0"/>
          <w:marBottom w:val="0"/>
          <w:divBdr>
            <w:top w:val="none" w:sz="0" w:space="0" w:color="auto"/>
            <w:left w:val="none" w:sz="0" w:space="0" w:color="auto"/>
            <w:bottom w:val="none" w:sz="0" w:space="0" w:color="auto"/>
            <w:right w:val="none" w:sz="0" w:space="0" w:color="auto"/>
          </w:divBdr>
        </w:div>
        <w:div w:id="1100106392">
          <w:marLeft w:val="0"/>
          <w:marRight w:val="0"/>
          <w:marTop w:val="0"/>
          <w:marBottom w:val="0"/>
          <w:divBdr>
            <w:top w:val="none" w:sz="0" w:space="0" w:color="auto"/>
            <w:left w:val="none" w:sz="0" w:space="0" w:color="auto"/>
            <w:bottom w:val="none" w:sz="0" w:space="0" w:color="auto"/>
            <w:right w:val="none" w:sz="0" w:space="0" w:color="auto"/>
          </w:divBdr>
        </w:div>
        <w:div w:id="1499925136">
          <w:marLeft w:val="0"/>
          <w:marRight w:val="0"/>
          <w:marTop w:val="0"/>
          <w:marBottom w:val="0"/>
          <w:divBdr>
            <w:top w:val="none" w:sz="0" w:space="0" w:color="auto"/>
            <w:left w:val="none" w:sz="0" w:space="0" w:color="auto"/>
            <w:bottom w:val="none" w:sz="0" w:space="0" w:color="auto"/>
            <w:right w:val="none" w:sz="0" w:space="0" w:color="auto"/>
          </w:divBdr>
        </w:div>
        <w:div w:id="1149052847">
          <w:marLeft w:val="0"/>
          <w:marRight w:val="0"/>
          <w:marTop w:val="0"/>
          <w:marBottom w:val="0"/>
          <w:divBdr>
            <w:top w:val="none" w:sz="0" w:space="0" w:color="auto"/>
            <w:left w:val="none" w:sz="0" w:space="0" w:color="auto"/>
            <w:bottom w:val="none" w:sz="0" w:space="0" w:color="auto"/>
            <w:right w:val="none" w:sz="0" w:space="0" w:color="auto"/>
          </w:divBdr>
        </w:div>
        <w:div w:id="1853882684">
          <w:marLeft w:val="0"/>
          <w:marRight w:val="0"/>
          <w:marTop w:val="0"/>
          <w:marBottom w:val="0"/>
          <w:divBdr>
            <w:top w:val="none" w:sz="0" w:space="0" w:color="auto"/>
            <w:left w:val="none" w:sz="0" w:space="0" w:color="auto"/>
            <w:bottom w:val="none" w:sz="0" w:space="0" w:color="auto"/>
            <w:right w:val="none" w:sz="0" w:space="0" w:color="auto"/>
          </w:divBdr>
        </w:div>
        <w:div w:id="1685086066">
          <w:marLeft w:val="0"/>
          <w:marRight w:val="0"/>
          <w:marTop w:val="0"/>
          <w:marBottom w:val="0"/>
          <w:divBdr>
            <w:top w:val="none" w:sz="0" w:space="0" w:color="auto"/>
            <w:left w:val="none" w:sz="0" w:space="0" w:color="auto"/>
            <w:bottom w:val="none" w:sz="0" w:space="0" w:color="auto"/>
            <w:right w:val="none" w:sz="0" w:space="0" w:color="auto"/>
          </w:divBdr>
        </w:div>
        <w:div w:id="1080635993">
          <w:marLeft w:val="0"/>
          <w:marRight w:val="0"/>
          <w:marTop w:val="0"/>
          <w:marBottom w:val="0"/>
          <w:divBdr>
            <w:top w:val="none" w:sz="0" w:space="0" w:color="auto"/>
            <w:left w:val="none" w:sz="0" w:space="0" w:color="auto"/>
            <w:bottom w:val="none" w:sz="0" w:space="0" w:color="auto"/>
            <w:right w:val="none" w:sz="0" w:space="0" w:color="auto"/>
          </w:divBdr>
        </w:div>
        <w:div w:id="342098699">
          <w:marLeft w:val="0"/>
          <w:marRight w:val="0"/>
          <w:marTop w:val="0"/>
          <w:marBottom w:val="0"/>
          <w:divBdr>
            <w:top w:val="none" w:sz="0" w:space="0" w:color="auto"/>
            <w:left w:val="none" w:sz="0" w:space="0" w:color="auto"/>
            <w:bottom w:val="none" w:sz="0" w:space="0" w:color="auto"/>
            <w:right w:val="none" w:sz="0" w:space="0" w:color="auto"/>
          </w:divBdr>
        </w:div>
        <w:div w:id="1145703453">
          <w:marLeft w:val="0"/>
          <w:marRight w:val="0"/>
          <w:marTop w:val="0"/>
          <w:marBottom w:val="0"/>
          <w:divBdr>
            <w:top w:val="none" w:sz="0" w:space="0" w:color="auto"/>
            <w:left w:val="none" w:sz="0" w:space="0" w:color="auto"/>
            <w:bottom w:val="none" w:sz="0" w:space="0" w:color="auto"/>
            <w:right w:val="none" w:sz="0" w:space="0" w:color="auto"/>
          </w:divBdr>
        </w:div>
        <w:div w:id="1241523793">
          <w:marLeft w:val="0"/>
          <w:marRight w:val="0"/>
          <w:marTop w:val="0"/>
          <w:marBottom w:val="0"/>
          <w:divBdr>
            <w:top w:val="none" w:sz="0" w:space="0" w:color="auto"/>
            <w:left w:val="none" w:sz="0" w:space="0" w:color="auto"/>
            <w:bottom w:val="none" w:sz="0" w:space="0" w:color="auto"/>
            <w:right w:val="none" w:sz="0" w:space="0" w:color="auto"/>
          </w:divBdr>
        </w:div>
        <w:div w:id="324865824">
          <w:marLeft w:val="0"/>
          <w:marRight w:val="0"/>
          <w:marTop w:val="0"/>
          <w:marBottom w:val="0"/>
          <w:divBdr>
            <w:top w:val="none" w:sz="0" w:space="0" w:color="auto"/>
            <w:left w:val="none" w:sz="0" w:space="0" w:color="auto"/>
            <w:bottom w:val="none" w:sz="0" w:space="0" w:color="auto"/>
            <w:right w:val="none" w:sz="0" w:space="0" w:color="auto"/>
          </w:divBdr>
        </w:div>
        <w:div w:id="1096094821">
          <w:marLeft w:val="0"/>
          <w:marRight w:val="0"/>
          <w:marTop w:val="0"/>
          <w:marBottom w:val="0"/>
          <w:divBdr>
            <w:top w:val="none" w:sz="0" w:space="0" w:color="auto"/>
            <w:left w:val="none" w:sz="0" w:space="0" w:color="auto"/>
            <w:bottom w:val="none" w:sz="0" w:space="0" w:color="auto"/>
            <w:right w:val="none" w:sz="0" w:space="0" w:color="auto"/>
          </w:divBdr>
        </w:div>
        <w:div w:id="1758402290">
          <w:marLeft w:val="0"/>
          <w:marRight w:val="0"/>
          <w:marTop w:val="0"/>
          <w:marBottom w:val="0"/>
          <w:divBdr>
            <w:top w:val="none" w:sz="0" w:space="0" w:color="auto"/>
            <w:left w:val="none" w:sz="0" w:space="0" w:color="auto"/>
            <w:bottom w:val="none" w:sz="0" w:space="0" w:color="auto"/>
            <w:right w:val="none" w:sz="0" w:space="0" w:color="auto"/>
          </w:divBdr>
        </w:div>
        <w:div w:id="1585453707">
          <w:marLeft w:val="0"/>
          <w:marRight w:val="0"/>
          <w:marTop w:val="0"/>
          <w:marBottom w:val="0"/>
          <w:divBdr>
            <w:top w:val="none" w:sz="0" w:space="0" w:color="auto"/>
            <w:left w:val="none" w:sz="0" w:space="0" w:color="auto"/>
            <w:bottom w:val="none" w:sz="0" w:space="0" w:color="auto"/>
            <w:right w:val="none" w:sz="0" w:space="0" w:color="auto"/>
          </w:divBdr>
        </w:div>
        <w:div w:id="1387141365">
          <w:marLeft w:val="0"/>
          <w:marRight w:val="0"/>
          <w:marTop w:val="0"/>
          <w:marBottom w:val="0"/>
          <w:divBdr>
            <w:top w:val="none" w:sz="0" w:space="0" w:color="auto"/>
            <w:left w:val="none" w:sz="0" w:space="0" w:color="auto"/>
            <w:bottom w:val="none" w:sz="0" w:space="0" w:color="auto"/>
            <w:right w:val="none" w:sz="0" w:space="0" w:color="auto"/>
          </w:divBdr>
        </w:div>
        <w:div w:id="1852865598">
          <w:marLeft w:val="0"/>
          <w:marRight w:val="0"/>
          <w:marTop w:val="0"/>
          <w:marBottom w:val="0"/>
          <w:divBdr>
            <w:top w:val="none" w:sz="0" w:space="0" w:color="auto"/>
            <w:left w:val="none" w:sz="0" w:space="0" w:color="auto"/>
            <w:bottom w:val="none" w:sz="0" w:space="0" w:color="auto"/>
            <w:right w:val="none" w:sz="0" w:space="0" w:color="auto"/>
          </w:divBdr>
        </w:div>
        <w:div w:id="142428078">
          <w:marLeft w:val="0"/>
          <w:marRight w:val="0"/>
          <w:marTop w:val="0"/>
          <w:marBottom w:val="0"/>
          <w:divBdr>
            <w:top w:val="none" w:sz="0" w:space="0" w:color="auto"/>
            <w:left w:val="none" w:sz="0" w:space="0" w:color="auto"/>
            <w:bottom w:val="none" w:sz="0" w:space="0" w:color="auto"/>
            <w:right w:val="none" w:sz="0" w:space="0" w:color="auto"/>
          </w:divBdr>
        </w:div>
        <w:div w:id="1903448424">
          <w:marLeft w:val="0"/>
          <w:marRight w:val="0"/>
          <w:marTop w:val="0"/>
          <w:marBottom w:val="0"/>
          <w:divBdr>
            <w:top w:val="none" w:sz="0" w:space="0" w:color="auto"/>
            <w:left w:val="none" w:sz="0" w:space="0" w:color="auto"/>
            <w:bottom w:val="none" w:sz="0" w:space="0" w:color="auto"/>
            <w:right w:val="none" w:sz="0" w:space="0" w:color="auto"/>
          </w:divBdr>
        </w:div>
        <w:div w:id="305821756">
          <w:marLeft w:val="0"/>
          <w:marRight w:val="0"/>
          <w:marTop w:val="0"/>
          <w:marBottom w:val="0"/>
          <w:divBdr>
            <w:top w:val="none" w:sz="0" w:space="0" w:color="auto"/>
            <w:left w:val="none" w:sz="0" w:space="0" w:color="auto"/>
            <w:bottom w:val="none" w:sz="0" w:space="0" w:color="auto"/>
            <w:right w:val="none" w:sz="0" w:space="0" w:color="auto"/>
          </w:divBdr>
        </w:div>
        <w:div w:id="1147817462">
          <w:marLeft w:val="0"/>
          <w:marRight w:val="0"/>
          <w:marTop w:val="0"/>
          <w:marBottom w:val="0"/>
          <w:divBdr>
            <w:top w:val="none" w:sz="0" w:space="0" w:color="auto"/>
            <w:left w:val="none" w:sz="0" w:space="0" w:color="auto"/>
            <w:bottom w:val="none" w:sz="0" w:space="0" w:color="auto"/>
            <w:right w:val="none" w:sz="0" w:space="0" w:color="auto"/>
          </w:divBdr>
        </w:div>
        <w:div w:id="1950892951">
          <w:marLeft w:val="0"/>
          <w:marRight w:val="0"/>
          <w:marTop w:val="0"/>
          <w:marBottom w:val="0"/>
          <w:divBdr>
            <w:top w:val="none" w:sz="0" w:space="0" w:color="auto"/>
            <w:left w:val="none" w:sz="0" w:space="0" w:color="auto"/>
            <w:bottom w:val="none" w:sz="0" w:space="0" w:color="auto"/>
            <w:right w:val="none" w:sz="0" w:space="0" w:color="auto"/>
          </w:divBdr>
        </w:div>
        <w:div w:id="450132378">
          <w:marLeft w:val="0"/>
          <w:marRight w:val="0"/>
          <w:marTop w:val="0"/>
          <w:marBottom w:val="0"/>
          <w:divBdr>
            <w:top w:val="none" w:sz="0" w:space="0" w:color="auto"/>
            <w:left w:val="none" w:sz="0" w:space="0" w:color="auto"/>
            <w:bottom w:val="none" w:sz="0" w:space="0" w:color="auto"/>
            <w:right w:val="none" w:sz="0" w:space="0" w:color="auto"/>
          </w:divBdr>
        </w:div>
        <w:div w:id="935745295">
          <w:marLeft w:val="0"/>
          <w:marRight w:val="0"/>
          <w:marTop w:val="0"/>
          <w:marBottom w:val="0"/>
          <w:divBdr>
            <w:top w:val="none" w:sz="0" w:space="0" w:color="auto"/>
            <w:left w:val="none" w:sz="0" w:space="0" w:color="auto"/>
            <w:bottom w:val="none" w:sz="0" w:space="0" w:color="auto"/>
            <w:right w:val="none" w:sz="0" w:space="0" w:color="auto"/>
          </w:divBdr>
        </w:div>
        <w:div w:id="1778594562">
          <w:marLeft w:val="0"/>
          <w:marRight w:val="0"/>
          <w:marTop w:val="0"/>
          <w:marBottom w:val="0"/>
          <w:divBdr>
            <w:top w:val="none" w:sz="0" w:space="0" w:color="auto"/>
            <w:left w:val="none" w:sz="0" w:space="0" w:color="auto"/>
            <w:bottom w:val="none" w:sz="0" w:space="0" w:color="auto"/>
            <w:right w:val="none" w:sz="0" w:space="0" w:color="auto"/>
          </w:divBdr>
        </w:div>
        <w:div w:id="1904441805">
          <w:marLeft w:val="0"/>
          <w:marRight w:val="0"/>
          <w:marTop w:val="0"/>
          <w:marBottom w:val="0"/>
          <w:divBdr>
            <w:top w:val="none" w:sz="0" w:space="0" w:color="auto"/>
            <w:left w:val="none" w:sz="0" w:space="0" w:color="auto"/>
            <w:bottom w:val="none" w:sz="0" w:space="0" w:color="auto"/>
            <w:right w:val="none" w:sz="0" w:space="0" w:color="auto"/>
          </w:divBdr>
        </w:div>
        <w:div w:id="1779369239">
          <w:marLeft w:val="0"/>
          <w:marRight w:val="0"/>
          <w:marTop w:val="0"/>
          <w:marBottom w:val="0"/>
          <w:divBdr>
            <w:top w:val="none" w:sz="0" w:space="0" w:color="auto"/>
            <w:left w:val="none" w:sz="0" w:space="0" w:color="auto"/>
            <w:bottom w:val="none" w:sz="0" w:space="0" w:color="auto"/>
            <w:right w:val="none" w:sz="0" w:space="0" w:color="auto"/>
          </w:divBdr>
        </w:div>
        <w:div w:id="1176648156">
          <w:marLeft w:val="0"/>
          <w:marRight w:val="0"/>
          <w:marTop w:val="0"/>
          <w:marBottom w:val="0"/>
          <w:divBdr>
            <w:top w:val="none" w:sz="0" w:space="0" w:color="auto"/>
            <w:left w:val="none" w:sz="0" w:space="0" w:color="auto"/>
            <w:bottom w:val="none" w:sz="0" w:space="0" w:color="auto"/>
            <w:right w:val="none" w:sz="0" w:space="0" w:color="auto"/>
          </w:divBdr>
        </w:div>
        <w:div w:id="1350568541">
          <w:marLeft w:val="0"/>
          <w:marRight w:val="0"/>
          <w:marTop w:val="0"/>
          <w:marBottom w:val="0"/>
          <w:divBdr>
            <w:top w:val="none" w:sz="0" w:space="0" w:color="auto"/>
            <w:left w:val="none" w:sz="0" w:space="0" w:color="auto"/>
            <w:bottom w:val="none" w:sz="0" w:space="0" w:color="auto"/>
            <w:right w:val="none" w:sz="0" w:space="0" w:color="auto"/>
          </w:divBdr>
        </w:div>
        <w:div w:id="555312305">
          <w:marLeft w:val="0"/>
          <w:marRight w:val="0"/>
          <w:marTop w:val="0"/>
          <w:marBottom w:val="0"/>
          <w:divBdr>
            <w:top w:val="none" w:sz="0" w:space="0" w:color="auto"/>
            <w:left w:val="none" w:sz="0" w:space="0" w:color="auto"/>
            <w:bottom w:val="none" w:sz="0" w:space="0" w:color="auto"/>
            <w:right w:val="none" w:sz="0" w:space="0" w:color="auto"/>
          </w:divBdr>
        </w:div>
        <w:div w:id="139082192">
          <w:marLeft w:val="0"/>
          <w:marRight w:val="0"/>
          <w:marTop w:val="0"/>
          <w:marBottom w:val="0"/>
          <w:divBdr>
            <w:top w:val="none" w:sz="0" w:space="0" w:color="auto"/>
            <w:left w:val="none" w:sz="0" w:space="0" w:color="auto"/>
            <w:bottom w:val="none" w:sz="0" w:space="0" w:color="auto"/>
            <w:right w:val="none" w:sz="0" w:space="0" w:color="auto"/>
          </w:divBdr>
        </w:div>
        <w:div w:id="41172773">
          <w:marLeft w:val="0"/>
          <w:marRight w:val="0"/>
          <w:marTop w:val="0"/>
          <w:marBottom w:val="0"/>
          <w:divBdr>
            <w:top w:val="none" w:sz="0" w:space="0" w:color="auto"/>
            <w:left w:val="none" w:sz="0" w:space="0" w:color="auto"/>
            <w:bottom w:val="none" w:sz="0" w:space="0" w:color="auto"/>
            <w:right w:val="none" w:sz="0" w:space="0" w:color="auto"/>
          </w:divBdr>
        </w:div>
        <w:div w:id="424569583">
          <w:marLeft w:val="0"/>
          <w:marRight w:val="0"/>
          <w:marTop w:val="0"/>
          <w:marBottom w:val="0"/>
          <w:divBdr>
            <w:top w:val="none" w:sz="0" w:space="0" w:color="auto"/>
            <w:left w:val="none" w:sz="0" w:space="0" w:color="auto"/>
            <w:bottom w:val="none" w:sz="0" w:space="0" w:color="auto"/>
            <w:right w:val="none" w:sz="0" w:space="0" w:color="auto"/>
          </w:divBdr>
        </w:div>
        <w:div w:id="33236076">
          <w:marLeft w:val="0"/>
          <w:marRight w:val="0"/>
          <w:marTop w:val="0"/>
          <w:marBottom w:val="0"/>
          <w:divBdr>
            <w:top w:val="none" w:sz="0" w:space="0" w:color="auto"/>
            <w:left w:val="none" w:sz="0" w:space="0" w:color="auto"/>
            <w:bottom w:val="none" w:sz="0" w:space="0" w:color="auto"/>
            <w:right w:val="none" w:sz="0" w:space="0" w:color="auto"/>
          </w:divBdr>
        </w:div>
        <w:div w:id="1731072708">
          <w:marLeft w:val="0"/>
          <w:marRight w:val="0"/>
          <w:marTop w:val="0"/>
          <w:marBottom w:val="0"/>
          <w:divBdr>
            <w:top w:val="none" w:sz="0" w:space="0" w:color="auto"/>
            <w:left w:val="none" w:sz="0" w:space="0" w:color="auto"/>
            <w:bottom w:val="none" w:sz="0" w:space="0" w:color="auto"/>
            <w:right w:val="none" w:sz="0" w:space="0" w:color="auto"/>
          </w:divBdr>
        </w:div>
        <w:div w:id="30542438">
          <w:marLeft w:val="0"/>
          <w:marRight w:val="0"/>
          <w:marTop w:val="0"/>
          <w:marBottom w:val="0"/>
          <w:divBdr>
            <w:top w:val="none" w:sz="0" w:space="0" w:color="auto"/>
            <w:left w:val="none" w:sz="0" w:space="0" w:color="auto"/>
            <w:bottom w:val="none" w:sz="0" w:space="0" w:color="auto"/>
            <w:right w:val="none" w:sz="0" w:space="0" w:color="auto"/>
          </w:divBdr>
        </w:div>
        <w:div w:id="2079669670">
          <w:marLeft w:val="0"/>
          <w:marRight w:val="0"/>
          <w:marTop w:val="0"/>
          <w:marBottom w:val="0"/>
          <w:divBdr>
            <w:top w:val="none" w:sz="0" w:space="0" w:color="auto"/>
            <w:left w:val="none" w:sz="0" w:space="0" w:color="auto"/>
            <w:bottom w:val="none" w:sz="0" w:space="0" w:color="auto"/>
            <w:right w:val="none" w:sz="0" w:space="0" w:color="auto"/>
          </w:divBdr>
        </w:div>
        <w:div w:id="521361314">
          <w:marLeft w:val="0"/>
          <w:marRight w:val="0"/>
          <w:marTop w:val="0"/>
          <w:marBottom w:val="0"/>
          <w:divBdr>
            <w:top w:val="none" w:sz="0" w:space="0" w:color="auto"/>
            <w:left w:val="none" w:sz="0" w:space="0" w:color="auto"/>
            <w:bottom w:val="none" w:sz="0" w:space="0" w:color="auto"/>
            <w:right w:val="none" w:sz="0" w:space="0" w:color="auto"/>
          </w:divBdr>
        </w:div>
        <w:div w:id="1894847172">
          <w:marLeft w:val="0"/>
          <w:marRight w:val="0"/>
          <w:marTop w:val="0"/>
          <w:marBottom w:val="0"/>
          <w:divBdr>
            <w:top w:val="none" w:sz="0" w:space="0" w:color="auto"/>
            <w:left w:val="none" w:sz="0" w:space="0" w:color="auto"/>
            <w:bottom w:val="none" w:sz="0" w:space="0" w:color="auto"/>
            <w:right w:val="none" w:sz="0" w:space="0" w:color="auto"/>
          </w:divBdr>
        </w:div>
        <w:div w:id="1873571546">
          <w:marLeft w:val="0"/>
          <w:marRight w:val="0"/>
          <w:marTop w:val="0"/>
          <w:marBottom w:val="0"/>
          <w:divBdr>
            <w:top w:val="none" w:sz="0" w:space="0" w:color="auto"/>
            <w:left w:val="none" w:sz="0" w:space="0" w:color="auto"/>
            <w:bottom w:val="none" w:sz="0" w:space="0" w:color="auto"/>
            <w:right w:val="none" w:sz="0" w:space="0" w:color="auto"/>
          </w:divBdr>
        </w:div>
        <w:div w:id="1498839910">
          <w:marLeft w:val="0"/>
          <w:marRight w:val="0"/>
          <w:marTop w:val="0"/>
          <w:marBottom w:val="0"/>
          <w:divBdr>
            <w:top w:val="none" w:sz="0" w:space="0" w:color="auto"/>
            <w:left w:val="none" w:sz="0" w:space="0" w:color="auto"/>
            <w:bottom w:val="none" w:sz="0" w:space="0" w:color="auto"/>
            <w:right w:val="none" w:sz="0" w:space="0" w:color="auto"/>
          </w:divBdr>
        </w:div>
        <w:div w:id="527526503">
          <w:marLeft w:val="0"/>
          <w:marRight w:val="0"/>
          <w:marTop w:val="0"/>
          <w:marBottom w:val="0"/>
          <w:divBdr>
            <w:top w:val="none" w:sz="0" w:space="0" w:color="auto"/>
            <w:left w:val="none" w:sz="0" w:space="0" w:color="auto"/>
            <w:bottom w:val="none" w:sz="0" w:space="0" w:color="auto"/>
            <w:right w:val="none" w:sz="0" w:space="0" w:color="auto"/>
          </w:divBdr>
        </w:div>
        <w:div w:id="677001562">
          <w:marLeft w:val="0"/>
          <w:marRight w:val="0"/>
          <w:marTop w:val="0"/>
          <w:marBottom w:val="0"/>
          <w:divBdr>
            <w:top w:val="none" w:sz="0" w:space="0" w:color="auto"/>
            <w:left w:val="none" w:sz="0" w:space="0" w:color="auto"/>
            <w:bottom w:val="none" w:sz="0" w:space="0" w:color="auto"/>
            <w:right w:val="none" w:sz="0" w:space="0" w:color="auto"/>
          </w:divBdr>
        </w:div>
        <w:div w:id="1243366798">
          <w:marLeft w:val="0"/>
          <w:marRight w:val="0"/>
          <w:marTop w:val="0"/>
          <w:marBottom w:val="0"/>
          <w:divBdr>
            <w:top w:val="none" w:sz="0" w:space="0" w:color="auto"/>
            <w:left w:val="none" w:sz="0" w:space="0" w:color="auto"/>
            <w:bottom w:val="none" w:sz="0" w:space="0" w:color="auto"/>
            <w:right w:val="none" w:sz="0" w:space="0" w:color="auto"/>
          </w:divBdr>
        </w:div>
        <w:div w:id="1959293699">
          <w:marLeft w:val="0"/>
          <w:marRight w:val="0"/>
          <w:marTop w:val="0"/>
          <w:marBottom w:val="0"/>
          <w:divBdr>
            <w:top w:val="none" w:sz="0" w:space="0" w:color="auto"/>
            <w:left w:val="none" w:sz="0" w:space="0" w:color="auto"/>
            <w:bottom w:val="none" w:sz="0" w:space="0" w:color="auto"/>
            <w:right w:val="none" w:sz="0" w:space="0" w:color="auto"/>
          </w:divBdr>
        </w:div>
        <w:div w:id="1655600647">
          <w:marLeft w:val="0"/>
          <w:marRight w:val="0"/>
          <w:marTop w:val="0"/>
          <w:marBottom w:val="0"/>
          <w:divBdr>
            <w:top w:val="none" w:sz="0" w:space="0" w:color="auto"/>
            <w:left w:val="none" w:sz="0" w:space="0" w:color="auto"/>
            <w:bottom w:val="none" w:sz="0" w:space="0" w:color="auto"/>
            <w:right w:val="none" w:sz="0" w:space="0" w:color="auto"/>
          </w:divBdr>
        </w:div>
        <w:div w:id="96675969">
          <w:marLeft w:val="0"/>
          <w:marRight w:val="0"/>
          <w:marTop w:val="0"/>
          <w:marBottom w:val="0"/>
          <w:divBdr>
            <w:top w:val="none" w:sz="0" w:space="0" w:color="auto"/>
            <w:left w:val="none" w:sz="0" w:space="0" w:color="auto"/>
            <w:bottom w:val="none" w:sz="0" w:space="0" w:color="auto"/>
            <w:right w:val="none" w:sz="0" w:space="0" w:color="auto"/>
          </w:divBdr>
        </w:div>
        <w:div w:id="2080907813">
          <w:marLeft w:val="0"/>
          <w:marRight w:val="0"/>
          <w:marTop w:val="0"/>
          <w:marBottom w:val="0"/>
          <w:divBdr>
            <w:top w:val="none" w:sz="0" w:space="0" w:color="auto"/>
            <w:left w:val="none" w:sz="0" w:space="0" w:color="auto"/>
            <w:bottom w:val="none" w:sz="0" w:space="0" w:color="auto"/>
            <w:right w:val="none" w:sz="0" w:space="0" w:color="auto"/>
          </w:divBdr>
        </w:div>
        <w:div w:id="2021197835">
          <w:marLeft w:val="0"/>
          <w:marRight w:val="0"/>
          <w:marTop w:val="0"/>
          <w:marBottom w:val="0"/>
          <w:divBdr>
            <w:top w:val="none" w:sz="0" w:space="0" w:color="auto"/>
            <w:left w:val="none" w:sz="0" w:space="0" w:color="auto"/>
            <w:bottom w:val="none" w:sz="0" w:space="0" w:color="auto"/>
            <w:right w:val="none" w:sz="0" w:space="0" w:color="auto"/>
          </w:divBdr>
        </w:div>
        <w:div w:id="711199537">
          <w:marLeft w:val="0"/>
          <w:marRight w:val="0"/>
          <w:marTop w:val="0"/>
          <w:marBottom w:val="0"/>
          <w:divBdr>
            <w:top w:val="none" w:sz="0" w:space="0" w:color="auto"/>
            <w:left w:val="none" w:sz="0" w:space="0" w:color="auto"/>
            <w:bottom w:val="none" w:sz="0" w:space="0" w:color="auto"/>
            <w:right w:val="none" w:sz="0" w:space="0" w:color="auto"/>
          </w:divBdr>
        </w:div>
        <w:div w:id="381684566">
          <w:marLeft w:val="0"/>
          <w:marRight w:val="0"/>
          <w:marTop w:val="0"/>
          <w:marBottom w:val="0"/>
          <w:divBdr>
            <w:top w:val="none" w:sz="0" w:space="0" w:color="auto"/>
            <w:left w:val="none" w:sz="0" w:space="0" w:color="auto"/>
            <w:bottom w:val="none" w:sz="0" w:space="0" w:color="auto"/>
            <w:right w:val="none" w:sz="0" w:space="0" w:color="auto"/>
          </w:divBdr>
        </w:div>
        <w:div w:id="1878007653">
          <w:marLeft w:val="0"/>
          <w:marRight w:val="0"/>
          <w:marTop w:val="0"/>
          <w:marBottom w:val="0"/>
          <w:divBdr>
            <w:top w:val="none" w:sz="0" w:space="0" w:color="auto"/>
            <w:left w:val="none" w:sz="0" w:space="0" w:color="auto"/>
            <w:bottom w:val="none" w:sz="0" w:space="0" w:color="auto"/>
            <w:right w:val="none" w:sz="0" w:space="0" w:color="auto"/>
          </w:divBdr>
        </w:div>
        <w:div w:id="1950314616">
          <w:marLeft w:val="0"/>
          <w:marRight w:val="0"/>
          <w:marTop w:val="0"/>
          <w:marBottom w:val="0"/>
          <w:divBdr>
            <w:top w:val="none" w:sz="0" w:space="0" w:color="auto"/>
            <w:left w:val="none" w:sz="0" w:space="0" w:color="auto"/>
            <w:bottom w:val="none" w:sz="0" w:space="0" w:color="auto"/>
            <w:right w:val="none" w:sz="0" w:space="0" w:color="auto"/>
          </w:divBdr>
        </w:div>
        <w:div w:id="1293638040">
          <w:marLeft w:val="0"/>
          <w:marRight w:val="0"/>
          <w:marTop w:val="0"/>
          <w:marBottom w:val="0"/>
          <w:divBdr>
            <w:top w:val="none" w:sz="0" w:space="0" w:color="auto"/>
            <w:left w:val="none" w:sz="0" w:space="0" w:color="auto"/>
            <w:bottom w:val="none" w:sz="0" w:space="0" w:color="auto"/>
            <w:right w:val="none" w:sz="0" w:space="0" w:color="auto"/>
          </w:divBdr>
        </w:div>
        <w:div w:id="746655211">
          <w:marLeft w:val="0"/>
          <w:marRight w:val="0"/>
          <w:marTop w:val="0"/>
          <w:marBottom w:val="0"/>
          <w:divBdr>
            <w:top w:val="none" w:sz="0" w:space="0" w:color="auto"/>
            <w:left w:val="none" w:sz="0" w:space="0" w:color="auto"/>
            <w:bottom w:val="none" w:sz="0" w:space="0" w:color="auto"/>
            <w:right w:val="none" w:sz="0" w:space="0" w:color="auto"/>
          </w:divBdr>
        </w:div>
        <w:div w:id="2050180430">
          <w:marLeft w:val="0"/>
          <w:marRight w:val="0"/>
          <w:marTop w:val="0"/>
          <w:marBottom w:val="0"/>
          <w:divBdr>
            <w:top w:val="none" w:sz="0" w:space="0" w:color="auto"/>
            <w:left w:val="none" w:sz="0" w:space="0" w:color="auto"/>
            <w:bottom w:val="none" w:sz="0" w:space="0" w:color="auto"/>
            <w:right w:val="none" w:sz="0" w:space="0" w:color="auto"/>
          </w:divBdr>
        </w:div>
        <w:div w:id="1275792329">
          <w:marLeft w:val="0"/>
          <w:marRight w:val="0"/>
          <w:marTop w:val="0"/>
          <w:marBottom w:val="0"/>
          <w:divBdr>
            <w:top w:val="none" w:sz="0" w:space="0" w:color="auto"/>
            <w:left w:val="none" w:sz="0" w:space="0" w:color="auto"/>
            <w:bottom w:val="none" w:sz="0" w:space="0" w:color="auto"/>
            <w:right w:val="none" w:sz="0" w:space="0" w:color="auto"/>
          </w:divBdr>
        </w:div>
        <w:div w:id="1005397049">
          <w:marLeft w:val="0"/>
          <w:marRight w:val="0"/>
          <w:marTop w:val="0"/>
          <w:marBottom w:val="0"/>
          <w:divBdr>
            <w:top w:val="none" w:sz="0" w:space="0" w:color="auto"/>
            <w:left w:val="none" w:sz="0" w:space="0" w:color="auto"/>
            <w:bottom w:val="none" w:sz="0" w:space="0" w:color="auto"/>
            <w:right w:val="none" w:sz="0" w:space="0" w:color="auto"/>
          </w:divBdr>
        </w:div>
        <w:div w:id="754787813">
          <w:marLeft w:val="0"/>
          <w:marRight w:val="0"/>
          <w:marTop w:val="0"/>
          <w:marBottom w:val="0"/>
          <w:divBdr>
            <w:top w:val="none" w:sz="0" w:space="0" w:color="auto"/>
            <w:left w:val="none" w:sz="0" w:space="0" w:color="auto"/>
            <w:bottom w:val="none" w:sz="0" w:space="0" w:color="auto"/>
            <w:right w:val="none" w:sz="0" w:space="0" w:color="auto"/>
          </w:divBdr>
        </w:div>
        <w:div w:id="1390493700">
          <w:marLeft w:val="0"/>
          <w:marRight w:val="0"/>
          <w:marTop w:val="0"/>
          <w:marBottom w:val="0"/>
          <w:divBdr>
            <w:top w:val="none" w:sz="0" w:space="0" w:color="auto"/>
            <w:left w:val="none" w:sz="0" w:space="0" w:color="auto"/>
            <w:bottom w:val="none" w:sz="0" w:space="0" w:color="auto"/>
            <w:right w:val="none" w:sz="0" w:space="0" w:color="auto"/>
          </w:divBdr>
        </w:div>
        <w:div w:id="28191899">
          <w:marLeft w:val="0"/>
          <w:marRight w:val="0"/>
          <w:marTop w:val="0"/>
          <w:marBottom w:val="0"/>
          <w:divBdr>
            <w:top w:val="none" w:sz="0" w:space="0" w:color="auto"/>
            <w:left w:val="none" w:sz="0" w:space="0" w:color="auto"/>
            <w:bottom w:val="none" w:sz="0" w:space="0" w:color="auto"/>
            <w:right w:val="none" w:sz="0" w:space="0" w:color="auto"/>
          </w:divBdr>
        </w:div>
        <w:div w:id="1577594943">
          <w:marLeft w:val="0"/>
          <w:marRight w:val="0"/>
          <w:marTop w:val="0"/>
          <w:marBottom w:val="0"/>
          <w:divBdr>
            <w:top w:val="none" w:sz="0" w:space="0" w:color="auto"/>
            <w:left w:val="none" w:sz="0" w:space="0" w:color="auto"/>
            <w:bottom w:val="none" w:sz="0" w:space="0" w:color="auto"/>
            <w:right w:val="none" w:sz="0" w:space="0" w:color="auto"/>
          </w:divBdr>
        </w:div>
        <w:div w:id="1829246910">
          <w:marLeft w:val="0"/>
          <w:marRight w:val="0"/>
          <w:marTop w:val="0"/>
          <w:marBottom w:val="0"/>
          <w:divBdr>
            <w:top w:val="none" w:sz="0" w:space="0" w:color="auto"/>
            <w:left w:val="none" w:sz="0" w:space="0" w:color="auto"/>
            <w:bottom w:val="none" w:sz="0" w:space="0" w:color="auto"/>
            <w:right w:val="none" w:sz="0" w:space="0" w:color="auto"/>
          </w:divBdr>
        </w:div>
        <w:div w:id="1503816586">
          <w:marLeft w:val="0"/>
          <w:marRight w:val="0"/>
          <w:marTop w:val="0"/>
          <w:marBottom w:val="0"/>
          <w:divBdr>
            <w:top w:val="none" w:sz="0" w:space="0" w:color="auto"/>
            <w:left w:val="none" w:sz="0" w:space="0" w:color="auto"/>
            <w:bottom w:val="none" w:sz="0" w:space="0" w:color="auto"/>
            <w:right w:val="none" w:sz="0" w:space="0" w:color="auto"/>
          </w:divBdr>
        </w:div>
        <w:div w:id="984968725">
          <w:marLeft w:val="0"/>
          <w:marRight w:val="0"/>
          <w:marTop w:val="0"/>
          <w:marBottom w:val="0"/>
          <w:divBdr>
            <w:top w:val="none" w:sz="0" w:space="0" w:color="auto"/>
            <w:left w:val="none" w:sz="0" w:space="0" w:color="auto"/>
            <w:bottom w:val="none" w:sz="0" w:space="0" w:color="auto"/>
            <w:right w:val="none" w:sz="0" w:space="0" w:color="auto"/>
          </w:divBdr>
        </w:div>
        <w:div w:id="1204512866">
          <w:marLeft w:val="0"/>
          <w:marRight w:val="0"/>
          <w:marTop w:val="0"/>
          <w:marBottom w:val="0"/>
          <w:divBdr>
            <w:top w:val="none" w:sz="0" w:space="0" w:color="auto"/>
            <w:left w:val="none" w:sz="0" w:space="0" w:color="auto"/>
            <w:bottom w:val="none" w:sz="0" w:space="0" w:color="auto"/>
            <w:right w:val="none" w:sz="0" w:space="0" w:color="auto"/>
          </w:divBdr>
        </w:div>
        <w:div w:id="400951138">
          <w:marLeft w:val="0"/>
          <w:marRight w:val="0"/>
          <w:marTop w:val="0"/>
          <w:marBottom w:val="0"/>
          <w:divBdr>
            <w:top w:val="none" w:sz="0" w:space="0" w:color="auto"/>
            <w:left w:val="none" w:sz="0" w:space="0" w:color="auto"/>
            <w:bottom w:val="none" w:sz="0" w:space="0" w:color="auto"/>
            <w:right w:val="none" w:sz="0" w:space="0" w:color="auto"/>
          </w:divBdr>
        </w:div>
        <w:div w:id="836193162">
          <w:marLeft w:val="0"/>
          <w:marRight w:val="0"/>
          <w:marTop w:val="0"/>
          <w:marBottom w:val="0"/>
          <w:divBdr>
            <w:top w:val="none" w:sz="0" w:space="0" w:color="auto"/>
            <w:left w:val="none" w:sz="0" w:space="0" w:color="auto"/>
            <w:bottom w:val="none" w:sz="0" w:space="0" w:color="auto"/>
            <w:right w:val="none" w:sz="0" w:space="0" w:color="auto"/>
          </w:divBdr>
        </w:div>
        <w:div w:id="112286192">
          <w:marLeft w:val="0"/>
          <w:marRight w:val="0"/>
          <w:marTop w:val="0"/>
          <w:marBottom w:val="0"/>
          <w:divBdr>
            <w:top w:val="none" w:sz="0" w:space="0" w:color="auto"/>
            <w:left w:val="none" w:sz="0" w:space="0" w:color="auto"/>
            <w:bottom w:val="none" w:sz="0" w:space="0" w:color="auto"/>
            <w:right w:val="none" w:sz="0" w:space="0" w:color="auto"/>
          </w:divBdr>
        </w:div>
        <w:div w:id="2112817757">
          <w:marLeft w:val="0"/>
          <w:marRight w:val="0"/>
          <w:marTop w:val="0"/>
          <w:marBottom w:val="0"/>
          <w:divBdr>
            <w:top w:val="none" w:sz="0" w:space="0" w:color="auto"/>
            <w:left w:val="none" w:sz="0" w:space="0" w:color="auto"/>
            <w:bottom w:val="none" w:sz="0" w:space="0" w:color="auto"/>
            <w:right w:val="none" w:sz="0" w:space="0" w:color="auto"/>
          </w:divBdr>
        </w:div>
        <w:div w:id="783496785">
          <w:marLeft w:val="0"/>
          <w:marRight w:val="0"/>
          <w:marTop w:val="0"/>
          <w:marBottom w:val="0"/>
          <w:divBdr>
            <w:top w:val="none" w:sz="0" w:space="0" w:color="auto"/>
            <w:left w:val="none" w:sz="0" w:space="0" w:color="auto"/>
            <w:bottom w:val="none" w:sz="0" w:space="0" w:color="auto"/>
            <w:right w:val="none" w:sz="0" w:space="0" w:color="auto"/>
          </w:divBdr>
        </w:div>
        <w:div w:id="1546674653">
          <w:marLeft w:val="0"/>
          <w:marRight w:val="0"/>
          <w:marTop w:val="0"/>
          <w:marBottom w:val="0"/>
          <w:divBdr>
            <w:top w:val="none" w:sz="0" w:space="0" w:color="auto"/>
            <w:left w:val="none" w:sz="0" w:space="0" w:color="auto"/>
            <w:bottom w:val="none" w:sz="0" w:space="0" w:color="auto"/>
            <w:right w:val="none" w:sz="0" w:space="0" w:color="auto"/>
          </w:divBdr>
        </w:div>
        <w:div w:id="304431988">
          <w:marLeft w:val="0"/>
          <w:marRight w:val="0"/>
          <w:marTop w:val="0"/>
          <w:marBottom w:val="0"/>
          <w:divBdr>
            <w:top w:val="none" w:sz="0" w:space="0" w:color="auto"/>
            <w:left w:val="none" w:sz="0" w:space="0" w:color="auto"/>
            <w:bottom w:val="none" w:sz="0" w:space="0" w:color="auto"/>
            <w:right w:val="none" w:sz="0" w:space="0" w:color="auto"/>
          </w:divBdr>
        </w:div>
        <w:div w:id="1250851604">
          <w:marLeft w:val="0"/>
          <w:marRight w:val="0"/>
          <w:marTop w:val="0"/>
          <w:marBottom w:val="0"/>
          <w:divBdr>
            <w:top w:val="none" w:sz="0" w:space="0" w:color="auto"/>
            <w:left w:val="none" w:sz="0" w:space="0" w:color="auto"/>
            <w:bottom w:val="none" w:sz="0" w:space="0" w:color="auto"/>
            <w:right w:val="none" w:sz="0" w:space="0" w:color="auto"/>
          </w:divBdr>
        </w:div>
        <w:div w:id="1490250247">
          <w:marLeft w:val="0"/>
          <w:marRight w:val="0"/>
          <w:marTop w:val="0"/>
          <w:marBottom w:val="0"/>
          <w:divBdr>
            <w:top w:val="none" w:sz="0" w:space="0" w:color="auto"/>
            <w:left w:val="none" w:sz="0" w:space="0" w:color="auto"/>
            <w:bottom w:val="none" w:sz="0" w:space="0" w:color="auto"/>
            <w:right w:val="none" w:sz="0" w:space="0" w:color="auto"/>
          </w:divBdr>
        </w:div>
        <w:div w:id="860239005">
          <w:marLeft w:val="0"/>
          <w:marRight w:val="0"/>
          <w:marTop w:val="0"/>
          <w:marBottom w:val="0"/>
          <w:divBdr>
            <w:top w:val="none" w:sz="0" w:space="0" w:color="auto"/>
            <w:left w:val="none" w:sz="0" w:space="0" w:color="auto"/>
            <w:bottom w:val="none" w:sz="0" w:space="0" w:color="auto"/>
            <w:right w:val="none" w:sz="0" w:space="0" w:color="auto"/>
          </w:divBdr>
        </w:div>
        <w:div w:id="2101949150">
          <w:marLeft w:val="0"/>
          <w:marRight w:val="0"/>
          <w:marTop w:val="0"/>
          <w:marBottom w:val="0"/>
          <w:divBdr>
            <w:top w:val="none" w:sz="0" w:space="0" w:color="auto"/>
            <w:left w:val="none" w:sz="0" w:space="0" w:color="auto"/>
            <w:bottom w:val="none" w:sz="0" w:space="0" w:color="auto"/>
            <w:right w:val="none" w:sz="0" w:space="0" w:color="auto"/>
          </w:divBdr>
        </w:div>
        <w:div w:id="389577291">
          <w:marLeft w:val="0"/>
          <w:marRight w:val="0"/>
          <w:marTop w:val="0"/>
          <w:marBottom w:val="0"/>
          <w:divBdr>
            <w:top w:val="none" w:sz="0" w:space="0" w:color="auto"/>
            <w:left w:val="none" w:sz="0" w:space="0" w:color="auto"/>
            <w:bottom w:val="none" w:sz="0" w:space="0" w:color="auto"/>
            <w:right w:val="none" w:sz="0" w:space="0" w:color="auto"/>
          </w:divBdr>
        </w:div>
        <w:div w:id="714701426">
          <w:marLeft w:val="0"/>
          <w:marRight w:val="0"/>
          <w:marTop w:val="0"/>
          <w:marBottom w:val="0"/>
          <w:divBdr>
            <w:top w:val="none" w:sz="0" w:space="0" w:color="auto"/>
            <w:left w:val="none" w:sz="0" w:space="0" w:color="auto"/>
            <w:bottom w:val="none" w:sz="0" w:space="0" w:color="auto"/>
            <w:right w:val="none" w:sz="0" w:space="0" w:color="auto"/>
          </w:divBdr>
        </w:div>
        <w:div w:id="562835686">
          <w:marLeft w:val="0"/>
          <w:marRight w:val="0"/>
          <w:marTop w:val="0"/>
          <w:marBottom w:val="0"/>
          <w:divBdr>
            <w:top w:val="none" w:sz="0" w:space="0" w:color="auto"/>
            <w:left w:val="none" w:sz="0" w:space="0" w:color="auto"/>
            <w:bottom w:val="none" w:sz="0" w:space="0" w:color="auto"/>
            <w:right w:val="none" w:sz="0" w:space="0" w:color="auto"/>
          </w:divBdr>
        </w:div>
        <w:div w:id="2122844328">
          <w:marLeft w:val="0"/>
          <w:marRight w:val="0"/>
          <w:marTop w:val="0"/>
          <w:marBottom w:val="0"/>
          <w:divBdr>
            <w:top w:val="none" w:sz="0" w:space="0" w:color="auto"/>
            <w:left w:val="none" w:sz="0" w:space="0" w:color="auto"/>
            <w:bottom w:val="none" w:sz="0" w:space="0" w:color="auto"/>
            <w:right w:val="none" w:sz="0" w:space="0" w:color="auto"/>
          </w:divBdr>
        </w:div>
        <w:div w:id="673260241">
          <w:marLeft w:val="0"/>
          <w:marRight w:val="0"/>
          <w:marTop w:val="0"/>
          <w:marBottom w:val="0"/>
          <w:divBdr>
            <w:top w:val="none" w:sz="0" w:space="0" w:color="auto"/>
            <w:left w:val="none" w:sz="0" w:space="0" w:color="auto"/>
            <w:bottom w:val="none" w:sz="0" w:space="0" w:color="auto"/>
            <w:right w:val="none" w:sz="0" w:space="0" w:color="auto"/>
          </w:divBdr>
        </w:div>
        <w:div w:id="1106803256">
          <w:marLeft w:val="0"/>
          <w:marRight w:val="0"/>
          <w:marTop w:val="0"/>
          <w:marBottom w:val="0"/>
          <w:divBdr>
            <w:top w:val="none" w:sz="0" w:space="0" w:color="auto"/>
            <w:left w:val="none" w:sz="0" w:space="0" w:color="auto"/>
            <w:bottom w:val="none" w:sz="0" w:space="0" w:color="auto"/>
            <w:right w:val="none" w:sz="0" w:space="0" w:color="auto"/>
          </w:divBdr>
        </w:div>
        <w:div w:id="1851868526">
          <w:marLeft w:val="0"/>
          <w:marRight w:val="0"/>
          <w:marTop w:val="0"/>
          <w:marBottom w:val="0"/>
          <w:divBdr>
            <w:top w:val="none" w:sz="0" w:space="0" w:color="auto"/>
            <w:left w:val="none" w:sz="0" w:space="0" w:color="auto"/>
            <w:bottom w:val="none" w:sz="0" w:space="0" w:color="auto"/>
            <w:right w:val="none" w:sz="0" w:space="0" w:color="auto"/>
          </w:divBdr>
        </w:div>
        <w:div w:id="695077793">
          <w:marLeft w:val="0"/>
          <w:marRight w:val="0"/>
          <w:marTop w:val="0"/>
          <w:marBottom w:val="0"/>
          <w:divBdr>
            <w:top w:val="none" w:sz="0" w:space="0" w:color="auto"/>
            <w:left w:val="none" w:sz="0" w:space="0" w:color="auto"/>
            <w:bottom w:val="none" w:sz="0" w:space="0" w:color="auto"/>
            <w:right w:val="none" w:sz="0" w:space="0" w:color="auto"/>
          </w:divBdr>
        </w:div>
        <w:div w:id="740099813">
          <w:marLeft w:val="0"/>
          <w:marRight w:val="0"/>
          <w:marTop w:val="0"/>
          <w:marBottom w:val="0"/>
          <w:divBdr>
            <w:top w:val="none" w:sz="0" w:space="0" w:color="auto"/>
            <w:left w:val="none" w:sz="0" w:space="0" w:color="auto"/>
            <w:bottom w:val="none" w:sz="0" w:space="0" w:color="auto"/>
            <w:right w:val="none" w:sz="0" w:space="0" w:color="auto"/>
          </w:divBdr>
        </w:div>
        <w:div w:id="224610505">
          <w:marLeft w:val="0"/>
          <w:marRight w:val="0"/>
          <w:marTop w:val="0"/>
          <w:marBottom w:val="0"/>
          <w:divBdr>
            <w:top w:val="none" w:sz="0" w:space="0" w:color="auto"/>
            <w:left w:val="none" w:sz="0" w:space="0" w:color="auto"/>
            <w:bottom w:val="none" w:sz="0" w:space="0" w:color="auto"/>
            <w:right w:val="none" w:sz="0" w:space="0" w:color="auto"/>
          </w:divBdr>
        </w:div>
        <w:div w:id="1792741936">
          <w:marLeft w:val="0"/>
          <w:marRight w:val="0"/>
          <w:marTop w:val="0"/>
          <w:marBottom w:val="0"/>
          <w:divBdr>
            <w:top w:val="none" w:sz="0" w:space="0" w:color="auto"/>
            <w:left w:val="none" w:sz="0" w:space="0" w:color="auto"/>
            <w:bottom w:val="none" w:sz="0" w:space="0" w:color="auto"/>
            <w:right w:val="none" w:sz="0" w:space="0" w:color="auto"/>
          </w:divBdr>
        </w:div>
        <w:div w:id="1289312981">
          <w:marLeft w:val="0"/>
          <w:marRight w:val="0"/>
          <w:marTop w:val="0"/>
          <w:marBottom w:val="0"/>
          <w:divBdr>
            <w:top w:val="none" w:sz="0" w:space="0" w:color="auto"/>
            <w:left w:val="none" w:sz="0" w:space="0" w:color="auto"/>
            <w:bottom w:val="none" w:sz="0" w:space="0" w:color="auto"/>
            <w:right w:val="none" w:sz="0" w:space="0" w:color="auto"/>
          </w:divBdr>
        </w:div>
        <w:div w:id="931820253">
          <w:marLeft w:val="0"/>
          <w:marRight w:val="0"/>
          <w:marTop w:val="0"/>
          <w:marBottom w:val="0"/>
          <w:divBdr>
            <w:top w:val="none" w:sz="0" w:space="0" w:color="auto"/>
            <w:left w:val="none" w:sz="0" w:space="0" w:color="auto"/>
            <w:bottom w:val="none" w:sz="0" w:space="0" w:color="auto"/>
            <w:right w:val="none" w:sz="0" w:space="0" w:color="auto"/>
          </w:divBdr>
        </w:div>
        <w:div w:id="1100951924">
          <w:marLeft w:val="0"/>
          <w:marRight w:val="0"/>
          <w:marTop w:val="0"/>
          <w:marBottom w:val="0"/>
          <w:divBdr>
            <w:top w:val="none" w:sz="0" w:space="0" w:color="auto"/>
            <w:left w:val="none" w:sz="0" w:space="0" w:color="auto"/>
            <w:bottom w:val="none" w:sz="0" w:space="0" w:color="auto"/>
            <w:right w:val="none" w:sz="0" w:space="0" w:color="auto"/>
          </w:divBdr>
        </w:div>
        <w:div w:id="1101803675">
          <w:marLeft w:val="0"/>
          <w:marRight w:val="0"/>
          <w:marTop w:val="0"/>
          <w:marBottom w:val="0"/>
          <w:divBdr>
            <w:top w:val="none" w:sz="0" w:space="0" w:color="auto"/>
            <w:left w:val="none" w:sz="0" w:space="0" w:color="auto"/>
            <w:bottom w:val="none" w:sz="0" w:space="0" w:color="auto"/>
            <w:right w:val="none" w:sz="0" w:space="0" w:color="auto"/>
          </w:divBdr>
        </w:div>
        <w:div w:id="765268735">
          <w:marLeft w:val="0"/>
          <w:marRight w:val="0"/>
          <w:marTop w:val="0"/>
          <w:marBottom w:val="0"/>
          <w:divBdr>
            <w:top w:val="none" w:sz="0" w:space="0" w:color="auto"/>
            <w:left w:val="none" w:sz="0" w:space="0" w:color="auto"/>
            <w:bottom w:val="none" w:sz="0" w:space="0" w:color="auto"/>
            <w:right w:val="none" w:sz="0" w:space="0" w:color="auto"/>
          </w:divBdr>
        </w:div>
        <w:div w:id="1047678440">
          <w:marLeft w:val="0"/>
          <w:marRight w:val="0"/>
          <w:marTop w:val="0"/>
          <w:marBottom w:val="0"/>
          <w:divBdr>
            <w:top w:val="none" w:sz="0" w:space="0" w:color="auto"/>
            <w:left w:val="none" w:sz="0" w:space="0" w:color="auto"/>
            <w:bottom w:val="none" w:sz="0" w:space="0" w:color="auto"/>
            <w:right w:val="none" w:sz="0" w:space="0" w:color="auto"/>
          </w:divBdr>
        </w:div>
        <w:div w:id="1793476507">
          <w:marLeft w:val="0"/>
          <w:marRight w:val="0"/>
          <w:marTop w:val="0"/>
          <w:marBottom w:val="0"/>
          <w:divBdr>
            <w:top w:val="none" w:sz="0" w:space="0" w:color="auto"/>
            <w:left w:val="none" w:sz="0" w:space="0" w:color="auto"/>
            <w:bottom w:val="none" w:sz="0" w:space="0" w:color="auto"/>
            <w:right w:val="none" w:sz="0" w:space="0" w:color="auto"/>
          </w:divBdr>
        </w:div>
        <w:div w:id="888807350">
          <w:marLeft w:val="0"/>
          <w:marRight w:val="0"/>
          <w:marTop w:val="0"/>
          <w:marBottom w:val="0"/>
          <w:divBdr>
            <w:top w:val="none" w:sz="0" w:space="0" w:color="auto"/>
            <w:left w:val="none" w:sz="0" w:space="0" w:color="auto"/>
            <w:bottom w:val="none" w:sz="0" w:space="0" w:color="auto"/>
            <w:right w:val="none" w:sz="0" w:space="0" w:color="auto"/>
          </w:divBdr>
        </w:div>
        <w:div w:id="238175711">
          <w:marLeft w:val="0"/>
          <w:marRight w:val="0"/>
          <w:marTop w:val="0"/>
          <w:marBottom w:val="0"/>
          <w:divBdr>
            <w:top w:val="none" w:sz="0" w:space="0" w:color="auto"/>
            <w:left w:val="none" w:sz="0" w:space="0" w:color="auto"/>
            <w:bottom w:val="none" w:sz="0" w:space="0" w:color="auto"/>
            <w:right w:val="none" w:sz="0" w:space="0" w:color="auto"/>
          </w:divBdr>
        </w:div>
        <w:div w:id="108399012">
          <w:marLeft w:val="0"/>
          <w:marRight w:val="0"/>
          <w:marTop w:val="0"/>
          <w:marBottom w:val="0"/>
          <w:divBdr>
            <w:top w:val="none" w:sz="0" w:space="0" w:color="auto"/>
            <w:left w:val="none" w:sz="0" w:space="0" w:color="auto"/>
            <w:bottom w:val="none" w:sz="0" w:space="0" w:color="auto"/>
            <w:right w:val="none" w:sz="0" w:space="0" w:color="auto"/>
          </w:divBdr>
        </w:div>
      </w:divsChild>
    </w:div>
    <w:div w:id="1515001230">
      <w:bodyDiv w:val="1"/>
      <w:marLeft w:val="0"/>
      <w:marRight w:val="0"/>
      <w:marTop w:val="0"/>
      <w:marBottom w:val="0"/>
      <w:divBdr>
        <w:top w:val="none" w:sz="0" w:space="0" w:color="auto"/>
        <w:left w:val="none" w:sz="0" w:space="0" w:color="auto"/>
        <w:bottom w:val="none" w:sz="0" w:space="0" w:color="auto"/>
        <w:right w:val="none" w:sz="0" w:space="0" w:color="auto"/>
      </w:divBdr>
    </w:div>
    <w:div w:id="1788354952">
      <w:bodyDiv w:val="1"/>
      <w:marLeft w:val="0"/>
      <w:marRight w:val="0"/>
      <w:marTop w:val="0"/>
      <w:marBottom w:val="0"/>
      <w:divBdr>
        <w:top w:val="none" w:sz="0" w:space="0" w:color="auto"/>
        <w:left w:val="none" w:sz="0" w:space="0" w:color="auto"/>
        <w:bottom w:val="none" w:sz="0" w:space="0" w:color="auto"/>
        <w:right w:val="none" w:sz="0" w:space="0" w:color="auto"/>
      </w:divBdr>
    </w:div>
    <w:div w:id="1836648787">
      <w:bodyDiv w:val="1"/>
      <w:marLeft w:val="0"/>
      <w:marRight w:val="0"/>
      <w:marTop w:val="0"/>
      <w:marBottom w:val="0"/>
      <w:divBdr>
        <w:top w:val="none" w:sz="0" w:space="0" w:color="auto"/>
        <w:left w:val="none" w:sz="0" w:space="0" w:color="auto"/>
        <w:bottom w:val="none" w:sz="0" w:space="0" w:color="auto"/>
        <w:right w:val="none" w:sz="0" w:space="0" w:color="auto"/>
      </w:divBdr>
    </w:div>
    <w:div w:id="1952518191">
      <w:bodyDiv w:val="1"/>
      <w:marLeft w:val="0"/>
      <w:marRight w:val="0"/>
      <w:marTop w:val="0"/>
      <w:marBottom w:val="0"/>
      <w:divBdr>
        <w:top w:val="none" w:sz="0" w:space="0" w:color="auto"/>
        <w:left w:val="none" w:sz="0" w:space="0" w:color="auto"/>
        <w:bottom w:val="none" w:sz="0" w:space="0" w:color="auto"/>
        <w:right w:val="none" w:sz="0" w:space="0" w:color="auto"/>
      </w:divBdr>
      <w:divsChild>
        <w:div w:id="932516396">
          <w:marLeft w:val="0"/>
          <w:marRight w:val="0"/>
          <w:marTop w:val="0"/>
          <w:marBottom w:val="0"/>
          <w:divBdr>
            <w:top w:val="none" w:sz="0" w:space="0" w:color="auto"/>
            <w:left w:val="none" w:sz="0" w:space="0" w:color="auto"/>
            <w:bottom w:val="none" w:sz="0" w:space="0" w:color="auto"/>
            <w:right w:val="none" w:sz="0" w:space="0" w:color="auto"/>
          </w:divBdr>
        </w:div>
        <w:div w:id="503060093">
          <w:marLeft w:val="0"/>
          <w:marRight w:val="0"/>
          <w:marTop w:val="0"/>
          <w:marBottom w:val="0"/>
          <w:divBdr>
            <w:top w:val="none" w:sz="0" w:space="0" w:color="auto"/>
            <w:left w:val="none" w:sz="0" w:space="0" w:color="auto"/>
            <w:bottom w:val="none" w:sz="0" w:space="0" w:color="auto"/>
            <w:right w:val="none" w:sz="0" w:space="0" w:color="auto"/>
          </w:divBdr>
        </w:div>
        <w:div w:id="284430879">
          <w:marLeft w:val="0"/>
          <w:marRight w:val="0"/>
          <w:marTop w:val="0"/>
          <w:marBottom w:val="0"/>
          <w:divBdr>
            <w:top w:val="none" w:sz="0" w:space="0" w:color="auto"/>
            <w:left w:val="none" w:sz="0" w:space="0" w:color="auto"/>
            <w:bottom w:val="none" w:sz="0" w:space="0" w:color="auto"/>
            <w:right w:val="none" w:sz="0" w:space="0" w:color="auto"/>
          </w:divBdr>
        </w:div>
      </w:divsChild>
    </w:div>
    <w:div w:id="21099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Share of Top 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37270341207348"/>
          <c:y val="0.12541666666666668"/>
          <c:w val="0.87296062992125989"/>
          <c:h val="0.57325641586468357"/>
        </c:manualLayout>
      </c:layout>
      <c:barChart>
        <c:barDir val="col"/>
        <c:grouping val="clustered"/>
        <c:varyColors val="0"/>
        <c:ser>
          <c:idx val="0"/>
          <c:order val="0"/>
          <c:tx>
            <c:strRef>
              <c:f>Sayfa1!$C$21</c:f>
              <c:strCache>
                <c:ptCount val="1"/>
                <c:pt idx="0">
                  <c:v>Share of Top 3 (%)</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45CE-43AB-B6A5-9CC5817E09D1}"/>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45CE-43AB-B6A5-9CC5817E09D1}"/>
              </c:ext>
            </c:extLst>
          </c:dPt>
          <c:dPt>
            <c:idx val="2"/>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5-45CE-43AB-B6A5-9CC5817E09D1}"/>
              </c:ext>
            </c:extLst>
          </c:dPt>
          <c:dPt>
            <c:idx val="3"/>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7-45CE-43AB-B6A5-9CC5817E09D1}"/>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45CE-43AB-B6A5-9CC5817E09D1}"/>
              </c:ext>
            </c:extLst>
          </c:dPt>
          <c:dLbls>
            <c:dLbl>
              <c:idx val="0"/>
              <c:layout>
                <c:manualLayout>
                  <c:x val="0"/>
                  <c:y val="-2.31481481481481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CE-43AB-B6A5-9CC5817E09D1}"/>
                </c:ext>
              </c:extLst>
            </c:dLbl>
            <c:dLbl>
              <c:idx val="1"/>
              <c:layout>
                <c:manualLayout>
                  <c:x val="-5.0925337632079971E-17"/>
                  <c:y val="-4.1666666666666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CE-43AB-B6A5-9CC5817E09D1}"/>
                </c:ext>
              </c:extLst>
            </c:dLbl>
            <c:dLbl>
              <c:idx val="2"/>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CE-43AB-B6A5-9CC5817E09D1}"/>
                </c:ext>
              </c:extLst>
            </c:dLbl>
            <c:dLbl>
              <c:idx val="3"/>
              <c:layout>
                <c:manualLayout>
                  <c:x val="-2.7777777777778798E-3"/>
                  <c:y val="-4.62962962962963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CE-43AB-B6A5-9CC5817E09D1}"/>
                </c:ext>
              </c:extLst>
            </c:dLbl>
            <c:dLbl>
              <c:idx val="4"/>
              <c:layout>
                <c:manualLayout>
                  <c:x val="-2.7777777777777779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CE-43AB-B6A5-9CC5817E09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10000"/>
                  </a:schemeClr>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multiLvlStrRef>
              <c:f>Sayfa1!$A$22:$B$26</c:f>
              <c:multiLvlStrCache>
                <c:ptCount val="5"/>
                <c:lvl>
                  <c:pt idx="0">
                    <c:v>TR1, TR3, TR4</c:v>
                  </c:pt>
                  <c:pt idx="1">
                    <c:v>TR7, TR5, TR8</c:v>
                  </c:pt>
                  <c:pt idx="2">
                    <c:v>TR3, TRC, TR6</c:v>
                  </c:pt>
                  <c:pt idx="3">
                    <c:v>TR3, TR7, TR6</c:v>
                  </c:pt>
                  <c:pt idx="4">
                    <c:v>TR7, TR5, TR2</c:v>
                  </c:pt>
                </c:lvl>
                <c:lvl>
                  <c:pt idx="0">
                    <c:v>Ornamental Plants</c:v>
                  </c:pt>
                  <c:pt idx="1">
                    <c:v>Fallow Land</c:v>
                  </c:pt>
                  <c:pt idx="2">
                    <c:v>Fruit Orchards</c:v>
                  </c:pt>
                  <c:pt idx="3">
                    <c:v>Vegetables</c:v>
                  </c:pt>
                  <c:pt idx="4">
                    <c:v>Cereals</c:v>
                  </c:pt>
                </c:lvl>
              </c:multiLvlStrCache>
            </c:multiLvlStrRef>
          </c:cat>
          <c:val>
            <c:numRef>
              <c:f>Sayfa1!$C$22:$C$26</c:f>
              <c:numCache>
                <c:formatCode>General</c:formatCode>
                <c:ptCount val="5"/>
                <c:pt idx="0">
                  <c:v>92.7</c:v>
                </c:pt>
                <c:pt idx="1">
                  <c:v>59.3</c:v>
                </c:pt>
                <c:pt idx="2">
                  <c:v>58.1</c:v>
                </c:pt>
                <c:pt idx="3">
                  <c:v>40.6</c:v>
                </c:pt>
                <c:pt idx="4">
                  <c:v>40.4</c:v>
                </c:pt>
              </c:numCache>
            </c:numRef>
          </c:val>
          <c:extLst>
            <c:ext xmlns:c16="http://schemas.microsoft.com/office/drawing/2014/chart" uri="{C3380CC4-5D6E-409C-BE32-E72D297353CC}">
              <c16:uniqueId val="{0000000B-45CE-43AB-B6A5-9CC5817E09D1}"/>
            </c:ext>
          </c:extLst>
        </c:ser>
        <c:dLbls>
          <c:dLblPos val="outEnd"/>
          <c:showLegendKey val="0"/>
          <c:showVal val="1"/>
          <c:showCatName val="0"/>
          <c:showSerName val="0"/>
          <c:showPercent val="0"/>
          <c:showBubbleSize val="0"/>
        </c:dLbls>
        <c:gapWidth val="219"/>
        <c:overlap val="-27"/>
        <c:axId val="1115968783"/>
        <c:axId val="1115979599"/>
      </c:barChart>
      <c:catAx>
        <c:axId val="11159687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Product Groups</a:t>
                </a:r>
              </a:p>
            </c:rich>
          </c:tx>
          <c:layout>
            <c:manualLayout>
              <c:xMode val="edge"/>
              <c:yMode val="edge"/>
              <c:x val="0.45876580768313052"/>
              <c:y val="0.896237623762376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79599"/>
        <c:crosses val="autoZero"/>
        <c:auto val="1"/>
        <c:lblAlgn val="ctr"/>
        <c:lblOffset val="100"/>
        <c:noMultiLvlLbl val="0"/>
      </c:catAx>
      <c:valAx>
        <c:axId val="11159795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Total share of the first three regions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68783"/>
        <c:crosses val="autoZero"/>
        <c:crossBetween val="between"/>
      </c:valAx>
      <c:spPr>
        <a:noFill/>
        <a:ln>
          <a:solidFill>
            <a:schemeClr val="bg2"/>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Regional Product Pattern Comparison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722236707166567E-2"/>
          <c:y val="0.13329046087888533"/>
          <c:w val="0.87820270810519541"/>
          <c:h val="0.59548353883417293"/>
        </c:manualLayout>
      </c:layout>
      <c:bar3DChart>
        <c:barDir val="col"/>
        <c:grouping val="clustered"/>
        <c:varyColors val="0"/>
        <c:ser>
          <c:idx val="0"/>
          <c:order val="0"/>
          <c:tx>
            <c:strRef>
              <c:f>Sayfa1!$G$8</c:f>
              <c:strCache>
                <c:ptCount val="1"/>
                <c:pt idx="0">
                  <c:v>Cereals</c:v>
                </c:pt>
              </c:strCache>
            </c:strRef>
          </c:tx>
          <c:spPr>
            <a:solidFill>
              <a:schemeClr val="accent6">
                <a:lumMod val="75000"/>
              </a:schemeClr>
            </a:solidFill>
            <a:ln>
              <a:noFill/>
            </a:ln>
            <a:effectLst/>
            <a:sp3d/>
          </c:spPr>
          <c:invertIfNegative val="0"/>
          <c:dLbls>
            <c:dLbl>
              <c:idx val="0"/>
              <c:layout>
                <c:manualLayout>
                  <c:x val="1.32450331125827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C-48E2-8D8D-048C5FDD8912}"/>
                </c:ext>
              </c:extLst>
            </c:dLbl>
            <c:dLbl>
              <c:idx val="1"/>
              <c:layout>
                <c:manualLayout>
                  <c:x val="1.7660044150110375E-2"/>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8C-48E2-8D8D-048C5FDD8912}"/>
                </c:ext>
              </c:extLst>
            </c:dLbl>
            <c:dLbl>
              <c:idx val="3"/>
              <c:layout>
                <c:manualLayout>
                  <c:x val="8.8300220750551876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Sayfa1!$H$8:$K$8</c:f>
              <c:numCache>
                <c:formatCode>General</c:formatCode>
                <c:ptCount val="4"/>
                <c:pt idx="0">
                  <c:v>57.1</c:v>
                </c:pt>
                <c:pt idx="1">
                  <c:v>48.6</c:v>
                </c:pt>
                <c:pt idx="2">
                  <c:v>28.8</c:v>
                </c:pt>
                <c:pt idx="3">
                  <c:v>36.799999999999997</c:v>
                </c:pt>
              </c:numCache>
            </c:numRef>
          </c:val>
          <c:extLst>
            <c:ext xmlns:c16="http://schemas.microsoft.com/office/drawing/2014/chart" uri="{C3380CC4-5D6E-409C-BE32-E72D297353CC}">
              <c16:uniqueId val="{00000003-3C8C-48E2-8D8D-048C5FDD8912}"/>
            </c:ext>
          </c:extLst>
        </c:ser>
        <c:ser>
          <c:idx val="1"/>
          <c:order val="1"/>
          <c:tx>
            <c:strRef>
              <c:f>Sayfa1!$G$9</c:f>
              <c:strCache>
                <c:ptCount val="1"/>
                <c:pt idx="0">
                  <c:v>Fallow Land</c:v>
                </c:pt>
              </c:strCache>
            </c:strRef>
          </c:tx>
          <c:spPr>
            <a:solidFill>
              <a:schemeClr val="accent2"/>
            </a:solidFill>
            <a:ln>
              <a:noFill/>
            </a:ln>
            <a:effectLst/>
            <a:sp3d/>
          </c:spPr>
          <c:invertIfNegative val="0"/>
          <c:dLbls>
            <c:dLbl>
              <c:idx val="0"/>
              <c:layout>
                <c:manualLayout>
                  <c:x val="1.5452538631346579E-2"/>
                  <c:y val="-8.5744908896035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8C-48E2-8D8D-048C5FDD8912}"/>
                </c:ext>
              </c:extLst>
            </c:dLbl>
            <c:dLbl>
              <c:idx val="1"/>
              <c:layout>
                <c:manualLayout>
                  <c:x val="6.6225165562913101E-3"/>
                  <c:y val="-4.28718149361756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8C-48E2-8D8D-048C5FDD8912}"/>
                </c:ext>
              </c:extLst>
            </c:dLbl>
            <c:dLbl>
              <c:idx val="2"/>
              <c:layout>
                <c:manualLayout>
                  <c:x val="1.1037527593818904E-2"/>
                  <c:y val="-2.143622722400935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8454746136865345E-2"/>
                      <c:h val="5.5670050889941008E-2"/>
                    </c:manualLayout>
                  </c15:layout>
                </c:ext>
                <c:ext xmlns:c16="http://schemas.microsoft.com/office/drawing/2014/chart" uri="{C3380CC4-5D6E-409C-BE32-E72D297353CC}">
                  <c16:uniqueId val="{00000006-3C8C-48E2-8D8D-048C5FDD8912}"/>
                </c:ext>
              </c:extLst>
            </c:dLbl>
            <c:dLbl>
              <c:idx val="3"/>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Sayfa1!$H$7:$K$7</c:f>
              <c:strCache>
                <c:ptCount val="4"/>
                <c:pt idx="0">
                  <c:v>TR7 (Central Anatolia)</c:v>
                </c:pt>
                <c:pt idx="1">
                  <c:v>TR6 (Mediterranean)</c:v>
                </c:pt>
                <c:pt idx="2">
                  <c:v>TR1 (Istanbul)</c:v>
                </c:pt>
                <c:pt idx="3">
                  <c:v>TRC (Southeastern Anatolia)</c:v>
                </c:pt>
              </c:strCache>
            </c:strRef>
          </c:cat>
          <c:val>
            <c:numRef>
              <c:f>Sayfa1!$H$9:$K$9</c:f>
              <c:numCache>
                <c:formatCode>General</c:formatCode>
                <c:ptCount val="4"/>
                <c:pt idx="0">
                  <c:v>28</c:v>
                </c:pt>
                <c:pt idx="1">
                  <c:v>7.1</c:v>
                </c:pt>
                <c:pt idx="2">
                  <c:v>0.03</c:v>
                </c:pt>
                <c:pt idx="3">
                  <c:v>2.2999999999999998</c:v>
                </c:pt>
              </c:numCache>
            </c:numRef>
          </c:val>
          <c:extLst>
            <c:ext xmlns:c16="http://schemas.microsoft.com/office/drawing/2014/chart" uri="{C3380CC4-5D6E-409C-BE32-E72D297353CC}">
              <c16:uniqueId val="{00000008-3C8C-48E2-8D8D-048C5FDD8912}"/>
            </c:ext>
          </c:extLst>
        </c:ser>
        <c:ser>
          <c:idx val="2"/>
          <c:order val="2"/>
          <c:tx>
            <c:strRef>
              <c:f>Sayfa1!$G$10</c:f>
              <c:strCache>
                <c:ptCount val="1"/>
                <c:pt idx="0">
                  <c:v>Fruit Orchards</c:v>
                </c:pt>
              </c:strCache>
            </c:strRef>
          </c:tx>
          <c:spPr>
            <a:solidFill>
              <a:schemeClr val="accent3"/>
            </a:solidFill>
            <a:ln>
              <a:noFill/>
            </a:ln>
            <a:effectLst/>
            <a:sp3d/>
          </c:spPr>
          <c:invertIfNegative val="0"/>
          <c:dLbls>
            <c:dLbl>
              <c:idx val="0"/>
              <c:layout>
                <c:manualLayout>
                  <c:x val="2.207505518763796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8C-48E2-8D8D-048C5FDD8912}"/>
                </c:ext>
              </c:extLst>
            </c:dLbl>
            <c:dLbl>
              <c:idx val="2"/>
              <c:layout>
                <c:manualLayout>
                  <c:x val="2.2075055187637158E-3"/>
                  <c:y val="-6.002143622722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8C-48E2-8D8D-048C5FDD8912}"/>
                </c:ext>
              </c:extLst>
            </c:dLbl>
            <c:dLbl>
              <c:idx val="3"/>
              <c:layout>
                <c:manualLayout>
                  <c:x val="8.8300220750551876E-3"/>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Sayfa1!$H$10:$K$10</c:f>
              <c:numCache>
                <c:formatCode>General</c:formatCode>
                <c:ptCount val="4"/>
                <c:pt idx="0">
                  <c:v>4</c:v>
                </c:pt>
                <c:pt idx="1">
                  <c:v>29.5</c:v>
                </c:pt>
                <c:pt idx="2">
                  <c:v>0.02</c:v>
                </c:pt>
                <c:pt idx="3">
                  <c:v>53.1</c:v>
                </c:pt>
              </c:numCache>
            </c:numRef>
          </c:val>
          <c:extLst>
            <c:ext xmlns:c16="http://schemas.microsoft.com/office/drawing/2014/chart" uri="{C3380CC4-5D6E-409C-BE32-E72D297353CC}">
              <c16:uniqueId val="{0000000D-3C8C-48E2-8D8D-048C5FDD8912}"/>
            </c:ext>
          </c:extLst>
        </c:ser>
        <c:ser>
          <c:idx val="3"/>
          <c:order val="3"/>
          <c:tx>
            <c:strRef>
              <c:f>Sayfa1!$G$11</c:f>
              <c:strCache>
                <c:ptCount val="1"/>
                <c:pt idx="0">
                  <c:v>Ornamental Plants</c:v>
                </c:pt>
              </c:strCache>
            </c:strRef>
          </c:tx>
          <c:spPr>
            <a:solidFill>
              <a:schemeClr val="accent4"/>
            </a:solidFill>
            <a:ln>
              <a:noFill/>
            </a:ln>
            <a:effectLst/>
            <a:sp3d/>
          </c:spPr>
          <c:invertIfNegative val="0"/>
          <c:dLbls>
            <c:dLbl>
              <c:idx val="0"/>
              <c:layout>
                <c:manualLayout>
                  <c:x val="6.62251655629135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8C-48E2-8D8D-048C5FDD8912}"/>
                </c:ext>
              </c:extLst>
            </c:dLbl>
            <c:dLbl>
              <c:idx val="2"/>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8C-48E2-8D8D-048C5FDD8912}"/>
                </c:ext>
              </c:extLst>
            </c:dLbl>
            <c:dLbl>
              <c:idx val="3"/>
              <c:layout>
                <c:manualLayout>
                  <c:x val="1.5452538631346579E-2"/>
                  <c:y val="-1.57197183687449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Sayfa1!$H$11:$K$11</c:f>
              <c:numCache>
                <c:formatCode>General</c:formatCode>
                <c:ptCount val="4"/>
                <c:pt idx="0">
                  <c:v>0</c:v>
                </c:pt>
                <c:pt idx="1">
                  <c:v>0.1</c:v>
                </c:pt>
                <c:pt idx="2">
                  <c:v>66.599999999999994</c:v>
                </c:pt>
                <c:pt idx="3">
                  <c:v>0.01</c:v>
                </c:pt>
              </c:numCache>
            </c:numRef>
          </c:val>
          <c:extLst>
            <c:ext xmlns:c16="http://schemas.microsoft.com/office/drawing/2014/chart" uri="{C3380CC4-5D6E-409C-BE32-E72D297353CC}">
              <c16:uniqueId val="{00000012-3C8C-48E2-8D8D-048C5FDD8912}"/>
            </c:ext>
          </c:extLst>
        </c:ser>
        <c:dLbls>
          <c:showLegendKey val="0"/>
          <c:showVal val="1"/>
          <c:showCatName val="0"/>
          <c:showSerName val="0"/>
          <c:showPercent val="0"/>
          <c:showBubbleSize val="0"/>
        </c:dLbls>
        <c:gapWidth val="150"/>
        <c:shape val="box"/>
        <c:axId val="231240415"/>
        <c:axId val="1070213759"/>
        <c:axId val="0"/>
      </c:bar3DChart>
      <c:catAx>
        <c:axId val="231240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Geographic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213759"/>
        <c:crosses val="autoZero"/>
        <c:auto val="1"/>
        <c:lblAlgn val="ctr"/>
        <c:lblOffset val="100"/>
        <c:noMultiLvlLbl val="0"/>
      </c:catAx>
      <c:valAx>
        <c:axId val="107021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tr-TR" sz="1000" b="1" i="0" baseline="0">
                    <a:effectLst/>
                  </a:rPr>
                  <a:t>Total share of the regions (%)</a:t>
                </a:r>
              </a:p>
            </c:rich>
          </c:tx>
          <c:layout>
            <c:manualLayout>
              <c:xMode val="edge"/>
              <c:yMode val="edge"/>
              <c:x val="1.7777024560671636E-2"/>
              <c:y val="0.1290032154340836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3849</Words>
  <Characters>21941</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1186</cp:lastModifiedBy>
  <cp:revision>93</cp:revision>
  <dcterms:created xsi:type="dcterms:W3CDTF">2026-01-11T19:33:00Z</dcterms:created>
  <dcterms:modified xsi:type="dcterms:W3CDTF">2026-01-16T09:38:00Z</dcterms:modified>
</cp:coreProperties>
</file>