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6.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sz w:val="36"/>
          <w:szCs w:val="36"/>
          <w:u w:val="single"/>
          <w:shd w:fill="auto" w:val="clear"/>
          <w:vertAlign w:val="baseline"/>
        </w:rPr>
      </w:pPr>
      <w:r w:rsidDel="00000000" w:rsidR="00000000" w:rsidRPr="00000000">
        <w:rPr>
          <w:rFonts w:ascii="Arial" w:cs="Arial" w:eastAsia="Arial" w:hAnsi="Arial"/>
          <w:b w:val="1"/>
          <w:bCs w:val="1"/>
          <w:i w:val="0"/>
          <w:iCs w:val="0"/>
          <w:smallCaps w:val="0"/>
          <w:strike w:val="0"/>
          <w:sz w:val="36"/>
          <w:szCs w:val="36"/>
          <w:u w:val="single"/>
          <w:shd w:fill="auto" w:val="clear"/>
          <w:vertAlign w:val="baseline"/>
          <w:rtl w:val="0"/>
        </w:rPr>
        <w:t xml:space="preserve">Original Research Article</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sz w:val="36"/>
          <w:szCs w:val="36"/>
          <w:u w:val="singl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sz w:val="36"/>
          <w:szCs w:val="36"/>
          <w:u w:val="none"/>
          <w:shd w:fill="auto" w:val="clear"/>
          <w:vertAlign w:val="baseline"/>
        </w:rPr>
      </w:pPr>
      <w:r w:rsidDel="00000000" w:rsidR="00000000" w:rsidRPr="00000000">
        <w:rPr>
          <w:rFonts w:ascii="Arial" w:cs="Arial" w:eastAsia="Arial" w:hAnsi="Arial"/>
          <w:b w:val="1"/>
          <w:bCs w:val="1"/>
          <w:i w:val="0"/>
          <w:iCs w:val="0"/>
          <w:smallCaps w:val="0"/>
          <w:strike w:val="0"/>
          <w:sz w:val="36"/>
          <w:szCs w:val="36"/>
          <w:u w:val="none"/>
          <w:shd w:fill="auto" w:val="clear"/>
          <w:vertAlign w:val="baseline"/>
          <w:rtl w:val="0"/>
        </w:rPr>
        <w:t xml:space="preserve">Biochemical Characterization of Groundnut (</w:t>
      </w:r>
      <w:r w:rsidDel="00000000" w:rsidR="00000000" w:rsidRPr="00000000">
        <w:rPr>
          <w:rFonts w:ascii="Arial" w:cs="Arial" w:eastAsia="Arial" w:hAnsi="Arial"/>
          <w:b w:val="1"/>
          <w:bCs w:val="1"/>
          <w:i w:val="1"/>
          <w:iCs w:val="1"/>
          <w:smallCaps w:val="0"/>
          <w:strike w:val="0"/>
          <w:sz w:val="36"/>
          <w:szCs w:val="36"/>
          <w:u w:val="none"/>
          <w:shd w:fill="auto" w:val="clear"/>
          <w:vertAlign w:val="baseline"/>
          <w:rtl w:val="0"/>
        </w:rPr>
        <w:t xml:space="preserve">Arachis hypogaea</w:t>
      </w:r>
      <w:r w:rsidDel="00000000" w:rsidR="00000000" w:rsidRPr="00000000">
        <w:rPr>
          <w:rFonts w:ascii="Arial" w:cs="Arial" w:eastAsia="Arial" w:hAnsi="Arial"/>
          <w:b w:val="1"/>
          <w:bCs w:val="1"/>
          <w:i w:val="0"/>
          <w:iCs w:val="0"/>
          <w:smallCaps w:val="0"/>
          <w:strike w:val="0"/>
          <w:sz w:val="36"/>
          <w:szCs w:val="36"/>
          <w:u w:val="none"/>
          <w:shd w:fill="auto" w:val="clear"/>
          <w:vertAlign w:val="baseline"/>
          <w:rtl w:val="0"/>
        </w:rPr>
        <w:t xml:space="preserve"> L.) Genotypes for Nutritional and Stress-Related Traits</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i w:val="1"/>
          <w:iCs w:val="1"/>
          <w:smallCaps w:val="0"/>
          <w:strike w:val="0"/>
          <w:sz w:val="20"/>
          <w:szCs w:val="20"/>
          <w:u w:val="none"/>
          <w:shd w:fill="auto" w:val="clear"/>
          <w:vertAlign w:val="superscript"/>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sz w:val="16"/>
          <w:szCs w:val="16"/>
          <w:u w:val="none"/>
          <w:shd w:fill="auto" w:val="clear"/>
          <w:vertAlign w:val="baseline"/>
        </w:rPr>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2016" w:top="1440" w:left="2016" w:right="2016" w:header="720" w:footer="1296"/>
          <w:pgNumType w:start="1"/>
        </w:sectPr>
      </w:pPr>
      <w:r w:rsidDel="00000000" w:rsidR="00000000" w:rsidRPr="00000000">
        <w:rPr>
          <w:rFonts w:ascii="Arial" w:cs="Arial" w:eastAsia="Arial" w:hAnsi="Arial"/>
          <w:i w:val="0"/>
          <w:iCs w:val="0"/>
          <w:smallCaps w:val="0"/>
          <w:strike w:val="0"/>
          <w:sz w:val="16"/>
          <w:szCs w:val="16"/>
          <w:u w:val="none"/>
          <w:shd w:fill="auto" w:val="clear"/>
          <w:vertAlign w:val="baseline"/>
        </w:rPr>
        <mc:AlternateContent>
          <mc:Choice Requires="wps">
            <w:drawing>
              <wp:inline distB="0" distT="0" distL="0" distR="0">
                <wp:extent cx="635" cy="19050"/>
                <wp:effectExtent b="0" l="0" r="0" t="0"/>
                <wp:docPr id="465764300" name=""/>
                <a:graphic>
                  <a:graphicData uri="http://schemas.microsoft.com/office/word/2010/wordprocessingShape">
                    <wps:wsp>
                      <wps:cNvCnPr/>
                      <wps:spPr>
                        <a:xfrm>
                          <a:off x="2694240" y="3780000"/>
                          <a:ext cx="5303520" cy="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inline>
            </w:drawing>
          </mc:Choice>
          <mc:Fallback>
            <w:drawing>
              <wp:inline distB="0" distT="0" distL="0" distR="0">
                <wp:extent cx="635" cy="19050"/>
                <wp:effectExtent b="0" l="0" r="0" t="0"/>
                <wp:docPr id="465764300" name="image1.png"/>
                <a:graphic>
                  <a:graphicData uri="http://schemas.openxmlformats.org/drawingml/2006/picture">
                    <pic:pic>
                      <pic:nvPicPr>
                        <pic:cNvPr id="0" name="image1.png"/>
                        <pic:cNvPicPr preferRelativeResize="0"/>
                      </pic:nvPicPr>
                      <pic:blipFill>
                        <a:blip r:embed="rId13"/>
                        <a:srcRect/>
                        <a:stretch>
                          <a:fillRect/>
                        </a:stretch>
                      </pic:blipFill>
                      <pic:spPr>
                        <a:xfrm>
                          <a:off x="0" y="0"/>
                          <a:ext cx="635" cy="19050"/>
                        </a:xfrm>
                        <a:prstGeom prst="rect"/>
                        <a:ln/>
                      </pic:spPr>
                    </pic:pic>
                  </a:graphicData>
                </a:graphic>
              </wp:inline>
            </w:drawing>
          </mc:Fallback>
        </mc:AlternateContent>
      </w: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w:t>
      </w:r>
    </w:p>
    <w:p w:rsidR="00000000" w:rsidDel="00000000" w:rsidP="00000000" w:rsidRDefault="00000000" w:rsidRPr="00000000" w14:paraId="0000000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1"/>
          <w:strike w:val="0"/>
          <w:sz w:val="22"/>
          <w:szCs w:val="22"/>
          <w:u w:val="none"/>
          <w:shd w:fill="auto" w:val="clear"/>
          <w:vertAlign w:val="baseline"/>
        </w:rPr>
      </w:pPr>
      <w:r w:rsidDel="00000000" w:rsidR="00000000" w:rsidRPr="00000000">
        <w:rPr>
          <w:rFonts w:ascii="Arial" w:cs="Arial" w:eastAsia="Arial" w:hAnsi="Arial"/>
          <w:b w:val="1"/>
          <w:bCs w:val="1"/>
          <w:i w:val="0"/>
          <w:iCs w:val="0"/>
          <w:smallCaps w:val="1"/>
          <w:strike w:val="0"/>
          <w:sz w:val="22"/>
          <w:szCs w:val="22"/>
          <w:u w:val="none"/>
          <w:shd w:fill="auto" w:val="clear"/>
          <w:vertAlign w:val="baseline"/>
          <w:rtl w:val="0"/>
        </w:rPr>
        <w:t xml:space="preserve">ABSTRACT </w:t>
      </w:r>
    </w:p>
    <w:p w:rsidR="00000000" w:rsidDel="00000000" w:rsidP="00000000" w:rsidRDefault="00000000" w:rsidRPr="00000000" w14:paraId="0000000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1"/>
          <w:strike w:val="0"/>
          <w:sz w:val="22"/>
          <w:szCs w:val="22"/>
          <w:u w:val="none"/>
          <w:shd w:fill="auto" w:val="clear"/>
          <w:vertAlign w:val="baseline"/>
        </w:rPr>
      </w:pPr>
      <w:r w:rsidDel="00000000" w:rsidR="00000000" w:rsidRPr="00000000">
        <w:rPr>
          <w:rtl w:val="0"/>
        </w:rPr>
      </w:r>
    </w:p>
    <w:tbl>
      <w:tblPr>
        <w:tblStyle w:val="Table1"/>
        <w:tblW w:w="819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98"/>
        <w:tblGridChange w:id="0">
          <w:tblGrid>
            <w:gridCol w:w="8198"/>
          </w:tblGrid>
        </w:tblGridChange>
      </w:tblGrid>
      <w:tr>
        <w:trPr>
          <w:cantSplit w:val="0"/>
          <w:tblHeader w:val="0"/>
        </w:trPr>
        <w:tc>
          <w:tcPr>
            <w:shd w:fill="f2f2f2" w:val="clear"/>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Fonts w:ascii="Arial" w:cs="Arial" w:eastAsia="Arial" w:hAnsi="Arial"/>
                <w:b w:val="1"/>
                <w:bCs w:val="1"/>
                <w:i w:val="0"/>
                <w:iCs w:val="0"/>
                <w:smallCaps w:val="0"/>
                <w:strike w:val="0"/>
                <w:sz w:val="20"/>
                <w:szCs w:val="20"/>
                <w:u w:val="none"/>
                <w:shd w:fill="auto" w:val="clear"/>
                <w:vertAlign w:val="baseline"/>
                <w:rtl w:val="0"/>
              </w:rPr>
              <w:t xml:space="preserve">Aims: </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Groundnut (</w:t>
            </w:r>
            <w:r w:rsidDel="00000000" w:rsidR="00000000" w:rsidRPr="00000000">
              <w:rPr>
                <w:rFonts w:ascii="Arial" w:cs="Arial" w:eastAsia="Arial" w:hAnsi="Arial"/>
                <w:i w:val="1"/>
                <w:iCs w:val="1"/>
                <w:smallCaps w:val="0"/>
                <w:strike w:val="0"/>
                <w:sz w:val="22"/>
                <w:szCs w:val="22"/>
                <w:u w:val="none"/>
                <w:shd w:fill="auto" w:val="clear"/>
                <w:vertAlign w:val="baseline"/>
                <w:rtl w:val="0"/>
              </w:rPr>
              <w:t xml:space="preserve">Arachis hypogaea</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 L.) is a valuable oilseed crop recognized for its significant nutritional and industrial importance. It is crucial to comprehend the biochemical makeup of different groundnut genotypes to identify those with enhanced quality and resilience to stress. This study was carried out to evaluate the genotypes </w:t>
            </w:r>
            <w:r w:rsidDel="00000000" w:rsidR="00000000" w:rsidRPr="00000000">
              <w:rPr>
                <w:rFonts w:ascii="Arial" w:cs="Arial" w:eastAsia="Arial" w:hAnsi="Arial"/>
                <w:sz w:val="22"/>
                <w:szCs w:val="22"/>
                <w:rtl w:val="0"/>
              </w:rPr>
              <w:t xml:space="preserve">for</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 different </w:t>
            </w:r>
            <w:r w:rsidDel="00000000" w:rsidR="00000000" w:rsidRPr="00000000">
              <w:rPr>
                <w:rFonts w:ascii="Arial" w:cs="Arial" w:eastAsia="Arial" w:hAnsi="Arial"/>
                <w:sz w:val="22"/>
                <w:szCs w:val="22"/>
                <w:rtl w:val="0"/>
              </w:rPr>
              <w:t xml:space="preserve">nutritional</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 and </w:t>
            </w:r>
            <w:r w:rsidDel="00000000" w:rsidR="00000000" w:rsidRPr="00000000">
              <w:rPr>
                <w:rFonts w:ascii="Arial" w:cs="Arial" w:eastAsia="Arial" w:hAnsi="Arial"/>
                <w:sz w:val="22"/>
                <w:szCs w:val="22"/>
                <w:rtl w:val="0"/>
              </w:rPr>
              <w:t xml:space="preserve">stress-related traits.</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sz w:val="20"/>
                <w:szCs w:val="20"/>
                <w:u w:val="none"/>
                <w:shd w:fill="auto" w:val="clear"/>
                <w:vertAlign w:val="baseline"/>
                <w:rtl w:val="0"/>
              </w:rPr>
              <w:t xml:space="preserve">Study design:</w:t>
            </w: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 Randomized Block Design (RBD).</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sz w:val="20"/>
                <w:szCs w:val="20"/>
                <w:u w:val="none"/>
                <w:shd w:fill="auto" w:val="clear"/>
                <w:vertAlign w:val="baseline"/>
                <w:rtl w:val="0"/>
              </w:rPr>
              <w:t xml:space="preserve">Place and Duration of Study:</w:t>
            </w: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 </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The exper</w:t>
            </w:r>
            <w:r w:rsidDel="00000000" w:rsidR="00000000" w:rsidRPr="00000000">
              <w:rPr>
                <w:rFonts w:ascii="Arial" w:cs="Arial" w:eastAsia="Arial" w:hAnsi="Arial"/>
                <w:sz w:val="22"/>
                <w:szCs w:val="22"/>
                <w:rtl w:val="0"/>
              </w:rPr>
              <w:t xml:space="preserve">iment was conducted at the</w:t>
            </w:r>
            <w:r w:rsidDel="00000000" w:rsidR="00000000" w:rsidRPr="00000000">
              <w:rPr>
                <w:rFonts w:ascii="Arial" w:cs="Arial" w:eastAsia="Arial" w:hAnsi="Arial"/>
                <w:i w:val="0"/>
                <w:iCs w:val="0"/>
                <w:smallCaps w:val="0"/>
                <w:strike w:val="0"/>
                <w:sz w:val="22"/>
                <w:szCs w:val="22"/>
                <w:u w:val="none"/>
                <w:shd w:fill="auto" w:val="clear"/>
                <w:vertAlign w:val="baseline"/>
                <w:rtl w:val="0"/>
              </w:rPr>
              <w:t xml:space="preserve"> laboratory of Department of Plant Molecular Biology and Biotechnology, R.V.S.K.V.V., College of Agriculture, Gwalior (M.P.), in kharif 2022.</w:t>
            </w:r>
          </w:p>
          <w:p w:rsidR="00000000" w:rsidDel="00000000" w:rsidP="00000000" w:rsidRDefault="00000000" w:rsidRPr="00000000" w14:paraId="0000000E">
            <w:pPr>
              <w:jc w:val="both"/>
              <w:rPr>
                <w:rFonts w:ascii="Arial" w:cs="Arial" w:eastAsia="Arial" w:hAnsi="Arial"/>
                <w:sz w:val="22"/>
                <w:szCs w:val="22"/>
              </w:rPr>
            </w:pPr>
            <w:r w:rsidDel="00000000" w:rsidR="00000000" w:rsidRPr="00000000">
              <w:rPr>
                <w:rFonts w:ascii="Arial" w:cs="Arial" w:eastAsia="Arial" w:hAnsi="Arial"/>
                <w:b w:val="1"/>
                <w:bCs w:val="1"/>
                <w:rtl w:val="0"/>
              </w:rPr>
              <w:t xml:space="preserve">Methodology:</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Biochemical analyses were performed on 34 genotypes, including 10 parents and 24 F</w:t>
            </w:r>
            <w:r w:rsidDel="00000000" w:rsidR="00000000" w:rsidRPr="00000000">
              <w:rPr>
                <w:rFonts w:ascii="Arial" w:cs="Arial" w:eastAsia="Arial" w:hAnsi="Arial"/>
                <w:sz w:val="22"/>
                <w:szCs w:val="22"/>
                <w:vertAlign w:val="subscript"/>
                <w:rtl w:val="0"/>
              </w:rPr>
              <w:t xml:space="preserve">1</w:t>
            </w:r>
            <w:r w:rsidDel="00000000" w:rsidR="00000000" w:rsidRPr="00000000">
              <w:rPr>
                <w:rFonts w:ascii="Arial" w:cs="Arial" w:eastAsia="Arial" w:hAnsi="Arial"/>
                <w:sz w:val="22"/>
                <w:szCs w:val="22"/>
                <w:rtl w:val="0"/>
              </w:rPr>
              <w:t xml:space="preserve"> hybrids, to assess total sugar, protein, proline, and lipid peroxidation. Total sugar was estimated as per protocol of Dubois et al. (1956), protein content by using Lowry et al. (1951), proline as per Bates et al. (1973) and lipid peroxidation as per Hodges et al. (1999). </w:t>
            </w:r>
          </w:p>
          <w:p w:rsidR="00000000" w:rsidDel="00000000" w:rsidP="00000000" w:rsidRDefault="00000000" w:rsidRPr="00000000" w14:paraId="0000000F">
            <w:pPr>
              <w:jc w:val="both"/>
              <w:rPr>
                <w:rFonts w:ascii="Arial" w:cs="Arial" w:eastAsia="Arial" w:hAnsi="Arial"/>
                <w:sz w:val="22"/>
                <w:szCs w:val="22"/>
              </w:rPr>
            </w:pPr>
            <w:r w:rsidDel="00000000" w:rsidR="00000000" w:rsidRPr="00000000">
              <w:rPr>
                <w:rFonts w:ascii="Arial" w:cs="Arial" w:eastAsia="Arial" w:hAnsi="Arial"/>
                <w:b w:val="1"/>
                <w:bCs w:val="1"/>
                <w:rtl w:val="0"/>
              </w:rPr>
              <w:t xml:space="preserve">Results:</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Hybrids such as TG-87 × KDG-128, Mallika × GPBD-4, and TG-88 × TG-37A showed superior performance for total sugar, protein, and proline content, respectively, while lower lipid peroxidation values were observed in Nithya Haritha, TG-87 × TG-37A, and Mallika × TG-37A, suggesting their relative stability under oxidative stress.</w:t>
            </w:r>
          </w:p>
          <w:p w:rsidR="00000000" w:rsidDel="00000000" w:rsidP="00000000" w:rsidRDefault="00000000" w:rsidRPr="00000000" w14:paraId="00000010">
            <w:pPr>
              <w:jc w:val="both"/>
              <w:rPr>
                <w:rFonts w:ascii="Arial" w:cs="Arial" w:eastAsia="Arial" w:hAnsi="Arial"/>
                <w:sz w:val="22"/>
                <w:szCs w:val="22"/>
              </w:rPr>
            </w:pPr>
            <w:r w:rsidDel="00000000" w:rsidR="00000000" w:rsidRPr="00000000">
              <w:rPr>
                <w:rFonts w:ascii="Arial" w:cs="Arial" w:eastAsia="Arial" w:hAnsi="Arial"/>
                <w:b w:val="1"/>
                <w:bCs w:val="1"/>
                <w:rtl w:val="0"/>
              </w:rPr>
              <w:t xml:space="preserve">Conclusion:</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The identified groundnut genotypes and hybrids exhibiting superior nutritional and relative stability during stress may serve as valuable material for future quality improvement and stress-resilient breeding programs.</w:t>
            </w:r>
          </w:p>
        </w:tc>
      </w:tr>
    </w:tbl>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1"/>
          <w:iCs w:val="1"/>
          <w:smallCaps w:val="0"/>
          <w:strike w:val="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1"/>
          <w:iCs w:val="1"/>
          <w:smallCaps w:val="0"/>
          <w:strike w:val="0"/>
          <w:sz w:val="20"/>
          <w:szCs w:val="20"/>
          <w:u w:val="none"/>
          <w:shd w:fill="auto" w:val="clear"/>
          <w:vertAlign w:val="baseline"/>
        </w:rPr>
      </w:pPr>
      <w:r w:rsidDel="00000000" w:rsidR="00000000" w:rsidRPr="00000000">
        <w:rPr>
          <w:rFonts w:ascii="Arial" w:cs="Arial" w:eastAsia="Arial" w:hAnsi="Arial"/>
          <w:i w:val="1"/>
          <w:iCs w:val="1"/>
          <w:smallCaps w:val="0"/>
          <w:strike w:val="0"/>
          <w:sz w:val="20"/>
          <w:szCs w:val="20"/>
          <w:u w:val="none"/>
          <w:shd w:fill="auto" w:val="clear"/>
          <w:vertAlign w:val="baseline"/>
          <w:rtl w:val="0"/>
        </w:rPr>
        <w:t xml:space="preserve">Keywords: Groundnut, lipid peroxidation, proline, protein, total sugar, biochemical variability</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1"/>
          <w:iCs w:val="1"/>
          <w:smallCaps w:val="0"/>
          <w:strike w:val="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1"/>
          <w:strike w:val="0"/>
          <w:sz w:val="22"/>
          <w:szCs w:val="22"/>
          <w:u w:val="none"/>
          <w:shd w:fill="auto" w:val="clear"/>
          <w:vertAlign w:val="baseline"/>
        </w:rPr>
      </w:pPr>
      <w:r w:rsidDel="00000000" w:rsidR="00000000" w:rsidRPr="00000000">
        <w:rPr>
          <w:rFonts w:ascii="Arial" w:cs="Arial" w:eastAsia="Arial" w:hAnsi="Arial"/>
          <w:b w:val="1"/>
          <w:bCs w:val="1"/>
          <w:i w:val="0"/>
          <w:iCs w:val="0"/>
          <w:smallCaps w:val="1"/>
          <w:strike w:val="0"/>
          <w:sz w:val="22"/>
          <w:szCs w:val="22"/>
          <w:u w:val="none"/>
          <w:shd w:fill="auto" w:val="clear"/>
          <w:vertAlign w:val="baseline"/>
          <w:rtl w:val="0"/>
        </w:rPr>
        <w:t xml:space="preserve">1. INTRODUCTION </w:t>
      </w:r>
    </w:p>
    <w:p w:rsidR="00000000" w:rsidDel="00000000" w:rsidP="00000000" w:rsidRDefault="00000000" w:rsidRPr="00000000" w14:paraId="0000001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1"/>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sz w:val="20"/>
          <w:szCs w:val="20"/>
          <w:u w:val="none"/>
          <w:shd w:fill="auto" w:val="clear"/>
          <w:vertAlign w:val="baseline"/>
        </w:rPr>
      </w:pP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The groundnut, or </w:t>
      </w:r>
      <w:r w:rsidDel="00000000" w:rsidR="00000000" w:rsidRPr="00000000">
        <w:rPr>
          <w:rFonts w:ascii="Arial" w:cs="Arial" w:eastAsia="Arial" w:hAnsi="Arial"/>
          <w:i w:val="1"/>
          <w:iCs w:val="1"/>
          <w:smallCaps w:val="0"/>
          <w:strike w:val="0"/>
          <w:sz w:val="20"/>
          <w:szCs w:val="20"/>
          <w:u w:val="none"/>
          <w:shd w:fill="auto" w:val="clear"/>
          <w:vertAlign w:val="baseline"/>
          <w:rtl w:val="0"/>
        </w:rPr>
        <w:t xml:space="preserve">Arachis hypogaea</w:t>
      </w: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 L., is referred to as "the king of oilseeds." It is a good animal feed and a significant source of oil and protein for human consumption (El-Fouly et al., 2014). Numerous terms, including peanut, monkey nut, wonder nut, poor man's cashew nut, jar nut, hawk nut, kipper's nut, earth chestnut, and ground bean, are used to refer to groundnuts worldwide (Jain et al., 2016; Johnson, 1995). It is a member of the Fabaceae family </w:t>
      </w:r>
      <w:r w:rsidDel="00000000" w:rsidR="00000000" w:rsidRPr="00000000">
        <w:rPr>
          <w:rFonts w:ascii="Arial" w:cs="Arial" w:eastAsia="Arial" w:hAnsi="Arial"/>
          <w:rtl w:val="0"/>
        </w:rPr>
        <w:t xml:space="preserve">with the subfamily</w:t>
      </w: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 Papilionaceae. It is said to have started in South America, most likely Bolivia (Nwokolo, 1996) or Brazil (Higgins, 1951).</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sz w:val="20"/>
          <w:szCs w:val="20"/>
          <w:u w:val="none"/>
          <w:shd w:fill="auto" w:val="clear"/>
          <w:vertAlign w:val="baseline"/>
        </w:rPr>
      </w:pP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Groundnut is a highly nutritious and energy-dense food, with significant levels of protein (25-30%), oil (45-50%), carbohydrate (20%), good fats, vitamins, and minerals. Additionally, it contains 5% fibre, which has been demonstrated to support digestive health and lower the risk of long-term conditions like diabetes and heart disease (Pramanik et al., 2019; </w:t>
      </w:r>
      <w:r w:rsidDel="00000000" w:rsidR="00000000" w:rsidRPr="00000000">
        <w:rPr>
          <w:rFonts w:ascii="Arial" w:cs="Arial" w:eastAsia="Arial" w:hAnsi="Arial"/>
          <w:highlight w:val="white"/>
          <w:rtl w:val="0"/>
        </w:rPr>
        <w:t xml:space="preserve">Gundaraniya et al., 2020; </w:t>
      </w: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Tomar et al., 2022; Sharma et al., 2023). </w:t>
      </w:r>
      <w:r w:rsidDel="00000000" w:rsidR="00000000" w:rsidRPr="00000000">
        <w:rPr>
          <w:rFonts w:ascii="Arial" w:cs="Arial" w:eastAsia="Arial" w:hAnsi="Arial"/>
          <w:rtl w:val="0"/>
        </w:rPr>
        <w:t xml:space="preserve">W</w:t>
      </w: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hen it comes to seed </w:t>
      </w:r>
      <w:r w:rsidDel="00000000" w:rsidR="00000000" w:rsidRPr="00000000">
        <w:rPr>
          <w:rFonts w:ascii="Arial" w:cs="Arial" w:eastAsia="Arial" w:hAnsi="Arial"/>
          <w:rtl w:val="0"/>
        </w:rPr>
        <w:t xml:space="preserve">quality, nutritional</w:t>
      </w: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 and anti</w:t>
      </w:r>
      <w:r w:rsidDel="00000000" w:rsidR="00000000" w:rsidRPr="00000000">
        <w:rPr>
          <w:rFonts w:ascii="Arial" w:cs="Arial" w:eastAsia="Arial" w:hAnsi="Arial"/>
          <w:rtl w:val="0"/>
        </w:rPr>
        <w:t xml:space="preserve">- nutritional factors play a very crucial role (Sharma et al., 2023).</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sz w:val="20"/>
          <w:szCs w:val="20"/>
          <w:u w:val="none"/>
          <w:shd w:fill="auto" w:val="clear"/>
          <w:vertAlign w:val="baseline"/>
        </w:rPr>
      </w:pP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Several previous studies have been conducted to evaluate the nutritional composition of groundnut and explore its potential for improvement. </w:t>
      </w:r>
      <w:r w:rsidDel="00000000" w:rsidR="00000000" w:rsidRPr="00000000">
        <w:rPr>
          <w:rFonts w:ascii="Arial" w:cs="Arial" w:eastAsia="Arial" w:hAnsi="Arial"/>
          <w:rtl w:val="0"/>
        </w:rPr>
        <w:t xml:space="preserve">Ingale &amp; Shrivastava (2011)</w:t>
      </w: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 analysed the protein content in the variety JL-24 and reported a crude protein value of 25.20%. Muniappan et al. (2016) examined the seed protein content and protein banding patterns among widely cultivated groundnut cultivars. Their quantitative and qualitative analyses revealed noticeable variation in seed protein profiles. Among the tested cultivars, CO-6 exhibited the highest protein content, followed by CO-4, TMV-7, ICGV00351, and TG-374, although the overall protein content remained relatively consistent across varieties. Similarly, Shinde et al. (2018) evaluated eight genotypes to assess biochemical parameters such as proline accumulation, soluble proteins, and lipid peroxidation (MDA). Under water stress conditions, all genotypes showed an increase in proline, soluble proteins, and MDA content, with SB-XI, TAG24, and RHRG-6021 demonstrating particularly high proline accumulation, indicating their potential drought tolerance. Recent studies on groundnut biochemical variation have also reported significant differences in nutritional traits among genotypes. For example, Bakayoko et al. (2025) found broad variability in total sugar and protein contents among 16 groundnut accessions, underscoring the diversity in seed biochemical composition that can be leveraged in breeding programs.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sz w:val="20"/>
          <w:szCs w:val="20"/>
          <w:u w:val="none"/>
          <w:shd w:fill="auto" w:val="clear"/>
          <w:vertAlign w:val="baseline"/>
        </w:rPr>
      </w:pP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These findings highlight the complex biochemical variability present in groundnut and its importance in improving nutritional and stress-related traits. Building upon these earlier studies, the present investigation aimed to further assess quality parameters such as total sugar, proline content, lipid peroxidation, and protein in selected groundnut genotypes.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1"/>
          <w:bCs w:val="1"/>
          <w:i w:val="0"/>
          <w:iCs w:val="0"/>
          <w:smallCaps w:val="1"/>
          <w:strike w:val="0"/>
          <w:sz w:val="22"/>
          <w:szCs w:val="22"/>
          <w:u w:val="none"/>
          <w:shd w:fill="auto" w:val="clear"/>
          <w:vertAlign w:val="baseline"/>
        </w:rPr>
      </w:pPr>
      <w:r w:rsidDel="00000000" w:rsidR="00000000" w:rsidRPr="00000000">
        <w:rPr>
          <w:rFonts w:ascii="Arial" w:cs="Arial" w:eastAsia="Arial" w:hAnsi="Arial"/>
          <w:b w:val="1"/>
          <w:bCs w:val="1"/>
          <w:i w:val="0"/>
          <w:iCs w:val="0"/>
          <w:smallCaps w:val="1"/>
          <w:strike w:val="0"/>
          <w:sz w:val="22"/>
          <w:szCs w:val="22"/>
          <w:u w:val="none"/>
          <w:shd w:fill="auto" w:val="clear"/>
          <w:vertAlign w:val="baseline"/>
          <w:rtl w:val="0"/>
        </w:rPr>
        <w:t xml:space="preserve">2. material and methods </w:t>
      </w:r>
    </w:p>
    <w:p w:rsidR="00000000" w:rsidDel="00000000" w:rsidP="00000000" w:rsidRDefault="00000000" w:rsidRPr="00000000" w14:paraId="0000001C">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1"/>
          <w:bCs w:val="1"/>
          <w:i w:val="0"/>
          <w:iCs w:val="0"/>
          <w:smallCaps w:val="1"/>
          <w:strike w:val="0"/>
          <w:sz w:val="22"/>
          <w:szCs w:val="22"/>
          <w:u w:val="none"/>
          <w:shd w:fill="auto" w:val="clear"/>
          <w:vertAlign w:val="baseline"/>
        </w:rPr>
      </w:pPr>
      <w:r w:rsidDel="00000000" w:rsidR="00000000" w:rsidRPr="00000000">
        <w:rPr>
          <w:rFonts w:ascii="Arial" w:cs="Arial" w:eastAsia="Arial" w:hAnsi="Arial"/>
          <w:b w:val="1"/>
          <w:bCs w:val="1"/>
          <w:i w:val="0"/>
          <w:iCs w:val="0"/>
          <w:smallCaps w:val="1"/>
          <w:strike w:val="0"/>
          <w:sz w:val="22"/>
          <w:szCs w:val="22"/>
          <w:u w:val="none"/>
          <w:shd w:fill="auto" w:val="clear"/>
          <w:vertAlign w:val="baseline"/>
          <w:rtl w:val="0"/>
        </w:rPr>
        <w:t xml:space="preserve">2.1 Experimental Site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i w:val="0"/>
          <w:iCs w:val="0"/>
          <w:smallCaps w:val="0"/>
          <w:strike w:val="0"/>
          <w:sz w:val="20"/>
          <w:szCs w:val="20"/>
          <w:u w:val="none"/>
          <w:shd w:fill="auto" w:val="clear"/>
          <w:vertAlign w:val="baseline"/>
        </w:rPr>
      </w:pP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The current research was conducted at the laboratory of Department of Plant Molecular Biology and Biotechnology, R.V.S.K.V.V., College of Agriculture, Gwalior (M.P.), in 2022.</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sz w:val="22"/>
          <w:szCs w:val="22"/>
          <w:u w:val="none"/>
          <w:shd w:fill="auto" w:val="clear"/>
          <w:vertAlign w:val="baseline"/>
          <w:rtl w:val="0"/>
        </w:rPr>
        <w:t xml:space="preserve">2.2. Experimental Details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i w:val="0"/>
          <w:iCs w:val="0"/>
          <w:smallCaps w:val="0"/>
          <w:strike w:val="0"/>
          <w:sz w:val="20"/>
          <w:szCs w:val="20"/>
          <w:u w:val="none"/>
          <w:shd w:fill="auto" w:val="clear"/>
          <w:vertAlign w:val="baseline"/>
        </w:rPr>
      </w:pP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The study focused on 34 different genotypes. </w:t>
      </w:r>
      <w:r w:rsidDel="00000000" w:rsidR="00000000" w:rsidRPr="00000000">
        <w:rPr>
          <w:rFonts w:ascii="Arial" w:cs="Arial" w:eastAsia="Arial" w:hAnsi="Arial"/>
          <w:rtl w:val="0"/>
        </w:rPr>
        <w:t xml:space="preserve">The study utilized 10 parental genotypes, comprising 6 lines and 4 testers, along with 24 F</w:t>
      </w:r>
      <w:r w:rsidDel="00000000" w:rsidR="00000000" w:rsidRPr="00000000">
        <w:rPr>
          <w:rFonts w:ascii="Arial" w:cs="Arial" w:eastAsia="Arial" w:hAnsi="Arial"/>
          <w:vertAlign w:val="subscript"/>
          <w:rtl w:val="0"/>
        </w:rPr>
        <w:t xml:space="preserve">1</w:t>
      </w:r>
      <w:r w:rsidDel="00000000" w:rsidR="00000000" w:rsidRPr="00000000">
        <w:rPr>
          <w:rFonts w:ascii="Arial" w:cs="Arial" w:eastAsia="Arial" w:hAnsi="Arial"/>
          <w:rtl w:val="0"/>
        </w:rPr>
        <w:t xml:space="preserve"> hybrids. A line x tester design was employed for crossing and hybrid development.</w:t>
      </w: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 The genotypes were grown in randomized block design (RBD) during the kharif of 2022, in the research farm of R.V.S.K.V.V., College of Agriculture, Gwalior. Tables 1 and 2 provide the lists of parental lines and hybrids, respectively.</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1"/>
          <w:bCs w:val="1"/>
          <w:i w:val="0"/>
          <w:iCs w:val="0"/>
          <w:smallCaps w:val="0"/>
          <w:strike w:val="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sz w:val="20"/>
          <w:szCs w:val="20"/>
          <w:u w:val="none"/>
          <w:shd w:fill="auto" w:val="clear"/>
          <w:vertAlign w:val="baseline"/>
          <w:rtl w:val="0"/>
        </w:rPr>
        <w:t xml:space="preserve">Table 1. List of parental lines used in the present study.</w:t>
      </w:r>
    </w:p>
    <w:tbl>
      <w:tblPr>
        <w:tblStyle w:val="Table2"/>
        <w:tblW w:w="8401.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2821"/>
        <w:gridCol w:w="1710"/>
        <w:gridCol w:w="2340"/>
        <w:gridCol w:w="1530"/>
        <w:tblGridChange w:id="0">
          <w:tblGrid>
            <w:gridCol w:w="2821"/>
            <w:gridCol w:w="1710"/>
            <w:gridCol w:w="2340"/>
            <w:gridCol w:w="1530"/>
          </w:tblGrid>
        </w:tblGridChange>
      </w:tblGrid>
      <w:tr>
        <w:trPr>
          <w:cantSplit w:val="0"/>
          <w:trHeight w:val="281" w:hRule="atLeast"/>
          <w:tblHeader w:val="0"/>
        </w:trPr>
        <w:tc>
          <w:tcPr>
            <w:tcMar>
              <w:top w:w="0.0" w:type="dxa"/>
              <w:left w:w="108.0" w:type="dxa"/>
              <w:bottom w:w="0.0" w:type="dxa"/>
              <w:right w:w="108.0" w:type="dxa"/>
            </w:tcMa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1"/>
                <w:bCs w:val="1"/>
                <w:i w:val="0"/>
                <w:iCs w:val="0"/>
                <w:smallCaps w:val="0"/>
                <w:strike w:val="0"/>
                <w:sz w:val="20"/>
                <w:szCs w:val="20"/>
                <w:u w:val="none"/>
                <w:shd w:fill="auto" w:val="clear"/>
                <w:vertAlign w:val="baseline"/>
              </w:rPr>
            </w:pPr>
            <w:bookmarkStart w:colFirst="0" w:colLast="0" w:name="_heading=h.lx2ylcq3vskg" w:id="0"/>
            <w:bookmarkEnd w:id="0"/>
            <w:r w:rsidDel="00000000" w:rsidR="00000000" w:rsidRPr="00000000">
              <w:rPr>
                <w:rFonts w:ascii="Arial" w:cs="Arial" w:eastAsia="Arial" w:hAnsi="Arial"/>
                <w:b w:val="1"/>
                <w:bCs w:val="1"/>
                <w:i w:val="0"/>
                <w:iCs w:val="0"/>
                <w:smallCaps w:val="0"/>
                <w:strike w:val="0"/>
                <w:sz w:val="20"/>
                <w:szCs w:val="20"/>
                <w:u w:val="none"/>
                <w:shd w:fill="auto" w:val="clear"/>
                <w:vertAlign w:val="baseline"/>
                <w:rtl w:val="0"/>
              </w:rPr>
              <w:t xml:space="preserve">Female (line)</w:t>
            </w:r>
          </w:p>
        </w:tc>
        <w:tc>
          <w:tcPr>
            <w:tcMar>
              <w:top w:w="0.0" w:type="dxa"/>
              <w:left w:w="108.0" w:type="dxa"/>
              <w:bottom w:w="0.0" w:type="dxa"/>
              <w:right w:w="108.0" w:type="dxa"/>
            </w:tcMa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1"/>
                <w:bCs w:val="1"/>
                <w:i w:val="0"/>
                <w:iCs w:val="0"/>
                <w:smallCaps w:val="0"/>
                <w:strike w:val="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sz w:val="20"/>
                <w:szCs w:val="20"/>
                <w:u w:val="none"/>
                <w:shd w:fill="auto" w:val="clear"/>
                <w:vertAlign w:val="baseline"/>
                <w:rtl w:val="0"/>
              </w:rPr>
              <w:t xml:space="preserve">Source</w:t>
            </w:r>
          </w:p>
        </w:tc>
        <w:tc>
          <w:tcPr>
            <w:tcMar>
              <w:top w:w="15.0" w:type="dxa"/>
              <w:left w:w="15.0" w:type="dxa"/>
              <w:bottom w:w="15.0" w:type="dxa"/>
              <w:right w:w="15.0" w:type="dxa"/>
            </w:tcMar>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1"/>
                <w:bCs w:val="1"/>
                <w:i w:val="0"/>
                <w:iCs w:val="0"/>
                <w:smallCaps w:val="0"/>
                <w:strike w:val="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sz w:val="20"/>
                <w:szCs w:val="20"/>
                <w:u w:val="none"/>
                <w:shd w:fill="auto" w:val="clear"/>
                <w:vertAlign w:val="baseline"/>
                <w:rtl w:val="0"/>
              </w:rPr>
              <w:t xml:space="preserve">Male (tester)</w:t>
            </w:r>
          </w:p>
        </w:tc>
        <w:tc>
          <w:tcPr>
            <w:tcMar>
              <w:top w:w="15.0" w:type="dxa"/>
              <w:left w:w="15.0" w:type="dxa"/>
              <w:bottom w:w="15.0" w:type="dxa"/>
              <w:right w:w="15.0" w:type="dxa"/>
            </w:tcMa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1"/>
                <w:bCs w:val="1"/>
                <w:i w:val="0"/>
                <w:iCs w:val="0"/>
                <w:smallCaps w:val="0"/>
                <w:strike w:val="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sz w:val="20"/>
                <w:szCs w:val="20"/>
                <w:u w:val="none"/>
                <w:shd w:fill="auto" w:val="clear"/>
                <w:vertAlign w:val="baseline"/>
                <w:rtl w:val="0"/>
              </w:rPr>
              <w:t xml:space="preserve">Source</w:t>
            </w:r>
          </w:p>
        </w:tc>
      </w:tr>
      <w:tr>
        <w:trPr>
          <w:cantSplit w:val="0"/>
          <w:trHeight w:val="281" w:hRule="atLeast"/>
          <w:tblHeader w:val="0"/>
        </w:trPr>
        <w:tc>
          <w:tcPr>
            <w:tcMar>
              <w:top w:w="0.0" w:type="dxa"/>
              <w:left w:w="108.0" w:type="dxa"/>
              <w:bottom w:w="0.0" w:type="dxa"/>
              <w:right w:w="108.0" w:type="dxa"/>
            </w:tcMar>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i w:val="0"/>
                <w:iCs w:val="0"/>
                <w:smallCaps w:val="0"/>
                <w:strike w:val="0"/>
                <w:sz w:val="20"/>
                <w:szCs w:val="20"/>
                <w:u w:val="none"/>
                <w:shd w:fill="auto" w:val="clear"/>
                <w:vertAlign w:val="baseline"/>
              </w:rPr>
            </w:pPr>
            <w:bookmarkStart w:colFirst="0" w:colLast="0" w:name="_heading=h.ixowa645dp4h" w:id="1"/>
            <w:bookmarkEnd w:id="1"/>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Nithya haritha (TCGS 1157)</w:t>
            </w:r>
          </w:p>
        </w:tc>
        <w:tc>
          <w:tcPr>
            <w:tcMar>
              <w:top w:w="0.0" w:type="dxa"/>
              <w:left w:w="108.0" w:type="dxa"/>
              <w:bottom w:w="0.0" w:type="dxa"/>
              <w:right w:w="108.0" w:type="dxa"/>
            </w:tcMa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i w:val="0"/>
                <w:iCs w:val="0"/>
                <w:smallCaps w:val="0"/>
                <w:strike w:val="0"/>
                <w:sz w:val="20"/>
                <w:szCs w:val="20"/>
                <w:u w:val="none"/>
                <w:shd w:fill="auto" w:val="clear"/>
                <w:vertAlign w:val="baseline"/>
              </w:rPr>
            </w:pP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RARS, Tirupati</w:t>
            </w:r>
          </w:p>
        </w:tc>
        <w:tc>
          <w:tcPr>
            <w:tcMar>
              <w:top w:w="15.0" w:type="dxa"/>
              <w:left w:w="15.0" w:type="dxa"/>
              <w:bottom w:w="15.0" w:type="dxa"/>
              <w:right w:w="15.0" w:type="dxa"/>
            </w:tcMar>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i w:val="0"/>
                <w:iCs w:val="0"/>
                <w:smallCaps w:val="0"/>
                <w:strike w:val="0"/>
                <w:sz w:val="20"/>
                <w:szCs w:val="20"/>
                <w:u w:val="none"/>
                <w:shd w:fill="auto" w:val="clear"/>
                <w:vertAlign w:val="baseline"/>
              </w:rPr>
            </w:pP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TG-37A</w:t>
            </w:r>
          </w:p>
        </w:tc>
        <w:tc>
          <w:tcPr>
            <w:tcMar>
              <w:top w:w="15.0" w:type="dxa"/>
              <w:left w:w="15.0" w:type="dxa"/>
              <w:bottom w:w="15.0" w:type="dxa"/>
              <w:right w:w="15.0" w:type="dxa"/>
            </w:tcMar>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i w:val="0"/>
                <w:iCs w:val="0"/>
                <w:smallCaps w:val="0"/>
                <w:strike w:val="0"/>
                <w:sz w:val="20"/>
                <w:szCs w:val="20"/>
                <w:u w:val="none"/>
                <w:shd w:fill="auto" w:val="clear"/>
                <w:vertAlign w:val="baseline"/>
              </w:rPr>
            </w:pP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BARC, Trombay</w:t>
            </w:r>
          </w:p>
        </w:tc>
      </w:tr>
      <w:tr>
        <w:trPr>
          <w:cantSplit w:val="0"/>
          <w:trHeight w:val="281" w:hRule="atLeast"/>
          <w:tblHeader w:val="0"/>
        </w:trPr>
        <w:tc>
          <w:tcPr>
            <w:tcMar>
              <w:top w:w="0.0" w:type="dxa"/>
              <w:left w:w="108.0" w:type="dxa"/>
              <w:bottom w:w="0.0" w:type="dxa"/>
              <w:right w:w="108.0" w:type="dxa"/>
            </w:tcMar>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i w:val="0"/>
                <w:iCs w:val="0"/>
                <w:smallCaps w:val="0"/>
                <w:strike w:val="0"/>
                <w:sz w:val="20"/>
                <w:szCs w:val="20"/>
                <w:u w:val="none"/>
                <w:shd w:fill="auto" w:val="clear"/>
                <w:vertAlign w:val="baseline"/>
              </w:rPr>
            </w:pP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TG-86</w:t>
            </w:r>
          </w:p>
        </w:tc>
        <w:tc>
          <w:tcPr>
            <w:tcMar>
              <w:top w:w="0.0" w:type="dxa"/>
              <w:left w:w="108.0" w:type="dxa"/>
              <w:bottom w:w="0.0" w:type="dxa"/>
              <w:right w:w="108.0" w:type="dxa"/>
            </w:tcMar>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i w:val="0"/>
                <w:iCs w:val="0"/>
                <w:smallCaps w:val="0"/>
                <w:strike w:val="0"/>
                <w:sz w:val="20"/>
                <w:szCs w:val="20"/>
                <w:u w:val="none"/>
                <w:shd w:fill="auto" w:val="clear"/>
                <w:vertAlign w:val="baseline"/>
              </w:rPr>
            </w:pP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BARC, Trombay</w:t>
            </w:r>
          </w:p>
        </w:tc>
        <w:tc>
          <w:tcPr>
            <w:tcMar>
              <w:top w:w="15.0" w:type="dxa"/>
              <w:left w:w="15.0" w:type="dxa"/>
              <w:bottom w:w="15.0" w:type="dxa"/>
              <w:right w:w="15.0" w:type="dxa"/>
            </w:tcMar>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i w:val="0"/>
                <w:iCs w:val="0"/>
                <w:smallCaps w:val="0"/>
                <w:strike w:val="0"/>
                <w:sz w:val="20"/>
                <w:szCs w:val="20"/>
                <w:u w:val="none"/>
                <w:shd w:fill="auto" w:val="clear"/>
                <w:vertAlign w:val="baseline"/>
              </w:rPr>
            </w:pP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SunOleic-95R</w:t>
            </w:r>
          </w:p>
        </w:tc>
        <w:tc>
          <w:tcPr>
            <w:tcMar>
              <w:top w:w="15.0" w:type="dxa"/>
              <w:left w:w="15.0" w:type="dxa"/>
              <w:bottom w:w="15.0" w:type="dxa"/>
              <w:right w:w="15.0" w:type="dxa"/>
            </w:tcMar>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i w:val="0"/>
                <w:iCs w:val="0"/>
                <w:smallCaps w:val="0"/>
                <w:strike w:val="0"/>
                <w:sz w:val="20"/>
                <w:szCs w:val="20"/>
                <w:u w:val="none"/>
                <w:shd w:fill="auto" w:val="clear"/>
                <w:vertAlign w:val="baseline"/>
              </w:rPr>
            </w:pP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DGR, Junagarh</w:t>
            </w:r>
          </w:p>
        </w:tc>
      </w:tr>
      <w:tr>
        <w:trPr>
          <w:cantSplit w:val="0"/>
          <w:trHeight w:val="281" w:hRule="atLeast"/>
          <w:tblHeader w:val="0"/>
        </w:trPr>
        <w:tc>
          <w:tcPr>
            <w:tcMar>
              <w:top w:w="0.0" w:type="dxa"/>
              <w:left w:w="108.0" w:type="dxa"/>
              <w:bottom w:w="0.0" w:type="dxa"/>
              <w:right w:w="108.0" w:type="dxa"/>
            </w:tcMar>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i w:val="0"/>
                <w:iCs w:val="0"/>
                <w:smallCaps w:val="0"/>
                <w:strike w:val="0"/>
                <w:sz w:val="20"/>
                <w:szCs w:val="20"/>
                <w:u w:val="none"/>
                <w:shd w:fill="auto" w:val="clear"/>
                <w:vertAlign w:val="baseline"/>
              </w:rPr>
            </w:pP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TG-87</w:t>
            </w:r>
          </w:p>
        </w:tc>
        <w:tc>
          <w:tcPr>
            <w:tcMar>
              <w:top w:w="0.0" w:type="dxa"/>
              <w:left w:w="108.0" w:type="dxa"/>
              <w:bottom w:w="0.0" w:type="dxa"/>
              <w:right w:w="108.0" w:type="dxa"/>
            </w:tcMar>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i w:val="0"/>
                <w:iCs w:val="0"/>
                <w:smallCaps w:val="0"/>
                <w:strike w:val="0"/>
                <w:sz w:val="20"/>
                <w:szCs w:val="20"/>
                <w:u w:val="none"/>
                <w:shd w:fill="auto" w:val="clear"/>
                <w:vertAlign w:val="baseline"/>
              </w:rPr>
            </w:pP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BARC, Trombay</w:t>
            </w:r>
          </w:p>
        </w:tc>
        <w:tc>
          <w:tcPr>
            <w:tcMar>
              <w:top w:w="15.0" w:type="dxa"/>
              <w:left w:w="15.0" w:type="dxa"/>
              <w:bottom w:w="15.0" w:type="dxa"/>
              <w:right w:w="15.0" w:type="dxa"/>
            </w:tcMar>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i w:val="0"/>
                <w:iCs w:val="0"/>
                <w:smallCaps w:val="0"/>
                <w:strike w:val="0"/>
                <w:sz w:val="20"/>
                <w:szCs w:val="20"/>
                <w:u w:val="none"/>
                <w:shd w:fill="auto" w:val="clear"/>
                <w:vertAlign w:val="baseline"/>
              </w:rPr>
            </w:pP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GPBD-4 (Vikas)</w:t>
            </w:r>
          </w:p>
        </w:tc>
        <w:tc>
          <w:tcPr>
            <w:tcMar>
              <w:top w:w="15.0" w:type="dxa"/>
              <w:left w:w="15.0" w:type="dxa"/>
              <w:bottom w:w="15.0" w:type="dxa"/>
              <w:right w:w="15.0" w:type="dxa"/>
            </w:tcMar>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i w:val="0"/>
                <w:iCs w:val="0"/>
                <w:smallCaps w:val="0"/>
                <w:strike w:val="0"/>
                <w:sz w:val="20"/>
                <w:szCs w:val="20"/>
                <w:u w:val="none"/>
                <w:shd w:fill="auto" w:val="clear"/>
                <w:vertAlign w:val="baseline"/>
              </w:rPr>
            </w:pP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DGR, Junagarh</w:t>
            </w:r>
          </w:p>
        </w:tc>
      </w:tr>
      <w:tr>
        <w:trPr>
          <w:cantSplit w:val="0"/>
          <w:trHeight w:val="281" w:hRule="atLeast"/>
          <w:tblHeader w:val="0"/>
        </w:trPr>
        <w:tc>
          <w:tcPr>
            <w:tcMar>
              <w:top w:w="0.0" w:type="dxa"/>
              <w:left w:w="108.0" w:type="dxa"/>
              <w:bottom w:w="0.0" w:type="dxa"/>
              <w:right w:w="108.0" w:type="dxa"/>
            </w:tcMar>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i w:val="0"/>
                <w:iCs w:val="0"/>
                <w:smallCaps w:val="0"/>
                <w:strike w:val="0"/>
                <w:sz w:val="20"/>
                <w:szCs w:val="20"/>
                <w:u w:val="none"/>
                <w:shd w:fill="auto" w:val="clear"/>
                <w:vertAlign w:val="baseline"/>
              </w:rPr>
            </w:pP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TG-88</w:t>
            </w:r>
          </w:p>
        </w:tc>
        <w:tc>
          <w:tcPr>
            <w:tcMar>
              <w:top w:w="0.0" w:type="dxa"/>
              <w:left w:w="108.0" w:type="dxa"/>
              <w:bottom w:w="0.0" w:type="dxa"/>
              <w:right w:w="108.0" w:type="dxa"/>
            </w:tcMar>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i w:val="0"/>
                <w:iCs w:val="0"/>
                <w:smallCaps w:val="0"/>
                <w:strike w:val="0"/>
                <w:sz w:val="20"/>
                <w:szCs w:val="20"/>
                <w:u w:val="none"/>
                <w:shd w:fill="auto" w:val="clear"/>
                <w:vertAlign w:val="baseline"/>
              </w:rPr>
            </w:pP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BARC, Trombay</w:t>
            </w:r>
          </w:p>
        </w:tc>
        <w:tc>
          <w:tcPr>
            <w:tcMar>
              <w:top w:w="15.0" w:type="dxa"/>
              <w:left w:w="15.0" w:type="dxa"/>
              <w:bottom w:w="15.0" w:type="dxa"/>
              <w:right w:w="15.0" w:type="dxa"/>
            </w:tcMar>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i w:val="0"/>
                <w:iCs w:val="0"/>
                <w:smallCaps w:val="0"/>
                <w:strike w:val="0"/>
                <w:sz w:val="20"/>
                <w:szCs w:val="20"/>
                <w:u w:val="none"/>
                <w:shd w:fill="auto" w:val="clear"/>
                <w:vertAlign w:val="baseline"/>
              </w:rPr>
            </w:pP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KDG-128 (Phule Warna)</w:t>
            </w:r>
          </w:p>
        </w:tc>
        <w:tc>
          <w:tcPr>
            <w:tcMar>
              <w:top w:w="15.0" w:type="dxa"/>
              <w:left w:w="15.0" w:type="dxa"/>
              <w:bottom w:w="15.0" w:type="dxa"/>
              <w:right w:w="15.0" w:type="dxa"/>
            </w:tcMar>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i w:val="0"/>
                <w:iCs w:val="0"/>
                <w:smallCaps w:val="0"/>
                <w:strike w:val="0"/>
                <w:sz w:val="20"/>
                <w:szCs w:val="20"/>
                <w:u w:val="none"/>
                <w:shd w:fill="auto" w:val="clear"/>
                <w:vertAlign w:val="baseline"/>
              </w:rPr>
            </w:pP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DGR, Junagarh</w:t>
            </w:r>
          </w:p>
        </w:tc>
      </w:tr>
      <w:tr>
        <w:trPr>
          <w:cantSplit w:val="0"/>
          <w:trHeight w:val="267" w:hRule="atLeast"/>
          <w:tblHeader w:val="0"/>
        </w:trPr>
        <w:tc>
          <w:tcPr>
            <w:tcMar>
              <w:top w:w="0.0" w:type="dxa"/>
              <w:left w:w="108.0" w:type="dxa"/>
              <w:bottom w:w="0.0" w:type="dxa"/>
              <w:right w:w="108.0" w:type="dxa"/>
            </w:tcMar>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i w:val="0"/>
                <w:iCs w:val="0"/>
                <w:smallCaps w:val="0"/>
                <w:strike w:val="0"/>
                <w:sz w:val="20"/>
                <w:szCs w:val="20"/>
                <w:u w:val="none"/>
                <w:shd w:fill="auto" w:val="clear"/>
                <w:vertAlign w:val="baseline"/>
              </w:rPr>
            </w:pP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Mallika (ICGH 00440)</w:t>
            </w:r>
          </w:p>
        </w:tc>
        <w:tc>
          <w:tcPr>
            <w:tcMar>
              <w:top w:w="0.0" w:type="dxa"/>
              <w:left w:w="108.0" w:type="dxa"/>
              <w:bottom w:w="0.0" w:type="dxa"/>
              <w:right w:w="108.0" w:type="dxa"/>
            </w:tcMar>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i w:val="0"/>
                <w:iCs w:val="0"/>
                <w:smallCaps w:val="0"/>
                <w:strike w:val="0"/>
                <w:sz w:val="20"/>
                <w:szCs w:val="20"/>
                <w:u w:val="none"/>
                <w:shd w:fill="auto" w:val="clear"/>
                <w:vertAlign w:val="baseline"/>
              </w:rPr>
            </w:pP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Bikaner</w:t>
            </w:r>
          </w:p>
        </w:tc>
        <w:tc>
          <w:tcPr>
            <w:tcMar>
              <w:top w:w="15.0" w:type="dxa"/>
              <w:left w:w="15.0" w:type="dxa"/>
              <w:bottom w:w="15.0" w:type="dxa"/>
              <w:right w:w="15.0" w:type="dxa"/>
            </w:tcMar>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i w:val="0"/>
                <w:iCs w:val="0"/>
                <w:smallCaps w:val="0"/>
                <w:strike w:val="0"/>
                <w:sz w:val="20"/>
                <w:szCs w:val="20"/>
                <w:u w:val="none"/>
                <w:shd w:fill="auto" w:val="clear"/>
                <w:vertAlign w:val="baseline"/>
              </w:rPr>
            </w:pPr>
            <w:r w:rsidDel="00000000" w:rsidR="00000000" w:rsidRPr="00000000">
              <w:rPr>
                <w:rtl w:val="0"/>
              </w:rPr>
            </w:r>
          </w:p>
        </w:tc>
        <w:tc>
          <w:tcPr>
            <w:tcMar>
              <w:top w:w="15.0" w:type="dxa"/>
              <w:left w:w="15.0" w:type="dxa"/>
              <w:bottom w:w="15.0" w:type="dxa"/>
              <w:right w:w="15.0" w:type="dxa"/>
            </w:tcMar>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i w:val="0"/>
                <w:iCs w:val="0"/>
                <w:smallCaps w:val="0"/>
                <w:strike w:val="0"/>
                <w:sz w:val="20"/>
                <w:szCs w:val="20"/>
                <w:u w:val="none"/>
                <w:shd w:fill="auto" w:val="clear"/>
                <w:vertAlign w:val="baseline"/>
              </w:rPr>
            </w:pPr>
            <w:r w:rsidDel="00000000" w:rsidR="00000000" w:rsidRPr="00000000">
              <w:rPr>
                <w:rtl w:val="0"/>
              </w:rPr>
            </w:r>
          </w:p>
        </w:tc>
      </w:tr>
      <w:tr>
        <w:trPr>
          <w:cantSplit w:val="0"/>
          <w:trHeight w:val="739" w:hRule="atLeast"/>
          <w:tblHeader w:val="0"/>
        </w:trPr>
        <w:tc>
          <w:tcPr>
            <w:tcMar>
              <w:top w:w="0.0" w:type="dxa"/>
              <w:left w:w="108.0" w:type="dxa"/>
              <w:bottom w:w="0.0" w:type="dxa"/>
              <w:right w:w="108.0" w:type="dxa"/>
            </w:tcMa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i w:val="0"/>
                <w:iCs w:val="0"/>
                <w:smallCaps w:val="0"/>
                <w:strike w:val="0"/>
                <w:sz w:val="20"/>
                <w:szCs w:val="20"/>
                <w:u w:val="none"/>
                <w:shd w:fill="auto" w:val="clear"/>
                <w:vertAlign w:val="baseline"/>
              </w:rPr>
            </w:pP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Gangapuri</w:t>
            </w:r>
          </w:p>
        </w:tc>
        <w:tc>
          <w:tcPr>
            <w:tcMar>
              <w:top w:w="0.0" w:type="dxa"/>
              <w:left w:w="108.0" w:type="dxa"/>
              <w:bottom w:w="0.0" w:type="dxa"/>
              <w:right w:w="108.0" w:type="dxa"/>
            </w:tcMar>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i w:val="0"/>
                <w:iCs w:val="0"/>
                <w:smallCaps w:val="0"/>
                <w:strike w:val="0"/>
                <w:sz w:val="20"/>
                <w:szCs w:val="20"/>
                <w:u w:val="none"/>
                <w:shd w:fill="auto" w:val="clear"/>
                <w:vertAlign w:val="baseline"/>
              </w:rPr>
            </w:pP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R.V.S.K.V.V., Gwalior</w:t>
            </w:r>
          </w:p>
        </w:tc>
        <w:tc>
          <w:tcPr>
            <w:tcMar>
              <w:top w:w="15.0" w:type="dxa"/>
              <w:left w:w="15.0" w:type="dxa"/>
              <w:bottom w:w="15.0" w:type="dxa"/>
              <w:right w:w="15.0" w:type="dxa"/>
            </w:tcMar>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i w:val="0"/>
                <w:iCs w:val="0"/>
                <w:smallCaps w:val="0"/>
                <w:strike w:val="0"/>
                <w:sz w:val="20"/>
                <w:szCs w:val="20"/>
                <w:u w:val="none"/>
                <w:shd w:fill="auto" w:val="clear"/>
                <w:vertAlign w:val="baseline"/>
              </w:rPr>
            </w:pPr>
            <w:r w:rsidDel="00000000" w:rsidR="00000000" w:rsidRPr="00000000">
              <w:rPr>
                <w:rtl w:val="0"/>
              </w:rPr>
            </w:r>
          </w:p>
        </w:tc>
        <w:tc>
          <w:tcPr>
            <w:tcMar>
              <w:top w:w="15.0" w:type="dxa"/>
              <w:left w:w="15.0" w:type="dxa"/>
              <w:bottom w:w="15.0" w:type="dxa"/>
              <w:right w:w="15.0" w:type="dxa"/>
            </w:tcMar>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i w:val="0"/>
                <w:iCs w:val="0"/>
                <w:smallCaps w:val="0"/>
                <w:strike w:val="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1"/>
          <w:bCs w:val="1"/>
          <w:i w:val="0"/>
          <w:iCs w:val="0"/>
          <w:smallCaps w:val="0"/>
          <w:strike w:val="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1"/>
          <w:bCs w:val="1"/>
          <w:i w:val="0"/>
          <w:iCs w:val="0"/>
          <w:smallCaps w:val="0"/>
          <w:strike w:val="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sz w:val="20"/>
          <w:szCs w:val="20"/>
          <w:u w:val="none"/>
          <w:shd w:fill="auto" w:val="clear"/>
          <w:vertAlign w:val="baseline"/>
          <w:rtl w:val="0"/>
        </w:rPr>
        <w:t xml:space="preserve">Table 2. List of hybrids used in the present study.</w:t>
      </w:r>
    </w:p>
    <w:tbl>
      <w:tblPr>
        <w:tblStyle w:val="Table3"/>
        <w:tblW w:w="6874.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553"/>
        <w:gridCol w:w="3070"/>
        <w:gridCol w:w="632"/>
        <w:gridCol w:w="2619"/>
        <w:tblGridChange w:id="0">
          <w:tblGrid>
            <w:gridCol w:w="553"/>
            <w:gridCol w:w="3070"/>
            <w:gridCol w:w="632"/>
            <w:gridCol w:w="2619"/>
          </w:tblGrid>
        </w:tblGridChange>
      </w:tblGrid>
      <w:tr>
        <w:trPr>
          <w:cantSplit w:val="0"/>
          <w:trHeight w:val="13" w:hRule="atLeast"/>
          <w:tblHeader w:val="0"/>
        </w:trPr>
        <w:tc>
          <w:tcPr>
            <w:tcMar>
              <w:top w:w="15.0" w:type="dxa"/>
              <w:left w:w="15.0" w:type="dxa"/>
              <w:bottom w:w="15.0" w:type="dxa"/>
              <w:right w:w="15.0" w:type="dxa"/>
            </w:tcMar>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1"/>
                <w:bCs w:val="1"/>
                <w:i w:val="0"/>
                <w:iCs w:val="0"/>
                <w:smallCaps w:val="0"/>
                <w:strike w:val="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sz w:val="20"/>
                <w:szCs w:val="20"/>
                <w:u w:val="none"/>
                <w:shd w:fill="auto" w:val="clear"/>
                <w:vertAlign w:val="baseline"/>
                <w:rtl w:val="0"/>
              </w:rPr>
              <w:t xml:space="preserve">S.No.</w:t>
            </w:r>
          </w:p>
        </w:tc>
        <w:tc>
          <w:tcPr>
            <w:tcMar>
              <w:top w:w="100.0" w:type="dxa"/>
              <w:left w:w="100.0" w:type="dxa"/>
              <w:bottom w:w="100.0" w:type="dxa"/>
              <w:right w:w="100.0" w:type="dxa"/>
            </w:tcMar>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1"/>
                <w:bCs w:val="1"/>
                <w:i w:val="0"/>
                <w:iCs w:val="0"/>
                <w:smallCaps w:val="0"/>
                <w:strike w:val="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sz w:val="20"/>
                <w:szCs w:val="20"/>
                <w:u w:val="none"/>
                <w:shd w:fill="auto" w:val="clear"/>
                <w:vertAlign w:val="baseline"/>
                <w:rtl w:val="0"/>
              </w:rPr>
              <w:t xml:space="preserve">F</w:t>
            </w:r>
            <w:r w:rsidDel="00000000" w:rsidR="00000000" w:rsidRPr="00000000">
              <w:rPr>
                <w:rFonts w:ascii="Arial" w:cs="Arial" w:eastAsia="Arial" w:hAnsi="Arial"/>
                <w:b w:val="1"/>
                <w:bCs w:val="1"/>
                <w:i w:val="0"/>
                <w:iCs w:val="0"/>
                <w:smallCaps w:val="0"/>
                <w:strike w:val="0"/>
                <w:sz w:val="20"/>
                <w:szCs w:val="20"/>
                <w:u w:val="none"/>
                <w:shd w:fill="auto" w:val="clear"/>
                <w:vertAlign w:val="subscript"/>
                <w:rtl w:val="0"/>
              </w:rPr>
              <w:t xml:space="preserve">1</w:t>
            </w:r>
            <w:r w:rsidDel="00000000" w:rsidR="00000000" w:rsidRPr="00000000">
              <w:rPr>
                <w:rFonts w:ascii="Arial" w:cs="Arial" w:eastAsia="Arial" w:hAnsi="Arial"/>
                <w:b w:val="1"/>
                <w:bCs w:val="1"/>
                <w:i w:val="0"/>
                <w:iCs w:val="0"/>
                <w:smallCaps w:val="0"/>
                <w:strike w:val="0"/>
                <w:sz w:val="20"/>
                <w:szCs w:val="20"/>
                <w:u w:val="none"/>
                <w:shd w:fill="auto" w:val="clear"/>
                <w:vertAlign w:val="baseline"/>
                <w:rtl w:val="0"/>
              </w:rPr>
              <w:t xml:space="preserve"> HYBRIDS</w:t>
            </w:r>
          </w:p>
        </w:tc>
        <w:tc>
          <w:tcPr>
            <w:tcMar>
              <w:top w:w="15.0" w:type="dxa"/>
              <w:left w:w="15.0" w:type="dxa"/>
              <w:bottom w:w="15.0" w:type="dxa"/>
              <w:right w:w="15.0" w:type="dxa"/>
            </w:tcMa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1"/>
                <w:bCs w:val="1"/>
                <w:i w:val="0"/>
                <w:iCs w:val="0"/>
                <w:smallCaps w:val="0"/>
                <w:strike w:val="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sz w:val="20"/>
                <w:szCs w:val="20"/>
                <w:u w:val="none"/>
                <w:shd w:fill="auto" w:val="clear"/>
                <w:vertAlign w:val="baseline"/>
                <w:rtl w:val="0"/>
              </w:rPr>
              <w:t xml:space="preserve">S.No.</w:t>
            </w:r>
          </w:p>
        </w:tc>
        <w:tc>
          <w:tcPr>
            <w:tcMar>
              <w:top w:w="15.0" w:type="dxa"/>
              <w:left w:w="15.0" w:type="dxa"/>
              <w:bottom w:w="15.0" w:type="dxa"/>
              <w:right w:w="15.0" w:type="dxa"/>
            </w:tcMar>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1"/>
                <w:bCs w:val="1"/>
                <w:i w:val="0"/>
                <w:iCs w:val="0"/>
                <w:smallCaps w:val="0"/>
                <w:strike w:val="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sz w:val="20"/>
                <w:szCs w:val="20"/>
                <w:u w:val="none"/>
                <w:shd w:fill="auto" w:val="clear"/>
                <w:vertAlign w:val="baseline"/>
                <w:rtl w:val="0"/>
              </w:rPr>
              <w:t xml:space="preserve">F</w:t>
            </w:r>
            <w:r w:rsidDel="00000000" w:rsidR="00000000" w:rsidRPr="00000000">
              <w:rPr>
                <w:rFonts w:ascii="Arial" w:cs="Arial" w:eastAsia="Arial" w:hAnsi="Arial"/>
                <w:b w:val="1"/>
                <w:bCs w:val="1"/>
                <w:i w:val="0"/>
                <w:iCs w:val="0"/>
                <w:smallCaps w:val="0"/>
                <w:strike w:val="0"/>
                <w:sz w:val="20"/>
                <w:szCs w:val="20"/>
                <w:u w:val="none"/>
                <w:shd w:fill="auto" w:val="clear"/>
                <w:vertAlign w:val="subscript"/>
                <w:rtl w:val="0"/>
              </w:rPr>
              <w:t xml:space="preserve">1</w:t>
            </w:r>
            <w:r w:rsidDel="00000000" w:rsidR="00000000" w:rsidRPr="00000000">
              <w:rPr>
                <w:rFonts w:ascii="Arial" w:cs="Arial" w:eastAsia="Arial" w:hAnsi="Arial"/>
                <w:b w:val="1"/>
                <w:bCs w:val="1"/>
                <w:i w:val="0"/>
                <w:iCs w:val="0"/>
                <w:smallCaps w:val="0"/>
                <w:strike w:val="0"/>
                <w:sz w:val="20"/>
                <w:szCs w:val="20"/>
                <w:u w:val="none"/>
                <w:shd w:fill="auto" w:val="clear"/>
                <w:vertAlign w:val="baseline"/>
                <w:rtl w:val="0"/>
              </w:rPr>
              <w:t xml:space="preserve"> HYBRIDS</w:t>
            </w:r>
          </w:p>
        </w:tc>
      </w:tr>
      <w:tr>
        <w:trPr>
          <w:cantSplit w:val="0"/>
          <w:trHeight w:val="291" w:hRule="atLeast"/>
          <w:tblHeader w:val="0"/>
        </w:trPr>
        <w:tc>
          <w:tcPr>
            <w:tcMar>
              <w:top w:w="15.0" w:type="dxa"/>
              <w:left w:w="15.0" w:type="dxa"/>
              <w:bottom w:w="15.0" w:type="dxa"/>
              <w:right w:w="15.0" w:type="dxa"/>
            </w:tcMar>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i w:val="0"/>
                <w:iCs w:val="0"/>
                <w:smallCaps w:val="0"/>
                <w:strike w:val="0"/>
                <w:sz w:val="20"/>
                <w:szCs w:val="20"/>
                <w:u w:val="none"/>
                <w:shd w:fill="auto" w:val="clear"/>
                <w:vertAlign w:val="baseline"/>
              </w:rPr>
            </w:pP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1.</w:t>
            </w:r>
          </w:p>
        </w:tc>
        <w:tc>
          <w:tcPr>
            <w:tcMar>
              <w:top w:w="0.0" w:type="dxa"/>
              <w:left w:w="108.0" w:type="dxa"/>
              <w:bottom w:w="0.0" w:type="dxa"/>
              <w:right w:w="108.0" w:type="dxa"/>
            </w:tcMar>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i w:val="0"/>
                <w:iCs w:val="0"/>
                <w:smallCaps w:val="0"/>
                <w:strike w:val="0"/>
                <w:sz w:val="20"/>
                <w:szCs w:val="20"/>
                <w:u w:val="none"/>
                <w:shd w:fill="auto" w:val="clear"/>
                <w:vertAlign w:val="baseline"/>
              </w:rPr>
            </w:pP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TG-87 x TG-37 A</w:t>
            </w:r>
          </w:p>
        </w:tc>
        <w:tc>
          <w:tcPr>
            <w:tcMar>
              <w:top w:w="15.0" w:type="dxa"/>
              <w:left w:w="15.0" w:type="dxa"/>
              <w:bottom w:w="15.0" w:type="dxa"/>
              <w:right w:w="15.0" w:type="dxa"/>
            </w:tcMa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i w:val="0"/>
                <w:iCs w:val="0"/>
                <w:smallCaps w:val="0"/>
                <w:strike w:val="0"/>
                <w:sz w:val="20"/>
                <w:szCs w:val="20"/>
                <w:u w:val="none"/>
                <w:shd w:fill="auto" w:val="clear"/>
                <w:vertAlign w:val="baseline"/>
              </w:rPr>
            </w:pP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13.</w:t>
            </w:r>
          </w:p>
        </w:tc>
        <w:tc>
          <w:tcPr>
            <w:tcMar>
              <w:top w:w="15.0" w:type="dxa"/>
              <w:left w:w="15.0" w:type="dxa"/>
              <w:bottom w:w="15.0" w:type="dxa"/>
              <w:right w:w="15.0" w:type="dxa"/>
            </w:tcMar>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i w:val="0"/>
                <w:iCs w:val="0"/>
                <w:smallCaps w:val="0"/>
                <w:strike w:val="0"/>
                <w:sz w:val="20"/>
                <w:szCs w:val="20"/>
                <w:u w:val="none"/>
                <w:shd w:fill="auto" w:val="clear"/>
                <w:vertAlign w:val="baseline"/>
              </w:rPr>
            </w:pP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Gangapuri x TG 37A</w:t>
            </w:r>
          </w:p>
        </w:tc>
      </w:tr>
      <w:tr>
        <w:trPr>
          <w:cantSplit w:val="0"/>
          <w:trHeight w:val="296" w:hRule="atLeast"/>
          <w:tblHeader w:val="0"/>
        </w:trPr>
        <w:tc>
          <w:tcPr>
            <w:tcMar>
              <w:top w:w="15.0" w:type="dxa"/>
              <w:left w:w="15.0" w:type="dxa"/>
              <w:bottom w:w="15.0" w:type="dxa"/>
              <w:right w:w="15.0" w:type="dxa"/>
            </w:tcMar>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i w:val="0"/>
                <w:iCs w:val="0"/>
                <w:smallCaps w:val="0"/>
                <w:strike w:val="0"/>
                <w:sz w:val="20"/>
                <w:szCs w:val="20"/>
                <w:u w:val="none"/>
                <w:shd w:fill="auto" w:val="clear"/>
                <w:vertAlign w:val="baseline"/>
              </w:rPr>
            </w:pP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2.</w:t>
            </w:r>
          </w:p>
        </w:tc>
        <w:tc>
          <w:tcPr>
            <w:tcMar>
              <w:top w:w="0.0" w:type="dxa"/>
              <w:left w:w="108.0" w:type="dxa"/>
              <w:bottom w:w="0.0" w:type="dxa"/>
              <w:right w:w="108.0" w:type="dxa"/>
            </w:tcMar>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i w:val="0"/>
                <w:iCs w:val="0"/>
                <w:smallCaps w:val="0"/>
                <w:strike w:val="0"/>
                <w:sz w:val="20"/>
                <w:szCs w:val="20"/>
                <w:u w:val="none"/>
                <w:shd w:fill="auto" w:val="clear"/>
                <w:vertAlign w:val="baseline"/>
              </w:rPr>
            </w:pP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TG-87 x SunOleic-95R</w:t>
            </w:r>
          </w:p>
        </w:tc>
        <w:tc>
          <w:tcPr>
            <w:tcMar>
              <w:top w:w="15.0" w:type="dxa"/>
              <w:left w:w="15.0" w:type="dxa"/>
              <w:bottom w:w="15.0" w:type="dxa"/>
              <w:right w:w="15.0" w:type="dxa"/>
            </w:tcMar>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i w:val="0"/>
                <w:iCs w:val="0"/>
                <w:smallCaps w:val="0"/>
                <w:strike w:val="0"/>
                <w:sz w:val="20"/>
                <w:szCs w:val="20"/>
                <w:u w:val="none"/>
                <w:shd w:fill="auto" w:val="clear"/>
                <w:vertAlign w:val="baseline"/>
              </w:rPr>
            </w:pP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14.</w:t>
            </w:r>
          </w:p>
        </w:tc>
        <w:tc>
          <w:tcPr>
            <w:tcMar>
              <w:top w:w="15.0" w:type="dxa"/>
              <w:left w:w="15.0" w:type="dxa"/>
              <w:bottom w:w="15.0" w:type="dxa"/>
              <w:right w:w="15.0" w:type="dxa"/>
            </w:tcMar>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i w:val="0"/>
                <w:iCs w:val="0"/>
                <w:smallCaps w:val="0"/>
                <w:strike w:val="0"/>
                <w:sz w:val="20"/>
                <w:szCs w:val="20"/>
                <w:u w:val="none"/>
                <w:shd w:fill="auto" w:val="clear"/>
                <w:vertAlign w:val="baseline"/>
              </w:rPr>
            </w:pP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Gangapuri x SunOleic-95R</w:t>
            </w:r>
          </w:p>
        </w:tc>
      </w:tr>
      <w:tr>
        <w:trPr>
          <w:cantSplit w:val="0"/>
          <w:trHeight w:val="291" w:hRule="atLeast"/>
          <w:tblHeader w:val="0"/>
        </w:trPr>
        <w:tc>
          <w:tcPr>
            <w:tcMar>
              <w:top w:w="15.0" w:type="dxa"/>
              <w:left w:w="15.0" w:type="dxa"/>
              <w:bottom w:w="15.0" w:type="dxa"/>
              <w:right w:w="15.0" w:type="dxa"/>
            </w:tcMar>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i w:val="0"/>
                <w:iCs w:val="0"/>
                <w:smallCaps w:val="0"/>
                <w:strike w:val="0"/>
                <w:sz w:val="20"/>
                <w:szCs w:val="20"/>
                <w:u w:val="none"/>
                <w:shd w:fill="auto" w:val="clear"/>
                <w:vertAlign w:val="baseline"/>
              </w:rPr>
            </w:pP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3.</w:t>
            </w:r>
          </w:p>
        </w:tc>
        <w:tc>
          <w:tcPr>
            <w:tcMar>
              <w:top w:w="0.0" w:type="dxa"/>
              <w:left w:w="108.0" w:type="dxa"/>
              <w:bottom w:w="0.0" w:type="dxa"/>
              <w:right w:w="108.0" w:type="dxa"/>
            </w:tcMar>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i w:val="0"/>
                <w:iCs w:val="0"/>
                <w:smallCaps w:val="0"/>
                <w:strike w:val="0"/>
                <w:sz w:val="20"/>
                <w:szCs w:val="20"/>
                <w:u w:val="none"/>
                <w:shd w:fill="auto" w:val="clear"/>
                <w:vertAlign w:val="baseline"/>
              </w:rPr>
            </w:pP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TG-87 x GPBD-4</w:t>
            </w:r>
          </w:p>
        </w:tc>
        <w:tc>
          <w:tcPr>
            <w:tcMar>
              <w:top w:w="15.0" w:type="dxa"/>
              <w:left w:w="15.0" w:type="dxa"/>
              <w:bottom w:w="15.0" w:type="dxa"/>
              <w:right w:w="15.0" w:type="dxa"/>
            </w:tcMar>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i w:val="0"/>
                <w:iCs w:val="0"/>
                <w:smallCaps w:val="0"/>
                <w:strike w:val="0"/>
                <w:sz w:val="20"/>
                <w:szCs w:val="20"/>
                <w:u w:val="none"/>
                <w:shd w:fill="auto" w:val="clear"/>
                <w:vertAlign w:val="baseline"/>
              </w:rPr>
            </w:pP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15.</w:t>
            </w:r>
          </w:p>
        </w:tc>
        <w:tc>
          <w:tcPr>
            <w:tcMar>
              <w:top w:w="15.0" w:type="dxa"/>
              <w:left w:w="15.0" w:type="dxa"/>
              <w:bottom w:w="15.0" w:type="dxa"/>
              <w:right w:w="15.0" w:type="dxa"/>
            </w:tcMar>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i w:val="0"/>
                <w:iCs w:val="0"/>
                <w:smallCaps w:val="0"/>
                <w:strike w:val="0"/>
                <w:sz w:val="20"/>
                <w:szCs w:val="20"/>
                <w:u w:val="none"/>
                <w:shd w:fill="auto" w:val="clear"/>
                <w:vertAlign w:val="baseline"/>
              </w:rPr>
            </w:pP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Gangapuri x GPBD-4</w:t>
            </w:r>
          </w:p>
        </w:tc>
      </w:tr>
      <w:tr>
        <w:trPr>
          <w:cantSplit w:val="0"/>
          <w:trHeight w:val="296" w:hRule="atLeast"/>
          <w:tblHeader w:val="0"/>
        </w:trPr>
        <w:tc>
          <w:tcPr>
            <w:tcMar>
              <w:top w:w="15.0" w:type="dxa"/>
              <w:left w:w="15.0" w:type="dxa"/>
              <w:bottom w:w="15.0" w:type="dxa"/>
              <w:right w:w="15.0" w:type="dxa"/>
            </w:tcMar>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i w:val="0"/>
                <w:iCs w:val="0"/>
                <w:smallCaps w:val="0"/>
                <w:strike w:val="0"/>
                <w:sz w:val="20"/>
                <w:szCs w:val="20"/>
                <w:u w:val="none"/>
                <w:shd w:fill="auto" w:val="clear"/>
                <w:vertAlign w:val="baseline"/>
              </w:rPr>
            </w:pP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4.</w:t>
            </w:r>
          </w:p>
        </w:tc>
        <w:tc>
          <w:tcPr>
            <w:tcMar>
              <w:top w:w="0.0" w:type="dxa"/>
              <w:left w:w="108.0" w:type="dxa"/>
              <w:bottom w:w="0.0" w:type="dxa"/>
              <w:right w:w="108.0" w:type="dxa"/>
            </w:tcMar>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i w:val="0"/>
                <w:iCs w:val="0"/>
                <w:smallCaps w:val="0"/>
                <w:strike w:val="0"/>
                <w:sz w:val="20"/>
                <w:szCs w:val="20"/>
                <w:u w:val="none"/>
                <w:shd w:fill="auto" w:val="clear"/>
                <w:vertAlign w:val="baseline"/>
              </w:rPr>
            </w:pP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TG-87 x KDG-128</w:t>
            </w:r>
          </w:p>
        </w:tc>
        <w:tc>
          <w:tcPr>
            <w:tcMar>
              <w:top w:w="15.0" w:type="dxa"/>
              <w:left w:w="15.0" w:type="dxa"/>
              <w:bottom w:w="15.0" w:type="dxa"/>
              <w:right w:w="15.0" w:type="dxa"/>
            </w:tcMar>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i w:val="0"/>
                <w:iCs w:val="0"/>
                <w:smallCaps w:val="0"/>
                <w:strike w:val="0"/>
                <w:sz w:val="20"/>
                <w:szCs w:val="20"/>
                <w:u w:val="none"/>
                <w:shd w:fill="auto" w:val="clear"/>
                <w:vertAlign w:val="baseline"/>
              </w:rPr>
            </w:pP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16.</w:t>
            </w:r>
          </w:p>
        </w:tc>
        <w:tc>
          <w:tcPr>
            <w:tcMar>
              <w:top w:w="15.0" w:type="dxa"/>
              <w:left w:w="15.0" w:type="dxa"/>
              <w:bottom w:w="15.0" w:type="dxa"/>
              <w:right w:w="15.0" w:type="dxa"/>
            </w:tcMar>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i w:val="0"/>
                <w:iCs w:val="0"/>
                <w:smallCaps w:val="0"/>
                <w:strike w:val="0"/>
                <w:sz w:val="20"/>
                <w:szCs w:val="20"/>
                <w:u w:val="none"/>
                <w:shd w:fill="auto" w:val="clear"/>
                <w:vertAlign w:val="baseline"/>
              </w:rPr>
            </w:pP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Gangapuri x KDG-128</w:t>
            </w:r>
          </w:p>
        </w:tc>
      </w:tr>
      <w:tr>
        <w:trPr>
          <w:cantSplit w:val="0"/>
          <w:trHeight w:val="296" w:hRule="atLeast"/>
          <w:tblHeader w:val="0"/>
        </w:trPr>
        <w:tc>
          <w:tcPr>
            <w:tcMar>
              <w:top w:w="15.0" w:type="dxa"/>
              <w:left w:w="15.0" w:type="dxa"/>
              <w:bottom w:w="15.0" w:type="dxa"/>
              <w:right w:w="15.0" w:type="dxa"/>
            </w:tcMar>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i w:val="0"/>
                <w:iCs w:val="0"/>
                <w:smallCaps w:val="0"/>
                <w:strike w:val="0"/>
                <w:sz w:val="20"/>
                <w:szCs w:val="20"/>
                <w:u w:val="none"/>
                <w:shd w:fill="auto" w:val="clear"/>
                <w:vertAlign w:val="baseline"/>
              </w:rPr>
            </w:pP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5.</w:t>
            </w:r>
          </w:p>
        </w:tc>
        <w:tc>
          <w:tcPr>
            <w:tcMar>
              <w:top w:w="0.0" w:type="dxa"/>
              <w:left w:w="108.0" w:type="dxa"/>
              <w:bottom w:w="0.0" w:type="dxa"/>
              <w:right w:w="108.0" w:type="dxa"/>
            </w:tcMar>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i w:val="0"/>
                <w:iCs w:val="0"/>
                <w:smallCaps w:val="0"/>
                <w:strike w:val="0"/>
                <w:sz w:val="20"/>
                <w:szCs w:val="20"/>
                <w:u w:val="none"/>
                <w:shd w:fill="auto" w:val="clear"/>
                <w:vertAlign w:val="baseline"/>
              </w:rPr>
            </w:pP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Nithya haritha x TG- 37A</w:t>
            </w:r>
          </w:p>
        </w:tc>
        <w:tc>
          <w:tcPr>
            <w:tcMar>
              <w:top w:w="15.0" w:type="dxa"/>
              <w:left w:w="15.0" w:type="dxa"/>
              <w:bottom w:w="15.0" w:type="dxa"/>
              <w:right w:w="15.0" w:type="dxa"/>
            </w:tcMar>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i w:val="0"/>
                <w:iCs w:val="0"/>
                <w:smallCaps w:val="0"/>
                <w:strike w:val="0"/>
                <w:sz w:val="20"/>
                <w:szCs w:val="20"/>
                <w:u w:val="none"/>
                <w:shd w:fill="auto" w:val="clear"/>
                <w:vertAlign w:val="baseline"/>
              </w:rPr>
            </w:pP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17.</w:t>
            </w:r>
          </w:p>
        </w:tc>
        <w:tc>
          <w:tcPr>
            <w:tcMar>
              <w:top w:w="15.0" w:type="dxa"/>
              <w:left w:w="15.0" w:type="dxa"/>
              <w:bottom w:w="15.0" w:type="dxa"/>
              <w:right w:w="15.0" w:type="dxa"/>
            </w:tcMar>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i w:val="0"/>
                <w:iCs w:val="0"/>
                <w:smallCaps w:val="0"/>
                <w:strike w:val="0"/>
                <w:sz w:val="20"/>
                <w:szCs w:val="20"/>
                <w:u w:val="none"/>
                <w:shd w:fill="auto" w:val="clear"/>
                <w:vertAlign w:val="baseline"/>
              </w:rPr>
            </w:pP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TG-86 x TG 37 A</w:t>
            </w:r>
          </w:p>
        </w:tc>
      </w:tr>
      <w:tr>
        <w:trPr>
          <w:cantSplit w:val="0"/>
          <w:trHeight w:val="291" w:hRule="atLeast"/>
          <w:tblHeader w:val="0"/>
        </w:trPr>
        <w:tc>
          <w:tcPr>
            <w:tcMar>
              <w:top w:w="15.0" w:type="dxa"/>
              <w:left w:w="15.0" w:type="dxa"/>
              <w:bottom w:w="15.0" w:type="dxa"/>
              <w:right w:w="15.0" w:type="dxa"/>
            </w:tcMar>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i w:val="0"/>
                <w:iCs w:val="0"/>
                <w:smallCaps w:val="0"/>
                <w:strike w:val="0"/>
                <w:sz w:val="20"/>
                <w:szCs w:val="20"/>
                <w:u w:val="none"/>
                <w:shd w:fill="auto" w:val="clear"/>
                <w:vertAlign w:val="baseline"/>
              </w:rPr>
            </w:pP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6.</w:t>
            </w:r>
          </w:p>
        </w:tc>
        <w:tc>
          <w:tcPr>
            <w:tcMar>
              <w:top w:w="0.0" w:type="dxa"/>
              <w:left w:w="108.0" w:type="dxa"/>
              <w:bottom w:w="0.0" w:type="dxa"/>
              <w:right w:w="108.0" w:type="dxa"/>
            </w:tcMar>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i w:val="0"/>
                <w:iCs w:val="0"/>
                <w:smallCaps w:val="0"/>
                <w:strike w:val="0"/>
                <w:sz w:val="20"/>
                <w:szCs w:val="20"/>
                <w:u w:val="none"/>
                <w:shd w:fill="auto" w:val="clear"/>
                <w:vertAlign w:val="baseline"/>
              </w:rPr>
            </w:pP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Nithya haritha x SunOleic-95R</w:t>
            </w:r>
          </w:p>
        </w:tc>
        <w:tc>
          <w:tcPr>
            <w:tcMar>
              <w:top w:w="15.0" w:type="dxa"/>
              <w:left w:w="15.0" w:type="dxa"/>
              <w:bottom w:w="15.0" w:type="dxa"/>
              <w:right w:w="15.0" w:type="dxa"/>
            </w:tcMar>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i w:val="0"/>
                <w:iCs w:val="0"/>
                <w:smallCaps w:val="0"/>
                <w:strike w:val="0"/>
                <w:sz w:val="20"/>
                <w:szCs w:val="20"/>
                <w:u w:val="none"/>
                <w:shd w:fill="auto" w:val="clear"/>
                <w:vertAlign w:val="baseline"/>
              </w:rPr>
            </w:pP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18.</w:t>
            </w:r>
          </w:p>
        </w:tc>
        <w:tc>
          <w:tcPr>
            <w:tcMar>
              <w:top w:w="15.0" w:type="dxa"/>
              <w:left w:w="15.0" w:type="dxa"/>
              <w:bottom w:w="15.0" w:type="dxa"/>
              <w:right w:w="15.0" w:type="dxa"/>
            </w:tcMar>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i w:val="0"/>
                <w:iCs w:val="0"/>
                <w:smallCaps w:val="0"/>
                <w:strike w:val="0"/>
                <w:sz w:val="20"/>
                <w:szCs w:val="20"/>
                <w:u w:val="none"/>
                <w:shd w:fill="auto" w:val="clear"/>
                <w:vertAlign w:val="baseline"/>
              </w:rPr>
            </w:pP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TG-86 x SunOleic-95R</w:t>
            </w:r>
          </w:p>
        </w:tc>
      </w:tr>
      <w:tr>
        <w:trPr>
          <w:cantSplit w:val="0"/>
          <w:trHeight w:val="296" w:hRule="atLeast"/>
          <w:tblHeader w:val="0"/>
        </w:trPr>
        <w:tc>
          <w:tcPr>
            <w:tcMar>
              <w:top w:w="15.0" w:type="dxa"/>
              <w:left w:w="15.0" w:type="dxa"/>
              <w:bottom w:w="15.0" w:type="dxa"/>
              <w:right w:w="15.0" w:type="dxa"/>
            </w:tcMar>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i w:val="0"/>
                <w:iCs w:val="0"/>
                <w:smallCaps w:val="0"/>
                <w:strike w:val="0"/>
                <w:sz w:val="20"/>
                <w:szCs w:val="20"/>
                <w:u w:val="none"/>
                <w:shd w:fill="auto" w:val="clear"/>
                <w:vertAlign w:val="baseline"/>
              </w:rPr>
            </w:pP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7.</w:t>
            </w:r>
          </w:p>
        </w:tc>
        <w:tc>
          <w:tcPr>
            <w:tcMar>
              <w:top w:w="0.0" w:type="dxa"/>
              <w:left w:w="108.0" w:type="dxa"/>
              <w:bottom w:w="0.0" w:type="dxa"/>
              <w:right w:w="108.0" w:type="dxa"/>
            </w:tcMar>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i w:val="0"/>
                <w:iCs w:val="0"/>
                <w:smallCaps w:val="0"/>
                <w:strike w:val="0"/>
                <w:sz w:val="20"/>
                <w:szCs w:val="20"/>
                <w:u w:val="none"/>
                <w:shd w:fill="auto" w:val="clear"/>
                <w:vertAlign w:val="baseline"/>
              </w:rPr>
            </w:pP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Nithya haritha x GPBD-4</w:t>
            </w:r>
          </w:p>
        </w:tc>
        <w:tc>
          <w:tcPr>
            <w:tcMar>
              <w:top w:w="15.0" w:type="dxa"/>
              <w:left w:w="15.0" w:type="dxa"/>
              <w:bottom w:w="15.0" w:type="dxa"/>
              <w:right w:w="15.0" w:type="dxa"/>
            </w:tcMar>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i w:val="0"/>
                <w:iCs w:val="0"/>
                <w:smallCaps w:val="0"/>
                <w:strike w:val="0"/>
                <w:sz w:val="20"/>
                <w:szCs w:val="20"/>
                <w:u w:val="none"/>
                <w:shd w:fill="auto" w:val="clear"/>
                <w:vertAlign w:val="baseline"/>
              </w:rPr>
            </w:pP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19.</w:t>
            </w:r>
          </w:p>
        </w:tc>
        <w:tc>
          <w:tcPr>
            <w:tcMar>
              <w:top w:w="15.0" w:type="dxa"/>
              <w:left w:w="15.0" w:type="dxa"/>
              <w:bottom w:w="15.0" w:type="dxa"/>
              <w:right w:w="15.0" w:type="dxa"/>
            </w:tcMar>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i w:val="0"/>
                <w:iCs w:val="0"/>
                <w:smallCaps w:val="0"/>
                <w:strike w:val="0"/>
                <w:sz w:val="20"/>
                <w:szCs w:val="20"/>
                <w:u w:val="none"/>
                <w:shd w:fill="auto" w:val="clear"/>
                <w:vertAlign w:val="baseline"/>
              </w:rPr>
            </w:pP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TG-86 x GPBD-4</w:t>
            </w:r>
          </w:p>
        </w:tc>
      </w:tr>
      <w:tr>
        <w:trPr>
          <w:cantSplit w:val="0"/>
          <w:trHeight w:val="291" w:hRule="atLeast"/>
          <w:tblHeader w:val="0"/>
        </w:trPr>
        <w:tc>
          <w:tcPr>
            <w:tcMar>
              <w:top w:w="15.0" w:type="dxa"/>
              <w:left w:w="15.0" w:type="dxa"/>
              <w:bottom w:w="15.0" w:type="dxa"/>
              <w:right w:w="15.0" w:type="dxa"/>
            </w:tcMar>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i w:val="0"/>
                <w:iCs w:val="0"/>
                <w:smallCaps w:val="0"/>
                <w:strike w:val="0"/>
                <w:sz w:val="20"/>
                <w:szCs w:val="20"/>
                <w:u w:val="none"/>
                <w:shd w:fill="auto" w:val="clear"/>
                <w:vertAlign w:val="baseline"/>
              </w:rPr>
            </w:pP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8.</w:t>
            </w:r>
          </w:p>
        </w:tc>
        <w:tc>
          <w:tcPr>
            <w:tcMar>
              <w:top w:w="0.0" w:type="dxa"/>
              <w:left w:w="108.0" w:type="dxa"/>
              <w:bottom w:w="0.0" w:type="dxa"/>
              <w:right w:w="108.0" w:type="dxa"/>
            </w:tcMar>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i w:val="0"/>
                <w:iCs w:val="0"/>
                <w:smallCaps w:val="0"/>
                <w:strike w:val="0"/>
                <w:sz w:val="20"/>
                <w:szCs w:val="20"/>
                <w:u w:val="none"/>
                <w:shd w:fill="auto" w:val="clear"/>
                <w:vertAlign w:val="baseline"/>
              </w:rPr>
            </w:pP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Nithya haritha x KDG-128</w:t>
            </w:r>
          </w:p>
        </w:tc>
        <w:tc>
          <w:tcPr>
            <w:tcMar>
              <w:top w:w="15.0" w:type="dxa"/>
              <w:left w:w="15.0" w:type="dxa"/>
              <w:bottom w:w="15.0" w:type="dxa"/>
              <w:right w:w="15.0" w:type="dxa"/>
            </w:tcMar>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i w:val="0"/>
                <w:iCs w:val="0"/>
                <w:smallCaps w:val="0"/>
                <w:strike w:val="0"/>
                <w:sz w:val="20"/>
                <w:szCs w:val="20"/>
                <w:u w:val="none"/>
                <w:shd w:fill="auto" w:val="clear"/>
                <w:vertAlign w:val="baseline"/>
              </w:rPr>
            </w:pP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20.</w:t>
            </w:r>
          </w:p>
        </w:tc>
        <w:tc>
          <w:tcPr>
            <w:tcMar>
              <w:top w:w="15.0" w:type="dxa"/>
              <w:left w:w="15.0" w:type="dxa"/>
              <w:bottom w:w="15.0" w:type="dxa"/>
              <w:right w:w="15.0" w:type="dxa"/>
            </w:tcMar>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i w:val="0"/>
                <w:iCs w:val="0"/>
                <w:smallCaps w:val="0"/>
                <w:strike w:val="0"/>
                <w:sz w:val="20"/>
                <w:szCs w:val="20"/>
                <w:u w:val="none"/>
                <w:shd w:fill="auto" w:val="clear"/>
                <w:vertAlign w:val="baseline"/>
              </w:rPr>
            </w:pP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TG-86 x KDG-128</w:t>
            </w:r>
          </w:p>
        </w:tc>
      </w:tr>
      <w:tr>
        <w:trPr>
          <w:cantSplit w:val="0"/>
          <w:trHeight w:val="270" w:hRule="atLeast"/>
          <w:tblHeader w:val="0"/>
        </w:trPr>
        <w:tc>
          <w:tcPr>
            <w:tcMar>
              <w:top w:w="15.0" w:type="dxa"/>
              <w:left w:w="15.0" w:type="dxa"/>
              <w:bottom w:w="15.0" w:type="dxa"/>
              <w:right w:w="15.0" w:type="dxa"/>
            </w:tcMar>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i w:val="0"/>
                <w:iCs w:val="0"/>
                <w:smallCaps w:val="0"/>
                <w:strike w:val="0"/>
                <w:sz w:val="20"/>
                <w:szCs w:val="20"/>
                <w:u w:val="none"/>
                <w:shd w:fill="auto" w:val="clear"/>
                <w:vertAlign w:val="baseline"/>
              </w:rPr>
            </w:pP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9.</w:t>
            </w:r>
          </w:p>
        </w:tc>
        <w:tc>
          <w:tcPr>
            <w:tcMar>
              <w:top w:w="0.0" w:type="dxa"/>
              <w:left w:w="108.0" w:type="dxa"/>
              <w:bottom w:w="0.0" w:type="dxa"/>
              <w:right w:w="108.0" w:type="dxa"/>
            </w:tcMar>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i w:val="0"/>
                <w:iCs w:val="0"/>
                <w:smallCaps w:val="0"/>
                <w:strike w:val="0"/>
                <w:sz w:val="20"/>
                <w:szCs w:val="20"/>
                <w:u w:val="none"/>
                <w:shd w:fill="auto" w:val="clear"/>
                <w:vertAlign w:val="baseline"/>
              </w:rPr>
            </w:pP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Mallika x TG-37A</w:t>
            </w:r>
          </w:p>
        </w:tc>
        <w:tc>
          <w:tcPr>
            <w:tcMar>
              <w:top w:w="15.0" w:type="dxa"/>
              <w:left w:w="15.0" w:type="dxa"/>
              <w:bottom w:w="15.0" w:type="dxa"/>
              <w:right w:w="15.0" w:type="dxa"/>
            </w:tcMar>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i w:val="0"/>
                <w:iCs w:val="0"/>
                <w:smallCaps w:val="0"/>
                <w:strike w:val="0"/>
                <w:sz w:val="20"/>
                <w:szCs w:val="20"/>
                <w:u w:val="none"/>
                <w:shd w:fill="auto" w:val="clear"/>
                <w:vertAlign w:val="baseline"/>
              </w:rPr>
            </w:pP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21.</w:t>
            </w:r>
          </w:p>
        </w:tc>
        <w:tc>
          <w:tcPr>
            <w:tcMar>
              <w:top w:w="15.0" w:type="dxa"/>
              <w:left w:w="15.0" w:type="dxa"/>
              <w:bottom w:w="15.0" w:type="dxa"/>
              <w:right w:w="15.0" w:type="dxa"/>
            </w:tcMar>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i w:val="0"/>
                <w:iCs w:val="0"/>
                <w:smallCaps w:val="0"/>
                <w:strike w:val="0"/>
                <w:sz w:val="20"/>
                <w:szCs w:val="20"/>
                <w:u w:val="none"/>
                <w:shd w:fill="auto" w:val="clear"/>
                <w:vertAlign w:val="baseline"/>
              </w:rPr>
            </w:pP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TG-88 x TG- 37A</w:t>
            </w:r>
          </w:p>
        </w:tc>
      </w:tr>
      <w:tr>
        <w:trPr>
          <w:cantSplit w:val="0"/>
          <w:trHeight w:val="291" w:hRule="atLeast"/>
          <w:tblHeader w:val="0"/>
        </w:trPr>
        <w:tc>
          <w:tcPr>
            <w:tcMar>
              <w:top w:w="15.0" w:type="dxa"/>
              <w:left w:w="15.0" w:type="dxa"/>
              <w:bottom w:w="15.0" w:type="dxa"/>
              <w:right w:w="15.0" w:type="dxa"/>
            </w:tcMar>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i w:val="0"/>
                <w:iCs w:val="0"/>
                <w:smallCaps w:val="0"/>
                <w:strike w:val="0"/>
                <w:sz w:val="20"/>
                <w:szCs w:val="20"/>
                <w:u w:val="none"/>
                <w:shd w:fill="auto" w:val="clear"/>
                <w:vertAlign w:val="baseline"/>
              </w:rPr>
            </w:pP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10.</w:t>
            </w:r>
          </w:p>
        </w:tc>
        <w:tc>
          <w:tcPr>
            <w:tcMar>
              <w:top w:w="0.0" w:type="dxa"/>
              <w:left w:w="108.0" w:type="dxa"/>
              <w:bottom w:w="0.0" w:type="dxa"/>
              <w:right w:w="108.0" w:type="dxa"/>
            </w:tcMar>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i w:val="0"/>
                <w:iCs w:val="0"/>
                <w:smallCaps w:val="0"/>
                <w:strike w:val="0"/>
                <w:sz w:val="20"/>
                <w:szCs w:val="20"/>
                <w:u w:val="none"/>
                <w:shd w:fill="auto" w:val="clear"/>
                <w:vertAlign w:val="baseline"/>
              </w:rPr>
            </w:pP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Mallika x SunOleic-95R</w:t>
            </w:r>
          </w:p>
        </w:tc>
        <w:tc>
          <w:tcPr>
            <w:tcMar>
              <w:top w:w="15.0" w:type="dxa"/>
              <w:left w:w="15.0" w:type="dxa"/>
              <w:bottom w:w="15.0" w:type="dxa"/>
              <w:right w:w="15.0" w:type="dxa"/>
            </w:tcMar>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i w:val="0"/>
                <w:iCs w:val="0"/>
                <w:smallCaps w:val="0"/>
                <w:strike w:val="0"/>
                <w:sz w:val="20"/>
                <w:szCs w:val="20"/>
                <w:u w:val="none"/>
                <w:shd w:fill="auto" w:val="clear"/>
                <w:vertAlign w:val="baseline"/>
              </w:rPr>
            </w:pP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22.</w:t>
            </w:r>
          </w:p>
        </w:tc>
        <w:tc>
          <w:tcPr>
            <w:tcMar>
              <w:top w:w="15.0" w:type="dxa"/>
              <w:left w:w="15.0" w:type="dxa"/>
              <w:bottom w:w="15.0" w:type="dxa"/>
              <w:right w:w="15.0" w:type="dxa"/>
            </w:tcMar>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i w:val="0"/>
                <w:iCs w:val="0"/>
                <w:smallCaps w:val="0"/>
                <w:strike w:val="0"/>
                <w:sz w:val="20"/>
                <w:szCs w:val="20"/>
                <w:u w:val="none"/>
                <w:shd w:fill="auto" w:val="clear"/>
                <w:vertAlign w:val="baseline"/>
              </w:rPr>
            </w:pP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TG-88 x SunOleic-95R</w:t>
            </w:r>
          </w:p>
        </w:tc>
      </w:tr>
      <w:tr>
        <w:trPr>
          <w:cantSplit w:val="0"/>
          <w:trHeight w:val="291" w:hRule="atLeast"/>
          <w:tblHeader w:val="0"/>
        </w:trPr>
        <w:tc>
          <w:tcPr>
            <w:tcMar>
              <w:top w:w="15.0" w:type="dxa"/>
              <w:left w:w="15.0" w:type="dxa"/>
              <w:bottom w:w="15.0" w:type="dxa"/>
              <w:right w:w="15.0" w:type="dxa"/>
            </w:tcMar>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i w:val="0"/>
                <w:iCs w:val="0"/>
                <w:smallCaps w:val="0"/>
                <w:strike w:val="0"/>
                <w:sz w:val="20"/>
                <w:szCs w:val="20"/>
                <w:u w:val="none"/>
                <w:shd w:fill="auto" w:val="clear"/>
                <w:vertAlign w:val="baseline"/>
              </w:rPr>
            </w:pP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11.</w:t>
            </w:r>
          </w:p>
        </w:tc>
        <w:tc>
          <w:tcPr>
            <w:tcMar>
              <w:top w:w="0.0" w:type="dxa"/>
              <w:left w:w="108.0" w:type="dxa"/>
              <w:bottom w:w="0.0" w:type="dxa"/>
              <w:right w:w="108.0" w:type="dxa"/>
            </w:tcMar>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i w:val="0"/>
                <w:iCs w:val="0"/>
                <w:smallCaps w:val="0"/>
                <w:strike w:val="0"/>
                <w:sz w:val="20"/>
                <w:szCs w:val="20"/>
                <w:u w:val="none"/>
                <w:shd w:fill="auto" w:val="clear"/>
                <w:vertAlign w:val="baseline"/>
              </w:rPr>
            </w:pP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Mallika x GPBD-4</w:t>
            </w:r>
          </w:p>
        </w:tc>
        <w:tc>
          <w:tcPr>
            <w:tcMar>
              <w:top w:w="15.0" w:type="dxa"/>
              <w:left w:w="15.0" w:type="dxa"/>
              <w:bottom w:w="15.0" w:type="dxa"/>
              <w:right w:w="15.0" w:type="dxa"/>
            </w:tcMar>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i w:val="0"/>
                <w:iCs w:val="0"/>
                <w:smallCaps w:val="0"/>
                <w:strike w:val="0"/>
                <w:sz w:val="20"/>
                <w:szCs w:val="20"/>
                <w:u w:val="none"/>
                <w:shd w:fill="auto" w:val="clear"/>
                <w:vertAlign w:val="baseline"/>
              </w:rPr>
            </w:pP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23.</w:t>
            </w:r>
          </w:p>
        </w:tc>
        <w:tc>
          <w:tcPr>
            <w:tcMar>
              <w:top w:w="15.0" w:type="dxa"/>
              <w:left w:w="15.0" w:type="dxa"/>
              <w:bottom w:w="15.0" w:type="dxa"/>
              <w:right w:w="15.0" w:type="dxa"/>
            </w:tcMar>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i w:val="0"/>
                <w:iCs w:val="0"/>
                <w:smallCaps w:val="0"/>
                <w:strike w:val="0"/>
                <w:sz w:val="20"/>
                <w:szCs w:val="20"/>
                <w:u w:val="none"/>
                <w:shd w:fill="auto" w:val="clear"/>
                <w:vertAlign w:val="baseline"/>
              </w:rPr>
            </w:pP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TG-88 x GPBD-4</w:t>
            </w:r>
          </w:p>
        </w:tc>
      </w:tr>
      <w:tr>
        <w:trPr>
          <w:cantSplit w:val="0"/>
          <w:trHeight w:val="291" w:hRule="atLeast"/>
          <w:tblHeader w:val="0"/>
        </w:trPr>
        <w:tc>
          <w:tcPr>
            <w:tcMar>
              <w:top w:w="15.0" w:type="dxa"/>
              <w:left w:w="15.0" w:type="dxa"/>
              <w:bottom w:w="15.0" w:type="dxa"/>
              <w:right w:w="15.0" w:type="dxa"/>
            </w:tcMar>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i w:val="0"/>
                <w:iCs w:val="0"/>
                <w:smallCaps w:val="0"/>
                <w:strike w:val="0"/>
                <w:sz w:val="20"/>
                <w:szCs w:val="20"/>
                <w:u w:val="none"/>
                <w:shd w:fill="auto" w:val="clear"/>
                <w:vertAlign w:val="baseline"/>
              </w:rPr>
            </w:pP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12.</w:t>
            </w:r>
          </w:p>
        </w:tc>
        <w:tc>
          <w:tcPr>
            <w:tcMar>
              <w:top w:w="0.0" w:type="dxa"/>
              <w:left w:w="108.0" w:type="dxa"/>
              <w:bottom w:w="0.0" w:type="dxa"/>
              <w:right w:w="108.0" w:type="dxa"/>
            </w:tcMar>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i w:val="0"/>
                <w:iCs w:val="0"/>
                <w:smallCaps w:val="0"/>
                <w:strike w:val="0"/>
                <w:sz w:val="20"/>
                <w:szCs w:val="20"/>
                <w:u w:val="none"/>
                <w:shd w:fill="auto" w:val="clear"/>
                <w:vertAlign w:val="baseline"/>
              </w:rPr>
            </w:pP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Mallika x KDG-128</w:t>
            </w:r>
          </w:p>
        </w:tc>
        <w:tc>
          <w:tcPr>
            <w:tcMar>
              <w:top w:w="15.0" w:type="dxa"/>
              <w:left w:w="15.0" w:type="dxa"/>
              <w:bottom w:w="15.0" w:type="dxa"/>
              <w:right w:w="15.0" w:type="dxa"/>
            </w:tcMar>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i w:val="0"/>
                <w:iCs w:val="0"/>
                <w:smallCaps w:val="0"/>
                <w:strike w:val="0"/>
                <w:sz w:val="20"/>
                <w:szCs w:val="20"/>
                <w:u w:val="none"/>
                <w:shd w:fill="auto" w:val="clear"/>
                <w:vertAlign w:val="baseline"/>
              </w:rPr>
            </w:pP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24.</w:t>
            </w:r>
          </w:p>
        </w:tc>
        <w:tc>
          <w:tcPr>
            <w:tcMar>
              <w:top w:w="15.0" w:type="dxa"/>
              <w:left w:w="15.0" w:type="dxa"/>
              <w:bottom w:w="15.0" w:type="dxa"/>
              <w:right w:w="15.0" w:type="dxa"/>
            </w:tcMar>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i w:val="0"/>
                <w:iCs w:val="0"/>
                <w:smallCaps w:val="0"/>
                <w:strike w:val="0"/>
                <w:sz w:val="20"/>
                <w:szCs w:val="20"/>
                <w:u w:val="none"/>
                <w:shd w:fill="auto" w:val="clear"/>
                <w:vertAlign w:val="baseline"/>
              </w:rPr>
            </w:pP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TG-88 x KDG-128</w:t>
            </w:r>
          </w:p>
        </w:tc>
      </w:tr>
    </w:tbl>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i w:val="0"/>
          <w:iCs w:val="0"/>
          <w:smallCaps w:val="0"/>
          <w:strike w:val="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5">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1"/>
          <w:bCs w:val="1"/>
          <w:i w:val="0"/>
          <w:iCs w:val="0"/>
          <w:smallCaps w:val="1"/>
          <w:strike w:val="0"/>
          <w:sz w:val="22"/>
          <w:szCs w:val="22"/>
          <w:u w:val="none"/>
          <w:shd w:fill="auto" w:val="clear"/>
          <w:vertAlign w:val="baseline"/>
        </w:rPr>
      </w:pPr>
      <w:r w:rsidDel="00000000" w:rsidR="00000000" w:rsidRPr="00000000">
        <w:rPr>
          <w:rFonts w:ascii="Arial" w:cs="Arial" w:eastAsia="Arial" w:hAnsi="Arial"/>
          <w:b w:val="1"/>
          <w:bCs w:val="1"/>
          <w:i w:val="0"/>
          <w:iCs w:val="0"/>
          <w:smallCaps w:val="1"/>
          <w:strike w:val="0"/>
          <w:sz w:val="22"/>
          <w:szCs w:val="22"/>
          <w:u w:val="none"/>
          <w:shd w:fill="auto" w:val="clear"/>
          <w:vertAlign w:val="baseline"/>
          <w:rtl w:val="0"/>
        </w:rPr>
        <w:t xml:space="preserve">2.3 Biochemical estimation for nutritional and stress-related parameters </w:t>
      </w:r>
    </w:p>
    <w:p w:rsidR="00000000" w:rsidDel="00000000" w:rsidP="00000000" w:rsidRDefault="00000000" w:rsidRPr="00000000" w14:paraId="00000076">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Biochemical analysis was done for four biochemical nutritional and stress related- traits: total sugar, protein, proline and lipid peroxidation. Total sugar was estimated as per protocol of Dubois et al. (1956), proline as per Bates et al. (1973), Lipid peroxidation by the method given by Hodges et al. (1999). The protein estimation was carried out by using Lowry et al. (1951) method.</w:t>
      </w:r>
    </w:p>
    <w:p w:rsidR="00000000" w:rsidDel="00000000" w:rsidP="00000000" w:rsidRDefault="00000000" w:rsidRPr="00000000" w14:paraId="0000007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8">
      <w:pPr>
        <w:jc w:val="both"/>
        <w:rPr>
          <w:rFonts w:ascii="Arial" w:cs="Arial" w:eastAsia="Arial" w:hAnsi="Arial"/>
          <w:sz w:val="22"/>
          <w:szCs w:val="22"/>
        </w:rPr>
      </w:pPr>
      <w:r w:rsidDel="00000000" w:rsidR="00000000" w:rsidRPr="00000000">
        <w:rPr>
          <w:rFonts w:ascii="Arial" w:cs="Arial" w:eastAsia="Arial" w:hAnsi="Arial"/>
          <w:b w:val="1"/>
          <w:bCs w:val="1"/>
          <w:smallCaps w:val="1"/>
          <w:sz w:val="22"/>
          <w:szCs w:val="22"/>
          <w:rtl w:val="0"/>
        </w:rPr>
        <w:t xml:space="preserve">2.3.1 TOTAL SUGAR ESTIMATION</w:t>
      </w:r>
      <w:r w:rsidDel="00000000" w:rsidR="00000000" w:rsidRPr="00000000">
        <w:rPr>
          <w:rtl w:val="0"/>
        </w:rPr>
      </w:r>
    </w:p>
    <w:p w:rsidR="00000000" w:rsidDel="00000000" w:rsidP="00000000" w:rsidRDefault="00000000" w:rsidRPr="00000000" w14:paraId="0000007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total sugar content of the samples was determined using the colorimetric method with anthrone reagent, as described by Dubois et al. (1956). The reagents used in this method included anthrone reagent (2 mg/mL in concentrated sulfuric acid), a standard glucose solution (1 mg/mL; prepared by dissolving 100 mg glucose in 100 mL distilled water), and a working standard solution (100 µg/mL; prepared by diluting 10 mL of the standard solution to 100 mL with distilled water and 5 N HCl).</w:t>
      </w:r>
    </w:p>
    <w:p w:rsidR="00000000" w:rsidDel="00000000" w:rsidP="00000000" w:rsidRDefault="00000000" w:rsidRPr="00000000" w14:paraId="0000007B">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Approximately 100 mg of fresh sample was placed in a boiling tube and hydrolyzed in a boiling water bath for 3 hours with 5 mL of 2.5 N HCl. After cooling to room temperature, the hydrolysate was neutralized with solid sodium carbonate until effervescence ceased, and the volume was adjusted to 100 mL. The mixture was then centrifuged, and the supernatant was collected. Aliquots of 0.5 and 1 mL were taken from the supernatant for analysis.</w:t>
      </w:r>
    </w:p>
    <w:p w:rsidR="00000000" w:rsidDel="00000000" w:rsidP="00000000" w:rsidRDefault="00000000" w:rsidRPr="00000000" w14:paraId="0000007C">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For the preparation of standards, 0, 0.2, 0.4, 0.6, 0.8, and 1 mL of the working standard were taken in separate test tubes, and the volume in each tube, including the sample tubes, was adjusted to 1 mL with distilled water. Subsequently, 4 mL of anthrone reagent was added to each tube, and the mixtures were heated in a boiling water bath for 8 minutes, followed by rapid cooling. The resulting green to dark green color was measured at 630 nm against a reagent blank. The sugar content in the samples was calculated from a standard curve prepared using glucose and expressed as mg/g.</w:t>
      </w:r>
    </w:p>
    <w:p w:rsidR="00000000" w:rsidDel="00000000" w:rsidP="00000000" w:rsidRDefault="00000000" w:rsidRPr="00000000" w14:paraId="0000007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sz w:val="22"/>
          <w:szCs w:val="22"/>
        </w:rPr>
      </w:pPr>
      <w:r w:rsidDel="00000000" w:rsidR="00000000" w:rsidRPr="00000000">
        <w:rPr>
          <w:rFonts w:ascii="Arial" w:cs="Arial" w:eastAsia="Arial" w:hAnsi="Arial"/>
          <w:b w:val="1"/>
          <w:bCs w:val="1"/>
          <w:i w:val="0"/>
          <w:iCs w:val="0"/>
          <w:smallCaps w:val="1"/>
          <w:strike w:val="0"/>
          <w:sz w:val="22"/>
          <w:szCs w:val="22"/>
          <w:u w:val="none"/>
          <w:shd w:fill="auto" w:val="clear"/>
          <w:vertAlign w:val="baseline"/>
          <w:rtl w:val="0"/>
        </w:rPr>
        <w:t xml:space="preserve">2.3.2 Soluble Protein Content Estimation</w:t>
      </w:r>
      <w:r w:rsidDel="00000000" w:rsidR="00000000" w:rsidRPr="00000000">
        <w:rPr>
          <w:rtl w:val="0"/>
        </w:rPr>
      </w:r>
    </w:p>
    <w:p w:rsidR="00000000" w:rsidDel="00000000" w:rsidP="00000000" w:rsidRDefault="00000000" w:rsidRPr="00000000" w14:paraId="0000007F">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soluble protein content of the samples was determined following the method of Lowry et al. (1951). Approximately 1 g of fresh leaf tissue was macerated in a mortar with 5 mL of 0.1 M sodium phosphate buffer (pH 7.0). The homogenate was centrifuged at 16,000 rpm for 20 minutes, and the resulting supernatant was used for protein estimation.</w:t>
      </w:r>
    </w:p>
    <w:p w:rsidR="00000000" w:rsidDel="00000000" w:rsidP="00000000" w:rsidRDefault="00000000" w:rsidRPr="00000000" w14:paraId="00000080">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For the assay, solution A was prepared by dissolving 2% anhydrous sodium carbonate in 0.1 N NaOH, and solution B was freshly prepared by dissolving 0.5% copper sulfate pentahydrate (CuSO4·5H2O) in 1% sodium potassium tartrate. Immediately before use, solution C (alkaline copper reagent) was prepared by mixing 50 mL of solution A with 1 mL of solution B.</w:t>
      </w:r>
    </w:p>
    <w:p w:rsidR="00000000" w:rsidDel="00000000" w:rsidP="00000000" w:rsidRDefault="00000000" w:rsidRPr="00000000" w14:paraId="00000081">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An aliquot of 0.1 mL of the supernatant was taken in a test tube, and the volume was adjusted to 1 mL with distilled water. Subsequently, 5 mL of solution C was added, mixed thoroughly, and incubated at room temperature for 10 minutes. Then, 0.5 mL of Folin–Ciocalteu reagent (diluted to 1N) was added, mixed well, and incubated in the dark at room temperature for 30 minutes. The absorbance of the resulting blue colour was measured at 660 nm against a reagent blank. The protein content in the sample was calculated using a standard curve prepared with bovine serum albumin (BSA) and expressed as parts per million (ppm).</w:t>
      </w:r>
    </w:p>
    <w:p w:rsidR="00000000" w:rsidDel="00000000" w:rsidP="00000000" w:rsidRDefault="00000000" w:rsidRPr="00000000" w14:paraId="0000008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3">
      <w:pPr>
        <w:jc w:val="both"/>
        <w:rPr>
          <w:rFonts w:ascii="Arial" w:cs="Arial" w:eastAsia="Arial" w:hAnsi="Arial"/>
          <w:b w:val="1"/>
          <w:bCs w:val="1"/>
          <w:smallCaps w:val="1"/>
          <w:sz w:val="22"/>
          <w:szCs w:val="22"/>
        </w:rPr>
      </w:pPr>
      <w:r w:rsidDel="00000000" w:rsidR="00000000" w:rsidRPr="00000000">
        <w:rPr>
          <w:rFonts w:ascii="Arial" w:cs="Arial" w:eastAsia="Arial" w:hAnsi="Arial"/>
          <w:b w:val="1"/>
          <w:bCs w:val="1"/>
          <w:smallCaps w:val="1"/>
          <w:sz w:val="22"/>
          <w:szCs w:val="22"/>
          <w:rtl w:val="0"/>
        </w:rPr>
        <w:t xml:space="preserve">2.3.3 ESTIMATION OF PROLINE CONTENT</w:t>
      </w:r>
    </w:p>
    <w:p w:rsidR="00000000" w:rsidDel="00000000" w:rsidP="00000000" w:rsidRDefault="00000000" w:rsidRPr="00000000" w14:paraId="00000084">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5">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proline content was estimated following the method of Bates et al. (1973). Approximately 0.5 g of groundnut tissue was crushed in a mortar and pestle with 10 mL of 3% aqueous sulfosalicylic acid, and the homogenate was filtered through Whatman No. 2 filter paper. The extraction was repeated, and the combined filtrates were used for analysis. To 2 mL of the filtrate, 2 mL of acid ninhydrin reagent and 2 mL of glacial acetic acid were added and mixed thoroughly. The reaction mixture was incubated in a boiling water bath for 1 hour and then rapidly cooled in an ice bath to stop the reaction. Subsequently, 4 mL of toluene was added, and the mixture was shaken vigorously for 20–30 seconds. The toluene layer containing the red-colored chromophore was separated and allowed to reach room temperature. The absorbance of this layer was recorded at 520 nm against a reagent blank using a spectrophotometer. The proline concentration was determined from a standard curve prepared with pure proline and expressed as µmol/g fresh weight of the sample.</w:t>
      </w:r>
    </w:p>
    <w:p w:rsidR="00000000" w:rsidDel="00000000" w:rsidP="00000000" w:rsidRDefault="00000000" w:rsidRPr="00000000" w14:paraId="00000086">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7">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1"/>
          <w:bCs w:val="1"/>
          <w:i w:val="0"/>
          <w:iCs w:val="0"/>
          <w:smallCaps w:val="1"/>
          <w:strike w:val="0"/>
          <w:sz w:val="22"/>
          <w:szCs w:val="22"/>
          <w:u w:val="none"/>
          <w:shd w:fill="auto" w:val="clear"/>
          <w:vertAlign w:val="baseline"/>
        </w:rPr>
      </w:pPr>
      <w:r w:rsidDel="00000000" w:rsidR="00000000" w:rsidRPr="00000000">
        <w:rPr>
          <w:rFonts w:ascii="Arial" w:cs="Arial" w:eastAsia="Arial" w:hAnsi="Arial"/>
          <w:b w:val="1"/>
          <w:bCs w:val="1"/>
          <w:i w:val="0"/>
          <w:iCs w:val="0"/>
          <w:smallCaps w:val="1"/>
          <w:strike w:val="0"/>
          <w:sz w:val="22"/>
          <w:szCs w:val="22"/>
          <w:u w:val="none"/>
          <w:shd w:fill="auto" w:val="clear"/>
          <w:vertAlign w:val="baseline"/>
          <w:rtl w:val="0"/>
        </w:rPr>
        <w:t xml:space="preserve">2.3.4 Lipid peroxidation Estimation</w:t>
      </w:r>
    </w:p>
    <w:p w:rsidR="00000000" w:rsidDel="00000000" w:rsidP="00000000" w:rsidRDefault="00000000" w:rsidRPr="00000000" w14:paraId="00000088">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Lipid peroxidation (MDA content) was estimated following the method of Hodges et al. (1999). Approximately 25 mg of groundnut tissue was weighed and homogenized in a mortar and pestle using 500 µL of 0.1% trichloroacetic acid (TCA). The homogenate was vortexed thoroughly and centrifuged at 10,000 rpm for 10 minutes. From the resulting supernatant, 100 µL was transferred to a microcentrifuge tube, and 200 µL of 0.5% thiobarbituric acid (TBA) was added. The reaction mixture was incubated in a water bath at 95 °C for 30 minutes, followed by rapid cooling at –80 °C for 2 minutes to stop the reaction. The tubes were then allowed to reach room temperature and centrifuged again at 10,000 rpm for 10 minutes. The absorbance of the clear supernatant was recorded at 532 nm, with a correction reading at 600 nm to account for non-specific turbidity.</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1"/>
          <w:strike w:val="0"/>
          <w:sz w:val="22"/>
          <w:szCs w:val="22"/>
          <w:u w:val="none"/>
          <w:shd w:fill="auto" w:val="clear"/>
          <w:vertAlign w:val="baseline"/>
        </w:rPr>
      </w:pPr>
      <w:r w:rsidDel="00000000" w:rsidR="00000000" w:rsidRPr="00000000">
        <w:rPr>
          <w:rFonts w:ascii="Arial" w:cs="Arial" w:eastAsia="Arial" w:hAnsi="Arial"/>
          <w:b w:val="1"/>
          <w:bCs w:val="1"/>
          <w:i w:val="0"/>
          <w:iCs w:val="0"/>
          <w:smallCaps w:val="1"/>
          <w:strike w:val="0"/>
          <w:sz w:val="22"/>
          <w:szCs w:val="22"/>
          <w:u w:val="none"/>
          <w:shd w:fill="auto" w:val="clear"/>
          <w:vertAlign w:val="baseline"/>
          <w:rtl w:val="0"/>
        </w:rPr>
        <w:t xml:space="preserve">3. results and discussion</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smallCaps w:val="1"/>
          <w:sz w:val="22"/>
          <w:szCs w:val="22"/>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sz w:val="20"/>
          <w:szCs w:val="20"/>
          <w:u w:val="none"/>
          <w:shd w:fill="auto" w:val="clear"/>
          <w:vertAlign w:val="baseline"/>
        </w:rPr>
      </w:pP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The 34 groundnut lines (</w:t>
      </w:r>
      <w:r w:rsidDel="00000000" w:rsidR="00000000" w:rsidRPr="00000000">
        <w:rPr>
          <w:rFonts w:ascii="Arial" w:cs="Arial" w:eastAsia="Arial" w:hAnsi="Arial"/>
          <w:rtl w:val="0"/>
        </w:rPr>
        <w:t xml:space="preserve">6 lines, 4 testers and 24 F</w:t>
      </w:r>
      <w:r w:rsidDel="00000000" w:rsidR="00000000" w:rsidRPr="00000000">
        <w:rPr>
          <w:rFonts w:ascii="Arial" w:cs="Arial" w:eastAsia="Arial" w:hAnsi="Arial"/>
          <w:vertAlign w:val="subscript"/>
          <w:rtl w:val="0"/>
        </w:rPr>
        <w:t xml:space="preserve">1</w:t>
      </w:r>
      <w:r w:rsidDel="00000000" w:rsidR="00000000" w:rsidRPr="00000000">
        <w:rPr>
          <w:rFonts w:ascii="Arial" w:cs="Arial" w:eastAsia="Arial" w:hAnsi="Arial"/>
          <w:rtl w:val="0"/>
        </w:rPr>
        <w:t xml:space="preserve"> hybrids</w:t>
      </w: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 were </w:t>
      </w:r>
      <w:r w:rsidDel="00000000" w:rsidR="00000000" w:rsidRPr="00000000">
        <w:rPr>
          <w:rFonts w:ascii="Arial" w:cs="Arial" w:eastAsia="Arial" w:hAnsi="Arial"/>
          <w:rtl w:val="0"/>
        </w:rPr>
        <w:t xml:space="preserve">tested</w:t>
      </w: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 </w:t>
      </w:r>
      <w:r w:rsidDel="00000000" w:rsidR="00000000" w:rsidRPr="00000000">
        <w:rPr>
          <w:rFonts w:ascii="Arial" w:cs="Arial" w:eastAsia="Arial" w:hAnsi="Arial"/>
          <w:rtl w:val="0"/>
        </w:rPr>
        <w:t xml:space="preserve">for four</w:t>
      </w: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 different </w:t>
      </w:r>
      <w:r w:rsidDel="00000000" w:rsidR="00000000" w:rsidRPr="00000000">
        <w:rPr>
          <w:rFonts w:ascii="Arial" w:cs="Arial" w:eastAsia="Arial" w:hAnsi="Arial"/>
          <w:rtl w:val="0"/>
        </w:rPr>
        <w:t xml:space="preserve">nutritional and stress-related traits</w:t>
      </w: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 including total sugar, proline, lipid peroxidation, and protein. The experimental findings are depicted in table 3. The findings were Similar to previous </w:t>
      </w:r>
      <w:r w:rsidDel="00000000" w:rsidR="00000000" w:rsidRPr="00000000">
        <w:rPr>
          <w:rFonts w:ascii="Arial" w:cs="Arial" w:eastAsia="Arial" w:hAnsi="Arial"/>
          <w:rtl w:val="0"/>
        </w:rPr>
        <w:t xml:space="preserve">experiments</w:t>
      </w: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 conducted by </w:t>
      </w:r>
      <w:r w:rsidDel="00000000" w:rsidR="00000000" w:rsidRPr="00000000">
        <w:rPr>
          <w:rFonts w:ascii="Arial" w:cs="Arial" w:eastAsia="Arial" w:hAnsi="Arial"/>
          <w:rtl w:val="0"/>
        </w:rPr>
        <w:t xml:space="preserve">Ingale &amp; Shrivastava (2011)</w:t>
      </w: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 Muniappan et al. (2016)</w:t>
      </w:r>
      <w:r w:rsidDel="00000000" w:rsidR="00000000" w:rsidRPr="00000000">
        <w:rPr>
          <w:rFonts w:ascii="Arial" w:cs="Arial" w:eastAsia="Arial" w:hAnsi="Arial"/>
          <w:rtl w:val="0"/>
        </w:rPr>
        <w:t xml:space="preserve">,</w:t>
      </w: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 Shinde et al. (2018)</w:t>
      </w:r>
      <w:r w:rsidDel="00000000" w:rsidR="00000000" w:rsidRPr="00000000">
        <w:rPr>
          <w:rFonts w:ascii="Arial" w:cs="Arial" w:eastAsia="Arial" w:hAnsi="Arial"/>
          <w:rtl w:val="0"/>
        </w:rPr>
        <w:t xml:space="preserve">, Sharma et al. (2023), Solanki et al. (2024) and Bakayoko </w:t>
      </w:r>
      <w:r w:rsidDel="00000000" w:rsidR="00000000" w:rsidRPr="00000000">
        <w:rPr>
          <w:rFonts w:ascii="Arial" w:cs="Arial" w:eastAsia="Arial" w:hAnsi="Arial"/>
          <w:rtl w:val="0"/>
        </w:rPr>
        <w:t xml:space="preserve">et al.</w:t>
      </w:r>
      <w:r w:rsidDel="00000000" w:rsidR="00000000" w:rsidRPr="00000000">
        <w:rPr>
          <w:rFonts w:ascii="Arial" w:cs="Arial" w:eastAsia="Arial" w:hAnsi="Arial"/>
          <w:rtl w:val="0"/>
        </w:rPr>
        <w:t xml:space="preserve"> (2025).</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1"/>
          <w:bCs w:val="1"/>
          <w:i w:val="0"/>
          <w:iCs w:val="0"/>
          <w:smallCaps w:val="1"/>
          <w:strike w:val="0"/>
          <w:sz w:val="22"/>
          <w:szCs w:val="22"/>
          <w:u w:val="none"/>
          <w:shd w:fill="auto" w:val="clear"/>
          <w:vertAlign w:val="baseline"/>
        </w:rPr>
      </w:pPr>
      <w:bookmarkStart w:colFirst="0" w:colLast="0" w:name="_heading=h.1yuootz56e26" w:id="2"/>
      <w:bookmarkEnd w:id="2"/>
      <w:r w:rsidDel="00000000" w:rsidR="00000000" w:rsidRPr="00000000">
        <w:rPr>
          <w:rFonts w:ascii="Arial" w:cs="Arial" w:eastAsia="Arial" w:hAnsi="Arial"/>
          <w:b w:val="1"/>
          <w:bCs w:val="1"/>
          <w:i w:val="0"/>
          <w:iCs w:val="0"/>
          <w:smallCaps w:val="1"/>
          <w:strike w:val="0"/>
          <w:sz w:val="22"/>
          <w:szCs w:val="22"/>
          <w:u w:val="none"/>
          <w:shd w:fill="auto" w:val="clear"/>
          <w:vertAlign w:val="baseline"/>
          <w:rtl w:val="0"/>
        </w:rPr>
        <w:t xml:space="preserve">3.1 TOTAL SUGAR </w:t>
      </w:r>
    </w:p>
    <w:p w:rsidR="00000000" w:rsidDel="00000000" w:rsidP="00000000" w:rsidRDefault="00000000" w:rsidRPr="00000000" w14:paraId="0000008F">
      <w:pPr>
        <w:spacing w:before="240" w:lineRule="auto"/>
        <w:jc w:val="both"/>
        <w:rPr>
          <w:rFonts w:ascii="Arial" w:cs="Arial" w:eastAsia="Arial" w:hAnsi="Arial"/>
        </w:rPr>
      </w:pPr>
      <w:r w:rsidDel="00000000" w:rsidR="00000000" w:rsidRPr="00000000">
        <w:rPr>
          <w:rFonts w:ascii="Arial" w:cs="Arial" w:eastAsia="Arial" w:hAnsi="Arial"/>
          <w:rtl w:val="0"/>
        </w:rPr>
        <w:t xml:space="preserve">Considerable variation was recorded among the genotypes and hybrids for total sugar content (Table 3). The values ranged from 10.10 mg/g (Gangapuri) to 19.90 mg/g (TG-87 × KDG-128), with a mean of 12.27 mg/g. The range obtained was comparable to the values reported earlier by Sharma, et al. (2023) and Bakayoko,</w:t>
      </w:r>
      <w:r w:rsidDel="00000000" w:rsidR="00000000" w:rsidRPr="00000000">
        <w:rPr>
          <w:rFonts w:ascii="Arial" w:cs="Arial" w:eastAsia="Arial" w:hAnsi="Arial"/>
          <w:rtl w:val="0"/>
        </w:rPr>
        <w:t xml:space="preserve"> et al. </w:t>
      </w:r>
      <w:r w:rsidDel="00000000" w:rsidR="00000000" w:rsidRPr="00000000">
        <w:rPr>
          <w:rFonts w:ascii="Arial" w:cs="Arial" w:eastAsia="Arial" w:hAnsi="Arial"/>
          <w:rtl w:val="0"/>
        </w:rPr>
        <w:t xml:space="preserve">(2025). Among the parental lines, KDG-128 (13.40 mg/g) and TG-37A (12.10 mg/g) exhibited comparatively higher total sugar content, whereas Gangapuri (10.10 mg/g) recorded the lowest.</w:t>
      </w:r>
    </w:p>
    <w:p w:rsidR="00000000" w:rsidDel="00000000" w:rsidP="00000000" w:rsidRDefault="00000000" w:rsidRPr="00000000" w14:paraId="00000090">
      <w:pPr>
        <w:spacing w:before="240" w:lineRule="auto"/>
        <w:jc w:val="both"/>
        <w:rPr>
          <w:rFonts w:ascii="Arial" w:cs="Arial" w:eastAsia="Arial" w:hAnsi="Arial"/>
        </w:rPr>
      </w:pPr>
      <w:r w:rsidDel="00000000" w:rsidR="00000000" w:rsidRPr="00000000">
        <w:rPr>
          <w:rFonts w:ascii="Arial" w:cs="Arial" w:eastAsia="Arial" w:hAnsi="Arial"/>
          <w:rtl w:val="0"/>
        </w:rPr>
        <w:t xml:space="preserve">Among hybrids, TG-87 × KDG-128 (19.90 mg/g) showed the highest total sugar, followed by Gangapuri × KDG-128 (16.70 mg/g), Gangapuri × GPBD-4 (16.50 mg/g), and Gangapuri × SunOleic-95R (16.20 mg/g). The lowest sugar content among hybrids was observed in TG-86 × SunOleic-95R (10.40 mg/g).</w:t>
      </w:r>
    </w:p>
    <w:p w:rsidR="00000000" w:rsidDel="00000000" w:rsidP="00000000" w:rsidRDefault="00000000" w:rsidRPr="00000000" w14:paraId="00000091">
      <w:pPr>
        <w:spacing w:before="240" w:lineRule="auto"/>
        <w:jc w:val="both"/>
        <w:rPr>
          <w:rFonts w:ascii="Arial" w:cs="Arial" w:eastAsia="Arial" w:hAnsi="Arial"/>
          <w:i w:val="0"/>
          <w:iCs w:val="0"/>
          <w:smallCaps w:val="0"/>
          <w:strike w:val="0"/>
          <w:sz w:val="20"/>
          <w:szCs w:val="20"/>
          <w:u w:val="none"/>
          <w:shd w:fill="auto" w:val="clear"/>
          <w:vertAlign w:val="baseline"/>
        </w:rPr>
      </w:pPr>
      <w:r w:rsidDel="00000000" w:rsidR="00000000" w:rsidRPr="00000000">
        <w:rPr>
          <w:rFonts w:ascii="Arial" w:cs="Arial" w:eastAsia="Arial" w:hAnsi="Arial"/>
          <w:rtl w:val="0"/>
        </w:rPr>
        <w:t xml:space="preserve">The C.V. (18.70%) indicated moderate variability among genotypes, while the S.E. (0.38) and CD₀.₀₅ (1.07) revealed that the differences among genotypes were statistically significant. The cross TG-87 × KDG-128 exhibited outstanding performance for total sugar content, suggesting its suitability for selection in breeding programs aimed at improving sweetness and carbohydrate metabolism efficiency in groundnut (</w:t>
      </w: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Sharma et al.</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2023).</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3">
      <w:pPr>
        <w:jc w:val="both"/>
        <w:rPr>
          <w:rFonts w:ascii="Arial" w:cs="Arial" w:eastAsia="Arial" w:hAnsi="Arial"/>
          <w:sz w:val="22"/>
          <w:szCs w:val="22"/>
        </w:rPr>
      </w:pPr>
      <w:r w:rsidDel="00000000" w:rsidR="00000000" w:rsidRPr="00000000">
        <w:rPr>
          <w:rFonts w:ascii="Arial" w:cs="Arial" w:eastAsia="Arial" w:hAnsi="Arial"/>
          <w:b w:val="1"/>
          <w:bCs w:val="1"/>
          <w:smallCaps w:val="1"/>
          <w:sz w:val="22"/>
          <w:szCs w:val="22"/>
          <w:rtl w:val="0"/>
        </w:rPr>
        <w:t xml:space="preserve">3.2 PROTEIN </w:t>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In the case</w:t>
      </w:r>
      <w:r w:rsidDel="00000000" w:rsidR="00000000" w:rsidRPr="00000000">
        <w:rPr>
          <w:rFonts w:ascii="Arial" w:cs="Arial" w:eastAsia="Arial" w:hAnsi="Arial"/>
          <w:i w:val="0"/>
          <w:iCs w:val="0"/>
          <w:smallCaps w:val="0"/>
          <w:strike w:val="0"/>
          <w:u w:val="none"/>
          <w:shd w:fill="auto" w:val="clear"/>
          <w:vertAlign w:val="baseline"/>
          <w:rtl w:val="0"/>
        </w:rPr>
        <w:t xml:space="preserve"> of protein, significant variation was </w:t>
      </w:r>
      <w:r w:rsidDel="00000000" w:rsidR="00000000" w:rsidRPr="00000000">
        <w:rPr>
          <w:rFonts w:ascii="Arial" w:cs="Arial" w:eastAsia="Arial" w:hAnsi="Arial"/>
          <w:rtl w:val="0"/>
        </w:rPr>
        <w:t xml:space="preserve">observed</w:t>
      </w:r>
      <w:r w:rsidDel="00000000" w:rsidR="00000000" w:rsidRPr="00000000">
        <w:rPr>
          <w:rFonts w:ascii="Arial" w:cs="Arial" w:eastAsia="Arial" w:hAnsi="Arial"/>
          <w:i w:val="0"/>
          <w:iCs w:val="0"/>
          <w:smallCaps w:val="0"/>
          <w:strike w:val="0"/>
          <w:u w:val="none"/>
          <w:shd w:fill="auto" w:val="clear"/>
          <w:vertAlign w:val="baseline"/>
          <w:rtl w:val="0"/>
        </w:rPr>
        <w:t xml:space="preserve"> </w:t>
      </w:r>
      <w:r w:rsidDel="00000000" w:rsidR="00000000" w:rsidRPr="00000000">
        <w:rPr>
          <w:rFonts w:ascii="Arial" w:cs="Arial" w:eastAsia="Arial" w:hAnsi="Arial"/>
          <w:rtl w:val="0"/>
        </w:rPr>
        <w:t xml:space="preserve">among</w:t>
      </w:r>
      <w:r w:rsidDel="00000000" w:rsidR="00000000" w:rsidRPr="00000000">
        <w:rPr>
          <w:rFonts w:ascii="Arial" w:cs="Arial" w:eastAsia="Arial" w:hAnsi="Arial"/>
          <w:i w:val="0"/>
          <w:iCs w:val="0"/>
          <w:smallCaps w:val="0"/>
          <w:strike w:val="0"/>
          <w:u w:val="none"/>
          <w:shd w:fill="auto" w:val="clear"/>
          <w:vertAlign w:val="baseline"/>
          <w:rtl w:val="0"/>
        </w:rPr>
        <w:t xml:space="preserve"> the genotypes </w:t>
      </w:r>
      <w:r w:rsidDel="00000000" w:rsidR="00000000" w:rsidRPr="00000000">
        <w:rPr>
          <w:rFonts w:ascii="Arial" w:cs="Arial" w:eastAsia="Arial" w:hAnsi="Arial"/>
          <w:rtl w:val="0"/>
        </w:rPr>
        <w:t xml:space="preserve">and their crosses (Table 3). The protein concentration ranged from 19.50 mg/g (Nithya haritha x SunOleic-95R) to 26.90 mg/g (Malika x GPBD-4), with a mean of 22.99 mg/g. Among the parents KDG-128 (25.30 mg/g) and TG-86 (24.50 mg/g) exhibited higher values, while the lowest was that of TG-87 (21.11 mg/g). The results are comparable to the ranges reported by </w:t>
      </w:r>
      <w:r w:rsidDel="00000000" w:rsidR="00000000" w:rsidRPr="00000000">
        <w:rPr>
          <w:rFonts w:ascii="Arial" w:cs="Arial" w:eastAsia="Arial" w:hAnsi="Arial"/>
          <w:rtl w:val="0"/>
        </w:rPr>
        <w:t xml:space="preserve">Sharma et al. (2023) and Shinde et al. (2018). Also, similar patterns of genotypic variation in protein accumulation were also reported by Ingale &amp; Shrivastava (2011) and Bakayoko et al. (2025).</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A</w:t>
      </w:r>
      <w:r w:rsidDel="00000000" w:rsidR="00000000" w:rsidRPr="00000000">
        <w:rPr>
          <w:rFonts w:ascii="Arial" w:cs="Arial" w:eastAsia="Arial" w:hAnsi="Arial"/>
          <w:rtl w:val="0"/>
        </w:rPr>
        <w:t xml:space="preserve">mong the hybrids, Mallika × GPBD-4 (26.90 mg/g) recorded the highest protein content, followed by TG-88 × TG-37A (26.10 mg/g) and Mallika × SunOleic-95R (25.40 mg/g), indicating superior performance of these combinations over their respective parents. The lowest protein value among hybrids was observed in Nithya Haritha × SunOleic-95R (19.50 mg/g).</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The coefficient of variation (C.V.) for protein content was 7.68 %, suggesting a moderate degree of variability among genotypes. The standard error (S.E.) and critical difference (CD₀.₀₅) were 0.29 and 0.82, respectively, indicating that the differences among genotypes for protein content were statistically significant at the 5 % level.</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Overall, genotypes such as KDG-128 and crosses involving Mallika and TG-88 as parents were superior for protein accumulation, suggesting their potential utility in breeding programs aimed at improving seed protein content in groundnut.</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1"/>
          <w:bCs w:val="1"/>
          <w:i w:val="0"/>
          <w:iCs w:val="0"/>
          <w:smallCaps w:val="1"/>
          <w:strike w:val="0"/>
          <w:sz w:val="22"/>
          <w:szCs w:val="22"/>
          <w:u w:val="none"/>
          <w:shd w:fill="auto" w:val="clear"/>
          <w:vertAlign w:val="baseline"/>
        </w:rPr>
      </w:pPr>
      <w:r w:rsidDel="00000000" w:rsidR="00000000" w:rsidRPr="00000000">
        <w:rPr>
          <w:rFonts w:ascii="Arial" w:cs="Arial" w:eastAsia="Arial" w:hAnsi="Arial"/>
          <w:b w:val="1"/>
          <w:bCs w:val="1"/>
          <w:i w:val="0"/>
          <w:iCs w:val="0"/>
          <w:smallCaps w:val="1"/>
          <w:strike w:val="0"/>
          <w:sz w:val="22"/>
          <w:szCs w:val="22"/>
          <w:u w:val="none"/>
          <w:shd w:fill="auto" w:val="clear"/>
          <w:vertAlign w:val="baseline"/>
          <w:rtl w:val="0"/>
        </w:rPr>
        <w:t xml:space="preserve">3.3 PROLINE </w:t>
      </w:r>
    </w:p>
    <w:p w:rsidR="00000000" w:rsidDel="00000000" w:rsidP="00000000" w:rsidRDefault="00000000" w:rsidRPr="00000000" w14:paraId="0000009E">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Proline content varied significantly among the genotypes and hybrids (Table 3). The values ranged from 13.40 µmoles/g (SunOleic-95R) to 16.43 µmoles/g (TG-88 × TG-37A), with a mean of 14.83 µmoles/g. Among parental lines, GPBD-4 (15.80 µmoles/g) and Gangapuri (15.00 µmoles/g) showed higher proline accumulation, whereas SunOleic-95R (13.40 µmoles/g) had the lowest.</w:t>
      </w:r>
    </w:p>
    <w:p w:rsidR="00000000" w:rsidDel="00000000" w:rsidP="00000000" w:rsidRDefault="00000000" w:rsidRPr="00000000" w14:paraId="0000009F">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Among the hybrids, TG-88 × TG-37A (16.43 µmoles/g) exhibited the highest proline content, followed by Mallika × GPBD-4 (16.04 µmoles/g) and TG-86 × GPBD-4 (16.13 µmoles/g), indicating their enhanced tolerance potential under stress conditions. The lowest proline content was observed in Nithya Haritha × GPBD-4 (13.45 µmoles/g).</w:t>
      </w:r>
    </w:p>
    <w:p w:rsidR="00000000" w:rsidDel="00000000" w:rsidP="00000000" w:rsidRDefault="00000000" w:rsidRPr="00000000" w14:paraId="000000A0">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The C.V. (6.30%), S.E. (0.16), and CD₀.₀₅ (0.45) indicated significant differences among genotypes. The higher accumulation of proline in hybrids involving TG-88, TG-86, and Mallika suggested their superior physiological adaptability and potential for drought tolerance improvement in groundnut breeding programs.</w:t>
      </w:r>
    </w:p>
    <w:p w:rsidR="00000000" w:rsidDel="00000000" w:rsidP="00000000" w:rsidRDefault="00000000" w:rsidRPr="00000000" w14:paraId="000000A1">
      <w:pPr>
        <w:spacing w:after="240" w:before="240" w:lineRule="auto"/>
        <w:jc w:val="both"/>
        <w:rPr>
          <w:rFonts w:ascii="Arial" w:cs="Arial" w:eastAsia="Arial" w:hAnsi="Arial"/>
          <w:i w:val="0"/>
          <w:iCs w:val="0"/>
          <w:smallCaps w:val="0"/>
          <w:strike w:val="0"/>
          <w:u w:val="none"/>
          <w:shd w:fill="auto" w:val="clear"/>
          <w:vertAlign w:val="baseline"/>
        </w:rPr>
      </w:pPr>
      <w:r w:rsidDel="00000000" w:rsidR="00000000" w:rsidRPr="00000000">
        <w:rPr>
          <w:rFonts w:ascii="Arial" w:cs="Arial" w:eastAsia="Arial" w:hAnsi="Arial"/>
          <w:i w:val="0"/>
          <w:iCs w:val="0"/>
          <w:smallCaps w:val="0"/>
          <w:strike w:val="0"/>
          <w:u w:val="none"/>
          <w:shd w:fill="auto" w:val="clear"/>
          <w:vertAlign w:val="baseline"/>
          <w:rtl w:val="0"/>
        </w:rPr>
        <w:t xml:space="preserve">Higher proline content reflects better osmotic adjustment under stress conditions, as proline acts as an Osmo protectant and stabilizes proteins and membranes. Genotypes with elevated proline may therefore exhibit greater resilience to drought and oxidative stress, as previously reported by Shinde et al. (2017). Drought and water deficit conditions have been shown to increase proline and other protective metabolites in groundnut kernels, reflecting metabolic adjustments to stress (Solanki et al., 2024). Such findings align with our results on proline accumulation among genotypes, suggesting that biochemical responses are influenced both by genotype and environmental conditions.</w:t>
      </w:r>
      <w:r w:rsidDel="00000000" w:rsidR="00000000" w:rsidRPr="00000000">
        <w:rPr>
          <w:rFonts w:ascii="Arial" w:cs="Arial" w:eastAsia="Arial" w:hAnsi="Arial"/>
          <w:i w:val="0"/>
          <w:iCs w:val="0"/>
          <w:smallCaps w:val="0"/>
          <w:strike w:val="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1"/>
          <w:strike w:val="0"/>
          <w:sz w:val="22"/>
          <w:szCs w:val="22"/>
          <w:u w:val="none"/>
          <w:shd w:fill="auto" w:val="clear"/>
          <w:vertAlign w:val="baseline"/>
        </w:rPr>
      </w:pPr>
      <w:r w:rsidDel="00000000" w:rsidR="00000000" w:rsidRPr="00000000">
        <w:rPr>
          <w:rFonts w:ascii="Arial" w:cs="Arial" w:eastAsia="Arial" w:hAnsi="Arial"/>
          <w:b w:val="1"/>
          <w:bCs w:val="1"/>
          <w:i w:val="0"/>
          <w:iCs w:val="0"/>
          <w:smallCaps w:val="1"/>
          <w:strike w:val="0"/>
          <w:sz w:val="22"/>
          <w:szCs w:val="22"/>
          <w:u w:val="none"/>
          <w:shd w:fill="auto" w:val="clear"/>
          <w:vertAlign w:val="baseline"/>
          <w:rtl w:val="0"/>
        </w:rPr>
        <w:t xml:space="preserve">3.4 LIPID PEROXIDATION</w:t>
      </w:r>
    </w:p>
    <w:p w:rsidR="00000000" w:rsidDel="00000000" w:rsidP="00000000" w:rsidRDefault="00000000" w:rsidRPr="00000000" w14:paraId="000000A4">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Lipid peroxidation, measured in terms of malondialdehyde (MDA) content, varied significantly among the genotypes and hybrids (Table 3). The values ranged from 0.20 µmoles/g (Nithya Haritha) to 0.48 µmoles/g (Nithya Haritha × SunOleic-95R), with a mean of 0.36 µmoles/g. Among the parental lines, TG-37A (0.47 µmoles/g) recorded the highest lipid peroxidation, while Nithya Haritha (0.20 µmoles/g) exhibited the lowest.</w:t>
      </w:r>
    </w:p>
    <w:p w:rsidR="00000000" w:rsidDel="00000000" w:rsidP="00000000" w:rsidRDefault="00000000" w:rsidRPr="00000000" w14:paraId="000000A5">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Among hybrids, Nithya Haritha × SunOleic-95R (0.48 µmoles/g) showed the highest lipid peroxidation, followed by TG-88 × TG-37A (0.46 µmoles/g) and Mallika × KDG-128 (0.45 µmoles/g). The lowest value was found in TG-87 × TG-37A (0.21 µmoles/g).</w:t>
      </w:r>
    </w:p>
    <w:p w:rsidR="00000000" w:rsidDel="00000000" w:rsidP="00000000" w:rsidRDefault="00000000" w:rsidRPr="00000000" w14:paraId="000000A6">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The C.V. (21.93%) indicated a relatively high variability among genotypes. The S.E. (0.01) and CD₀.₀₅ (0.03) confirmed statistically significant differences. Genotypes and hybrids with lower lipid peroxidation, such as Nithya Haritha, TG-87 × TG-37A, and Mallika × TG-37A, can be considered more stable under oxidative stress, implying their potential for use in developing stress-resilient groundnut cultivars.</w:t>
      </w:r>
    </w:p>
    <w:p w:rsidR="00000000" w:rsidDel="00000000" w:rsidP="00000000" w:rsidRDefault="00000000" w:rsidRPr="00000000" w14:paraId="000000A7">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Comparable findings were reported by Shinde et al. (2017), who noted a significant increase in MDA content in groundnut under drought stress, indicating enhanced membrane lipid peroxidation due to oxidative damage. Likewise, Bakhoum et al. (2023) recorded MDA levels ranging from 0.22 to 0.49 µmol/g fresh weight among drought-stressed groundnut cultivars, values closely corresponding to the range (0.20–0.48 µmol/g) obtained in the present study. These authors attributed genotypic differences in MDA accumulation to varying antioxidant defense efficiencies. Furthermore, Solanki et al. (2024) reported that genotypes with lower MDA levels exhibited superior oxidative stability and stress tolerance owing to higher activities of antioxidant enzymes. The congruence of these findings with the present results reinforces that MDA content is a reliable biochemical indicator of oxidative stress, and genotypes showing reduced lipid peroxidation can be considered more resilient under stress-prone environments.</w:t>
      </w:r>
    </w:p>
    <w:p w:rsidR="00000000" w:rsidDel="00000000" w:rsidP="00000000" w:rsidRDefault="00000000" w:rsidRPr="00000000" w14:paraId="000000A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1"/>
          <w:strike w:val="0"/>
          <w:sz w:val="22"/>
          <w:szCs w:val="22"/>
          <w:u w:val="none"/>
          <w:shd w:fill="auto" w:val="clear"/>
          <w:vertAlign w:val="baseline"/>
        </w:rPr>
      </w:pPr>
      <w:r w:rsidDel="00000000" w:rsidR="00000000" w:rsidRPr="00000000">
        <w:rPr>
          <w:rFonts w:ascii="Arial" w:cs="Arial" w:eastAsia="Arial" w:hAnsi="Arial"/>
          <w:b w:val="1"/>
          <w:bCs w:val="1"/>
          <w:i w:val="0"/>
          <w:iCs w:val="0"/>
          <w:smallCaps w:val="1"/>
          <w:strike w:val="0"/>
          <w:sz w:val="22"/>
          <w:szCs w:val="22"/>
          <w:u w:val="none"/>
          <w:shd w:fill="auto" w:val="clear"/>
          <w:vertAlign w:val="baseline"/>
          <w:rtl w:val="0"/>
        </w:rPr>
        <w:t xml:space="preserve">4. Conclusion</w:t>
      </w:r>
    </w:p>
    <w:p w:rsidR="00000000" w:rsidDel="00000000" w:rsidP="00000000" w:rsidRDefault="00000000" w:rsidRPr="00000000" w14:paraId="000000A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1"/>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A">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Biochemical characteristics like total sugar, protein, proline, and lipid peroxidation showed significant variance among the groundnut genotypes, suggesting a high degree of genetic diversity. In terms of total sugar and protein content, genotypes TG-87 × KDG-128 and Mallika × GPBD-4 demonstrated higher nutritional quality, whereas TG-88 × TG-37A demonstrated the highest proline accumulation, indicating improved osmotic adjustment and possible stress tolerance. Conversely, genotypes like TG-87 × TG-37A and Nithya Haritha showed reduced lipid peroxidation, indicating higher tolerance to oxidative stress and membrane stability.</w:t>
      </w:r>
    </w:p>
    <w:p w:rsidR="00000000" w:rsidDel="00000000" w:rsidP="00000000" w:rsidRDefault="00000000" w:rsidRPr="00000000" w14:paraId="000000AB">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Overall, intriguing genetic variability that may be successfully applied in groundnut improvement programs was found by the integration of nutritional and stress-related biochemical indicators. These findings emphasize the potential of combining high nutritional value with enhanced physiological resilience, thereby contributing to the development of climate-resilient and nutritionally enriched groundnut cultivars.</w:t>
      </w:r>
    </w:p>
    <w:p w:rsidR="00000000" w:rsidDel="00000000" w:rsidP="00000000" w:rsidRDefault="00000000" w:rsidRPr="00000000" w14:paraId="000000AC">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b w:val="1"/>
          <w:bCs w:val="1"/>
          <w:i w:val="0"/>
          <w:iCs w:val="0"/>
          <w:smallCaps w:val="0"/>
          <w:strike w:val="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sz w:val="16"/>
          <w:szCs w:val="16"/>
          <w:u w:val="none"/>
          <w:shd w:fill="auto" w:val="clear"/>
          <w:vertAlign w:val="baseline"/>
          <w:rtl w:val="0"/>
        </w:rPr>
        <w:t xml:space="preserve">Table 3. Estimation of </w:t>
      </w:r>
      <w:r w:rsidDel="00000000" w:rsidR="00000000" w:rsidRPr="00000000">
        <w:rPr>
          <w:rFonts w:ascii="Arial" w:cs="Arial" w:eastAsia="Arial" w:hAnsi="Arial"/>
          <w:b w:val="1"/>
          <w:bCs w:val="1"/>
          <w:sz w:val="16"/>
          <w:szCs w:val="16"/>
          <w:rtl w:val="0"/>
        </w:rPr>
        <w:t xml:space="preserve">nutritional and stress-related traits.</w:t>
      </w:r>
      <w:r w:rsidDel="00000000" w:rsidR="00000000" w:rsidRPr="00000000">
        <w:rPr>
          <w:rtl w:val="0"/>
        </w:rPr>
      </w:r>
    </w:p>
    <w:p w:rsidR="00000000" w:rsidDel="00000000" w:rsidP="00000000" w:rsidRDefault="00000000" w:rsidRPr="00000000" w14:paraId="000000A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1"/>
          <w:strike w:val="0"/>
          <w:sz w:val="22"/>
          <w:szCs w:val="22"/>
          <w:u w:val="none"/>
          <w:shd w:fill="auto" w:val="clear"/>
          <w:vertAlign w:val="baseline"/>
        </w:rPr>
      </w:pPr>
      <w:r w:rsidDel="00000000" w:rsidR="00000000" w:rsidRPr="00000000">
        <w:rPr>
          <w:rtl w:val="0"/>
        </w:rPr>
      </w:r>
    </w:p>
    <w:tbl>
      <w:tblPr>
        <w:tblStyle w:val="Table4"/>
        <w:tblpPr w:leftFromText="180" w:rightFromText="180" w:topFromText="0" w:bottomFromText="0" w:vertAnchor="text" w:horzAnchor="text" w:tblpX="0" w:tblpY="0"/>
        <w:tblW w:w="7645.0" w:type="dxa"/>
        <w:jc w:val="left"/>
        <w:tblLayout w:type="fixed"/>
        <w:tblLook w:val="0000"/>
      </w:tblPr>
      <w:tblGrid>
        <w:gridCol w:w="2519"/>
        <w:gridCol w:w="1079"/>
        <w:gridCol w:w="1258"/>
        <w:gridCol w:w="1148"/>
        <w:gridCol w:w="1641"/>
        <w:tblGridChange w:id="0">
          <w:tblGrid>
            <w:gridCol w:w="2519"/>
            <w:gridCol w:w="1079"/>
            <w:gridCol w:w="1258"/>
            <w:gridCol w:w="1148"/>
            <w:gridCol w:w="1641"/>
          </w:tblGrid>
        </w:tblGridChange>
      </w:tblGrid>
      <w:tr>
        <w:trPr>
          <w:cantSplit w:val="0"/>
          <w:trHeight w:val="606" w:hRule="atLeast"/>
          <w:tblHeader w:val="0"/>
        </w:trPr>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b w:val="1"/>
                <w:bCs w:val="1"/>
                <w:i w:val="0"/>
                <w:iCs w:val="0"/>
                <w:smallCaps w:val="0"/>
                <w:strike w:val="0"/>
                <w:sz w:val="16"/>
                <w:szCs w:val="16"/>
                <w:u w:val="none"/>
                <w:shd w:fill="auto" w:val="clear"/>
                <w:vertAlign w:val="baseline"/>
              </w:rPr>
            </w:pPr>
            <w:bookmarkStart w:colFirst="0" w:colLast="0" w:name="_heading=h.nf4zcfi3etzf" w:id="3"/>
            <w:bookmarkEnd w:id="3"/>
            <w:r w:rsidDel="00000000" w:rsidR="00000000" w:rsidRPr="00000000">
              <w:rPr>
                <w:rFonts w:ascii="Arial" w:cs="Arial" w:eastAsia="Arial" w:hAnsi="Arial"/>
                <w:b w:val="1"/>
                <w:bCs w:val="1"/>
                <w:i w:val="0"/>
                <w:iCs w:val="0"/>
                <w:smallCaps w:val="0"/>
                <w:strike w:val="0"/>
                <w:sz w:val="16"/>
                <w:szCs w:val="16"/>
                <w:u w:val="none"/>
                <w:shd w:fill="auto" w:val="clear"/>
                <w:vertAlign w:val="baseline"/>
                <w:rtl w:val="0"/>
              </w:rPr>
              <w:t xml:space="preserve">Genotypes</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b w:val="1"/>
                <w:bCs w:val="1"/>
                <w:i w:val="0"/>
                <w:iCs w:val="0"/>
                <w:smallCaps w:val="0"/>
                <w:strike w:val="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sz w:val="16"/>
                <w:szCs w:val="16"/>
                <w:u w:val="none"/>
                <w:shd w:fill="auto" w:val="clear"/>
                <w:vertAlign w:val="baseline"/>
                <w:rtl w:val="0"/>
              </w:rPr>
              <w:t xml:space="preserve">Total Sugar</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b w:val="1"/>
                <w:bCs w:val="1"/>
                <w:i w:val="0"/>
                <w:iCs w:val="0"/>
                <w:smallCaps w:val="0"/>
                <w:strike w:val="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sz w:val="16"/>
                <w:szCs w:val="16"/>
                <w:u w:val="none"/>
                <w:shd w:fill="auto" w:val="clear"/>
                <w:vertAlign w:val="baseline"/>
                <w:rtl w:val="0"/>
              </w:rPr>
              <w:t xml:space="preserve">(mg/g)</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b w:val="1"/>
                <w:bCs w:val="1"/>
                <w:i w:val="0"/>
                <w:iCs w:val="0"/>
                <w:smallCaps w:val="0"/>
                <w:strike w:val="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sz w:val="16"/>
                <w:szCs w:val="16"/>
                <w:u w:val="none"/>
                <w:shd w:fill="auto" w:val="clear"/>
                <w:vertAlign w:val="baseline"/>
                <w:rtl w:val="0"/>
              </w:rPr>
              <w:t xml:space="preserve">Protein </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b w:val="1"/>
                <w:bCs w:val="1"/>
                <w:i w:val="0"/>
                <w:iCs w:val="0"/>
                <w:smallCaps w:val="0"/>
                <w:strike w:val="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sz w:val="16"/>
                <w:szCs w:val="16"/>
                <w:u w:val="none"/>
                <w:shd w:fill="auto" w:val="clear"/>
                <w:vertAlign w:val="baseline"/>
                <w:rtl w:val="0"/>
              </w:rPr>
              <w:t xml:space="preserve">(mg/g)</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b w:val="1"/>
                <w:bCs w:val="1"/>
                <w:i w:val="0"/>
                <w:iCs w:val="0"/>
                <w:smallCaps w:val="0"/>
                <w:strike w:val="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sz w:val="16"/>
                <w:szCs w:val="16"/>
                <w:u w:val="none"/>
                <w:shd w:fill="auto" w:val="clear"/>
                <w:vertAlign w:val="baseline"/>
                <w:rtl w:val="0"/>
              </w:rPr>
              <w:t xml:space="preserve">Proline</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b w:val="1"/>
                <w:bCs w:val="1"/>
                <w:i w:val="0"/>
                <w:iCs w:val="0"/>
                <w:smallCaps w:val="0"/>
                <w:strike w:val="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sz w:val="16"/>
                <w:szCs w:val="16"/>
                <w:u w:val="none"/>
                <w:shd w:fill="auto" w:val="clear"/>
                <w:vertAlign w:val="baseline"/>
                <w:rtl w:val="0"/>
              </w:rPr>
              <w:t xml:space="preserve"> (µmoles/g)</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b w:val="1"/>
                <w:bCs w:val="1"/>
                <w:i w:val="0"/>
                <w:iCs w:val="0"/>
                <w:smallCaps w:val="0"/>
                <w:strike w:val="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sz w:val="16"/>
                <w:szCs w:val="16"/>
                <w:u w:val="none"/>
                <w:shd w:fill="auto" w:val="clear"/>
                <w:vertAlign w:val="baseline"/>
                <w:rtl w:val="0"/>
              </w:rPr>
              <w:t xml:space="preserve">Lipid peroxidation</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b w:val="1"/>
                <w:bCs w:val="1"/>
                <w:i w:val="0"/>
                <w:iCs w:val="0"/>
                <w:smallCaps w:val="0"/>
                <w:strike w:val="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sz w:val="16"/>
                <w:szCs w:val="16"/>
                <w:u w:val="none"/>
                <w:shd w:fill="auto" w:val="clear"/>
                <w:vertAlign w:val="baseline"/>
                <w:rtl w:val="0"/>
              </w:rPr>
              <w:t xml:space="preserve">(µmoles/g)</w:t>
            </w:r>
          </w:p>
        </w:tc>
      </w:tr>
      <w:tr>
        <w:trPr>
          <w:cantSplit w:val="0"/>
          <w:trHeight w:val="184" w:hRule="atLeast"/>
          <w:tblHeader w:val="0"/>
        </w:trPr>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b w:val="1"/>
                <w:bCs w:val="1"/>
                <w:i w:val="0"/>
                <w:iCs w:val="0"/>
                <w:smallCaps w:val="0"/>
                <w:strike w:val="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sz w:val="16"/>
                <w:szCs w:val="16"/>
                <w:u w:val="none"/>
                <w:shd w:fill="auto" w:val="clear"/>
                <w:vertAlign w:val="baseline"/>
                <w:rtl w:val="0"/>
              </w:rPr>
              <w:t xml:space="preserve">TG-37A</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12.10</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23.30</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14.20</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0.47</w:t>
            </w:r>
          </w:p>
        </w:tc>
      </w:tr>
      <w:tr>
        <w:trPr>
          <w:cantSplit w:val="0"/>
          <w:trHeight w:val="184" w:hRule="atLeast"/>
          <w:tblHeader w:val="0"/>
        </w:trPr>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b w:val="1"/>
                <w:bCs w:val="1"/>
                <w:i w:val="0"/>
                <w:iCs w:val="0"/>
                <w:smallCaps w:val="0"/>
                <w:strike w:val="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sz w:val="16"/>
                <w:szCs w:val="16"/>
                <w:u w:val="none"/>
                <w:shd w:fill="auto" w:val="clear"/>
                <w:vertAlign w:val="baseline"/>
                <w:rtl w:val="0"/>
              </w:rPr>
              <w:t xml:space="preserve">SunOleic-95R</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10.80</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22.50</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b w:val="1"/>
                <w:bCs w:val="1"/>
                <w:i w:val="0"/>
                <w:iCs w:val="0"/>
                <w:smallCaps w:val="0"/>
                <w:strike w:val="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sz w:val="16"/>
                <w:szCs w:val="16"/>
                <w:u w:val="none"/>
                <w:shd w:fill="auto" w:val="clear"/>
                <w:vertAlign w:val="baseline"/>
                <w:rtl w:val="0"/>
              </w:rPr>
              <w:t xml:space="preserve">13.40</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0.40</w:t>
            </w:r>
          </w:p>
        </w:tc>
      </w:tr>
      <w:tr>
        <w:trPr>
          <w:cantSplit w:val="0"/>
          <w:trHeight w:val="184" w:hRule="atLeast"/>
          <w:tblHeader w:val="0"/>
        </w:trPr>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b w:val="1"/>
                <w:bCs w:val="1"/>
                <w:i w:val="0"/>
                <w:iCs w:val="0"/>
                <w:smallCaps w:val="0"/>
                <w:strike w:val="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sz w:val="16"/>
                <w:szCs w:val="16"/>
                <w:u w:val="none"/>
                <w:shd w:fill="auto" w:val="clear"/>
                <w:vertAlign w:val="baseline"/>
                <w:rtl w:val="0"/>
              </w:rPr>
              <w:t xml:space="preserve">GPBD-4</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10.60</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22.60</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15.80</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0.38</w:t>
            </w:r>
          </w:p>
        </w:tc>
      </w:tr>
      <w:tr>
        <w:trPr>
          <w:cantSplit w:val="0"/>
          <w:trHeight w:val="184" w:hRule="atLeast"/>
          <w:tblHeader w:val="0"/>
        </w:trPr>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b w:val="1"/>
                <w:bCs w:val="1"/>
                <w:i w:val="0"/>
                <w:iCs w:val="0"/>
                <w:smallCaps w:val="0"/>
                <w:strike w:val="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sz w:val="16"/>
                <w:szCs w:val="16"/>
                <w:u w:val="none"/>
                <w:shd w:fill="auto" w:val="clear"/>
                <w:vertAlign w:val="baseline"/>
                <w:rtl w:val="0"/>
              </w:rPr>
              <w:t xml:space="preserve">KDG – 128</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13.40</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25.30</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14.12</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0.32</w:t>
            </w:r>
          </w:p>
        </w:tc>
      </w:tr>
      <w:tr>
        <w:trPr>
          <w:cantSplit w:val="0"/>
          <w:trHeight w:val="184" w:hRule="atLeast"/>
          <w:tblHeader w:val="0"/>
        </w:trPr>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b w:val="1"/>
                <w:bCs w:val="1"/>
                <w:i w:val="0"/>
                <w:iCs w:val="0"/>
                <w:smallCaps w:val="0"/>
                <w:strike w:val="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sz w:val="16"/>
                <w:szCs w:val="16"/>
                <w:u w:val="none"/>
                <w:shd w:fill="auto" w:val="clear"/>
                <w:vertAlign w:val="baseline"/>
                <w:rtl w:val="0"/>
              </w:rPr>
              <w:t xml:space="preserve">Nithya Haritha</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10.80</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23.00</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15.07</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b w:val="1"/>
                <w:bCs w:val="1"/>
                <w:i w:val="0"/>
                <w:iCs w:val="0"/>
                <w:smallCaps w:val="0"/>
                <w:strike w:val="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sz w:val="16"/>
                <w:szCs w:val="16"/>
                <w:u w:val="none"/>
                <w:shd w:fill="auto" w:val="clear"/>
                <w:vertAlign w:val="baseline"/>
                <w:rtl w:val="0"/>
              </w:rPr>
              <w:t xml:space="preserve">0.20</w:t>
            </w:r>
          </w:p>
        </w:tc>
      </w:tr>
      <w:tr>
        <w:trPr>
          <w:cantSplit w:val="0"/>
          <w:trHeight w:val="184" w:hRule="atLeast"/>
          <w:tblHeader w:val="0"/>
        </w:trPr>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b w:val="1"/>
                <w:bCs w:val="1"/>
                <w:i w:val="0"/>
                <w:iCs w:val="0"/>
                <w:smallCaps w:val="0"/>
                <w:strike w:val="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sz w:val="16"/>
                <w:szCs w:val="16"/>
                <w:u w:val="none"/>
                <w:shd w:fill="auto" w:val="clear"/>
                <w:vertAlign w:val="baseline"/>
                <w:rtl w:val="0"/>
              </w:rPr>
              <w:t xml:space="preserve">TG-86</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10.90</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24.50</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13.99</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0.28</w:t>
            </w:r>
          </w:p>
        </w:tc>
      </w:tr>
      <w:tr>
        <w:trPr>
          <w:cantSplit w:val="0"/>
          <w:trHeight w:val="184" w:hRule="atLeast"/>
          <w:tblHeader w:val="0"/>
        </w:trPr>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b w:val="1"/>
                <w:bCs w:val="1"/>
                <w:i w:val="0"/>
                <w:iCs w:val="0"/>
                <w:smallCaps w:val="0"/>
                <w:strike w:val="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sz w:val="16"/>
                <w:szCs w:val="16"/>
                <w:u w:val="none"/>
                <w:shd w:fill="auto" w:val="clear"/>
                <w:vertAlign w:val="baseline"/>
                <w:rtl w:val="0"/>
              </w:rPr>
              <w:t xml:space="preserve">TG-87</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10.30</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21.11</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14.80</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0.38</w:t>
            </w:r>
          </w:p>
        </w:tc>
      </w:tr>
      <w:tr>
        <w:trPr>
          <w:cantSplit w:val="0"/>
          <w:trHeight w:val="184" w:hRule="atLeast"/>
          <w:tblHeader w:val="0"/>
        </w:trPr>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b w:val="1"/>
                <w:bCs w:val="1"/>
                <w:i w:val="0"/>
                <w:iCs w:val="0"/>
                <w:smallCaps w:val="0"/>
                <w:strike w:val="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sz w:val="16"/>
                <w:szCs w:val="16"/>
                <w:u w:val="none"/>
                <w:shd w:fill="auto" w:val="clear"/>
                <w:vertAlign w:val="baseline"/>
                <w:rtl w:val="0"/>
              </w:rPr>
              <w:t xml:space="preserve">TG-88</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10.70</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22.80</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14.20</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0.25</w:t>
            </w:r>
          </w:p>
        </w:tc>
      </w:tr>
      <w:tr>
        <w:trPr>
          <w:cantSplit w:val="0"/>
          <w:trHeight w:val="184" w:hRule="atLeast"/>
          <w:tblHeader w:val="0"/>
        </w:trPr>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b w:val="1"/>
                <w:bCs w:val="1"/>
                <w:i w:val="0"/>
                <w:iCs w:val="0"/>
                <w:smallCaps w:val="0"/>
                <w:strike w:val="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sz w:val="16"/>
                <w:szCs w:val="16"/>
                <w:u w:val="none"/>
                <w:shd w:fill="auto" w:val="clear"/>
                <w:vertAlign w:val="baseline"/>
                <w:rtl w:val="0"/>
              </w:rPr>
              <w:t xml:space="preserve">Mallika</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11.90</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22.70</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13.77</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0.24</w:t>
            </w:r>
          </w:p>
        </w:tc>
      </w:tr>
      <w:tr>
        <w:trPr>
          <w:cantSplit w:val="0"/>
          <w:trHeight w:val="184" w:hRule="atLeast"/>
          <w:tblHeader w:val="0"/>
        </w:trPr>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b w:val="1"/>
                <w:bCs w:val="1"/>
                <w:i w:val="0"/>
                <w:iCs w:val="0"/>
                <w:smallCaps w:val="0"/>
                <w:strike w:val="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sz w:val="16"/>
                <w:szCs w:val="16"/>
                <w:u w:val="none"/>
                <w:shd w:fill="auto" w:val="clear"/>
                <w:vertAlign w:val="baseline"/>
                <w:rtl w:val="0"/>
              </w:rPr>
              <w:t xml:space="preserve">Gangapuri</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b w:val="1"/>
                <w:bCs w:val="1"/>
                <w:i w:val="0"/>
                <w:iCs w:val="0"/>
                <w:smallCaps w:val="0"/>
                <w:strike w:val="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sz w:val="16"/>
                <w:szCs w:val="16"/>
                <w:u w:val="none"/>
                <w:shd w:fill="auto" w:val="clear"/>
                <w:vertAlign w:val="baseline"/>
                <w:rtl w:val="0"/>
              </w:rPr>
              <w:t xml:space="preserve">10.10</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24.70</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15.00</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0.30</w:t>
            </w:r>
          </w:p>
        </w:tc>
      </w:tr>
      <w:tr>
        <w:trPr>
          <w:cantSplit w:val="0"/>
          <w:trHeight w:val="184" w:hRule="atLeast"/>
          <w:tblHeader w:val="0"/>
        </w:trPr>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b w:val="1"/>
                <w:bCs w:val="1"/>
                <w:i w:val="0"/>
                <w:iCs w:val="0"/>
                <w:smallCaps w:val="0"/>
                <w:strike w:val="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sz w:val="16"/>
                <w:szCs w:val="16"/>
                <w:u w:val="none"/>
                <w:shd w:fill="auto" w:val="clear"/>
                <w:vertAlign w:val="baseline"/>
                <w:rtl w:val="0"/>
              </w:rPr>
              <w:t xml:space="preserve">TG-87 x TG 37 A</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13.00</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24.30</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14.90</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0.21</w:t>
            </w:r>
          </w:p>
        </w:tc>
      </w:tr>
      <w:tr>
        <w:trPr>
          <w:cantSplit w:val="0"/>
          <w:trHeight w:val="184" w:hRule="atLeast"/>
          <w:tblHeader w:val="0"/>
        </w:trPr>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b w:val="1"/>
                <w:bCs w:val="1"/>
                <w:i w:val="0"/>
                <w:iCs w:val="0"/>
                <w:smallCaps w:val="0"/>
                <w:strike w:val="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sz w:val="16"/>
                <w:szCs w:val="16"/>
                <w:u w:val="none"/>
                <w:shd w:fill="auto" w:val="clear"/>
                <w:vertAlign w:val="baseline"/>
                <w:rtl w:val="0"/>
              </w:rPr>
              <w:t xml:space="preserve">TG-87 x SunOleic-95R</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12.70</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24.10</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13.53</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0.42</w:t>
            </w:r>
          </w:p>
        </w:tc>
      </w:tr>
      <w:tr>
        <w:trPr>
          <w:cantSplit w:val="0"/>
          <w:trHeight w:val="184" w:hRule="atLeast"/>
          <w:tblHeader w:val="0"/>
        </w:trPr>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b w:val="1"/>
                <w:bCs w:val="1"/>
                <w:i w:val="0"/>
                <w:iCs w:val="0"/>
                <w:smallCaps w:val="0"/>
                <w:strike w:val="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sz w:val="16"/>
                <w:szCs w:val="16"/>
                <w:u w:val="none"/>
                <w:shd w:fill="auto" w:val="clear"/>
                <w:vertAlign w:val="baseline"/>
                <w:rtl w:val="0"/>
              </w:rPr>
              <w:t xml:space="preserve">TG-87 x GPBD-4</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13.10</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22.00</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14.42</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0.40</w:t>
            </w:r>
          </w:p>
        </w:tc>
      </w:tr>
      <w:tr>
        <w:trPr>
          <w:cantSplit w:val="0"/>
          <w:trHeight w:val="184" w:hRule="atLeast"/>
          <w:tblHeader w:val="0"/>
        </w:trPr>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b w:val="1"/>
                <w:bCs w:val="1"/>
                <w:i w:val="0"/>
                <w:iCs w:val="0"/>
                <w:smallCaps w:val="0"/>
                <w:strike w:val="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sz w:val="16"/>
                <w:szCs w:val="16"/>
                <w:u w:val="none"/>
                <w:shd w:fill="auto" w:val="clear"/>
                <w:vertAlign w:val="baseline"/>
                <w:rtl w:val="0"/>
              </w:rPr>
              <w:t xml:space="preserve">TG-87 x KDG-128</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b w:val="1"/>
                <w:bCs w:val="1"/>
                <w:i w:val="0"/>
                <w:iCs w:val="0"/>
                <w:smallCaps w:val="0"/>
                <w:strike w:val="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sz w:val="16"/>
                <w:szCs w:val="16"/>
                <w:u w:val="none"/>
                <w:shd w:fill="auto" w:val="clear"/>
                <w:vertAlign w:val="baseline"/>
                <w:rtl w:val="0"/>
              </w:rPr>
              <w:t xml:space="preserve">19.90</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23.00</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13.80</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0.44</w:t>
            </w:r>
          </w:p>
        </w:tc>
      </w:tr>
      <w:tr>
        <w:trPr>
          <w:cantSplit w:val="0"/>
          <w:trHeight w:val="184" w:hRule="atLeast"/>
          <w:tblHeader w:val="0"/>
        </w:trPr>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b w:val="1"/>
                <w:bCs w:val="1"/>
                <w:i w:val="0"/>
                <w:iCs w:val="0"/>
                <w:smallCaps w:val="0"/>
                <w:strike w:val="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sz w:val="16"/>
                <w:szCs w:val="16"/>
                <w:u w:val="none"/>
                <w:shd w:fill="auto" w:val="clear"/>
                <w:vertAlign w:val="baseline"/>
                <w:rtl w:val="0"/>
              </w:rPr>
              <w:t xml:space="preserve">Nithya haritha x TG- 37A</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11.10</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20.70</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15.70</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0.37</w:t>
            </w:r>
          </w:p>
        </w:tc>
      </w:tr>
      <w:tr>
        <w:trPr>
          <w:cantSplit w:val="0"/>
          <w:trHeight w:val="184" w:hRule="atLeast"/>
          <w:tblHeader w:val="0"/>
        </w:trPr>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b w:val="1"/>
                <w:bCs w:val="1"/>
                <w:i w:val="0"/>
                <w:iCs w:val="0"/>
                <w:smallCaps w:val="0"/>
                <w:strike w:val="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sz w:val="16"/>
                <w:szCs w:val="16"/>
                <w:u w:val="none"/>
                <w:shd w:fill="auto" w:val="clear"/>
                <w:vertAlign w:val="baseline"/>
                <w:rtl w:val="0"/>
              </w:rPr>
              <w:t xml:space="preserve">Nithya haritha x SunOleic-95R</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10.90</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b w:val="1"/>
                <w:bCs w:val="1"/>
                <w:i w:val="0"/>
                <w:iCs w:val="0"/>
                <w:smallCaps w:val="0"/>
                <w:strike w:val="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sz w:val="16"/>
                <w:szCs w:val="16"/>
                <w:u w:val="none"/>
                <w:shd w:fill="auto" w:val="clear"/>
                <w:vertAlign w:val="baseline"/>
                <w:rtl w:val="0"/>
              </w:rPr>
              <w:t xml:space="preserve">19.50</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15.40</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b w:val="1"/>
                <w:bCs w:val="1"/>
                <w:i w:val="0"/>
                <w:iCs w:val="0"/>
                <w:smallCaps w:val="0"/>
                <w:strike w:val="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sz w:val="16"/>
                <w:szCs w:val="16"/>
                <w:u w:val="none"/>
                <w:shd w:fill="auto" w:val="clear"/>
                <w:vertAlign w:val="baseline"/>
                <w:rtl w:val="0"/>
              </w:rPr>
              <w:t xml:space="preserve">0.48</w:t>
            </w:r>
          </w:p>
        </w:tc>
      </w:tr>
      <w:tr>
        <w:trPr>
          <w:cantSplit w:val="0"/>
          <w:trHeight w:val="184" w:hRule="atLeast"/>
          <w:tblHeader w:val="0"/>
        </w:trPr>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b w:val="1"/>
                <w:bCs w:val="1"/>
                <w:i w:val="0"/>
                <w:iCs w:val="0"/>
                <w:smallCaps w:val="0"/>
                <w:strike w:val="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sz w:val="16"/>
                <w:szCs w:val="16"/>
                <w:u w:val="none"/>
                <w:shd w:fill="auto" w:val="clear"/>
                <w:vertAlign w:val="baseline"/>
                <w:rtl w:val="0"/>
              </w:rPr>
              <w:t xml:space="preserve">Nithya haritha x GPBD-4</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12.40</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22.30</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13.45</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0.23</w:t>
            </w:r>
          </w:p>
        </w:tc>
      </w:tr>
      <w:tr>
        <w:trPr>
          <w:cantSplit w:val="0"/>
          <w:trHeight w:val="184" w:hRule="atLeast"/>
          <w:tblHeader w:val="0"/>
        </w:trPr>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b w:val="1"/>
                <w:bCs w:val="1"/>
                <w:i w:val="0"/>
                <w:iCs w:val="0"/>
                <w:smallCaps w:val="0"/>
                <w:strike w:val="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sz w:val="16"/>
                <w:szCs w:val="16"/>
                <w:u w:val="none"/>
                <w:shd w:fill="auto" w:val="clear"/>
                <w:vertAlign w:val="baseline"/>
                <w:rtl w:val="0"/>
              </w:rPr>
              <w:t xml:space="preserve">Nithya haritha x KDG-128</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12.20</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24.50</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13.63</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0.32</w:t>
            </w:r>
          </w:p>
        </w:tc>
      </w:tr>
      <w:tr>
        <w:trPr>
          <w:cantSplit w:val="0"/>
          <w:trHeight w:val="184" w:hRule="atLeast"/>
          <w:tblHeader w:val="0"/>
        </w:trPr>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b w:val="1"/>
                <w:bCs w:val="1"/>
                <w:i w:val="0"/>
                <w:iCs w:val="0"/>
                <w:smallCaps w:val="0"/>
                <w:strike w:val="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sz w:val="16"/>
                <w:szCs w:val="16"/>
                <w:u w:val="none"/>
                <w:shd w:fill="auto" w:val="clear"/>
                <w:vertAlign w:val="baseline"/>
                <w:rtl w:val="0"/>
              </w:rPr>
              <w:t xml:space="preserve">Mallika x TG-37A</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12.70</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20.70</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14.12</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0.23</w:t>
            </w:r>
          </w:p>
        </w:tc>
      </w:tr>
      <w:tr>
        <w:trPr>
          <w:cantSplit w:val="0"/>
          <w:trHeight w:val="184" w:hRule="atLeast"/>
          <w:tblHeader w:val="0"/>
        </w:trPr>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b w:val="1"/>
                <w:bCs w:val="1"/>
                <w:i w:val="0"/>
                <w:iCs w:val="0"/>
                <w:smallCaps w:val="0"/>
                <w:strike w:val="0"/>
                <w:sz w:val="16"/>
                <w:szCs w:val="16"/>
                <w:u w:val="none"/>
                <w:shd w:fill="auto" w:val="clear"/>
                <w:vertAlign w:val="baseline"/>
              </w:rPr>
            </w:pPr>
            <w:bookmarkStart w:colFirst="0" w:colLast="0" w:name="_heading=h.3qxxg81fpbcq" w:id="4"/>
            <w:bookmarkEnd w:id="4"/>
            <w:r w:rsidDel="00000000" w:rsidR="00000000" w:rsidRPr="00000000">
              <w:rPr>
                <w:rFonts w:ascii="Arial" w:cs="Arial" w:eastAsia="Arial" w:hAnsi="Arial"/>
                <w:b w:val="1"/>
                <w:bCs w:val="1"/>
                <w:i w:val="0"/>
                <w:iCs w:val="0"/>
                <w:smallCaps w:val="0"/>
                <w:strike w:val="0"/>
                <w:sz w:val="16"/>
                <w:szCs w:val="16"/>
                <w:u w:val="none"/>
                <w:shd w:fill="auto" w:val="clear"/>
                <w:vertAlign w:val="baseline"/>
                <w:rtl w:val="0"/>
              </w:rPr>
              <w:t xml:space="preserve">Mallika x SunOleic-95R</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11.70</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25.40</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15.89</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0.41</w:t>
            </w:r>
          </w:p>
        </w:tc>
      </w:tr>
      <w:tr>
        <w:trPr>
          <w:cantSplit w:val="0"/>
          <w:trHeight w:val="184" w:hRule="atLeast"/>
          <w:tblHeader w:val="0"/>
        </w:trPr>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b w:val="1"/>
                <w:bCs w:val="1"/>
                <w:i w:val="0"/>
                <w:iCs w:val="0"/>
                <w:smallCaps w:val="0"/>
                <w:strike w:val="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sz w:val="16"/>
                <w:szCs w:val="16"/>
                <w:u w:val="none"/>
                <w:shd w:fill="auto" w:val="clear"/>
                <w:vertAlign w:val="baseline"/>
                <w:rtl w:val="0"/>
              </w:rPr>
              <w:t xml:space="preserve">Mallika x GPBD-4</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10.30</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b w:val="1"/>
                <w:bCs w:val="1"/>
                <w:i w:val="0"/>
                <w:iCs w:val="0"/>
                <w:smallCaps w:val="0"/>
                <w:strike w:val="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sz w:val="16"/>
                <w:szCs w:val="16"/>
                <w:u w:val="none"/>
                <w:shd w:fill="auto" w:val="clear"/>
                <w:vertAlign w:val="baseline"/>
                <w:rtl w:val="0"/>
              </w:rPr>
              <w:t xml:space="preserve">26.90</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16.04</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0.36</w:t>
            </w:r>
          </w:p>
        </w:tc>
      </w:tr>
      <w:tr>
        <w:trPr>
          <w:cantSplit w:val="0"/>
          <w:trHeight w:val="184" w:hRule="atLeast"/>
          <w:tblHeader w:val="0"/>
        </w:trPr>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b w:val="1"/>
                <w:bCs w:val="1"/>
                <w:i w:val="0"/>
                <w:iCs w:val="0"/>
                <w:smallCaps w:val="0"/>
                <w:strike w:val="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sz w:val="16"/>
                <w:szCs w:val="16"/>
                <w:u w:val="none"/>
                <w:shd w:fill="auto" w:val="clear"/>
                <w:vertAlign w:val="baseline"/>
                <w:rtl w:val="0"/>
              </w:rPr>
              <w:t xml:space="preserve">Mallika x KDG-128</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11.80</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24.10</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14.72</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0.45</w:t>
            </w:r>
          </w:p>
        </w:tc>
      </w:tr>
      <w:tr>
        <w:trPr>
          <w:cantSplit w:val="0"/>
          <w:trHeight w:val="184" w:hRule="atLeast"/>
          <w:tblHeader w:val="0"/>
        </w:trPr>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b w:val="1"/>
                <w:bCs w:val="1"/>
                <w:i w:val="0"/>
                <w:iCs w:val="0"/>
                <w:smallCaps w:val="0"/>
                <w:strike w:val="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sz w:val="16"/>
                <w:szCs w:val="16"/>
                <w:u w:val="none"/>
                <w:shd w:fill="auto" w:val="clear"/>
                <w:vertAlign w:val="baseline"/>
                <w:rtl w:val="0"/>
              </w:rPr>
              <w:t xml:space="preserve">Gangapuri x TG 37A</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10.90</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23.70</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16.20</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0.43</w:t>
            </w:r>
          </w:p>
        </w:tc>
      </w:tr>
      <w:tr>
        <w:trPr>
          <w:cantSplit w:val="0"/>
          <w:trHeight w:val="184" w:hRule="atLeast"/>
          <w:tblHeader w:val="0"/>
        </w:trPr>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b w:val="1"/>
                <w:bCs w:val="1"/>
                <w:i w:val="0"/>
                <w:iCs w:val="0"/>
                <w:smallCaps w:val="0"/>
                <w:strike w:val="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sz w:val="16"/>
                <w:szCs w:val="16"/>
                <w:u w:val="none"/>
                <w:shd w:fill="auto" w:val="clear"/>
                <w:vertAlign w:val="baseline"/>
                <w:rtl w:val="0"/>
              </w:rPr>
              <w:t xml:space="preserve">Gangapuri x SunOleic-95R</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16.20</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22.10</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15.70</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0.36</w:t>
            </w:r>
          </w:p>
        </w:tc>
      </w:tr>
      <w:tr>
        <w:trPr>
          <w:cantSplit w:val="0"/>
          <w:trHeight w:val="184" w:hRule="atLeast"/>
          <w:tblHeader w:val="0"/>
        </w:trPr>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right" w:leader="none" w:pos="2365"/>
              </w:tabs>
              <w:spacing w:after="0" w:before="0" w:line="240" w:lineRule="auto"/>
              <w:ind w:left="1080" w:right="0" w:hanging="1080"/>
              <w:jc w:val="both"/>
              <w:rPr>
                <w:rFonts w:ascii="Arial" w:cs="Arial" w:eastAsia="Arial" w:hAnsi="Arial"/>
                <w:b w:val="1"/>
                <w:bCs w:val="1"/>
                <w:i w:val="0"/>
                <w:iCs w:val="0"/>
                <w:smallCaps w:val="0"/>
                <w:strike w:val="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sz w:val="16"/>
                <w:szCs w:val="16"/>
                <w:u w:val="none"/>
                <w:shd w:fill="auto" w:val="clear"/>
                <w:vertAlign w:val="baseline"/>
                <w:rtl w:val="0"/>
              </w:rPr>
              <w:t xml:space="preserve">Gangapuri x GPBD-4</w:t>
              <w:tab/>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16.50</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20.99</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14.10</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0.34</w:t>
            </w:r>
          </w:p>
        </w:tc>
      </w:tr>
      <w:tr>
        <w:trPr>
          <w:cantSplit w:val="0"/>
          <w:trHeight w:val="184" w:hRule="atLeast"/>
          <w:tblHeader w:val="0"/>
        </w:trPr>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b w:val="1"/>
                <w:bCs w:val="1"/>
                <w:i w:val="0"/>
                <w:iCs w:val="0"/>
                <w:smallCaps w:val="0"/>
                <w:strike w:val="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sz w:val="16"/>
                <w:szCs w:val="16"/>
                <w:u w:val="none"/>
                <w:shd w:fill="auto" w:val="clear"/>
                <w:vertAlign w:val="baseline"/>
                <w:rtl w:val="0"/>
              </w:rPr>
              <w:t xml:space="preserve">Gangapuri x KDG-128</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16.70</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19.80</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15.22</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0.39</w:t>
            </w:r>
          </w:p>
        </w:tc>
      </w:tr>
      <w:tr>
        <w:trPr>
          <w:cantSplit w:val="0"/>
          <w:trHeight w:val="184" w:hRule="atLeast"/>
          <w:tblHeader w:val="0"/>
        </w:trPr>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b w:val="1"/>
                <w:bCs w:val="1"/>
                <w:i w:val="0"/>
                <w:iCs w:val="0"/>
                <w:smallCaps w:val="0"/>
                <w:strike w:val="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sz w:val="16"/>
                <w:szCs w:val="16"/>
                <w:u w:val="none"/>
                <w:shd w:fill="auto" w:val="clear"/>
                <w:vertAlign w:val="baseline"/>
                <w:rtl w:val="0"/>
              </w:rPr>
              <w:t xml:space="preserve">TG-86 x TG 37 A</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16.40</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23.40</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15.40</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0.37</w:t>
            </w:r>
          </w:p>
        </w:tc>
      </w:tr>
      <w:tr>
        <w:trPr>
          <w:cantSplit w:val="0"/>
          <w:trHeight w:val="184" w:hRule="atLeast"/>
          <w:tblHeader w:val="0"/>
        </w:trPr>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b w:val="1"/>
                <w:bCs w:val="1"/>
                <w:i w:val="0"/>
                <w:iCs w:val="0"/>
                <w:smallCaps w:val="0"/>
                <w:strike w:val="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sz w:val="16"/>
                <w:szCs w:val="16"/>
                <w:u w:val="none"/>
                <w:shd w:fill="auto" w:val="clear"/>
                <w:vertAlign w:val="baseline"/>
                <w:rtl w:val="0"/>
              </w:rPr>
              <w:t xml:space="preserve">TG-86 x SunOleic-95R</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10.4</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21.40</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15.24</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0.44</w:t>
            </w:r>
          </w:p>
        </w:tc>
      </w:tr>
      <w:tr>
        <w:trPr>
          <w:cantSplit w:val="0"/>
          <w:trHeight w:val="184" w:hRule="atLeast"/>
          <w:tblHeader w:val="0"/>
        </w:trPr>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b w:val="1"/>
                <w:bCs w:val="1"/>
                <w:i w:val="0"/>
                <w:iCs w:val="0"/>
                <w:smallCaps w:val="0"/>
                <w:strike w:val="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sz w:val="16"/>
                <w:szCs w:val="16"/>
                <w:u w:val="none"/>
                <w:shd w:fill="auto" w:val="clear"/>
                <w:vertAlign w:val="baseline"/>
                <w:rtl w:val="0"/>
              </w:rPr>
              <w:t xml:space="preserve">TG-86 x GPBD-4</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11.00</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21.80</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16.13</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0.41</w:t>
            </w:r>
          </w:p>
        </w:tc>
      </w:tr>
      <w:tr>
        <w:trPr>
          <w:cantSplit w:val="0"/>
          <w:trHeight w:val="184" w:hRule="atLeast"/>
          <w:tblHeader w:val="0"/>
        </w:trPr>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b w:val="1"/>
                <w:bCs w:val="1"/>
                <w:i w:val="0"/>
                <w:iCs w:val="0"/>
                <w:smallCaps w:val="0"/>
                <w:strike w:val="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sz w:val="16"/>
                <w:szCs w:val="16"/>
                <w:u w:val="none"/>
                <w:shd w:fill="auto" w:val="clear"/>
                <w:vertAlign w:val="baseline"/>
                <w:rtl w:val="0"/>
              </w:rPr>
              <w:t xml:space="preserve">TG-86 x KDG-128</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10.50</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22.50</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16.05</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0.42</w:t>
            </w:r>
          </w:p>
        </w:tc>
      </w:tr>
      <w:tr>
        <w:trPr>
          <w:cantSplit w:val="0"/>
          <w:trHeight w:val="184" w:hRule="atLeast"/>
          <w:tblHeader w:val="0"/>
        </w:trPr>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b w:val="1"/>
                <w:bCs w:val="1"/>
                <w:i w:val="0"/>
                <w:iCs w:val="0"/>
                <w:smallCaps w:val="0"/>
                <w:strike w:val="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sz w:val="16"/>
                <w:szCs w:val="16"/>
                <w:u w:val="none"/>
                <w:shd w:fill="auto" w:val="clear"/>
                <w:vertAlign w:val="baseline"/>
                <w:rtl w:val="0"/>
              </w:rPr>
              <w:t xml:space="preserve">TG-88 x TG- 37A</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12.00</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26.10</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b w:val="1"/>
                <w:bCs w:val="1"/>
                <w:i w:val="0"/>
                <w:iCs w:val="0"/>
                <w:smallCaps w:val="0"/>
                <w:strike w:val="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sz w:val="16"/>
                <w:szCs w:val="16"/>
                <w:u w:val="none"/>
                <w:shd w:fill="auto" w:val="clear"/>
                <w:vertAlign w:val="baseline"/>
                <w:rtl w:val="0"/>
              </w:rPr>
              <w:t xml:space="preserve">16.43</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0.46</w:t>
            </w:r>
          </w:p>
        </w:tc>
      </w:tr>
      <w:tr>
        <w:trPr>
          <w:cantSplit w:val="0"/>
          <w:trHeight w:val="184" w:hRule="atLeast"/>
          <w:tblHeader w:val="0"/>
        </w:trPr>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b w:val="1"/>
                <w:bCs w:val="1"/>
                <w:i w:val="0"/>
                <w:iCs w:val="0"/>
                <w:smallCaps w:val="0"/>
                <w:strike w:val="0"/>
                <w:sz w:val="16"/>
                <w:szCs w:val="16"/>
                <w:u w:val="none"/>
                <w:shd w:fill="auto" w:val="clear"/>
                <w:vertAlign w:val="baseline"/>
              </w:rPr>
            </w:pPr>
            <w:bookmarkStart w:colFirst="0" w:colLast="0" w:name="_heading=h.ujtu9tgtpbus" w:id="5"/>
            <w:bookmarkEnd w:id="5"/>
            <w:r w:rsidDel="00000000" w:rsidR="00000000" w:rsidRPr="00000000">
              <w:rPr>
                <w:rFonts w:ascii="Arial" w:cs="Arial" w:eastAsia="Arial" w:hAnsi="Arial"/>
                <w:b w:val="1"/>
                <w:bCs w:val="1"/>
                <w:i w:val="0"/>
                <w:iCs w:val="0"/>
                <w:smallCaps w:val="0"/>
                <w:strike w:val="0"/>
                <w:sz w:val="16"/>
                <w:szCs w:val="16"/>
                <w:u w:val="none"/>
                <w:shd w:fill="auto" w:val="clear"/>
                <w:vertAlign w:val="baseline"/>
                <w:rtl w:val="0"/>
              </w:rPr>
              <w:t xml:space="preserve">TG-88 x SunOleic-95R</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10.80</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25.40</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15.80</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0.40</w:t>
            </w:r>
          </w:p>
        </w:tc>
      </w:tr>
      <w:tr>
        <w:trPr>
          <w:cantSplit w:val="0"/>
          <w:trHeight w:val="184" w:hRule="atLeast"/>
          <w:tblHeader w:val="0"/>
        </w:trPr>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b w:val="1"/>
                <w:bCs w:val="1"/>
                <w:i w:val="0"/>
                <w:iCs w:val="0"/>
                <w:smallCaps w:val="0"/>
                <w:strike w:val="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sz w:val="16"/>
                <w:szCs w:val="16"/>
                <w:u w:val="none"/>
                <w:shd w:fill="auto" w:val="clear"/>
                <w:vertAlign w:val="baseline"/>
                <w:rtl w:val="0"/>
              </w:rPr>
              <w:t xml:space="preserve">TG-88 x GPBD-4</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10.90</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22.30</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14.49</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0.31</w:t>
            </w:r>
          </w:p>
        </w:tc>
      </w:tr>
      <w:tr>
        <w:trPr>
          <w:cantSplit w:val="0"/>
          <w:trHeight w:val="184" w:hRule="atLeast"/>
          <w:tblHeader w:val="0"/>
        </w:trPr>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b w:val="1"/>
                <w:bCs w:val="1"/>
                <w:i w:val="0"/>
                <w:iCs w:val="0"/>
                <w:smallCaps w:val="0"/>
                <w:strike w:val="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sz w:val="16"/>
                <w:szCs w:val="16"/>
                <w:u w:val="none"/>
                <w:shd w:fill="auto" w:val="clear"/>
                <w:vertAlign w:val="baseline"/>
                <w:rtl w:val="0"/>
              </w:rPr>
              <w:t xml:space="preserve">TG-88 x KDG-128</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11.50</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22.10</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13.59</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0.38</w:t>
            </w:r>
          </w:p>
        </w:tc>
      </w:tr>
      <w:tr>
        <w:trPr>
          <w:cantSplit w:val="0"/>
          <w:trHeight w:val="197" w:hRule="atLeast"/>
          <w:tblHeader w:val="0"/>
        </w:trPr>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b w:val="1"/>
                <w:bCs w:val="1"/>
                <w:i w:val="0"/>
                <w:iCs w:val="0"/>
                <w:smallCaps w:val="0"/>
                <w:strike w:val="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sz w:val="16"/>
                <w:szCs w:val="16"/>
                <w:u w:val="none"/>
                <w:shd w:fill="auto" w:val="clear"/>
                <w:vertAlign w:val="baseline"/>
                <w:rtl w:val="0"/>
              </w:rPr>
              <w:t xml:space="preserve">Mean</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12.27</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22.99</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14.83</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0.36</w:t>
            </w:r>
          </w:p>
        </w:tc>
      </w:tr>
      <w:tr>
        <w:trPr>
          <w:cantSplit w:val="0"/>
          <w:trHeight w:val="184" w:hRule="atLeast"/>
          <w:tblHeader w:val="0"/>
        </w:trPr>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b w:val="1"/>
                <w:bCs w:val="1"/>
                <w:i w:val="0"/>
                <w:iCs w:val="0"/>
                <w:smallCaps w:val="0"/>
                <w:strike w:val="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sz w:val="16"/>
                <w:szCs w:val="16"/>
                <w:u w:val="none"/>
                <w:shd w:fill="auto" w:val="clear"/>
                <w:vertAlign w:val="baseline"/>
                <w:rtl w:val="0"/>
              </w:rPr>
              <w:t xml:space="preserve">Maximum</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19.90</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26.90</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16.43</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0.48</w:t>
            </w:r>
          </w:p>
        </w:tc>
      </w:tr>
      <w:tr>
        <w:trPr>
          <w:cantSplit w:val="0"/>
          <w:trHeight w:val="184" w:hRule="atLeast"/>
          <w:tblHeader w:val="0"/>
        </w:trPr>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b w:val="1"/>
                <w:bCs w:val="1"/>
                <w:i w:val="0"/>
                <w:iCs w:val="0"/>
                <w:smallCaps w:val="0"/>
                <w:strike w:val="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sz w:val="16"/>
                <w:szCs w:val="16"/>
                <w:u w:val="none"/>
                <w:shd w:fill="auto" w:val="clear"/>
                <w:vertAlign w:val="baseline"/>
                <w:rtl w:val="0"/>
              </w:rPr>
              <w:t xml:space="preserve">Minimum</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10.10</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19.50</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13.40</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0.20</w:t>
            </w:r>
          </w:p>
        </w:tc>
      </w:tr>
      <w:tr>
        <w:trPr>
          <w:cantSplit w:val="0"/>
          <w:trHeight w:val="184" w:hRule="atLeast"/>
          <w:tblHeader w:val="0"/>
        </w:trPr>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b w:val="1"/>
                <w:bCs w:val="1"/>
                <w:i w:val="0"/>
                <w:iCs w:val="0"/>
                <w:smallCaps w:val="0"/>
                <w:strike w:val="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sz w:val="16"/>
                <w:szCs w:val="16"/>
                <w:u w:val="none"/>
                <w:shd w:fill="auto" w:val="clear"/>
                <w:vertAlign w:val="baseline"/>
                <w:rtl w:val="0"/>
              </w:rPr>
              <w:t xml:space="preserve">C.V. (%)</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0" w:right="0" w:firstLine="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18.70</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7.68</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 6.30</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21.93</w:t>
            </w:r>
          </w:p>
        </w:tc>
      </w:tr>
      <w:tr>
        <w:trPr>
          <w:cantSplit w:val="0"/>
          <w:trHeight w:val="184" w:hRule="atLeast"/>
          <w:tblHeader w:val="0"/>
        </w:trPr>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b w:val="1"/>
                <w:bCs w:val="1"/>
                <w:i w:val="0"/>
                <w:iCs w:val="0"/>
                <w:smallCaps w:val="0"/>
                <w:strike w:val="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sz w:val="16"/>
                <w:szCs w:val="16"/>
                <w:u w:val="none"/>
                <w:shd w:fill="auto" w:val="clear"/>
                <w:vertAlign w:val="baseline"/>
                <w:rtl w:val="0"/>
              </w:rPr>
              <w:t xml:space="preserve">S.E.</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 0.38</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0.29</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 0.16</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0.01</w:t>
            </w:r>
          </w:p>
        </w:tc>
      </w:tr>
      <w:tr>
        <w:trPr>
          <w:cantSplit w:val="0"/>
          <w:trHeight w:val="184" w:hRule="atLeast"/>
          <w:tblHeader w:val="0"/>
        </w:trPr>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b w:val="1"/>
                <w:bCs w:val="1"/>
                <w:i w:val="0"/>
                <w:iCs w:val="0"/>
                <w:smallCaps w:val="0"/>
                <w:strike w:val="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sz w:val="16"/>
                <w:szCs w:val="16"/>
                <w:u w:val="none"/>
                <w:shd w:fill="auto" w:val="clear"/>
                <w:vertAlign w:val="baseline"/>
                <w:rtl w:val="0"/>
              </w:rPr>
              <w:t xml:space="preserve">CD</w:t>
            </w:r>
            <w:r w:rsidDel="00000000" w:rsidR="00000000" w:rsidRPr="00000000">
              <w:rPr>
                <w:rFonts w:ascii="Arial" w:cs="Arial" w:eastAsia="Arial" w:hAnsi="Arial"/>
                <w:b w:val="1"/>
                <w:bCs w:val="1"/>
                <w:i w:val="0"/>
                <w:iCs w:val="0"/>
                <w:smallCaps w:val="0"/>
                <w:strike w:val="0"/>
                <w:sz w:val="16"/>
                <w:szCs w:val="16"/>
                <w:u w:val="none"/>
                <w:shd w:fill="auto" w:val="clear"/>
                <w:vertAlign w:val="subscript"/>
                <w:rtl w:val="0"/>
              </w:rPr>
              <w:t xml:space="preserve">0.05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 1.07</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0.82</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 0.45</w:t>
            </w:r>
          </w:p>
        </w:tc>
        <w:tc>
          <w:tcPr>
            <w:tcBorders>
              <w:top w:color="000000" w:space="0" w:sz="4" w:val="single"/>
              <w:left w:color="000000" w:space="0" w:sz="4" w:val="single"/>
              <w:bottom w:color="000000" w:space="0" w:sz="4" w:val="single"/>
              <w:right w:color="000000" w:space="0" w:sz="4" w:val="single"/>
            </w:tcBorders>
            <w:tcMar>
              <w:top w:w="14.0" w:type="dxa"/>
              <w:left w:w="106.0" w:type="dxa"/>
              <w:bottom w:w="0.0" w:type="dxa"/>
              <w:right w:w="48.0" w:type="dxa"/>
            </w:tcMar>
          </w:tcPr>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0" w:hanging="1080"/>
              <w:jc w:val="both"/>
              <w:rPr>
                <w:rFonts w:ascii="Arial" w:cs="Arial" w:eastAsia="Arial" w:hAnsi="Arial"/>
                <w:i w:val="0"/>
                <w:iCs w:val="0"/>
                <w:smallCaps w:val="0"/>
                <w:strike w:val="0"/>
                <w:sz w:val="16"/>
                <w:szCs w:val="16"/>
                <w:u w:val="none"/>
                <w:shd w:fill="auto" w:val="clear"/>
                <w:vertAlign w:val="baseline"/>
              </w:rPr>
            </w:pPr>
            <w:r w:rsidDel="00000000" w:rsidR="00000000" w:rsidRPr="00000000">
              <w:rPr>
                <w:rFonts w:ascii="Arial" w:cs="Arial" w:eastAsia="Arial" w:hAnsi="Arial"/>
                <w:i w:val="0"/>
                <w:iCs w:val="0"/>
                <w:smallCaps w:val="0"/>
                <w:strike w:val="0"/>
                <w:sz w:val="16"/>
                <w:szCs w:val="16"/>
                <w:u w:val="none"/>
                <w:shd w:fill="auto" w:val="clear"/>
                <w:vertAlign w:val="baseline"/>
                <w:rtl w:val="0"/>
              </w:rPr>
              <w:t xml:space="preserve">0.03</w:t>
            </w:r>
          </w:p>
        </w:tc>
      </w:tr>
    </w:tbl>
    <w:p w:rsidR="00000000" w:rsidDel="00000000" w:rsidP="00000000" w:rsidRDefault="00000000" w:rsidRPr="00000000" w14:paraId="0000018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18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1"/>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1"/>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1"/>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1"/>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highlight w:val="yellow"/>
        </w:rPr>
      </w:pPr>
      <w:bookmarkStart w:colFirst="0" w:colLast="0" w:name="_heading=h.g6swp8kxtydk" w:id="6"/>
      <w:bookmarkEnd w:id="6"/>
      <w:r w:rsidDel="00000000" w:rsidR="00000000" w:rsidRPr="00000000">
        <w:rPr>
          <w:rtl w:val="0"/>
        </w:rPr>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highlight w:val="yellow"/>
        </w:rPr>
      </w:pPr>
      <w:bookmarkStart w:colFirst="0" w:colLast="0" w:name="_heading=h.3ihv992vbbw7" w:id="7"/>
      <w:bookmarkEnd w:id="7"/>
      <w:r w:rsidDel="00000000" w:rsidR="00000000" w:rsidRPr="00000000">
        <w:rPr>
          <w:rtl w:val="0"/>
        </w:rPr>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highlight w:val="yellow"/>
        </w:rPr>
      </w:pPr>
      <w:bookmarkStart w:colFirst="0" w:colLast="0" w:name="_heading=h.b541jvqgs88b" w:id="8"/>
      <w:bookmarkEnd w:id="8"/>
      <w:r w:rsidDel="00000000" w:rsidR="00000000" w:rsidRPr="00000000">
        <w:rPr>
          <w:rtl w:val="0"/>
        </w:rPr>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sz w:val="22"/>
          <w:szCs w:val="22"/>
          <w:highlight w:val="yellow"/>
          <w:u w:val="none"/>
          <w:vertAlign w:val="baseline"/>
        </w:rPr>
      </w:pPr>
      <w:bookmarkStart w:colFirst="0" w:colLast="0" w:name="_heading=h.pqovtxiq2lb7" w:id="9"/>
      <w:bookmarkEnd w:id="9"/>
      <w:r w:rsidDel="00000000" w:rsidR="00000000" w:rsidRPr="00000000">
        <w:rPr>
          <w:rFonts w:ascii="Arial" w:cs="Arial" w:eastAsia="Arial" w:hAnsi="Arial"/>
          <w:i w:val="0"/>
          <w:iCs w:val="0"/>
          <w:smallCaps w:val="0"/>
          <w:strike w:val="0"/>
          <w:sz w:val="22"/>
          <w:szCs w:val="22"/>
          <w:highlight w:val="yellow"/>
          <w:u w:val="none"/>
          <w:vertAlign w:val="baseline"/>
          <w:rtl w:val="0"/>
        </w:rPr>
        <w:t xml:space="preserve">Disclaimer (Artificial intelligence)</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sz w:val="22"/>
          <w:szCs w:val="22"/>
          <w:highlight w:val="yellow"/>
          <w:u w:val="none"/>
          <w:vertAlign w:val="baseline"/>
        </w:rPr>
      </w:pPr>
      <w:r w:rsidDel="00000000" w:rsidR="00000000" w:rsidRPr="00000000">
        <w:rPr>
          <w:rtl w:val="0"/>
        </w:rPr>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sz w:val="22"/>
          <w:szCs w:val="22"/>
          <w:highlight w:val="yellow"/>
          <w:u w:val="none"/>
          <w:vertAlign w:val="baseline"/>
        </w:rPr>
      </w:pPr>
      <w:r w:rsidDel="00000000" w:rsidR="00000000" w:rsidRPr="00000000">
        <w:rPr>
          <w:rFonts w:ascii="Arial" w:cs="Arial" w:eastAsia="Arial" w:hAnsi="Arial"/>
          <w:i w:val="0"/>
          <w:iCs w:val="0"/>
          <w:smallCaps w:val="0"/>
          <w:strike w:val="0"/>
          <w:sz w:val="22"/>
          <w:szCs w:val="22"/>
          <w:highlight w:val="yellow"/>
          <w:u w:val="none"/>
          <w:vertAlign w:val="baseline"/>
          <w:rtl w:val="0"/>
        </w:rPr>
        <w:t xml:space="preserve">Author(s) hereby declare that NO generative AI technologies such as Large Language Models (ChatGPT, COPILOT, etc.) and text-to-image generators have been used during the writing or editing of this manuscript. </w:t>
      </w:r>
    </w:p>
    <w:p w:rsidR="00000000" w:rsidDel="00000000" w:rsidP="00000000" w:rsidRDefault="00000000" w:rsidRPr="00000000" w14:paraId="0000018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1"/>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1"/>
          <w:strike w:val="0"/>
          <w:sz w:val="22"/>
          <w:szCs w:val="22"/>
          <w:u w:val="none"/>
          <w:shd w:fill="auto" w:val="clear"/>
          <w:vertAlign w:val="baseline"/>
        </w:rPr>
      </w:pPr>
      <w:r w:rsidDel="00000000" w:rsidR="00000000" w:rsidRPr="00000000">
        <w:rPr>
          <w:rFonts w:ascii="Arial" w:cs="Arial" w:eastAsia="Arial" w:hAnsi="Arial"/>
          <w:b w:val="1"/>
          <w:bCs w:val="1"/>
          <w:i w:val="0"/>
          <w:iCs w:val="0"/>
          <w:smallCaps w:val="1"/>
          <w:strike w:val="0"/>
          <w:sz w:val="22"/>
          <w:szCs w:val="22"/>
          <w:u w:val="none"/>
          <w:shd w:fill="auto" w:val="clear"/>
          <w:vertAlign w:val="baseline"/>
          <w:rtl w:val="0"/>
        </w:rPr>
        <w:t xml:space="preserve">References</w:t>
      </w:r>
    </w:p>
    <w:p w:rsidR="00000000" w:rsidDel="00000000" w:rsidP="00000000" w:rsidRDefault="00000000" w:rsidRPr="00000000" w14:paraId="0000018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1"/>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E">
      <w:pPr>
        <w:ind w:left="720" w:hanging="720"/>
        <w:jc w:val="both"/>
        <w:rPr>
          <w:rFonts w:ascii="Arial" w:cs="Arial" w:eastAsia="Arial" w:hAnsi="Arial"/>
        </w:rPr>
      </w:pPr>
      <w:r w:rsidDel="00000000" w:rsidR="00000000" w:rsidRPr="00000000">
        <w:rPr>
          <w:rFonts w:ascii="Arial" w:cs="Arial" w:eastAsia="Arial" w:hAnsi="Arial"/>
          <w:rtl w:val="0"/>
        </w:rPr>
        <w:t xml:space="preserve">El-Saady, A. M., El-Fouly, M. M., &amp; El-Nour, E. A. A. A. (2014). Soil testing as a base for modifying fertilizer recommendations of groundnut. International Journal of Agriscience, 4, 313-320.</w:t>
      </w:r>
    </w:p>
    <w:p w:rsidR="00000000" w:rsidDel="00000000" w:rsidP="00000000" w:rsidRDefault="00000000" w:rsidRPr="00000000" w14:paraId="0000018F">
      <w:pPr>
        <w:ind w:left="720" w:hanging="720"/>
        <w:jc w:val="both"/>
        <w:rPr>
          <w:rFonts w:ascii="Arial" w:cs="Arial" w:eastAsia="Arial" w:hAnsi="Arial"/>
        </w:rPr>
      </w:pPr>
      <w:r w:rsidDel="00000000" w:rsidR="00000000" w:rsidRPr="00000000">
        <w:rPr>
          <w:rFonts w:ascii="Arial" w:cs="Arial" w:eastAsia="Arial" w:hAnsi="Arial"/>
          <w:rtl w:val="0"/>
        </w:rPr>
        <w:t xml:space="preserve">Jain, S., Singh, P. B. &amp; Sharma, P. P. (2016). Correlation and path analysis in groundnut. International Journal of Current Research, 8(8), 35811-35813.</w:t>
      </w:r>
    </w:p>
    <w:p w:rsidR="00000000" w:rsidDel="00000000" w:rsidP="00000000" w:rsidRDefault="00000000" w:rsidRPr="00000000" w14:paraId="00000190">
      <w:pPr>
        <w:ind w:left="720" w:hanging="720"/>
        <w:jc w:val="both"/>
        <w:rPr>
          <w:rFonts w:ascii="Arial" w:cs="Arial" w:eastAsia="Arial" w:hAnsi="Arial"/>
        </w:rPr>
      </w:pPr>
      <w:r w:rsidDel="00000000" w:rsidR="00000000" w:rsidRPr="00000000">
        <w:rPr>
          <w:rFonts w:ascii="Arial" w:cs="Arial" w:eastAsia="Arial" w:hAnsi="Arial"/>
          <w:rtl w:val="0"/>
        </w:rPr>
        <w:t xml:space="preserve">Johonson, H. W., Robinson, H. F., &amp; Comostock, R. E. (1955). Estimates of Genetics and Environmental Variability in Soybeans. Agronomy Journal, </w:t>
      </w:r>
      <w:r w:rsidDel="00000000" w:rsidR="00000000" w:rsidRPr="00000000">
        <w:rPr>
          <w:rFonts w:ascii="Arial" w:cs="Arial" w:eastAsia="Arial" w:hAnsi="Arial"/>
          <w:i w:val="1"/>
          <w:iCs w:val="1"/>
          <w:rtl w:val="0"/>
        </w:rPr>
        <w:t xml:space="preserve">47</w:t>
      </w:r>
      <w:r w:rsidDel="00000000" w:rsidR="00000000" w:rsidRPr="00000000">
        <w:rPr>
          <w:rFonts w:ascii="Arial" w:cs="Arial" w:eastAsia="Arial" w:hAnsi="Arial"/>
          <w:rtl w:val="0"/>
        </w:rPr>
        <w:t xml:space="preserve">(7), 314-318.</w:t>
      </w:r>
    </w:p>
    <w:p w:rsidR="00000000" w:rsidDel="00000000" w:rsidP="00000000" w:rsidRDefault="00000000" w:rsidRPr="00000000" w14:paraId="00000191">
      <w:pPr>
        <w:ind w:left="720" w:hanging="720"/>
        <w:jc w:val="both"/>
        <w:rPr>
          <w:rFonts w:ascii="Arial" w:cs="Arial" w:eastAsia="Arial" w:hAnsi="Arial"/>
        </w:rPr>
      </w:pPr>
      <w:r w:rsidDel="00000000" w:rsidR="00000000" w:rsidRPr="00000000">
        <w:rPr>
          <w:rFonts w:ascii="Arial" w:cs="Arial" w:eastAsia="Arial" w:hAnsi="Arial"/>
          <w:rtl w:val="0"/>
        </w:rPr>
        <w:t xml:space="preserve">Nwokolo, E. (1996). Peanut (</w:t>
      </w:r>
      <w:r w:rsidDel="00000000" w:rsidR="00000000" w:rsidRPr="00000000">
        <w:rPr>
          <w:rFonts w:ascii="Arial" w:cs="Arial" w:eastAsia="Arial" w:hAnsi="Arial"/>
          <w:i w:val="1"/>
          <w:iCs w:val="1"/>
          <w:rtl w:val="0"/>
        </w:rPr>
        <w:t xml:space="preserve">Arachis hypogaea</w:t>
      </w:r>
      <w:r w:rsidDel="00000000" w:rsidR="00000000" w:rsidRPr="00000000">
        <w:rPr>
          <w:rFonts w:ascii="Arial" w:cs="Arial" w:eastAsia="Arial" w:hAnsi="Arial"/>
          <w:rtl w:val="0"/>
        </w:rPr>
        <w:t xml:space="preserve"> L.). In E. Nwokolo &amp; J. Smartt (Eds.), Food and feed from legumes and oilseeds (pp. 49–63). Boston, MA: Springer US.</w:t>
      </w:r>
    </w:p>
    <w:p w:rsidR="00000000" w:rsidDel="00000000" w:rsidP="00000000" w:rsidRDefault="00000000" w:rsidRPr="00000000" w14:paraId="00000192">
      <w:pPr>
        <w:ind w:left="720" w:hanging="720"/>
        <w:jc w:val="both"/>
        <w:rPr>
          <w:rFonts w:ascii="Arial" w:cs="Arial" w:eastAsia="Arial" w:hAnsi="Arial"/>
        </w:rPr>
      </w:pPr>
      <w:r w:rsidDel="00000000" w:rsidR="00000000" w:rsidRPr="00000000">
        <w:rPr>
          <w:rFonts w:ascii="Arial" w:cs="Arial" w:eastAsia="Arial" w:hAnsi="Arial"/>
          <w:rtl w:val="0"/>
        </w:rPr>
        <w:t xml:space="preserve">Higgins, B. B. (1951). Origin and early history of the peanut. In The peanut: The unpredictable legume (pp. 118–127). Washington, DC: The National Fertilizer Association.</w:t>
      </w:r>
    </w:p>
    <w:p w:rsidR="00000000" w:rsidDel="00000000" w:rsidP="00000000" w:rsidRDefault="00000000" w:rsidRPr="00000000" w14:paraId="00000193">
      <w:pPr>
        <w:ind w:left="720" w:hanging="720"/>
        <w:jc w:val="both"/>
        <w:rPr>
          <w:rFonts w:ascii="Arial" w:cs="Arial" w:eastAsia="Arial" w:hAnsi="Arial"/>
        </w:rPr>
      </w:pPr>
      <w:r w:rsidDel="00000000" w:rsidR="00000000" w:rsidRPr="00000000">
        <w:rPr>
          <w:rFonts w:ascii="Arial" w:cs="Arial" w:eastAsia="Arial" w:hAnsi="Arial"/>
          <w:rtl w:val="0"/>
        </w:rPr>
        <w:t xml:space="preserve">Pramanik, A., Tiwari, S., Tomar, R. S., Tripathi, M. K.  &amp; Singh, A. K.  (2019).    Molecular characterization of groundnut (</w:t>
      </w:r>
      <w:r w:rsidDel="00000000" w:rsidR="00000000" w:rsidRPr="00000000">
        <w:rPr>
          <w:rFonts w:ascii="Arial" w:cs="Arial" w:eastAsia="Arial" w:hAnsi="Arial"/>
          <w:i w:val="1"/>
          <w:iCs w:val="1"/>
          <w:rtl w:val="0"/>
        </w:rPr>
        <w:t xml:space="preserve">Arachis hypogaea</w:t>
      </w:r>
      <w:r w:rsidDel="00000000" w:rsidR="00000000" w:rsidRPr="00000000">
        <w:rPr>
          <w:rFonts w:ascii="Arial" w:cs="Arial" w:eastAsia="Arial" w:hAnsi="Arial"/>
          <w:rtl w:val="0"/>
        </w:rPr>
        <w:t xml:space="preserve"> L.) germplasm lines and varietal set for yield and yield attributing traits. Indian Journal of Genetics and Plant Breeding, 79 (01), 56-65.</w:t>
      </w:r>
    </w:p>
    <w:p w:rsidR="00000000" w:rsidDel="00000000" w:rsidP="00000000" w:rsidRDefault="00000000" w:rsidRPr="00000000" w14:paraId="00000194">
      <w:pPr>
        <w:ind w:left="720" w:hanging="720"/>
        <w:jc w:val="both"/>
        <w:rPr>
          <w:rFonts w:ascii="Arial" w:cs="Arial" w:eastAsia="Arial" w:hAnsi="Arial"/>
        </w:rPr>
      </w:pPr>
      <w:r w:rsidDel="00000000" w:rsidR="00000000" w:rsidRPr="00000000">
        <w:rPr>
          <w:rFonts w:ascii="Arial" w:cs="Arial" w:eastAsia="Arial" w:hAnsi="Arial"/>
          <w:highlight w:val="white"/>
          <w:rtl w:val="0"/>
        </w:rPr>
        <w:t xml:space="preserve">Gundaraniya, S. A., Ambalam, P. S., &amp; Tomar, R. S. (2020). Metabolomic profiling of drought-tolerant and susceptible peanut (Arachis hypogaea L.) genotypes in response to drought stress. </w:t>
      </w:r>
      <w:r w:rsidDel="00000000" w:rsidR="00000000" w:rsidRPr="00000000">
        <w:rPr>
          <w:rFonts w:ascii="Arial" w:cs="Arial" w:eastAsia="Arial" w:hAnsi="Arial"/>
          <w:i w:val="1"/>
          <w:iCs w:val="1"/>
          <w:highlight w:val="white"/>
          <w:rtl w:val="0"/>
        </w:rPr>
        <w:t xml:space="preserve">ACS omega</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i w:val="1"/>
          <w:iCs w:val="1"/>
          <w:highlight w:val="white"/>
          <w:rtl w:val="0"/>
        </w:rPr>
        <w:t xml:space="preserve">5</w:t>
      </w:r>
      <w:r w:rsidDel="00000000" w:rsidR="00000000" w:rsidRPr="00000000">
        <w:rPr>
          <w:rFonts w:ascii="Arial" w:cs="Arial" w:eastAsia="Arial" w:hAnsi="Arial"/>
          <w:highlight w:val="white"/>
          <w:rtl w:val="0"/>
        </w:rPr>
        <w:t xml:space="preserve">(48), 31209-31219.</w:t>
      </w:r>
      <w:r w:rsidDel="00000000" w:rsidR="00000000" w:rsidRPr="00000000">
        <w:rPr>
          <w:rtl w:val="0"/>
        </w:rPr>
      </w:r>
    </w:p>
    <w:p w:rsidR="00000000" w:rsidDel="00000000" w:rsidP="00000000" w:rsidRDefault="00000000" w:rsidRPr="00000000" w14:paraId="00000195">
      <w:pPr>
        <w:ind w:left="720" w:hanging="720"/>
        <w:jc w:val="both"/>
        <w:rPr>
          <w:rFonts w:ascii="Arial" w:cs="Arial" w:eastAsia="Arial" w:hAnsi="Arial"/>
        </w:rPr>
      </w:pPr>
      <w:r w:rsidDel="00000000" w:rsidR="00000000" w:rsidRPr="00000000">
        <w:rPr>
          <w:rFonts w:ascii="Arial" w:cs="Arial" w:eastAsia="Arial" w:hAnsi="Arial"/>
          <w:rtl w:val="0"/>
        </w:rPr>
        <w:t xml:space="preserve">Tomar, Y. S., Tiwari, S., Tripathi, M. K. &amp;   Singh, R. (2022). Genetic diversity assessment and cluster analysis of morphological yield attributing traits of groundnut (</w:t>
      </w:r>
      <w:r w:rsidDel="00000000" w:rsidR="00000000" w:rsidRPr="00000000">
        <w:rPr>
          <w:rFonts w:ascii="Arial" w:cs="Arial" w:eastAsia="Arial" w:hAnsi="Arial"/>
          <w:i w:val="1"/>
          <w:iCs w:val="1"/>
          <w:rtl w:val="0"/>
        </w:rPr>
        <w:t xml:space="preserve">Arachis hypogaea</w:t>
      </w:r>
      <w:r w:rsidDel="00000000" w:rsidR="00000000" w:rsidRPr="00000000">
        <w:rPr>
          <w:rFonts w:ascii="Arial" w:cs="Arial" w:eastAsia="Arial" w:hAnsi="Arial"/>
          <w:rtl w:val="0"/>
        </w:rPr>
        <w:t xml:space="preserve"> L.). The Pharma Innovation, 11(6), 1444-1450. </w:t>
      </w:r>
    </w:p>
    <w:p w:rsidR="00000000" w:rsidDel="00000000" w:rsidP="00000000" w:rsidRDefault="00000000" w:rsidRPr="00000000" w14:paraId="00000196">
      <w:pPr>
        <w:ind w:left="720" w:hanging="720"/>
        <w:jc w:val="both"/>
        <w:rPr>
          <w:rFonts w:ascii="Arial" w:cs="Arial" w:eastAsia="Arial" w:hAnsi="Arial"/>
        </w:rPr>
      </w:pPr>
      <w:r w:rsidDel="00000000" w:rsidR="00000000" w:rsidRPr="00000000">
        <w:rPr>
          <w:rFonts w:ascii="Arial" w:cs="Arial" w:eastAsia="Arial" w:hAnsi="Arial"/>
          <w:rtl w:val="0"/>
        </w:rPr>
        <w:t xml:space="preserve">Sharma, N., Tiwari, S., Tripathi, M. K., Gupta, N., Singh, S. &amp; Sikarwar, R. S.  (2023). Selection of groundnut germplasm lines based on yield, nutritional, antinutritional and antioxidant parameters. Scientist, 2(1), 96-105. DOI:  </w:t>
      </w:r>
      <w:hyperlink r:id="rId14">
        <w:r w:rsidDel="00000000" w:rsidR="00000000" w:rsidRPr="00000000">
          <w:rPr>
            <w:rFonts w:ascii="Arial" w:cs="Arial" w:eastAsia="Arial" w:hAnsi="Arial"/>
            <w:u w:val="none"/>
            <w:rtl w:val="0"/>
          </w:rPr>
          <w:t xml:space="preserve">https://doi.org/10.5281/zenodo. 7536324</w:t>
        </w:r>
      </w:hyperlink>
      <w:r w:rsidDel="00000000" w:rsidR="00000000" w:rsidRPr="00000000">
        <w:rPr>
          <w:rtl w:val="0"/>
        </w:rPr>
      </w:r>
    </w:p>
    <w:p w:rsidR="00000000" w:rsidDel="00000000" w:rsidP="00000000" w:rsidRDefault="00000000" w:rsidRPr="00000000" w14:paraId="00000197">
      <w:pPr>
        <w:ind w:left="720" w:hanging="720"/>
        <w:jc w:val="both"/>
        <w:rPr>
          <w:rFonts w:ascii="Arial" w:cs="Arial" w:eastAsia="Arial" w:hAnsi="Arial"/>
        </w:rPr>
      </w:pPr>
      <w:r w:rsidDel="00000000" w:rsidR="00000000" w:rsidRPr="00000000">
        <w:rPr>
          <w:rFonts w:ascii="Arial" w:cs="Arial" w:eastAsia="Arial" w:hAnsi="Arial"/>
          <w:rtl w:val="0"/>
        </w:rPr>
        <w:t xml:space="preserve">Ingale, S. &amp; Shrivastava, S. K. (2011). Nutritional study of new variety of groundnut (</w:t>
      </w:r>
      <w:r w:rsidDel="00000000" w:rsidR="00000000" w:rsidRPr="00000000">
        <w:rPr>
          <w:rFonts w:ascii="Arial" w:cs="Arial" w:eastAsia="Arial" w:hAnsi="Arial"/>
          <w:i w:val="1"/>
          <w:iCs w:val="1"/>
          <w:rtl w:val="0"/>
        </w:rPr>
        <w:t xml:space="preserve">Arachis hypogaea </w:t>
      </w:r>
      <w:r w:rsidDel="00000000" w:rsidR="00000000" w:rsidRPr="00000000">
        <w:rPr>
          <w:rFonts w:ascii="Arial" w:cs="Arial" w:eastAsia="Arial" w:hAnsi="Arial"/>
          <w:rtl w:val="0"/>
        </w:rPr>
        <w:t xml:space="preserve">L.) JL-24 seeds. African Journal of Food Science. 5(8), 490 – 498.</w:t>
      </w:r>
    </w:p>
    <w:p w:rsidR="00000000" w:rsidDel="00000000" w:rsidP="00000000" w:rsidRDefault="00000000" w:rsidRPr="00000000" w14:paraId="00000198">
      <w:pPr>
        <w:ind w:left="720" w:hanging="720"/>
        <w:jc w:val="both"/>
        <w:rPr>
          <w:rFonts w:ascii="Arial" w:cs="Arial" w:eastAsia="Arial" w:hAnsi="Arial"/>
        </w:rPr>
      </w:pPr>
      <w:r w:rsidDel="00000000" w:rsidR="00000000" w:rsidRPr="00000000">
        <w:rPr>
          <w:rFonts w:ascii="Arial" w:cs="Arial" w:eastAsia="Arial" w:hAnsi="Arial"/>
          <w:rtl w:val="0"/>
        </w:rPr>
        <w:t xml:space="preserve">Muniappan, V., Palanivel, S., Parvathi, S., Viswanathan, M. B., &amp; Rajesh, R. (2016). Analysis of Seed Proteins in Groundnut Cultivars (</w:t>
      </w:r>
      <w:r w:rsidDel="00000000" w:rsidR="00000000" w:rsidRPr="00000000">
        <w:rPr>
          <w:rFonts w:ascii="Arial" w:cs="Arial" w:eastAsia="Arial" w:hAnsi="Arial"/>
          <w:i w:val="1"/>
          <w:iCs w:val="1"/>
          <w:rtl w:val="0"/>
        </w:rPr>
        <w:t xml:space="preserve">Arachis hypogaea</w:t>
      </w:r>
      <w:r w:rsidDel="00000000" w:rsidR="00000000" w:rsidRPr="00000000">
        <w:rPr>
          <w:rFonts w:ascii="Arial" w:cs="Arial" w:eastAsia="Arial" w:hAnsi="Arial"/>
          <w:rtl w:val="0"/>
        </w:rPr>
        <w:t xml:space="preserve"> L.). International Journal of Engineering Research and Applications, 6(7), 06-10.</w:t>
      </w:r>
    </w:p>
    <w:p w:rsidR="00000000" w:rsidDel="00000000" w:rsidP="00000000" w:rsidRDefault="00000000" w:rsidRPr="00000000" w14:paraId="00000199">
      <w:pPr>
        <w:ind w:left="720" w:hanging="720"/>
        <w:jc w:val="both"/>
        <w:rPr>
          <w:rFonts w:ascii="Arial" w:cs="Arial" w:eastAsia="Arial" w:hAnsi="Arial"/>
        </w:rPr>
      </w:pPr>
      <w:r w:rsidDel="00000000" w:rsidR="00000000" w:rsidRPr="00000000">
        <w:rPr>
          <w:rFonts w:ascii="Arial" w:cs="Arial" w:eastAsia="Arial" w:hAnsi="Arial"/>
          <w:rtl w:val="0"/>
        </w:rPr>
        <w:t xml:space="preserve">Shinde, S. S., Kachare, D. P., Satbhai, R. D., &amp; Naik, R. M. (2018). Water stress induced proline accumulation and antioxidative enzymes in groundnut (</w:t>
      </w:r>
      <w:r w:rsidDel="00000000" w:rsidR="00000000" w:rsidRPr="00000000">
        <w:rPr>
          <w:rFonts w:ascii="Arial" w:cs="Arial" w:eastAsia="Arial" w:hAnsi="Arial"/>
          <w:i w:val="1"/>
          <w:iCs w:val="1"/>
          <w:rtl w:val="0"/>
        </w:rPr>
        <w:t xml:space="preserve">Arachis hypogaea</w:t>
      </w:r>
      <w:r w:rsidDel="00000000" w:rsidR="00000000" w:rsidRPr="00000000">
        <w:rPr>
          <w:rFonts w:ascii="Arial" w:cs="Arial" w:eastAsia="Arial" w:hAnsi="Arial"/>
          <w:rtl w:val="0"/>
        </w:rPr>
        <w:t xml:space="preserve"> L.). Legume Research-An International Journal, 41(1), 67-72.</w:t>
      </w:r>
    </w:p>
    <w:p w:rsidR="00000000" w:rsidDel="00000000" w:rsidP="00000000" w:rsidRDefault="00000000" w:rsidRPr="00000000" w14:paraId="0000019A">
      <w:pPr>
        <w:ind w:left="720" w:hanging="720"/>
        <w:jc w:val="both"/>
        <w:rPr>
          <w:rFonts w:ascii="Arial" w:cs="Arial" w:eastAsia="Arial" w:hAnsi="Arial"/>
        </w:rPr>
      </w:pPr>
      <w:r w:rsidDel="00000000" w:rsidR="00000000" w:rsidRPr="00000000">
        <w:rPr>
          <w:rFonts w:ascii="Arial" w:cs="Arial" w:eastAsia="Arial" w:hAnsi="Arial"/>
          <w:rtl w:val="0"/>
        </w:rPr>
        <w:t xml:space="preserve">Bakayoko, Y., Fofana, I. J., Irie, B. A., &amp; Bamba, B. S. B. (2025). Evaluation of the biochemical and nutritional characteristics of 16 groundnut (</w:t>
      </w:r>
      <w:r w:rsidDel="00000000" w:rsidR="00000000" w:rsidRPr="00000000">
        <w:rPr>
          <w:rFonts w:ascii="Arial" w:cs="Arial" w:eastAsia="Arial" w:hAnsi="Arial"/>
          <w:i w:val="1"/>
          <w:iCs w:val="1"/>
          <w:rtl w:val="0"/>
        </w:rPr>
        <w:t xml:space="preserve">Arachis hypogaea</w:t>
      </w:r>
      <w:r w:rsidDel="00000000" w:rsidR="00000000" w:rsidRPr="00000000">
        <w:rPr>
          <w:rFonts w:ascii="Arial" w:cs="Arial" w:eastAsia="Arial" w:hAnsi="Arial"/>
          <w:rtl w:val="0"/>
        </w:rPr>
        <w:t xml:space="preserve"> L.) accessions in the Poro region of Côte d’Ivoire. European Journal of Agriculture and Food Sciences, 7(4), 15–22. </w:t>
      </w:r>
      <w:hyperlink r:id="rId15">
        <w:r w:rsidDel="00000000" w:rsidR="00000000" w:rsidRPr="00000000">
          <w:rPr>
            <w:rFonts w:ascii="Arial" w:cs="Arial" w:eastAsia="Arial" w:hAnsi="Arial"/>
            <w:u w:val="none"/>
            <w:rtl w:val="0"/>
          </w:rPr>
          <w:t xml:space="preserve">https://doi.org/10.24018/ejfood.2025.7.4.925</w:t>
        </w:r>
      </w:hyperlink>
      <w:r w:rsidDel="00000000" w:rsidR="00000000" w:rsidRPr="00000000">
        <w:rPr>
          <w:rtl w:val="0"/>
        </w:rPr>
      </w:r>
    </w:p>
    <w:p w:rsidR="00000000" w:rsidDel="00000000" w:rsidP="00000000" w:rsidRDefault="00000000" w:rsidRPr="00000000" w14:paraId="0000019B">
      <w:pPr>
        <w:ind w:left="720" w:hanging="720"/>
        <w:jc w:val="both"/>
        <w:rPr>
          <w:rFonts w:ascii="Arial" w:cs="Arial" w:eastAsia="Arial" w:hAnsi="Arial"/>
        </w:rPr>
      </w:pPr>
      <w:r w:rsidDel="00000000" w:rsidR="00000000" w:rsidRPr="00000000">
        <w:rPr>
          <w:rFonts w:ascii="Arial" w:cs="Arial" w:eastAsia="Arial" w:hAnsi="Arial"/>
          <w:rtl w:val="0"/>
        </w:rPr>
        <w:t xml:space="preserve">DuBois, M., Gilles, K. A., Hamilton, J. K., Rebers, P. A., &amp; Smith, F. (1956). Colorimetric method for determination of sugars and related substances. Analytical chemistry, 28(3), 350-356.</w:t>
      </w:r>
    </w:p>
    <w:p w:rsidR="00000000" w:rsidDel="00000000" w:rsidP="00000000" w:rsidRDefault="00000000" w:rsidRPr="00000000" w14:paraId="0000019C">
      <w:pPr>
        <w:ind w:left="720" w:hanging="720"/>
        <w:jc w:val="both"/>
        <w:rPr>
          <w:rFonts w:ascii="Arial" w:cs="Arial" w:eastAsia="Arial" w:hAnsi="Arial"/>
        </w:rPr>
      </w:pPr>
      <w:r w:rsidDel="00000000" w:rsidR="00000000" w:rsidRPr="00000000">
        <w:rPr>
          <w:rFonts w:ascii="Arial" w:cs="Arial" w:eastAsia="Arial" w:hAnsi="Arial"/>
          <w:rtl w:val="0"/>
        </w:rPr>
        <w:t xml:space="preserve">Bates, L. S., Waldren, R. P. A., &amp; Teare, I. D. (1973). Rapid determination of free proline for water-stress studies. Plant and soil, 39(1), 205-207.</w:t>
      </w:r>
    </w:p>
    <w:p w:rsidR="00000000" w:rsidDel="00000000" w:rsidP="00000000" w:rsidRDefault="00000000" w:rsidRPr="00000000" w14:paraId="0000019D">
      <w:pPr>
        <w:ind w:left="720" w:hanging="720"/>
        <w:jc w:val="both"/>
        <w:rPr>
          <w:rFonts w:ascii="Arial" w:cs="Arial" w:eastAsia="Arial" w:hAnsi="Arial"/>
        </w:rPr>
      </w:pPr>
      <w:r w:rsidDel="00000000" w:rsidR="00000000" w:rsidRPr="00000000">
        <w:rPr>
          <w:rFonts w:ascii="Arial" w:cs="Arial" w:eastAsia="Arial" w:hAnsi="Arial"/>
          <w:rtl w:val="0"/>
        </w:rPr>
        <w:t xml:space="preserve">Lowry, O. H., Rosebrough, N. J., Farr, A. L. &amp; Randall, R. J. (1951). Protein measurement with the Folin phenol reagent. Journal of Biological Chemistry, 193(1), 265-275.</w:t>
      </w:r>
    </w:p>
    <w:p w:rsidR="00000000" w:rsidDel="00000000" w:rsidP="00000000" w:rsidRDefault="00000000" w:rsidRPr="00000000" w14:paraId="0000019E">
      <w:pPr>
        <w:ind w:left="720" w:hanging="720"/>
        <w:jc w:val="both"/>
        <w:rPr>
          <w:rFonts w:ascii="Arial" w:cs="Arial" w:eastAsia="Arial" w:hAnsi="Arial"/>
        </w:rPr>
      </w:pPr>
      <w:r w:rsidDel="00000000" w:rsidR="00000000" w:rsidRPr="00000000">
        <w:rPr>
          <w:rFonts w:ascii="Arial" w:cs="Arial" w:eastAsia="Arial" w:hAnsi="Arial"/>
          <w:rtl w:val="0"/>
        </w:rPr>
        <w:t xml:space="preserve">Hodges, D. M., DeLong, J. M., Forney, C. F., &amp; Prange, R. K. (1999). Improving the thiobarbituric acid-reactive-substances assay for estimating lipid peroxidation in plant tissues containing anthocyanin and other interfering compounds. Planta, 207(4), 604-611.</w:t>
      </w:r>
    </w:p>
    <w:p w:rsidR="00000000" w:rsidDel="00000000" w:rsidP="00000000" w:rsidRDefault="00000000" w:rsidRPr="00000000" w14:paraId="0000019F">
      <w:pPr>
        <w:ind w:left="720" w:hanging="720"/>
        <w:jc w:val="both"/>
        <w:rPr>
          <w:rFonts w:ascii="Arial" w:cs="Arial" w:eastAsia="Arial" w:hAnsi="Arial"/>
        </w:rPr>
      </w:pPr>
      <w:r w:rsidDel="00000000" w:rsidR="00000000" w:rsidRPr="00000000">
        <w:rPr>
          <w:rFonts w:ascii="Arial" w:cs="Arial" w:eastAsia="Arial" w:hAnsi="Arial"/>
          <w:highlight w:val="white"/>
          <w:rtl w:val="0"/>
        </w:rPr>
        <w:t xml:space="preserve">Bakhoum, G. S., Sadak, M. S., &amp; Thabet, M. S. (2023). Induction of tolerance in groundnut plants against drought stress and Cercospora leaf spot disease with exogenous application of arginine and sodium nitroprusside under field conditions. </w:t>
      </w:r>
      <w:r w:rsidDel="00000000" w:rsidR="00000000" w:rsidRPr="00000000">
        <w:rPr>
          <w:rFonts w:ascii="Arial" w:cs="Arial" w:eastAsia="Arial" w:hAnsi="Arial"/>
          <w:i w:val="1"/>
          <w:iCs w:val="1"/>
          <w:highlight w:val="white"/>
          <w:rtl w:val="0"/>
        </w:rPr>
        <w:t xml:space="preserve">Journal of Soil Science and Plant Nutrition</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i w:val="1"/>
          <w:iCs w:val="1"/>
          <w:highlight w:val="white"/>
          <w:rtl w:val="0"/>
        </w:rPr>
        <w:t xml:space="preserve">23</w:t>
      </w:r>
      <w:r w:rsidDel="00000000" w:rsidR="00000000" w:rsidRPr="00000000">
        <w:rPr>
          <w:rFonts w:ascii="Arial" w:cs="Arial" w:eastAsia="Arial" w:hAnsi="Arial"/>
          <w:highlight w:val="white"/>
          <w:rtl w:val="0"/>
        </w:rPr>
        <w:t xml:space="preserve">(4), 6612-6631.</w:t>
      </w:r>
      <w:r w:rsidDel="00000000" w:rsidR="00000000" w:rsidRPr="00000000">
        <w:rPr>
          <w:rtl w:val="0"/>
        </w:rPr>
      </w:r>
    </w:p>
    <w:p w:rsidR="00000000" w:rsidDel="00000000" w:rsidP="00000000" w:rsidRDefault="00000000" w:rsidRPr="00000000" w14:paraId="000001A0">
      <w:pPr>
        <w:ind w:left="720" w:hanging="720"/>
        <w:jc w:val="both"/>
        <w:rPr>
          <w:rFonts w:ascii="Arial" w:cs="Arial" w:eastAsia="Arial" w:hAnsi="Arial"/>
        </w:rPr>
      </w:pPr>
      <w:r w:rsidDel="00000000" w:rsidR="00000000" w:rsidRPr="00000000">
        <w:rPr>
          <w:rFonts w:ascii="Arial" w:cs="Arial" w:eastAsia="Arial" w:hAnsi="Arial"/>
          <w:rtl w:val="0"/>
        </w:rPr>
        <w:t xml:space="preserve">Solanki, M. V., Mahatma, M. K., Varma, A., Thawait, L. K., Singh, S., Jangir, C. K., et al. (2024). Water deficit stress enhances the bioactive compounds of groundnut (</w:t>
      </w:r>
      <w:r w:rsidDel="00000000" w:rsidR="00000000" w:rsidRPr="00000000">
        <w:rPr>
          <w:rFonts w:ascii="Arial" w:cs="Arial" w:eastAsia="Arial" w:hAnsi="Arial"/>
          <w:i w:val="1"/>
          <w:iCs w:val="1"/>
          <w:rtl w:val="0"/>
        </w:rPr>
        <w:t xml:space="preserve">Arachis hypogaea</w:t>
      </w:r>
      <w:r w:rsidDel="00000000" w:rsidR="00000000" w:rsidRPr="00000000">
        <w:rPr>
          <w:rFonts w:ascii="Arial" w:cs="Arial" w:eastAsia="Arial" w:hAnsi="Arial"/>
          <w:rtl w:val="0"/>
        </w:rPr>
        <w:t xml:space="preserve"> L.) kernels at the expense of primary metabolites. Food Bioscience, 58, 103670. </w:t>
      </w:r>
      <w:hyperlink r:id="rId16">
        <w:r w:rsidDel="00000000" w:rsidR="00000000" w:rsidRPr="00000000">
          <w:rPr>
            <w:rFonts w:ascii="Arial" w:cs="Arial" w:eastAsia="Arial" w:hAnsi="Arial"/>
            <w:u w:val="none"/>
            <w:rtl w:val="0"/>
          </w:rPr>
          <w:t xml:space="preserve">https://doi.org/10.1016/j.fbio.2024.103670</w:t>
        </w:r>
      </w:hyperlink>
      <w:r w:rsidDel="00000000" w:rsidR="00000000" w:rsidRPr="00000000">
        <w:rPr>
          <w:rtl w:val="0"/>
        </w:rPr>
      </w:r>
    </w:p>
    <w:p w:rsidR="00000000" w:rsidDel="00000000" w:rsidP="00000000" w:rsidRDefault="00000000" w:rsidRPr="00000000" w14:paraId="000001A1">
      <w:pPr>
        <w:ind w:left="720" w:hanging="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1"/>
          <w:strike w:val="0"/>
          <w:sz w:val="22"/>
          <w:szCs w:val="22"/>
          <w:u w:val="none"/>
          <w:shd w:fill="auto" w:val="clear"/>
          <w:vertAlign w:val="baseline"/>
        </w:rPr>
      </w:pPr>
      <w:r w:rsidDel="00000000" w:rsidR="00000000" w:rsidRPr="00000000">
        <w:rPr>
          <w:rFonts w:ascii="Arial" w:cs="Arial" w:eastAsia="Arial" w:hAnsi="Arial"/>
          <w:b w:val="1"/>
          <w:bCs w:val="1"/>
          <w:i w:val="0"/>
          <w:iCs w:val="0"/>
          <w:smallCaps w:val="1"/>
          <w:strike w:val="0"/>
          <w:sz w:val="22"/>
          <w:szCs w:val="22"/>
          <w:u w:val="none"/>
          <w:shd w:fill="auto" w:val="clear"/>
          <w:vertAlign w:val="baseline"/>
          <w:rtl w:val="0"/>
        </w:rPr>
        <w:t xml:space="preserve">Definitions, Acronyms, Abbreviations</w:t>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sz w:val="20"/>
          <w:szCs w:val="20"/>
          <w:u w:val="none"/>
          <w:shd w:fill="auto" w:val="clear"/>
          <w:vertAlign w:val="baseline"/>
        </w:rPr>
      </w:pP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RKB: Ravleen Kaur Badwal</w:t>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sz w:val="20"/>
          <w:szCs w:val="20"/>
          <w:u w:val="none"/>
          <w:shd w:fill="auto" w:val="clear"/>
          <w:vertAlign w:val="baseline"/>
        </w:rPr>
      </w:pP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RSS: Dr. R. S. Sikarwar</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sz w:val="20"/>
          <w:szCs w:val="20"/>
          <w:u w:val="none"/>
          <w:shd w:fill="auto" w:val="clear"/>
          <w:vertAlign w:val="baseline"/>
        </w:rPr>
      </w:pP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R: Rohit</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sz w:val="20"/>
          <w:szCs w:val="20"/>
          <w:u w:val="none"/>
          <w:shd w:fill="auto" w:val="clear"/>
          <w:vertAlign w:val="baseline"/>
        </w:rPr>
      </w:pP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PC: Pavan Chouksey</w:t>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sz w:val="20"/>
          <w:szCs w:val="20"/>
          <w:u w:val="none"/>
          <w:shd w:fill="auto" w:val="clear"/>
          <w:vertAlign w:val="baseline"/>
        </w:rPr>
      </w:pP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BY: Bakeshwar Yadav </w:t>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sz w:val="20"/>
          <w:szCs w:val="20"/>
          <w:u w:val="none"/>
          <w:shd w:fill="auto" w:val="clear"/>
          <w:vertAlign w:val="baseline"/>
        </w:rPr>
      </w:pP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R.V.S.K.V.V.: Rajmata Vijayaraje Scindia Krishi Vishwa Vidyalaya</w:t>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sz w:val="20"/>
          <w:szCs w:val="20"/>
          <w:u w:val="none"/>
          <w:shd w:fill="auto" w:val="clear"/>
          <w:vertAlign w:val="baseline"/>
        </w:rPr>
      </w:pPr>
      <w:r w:rsidDel="00000000" w:rsidR="00000000" w:rsidRPr="00000000">
        <w:rPr>
          <w:rFonts w:ascii="Arial" w:cs="Arial" w:eastAsia="Arial" w:hAnsi="Arial"/>
          <w:i w:val="0"/>
          <w:iCs w:val="0"/>
          <w:smallCaps w:val="0"/>
          <w:strike w:val="0"/>
          <w:sz w:val="20"/>
          <w:szCs w:val="20"/>
          <w:u w:val="none"/>
          <w:shd w:fill="auto" w:val="clear"/>
          <w:vertAlign w:val="baseline"/>
          <w:rtl w:val="0"/>
        </w:rPr>
        <w:t xml:space="preserve">RBD: Randomized Block Design</w:t>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sz w:val="20"/>
          <w:szCs w:val="20"/>
          <w:u w:val="none"/>
          <w:shd w:fill="auto" w:val="clear"/>
          <w:vertAlign w:val="baseline"/>
        </w:rPr>
        <w:sectPr>
          <w:headerReference r:id="rId17" w:type="default"/>
          <w:headerReference r:id="rId18" w:type="first"/>
          <w:headerReference r:id="rId19" w:type="even"/>
          <w:footerReference r:id="rId20" w:type="default"/>
          <w:type w:val="continuous"/>
          <w:pgSz w:h="15840" w:w="12240" w:orient="portrait"/>
          <w:pgMar w:bottom="2016" w:top="1440" w:left="2016" w:right="2016" w:header="720" w:footer="1123"/>
        </w:sectPr>
      </w:pPr>
      <w:r w:rsidDel="00000000" w:rsidR="00000000" w:rsidRPr="00000000">
        <w:rPr>
          <w:rtl w:val="0"/>
        </w:rPr>
      </w:r>
    </w:p>
    <w:p w:rsidR="00000000" w:rsidDel="00000000" w:rsidP="00000000" w:rsidRDefault="00000000" w:rsidRPr="00000000" w14:paraId="000001A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1"/>
          <w:strike w:val="0"/>
          <w:sz w:val="22"/>
          <w:szCs w:val="22"/>
          <w:u w:val="none"/>
          <w:shd w:fill="auto" w:val="clear"/>
          <w:vertAlign w:val="baseline"/>
        </w:rPr>
      </w:pPr>
      <w:r w:rsidDel="00000000" w:rsidR="00000000" w:rsidRPr="00000000">
        <w:rPr>
          <w:rtl w:val="0"/>
        </w:rPr>
      </w:r>
    </w:p>
    <w:sectPr>
      <w:type w:val="continuous"/>
      <w:pgSz w:h="15840" w:w="12240" w:orient="portrait"/>
      <w:pgMar w:bottom="720" w:top="720" w:left="720" w:right="7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____________________________________________________________________________________________</w:t>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1"/>
        <w:iCs w:val="1"/>
        <w:smallCaps w:val="0"/>
        <w:strike w:val="0"/>
        <w:color w:val="000000"/>
        <w:sz w:val="16"/>
        <w:szCs w:val="16"/>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Pr>
      <w:pict>
        <v:shape id="PowerPlusWaterMarkObject6" style="position:absolute;width:520.65pt;height:57.8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Helvetica Neue&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Pr>
      <w:pict>
        <v:shape id="PowerPlusWaterMarkObject4" style="position:absolute;width:520.65pt;height:57.8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Helvetica Neue&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E">
    <w:pPr>
      <w:ind w:left="2160" w:firstLine="0"/>
      <w:jc w:val="center"/>
      <w:rPr>
        <w:rFonts w:ascii="Times New Roman" w:cs="Times New Roman" w:eastAsia="Times New Roman" w:hAnsi="Times New Roman"/>
        <w:i w:val="1"/>
        <w:iCs w:val="1"/>
        <w:sz w:val="18"/>
        <w:szCs w:val="18"/>
      </w:rPr>
    </w:pPr>
    <w:r w:rsidDel="00000000" w:rsidR="00000000" w:rsidRPr="00000000">
      <w:rPr/>
      <w:pict>
        <v:shape id="PowerPlusWaterMarkObject5" style="position:absolute;width:520.65pt;height:57.8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Helvetica Neue&amp;quot;;font-size:1pt;"/>
        </v:shape>
      </w:pict>
    </w:r>
    <w:r w:rsidDel="00000000" w:rsidR="00000000" w:rsidRPr="00000000">
      <w:rPr>
        <w:rtl w:val="0"/>
      </w:rPr>
    </w:r>
  </w:p>
  <w:p w:rsidR="00000000" w:rsidDel="00000000" w:rsidP="00000000" w:rsidRDefault="00000000" w:rsidRPr="00000000" w14:paraId="000001AF">
    <w:pPr>
      <w:ind w:left="4320" w:firstLine="0"/>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     </w:t>
    </w:r>
  </w:p>
  <w:p w:rsidR="00000000" w:rsidDel="00000000" w:rsidP="00000000" w:rsidRDefault="00000000" w:rsidRPr="00000000" w14:paraId="000001B0">
    <w:pPr>
      <w:jc w:val="cente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w:t>
    </w:r>
  </w:p>
  <w:p w:rsidR="00000000" w:rsidDel="00000000" w:rsidP="00000000" w:rsidRDefault="00000000" w:rsidRPr="00000000" w14:paraId="000001B1">
    <w:pPr>
      <w:spacing w:after="200" w:lineRule="auto"/>
      <w:jc w:val="center"/>
      <w:rPr>
        <w:rFonts w:ascii="Times New Roman" w:cs="Times New Roman" w:eastAsia="Times New Roman" w:hAnsi="Times New Roman"/>
        <w:b w:val="1"/>
        <w:bCs w:val="1"/>
        <w:i w:val="1"/>
        <w:iCs w:val="1"/>
        <w:sz w:val="32"/>
        <w:szCs w:val="32"/>
      </w:rPr>
    </w:pPr>
    <w:r w:rsidDel="00000000" w:rsidR="00000000" w:rsidRPr="00000000">
      <w:rPr>
        <w:rFonts w:ascii="Times New Roman" w:cs="Times New Roman" w:eastAsia="Times New Roman" w:hAnsi="Times New Roman"/>
        <w:b w:val="1"/>
        <w:bCs w:val="1"/>
        <w:i w:val="1"/>
        <w:iCs w:val="1"/>
        <w:sz w:val="32"/>
        <w:szCs w:val="32"/>
        <w:rtl w:val="0"/>
      </w:rPr>
      <w:t xml:space="preserve">              . </w:t>
    </w:r>
  </w:p>
  <w:p w:rsidR="00000000" w:rsidDel="00000000" w:rsidP="00000000" w:rsidRDefault="00000000" w:rsidRPr="00000000" w14:paraId="000001B2">
    <w:pPr>
      <w:jc w:val="cente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                     </w:t>
    </w:r>
  </w:p>
  <w:p w:rsidR="00000000" w:rsidDel="00000000" w:rsidP="00000000" w:rsidRDefault="00000000" w:rsidRPr="00000000" w14:paraId="000001B3">
    <w:pPr>
      <w:tabs>
        <w:tab w:val="left" w:leader="none" w:pos="2145"/>
      </w:tabs>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ab/>
      <w:t xml:space="preserve">.</w:t>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Pr>
      <w:pict>
        <v:shape id="PowerPlusWaterMarkObject2" style="position:absolute;width:520.65pt;height:57.8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Helvetica Neue&amp;quot;;font-size:1pt;"/>
        </v:shape>
      </w:pict>
    </w: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Pr>
      <w:pict>
        <v:shape id="PowerPlusWaterMarkObject3" style="position:absolute;width:520.65pt;height:57.8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Helvetica Neue&amp;quot;;font-size:1pt;"/>
        </v:shape>
      </w:pict>
    </w: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Pr>
      <w:pict>
        <v:shape id="PowerPlusWaterMarkObject1" style="position:absolute;width:520.65pt;height:57.8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Helvetica Neue&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Helvetica Neue" w:cs="Helvetica Neue" w:eastAsia="Helvetica Neue" w:hAnsi="Helvetica Neue"/>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bCs w:val="1"/>
      <w:sz w:val="28"/>
      <w:szCs w:val="2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spacing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360" w:lineRule="auto"/>
      <w:jc w:val="right"/>
    </w:pPr>
    <w:rPr>
      <w:b w:val="1"/>
      <w:bCs w:val="1"/>
      <w:sz w:val="36"/>
      <w:szCs w:val="3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Author" w:customStyle="1">
    <w:name w:val="Author"/>
    <w:basedOn w:val="Normal"/>
    <w:rsid w:val="00423789"/>
    <w:pPr>
      <w:spacing w:line="280" w:lineRule="exact"/>
      <w:jc w:val="right"/>
    </w:pPr>
    <w:rPr>
      <w:b w:val="1"/>
      <w:sz w:val="24"/>
    </w:rPr>
  </w:style>
  <w:style w:type="paragraph" w:styleId="Affiliation" w:customStyle="1">
    <w:name w:val="Affiliation"/>
    <w:basedOn w:val="Normal"/>
    <w:rsid w:val="00423789"/>
    <w:pPr>
      <w:spacing w:after="240" w:line="240" w:lineRule="exact"/>
      <w:jc w:val="right"/>
    </w:pPr>
  </w:style>
  <w:style w:type="paragraph" w:styleId="Body" w:customStyle="1">
    <w:name w:val="Body"/>
    <w:basedOn w:val="Normal"/>
    <w:rsid w:val="00423789"/>
    <w:pPr>
      <w:spacing w:after="240"/>
      <w:jc w:val="both"/>
    </w:pPr>
  </w:style>
  <w:style w:type="paragraph" w:styleId="AbstHead" w:customStyle="1">
    <w:name w:val="Abst Head"/>
    <w:basedOn w:val="MainHead"/>
    <w:rsid w:val="00423789"/>
    <w:rPr>
      <w:sz w:val="22"/>
    </w:rPr>
  </w:style>
  <w:style w:type="paragraph" w:styleId="IntroHead" w:customStyle="1">
    <w:name w:val="Intro Head"/>
    <w:basedOn w:val="MainHead"/>
    <w:rsid w:val="00423789"/>
    <w:rPr>
      <w:sz w:val="22"/>
    </w:rPr>
  </w:style>
  <w:style w:type="paragraph" w:styleId="PaperNumber" w:customStyle="1">
    <w:name w:val="Paper Number"/>
    <w:basedOn w:val="Normal"/>
    <w:rsid w:val="00423789"/>
    <w:pPr>
      <w:spacing w:after="280" w:line="280" w:lineRule="exact"/>
      <w:jc w:val="right"/>
    </w:pPr>
    <w:rPr>
      <w:b w:val="1"/>
      <w:sz w:val="28"/>
    </w:rPr>
  </w:style>
  <w:style w:type="paragraph" w:styleId="ConcHead" w:customStyle="1">
    <w:name w:val="Conc Head"/>
    <w:basedOn w:val="MainHead"/>
    <w:rsid w:val="00423789"/>
    <w:rPr>
      <w:sz w:val="22"/>
    </w:rPr>
  </w:style>
  <w:style w:type="paragraph" w:styleId="AcknHead" w:customStyle="1">
    <w:name w:val="Ackn Head"/>
    <w:basedOn w:val="MainHead"/>
    <w:rsid w:val="00423789"/>
    <w:rPr>
      <w:sz w:val="22"/>
    </w:rPr>
  </w:style>
  <w:style w:type="paragraph" w:styleId="ReferHead" w:customStyle="1">
    <w:name w:val="Refer Head"/>
    <w:basedOn w:val="MainHead"/>
    <w:rsid w:val="00423789"/>
    <w:rPr>
      <w:sz w:val="22"/>
    </w:rPr>
  </w:style>
  <w:style w:type="paragraph" w:styleId="AddSrcHead" w:customStyle="1">
    <w:name w:val="AddSrc Head"/>
    <w:basedOn w:val="MainHead"/>
    <w:rsid w:val="00423789"/>
    <w:rPr>
      <w:sz w:val="22"/>
    </w:rPr>
  </w:style>
  <w:style w:type="paragraph" w:styleId="DefAcrHead" w:customStyle="1">
    <w:name w:val="DefAcrHead"/>
    <w:basedOn w:val="MainHead"/>
    <w:rsid w:val="00423789"/>
    <w:rPr>
      <w:sz w:val="22"/>
    </w:rPr>
  </w:style>
  <w:style w:type="paragraph" w:styleId="Copyright" w:customStyle="1">
    <w:name w:val="Copyright"/>
    <w:basedOn w:val="Normal"/>
    <w:rsid w:val="00423789"/>
    <w:pPr>
      <w:spacing w:after="960" w:line="200" w:lineRule="exact"/>
    </w:pPr>
    <w:rPr>
      <w:sz w:val="16"/>
    </w:rPr>
  </w:style>
  <w:style w:type="paragraph" w:styleId="Reference" w:customStyle="1">
    <w:name w:val="Reference"/>
    <w:basedOn w:val="Body"/>
    <w:rsid w:val="00423789"/>
    <w:pPr>
      <w:numPr>
        <w:numId w:val="23"/>
      </w:numPr>
      <w:spacing w:after="0" w:line="240" w:lineRule="exact"/>
    </w:pPr>
  </w:style>
  <w:style w:type="paragraph" w:styleId="Head1" w:customStyle="1">
    <w:name w:val="Head1"/>
    <w:basedOn w:val="MainHead"/>
    <w:rsid w:val="00423789"/>
    <w:rPr>
      <w:sz w:val="22"/>
    </w:rPr>
  </w:style>
  <w:style w:type="paragraph" w:styleId="ContactHead" w:customStyle="1">
    <w:name w:val="Contact Head"/>
    <w:basedOn w:val="MainHead"/>
    <w:rsid w:val="00423789"/>
    <w:rPr>
      <w:sz w:val="22"/>
    </w:rPr>
  </w:style>
  <w:style w:type="paragraph" w:styleId="Head3" w:customStyle="1">
    <w:name w:val="Head3"/>
    <w:basedOn w:val="Head2"/>
    <w:rsid w:val="00423789"/>
    <w:rPr>
      <w:caps w:val="0"/>
      <w:u w:val="single"/>
    </w:rPr>
  </w:style>
  <w:style w:type="paragraph" w:styleId="Head4" w:customStyle="1">
    <w:name w:val="Head4"/>
    <w:basedOn w:val="Head3"/>
    <w:rsid w:val="00423789"/>
    <w:rPr>
      <w:u w:val="none"/>
    </w:rPr>
  </w:style>
  <w:style w:type="paragraph" w:styleId="UnordList" w:customStyle="1">
    <w:name w:val="Unord List"/>
    <w:basedOn w:val="Body"/>
    <w:rsid w:val="00423789"/>
    <w:pPr>
      <w:spacing w:after="0"/>
      <w:ind w:left="360" w:hanging="360"/>
    </w:pPr>
  </w:style>
  <w:style w:type="paragraph" w:styleId="OrdList" w:customStyle="1">
    <w:name w:val="Ord List"/>
    <w:basedOn w:val="UnordList"/>
    <w:rsid w:val="00423789"/>
    <w:pPr>
      <w:jc w:val="left"/>
    </w:pPr>
  </w:style>
  <w:style w:type="paragraph" w:styleId="Appendix" w:customStyle="1">
    <w:name w:val="Appendix"/>
    <w:basedOn w:val="MainHead"/>
    <w:rsid w:val="00423789"/>
    <w:rPr>
      <w:sz w:val="22"/>
    </w:rPr>
  </w:style>
  <w:style w:type="paragraph" w:styleId="Term" w:customStyle="1">
    <w:name w:val="Term"/>
    <w:basedOn w:val="Body"/>
    <w:rsid w:val="00423789"/>
    <w:pPr>
      <w:spacing w:after="0"/>
    </w:pPr>
    <w:rPr>
      <w:b w:val="1"/>
    </w:rPr>
  </w:style>
  <w:style w:type="paragraph" w:styleId="Definition" w:customStyle="1">
    <w:name w:val="Definition"/>
    <w:basedOn w:val="Body"/>
    <w:rsid w:val="00423789"/>
  </w:style>
  <w:style w:type="paragraph" w:styleId="Head2" w:customStyle="1">
    <w:name w:val="Head2"/>
    <w:basedOn w:val="Normal"/>
    <w:next w:val="Body"/>
    <w:rsid w:val="00423789"/>
    <w:pPr>
      <w:keepNext w:val="1"/>
      <w:spacing w:after="240"/>
    </w:pPr>
    <w:rPr>
      <w:caps w:val="1"/>
    </w:rPr>
  </w:style>
  <w:style w:type="character" w:styleId="Bold" w:customStyle="1">
    <w:name w:val="Bold"/>
    <w:rsid w:val="00423789"/>
    <w:rPr>
      <w:b w:val="1"/>
    </w:rPr>
  </w:style>
  <w:style w:type="character" w:styleId="Italic" w:customStyle="1">
    <w:name w:val="Italic"/>
    <w:rsid w:val="00423789"/>
    <w:rPr>
      <w:i w:val="1"/>
    </w:rPr>
  </w:style>
  <w:style w:type="character" w:styleId="Underline" w:customStyle="1">
    <w:name w:val="Underline"/>
    <w:rsid w:val="00423789"/>
    <w:rPr>
      <w:u w:val="single"/>
    </w:rPr>
  </w:style>
  <w:style w:type="paragraph" w:styleId="MainHead" w:customStyle="1">
    <w:name w:val="Main Head"/>
    <w:basedOn w:val="Normal"/>
    <w:rsid w:val="00423789"/>
    <w:pPr>
      <w:keepNext w:val="1"/>
      <w:spacing w:after="240"/>
    </w:pPr>
    <w:rPr>
      <w:b w:val="1"/>
      <w:caps w:val="1"/>
    </w:rPr>
  </w:style>
  <w:style w:type="paragraph" w:styleId="Equation" w:customStyle="1">
    <w:name w:val="Equation"/>
    <w:basedOn w:val="Body"/>
    <w:rsid w:val="0053056E"/>
  </w:style>
  <w:style w:type="paragraph" w:styleId="Figure" w:customStyle="1">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styleId="Head40" w:customStyle="1">
    <w:name w:val="Head 4"/>
    <w:basedOn w:val="Head3"/>
    <w:rsid w:val="00423789"/>
    <w:rPr>
      <w:u w:val="none"/>
    </w:rPr>
  </w:style>
  <w:style w:type="paragraph" w:styleId="Header">
    <w:name w:val="header"/>
    <w:basedOn w:val="Normal"/>
    <w:rsid w:val="00423789"/>
    <w:pPr>
      <w:tabs>
        <w:tab w:val="center" w:pos="4320"/>
        <w:tab w:val="right" w:pos="8640"/>
      </w:tabs>
    </w:pPr>
  </w:style>
  <w:style w:type="paragraph" w:styleId="Paper" w:customStyle="1">
    <w:name w:val="Paper"/>
    <w:basedOn w:val="Normal"/>
    <w:rsid w:val="00423789"/>
    <w:pPr>
      <w:spacing w:after="360" w:line="440" w:lineRule="exact"/>
      <w:jc w:val="right"/>
    </w:pPr>
    <w:rPr>
      <w:b w:val="1"/>
      <w:sz w:val="36"/>
    </w:rPr>
  </w:style>
  <w:style w:type="paragraph" w:styleId="Signature">
    <w:name w:val="Signature"/>
    <w:basedOn w:val="Normal"/>
    <w:rsid w:val="00423789"/>
    <w:pPr>
      <w:ind w:left="4320"/>
    </w:pPr>
  </w:style>
  <w:style w:type="character" w:styleId="Subscript" w:customStyle="1">
    <w:name w:val="Subscript"/>
    <w:rsid w:val="00423789"/>
    <w:rPr>
      <w:vertAlign w:val="subscript"/>
    </w:rPr>
  </w:style>
  <w:style w:type="character" w:styleId="Superscript" w:customStyle="1">
    <w:name w:val="Superscript"/>
    <w:rsid w:val="00423789"/>
    <w:rPr>
      <w:vertAlign w:val="superscript"/>
    </w:rPr>
  </w:style>
  <w:style w:type="character" w:styleId="Symbol" w:customStyle="1">
    <w:name w:val="Symbol"/>
    <w:rsid w:val="00423789"/>
    <w:rPr>
      <w:rFonts w:ascii="Symbol" w:hAnsi="Symbol"/>
    </w:rPr>
  </w:style>
  <w:style w:type="paragraph" w:styleId="SymbolP" w:customStyle="1">
    <w:name w:val="Symbol P"/>
    <w:basedOn w:val="Body"/>
    <w:rsid w:val="00423789"/>
    <w:pPr>
      <w:tabs>
        <w:tab w:val="left" w:pos="720"/>
        <w:tab w:val="left" w:pos="3780"/>
      </w:tabs>
      <w:spacing w:after="0"/>
    </w:pPr>
    <w:rPr>
      <w:sz w:val="24"/>
    </w:rPr>
  </w:style>
  <w:style w:type="character" w:styleId="BoldItal" w:customStyle="1">
    <w:name w:val="BoldItal"/>
    <w:basedOn w:val="DefaultParagraphFont"/>
    <w:rsid w:val="00423789"/>
    <w:rPr>
      <w:b w:val="1"/>
      <w:i w:val="1"/>
    </w:rPr>
  </w:style>
  <w:style w:type="character" w:styleId="SubItal" w:customStyle="1">
    <w:name w:val="SubItal"/>
    <w:rsid w:val="00423789"/>
    <w:rPr>
      <w:i w:val="1"/>
      <w:vertAlign w:val="subscript"/>
    </w:rPr>
  </w:style>
  <w:style w:type="character" w:styleId="SuperItal" w:customStyle="1">
    <w:name w:val="SuperItal"/>
    <w:rsid w:val="00423789"/>
    <w:rPr>
      <w:i w:val="1"/>
      <w:vertAlign w:val="superscript"/>
    </w:rPr>
  </w:style>
  <w:style w:type="character" w:styleId="SymItal" w:customStyle="1">
    <w:name w:val="SymItal"/>
    <w:rsid w:val="00423789"/>
    <w:rPr>
      <w:rFonts w:ascii="Symbol" w:hAnsi="Symbol"/>
      <w:i w:val="1"/>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BodyText2">
    <w:name w:val="Body Text 2"/>
    <w:basedOn w:val="Normal"/>
    <w:link w:val="BodyText2Char"/>
    <w:rsid w:val="00EF7FD8"/>
    <w:pPr>
      <w:spacing w:after="120" w:line="480" w:lineRule="auto"/>
    </w:pPr>
  </w:style>
  <w:style w:type="character" w:styleId="BodyText2Char" w:customStyle="1">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val="1"/>
    <w:rsid w:val="00746E59"/>
    <w:rPr>
      <w:sz w:val="16"/>
      <w:szCs w:val="16"/>
    </w:rPr>
  </w:style>
  <w:style w:type="paragraph" w:styleId="CommentText">
    <w:name w:val="annotation text"/>
    <w:basedOn w:val="Normal"/>
    <w:link w:val="CommentTextChar"/>
    <w:uiPriority w:val="99"/>
    <w:unhideWhenUsed w:val="1"/>
    <w:rsid w:val="00746E59"/>
    <w:rPr>
      <w:rFonts w:ascii="Times New Roman" w:hAnsi="Times New Roman"/>
      <w:lang w:eastAsia="nb-NO" w:val="nb-NO"/>
    </w:rPr>
  </w:style>
  <w:style w:type="character" w:styleId="CommentTextChar" w:customStyle="1">
    <w:name w:val="Comment Text Char"/>
    <w:basedOn w:val="DefaultParagraphFont"/>
    <w:link w:val="CommentText"/>
    <w:uiPriority w:val="99"/>
    <w:rsid w:val="00746E59"/>
    <w:rPr>
      <w:lang w:eastAsia="nb-NO" w:val="nb-NO"/>
    </w:rPr>
  </w:style>
  <w:style w:type="paragraph" w:styleId="BalloonText">
    <w:name w:val="Balloon Text"/>
    <w:basedOn w:val="Normal"/>
    <w:link w:val="BalloonTextChar"/>
    <w:rsid w:val="00746E59"/>
    <w:rPr>
      <w:rFonts w:ascii="Tahoma" w:cs="Tahoma" w:hAnsi="Tahoma"/>
      <w:sz w:val="16"/>
      <w:szCs w:val="16"/>
    </w:rPr>
  </w:style>
  <w:style w:type="character" w:styleId="BalloonTextChar" w:customStyle="1">
    <w:name w:val="Balloon Text Char"/>
    <w:basedOn w:val="DefaultParagraphFont"/>
    <w:link w:val="BalloonText"/>
    <w:rsid w:val="00746E59"/>
    <w:rPr>
      <w:rFonts w:ascii="Tahoma" w:cs="Tahoma" w:hAnsi="Tahoma"/>
      <w:sz w:val="16"/>
      <w:szCs w:val="16"/>
    </w:rPr>
  </w:style>
  <w:style w:type="paragraph" w:styleId="BodyText3">
    <w:name w:val="Body Text 3"/>
    <w:basedOn w:val="Normal"/>
    <w:link w:val="BodyText3Char"/>
    <w:rsid w:val="00231920"/>
    <w:pPr>
      <w:spacing w:after="120"/>
    </w:pPr>
    <w:rPr>
      <w:sz w:val="16"/>
      <w:szCs w:val="16"/>
    </w:rPr>
  </w:style>
  <w:style w:type="character" w:styleId="BodyText3Char" w:customStyle="1">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val="1"/>
    <w:rsid w:val="0024282C"/>
    <w:rPr>
      <w:i w:val="1"/>
      <w:iCs w:val="1"/>
    </w:rPr>
  </w:style>
  <w:style w:type="character" w:styleId="UnresolvedMention">
    <w:name w:val="Unresolved Mention"/>
    <w:basedOn w:val="DefaultParagraphFont"/>
    <w:uiPriority w:val="99"/>
    <w:semiHidden w:val="1"/>
    <w:unhideWhenUsed w:val="1"/>
    <w:rsid w:val="00287E68"/>
    <w:rPr>
      <w:color w:val="605e5c"/>
      <w:shd w:color="auto" w:fill="e1dfdd" w:val="clear"/>
    </w:rPr>
  </w:style>
  <w:style w:type="character" w:styleId="Heading3Char" w:customStyle="1">
    <w:name w:val="Heading 3 Char"/>
    <w:basedOn w:val="DefaultParagraphFont"/>
    <w:link w:val="Heading3"/>
    <w:uiPriority w:val="9"/>
    <w:semiHidden w:val="1"/>
    <w:rsid w:val="00592E28"/>
    <w:rPr>
      <w:rFonts w:asciiTheme="majorHAnsi" w:cstheme="majorBidi" w:eastAsiaTheme="majorEastAsia" w:hAnsiTheme="majorHAnsi"/>
      <w:color w:val="243f60" w:themeColor="accent1" w:themeShade="00007F"/>
      <w:sz w:val="24"/>
      <w:szCs w:val="24"/>
    </w:rPr>
  </w:style>
  <w:style w:type="character" w:styleId="Strong">
    <w:name w:val="Strong"/>
    <w:basedOn w:val="DefaultParagraphFont"/>
    <w:uiPriority w:val="22"/>
    <w:qFormat w:val="1"/>
    <w:rsid w:val="00727FCA"/>
    <w:rPr>
      <w:b w:val="1"/>
      <w:bCs w:val="1"/>
    </w:rPr>
  </w:style>
  <w:style w:type="paragraph" w:styleId="NoSpacing">
    <w:name w:val="No Spacing"/>
    <w:uiPriority w:val="1"/>
    <w:qFormat w:val="1"/>
    <w:rsid w:val="00E00EB1"/>
    <w:rPr>
      <w:rFonts w:asciiTheme="minorHAnsi" w:cstheme="minorBidi" w:eastAsiaTheme="minorHAnsi" w:hAnsiTheme="minorHAnsi"/>
      <w:sz w:val="22"/>
      <w:szCs w:val="22"/>
      <w:lang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4.xml"/><Relationship Id="rId11" Type="http://schemas.openxmlformats.org/officeDocument/2006/relationships/footer" Target="footer3.xml"/><Relationship Id="rId10" Type="http://schemas.openxmlformats.org/officeDocument/2006/relationships/footer" Target="footer2.xml"/><Relationship Id="rId13" Type="http://schemas.openxmlformats.org/officeDocument/2006/relationships/image" Target="media/image1.png"/><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5" Type="http://schemas.openxmlformats.org/officeDocument/2006/relationships/hyperlink" Target="https://doi.org/10.24018/ejfood.2025.7.4.925" TargetMode="External"/><Relationship Id="rId14" Type="http://schemas.openxmlformats.org/officeDocument/2006/relationships/hyperlink" Target="https://doi.org/10.5281/zenodo.%207536324" TargetMode="External"/><Relationship Id="rId17" Type="http://schemas.openxmlformats.org/officeDocument/2006/relationships/header" Target="header5.xml"/><Relationship Id="rId16" Type="http://schemas.openxmlformats.org/officeDocument/2006/relationships/hyperlink" Target="https://doi.org/10.1016/j.fbio.2024.103670" TargetMode="External"/><Relationship Id="rId5" Type="http://schemas.openxmlformats.org/officeDocument/2006/relationships/styles" Target="styles.xml"/><Relationship Id="rId19" Type="http://schemas.openxmlformats.org/officeDocument/2006/relationships/header" Target="header4.xml"/><Relationship Id="rId6" Type="http://schemas.openxmlformats.org/officeDocument/2006/relationships/customXml" Target="../customXML/item1.xml"/><Relationship Id="rId18" Type="http://schemas.openxmlformats.org/officeDocument/2006/relationships/header" Target="header6.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Ct/19pSdGJj1UKuaSCAEKOzmIg==">CgMxLjAyDmgubHgyeWxjcTN2c2tnMg5oLml4b3dhNjQ1ZHA0aDIOaC4xeXVvb3R6NTZlMjYyDmgubmY0emNmaTNldHpmMg5oLjNxeHhnODFmcGJjcTIOaC51anR1OXRndHBidXMyDmguZzZzd3A4a3h0eWRrMg5oLjNpaHY5OTJ2YmJ3NzIOaC5iNTQxanZxZ3M4OGIyDmgucHFvdnR4aXEybGI3OAByITFvdmY0cWlIVEZRV1otQzlzeF9uMUM3NHRTVDMzbFU1VQ==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2026-01-09T09:12:00Z</dcterms:created>
  <dc:creator>SDI</dc:creator>
</cp:coreProperties>
</file>