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30D71" w14:textId="77777777" w:rsidR="005C0872" w:rsidRPr="00FD71F0" w:rsidRDefault="005C0872" w:rsidP="00AE2E93">
      <w:pPr>
        <w:spacing w:line="276" w:lineRule="auto"/>
        <w:jc w:val="right"/>
        <w:rPr>
          <w:rFonts w:ascii="Times New Roman" w:hAnsi="Times New Roman" w:cs="Times New Roman"/>
          <w:b/>
          <w:bCs/>
          <w:i/>
          <w:sz w:val="32"/>
          <w:u w:val="single"/>
        </w:rPr>
      </w:pPr>
      <w:r w:rsidRPr="00FD71F0">
        <w:rPr>
          <w:rFonts w:ascii="Times New Roman" w:hAnsi="Times New Roman" w:cs="Times New Roman"/>
          <w:b/>
          <w:bCs/>
          <w:i/>
          <w:sz w:val="32"/>
          <w:u w:val="single"/>
        </w:rPr>
        <w:t xml:space="preserve">Original Research Article </w:t>
      </w:r>
    </w:p>
    <w:p w14:paraId="06CF410B" w14:textId="03767E97" w:rsidR="00674C55" w:rsidRDefault="005144D8" w:rsidP="00AE2E93">
      <w:pPr>
        <w:spacing w:line="276" w:lineRule="auto"/>
        <w:jc w:val="right"/>
        <w:rPr>
          <w:rFonts w:ascii="Times New Roman" w:hAnsi="Times New Roman" w:cs="Times New Roman"/>
          <w:b/>
          <w:bCs/>
        </w:rPr>
      </w:pPr>
      <w:r>
        <w:rPr>
          <w:rFonts w:ascii="Times New Roman" w:hAnsi="Times New Roman" w:cs="Times New Roman"/>
          <w:b/>
          <w:bCs/>
        </w:rPr>
        <w:t>Epidemiological factors affecting brown spot (</w:t>
      </w:r>
      <w:r>
        <w:rPr>
          <w:rFonts w:ascii="Times New Roman" w:hAnsi="Times New Roman" w:cs="Times New Roman"/>
          <w:b/>
          <w:bCs/>
          <w:i/>
          <w:iCs/>
        </w:rPr>
        <w:t>Physoderma maydis</w:t>
      </w:r>
      <w:r>
        <w:rPr>
          <w:rFonts w:ascii="Times New Roman" w:hAnsi="Times New Roman" w:cs="Times New Roman"/>
          <w:b/>
          <w:bCs/>
        </w:rPr>
        <w:t>) progression in maize (</w:t>
      </w:r>
      <w:r>
        <w:rPr>
          <w:rFonts w:ascii="Times New Roman" w:hAnsi="Times New Roman" w:cs="Times New Roman"/>
          <w:b/>
          <w:bCs/>
          <w:i/>
          <w:iCs/>
        </w:rPr>
        <w:t xml:space="preserve">Zea mays </w:t>
      </w:r>
      <w:r>
        <w:rPr>
          <w:rFonts w:ascii="Times New Roman" w:hAnsi="Times New Roman" w:cs="Times New Roman"/>
          <w:b/>
          <w:bCs/>
        </w:rPr>
        <w:t>L.)</w:t>
      </w:r>
    </w:p>
    <w:p w14:paraId="03D61231" w14:textId="77777777" w:rsidR="00CA702F" w:rsidRDefault="00CA702F" w:rsidP="00391DB4">
      <w:pPr>
        <w:spacing w:line="276" w:lineRule="auto"/>
        <w:jc w:val="both"/>
        <w:rPr>
          <w:rFonts w:ascii="Times New Roman" w:hAnsi="Times New Roman" w:cs="Times New Roman"/>
        </w:rPr>
      </w:pPr>
    </w:p>
    <w:p w14:paraId="1D8D4B5D" w14:textId="0DB8C123" w:rsidR="00313970" w:rsidRPr="00E4460C" w:rsidRDefault="00313970" w:rsidP="00391DB4">
      <w:pPr>
        <w:spacing w:line="276" w:lineRule="auto"/>
        <w:jc w:val="both"/>
        <w:rPr>
          <w:rFonts w:ascii="Arial" w:hAnsi="Arial" w:cs="Arial"/>
          <w:b/>
          <w:bCs/>
          <w:sz w:val="22"/>
          <w:szCs w:val="22"/>
        </w:rPr>
      </w:pPr>
      <w:r w:rsidRPr="00E4460C">
        <w:rPr>
          <w:rFonts w:ascii="Arial" w:hAnsi="Arial" w:cs="Arial"/>
          <w:b/>
          <w:bCs/>
          <w:sz w:val="22"/>
          <w:szCs w:val="22"/>
        </w:rPr>
        <w:t>A</w:t>
      </w:r>
      <w:r w:rsidR="00E4460C" w:rsidRPr="00E4460C">
        <w:rPr>
          <w:rFonts w:ascii="Arial" w:hAnsi="Arial" w:cs="Arial"/>
          <w:b/>
          <w:bCs/>
          <w:sz w:val="22"/>
          <w:szCs w:val="22"/>
        </w:rPr>
        <w:t>BSTRACT</w:t>
      </w:r>
    </w:p>
    <w:p w14:paraId="369BC4F9" w14:textId="72F85F80" w:rsidR="00876BD0" w:rsidRPr="00E4460C" w:rsidRDefault="00876BD0" w:rsidP="00273ADA">
      <w:pPr>
        <w:spacing w:after="0" w:line="360" w:lineRule="auto"/>
        <w:ind w:firstLine="720"/>
        <w:jc w:val="both"/>
        <w:rPr>
          <w:rFonts w:ascii="Arial" w:hAnsi="Arial" w:cs="Arial"/>
          <w:sz w:val="20"/>
          <w:szCs w:val="20"/>
        </w:rPr>
      </w:pPr>
      <w:r w:rsidRPr="00E4460C">
        <w:rPr>
          <w:rFonts w:ascii="Arial" w:hAnsi="Arial" w:cs="Arial"/>
          <w:sz w:val="20"/>
          <w:szCs w:val="20"/>
        </w:rPr>
        <w:t>Brown spot of maize</w:t>
      </w:r>
      <w:r w:rsidR="000F31F1" w:rsidRPr="00E4460C">
        <w:rPr>
          <w:rFonts w:ascii="Arial" w:hAnsi="Arial" w:cs="Arial"/>
          <w:sz w:val="20"/>
          <w:szCs w:val="20"/>
        </w:rPr>
        <w:t xml:space="preserve"> (</w:t>
      </w:r>
      <w:r w:rsidR="000F31F1" w:rsidRPr="00E4460C">
        <w:rPr>
          <w:rFonts w:ascii="Arial" w:hAnsi="Arial" w:cs="Arial"/>
          <w:i/>
          <w:iCs/>
          <w:sz w:val="20"/>
          <w:szCs w:val="20"/>
        </w:rPr>
        <w:t>Zea mays</w:t>
      </w:r>
      <w:r w:rsidR="000F31F1" w:rsidRPr="00E4460C">
        <w:rPr>
          <w:rFonts w:ascii="Arial" w:hAnsi="Arial" w:cs="Arial"/>
          <w:sz w:val="20"/>
          <w:szCs w:val="20"/>
        </w:rPr>
        <w:t xml:space="preserve"> L.)</w:t>
      </w:r>
      <w:r w:rsidRPr="00E4460C">
        <w:rPr>
          <w:rFonts w:ascii="Arial" w:hAnsi="Arial" w:cs="Arial"/>
          <w:sz w:val="20"/>
          <w:szCs w:val="20"/>
        </w:rPr>
        <w:t xml:space="preserve"> caused by </w:t>
      </w:r>
      <w:r w:rsidRPr="00E4460C">
        <w:rPr>
          <w:rFonts w:ascii="Arial" w:hAnsi="Arial" w:cs="Arial"/>
          <w:i/>
          <w:iCs/>
          <w:sz w:val="20"/>
          <w:szCs w:val="20"/>
        </w:rPr>
        <w:t>Physoderma maydis</w:t>
      </w:r>
      <w:r w:rsidRPr="00E4460C">
        <w:rPr>
          <w:rFonts w:ascii="Arial" w:hAnsi="Arial" w:cs="Arial"/>
          <w:sz w:val="20"/>
          <w:szCs w:val="20"/>
        </w:rPr>
        <w:t xml:space="preserve"> is an emerging disease whose development is influenced by several host- and pathogen-related factors. </w:t>
      </w:r>
      <w:r w:rsidR="00AD137E" w:rsidRPr="00AD137E">
        <w:rPr>
          <w:rFonts w:ascii="Arial" w:hAnsi="Arial" w:cs="Arial"/>
          <w:sz w:val="20"/>
          <w:szCs w:val="20"/>
        </w:rPr>
        <w:t xml:space="preserve">The present study was undertaken under controlled polyhouse conditions using </w:t>
      </w:r>
      <w:r w:rsidR="00AD137E">
        <w:rPr>
          <w:rFonts w:ascii="Arial" w:hAnsi="Arial" w:cs="Arial"/>
          <w:sz w:val="20"/>
          <w:szCs w:val="20"/>
        </w:rPr>
        <w:t xml:space="preserve">a </w:t>
      </w:r>
      <w:r w:rsidR="00AD137E" w:rsidRPr="00AD137E">
        <w:rPr>
          <w:rFonts w:ascii="Arial" w:hAnsi="Arial" w:cs="Arial"/>
          <w:sz w:val="20"/>
          <w:szCs w:val="20"/>
        </w:rPr>
        <w:t>whorl inoculation technique to elucidate the role of host age, pathogen culture age, inoculum load, and sub-culturing on disease development</w:t>
      </w:r>
      <w:r w:rsidR="00AD137E">
        <w:rPr>
          <w:rFonts w:ascii="Arial" w:hAnsi="Arial" w:cs="Arial"/>
          <w:sz w:val="20"/>
          <w:szCs w:val="20"/>
        </w:rPr>
        <w:t xml:space="preserve">. </w:t>
      </w:r>
      <w:r w:rsidRPr="00E4460C">
        <w:rPr>
          <w:rFonts w:ascii="Arial" w:hAnsi="Arial" w:cs="Arial"/>
          <w:sz w:val="20"/>
          <w:szCs w:val="20"/>
        </w:rPr>
        <w:t>Host susceptibility increased with plant age with maximum disease progression in 50-days old plants, whereas, reduced severity at later stages suggested the onset of age-related resistance. Among varying culture ages, 14-days old culture exhibited peak virulence with disease severity (26.85%) and apparent infection rate of (0.04 r/day). A sporangial concentration of 1×10</w:t>
      </w:r>
      <w:r w:rsidRPr="00E4460C">
        <w:rPr>
          <w:rFonts w:ascii="Arial" w:hAnsi="Arial" w:cs="Arial"/>
          <w:sz w:val="20"/>
          <w:szCs w:val="20"/>
          <w:vertAlign w:val="superscript"/>
        </w:rPr>
        <w:t xml:space="preserve">6 </w:t>
      </w:r>
      <w:r w:rsidRPr="00E4460C">
        <w:rPr>
          <w:rFonts w:ascii="Arial" w:hAnsi="Arial" w:cs="Arial"/>
          <w:sz w:val="20"/>
          <w:szCs w:val="20"/>
        </w:rPr>
        <w:t xml:space="preserve">sporangia/ml resulted in maximum average disease index (39.51%) and shortest average incubation period of 13.0 days establishing as optimal inoculum load. Among varying sub-culturing of the pathogen, highest average disease index </w:t>
      </w:r>
      <w:r w:rsidR="008C112A" w:rsidRPr="00E4460C">
        <w:rPr>
          <w:rFonts w:ascii="Arial" w:hAnsi="Arial" w:cs="Arial"/>
          <w:sz w:val="20"/>
          <w:szCs w:val="20"/>
        </w:rPr>
        <w:t>(</w:t>
      </w:r>
      <w:r w:rsidRPr="00E4460C">
        <w:rPr>
          <w:rFonts w:ascii="Arial" w:hAnsi="Arial" w:cs="Arial"/>
          <w:sz w:val="20"/>
          <w:szCs w:val="20"/>
        </w:rPr>
        <w:t>22.22</w:t>
      </w:r>
      <w:r w:rsidR="008C112A" w:rsidRPr="00E4460C">
        <w:rPr>
          <w:rFonts w:ascii="Arial" w:hAnsi="Arial" w:cs="Arial"/>
          <w:sz w:val="20"/>
          <w:szCs w:val="20"/>
        </w:rPr>
        <w:t>%)</w:t>
      </w:r>
      <w:r w:rsidRPr="00E4460C">
        <w:rPr>
          <w:rFonts w:ascii="Arial" w:hAnsi="Arial" w:cs="Arial"/>
          <w:sz w:val="20"/>
          <w:szCs w:val="20"/>
        </w:rPr>
        <w:t xml:space="preserve"> was recorded in the maize plants inoculated with 1</w:t>
      </w:r>
      <w:r w:rsidRPr="00E4460C">
        <w:rPr>
          <w:rFonts w:ascii="Arial" w:hAnsi="Arial" w:cs="Arial"/>
          <w:sz w:val="20"/>
          <w:szCs w:val="20"/>
          <w:vertAlign w:val="superscript"/>
        </w:rPr>
        <w:t>st</w:t>
      </w:r>
      <w:r w:rsidRPr="00E4460C">
        <w:rPr>
          <w:rFonts w:ascii="Arial" w:hAnsi="Arial" w:cs="Arial"/>
          <w:sz w:val="20"/>
          <w:szCs w:val="20"/>
        </w:rPr>
        <w:t xml:space="preserve"> sub-culture. </w:t>
      </w:r>
      <w:r w:rsidR="000F31F1" w:rsidRPr="00E4460C">
        <w:rPr>
          <w:rFonts w:ascii="Arial" w:hAnsi="Arial" w:cs="Arial"/>
          <w:sz w:val="20"/>
          <w:szCs w:val="20"/>
        </w:rPr>
        <w:t xml:space="preserve">These findings enhance understanding of </w:t>
      </w:r>
      <w:r w:rsidR="000F31F1" w:rsidRPr="00E4460C">
        <w:rPr>
          <w:rFonts w:ascii="Arial" w:hAnsi="Arial" w:cs="Arial"/>
          <w:i/>
          <w:iCs/>
          <w:sz w:val="20"/>
          <w:szCs w:val="20"/>
        </w:rPr>
        <w:t xml:space="preserve">P. maydis </w:t>
      </w:r>
      <w:r w:rsidR="000F31F1" w:rsidRPr="00E4460C">
        <w:rPr>
          <w:rFonts w:ascii="Arial" w:hAnsi="Arial" w:cs="Arial"/>
          <w:sz w:val="20"/>
          <w:szCs w:val="20"/>
        </w:rPr>
        <w:t>pathogenesis and provide framework for developing effective screening and disease management strategies in maize.</w:t>
      </w:r>
      <w:r w:rsidR="000F0C2C">
        <w:rPr>
          <w:rFonts w:ascii="Arial" w:hAnsi="Arial" w:cs="Arial"/>
          <w:sz w:val="20"/>
          <w:szCs w:val="20"/>
        </w:rPr>
        <w:t xml:space="preserve"> </w:t>
      </w:r>
      <w:r w:rsidR="000F0C2C" w:rsidRPr="000F0C2C">
        <w:rPr>
          <w:rFonts w:ascii="Arial" w:hAnsi="Arial" w:cs="Arial"/>
          <w:sz w:val="20"/>
          <w:szCs w:val="20"/>
        </w:rPr>
        <w:t>Furthermore,</w:t>
      </w:r>
      <w:r w:rsidR="000F0C2C">
        <w:rPr>
          <w:rFonts w:ascii="Arial" w:hAnsi="Arial" w:cs="Arial"/>
          <w:sz w:val="20"/>
          <w:szCs w:val="20"/>
        </w:rPr>
        <w:t xml:space="preserve"> these findings elucidate</w:t>
      </w:r>
      <w:r w:rsidR="000F0C2C" w:rsidRPr="000F0C2C">
        <w:rPr>
          <w:rFonts w:ascii="Arial" w:hAnsi="Arial" w:cs="Arial"/>
          <w:sz w:val="20"/>
          <w:szCs w:val="20"/>
        </w:rPr>
        <w:t xml:space="preserve"> age-related resistance and </w:t>
      </w:r>
      <w:r w:rsidR="000F0C2C">
        <w:rPr>
          <w:rFonts w:ascii="Arial" w:hAnsi="Arial" w:cs="Arial"/>
          <w:sz w:val="20"/>
          <w:szCs w:val="20"/>
        </w:rPr>
        <w:t xml:space="preserve">define </w:t>
      </w:r>
      <w:r w:rsidR="000F0C2C" w:rsidRPr="000F0C2C">
        <w:rPr>
          <w:rFonts w:ascii="Arial" w:hAnsi="Arial" w:cs="Arial"/>
          <w:sz w:val="20"/>
          <w:szCs w:val="20"/>
        </w:rPr>
        <w:t>optimal inoculation factors</w:t>
      </w:r>
      <w:r w:rsidR="000F0C2C">
        <w:rPr>
          <w:rFonts w:ascii="Arial" w:hAnsi="Arial" w:cs="Arial"/>
          <w:sz w:val="20"/>
          <w:szCs w:val="20"/>
        </w:rPr>
        <w:t>,</w:t>
      </w:r>
      <w:r w:rsidR="000F0C2C" w:rsidRPr="000F0C2C">
        <w:rPr>
          <w:rFonts w:ascii="Arial" w:hAnsi="Arial" w:cs="Arial"/>
          <w:sz w:val="20"/>
          <w:szCs w:val="20"/>
        </w:rPr>
        <w:t xml:space="preserve"> offer</w:t>
      </w:r>
      <w:r w:rsidR="000F0C2C">
        <w:rPr>
          <w:rFonts w:ascii="Arial" w:hAnsi="Arial" w:cs="Arial"/>
          <w:sz w:val="20"/>
          <w:szCs w:val="20"/>
        </w:rPr>
        <w:t>ing</w:t>
      </w:r>
      <w:r w:rsidR="000F0C2C" w:rsidRPr="000F0C2C">
        <w:rPr>
          <w:rFonts w:ascii="Arial" w:hAnsi="Arial" w:cs="Arial"/>
          <w:sz w:val="20"/>
          <w:szCs w:val="20"/>
        </w:rPr>
        <w:t xml:space="preserve"> practical insights for timing of management interventions and supports the development of durable resistance through targeted breeding strategies in maize.</w:t>
      </w:r>
    </w:p>
    <w:p w14:paraId="5B745B86" w14:textId="698AF2D7" w:rsidR="000F31F1" w:rsidRPr="00E4460C" w:rsidRDefault="000F31F1" w:rsidP="00273ADA">
      <w:pPr>
        <w:spacing w:line="360" w:lineRule="auto"/>
        <w:jc w:val="both"/>
        <w:rPr>
          <w:rFonts w:ascii="Arial" w:hAnsi="Arial" w:cs="Arial"/>
          <w:sz w:val="20"/>
          <w:szCs w:val="20"/>
        </w:rPr>
      </w:pPr>
      <w:r w:rsidRPr="00E4460C">
        <w:rPr>
          <w:rFonts w:ascii="Arial" w:hAnsi="Arial" w:cs="Arial"/>
          <w:sz w:val="20"/>
          <w:szCs w:val="20"/>
        </w:rPr>
        <w:t xml:space="preserve">Keywords: Maize, </w:t>
      </w:r>
      <w:r w:rsidRPr="00E4460C">
        <w:rPr>
          <w:rFonts w:ascii="Arial" w:hAnsi="Arial" w:cs="Arial"/>
          <w:i/>
          <w:iCs/>
          <w:sz w:val="20"/>
          <w:szCs w:val="20"/>
        </w:rPr>
        <w:t xml:space="preserve">Physoderma maydis, </w:t>
      </w:r>
      <w:r w:rsidRPr="00E4460C">
        <w:rPr>
          <w:rFonts w:ascii="Arial" w:hAnsi="Arial" w:cs="Arial"/>
          <w:sz w:val="20"/>
          <w:szCs w:val="20"/>
        </w:rPr>
        <w:t>inoculum load, host age, pathogenicity</w:t>
      </w:r>
    </w:p>
    <w:p w14:paraId="1797A7FB" w14:textId="5C360777" w:rsidR="00C82DD8" w:rsidRPr="00E4460C" w:rsidRDefault="000E4FF3" w:rsidP="00273ADA">
      <w:pPr>
        <w:pStyle w:val="ListParagraph"/>
        <w:numPr>
          <w:ilvl w:val="0"/>
          <w:numId w:val="2"/>
        </w:numPr>
        <w:spacing w:after="0" w:line="360" w:lineRule="auto"/>
        <w:ind w:left="270" w:hanging="270"/>
        <w:jc w:val="both"/>
        <w:rPr>
          <w:rFonts w:ascii="Arial" w:hAnsi="Arial" w:cs="Arial"/>
          <w:b/>
          <w:bCs/>
          <w:sz w:val="22"/>
          <w:szCs w:val="22"/>
        </w:rPr>
      </w:pPr>
      <w:r w:rsidRPr="00E4460C">
        <w:rPr>
          <w:rFonts w:ascii="Arial" w:hAnsi="Arial" w:cs="Arial"/>
          <w:b/>
          <w:bCs/>
          <w:sz w:val="22"/>
          <w:szCs w:val="22"/>
        </w:rPr>
        <w:t xml:space="preserve">INTRODUCTION </w:t>
      </w:r>
    </w:p>
    <w:p w14:paraId="1990C32F" w14:textId="1638D292" w:rsidR="009A08F2" w:rsidRPr="00273ADA" w:rsidRDefault="000E4FF3" w:rsidP="00273ADA">
      <w:pPr>
        <w:adjustRightInd w:val="0"/>
        <w:spacing w:after="0" w:line="360" w:lineRule="auto"/>
        <w:ind w:firstLine="720"/>
        <w:jc w:val="both"/>
        <w:rPr>
          <w:rFonts w:ascii="Arial" w:hAnsi="Arial" w:cs="Arial"/>
          <w:sz w:val="20"/>
          <w:szCs w:val="20"/>
        </w:rPr>
      </w:pPr>
      <w:r w:rsidRPr="00273ADA">
        <w:rPr>
          <w:rFonts w:ascii="Arial" w:hAnsi="Arial" w:cs="Arial"/>
          <w:sz w:val="20"/>
          <w:szCs w:val="20"/>
        </w:rPr>
        <w:t>Maize (</w:t>
      </w:r>
      <w:r w:rsidRPr="00273ADA">
        <w:rPr>
          <w:rFonts w:ascii="Arial" w:hAnsi="Arial" w:cs="Arial"/>
          <w:i/>
          <w:iCs/>
          <w:sz w:val="20"/>
          <w:szCs w:val="20"/>
        </w:rPr>
        <w:t xml:space="preserve">Zea mays </w:t>
      </w:r>
      <w:r w:rsidRPr="00273ADA">
        <w:rPr>
          <w:rFonts w:ascii="Arial" w:hAnsi="Arial" w:cs="Arial"/>
          <w:sz w:val="20"/>
          <w:szCs w:val="20"/>
        </w:rPr>
        <w:t>L.), belonging to the family Poaceae which is originated from Mexico and Central America,</w:t>
      </w:r>
      <w:r w:rsidRPr="00273ADA">
        <w:rPr>
          <w:rFonts w:ascii="Arial" w:hAnsi="Arial" w:cs="Arial"/>
          <w:i/>
          <w:iCs/>
          <w:sz w:val="20"/>
          <w:szCs w:val="20"/>
        </w:rPr>
        <w:t xml:space="preserve"> </w:t>
      </w:r>
      <w:r w:rsidRPr="00273ADA">
        <w:rPr>
          <w:rFonts w:ascii="Arial" w:hAnsi="Arial" w:cs="Arial"/>
          <w:sz w:val="20"/>
          <w:szCs w:val="20"/>
        </w:rPr>
        <w:t>is an important food and feed crop grown in more than 160 countries worldwide (Shah et al. 2023). It is considered as ‘Queen of cereals’ due to its highest genetic yield potential among cereals and multiple uses as feed (63%), food (23%), starch industries (12%), seed and miscellaneous uses (2%) in India. Quality protein maize is rich in two essential amino acids i.e., lysine and tryptophan, making it vital for enhancing the nutritional value of the daily diet (Haque et al. 2022). The leading producer of maize is USA contributing 31.00 per cent of the world’s maize production followed by China, Brazil, European Union, Argentina, India, Ukraine, Mexico, South Africa and Canada (FAOSTAT</w:t>
      </w:r>
      <w:r w:rsidR="00C74E18">
        <w:rPr>
          <w:rFonts w:ascii="Arial" w:hAnsi="Arial" w:cs="Arial"/>
          <w:sz w:val="20"/>
          <w:szCs w:val="20"/>
        </w:rPr>
        <w:t>,</w:t>
      </w:r>
      <w:r w:rsidRPr="00273ADA">
        <w:rPr>
          <w:rFonts w:ascii="Arial" w:hAnsi="Arial" w:cs="Arial"/>
          <w:sz w:val="20"/>
          <w:szCs w:val="20"/>
        </w:rPr>
        <w:t xml:space="preserve"> 2024). In India, maize is cultivated in an area of 12.09 million hectares of land having total production of 43.41 million MT along with productivity of 3.59 MT per hectares (DA&amp;FW</w:t>
      </w:r>
      <w:r w:rsidR="00C74E18">
        <w:rPr>
          <w:rFonts w:ascii="Arial" w:hAnsi="Arial" w:cs="Arial"/>
          <w:sz w:val="20"/>
          <w:szCs w:val="20"/>
        </w:rPr>
        <w:t>,</w:t>
      </w:r>
      <w:r w:rsidRPr="00273ADA">
        <w:rPr>
          <w:rFonts w:ascii="Arial" w:hAnsi="Arial" w:cs="Arial"/>
          <w:sz w:val="20"/>
          <w:szCs w:val="20"/>
        </w:rPr>
        <w:t xml:space="preserve"> 2024). In Himachal Pradesh, maize is mainly grown in </w:t>
      </w:r>
      <w:r w:rsidRPr="00273ADA">
        <w:rPr>
          <w:rFonts w:ascii="Arial" w:hAnsi="Arial" w:cs="Arial"/>
          <w:i/>
          <w:iCs/>
          <w:sz w:val="20"/>
          <w:szCs w:val="20"/>
        </w:rPr>
        <w:t xml:space="preserve">kharif </w:t>
      </w:r>
      <w:r w:rsidRPr="00273ADA">
        <w:rPr>
          <w:rFonts w:ascii="Arial" w:hAnsi="Arial" w:cs="Arial"/>
          <w:sz w:val="20"/>
          <w:szCs w:val="20"/>
        </w:rPr>
        <w:t>season under rained conditions in an area of 255.54 thousand hectares with production of 708.42 thousand MT and productivity of 27.72 q/ha (HPDOA</w:t>
      </w:r>
      <w:r w:rsidR="00C74E18">
        <w:rPr>
          <w:rFonts w:ascii="Arial" w:hAnsi="Arial" w:cs="Arial"/>
          <w:sz w:val="20"/>
          <w:szCs w:val="20"/>
        </w:rPr>
        <w:t>,</w:t>
      </w:r>
      <w:r w:rsidRPr="00273ADA">
        <w:rPr>
          <w:rFonts w:ascii="Arial" w:hAnsi="Arial" w:cs="Arial"/>
          <w:sz w:val="20"/>
          <w:szCs w:val="20"/>
        </w:rPr>
        <w:t xml:space="preserve"> 2022). In Himachal Pradesh, highest area and production of maize is found in Mandi district followed by Kangra, Hamirpur, Chamba and Bilaspur respectively (Yadav et al. 2015). </w:t>
      </w:r>
    </w:p>
    <w:p w14:paraId="38FE25AB" w14:textId="48FE98D2" w:rsidR="000E4FF3" w:rsidRPr="00273ADA" w:rsidRDefault="000E4FF3" w:rsidP="00273ADA">
      <w:pPr>
        <w:adjustRightInd w:val="0"/>
        <w:spacing w:after="0" w:line="360" w:lineRule="auto"/>
        <w:ind w:firstLine="720"/>
        <w:jc w:val="both"/>
        <w:rPr>
          <w:rFonts w:ascii="Arial" w:hAnsi="Arial" w:cs="Arial"/>
          <w:sz w:val="20"/>
          <w:szCs w:val="20"/>
        </w:rPr>
      </w:pPr>
      <w:r w:rsidRPr="00273ADA">
        <w:rPr>
          <w:rFonts w:ascii="Arial" w:hAnsi="Arial" w:cs="Arial"/>
          <w:sz w:val="20"/>
          <w:szCs w:val="20"/>
        </w:rPr>
        <w:t xml:space="preserve">Maize suffers from various diseases resulting in considerable losses in yield. Worldwide, maize yield losses up to 9 per cent have been estimated as a result of fungal, bacterial and viral diseases </w:t>
      </w:r>
      <w:r w:rsidRPr="00273ADA">
        <w:rPr>
          <w:rFonts w:ascii="Arial" w:hAnsi="Arial" w:cs="Arial"/>
          <w:sz w:val="20"/>
          <w:szCs w:val="20"/>
        </w:rPr>
        <w:lastRenderedPageBreak/>
        <w:t xml:space="preserve">(Manzar et al. 2022). </w:t>
      </w:r>
      <w:r w:rsidR="00002CC2" w:rsidRPr="00273ADA">
        <w:rPr>
          <w:rFonts w:ascii="Arial" w:hAnsi="Arial" w:cs="Arial"/>
          <w:sz w:val="20"/>
          <w:szCs w:val="20"/>
        </w:rPr>
        <w:t>B</w:t>
      </w:r>
      <w:r w:rsidRPr="00273ADA">
        <w:rPr>
          <w:rFonts w:ascii="Arial" w:hAnsi="Arial" w:cs="Arial"/>
          <w:sz w:val="20"/>
          <w:szCs w:val="20"/>
        </w:rPr>
        <w:t xml:space="preserve">rown spot of maize caused by </w:t>
      </w:r>
      <w:r w:rsidRPr="00273ADA">
        <w:rPr>
          <w:rFonts w:ascii="Arial" w:hAnsi="Arial" w:cs="Arial"/>
          <w:i/>
          <w:iCs/>
          <w:sz w:val="20"/>
          <w:szCs w:val="20"/>
        </w:rPr>
        <w:t xml:space="preserve">Physoderma maydis </w:t>
      </w:r>
      <w:r w:rsidRPr="00273ADA">
        <w:rPr>
          <w:rFonts w:ascii="Arial" w:hAnsi="Arial" w:cs="Arial"/>
          <w:sz w:val="20"/>
          <w:szCs w:val="20"/>
        </w:rPr>
        <w:t>(Miyabe) Miyabe is the emerging disease</w:t>
      </w:r>
      <w:r w:rsidR="00E501B1" w:rsidRPr="00273ADA">
        <w:rPr>
          <w:rFonts w:ascii="Arial" w:hAnsi="Arial" w:cs="Arial"/>
          <w:sz w:val="20"/>
          <w:szCs w:val="20"/>
        </w:rPr>
        <w:t>, leading to reduced plant vigor, shortened internodes, delayed tasseling and yield losses (Hooda et al. 2018). The first noticeable symptoms develop on leaves blade and consist of small chlorotic spots, arranged as alternate bands of diseased and healthy tissue. Later, spots on the midribs are visible which are circular and dark brown while lesions on the laminae continue as chlorotic spots (Dooh et al. 2021).</w:t>
      </w:r>
      <w:r w:rsidR="002B3422" w:rsidRPr="00273ADA">
        <w:rPr>
          <w:rFonts w:ascii="Arial" w:hAnsi="Arial" w:cs="Arial"/>
          <w:sz w:val="20"/>
          <w:szCs w:val="20"/>
        </w:rPr>
        <w:t xml:space="preserve"> Frequent rainfall, average warm temperature and high RH conditions favors disease development (Shekhar and Kumar, 2012).</w:t>
      </w:r>
    </w:p>
    <w:p w14:paraId="33EB13F4" w14:textId="195153E9" w:rsidR="00E501B1" w:rsidRPr="00273ADA" w:rsidRDefault="00E501B1" w:rsidP="00273ADA">
      <w:pPr>
        <w:adjustRightInd w:val="0"/>
        <w:spacing w:after="240" w:line="360" w:lineRule="auto"/>
        <w:ind w:firstLine="720"/>
        <w:jc w:val="both"/>
        <w:rPr>
          <w:rFonts w:ascii="Arial" w:hAnsi="Arial" w:cs="Arial"/>
          <w:sz w:val="20"/>
          <w:szCs w:val="20"/>
        </w:rPr>
      </w:pPr>
      <w:r w:rsidRPr="00273ADA">
        <w:rPr>
          <w:rFonts w:ascii="Arial" w:hAnsi="Arial" w:cs="Arial"/>
          <w:sz w:val="20"/>
          <w:szCs w:val="20"/>
        </w:rPr>
        <w:t xml:space="preserve">Accurate and consistent screening for disease resistance in plants requires artificial inoculation at a susceptible growth stage using an appropriate and standardized inoculum concentration. Artificial inoculation not only ensures uniform disease development but also plays </w:t>
      </w:r>
      <w:r w:rsidR="009A08F2" w:rsidRPr="00273ADA">
        <w:rPr>
          <w:rFonts w:ascii="Arial" w:hAnsi="Arial" w:cs="Arial"/>
          <w:sz w:val="20"/>
          <w:szCs w:val="20"/>
        </w:rPr>
        <w:t>a</w:t>
      </w:r>
      <w:r w:rsidRPr="00273ADA">
        <w:rPr>
          <w:rFonts w:ascii="Arial" w:hAnsi="Arial" w:cs="Arial"/>
          <w:sz w:val="20"/>
          <w:szCs w:val="20"/>
        </w:rPr>
        <w:t xml:space="preserve"> critical role in various aspects of plant pathology, including studies on epidemiology, etiology, host-pathogen interaction, disease resistance and management strategies (Thakur and Banyal, 2022). </w:t>
      </w:r>
      <w:r w:rsidR="009A08F2" w:rsidRPr="00273ADA">
        <w:rPr>
          <w:rFonts w:ascii="Arial" w:hAnsi="Arial" w:cs="Arial"/>
          <w:sz w:val="20"/>
          <w:szCs w:val="20"/>
        </w:rPr>
        <w:t xml:space="preserve">Understanding these physiological factors that influence disease development, such as host age, age of fungal culture, inoculum load and sub-culturing which can significantly alter the severity and progression of disease. Therefore, present investigation was carried out in order to assess the effect of host age, inoculum load, age of culture and sub-culturing on the development of brown spot of maize. Thereby, standardizing these factors of </w:t>
      </w:r>
      <w:r w:rsidR="009A08F2" w:rsidRPr="00273ADA">
        <w:rPr>
          <w:rFonts w:ascii="Arial" w:hAnsi="Arial" w:cs="Arial"/>
          <w:i/>
          <w:iCs/>
          <w:sz w:val="20"/>
          <w:szCs w:val="20"/>
        </w:rPr>
        <w:t xml:space="preserve">P. maydis </w:t>
      </w:r>
      <w:r w:rsidR="009A08F2" w:rsidRPr="00273ADA">
        <w:rPr>
          <w:rFonts w:ascii="Arial" w:hAnsi="Arial" w:cs="Arial"/>
          <w:sz w:val="20"/>
          <w:szCs w:val="20"/>
        </w:rPr>
        <w:t xml:space="preserve">on maize for pathogenesis studies to enhance disease management strategies. </w:t>
      </w:r>
    </w:p>
    <w:p w14:paraId="1FAA6FA4" w14:textId="2AD7229F" w:rsidR="009A08F2" w:rsidRPr="00346750" w:rsidRDefault="00346750" w:rsidP="00346750">
      <w:pPr>
        <w:pStyle w:val="ListParagraph"/>
        <w:numPr>
          <w:ilvl w:val="0"/>
          <w:numId w:val="2"/>
        </w:numPr>
        <w:adjustRightInd w:val="0"/>
        <w:spacing w:after="0" w:line="360" w:lineRule="auto"/>
        <w:ind w:left="270" w:hanging="270"/>
        <w:jc w:val="both"/>
        <w:rPr>
          <w:rFonts w:ascii="Arial" w:hAnsi="Arial" w:cs="Arial"/>
          <w:b/>
          <w:bCs/>
          <w:sz w:val="22"/>
          <w:szCs w:val="22"/>
        </w:rPr>
      </w:pPr>
      <w:r w:rsidRPr="00346750">
        <w:rPr>
          <w:rFonts w:ascii="Arial" w:hAnsi="Arial" w:cs="Arial"/>
          <w:b/>
          <w:bCs/>
          <w:sz w:val="22"/>
          <w:szCs w:val="22"/>
        </w:rPr>
        <w:t xml:space="preserve"> </w:t>
      </w:r>
      <w:r w:rsidR="002B6AF0" w:rsidRPr="00346750">
        <w:rPr>
          <w:rFonts w:ascii="Arial" w:hAnsi="Arial" w:cs="Arial"/>
          <w:b/>
          <w:bCs/>
          <w:sz w:val="22"/>
          <w:szCs w:val="22"/>
        </w:rPr>
        <w:t>MATERIALS AND METHODS</w:t>
      </w:r>
    </w:p>
    <w:p w14:paraId="74B59502" w14:textId="3009DBAB" w:rsidR="002C71C1" w:rsidRPr="00346750" w:rsidRDefault="002C71C1" w:rsidP="00346750">
      <w:pPr>
        <w:adjustRightInd w:val="0"/>
        <w:spacing w:after="240" w:line="360" w:lineRule="auto"/>
        <w:jc w:val="both"/>
        <w:rPr>
          <w:rFonts w:ascii="Arial" w:hAnsi="Arial" w:cs="Arial"/>
          <w:sz w:val="20"/>
          <w:szCs w:val="20"/>
        </w:rPr>
      </w:pPr>
      <w:r>
        <w:rPr>
          <w:rFonts w:ascii="Times New Roman" w:hAnsi="Times New Roman" w:cs="Times New Roman"/>
        </w:rPr>
        <w:tab/>
      </w:r>
      <w:r w:rsidRPr="00346750">
        <w:rPr>
          <w:rFonts w:ascii="Arial" w:hAnsi="Arial" w:cs="Arial"/>
          <w:i/>
          <w:iCs/>
          <w:sz w:val="20"/>
          <w:szCs w:val="20"/>
        </w:rPr>
        <w:t xml:space="preserve">Physoderma maydis </w:t>
      </w:r>
      <w:r w:rsidRPr="00346750">
        <w:rPr>
          <w:rFonts w:ascii="Arial" w:hAnsi="Arial" w:cs="Arial"/>
          <w:sz w:val="20"/>
          <w:szCs w:val="20"/>
        </w:rPr>
        <w:t xml:space="preserve">(Miyabe) Miyabe culture was isolated from diseased maize leaves using spore suspension method (Dubey et al. 2022) and incubated at 26±2°C temperature in 12/12 photoperiod. </w:t>
      </w:r>
      <w:r w:rsidR="004653B6" w:rsidRPr="00346750">
        <w:rPr>
          <w:rFonts w:ascii="Arial" w:hAnsi="Arial" w:cs="Arial"/>
          <w:sz w:val="20"/>
          <w:szCs w:val="20"/>
        </w:rPr>
        <w:t>The isolated pathogen was maintained on Corn meal agar (CMA), Tryptone yeast extract glucose medium (TYG</w:t>
      </w:r>
      <w:r w:rsidR="00346750">
        <w:rPr>
          <w:rFonts w:ascii="Arial" w:hAnsi="Arial" w:cs="Arial"/>
          <w:sz w:val="20"/>
          <w:szCs w:val="20"/>
        </w:rPr>
        <w:t>) and</w:t>
      </w:r>
      <w:r w:rsidR="004653B6" w:rsidRPr="00346750">
        <w:rPr>
          <w:rFonts w:ascii="Arial" w:hAnsi="Arial" w:cs="Arial"/>
          <w:sz w:val="20"/>
          <w:szCs w:val="20"/>
        </w:rPr>
        <w:t xml:space="preserve"> Peptone yeast extract glucose medium (PYG) smeared with maize leaf extract broth. The fungus was identified on the basis of morphological characteristics (Walker, 1983). The sporangia were harvested by macerating the well-sporulated fungal culture Petri plates on different medium smeared with MLEB. The medium of the Petri plates containing fungal culture was macerated in water using a waring blender for 15-30 seconds and kept for 24 hours for release of zoopsores in the suspension. The resulting sporangial suspension was further strained through a layer of cheese or muslin cloth to remove mycelial bits and remains of media. The sporangial suspension was resuspended in water containing 0.05 per cent tween-20.</w:t>
      </w:r>
    </w:p>
    <w:p w14:paraId="4FB7B190" w14:textId="59481D45" w:rsidR="004653B6" w:rsidRPr="000F1CD4" w:rsidRDefault="000F1CD4" w:rsidP="007657BC">
      <w:pPr>
        <w:adjustRightInd w:val="0"/>
        <w:spacing w:after="0" w:line="360" w:lineRule="auto"/>
        <w:jc w:val="both"/>
        <w:rPr>
          <w:rFonts w:ascii="Arial" w:hAnsi="Arial" w:cs="Arial"/>
          <w:b/>
          <w:bCs/>
          <w:sz w:val="22"/>
          <w:szCs w:val="22"/>
        </w:rPr>
      </w:pPr>
      <w:r w:rsidRPr="000F1CD4">
        <w:rPr>
          <w:rFonts w:ascii="Arial" w:hAnsi="Arial" w:cs="Arial"/>
          <w:b/>
          <w:bCs/>
          <w:sz w:val="22"/>
          <w:szCs w:val="22"/>
        </w:rPr>
        <w:t xml:space="preserve">2.1 </w:t>
      </w:r>
      <w:r w:rsidR="004653B6" w:rsidRPr="000F1CD4">
        <w:rPr>
          <w:rFonts w:ascii="Arial" w:hAnsi="Arial" w:cs="Arial"/>
          <w:b/>
          <w:bCs/>
          <w:sz w:val="22"/>
          <w:szCs w:val="22"/>
        </w:rPr>
        <w:t>Infection level in relation to host age</w:t>
      </w:r>
    </w:p>
    <w:p w14:paraId="1CA7928C" w14:textId="7127BFBE" w:rsidR="007657BC" w:rsidRPr="000F1CD4" w:rsidRDefault="007657BC" w:rsidP="000F1CD4">
      <w:pPr>
        <w:spacing w:after="240" w:line="360" w:lineRule="auto"/>
        <w:ind w:firstLine="720"/>
        <w:jc w:val="both"/>
        <w:rPr>
          <w:rFonts w:ascii="Arial" w:hAnsi="Arial" w:cs="Arial"/>
          <w:sz w:val="20"/>
          <w:szCs w:val="20"/>
        </w:rPr>
      </w:pPr>
      <w:r w:rsidRPr="000F1CD4">
        <w:rPr>
          <w:rFonts w:ascii="Arial" w:hAnsi="Arial" w:cs="Arial"/>
          <w:sz w:val="20"/>
          <w:szCs w:val="20"/>
        </w:rPr>
        <w:t xml:space="preserve">An experiment on effect of host age in relation to infection of </w:t>
      </w:r>
      <w:r w:rsidRPr="000F1CD4">
        <w:rPr>
          <w:rFonts w:ascii="Arial" w:hAnsi="Arial" w:cs="Arial"/>
          <w:i/>
          <w:iCs/>
          <w:sz w:val="20"/>
          <w:szCs w:val="20"/>
        </w:rPr>
        <w:t>P. maydis</w:t>
      </w:r>
      <w:r w:rsidRPr="000F1CD4">
        <w:rPr>
          <w:rFonts w:ascii="Arial" w:hAnsi="Arial" w:cs="Arial"/>
          <w:sz w:val="20"/>
          <w:szCs w:val="20"/>
        </w:rPr>
        <w:t xml:space="preserve"> was carried out in polyhouse conditions with susceptible variety (K25 Gold). Maize seedlings of susceptible variety grown in pots were whorl inoculated at 20, 30, 35, 40, 50 and 60 days after sowing. Plants were grown in controlled conditions. Artificial inoculation with sporangial suspension (5×10</w:t>
      </w:r>
      <w:r w:rsidRPr="000F1CD4">
        <w:rPr>
          <w:rFonts w:ascii="Arial" w:hAnsi="Arial" w:cs="Arial"/>
          <w:sz w:val="20"/>
          <w:szCs w:val="20"/>
          <w:vertAlign w:val="superscript"/>
        </w:rPr>
        <w:t xml:space="preserve">5 </w:t>
      </w:r>
      <w:r w:rsidRPr="000F1CD4">
        <w:rPr>
          <w:rFonts w:ascii="Arial" w:hAnsi="Arial" w:cs="Arial"/>
          <w:sz w:val="20"/>
          <w:szCs w:val="20"/>
        </w:rPr>
        <w:t xml:space="preserve">sporangia/ml) of </w:t>
      </w:r>
      <w:r w:rsidRPr="000F1CD4">
        <w:rPr>
          <w:rFonts w:ascii="Arial" w:hAnsi="Arial" w:cs="Arial"/>
          <w:i/>
          <w:iCs/>
          <w:sz w:val="20"/>
          <w:szCs w:val="20"/>
        </w:rPr>
        <w:t>P. maydis</w:t>
      </w:r>
      <w:r w:rsidRPr="000F1CD4">
        <w:rPr>
          <w:rFonts w:ascii="Arial" w:hAnsi="Arial" w:cs="Arial"/>
          <w:sz w:val="20"/>
          <w:szCs w:val="20"/>
        </w:rPr>
        <w:t xml:space="preserve"> was carried out under polyhouse conditions using whorl inoculation technique. </w:t>
      </w:r>
      <w:r w:rsidR="00A72BE6" w:rsidRPr="000F1CD4">
        <w:rPr>
          <w:rFonts w:ascii="Arial" w:hAnsi="Arial" w:cs="Arial"/>
          <w:sz w:val="20"/>
          <w:szCs w:val="20"/>
        </w:rPr>
        <w:t xml:space="preserve">The inoculum was filled in dropper bottles and the desired plants at susceptible stage were inoculated by putting drops of inoculum into the whorl of maize seedlings. </w:t>
      </w:r>
      <w:r w:rsidRPr="000F1CD4">
        <w:rPr>
          <w:rFonts w:ascii="Arial" w:hAnsi="Arial" w:cs="Arial"/>
          <w:sz w:val="20"/>
          <w:szCs w:val="20"/>
        </w:rPr>
        <w:t xml:space="preserve">The experiment was conducted in a completely randomized design. Three plants were taken for each replication and each treatment was replicated thrice in pots </w:t>
      </w:r>
      <w:r w:rsidRPr="000F1CD4">
        <w:rPr>
          <w:rFonts w:ascii="Arial" w:hAnsi="Arial" w:cs="Arial"/>
          <w:sz w:val="20"/>
          <w:szCs w:val="20"/>
        </w:rPr>
        <w:lastRenderedPageBreak/>
        <w:t>along with an uninoculated control. The inoculated plants were sprayed every 24 hours to maintain high humidity on leaves and whorls (RH &gt; 90%) until the development of the disease symptoms. The disease severity was recorded at weekly interval after appearance of first symptom using 1-9 scale (Hooda et al. 2018)</w:t>
      </w:r>
      <w:r w:rsidR="000F1CD4">
        <w:rPr>
          <w:rFonts w:ascii="Arial" w:hAnsi="Arial" w:cs="Arial"/>
          <w:sz w:val="20"/>
          <w:szCs w:val="20"/>
        </w:rPr>
        <w:t xml:space="preserve"> presented in Table 1</w:t>
      </w:r>
      <w:r w:rsidRPr="000F1CD4">
        <w:rPr>
          <w:rFonts w:ascii="Arial" w:hAnsi="Arial" w:cs="Arial"/>
          <w:sz w:val="20"/>
          <w:szCs w:val="20"/>
        </w:rPr>
        <w:t xml:space="preserve">. Observation for incubation period was recorded for each treatment. The per cent disease index (PDI), AUDPC and apparent rate of infection (r) were calculated as follows: </w:t>
      </w:r>
    </w:p>
    <w:p w14:paraId="160AE3F7" w14:textId="213BCC74" w:rsidR="00F95BB5" w:rsidRPr="006831B9" w:rsidRDefault="00F95BB5" w:rsidP="000F1CD4">
      <w:pPr>
        <w:spacing w:after="0" w:line="360" w:lineRule="auto"/>
        <w:jc w:val="both"/>
        <w:rPr>
          <w:rFonts w:ascii="Arial" w:hAnsi="Arial" w:cs="Arial"/>
          <w:b/>
          <w:bCs/>
          <w:sz w:val="18"/>
          <w:szCs w:val="18"/>
        </w:rPr>
      </w:pPr>
      <w:r w:rsidRPr="006831B9">
        <w:rPr>
          <w:rFonts w:ascii="Arial" w:hAnsi="Arial" w:cs="Arial"/>
          <w:b/>
          <w:bCs/>
          <w:sz w:val="18"/>
          <w:szCs w:val="18"/>
        </w:rPr>
        <w:t>Table</w:t>
      </w:r>
      <w:r w:rsidR="006831B9" w:rsidRPr="006831B9">
        <w:rPr>
          <w:rFonts w:ascii="Arial" w:hAnsi="Arial" w:cs="Arial"/>
          <w:b/>
          <w:bCs/>
          <w:sz w:val="18"/>
          <w:szCs w:val="18"/>
        </w:rPr>
        <w:t xml:space="preserve"> 1:</w:t>
      </w:r>
      <w:r w:rsidRPr="006831B9">
        <w:rPr>
          <w:rFonts w:ascii="Arial" w:hAnsi="Arial" w:cs="Arial"/>
          <w:b/>
          <w:bCs/>
          <w:sz w:val="18"/>
          <w:szCs w:val="18"/>
        </w:rPr>
        <w:t xml:space="preserve"> Scale for assessing the disease severity of brown spot of maize</w:t>
      </w:r>
    </w:p>
    <w:tbl>
      <w:tblPr>
        <w:tblStyle w:val="TableGrid"/>
        <w:tblW w:w="9265" w:type="dxa"/>
        <w:jc w:val="center"/>
        <w:tblLook w:val="04A0" w:firstRow="1" w:lastRow="0" w:firstColumn="1" w:lastColumn="0" w:noHBand="0" w:noVBand="1"/>
      </w:tblPr>
      <w:tblGrid>
        <w:gridCol w:w="934"/>
        <w:gridCol w:w="5001"/>
        <w:gridCol w:w="990"/>
        <w:gridCol w:w="2340"/>
      </w:tblGrid>
      <w:tr w:rsidR="00F95BB5" w:rsidRPr="006831B9" w14:paraId="793AE5CD" w14:textId="77777777" w:rsidTr="0039129A">
        <w:trPr>
          <w:trHeight w:val="710"/>
          <w:jc w:val="center"/>
        </w:trPr>
        <w:tc>
          <w:tcPr>
            <w:tcW w:w="934" w:type="dxa"/>
            <w:vAlign w:val="center"/>
            <w:hideMark/>
          </w:tcPr>
          <w:p w14:paraId="3AD83B2B" w14:textId="77777777" w:rsidR="00F95BB5" w:rsidRPr="006831B9" w:rsidRDefault="00F95BB5" w:rsidP="0039129A">
            <w:pPr>
              <w:pStyle w:val="Body"/>
              <w:spacing w:after="0"/>
              <w:jc w:val="center"/>
              <w:rPr>
                <w:rFonts w:ascii="Arial" w:eastAsia="Times New Roman" w:hAnsi="Arial" w:cs="Arial"/>
                <w:b/>
                <w:bCs/>
                <w:sz w:val="18"/>
                <w:szCs w:val="18"/>
              </w:rPr>
            </w:pPr>
            <w:r w:rsidRPr="006831B9">
              <w:rPr>
                <w:rFonts w:ascii="Arial" w:eastAsia="Times New Roman" w:hAnsi="Arial" w:cs="Arial"/>
                <w:b/>
                <w:bCs/>
                <w:sz w:val="18"/>
                <w:szCs w:val="18"/>
              </w:rPr>
              <w:t>Rating scale</w:t>
            </w:r>
          </w:p>
        </w:tc>
        <w:tc>
          <w:tcPr>
            <w:tcW w:w="5001" w:type="dxa"/>
            <w:vAlign w:val="center"/>
            <w:hideMark/>
          </w:tcPr>
          <w:p w14:paraId="1462C28E" w14:textId="77777777" w:rsidR="00F95BB5" w:rsidRPr="006831B9" w:rsidRDefault="00F95BB5" w:rsidP="0039129A">
            <w:pPr>
              <w:pStyle w:val="Body"/>
              <w:spacing w:after="0"/>
              <w:jc w:val="center"/>
              <w:rPr>
                <w:rFonts w:ascii="Arial" w:eastAsia="Times New Roman" w:hAnsi="Arial" w:cs="Arial"/>
                <w:b/>
                <w:bCs/>
                <w:sz w:val="18"/>
                <w:szCs w:val="18"/>
              </w:rPr>
            </w:pPr>
            <w:r w:rsidRPr="006831B9">
              <w:rPr>
                <w:rFonts w:ascii="Arial" w:eastAsia="Times New Roman" w:hAnsi="Arial" w:cs="Arial"/>
                <w:b/>
                <w:bCs/>
                <w:sz w:val="18"/>
                <w:szCs w:val="18"/>
              </w:rPr>
              <w:t>Degree of infection (per cent DLA)*</w:t>
            </w:r>
          </w:p>
        </w:tc>
        <w:tc>
          <w:tcPr>
            <w:tcW w:w="990" w:type="dxa"/>
            <w:vAlign w:val="center"/>
          </w:tcPr>
          <w:p w14:paraId="2BCE8493" w14:textId="77777777" w:rsidR="00F95BB5" w:rsidRPr="006831B9" w:rsidRDefault="00F95BB5" w:rsidP="0039129A">
            <w:pPr>
              <w:pStyle w:val="Body"/>
              <w:spacing w:after="0"/>
              <w:jc w:val="center"/>
              <w:rPr>
                <w:rFonts w:ascii="Arial" w:eastAsia="Times New Roman" w:hAnsi="Arial" w:cs="Arial"/>
                <w:b/>
                <w:bCs/>
                <w:sz w:val="18"/>
                <w:szCs w:val="18"/>
              </w:rPr>
            </w:pPr>
            <w:r w:rsidRPr="006831B9">
              <w:rPr>
                <w:rFonts w:ascii="Arial" w:eastAsia="Times New Roman" w:hAnsi="Arial" w:cs="Arial"/>
                <w:b/>
                <w:bCs/>
                <w:sz w:val="18"/>
                <w:szCs w:val="18"/>
              </w:rPr>
              <w:t>PDI**</w:t>
            </w:r>
          </w:p>
        </w:tc>
        <w:tc>
          <w:tcPr>
            <w:tcW w:w="2340" w:type="dxa"/>
            <w:vAlign w:val="center"/>
          </w:tcPr>
          <w:p w14:paraId="2CC0BDB7" w14:textId="77777777" w:rsidR="00F95BB5" w:rsidRPr="006831B9" w:rsidRDefault="00F95BB5" w:rsidP="0039129A">
            <w:pPr>
              <w:pStyle w:val="Body"/>
              <w:spacing w:after="0"/>
              <w:jc w:val="center"/>
              <w:rPr>
                <w:rFonts w:ascii="Arial" w:eastAsia="Times New Roman" w:hAnsi="Arial" w:cs="Arial"/>
                <w:b/>
                <w:bCs/>
                <w:sz w:val="18"/>
                <w:szCs w:val="18"/>
              </w:rPr>
            </w:pPr>
            <w:r w:rsidRPr="006831B9">
              <w:rPr>
                <w:rFonts w:ascii="Arial" w:eastAsia="Times New Roman" w:hAnsi="Arial" w:cs="Arial"/>
                <w:b/>
                <w:bCs/>
                <w:sz w:val="18"/>
                <w:szCs w:val="18"/>
              </w:rPr>
              <w:t>Disease reaction</w:t>
            </w:r>
          </w:p>
        </w:tc>
      </w:tr>
      <w:tr w:rsidR="00F95BB5" w:rsidRPr="006831B9" w14:paraId="79CDC56E" w14:textId="77777777" w:rsidTr="0039129A">
        <w:trPr>
          <w:trHeight w:val="448"/>
          <w:jc w:val="center"/>
        </w:trPr>
        <w:tc>
          <w:tcPr>
            <w:tcW w:w="934" w:type="dxa"/>
            <w:vAlign w:val="center"/>
            <w:hideMark/>
          </w:tcPr>
          <w:p w14:paraId="638EDEE2" w14:textId="77777777" w:rsidR="00F95BB5" w:rsidRPr="006831B9" w:rsidRDefault="00F95BB5" w:rsidP="0039129A">
            <w:pPr>
              <w:pStyle w:val="Body"/>
              <w:spacing w:after="0"/>
              <w:jc w:val="center"/>
              <w:rPr>
                <w:rFonts w:ascii="Arial" w:eastAsia="Times New Roman" w:hAnsi="Arial" w:cs="Arial"/>
                <w:sz w:val="18"/>
                <w:szCs w:val="18"/>
              </w:rPr>
            </w:pPr>
            <w:r w:rsidRPr="006831B9">
              <w:rPr>
                <w:rFonts w:ascii="Arial" w:eastAsia="Times New Roman" w:hAnsi="Arial" w:cs="Arial"/>
                <w:sz w:val="18"/>
                <w:szCs w:val="18"/>
              </w:rPr>
              <w:t>1.0</w:t>
            </w:r>
          </w:p>
        </w:tc>
        <w:tc>
          <w:tcPr>
            <w:tcW w:w="5001" w:type="dxa"/>
            <w:vAlign w:val="center"/>
            <w:hideMark/>
          </w:tcPr>
          <w:p w14:paraId="7B097637" w14:textId="77777777" w:rsidR="00F95BB5" w:rsidRPr="006831B9" w:rsidRDefault="00F95BB5" w:rsidP="0039129A">
            <w:pPr>
              <w:pStyle w:val="Body"/>
              <w:spacing w:after="0"/>
              <w:jc w:val="both"/>
              <w:rPr>
                <w:rFonts w:ascii="Arial" w:eastAsia="Times New Roman" w:hAnsi="Arial" w:cs="Arial"/>
                <w:sz w:val="18"/>
                <w:szCs w:val="18"/>
              </w:rPr>
            </w:pPr>
            <w:r w:rsidRPr="006831B9">
              <w:rPr>
                <w:rFonts w:ascii="Arial" w:eastAsia="Times New Roman" w:hAnsi="Arial" w:cs="Arial"/>
                <w:sz w:val="18"/>
                <w:szCs w:val="18"/>
              </w:rPr>
              <w:t xml:space="preserve">Nil to very slight infection (&lt;10%). </w:t>
            </w:r>
          </w:p>
        </w:tc>
        <w:tc>
          <w:tcPr>
            <w:tcW w:w="990" w:type="dxa"/>
            <w:vAlign w:val="center"/>
          </w:tcPr>
          <w:p w14:paraId="35090E52" w14:textId="77777777" w:rsidR="00F95BB5" w:rsidRPr="006831B9" w:rsidRDefault="00F95BB5" w:rsidP="0039129A">
            <w:pPr>
              <w:pStyle w:val="Body"/>
              <w:spacing w:after="0"/>
              <w:jc w:val="center"/>
              <w:rPr>
                <w:rFonts w:ascii="Arial" w:eastAsia="Times New Roman" w:hAnsi="Arial" w:cs="Arial"/>
                <w:sz w:val="18"/>
                <w:szCs w:val="18"/>
              </w:rPr>
            </w:pPr>
            <w:r w:rsidRPr="006831B9">
              <w:rPr>
                <w:rFonts w:ascii="Arial" w:eastAsia="Times New Roman" w:hAnsi="Arial" w:cs="Arial"/>
                <w:sz w:val="18"/>
                <w:szCs w:val="18"/>
              </w:rPr>
              <w:t>≤11.11</w:t>
            </w:r>
          </w:p>
        </w:tc>
        <w:tc>
          <w:tcPr>
            <w:tcW w:w="2340" w:type="dxa"/>
            <w:vMerge w:val="restart"/>
            <w:vAlign w:val="center"/>
          </w:tcPr>
          <w:p w14:paraId="377740D2" w14:textId="77777777" w:rsidR="00F95BB5" w:rsidRPr="006831B9" w:rsidRDefault="00F95BB5" w:rsidP="0039129A">
            <w:pPr>
              <w:pStyle w:val="Body"/>
              <w:spacing w:after="0"/>
              <w:jc w:val="center"/>
              <w:rPr>
                <w:rFonts w:ascii="Arial" w:eastAsia="Times New Roman" w:hAnsi="Arial" w:cs="Arial"/>
                <w:sz w:val="18"/>
                <w:szCs w:val="18"/>
              </w:rPr>
            </w:pPr>
            <w:r w:rsidRPr="006831B9">
              <w:rPr>
                <w:rFonts w:ascii="Arial" w:eastAsia="Times New Roman" w:hAnsi="Arial" w:cs="Arial"/>
                <w:sz w:val="18"/>
                <w:szCs w:val="18"/>
              </w:rPr>
              <w:t>Resistant (R)</w:t>
            </w:r>
          </w:p>
          <w:p w14:paraId="74FE9ABE" w14:textId="77777777" w:rsidR="00F95BB5" w:rsidRPr="006831B9" w:rsidRDefault="00F95BB5" w:rsidP="0039129A">
            <w:pPr>
              <w:pStyle w:val="Body"/>
              <w:spacing w:after="0"/>
              <w:jc w:val="center"/>
              <w:rPr>
                <w:rFonts w:ascii="Arial" w:hAnsi="Arial" w:cs="Arial"/>
                <w:sz w:val="18"/>
                <w:szCs w:val="18"/>
                <w:lang w:val="en-US"/>
              </w:rPr>
            </w:pPr>
            <w:r w:rsidRPr="006831B9">
              <w:rPr>
                <w:rFonts w:ascii="Arial" w:hAnsi="Arial" w:cs="Arial"/>
                <w:sz w:val="18"/>
                <w:szCs w:val="18"/>
                <w:lang w:val="en-US"/>
              </w:rPr>
              <w:t xml:space="preserve">(Score: </w:t>
            </w:r>
            <w:r w:rsidRPr="006831B9">
              <w:rPr>
                <w:rFonts w:ascii="Arial" w:eastAsia="Times New Roman" w:hAnsi="Arial" w:cs="Arial"/>
                <w:sz w:val="18"/>
                <w:szCs w:val="18"/>
              </w:rPr>
              <w:t xml:space="preserve">≤ </w:t>
            </w:r>
            <w:r w:rsidRPr="006831B9">
              <w:rPr>
                <w:rFonts w:ascii="Arial" w:hAnsi="Arial" w:cs="Arial"/>
                <w:sz w:val="18"/>
                <w:szCs w:val="18"/>
                <w:lang w:val="en-US"/>
              </w:rPr>
              <w:t>3.0)</w:t>
            </w:r>
          </w:p>
          <w:p w14:paraId="66835EC9" w14:textId="77777777" w:rsidR="00F95BB5" w:rsidRPr="006831B9" w:rsidRDefault="00F95BB5" w:rsidP="0039129A">
            <w:pPr>
              <w:pStyle w:val="Body"/>
              <w:spacing w:after="0"/>
              <w:jc w:val="center"/>
              <w:rPr>
                <w:rFonts w:ascii="Arial" w:hAnsi="Arial" w:cs="Arial"/>
                <w:sz w:val="18"/>
                <w:szCs w:val="18"/>
                <w:lang w:val="en-US"/>
              </w:rPr>
            </w:pPr>
            <w:r w:rsidRPr="006831B9">
              <w:rPr>
                <w:rFonts w:ascii="Arial" w:hAnsi="Arial" w:cs="Arial"/>
                <w:sz w:val="18"/>
                <w:szCs w:val="18"/>
                <w:lang w:val="en-US"/>
              </w:rPr>
              <w:t>(DLA:</w:t>
            </w:r>
            <w:r w:rsidRPr="006831B9">
              <w:rPr>
                <w:rFonts w:ascii="Arial" w:eastAsia="Times New Roman" w:hAnsi="Arial" w:cs="Arial"/>
                <w:sz w:val="18"/>
                <w:szCs w:val="18"/>
              </w:rPr>
              <w:t xml:space="preserve"> ≤</w:t>
            </w:r>
            <w:r w:rsidRPr="006831B9">
              <w:rPr>
                <w:rFonts w:ascii="Arial" w:hAnsi="Arial" w:cs="Arial"/>
                <w:sz w:val="18"/>
                <w:szCs w:val="18"/>
                <w:lang w:val="en-US"/>
              </w:rPr>
              <w:t xml:space="preserve"> 30%)</w:t>
            </w:r>
          </w:p>
          <w:p w14:paraId="58D83749" w14:textId="77777777" w:rsidR="00F95BB5" w:rsidRPr="006831B9" w:rsidRDefault="00F95BB5" w:rsidP="0039129A">
            <w:pPr>
              <w:pStyle w:val="Body"/>
              <w:jc w:val="center"/>
              <w:rPr>
                <w:rFonts w:ascii="Arial" w:hAnsi="Arial" w:cs="Arial"/>
                <w:sz w:val="18"/>
                <w:szCs w:val="18"/>
                <w:lang w:val="en-US"/>
              </w:rPr>
            </w:pPr>
            <w:r w:rsidRPr="006831B9">
              <w:rPr>
                <w:rFonts w:ascii="Arial" w:hAnsi="Arial" w:cs="Arial"/>
                <w:sz w:val="18"/>
                <w:szCs w:val="18"/>
                <w:lang w:val="en-US"/>
              </w:rPr>
              <w:t xml:space="preserve">(PDI: </w:t>
            </w:r>
            <w:r w:rsidRPr="006831B9">
              <w:rPr>
                <w:rFonts w:ascii="Arial" w:eastAsia="Times New Roman" w:hAnsi="Arial" w:cs="Arial"/>
                <w:sz w:val="18"/>
                <w:szCs w:val="18"/>
              </w:rPr>
              <w:t xml:space="preserve">≤ </w:t>
            </w:r>
            <w:r w:rsidRPr="006831B9">
              <w:rPr>
                <w:rFonts w:ascii="Arial" w:hAnsi="Arial" w:cs="Arial"/>
                <w:sz w:val="18"/>
                <w:szCs w:val="18"/>
                <w:lang w:val="en-US"/>
              </w:rPr>
              <w:t>33.33)</w:t>
            </w:r>
          </w:p>
        </w:tc>
      </w:tr>
      <w:tr w:rsidR="00F95BB5" w:rsidRPr="006831B9" w14:paraId="0A05CE5D" w14:textId="77777777" w:rsidTr="0039129A">
        <w:trPr>
          <w:trHeight w:val="558"/>
          <w:jc w:val="center"/>
        </w:trPr>
        <w:tc>
          <w:tcPr>
            <w:tcW w:w="934" w:type="dxa"/>
            <w:vAlign w:val="center"/>
            <w:hideMark/>
          </w:tcPr>
          <w:p w14:paraId="661C0BF6" w14:textId="77777777" w:rsidR="00F95BB5" w:rsidRPr="006831B9" w:rsidRDefault="00F95BB5" w:rsidP="0039129A">
            <w:pPr>
              <w:pStyle w:val="Body"/>
              <w:spacing w:after="0"/>
              <w:jc w:val="center"/>
              <w:rPr>
                <w:rFonts w:ascii="Arial" w:eastAsia="Times New Roman" w:hAnsi="Arial" w:cs="Arial"/>
                <w:sz w:val="18"/>
                <w:szCs w:val="18"/>
              </w:rPr>
            </w:pPr>
            <w:r w:rsidRPr="006831B9">
              <w:rPr>
                <w:rFonts w:ascii="Arial" w:eastAsia="Times New Roman" w:hAnsi="Arial" w:cs="Arial"/>
                <w:sz w:val="18"/>
                <w:szCs w:val="18"/>
              </w:rPr>
              <w:t>2.0</w:t>
            </w:r>
          </w:p>
        </w:tc>
        <w:tc>
          <w:tcPr>
            <w:tcW w:w="5001" w:type="dxa"/>
            <w:vAlign w:val="center"/>
            <w:hideMark/>
          </w:tcPr>
          <w:p w14:paraId="5D03D813" w14:textId="77777777" w:rsidR="00F95BB5" w:rsidRPr="006831B9" w:rsidRDefault="00F95BB5" w:rsidP="0039129A">
            <w:pPr>
              <w:pStyle w:val="Body"/>
              <w:spacing w:after="0"/>
              <w:jc w:val="both"/>
              <w:rPr>
                <w:rFonts w:ascii="Arial" w:eastAsia="Times New Roman" w:hAnsi="Arial" w:cs="Arial"/>
                <w:sz w:val="18"/>
                <w:szCs w:val="18"/>
              </w:rPr>
            </w:pPr>
            <w:r w:rsidRPr="006831B9">
              <w:rPr>
                <w:rFonts w:ascii="Arial" w:eastAsia="Times New Roman" w:hAnsi="Arial" w:cs="Arial"/>
                <w:sz w:val="18"/>
                <w:szCs w:val="18"/>
              </w:rPr>
              <w:t xml:space="preserve">Slight infection, a few lesions scattered on two lower leaves (10.1-20%). </w:t>
            </w:r>
          </w:p>
        </w:tc>
        <w:tc>
          <w:tcPr>
            <w:tcW w:w="990" w:type="dxa"/>
            <w:vAlign w:val="center"/>
          </w:tcPr>
          <w:p w14:paraId="77852678" w14:textId="77777777" w:rsidR="00F95BB5" w:rsidRPr="006831B9" w:rsidRDefault="00F95BB5" w:rsidP="0039129A">
            <w:pPr>
              <w:pStyle w:val="Body"/>
              <w:spacing w:after="0"/>
              <w:jc w:val="center"/>
              <w:rPr>
                <w:rFonts w:ascii="Arial" w:eastAsia="Times New Roman" w:hAnsi="Arial" w:cs="Arial"/>
                <w:sz w:val="18"/>
                <w:szCs w:val="18"/>
              </w:rPr>
            </w:pPr>
            <w:r w:rsidRPr="006831B9">
              <w:rPr>
                <w:rFonts w:ascii="Arial" w:eastAsia="Times New Roman" w:hAnsi="Arial" w:cs="Arial"/>
                <w:sz w:val="18"/>
                <w:szCs w:val="18"/>
              </w:rPr>
              <w:t>22.22</w:t>
            </w:r>
          </w:p>
        </w:tc>
        <w:tc>
          <w:tcPr>
            <w:tcW w:w="2340" w:type="dxa"/>
            <w:vMerge/>
            <w:vAlign w:val="center"/>
          </w:tcPr>
          <w:p w14:paraId="4A21B411" w14:textId="77777777" w:rsidR="00F95BB5" w:rsidRPr="006831B9" w:rsidRDefault="00F95BB5" w:rsidP="0039129A">
            <w:pPr>
              <w:pStyle w:val="Body"/>
              <w:spacing w:after="0"/>
              <w:jc w:val="center"/>
              <w:rPr>
                <w:rFonts w:ascii="Arial" w:eastAsia="Times New Roman" w:hAnsi="Arial" w:cs="Arial"/>
                <w:sz w:val="18"/>
                <w:szCs w:val="18"/>
              </w:rPr>
            </w:pPr>
          </w:p>
        </w:tc>
      </w:tr>
      <w:tr w:rsidR="00F95BB5" w:rsidRPr="006831B9" w14:paraId="1EF6135C" w14:textId="77777777" w:rsidTr="0039129A">
        <w:trPr>
          <w:trHeight w:val="558"/>
          <w:jc w:val="center"/>
        </w:trPr>
        <w:tc>
          <w:tcPr>
            <w:tcW w:w="934" w:type="dxa"/>
            <w:vAlign w:val="center"/>
            <w:hideMark/>
          </w:tcPr>
          <w:p w14:paraId="1BCA85A0" w14:textId="77777777" w:rsidR="00F95BB5" w:rsidRPr="006831B9" w:rsidRDefault="00F95BB5" w:rsidP="0039129A">
            <w:pPr>
              <w:pStyle w:val="Body"/>
              <w:spacing w:after="0"/>
              <w:jc w:val="center"/>
              <w:rPr>
                <w:rFonts w:ascii="Arial" w:eastAsia="Times New Roman" w:hAnsi="Arial" w:cs="Arial"/>
                <w:sz w:val="18"/>
                <w:szCs w:val="18"/>
              </w:rPr>
            </w:pPr>
            <w:r w:rsidRPr="006831B9">
              <w:rPr>
                <w:rFonts w:ascii="Arial" w:eastAsia="Times New Roman" w:hAnsi="Arial" w:cs="Arial"/>
                <w:sz w:val="18"/>
                <w:szCs w:val="18"/>
              </w:rPr>
              <w:t>3.0</w:t>
            </w:r>
          </w:p>
        </w:tc>
        <w:tc>
          <w:tcPr>
            <w:tcW w:w="5001" w:type="dxa"/>
            <w:vAlign w:val="center"/>
            <w:hideMark/>
          </w:tcPr>
          <w:p w14:paraId="43751BAC" w14:textId="77777777" w:rsidR="00F95BB5" w:rsidRPr="006831B9" w:rsidRDefault="00F95BB5" w:rsidP="0039129A">
            <w:pPr>
              <w:pStyle w:val="Body"/>
              <w:spacing w:after="0"/>
              <w:jc w:val="both"/>
              <w:rPr>
                <w:rFonts w:ascii="Arial" w:eastAsia="Times New Roman" w:hAnsi="Arial" w:cs="Arial"/>
                <w:sz w:val="18"/>
                <w:szCs w:val="18"/>
              </w:rPr>
            </w:pPr>
            <w:r w:rsidRPr="006831B9">
              <w:rPr>
                <w:rFonts w:ascii="Arial" w:eastAsia="Times New Roman" w:hAnsi="Arial" w:cs="Arial"/>
                <w:sz w:val="18"/>
                <w:szCs w:val="18"/>
              </w:rPr>
              <w:t xml:space="preserve">Light infection, moderate number of lesions scattered on four lower leaves (20.1-30%). </w:t>
            </w:r>
          </w:p>
        </w:tc>
        <w:tc>
          <w:tcPr>
            <w:tcW w:w="990" w:type="dxa"/>
            <w:vAlign w:val="center"/>
          </w:tcPr>
          <w:p w14:paraId="7EB3796F" w14:textId="77777777" w:rsidR="00F95BB5" w:rsidRPr="006831B9" w:rsidRDefault="00F95BB5" w:rsidP="0039129A">
            <w:pPr>
              <w:pStyle w:val="Body"/>
              <w:spacing w:after="0"/>
              <w:jc w:val="center"/>
              <w:rPr>
                <w:rFonts w:ascii="Arial" w:eastAsia="Times New Roman" w:hAnsi="Arial" w:cs="Arial"/>
                <w:sz w:val="18"/>
                <w:szCs w:val="18"/>
              </w:rPr>
            </w:pPr>
            <w:r w:rsidRPr="006831B9">
              <w:rPr>
                <w:rFonts w:ascii="Arial" w:eastAsia="Times New Roman" w:hAnsi="Arial" w:cs="Arial"/>
                <w:sz w:val="18"/>
                <w:szCs w:val="18"/>
              </w:rPr>
              <w:t>33.33</w:t>
            </w:r>
          </w:p>
        </w:tc>
        <w:tc>
          <w:tcPr>
            <w:tcW w:w="2340" w:type="dxa"/>
            <w:vMerge/>
            <w:vAlign w:val="center"/>
          </w:tcPr>
          <w:p w14:paraId="4646A35D" w14:textId="77777777" w:rsidR="00F95BB5" w:rsidRPr="006831B9" w:rsidRDefault="00F95BB5" w:rsidP="0039129A">
            <w:pPr>
              <w:pStyle w:val="Body"/>
              <w:spacing w:after="0"/>
              <w:jc w:val="center"/>
              <w:rPr>
                <w:rFonts w:ascii="Arial" w:eastAsia="Times New Roman" w:hAnsi="Arial" w:cs="Arial"/>
                <w:sz w:val="18"/>
                <w:szCs w:val="18"/>
              </w:rPr>
            </w:pPr>
          </w:p>
        </w:tc>
      </w:tr>
      <w:tr w:rsidR="00F95BB5" w:rsidRPr="006831B9" w14:paraId="6E67BB8B" w14:textId="77777777" w:rsidTr="0039129A">
        <w:trPr>
          <w:trHeight w:val="788"/>
          <w:jc w:val="center"/>
        </w:trPr>
        <w:tc>
          <w:tcPr>
            <w:tcW w:w="934" w:type="dxa"/>
            <w:vAlign w:val="center"/>
            <w:hideMark/>
          </w:tcPr>
          <w:p w14:paraId="61516B77" w14:textId="77777777" w:rsidR="00F95BB5" w:rsidRPr="006831B9" w:rsidRDefault="00F95BB5" w:rsidP="0039129A">
            <w:pPr>
              <w:pStyle w:val="Body"/>
              <w:spacing w:after="0"/>
              <w:jc w:val="center"/>
              <w:rPr>
                <w:rFonts w:ascii="Arial" w:eastAsia="Times New Roman" w:hAnsi="Arial" w:cs="Arial"/>
                <w:sz w:val="18"/>
                <w:szCs w:val="18"/>
              </w:rPr>
            </w:pPr>
            <w:r w:rsidRPr="006831B9">
              <w:rPr>
                <w:rFonts w:ascii="Arial" w:eastAsia="Times New Roman" w:hAnsi="Arial" w:cs="Arial"/>
                <w:sz w:val="18"/>
                <w:szCs w:val="18"/>
              </w:rPr>
              <w:t>4.0</w:t>
            </w:r>
          </w:p>
        </w:tc>
        <w:tc>
          <w:tcPr>
            <w:tcW w:w="5001" w:type="dxa"/>
            <w:vAlign w:val="center"/>
            <w:hideMark/>
          </w:tcPr>
          <w:p w14:paraId="0B94932B" w14:textId="77777777" w:rsidR="00F95BB5" w:rsidRPr="006831B9" w:rsidRDefault="00F95BB5" w:rsidP="0039129A">
            <w:pPr>
              <w:pStyle w:val="Body"/>
              <w:spacing w:after="0"/>
              <w:jc w:val="both"/>
              <w:rPr>
                <w:rFonts w:ascii="Arial" w:eastAsia="Times New Roman" w:hAnsi="Arial" w:cs="Arial"/>
                <w:sz w:val="18"/>
                <w:szCs w:val="18"/>
              </w:rPr>
            </w:pPr>
            <w:r w:rsidRPr="006831B9">
              <w:rPr>
                <w:rFonts w:ascii="Arial" w:eastAsia="Times New Roman" w:hAnsi="Arial" w:cs="Arial"/>
                <w:sz w:val="18"/>
                <w:szCs w:val="18"/>
              </w:rPr>
              <w:t xml:space="preserve">Light infection, moderate number of lesions scattered on lower leaves, a few lesions scattered on middle leaves below the cob (30.1-40%). </w:t>
            </w:r>
          </w:p>
        </w:tc>
        <w:tc>
          <w:tcPr>
            <w:tcW w:w="990" w:type="dxa"/>
            <w:vAlign w:val="center"/>
          </w:tcPr>
          <w:p w14:paraId="5DDE916A" w14:textId="77777777" w:rsidR="00F95BB5" w:rsidRPr="006831B9" w:rsidRDefault="00F95BB5" w:rsidP="0039129A">
            <w:pPr>
              <w:pStyle w:val="Body"/>
              <w:spacing w:after="0"/>
              <w:jc w:val="center"/>
              <w:rPr>
                <w:rFonts w:ascii="Arial" w:eastAsia="Times New Roman" w:hAnsi="Arial" w:cs="Arial"/>
                <w:sz w:val="18"/>
                <w:szCs w:val="18"/>
              </w:rPr>
            </w:pPr>
            <w:r w:rsidRPr="006831B9">
              <w:rPr>
                <w:rFonts w:ascii="Arial" w:eastAsia="Times New Roman" w:hAnsi="Arial" w:cs="Arial"/>
                <w:sz w:val="18"/>
                <w:szCs w:val="18"/>
              </w:rPr>
              <w:t>44.44</w:t>
            </w:r>
          </w:p>
        </w:tc>
        <w:tc>
          <w:tcPr>
            <w:tcW w:w="2340" w:type="dxa"/>
            <w:vMerge w:val="restart"/>
            <w:vAlign w:val="center"/>
          </w:tcPr>
          <w:p w14:paraId="3E7D8392" w14:textId="77777777" w:rsidR="00F95BB5" w:rsidRPr="006831B9" w:rsidRDefault="00F95BB5" w:rsidP="0039129A">
            <w:pPr>
              <w:pStyle w:val="Body"/>
              <w:spacing w:after="0"/>
              <w:jc w:val="center"/>
              <w:rPr>
                <w:rFonts w:ascii="Arial" w:hAnsi="Arial" w:cs="Arial"/>
                <w:sz w:val="18"/>
                <w:szCs w:val="18"/>
                <w:lang w:val="en-US"/>
              </w:rPr>
            </w:pPr>
            <w:r w:rsidRPr="006831B9">
              <w:rPr>
                <w:rFonts w:ascii="Arial" w:hAnsi="Arial" w:cs="Arial"/>
                <w:sz w:val="18"/>
                <w:szCs w:val="18"/>
                <w:lang w:val="en-US"/>
              </w:rPr>
              <w:t>Moderately Resistant (MR)</w:t>
            </w:r>
          </w:p>
          <w:p w14:paraId="702D5FBD" w14:textId="77777777" w:rsidR="00F95BB5" w:rsidRPr="006831B9" w:rsidRDefault="00F95BB5" w:rsidP="0039129A">
            <w:pPr>
              <w:pStyle w:val="Body"/>
              <w:spacing w:after="0"/>
              <w:jc w:val="center"/>
              <w:rPr>
                <w:rFonts w:ascii="Arial" w:hAnsi="Arial" w:cs="Arial"/>
                <w:sz w:val="18"/>
                <w:szCs w:val="18"/>
                <w:lang w:val="en-US"/>
              </w:rPr>
            </w:pPr>
            <w:r w:rsidRPr="006831B9">
              <w:rPr>
                <w:rFonts w:ascii="Arial" w:hAnsi="Arial" w:cs="Arial"/>
                <w:sz w:val="18"/>
                <w:szCs w:val="18"/>
                <w:lang w:val="en-US"/>
              </w:rPr>
              <w:t>(Score: 3.1–5.0)</w:t>
            </w:r>
          </w:p>
          <w:p w14:paraId="17BEBE7D" w14:textId="77777777" w:rsidR="00F95BB5" w:rsidRPr="006831B9" w:rsidRDefault="00F95BB5" w:rsidP="0039129A">
            <w:pPr>
              <w:pStyle w:val="Body"/>
              <w:spacing w:after="0"/>
              <w:jc w:val="center"/>
              <w:rPr>
                <w:rFonts w:ascii="Arial" w:hAnsi="Arial" w:cs="Arial"/>
                <w:sz w:val="18"/>
                <w:szCs w:val="18"/>
                <w:lang w:val="en-US"/>
              </w:rPr>
            </w:pPr>
            <w:r w:rsidRPr="006831B9">
              <w:rPr>
                <w:rFonts w:ascii="Arial" w:hAnsi="Arial" w:cs="Arial"/>
                <w:sz w:val="18"/>
                <w:szCs w:val="18"/>
                <w:lang w:val="en-US"/>
              </w:rPr>
              <w:t>(DLA: 30.1-50%)</w:t>
            </w:r>
          </w:p>
          <w:p w14:paraId="0B9E7963" w14:textId="77777777" w:rsidR="00F95BB5" w:rsidRPr="006831B9" w:rsidRDefault="00F95BB5" w:rsidP="0039129A">
            <w:pPr>
              <w:pStyle w:val="Body"/>
              <w:jc w:val="center"/>
              <w:rPr>
                <w:rFonts w:ascii="Arial" w:hAnsi="Arial" w:cs="Arial"/>
                <w:sz w:val="18"/>
                <w:szCs w:val="18"/>
                <w:lang w:val="en-US"/>
              </w:rPr>
            </w:pPr>
            <w:r w:rsidRPr="006831B9">
              <w:rPr>
                <w:rFonts w:ascii="Arial" w:hAnsi="Arial" w:cs="Arial"/>
                <w:sz w:val="18"/>
                <w:szCs w:val="18"/>
                <w:lang w:val="en-US"/>
              </w:rPr>
              <w:t>(PDI: 33.34-55.55)</w:t>
            </w:r>
          </w:p>
          <w:p w14:paraId="59A37260" w14:textId="77777777" w:rsidR="00F95BB5" w:rsidRPr="006831B9" w:rsidRDefault="00F95BB5" w:rsidP="0039129A">
            <w:pPr>
              <w:pStyle w:val="Body"/>
              <w:spacing w:after="0"/>
              <w:jc w:val="center"/>
              <w:rPr>
                <w:rFonts w:ascii="Arial" w:eastAsia="Times New Roman" w:hAnsi="Arial" w:cs="Arial"/>
                <w:sz w:val="18"/>
                <w:szCs w:val="18"/>
              </w:rPr>
            </w:pPr>
          </w:p>
        </w:tc>
      </w:tr>
      <w:tr w:rsidR="00F95BB5" w:rsidRPr="006831B9" w14:paraId="182E586A" w14:textId="77777777" w:rsidTr="0039129A">
        <w:trPr>
          <w:trHeight w:val="1331"/>
          <w:jc w:val="center"/>
        </w:trPr>
        <w:tc>
          <w:tcPr>
            <w:tcW w:w="934" w:type="dxa"/>
            <w:vAlign w:val="center"/>
            <w:hideMark/>
          </w:tcPr>
          <w:p w14:paraId="1C92A834" w14:textId="77777777" w:rsidR="00F95BB5" w:rsidRPr="006831B9" w:rsidRDefault="00F95BB5" w:rsidP="0039129A">
            <w:pPr>
              <w:pStyle w:val="Body"/>
              <w:spacing w:after="0"/>
              <w:jc w:val="center"/>
              <w:rPr>
                <w:rFonts w:ascii="Arial" w:eastAsia="Times New Roman" w:hAnsi="Arial" w:cs="Arial"/>
                <w:sz w:val="18"/>
                <w:szCs w:val="18"/>
              </w:rPr>
            </w:pPr>
            <w:r w:rsidRPr="006831B9">
              <w:rPr>
                <w:rFonts w:ascii="Arial" w:eastAsia="Times New Roman" w:hAnsi="Arial" w:cs="Arial"/>
                <w:sz w:val="18"/>
                <w:szCs w:val="18"/>
              </w:rPr>
              <w:t>5.0</w:t>
            </w:r>
          </w:p>
        </w:tc>
        <w:tc>
          <w:tcPr>
            <w:tcW w:w="5001" w:type="dxa"/>
            <w:vAlign w:val="center"/>
            <w:hideMark/>
          </w:tcPr>
          <w:p w14:paraId="414B8B29" w14:textId="77777777" w:rsidR="00F95BB5" w:rsidRPr="006831B9" w:rsidRDefault="00F95BB5" w:rsidP="0039129A">
            <w:pPr>
              <w:pStyle w:val="Body"/>
              <w:spacing w:after="0"/>
              <w:jc w:val="both"/>
              <w:rPr>
                <w:rFonts w:ascii="Arial" w:eastAsia="Times New Roman" w:hAnsi="Arial" w:cs="Arial"/>
                <w:sz w:val="18"/>
                <w:szCs w:val="18"/>
              </w:rPr>
            </w:pPr>
            <w:r w:rsidRPr="006831B9">
              <w:rPr>
                <w:rFonts w:ascii="Arial" w:eastAsia="Times New Roman" w:hAnsi="Arial" w:cs="Arial"/>
                <w:sz w:val="18"/>
                <w:szCs w:val="18"/>
              </w:rPr>
              <w:t xml:space="preserve">Moderate infection, abundant number of lesions scattered on lower leaves, moderate number of lesions scattered on middle leaves below the cob (40.1-50%). </w:t>
            </w:r>
          </w:p>
        </w:tc>
        <w:tc>
          <w:tcPr>
            <w:tcW w:w="990" w:type="dxa"/>
            <w:vAlign w:val="center"/>
          </w:tcPr>
          <w:p w14:paraId="0A268D8C" w14:textId="77777777" w:rsidR="00F95BB5" w:rsidRPr="006831B9" w:rsidRDefault="00F95BB5" w:rsidP="0039129A">
            <w:pPr>
              <w:pStyle w:val="Body"/>
              <w:spacing w:after="0"/>
              <w:jc w:val="center"/>
              <w:rPr>
                <w:rFonts w:ascii="Arial" w:eastAsia="Times New Roman" w:hAnsi="Arial" w:cs="Arial"/>
                <w:sz w:val="18"/>
                <w:szCs w:val="18"/>
              </w:rPr>
            </w:pPr>
            <w:r w:rsidRPr="006831B9">
              <w:rPr>
                <w:rFonts w:ascii="Arial" w:eastAsia="Times New Roman" w:hAnsi="Arial" w:cs="Arial"/>
                <w:sz w:val="18"/>
                <w:szCs w:val="18"/>
              </w:rPr>
              <w:t>55.55</w:t>
            </w:r>
          </w:p>
        </w:tc>
        <w:tc>
          <w:tcPr>
            <w:tcW w:w="2340" w:type="dxa"/>
            <w:vMerge/>
            <w:vAlign w:val="center"/>
          </w:tcPr>
          <w:p w14:paraId="0410EBAF" w14:textId="77777777" w:rsidR="00F95BB5" w:rsidRPr="006831B9" w:rsidRDefault="00F95BB5" w:rsidP="0039129A">
            <w:pPr>
              <w:pStyle w:val="Body"/>
              <w:spacing w:after="0"/>
              <w:jc w:val="center"/>
              <w:rPr>
                <w:rFonts w:ascii="Arial" w:eastAsia="Times New Roman" w:hAnsi="Arial" w:cs="Arial"/>
                <w:sz w:val="18"/>
                <w:szCs w:val="18"/>
              </w:rPr>
            </w:pPr>
          </w:p>
        </w:tc>
      </w:tr>
      <w:tr w:rsidR="00F95BB5" w:rsidRPr="006831B9" w14:paraId="70A1312E" w14:textId="77777777" w:rsidTr="0039129A">
        <w:trPr>
          <w:trHeight w:val="788"/>
          <w:jc w:val="center"/>
        </w:trPr>
        <w:tc>
          <w:tcPr>
            <w:tcW w:w="934" w:type="dxa"/>
            <w:vAlign w:val="center"/>
            <w:hideMark/>
          </w:tcPr>
          <w:p w14:paraId="4502AB0E" w14:textId="77777777" w:rsidR="00F95BB5" w:rsidRPr="006831B9" w:rsidRDefault="00F95BB5" w:rsidP="0039129A">
            <w:pPr>
              <w:pStyle w:val="Body"/>
              <w:spacing w:after="0"/>
              <w:jc w:val="center"/>
              <w:rPr>
                <w:rFonts w:ascii="Arial" w:eastAsia="Times New Roman" w:hAnsi="Arial" w:cs="Arial"/>
                <w:sz w:val="18"/>
                <w:szCs w:val="18"/>
              </w:rPr>
            </w:pPr>
            <w:r w:rsidRPr="006831B9">
              <w:rPr>
                <w:rFonts w:ascii="Arial" w:eastAsia="Times New Roman" w:hAnsi="Arial" w:cs="Arial"/>
                <w:sz w:val="18"/>
                <w:szCs w:val="18"/>
              </w:rPr>
              <w:t>6.0</w:t>
            </w:r>
          </w:p>
        </w:tc>
        <w:tc>
          <w:tcPr>
            <w:tcW w:w="5001" w:type="dxa"/>
            <w:vAlign w:val="center"/>
            <w:hideMark/>
          </w:tcPr>
          <w:p w14:paraId="12691C0B" w14:textId="77777777" w:rsidR="00F95BB5" w:rsidRPr="006831B9" w:rsidRDefault="00F95BB5" w:rsidP="0039129A">
            <w:pPr>
              <w:pStyle w:val="Body"/>
              <w:spacing w:after="0"/>
              <w:jc w:val="both"/>
              <w:rPr>
                <w:rFonts w:ascii="Arial" w:eastAsia="Times New Roman" w:hAnsi="Arial" w:cs="Arial"/>
                <w:sz w:val="18"/>
                <w:szCs w:val="18"/>
              </w:rPr>
            </w:pPr>
            <w:r w:rsidRPr="006831B9">
              <w:rPr>
                <w:rFonts w:ascii="Arial" w:eastAsia="Times New Roman" w:hAnsi="Arial" w:cs="Arial"/>
                <w:sz w:val="18"/>
                <w:szCs w:val="18"/>
              </w:rPr>
              <w:t xml:space="preserve">Heavy infection, abundant number of lesions scattered on lower leaves, moderate infection on middle leaves and a few lesions on two leaves above the cob (50.1-60%). </w:t>
            </w:r>
          </w:p>
        </w:tc>
        <w:tc>
          <w:tcPr>
            <w:tcW w:w="990" w:type="dxa"/>
            <w:vAlign w:val="center"/>
          </w:tcPr>
          <w:p w14:paraId="6565914F" w14:textId="77777777" w:rsidR="00F95BB5" w:rsidRPr="006831B9" w:rsidRDefault="00F95BB5" w:rsidP="0039129A">
            <w:pPr>
              <w:pStyle w:val="Body"/>
              <w:spacing w:after="0"/>
              <w:jc w:val="center"/>
              <w:rPr>
                <w:rFonts w:ascii="Arial" w:eastAsia="Times New Roman" w:hAnsi="Arial" w:cs="Arial"/>
                <w:sz w:val="18"/>
                <w:szCs w:val="18"/>
              </w:rPr>
            </w:pPr>
            <w:r w:rsidRPr="006831B9">
              <w:rPr>
                <w:rFonts w:ascii="Arial" w:eastAsia="Times New Roman" w:hAnsi="Arial" w:cs="Arial"/>
                <w:sz w:val="18"/>
                <w:szCs w:val="18"/>
              </w:rPr>
              <w:t>66.66</w:t>
            </w:r>
          </w:p>
        </w:tc>
        <w:tc>
          <w:tcPr>
            <w:tcW w:w="2340" w:type="dxa"/>
            <w:vMerge w:val="restart"/>
            <w:vAlign w:val="center"/>
          </w:tcPr>
          <w:p w14:paraId="04847033" w14:textId="77777777" w:rsidR="00F95BB5" w:rsidRPr="006831B9" w:rsidRDefault="00F95BB5" w:rsidP="0039129A">
            <w:pPr>
              <w:pStyle w:val="Body"/>
              <w:spacing w:after="0"/>
              <w:jc w:val="center"/>
              <w:rPr>
                <w:rFonts w:ascii="Arial" w:hAnsi="Arial" w:cs="Arial"/>
                <w:sz w:val="18"/>
                <w:szCs w:val="18"/>
                <w:lang w:val="en-US"/>
              </w:rPr>
            </w:pPr>
          </w:p>
          <w:p w14:paraId="67D1089A" w14:textId="77777777" w:rsidR="00F95BB5" w:rsidRPr="006831B9" w:rsidRDefault="00F95BB5" w:rsidP="0039129A">
            <w:pPr>
              <w:pStyle w:val="Body"/>
              <w:spacing w:after="0"/>
              <w:jc w:val="center"/>
              <w:rPr>
                <w:rFonts w:ascii="Arial" w:hAnsi="Arial" w:cs="Arial"/>
                <w:sz w:val="18"/>
                <w:szCs w:val="18"/>
                <w:lang w:val="en-US"/>
              </w:rPr>
            </w:pPr>
            <w:r w:rsidRPr="006831B9">
              <w:rPr>
                <w:rFonts w:ascii="Arial" w:hAnsi="Arial" w:cs="Arial"/>
                <w:sz w:val="18"/>
                <w:szCs w:val="18"/>
                <w:lang w:val="en-US"/>
              </w:rPr>
              <w:t>Moderately Susceptible (MS)</w:t>
            </w:r>
          </w:p>
          <w:p w14:paraId="5943DF00" w14:textId="77777777" w:rsidR="00F95BB5" w:rsidRPr="006831B9" w:rsidRDefault="00F95BB5" w:rsidP="0039129A">
            <w:pPr>
              <w:pStyle w:val="Body"/>
              <w:spacing w:after="0"/>
              <w:jc w:val="center"/>
              <w:rPr>
                <w:rFonts w:ascii="Arial" w:hAnsi="Arial" w:cs="Arial"/>
                <w:sz w:val="18"/>
                <w:szCs w:val="18"/>
                <w:lang w:val="en-US"/>
              </w:rPr>
            </w:pPr>
            <w:r w:rsidRPr="006831B9">
              <w:rPr>
                <w:rFonts w:ascii="Arial" w:hAnsi="Arial" w:cs="Arial"/>
                <w:sz w:val="18"/>
                <w:szCs w:val="18"/>
                <w:lang w:val="en-US"/>
              </w:rPr>
              <w:t>(Score: 5.1-7.0)</w:t>
            </w:r>
          </w:p>
          <w:p w14:paraId="1BCEE1C9" w14:textId="77777777" w:rsidR="00F95BB5" w:rsidRPr="006831B9" w:rsidRDefault="00F95BB5" w:rsidP="0039129A">
            <w:pPr>
              <w:pStyle w:val="Body"/>
              <w:spacing w:after="0"/>
              <w:jc w:val="center"/>
              <w:rPr>
                <w:rFonts w:ascii="Arial" w:hAnsi="Arial" w:cs="Arial"/>
                <w:sz w:val="18"/>
                <w:szCs w:val="18"/>
                <w:lang w:val="en-US"/>
              </w:rPr>
            </w:pPr>
            <w:r w:rsidRPr="006831B9">
              <w:rPr>
                <w:rFonts w:ascii="Arial" w:hAnsi="Arial" w:cs="Arial"/>
                <w:sz w:val="18"/>
                <w:szCs w:val="18"/>
                <w:lang w:val="en-US"/>
              </w:rPr>
              <w:t>(DLA: 50.1-70%)</w:t>
            </w:r>
          </w:p>
          <w:p w14:paraId="6AB8AD3D" w14:textId="77777777" w:rsidR="00F95BB5" w:rsidRPr="006831B9" w:rsidRDefault="00F95BB5" w:rsidP="0039129A">
            <w:pPr>
              <w:pStyle w:val="Body"/>
              <w:jc w:val="center"/>
              <w:rPr>
                <w:rFonts w:ascii="Arial" w:hAnsi="Arial" w:cs="Arial"/>
                <w:sz w:val="18"/>
                <w:szCs w:val="18"/>
                <w:lang w:val="en-US"/>
              </w:rPr>
            </w:pPr>
            <w:r w:rsidRPr="006831B9">
              <w:rPr>
                <w:rFonts w:ascii="Arial" w:hAnsi="Arial" w:cs="Arial"/>
                <w:sz w:val="18"/>
                <w:szCs w:val="18"/>
                <w:lang w:val="en-US"/>
              </w:rPr>
              <w:t>(PDI:55.56-77.77)</w:t>
            </w:r>
          </w:p>
          <w:p w14:paraId="49DAF977" w14:textId="77777777" w:rsidR="00F95BB5" w:rsidRPr="006831B9" w:rsidRDefault="00F95BB5" w:rsidP="0039129A">
            <w:pPr>
              <w:pStyle w:val="Body"/>
              <w:spacing w:after="0"/>
              <w:jc w:val="center"/>
              <w:rPr>
                <w:rFonts w:ascii="Arial" w:eastAsia="Times New Roman" w:hAnsi="Arial" w:cs="Arial"/>
                <w:sz w:val="18"/>
                <w:szCs w:val="18"/>
              </w:rPr>
            </w:pPr>
          </w:p>
        </w:tc>
      </w:tr>
      <w:tr w:rsidR="00F95BB5" w:rsidRPr="006831B9" w14:paraId="7EBE0863" w14:textId="77777777" w:rsidTr="0039129A">
        <w:trPr>
          <w:trHeight w:val="788"/>
          <w:jc w:val="center"/>
        </w:trPr>
        <w:tc>
          <w:tcPr>
            <w:tcW w:w="934" w:type="dxa"/>
            <w:vAlign w:val="center"/>
            <w:hideMark/>
          </w:tcPr>
          <w:p w14:paraId="72E8A193" w14:textId="77777777" w:rsidR="00F95BB5" w:rsidRPr="006831B9" w:rsidRDefault="00F95BB5" w:rsidP="0039129A">
            <w:pPr>
              <w:pStyle w:val="Body"/>
              <w:spacing w:after="0"/>
              <w:jc w:val="center"/>
              <w:rPr>
                <w:rFonts w:ascii="Arial" w:eastAsia="Times New Roman" w:hAnsi="Arial" w:cs="Arial"/>
                <w:sz w:val="18"/>
                <w:szCs w:val="18"/>
              </w:rPr>
            </w:pPr>
            <w:r w:rsidRPr="006831B9">
              <w:rPr>
                <w:rFonts w:ascii="Arial" w:eastAsia="Times New Roman" w:hAnsi="Arial" w:cs="Arial"/>
                <w:sz w:val="18"/>
                <w:szCs w:val="18"/>
              </w:rPr>
              <w:t>7.0</w:t>
            </w:r>
          </w:p>
        </w:tc>
        <w:tc>
          <w:tcPr>
            <w:tcW w:w="5001" w:type="dxa"/>
            <w:vAlign w:val="center"/>
            <w:hideMark/>
          </w:tcPr>
          <w:p w14:paraId="618B8BF2" w14:textId="77777777" w:rsidR="00F95BB5" w:rsidRPr="006831B9" w:rsidRDefault="00F95BB5" w:rsidP="0039129A">
            <w:pPr>
              <w:pStyle w:val="Body"/>
              <w:spacing w:after="0"/>
              <w:jc w:val="both"/>
              <w:rPr>
                <w:rFonts w:ascii="Arial" w:eastAsia="Times New Roman" w:hAnsi="Arial" w:cs="Arial"/>
                <w:sz w:val="18"/>
                <w:szCs w:val="18"/>
              </w:rPr>
            </w:pPr>
            <w:r w:rsidRPr="006831B9">
              <w:rPr>
                <w:rFonts w:ascii="Arial" w:eastAsia="Times New Roman" w:hAnsi="Arial" w:cs="Arial"/>
                <w:sz w:val="18"/>
                <w:szCs w:val="18"/>
              </w:rPr>
              <w:t xml:space="preserve">Heavy infection, abundant number of lesions scattered on lower and middle leaves and moderate number of lesions on two to four leaves above the cob (60.1-70%). </w:t>
            </w:r>
          </w:p>
        </w:tc>
        <w:tc>
          <w:tcPr>
            <w:tcW w:w="990" w:type="dxa"/>
            <w:vAlign w:val="center"/>
          </w:tcPr>
          <w:p w14:paraId="4184B362" w14:textId="77777777" w:rsidR="00F95BB5" w:rsidRPr="006831B9" w:rsidRDefault="00F95BB5" w:rsidP="0039129A">
            <w:pPr>
              <w:pStyle w:val="Body"/>
              <w:spacing w:after="0"/>
              <w:jc w:val="center"/>
              <w:rPr>
                <w:rFonts w:ascii="Arial" w:eastAsia="Times New Roman" w:hAnsi="Arial" w:cs="Arial"/>
                <w:sz w:val="18"/>
                <w:szCs w:val="18"/>
              </w:rPr>
            </w:pPr>
            <w:r w:rsidRPr="006831B9">
              <w:rPr>
                <w:rFonts w:ascii="Arial" w:eastAsia="Times New Roman" w:hAnsi="Arial" w:cs="Arial"/>
                <w:sz w:val="18"/>
                <w:szCs w:val="18"/>
              </w:rPr>
              <w:t>77.77</w:t>
            </w:r>
          </w:p>
        </w:tc>
        <w:tc>
          <w:tcPr>
            <w:tcW w:w="2340" w:type="dxa"/>
            <w:vMerge/>
            <w:vAlign w:val="center"/>
          </w:tcPr>
          <w:p w14:paraId="1AE282BB" w14:textId="77777777" w:rsidR="00F95BB5" w:rsidRPr="006831B9" w:rsidRDefault="00F95BB5" w:rsidP="0039129A">
            <w:pPr>
              <w:pStyle w:val="Body"/>
              <w:spacing w:after="0"/>
              <w:jc w:val="center"/>
              <w:rPr>
                <w:rFonts w:ascii="Arial" w:eastAsia="Times New Roman" w:hAnsi="Arial" w:cs="Arial"/>
                <w:sz w:val="18"/>
                <w:szCs w:val="18"/>
              </w:rPr>
            </w:pPr>
          </w:p>
        </w:tc>
      </w:tr>
      <w:tr w:rsidR="00F95BB5" w:rsidRPr="00B80F76" w14:paraId="5B276029" w14:textId="77777777" w:rsidTr="0039129A">
        <w:trPr>
          <w:trHeight w:val="762"/>
          <w:jc w:val="center"/>
        </w:trPr>
        <w:tc>
          <w:tcPr>
            <w:tcW w:w="934" w:type="dxa"/>
            <w:vAlign w:val="center"/>
            <w:hideMark/>
          </w:tcPr>
          <w:p w14:paraId="5B54B09B" w14:textId="77777777" w:rsidR="00F95BB5" w:rsidRPr="006831B9" w:rsidRDefault="00F95BB5" w:rsidP="0039129A">
            <w:pPr>
              <w:pStyle w:val="Body"/>
              <w:spacing w:after="0"/>
              <w:jc w:val="center"/>
              <w:rPr>
                <w:rFonts w:ascii="Arial" w:eastAsia="Times New Roman" w:hAnsi="Arial" w:cs="Arial"/>
                <w:sz w:val="18"/>
                <w:szCs w:val="18"/>
              </w:rPr>
            </w:pPr>
            <w:r w:rsidRPr="006831B9">
              <w:rPr>
                <w:rFonts w:ascii="Arial" w:eastAsia="Times New Roman" w:hAnsi="Arial" w:cs="Arial"/>
                <w:sz w:val="18"/>
                <w:szCs w:val="18"/>
              </w:rPr>
              <w:t>8.0</w:t>
            </w:r>
          </w:p>
        </w:tc>
        <w:tc>
          <w:tcPr>
            <w:tcW w:w="5001" w:type="dxa"/>
            <w:vAlign w:val="center"/>
            <w:hideMark/>
          </w:tcPr>
          <w:p w14:paraId="5B0800D9" w14:textId="77777777" w:rsidR="00F95BB5" w:rsidRPr="006831B9" w:rsidRDefault="00F95BB5" w:rsidP="0039129A">
            <w:pPr>
              <w:pStyle w:val="Body"/>
              <w:spacing w:after="0"/>
              <w:jc w:val="both"/>
              <w:rPr>
                <w:rFonts w:ascii="Arial" w:eastAsia="Times New Roman" w:hAnsi="Arial" w:cs="Arial"/>
                <w:sz w:val="18"/>
                <w:szCs w:val="18"/>
              </w:rPr>
            </w:pPr>
            <w:r w:rsidRPr="006831B9">
              <w:rPr>
                <w:rFonts w:ascii="Arial" w:eastAsia="Times New Roman" w:hAnsi="Arial" w:cs="Arial"/>
                <w:sz w:val="18"/>
                <w:szCs w:val="18"/>
              </w:rPr>
              <w:t xml:space="preserve">Very heavy infection, lesions abundant scattered on lower and middle leaves and spreading up to the flag leaf (70.1-80%). </w:t>
            </w:r>
          </w:p>
        </w:tc>
        <w:tc>
          <w:tcPr>
            <w:tcW w:w="990" w:type="dxa"/>
            <w:vAlign w:val="center"/>
          </w:tcPr>
          <w:p w14:paraId="5D157D2A" w14:textId="77777777" w:rsidR="00F95BB5" w:rsidRPr="006831B9" w:rsidRDefault="00F95BB5" w:rsidP="0039129A">
            <w:pPr>
              <w:pStyle w:val="Body"/>
              <w:spacing w:after="0"/>
              <w:jc w:val="center"/>
              <w:rPr>
                <w:rFonts w:ascii="Arial" w:eastAsia="Times New Roman" w:hAnsi="Arial" w:cs="Arial"/>
                <w:sz w:val="18"/>
                <w:szCs w:val="18"/>
              </w:rPr>
            </w:pPr>
            <w:r w:rsidRPr="006831B9">
              <w:rPr>
                <w:rFonts w:ascii="Arial" w:eastAsia="Times New Roman" w:hAnsi="Arial" w:cs="Arial"/>
                <w:sz w:val="18"/>
                <w:szCs w:val="18"/>
              </w:rPr>
              <w:t>88.88</w:t>
            </w:r>
          </w:p>
        </w:tc>
        <w:tc>
          <w:tcPr>
            <w:tcW w:w="2340" w:type="dxa"/>
            <w:vMerge w:val="restart"/>
            <w:vAlign w:val="center"/>
          </w:tcPr>
          <w:p w14:paraId="1C6FA986" w14:textId="77777777" w:rsidR="00F95BB5" w:rsidRPr="00B80F76" w:rsidRDefault="00F95BB5" w:rsidP="0039129A">
            <w:pPr>
              <w:pStyle w:val="Body"/>
              <w:spacing w:after="0"/>
              <w:jc w:val="center"/>
              <w:rPr>
                <w:rFonts w:ascii="Arial" w:hAnsi="Arial" w:cs="Arial"/>
                <w:sz w:val="18"/>
                <w:szCs w:val="18"/>
                <w:lang w:val="fr-FR"/>
              </w:rPr>
            </w:pPr>
            <w:r w:rsidRPr="00B80F76">
              <w:rPr>
                <w:rFonts w:ascii="Arial" w:hAnsi="Arial" w:cs="Arial"/>
                <w:sz w:val="18"/>
                <w:szCs w:val="18"/>
                <w:lang w:val="fr-FR"/>
              </w:rPr>
              <w:t>Susceptible (S)</w:t>
            </w:r>
          </w:p>
          <w:p w14:paraId="02C7376D" w14:textId="77777777" w:rsidR="00F95BB5" w:rsidRPr="00B80F76" w:rsidRDefault="00F95BB5" w:rsidP="0039129A">
            <w:pPr>
              <w:pStyle w:val="Body"/>
              <w:spacing w:after="0"/>
              <w:jc w:val="center"/>
              <w:rPr>
                <w:rFonts w:ascii="Arial" w:hAnsi="Arial" w:cs="Arial"/>
                <w:sz w:val="18"/>
                <w:szCs w:val="18"/>
                <w:lang w:val="fr-FR"/>
              </w:rPr>
            </w:pPr>
            <w:r w:rsidRPr="00B80F76">
              <w:rPr>
                <w:rFonts w:ascii="Arial" w:hAnsi="Arial" w:cs="Arial"/>
                <w:sz w:val="18"/>
                <w:szCs w:val="18"/>
                <w:lang w:val="fr-FR"/>
              </w:rPr>
              <w:t>(Score: &gt;7.0)</w:t>
            </w:r>
          </w:p>
          <w:p w14:paraId="2FA5F77D" w14:textId="77777777" w:rsidR="00F95BB5" w:rsidRPr="00B80F76" w:rsidRDefault="00F95BB5" w:rsidP="0039129A">
            <w:pPr>
              <w:pStyle w:val="Body"/>
              <w:spacing w:after="0"/>
              <w:jc w:val="center"/>
              <w:rPr>
                <w:rFonts w:ascii="Arial" w:hAnsi="Arial" w:cs="Arial"/>
                <w:sz w:val="18"/>
                <w:szCs w:val="18"/>
                <w:lang w:val="fr-FR"/>
              </w:rPr>
            </w:pPr>
            <w:r w:rsidRPr="00B80F76">
              <w:rPr>
                <w:rFonts w:ascii="Arial" w:hAnsi="Arial" w:cs="Arial"/>
                <w:sz w:val="18"/>
                <w:szCs w:val="18"/>
                <w:lang w:val="fr-FR"/>
              </w:rPr>
              <w:t>(DLA: &gt;70%)</w:t>
            </w:r>
          </w:p>
          <w:p w14:paraId="0D14344F" w14:textId="77777777" w:rsidR="00F95BB5" w:rsidRPr="006831B9" w:rsidRDefault="00F95BB5" w:rsidP="0039129A">
            <w:pPr>
              <w:pStyle w:val="Body"/>
              <w:spacing w:after="0"/>
              <w:jc w:val="center"/>
              <w:rPr>
                <w:rFonts w:ascii="Arial" w:eastAsia="Times New Roman" w:hAnsi="Arial" w:cs="Arial"/>
                <w:sz w:val="18"/>
                <w:szCs w:val="18"/>
              </w:rPr>
            </w:pPr>
            <w:r w:rsidRPr="00B80F76">
              <w:rPr>
                <w:rFonts w:ascii="Arial" w:eastAsia="Times New Roman" w:hAnsi="Arial" w:cs="Arial"/>
                <w:sz w:val="18"/>
                <w:szCs w:val="18"/>
                <w:lang w:val="fr-FR"/>
              </w:rPr>
              <w:t>(PDI: &gt;77.77)</w:t>
            </w:r>
          </w:p>
        </w:tc>
      </w:tr>
      <w:tr w:rsidR="00F95BB5" w:rsidRPr="006831B9" w14:paraId="22A9212A" w14:textId="77777777" w:rsidTr="0039129A">
        <w:trPr>
          <w:trHeight w:val="974"/>
          <w:jc w:val="center"/>
        </w:trPr>
        <w:tc>
          <w:tcPr>
            <w:tcW w:w="934" w:type="dxa"/>
            <w:vAlign w:val="center"/>
            <w:hideMark/>
          </w:tcPr>
          <w:p w14:paraId="10A0FE35" w14:textId="77777777" w:rsidR="00F95BB5" w:rsidRPr="006831B9" w:rsidRDefault="00F95BB5" w:rsidP="0039129A">
            <w:pPr>
              <w:pStyle w:val="Body"/>
              <w:spacing w:after="0"/>
              <w:jc w:val="center"/>
              <w:rPr>
                <w:rFonts w:ascii="Arial" w:eastAsia="Times New Roman" w:hAnsi="Arial" w:cs="Arial"/>
                <w:sz w:val="18"/>
                <w:szCs w:val="18"/>
              </w:rPr>
            </w:pPr>
            <w:r w:rsidRPr="006831B9">
              <w:rPr>
                <w:rFonts w:ascii="Arial" w:eastAsia="Times New Roman" w:hAnsi="Arial" w:cs="Arial"/>
                <w:sz w:val="18"/>
                <w:szCs w:val="18"/>
              </w:rPr>
              <w:t>9.0</w:t>
            </w:r>
          </w:p>
        </w:tc>
        <w:tc>
          <w:tcPr>
            <w:tcW w:w="5001" w:type="dxa"/>
            <w:vAlign w:val="center"/>
            <w:hideMark/>
          </w:tcPr>
          <w:p w14:paraId="0B44EDA8" w14:textId="77777777" w:rsidR="00F95BB5" w:rsidRPr="006831B9" w:rsidRDefault="00F95BB5" w:rsidP="0039129A">
            <w:pPr>
              <w:pStyle w:val="Body"/>
              <w:spacing w:after="0"/>
              <w:jc w:val="both"/>
              <w:rPr>
                <w:rFonts w:ascii="Arial" w:eastAsia="Times New Roman" w:hAnsi="Arial" w:cs="Arial"/>
                <w:sz w:val="18"/>
                <w:szCs w:val="18"/>
              </w:rPr>
            </w:pPr>
            <w:r w:rsidRPr="006831B9">
              <w:rPr>
                <w:rFonts w:ascii="Arial" w:eastAsia="Times New Roman" w:hAnsi="Arial" w:cs="Arial"/>
                <w:sz w:val="18"/>
                <w:szCs w:val="18"/>
              </w:rPr>
              <w:t xml:space="preserve">Very heavy infection, lesions abundant scattered on almost all the  leaves, , plant prematurely dried and killed (&gt;80%) </w:t>
            </w:r>
          </w:p>
        </w:tc>
        <w:tc>
          <w:tcPr>
            <w:tcW w:w="990" w:type="dxa"/>
            <w:vAlign w:val="center"/>
          </w:tcPr>
          <w:p w14:paraId="6E5DF48F" w14:textId="77777777" w:rsidR="00F95BB5" w:rsidRPr="006831B9" w:rsidRDefault="00F95BB5" w:rsidP="0039129A">
            <w:pPr>
              <w:pStyle w:val="Body"/>
              <w:spacing w:after="0"/>
              <w:jc w:val="center"/>
              <w:rPr>
                <w:rFonts w:ascii="Arial" w:eastAsia="Times New Roman" w:hAnsi="Arial" w:cs="Arial"/>
                <w:sz w:val="18"/>
                <w:szCs w:val="18"/>
              </w:rPr>
            </w:pPr>
            <w:r w:rsidRPr="006831B9">
              <w:rPr>
                <w:rFonts w:ascii="Arial" w:eastAsia="Times New Roman" w:hAnsi="Arial" w:cs="Arial"/>
                <w:sz w:val="18"/>
                <w:szCs w:val="18"/>
              </w:rPr>
              <w:t>99.99</w:t>
            </w:r>
          </w:p>
        </w:tc>
        <w:tc>
          <w:tcPr>
            <w:tcW w:w="2340" w:type="dxa"/>
            <w:vMerge/>
          </w:tcPr>
          <w:p w14:paraId="257C0A70" w14:textId="77777777" w:rsidR="00F95BB5" w:rsidRPr="006831B9" w:rsidRDefault="00F95BB5" w:rsidP="0039129A">
            <w:pPr>
              <w:pStyle w:val="Body"/>
              <w:spacing w:after="0"/>
              <w:rPr>
                <w:rFonts w:ascii="Arial" w:eastAsia="Times New Roman" w:hAnsi="Arial" w:cs="Arial"/>
                <w:sz w:val="18"/>
                <w:szCs w:val="18"/>
              </w:rPr>
            </w:pPr>
          </w:p>
        </w:tc>
      </w:tr>
    </w:tbl>
    <w:p w14:paraId="4496231C" w14:textId="77777777" w:rsidR="000F1CD4" w:rsidRPr="006831B9" w:rsidRDefault="000F1CD4" w:rsidP="00F95BB5">
      <w:pPr>
        <w:rPr>
          <w:rFonts w:ascii="Arial" w:hAnsi="Arial" w:cs="Arial"/>
          <w:sz w:val="18"/>
          <w:szCs w:val="18"/>
        </w:rPr>
      </w:pPr>
    </w:p>
    <w:p w14:paraId="63ADB4A9" w14:textId="1FB38230" w:rsidR="007657BC" w:rsidRPr="000F1CD4" w:rsidRDefault="007657BC" w:rsidP="00F95BB5">
      <w:pPr>
        <w:rPr>
          <w:rFonts w:ascii="Arial" w:hAnsi="Arial" w:cs="Arial"/>
          <w:sz w:val="20"/>
          <w:szCs w:val="20"/>
        </w:rPr>
      </w:pPr>
      <w:r w:rsidRPr="000F1CD4">
        <w:rPr>
          <w:rFonts w:ascii="Arial" w:hAnsi="Arial" w:cs="Arial"/>
          <w:sz w:val="20"/>
          <w:szCs w:val="20"/>
        </w:rPr>
        <w:t xml:space="preserve">Per cent disease index (PDI) was calculated by using the formula given by Wheeler (1969). </w:t>
      </w:r>
    </w:p>
    <w:p w14:paraId="19F8B341" w14:textId="77777777" w:rsidR="007657BC" w:rsidRPr="000F1CD4" w:rsidRDefault="007657BC" w:rsidP="00A72BE6">
      <w:pPr>
        <w:pStyle w:val="BodyText"/>
        <w:spacing w:before="133" w:after="240" w:line="360" w:lineRule="auto"/>
        <w:ind w:left="720"/>
        <w:rPr>
          <w:rFonts w:ascii="Arial" w:eastAsiaTheme="majorEastAsia" w:hAnsi="Arial" w:cs="Arial"/>
          <w:b/>
          <w:sz w:val="20"/>
          <w:szCs w:val="20"/>
        </w:rPr>
      </w:pPr>
      <m:oMathPara>
        <m:oMathParaPr>
          <m:jc m:val="center"/>
        </m:oMathParaPr>
        <m:oMath>
          <m:r>
            <m:rPr>
              <m:sty m:val="b"/>
            </m:rPr>
            <w:rPr>
              <w:rFonts w:ascii="Cambria Math" w:hAnsi="Cambria Math" w:cs="Arial"/>
              <w:sz w:val="20"/>
              <w:szCs w:val="20"/>
            </w:rPr>
            <m:t xml:space="preserve">PDI= </m:t>
          </m:r>
          <m:f>
            <m:fPr>
              <m:ctrlPr>
                <w:rPr>
                  <w:rFonts w:ascii="Cambria Math" w:hAnsi="Cambria Math" w:cs="Arial"/>
                  <w:b/>
                  <w:iCs/>
                  <w:sz w:val="20"/>
                  <w:szCs w:val="20"/>
                </w:rPr>
              </m:ctrlPr>
            </m:fPr>
            <m:num>
              <m:r>
                <m:rPr>
                  <m:sty m:val="b"/>
                </m:rPr>
                <w:rPr>
                  <w:rFonts w:ascii="Cambria Math" w:hAnsi="Cambria Math" w:cs="Arial"/>
                  <w:sz w:val="20"/>
                  <w:szCs w:val="20"/>
                </w:rPr>
                <m:t>Sum of all ratings</m:t>
              </m:r>
            </m:num>
            <m:den>
              <m:r>
                <m:rPr>
                  <m:sty m:val="b"/>
                </m:rPr>
                <w:rPr>
                  <w:rFonts w:ascii="Cambria Math" w:hAnsi="Cambria Math" w:cs="Arial"/>
                  <w:sz w:val="20"/>
                  <w:szCs w:val="20"/>
                </w:rPr>
                <m:t>Total number of ratings ×Maximum disease grade</m:t>
              </m:r>
            </m:den>
          </m:f>
          <m:r>
            <m:rPr>
              <m:sty m:val="b"/>
            </m:rPr>
            <w:rPr>
              <w:rFonts w:ascii="Cambria Math" w:hAnsi="Cambria Math" w:cs="Arial"/>
              <w:sz w:val="20"/>
              <w:szCs w:val="20"/>
            </w:rPr>
            <m:t xml:space="preserve"> ×100</m:t>
          </m:r>
        </m:oMath>
      </m:oMathPara>
    </w:p>
    <w:p w14:paraId="1C7166B8" w14:textId="5323EDC6" w:rsidR="007657BC" w:rsidRPr="006831B9" w:rsidRDefault="007657BC" w:rsidP="007657BC">
      <w:pPr>
        <w:tabs>
          <w:tab w:val="left" w:pos="950"/>
        </w:tabs>
        <w:spacing w:line="360" w:lineRule="auto"/>
        <w:jc w:val="both"/>
        <w:rPr>
          <w:rFonts w:ascii="Arial" w:eastAsiaTheme="majorEastAsia" w:hAnsi="Arial" w:cs="Arial"/>
          <w:b/>
          <w:sz w:val="20"/>
          <w:szCs w:val="20"/>
        </w:rPr>
      </w:pPr>
      <w:r w:rsidRPr="006831B9">
        <w:rPr>
          <w:rFonts w:ascii="Arial" w:eastAsiaTheme="majorEastAsia" w:hAnsi="Arial" w:cs="Arial"/>
          <w:bCs/>
          <w:sz w:val="20"/>
          <w:szCs w:val="20"/>
        </w:rPr>
        <w:t>Disease progression was measured by calculating AUDPC and apparent rate of infection (r) as per logistic equation given by Vander</w:t>
      </w:r>
      <w:r w:rsidR="001743C1">
        <w:rPr>
          <w:rFonts w:ascii="Arial" w:eastAsiaTheme="majorEastAsia" w:hAnsi="Arial" w:cs="Arial"/>
          <w:bCs/>
          <w:sz w:val="20"/>
          <w:szCs w:val="20"/>
        </w:rPr>
        <w:t xml:space="preserve"> P</w:t>
      </w:r>
      <w:r w:rsidRPr="006831B9">
        <w:rPr>
          <w:rFonts w:ascii="Arial" w:eastAsiaTheme="majorEastAsia" w:hAnsi="Arial" w:cs="Arial"/>
          <w:bCs/>
          <w:sz w:val="20"/>
          <w:szCs w:val="20"/>
        </w:rPr>
        <w:t>lank (1963)</w:t>
      </w:r>
    </w:p>
    <w:p w14:paraId="1D6C7D52" w14:textId="24C45072" w:rsidR="007657BC" w:rsidRPr="006831B9" w:rsidRDefault="007657BC" w:rsidP="007657BC">
      <w:pPr>
        <w:pStyle w:val="ListParagraph"/>
        <w:tabs>
          <w:tab w:val="left" w:pos="950"/>
        </w:tabs>
        <w:spacing w:after="0" w:line="360" w:lineRule="auto"/>
        <w:jc w:val="center"/>
        <w:rPr>
          <w:rFonts w:ascii="Arial" w:eastAsiaTheme="majorEastAsia" w:hAnsi="Arial" w:cs="Arial"/>
          <w:b/>
          <w:sz w:val="20"/>
          <w:szCs w:val="20"/>
        </w:rPr>
      </w:pPr>
      <m:oMathPara>
        <m:oMath>
          <m:r>
            <m:rPr>
              <m:sty m:val="b"/>
            </m:rPr>
            <w:rPr>
              <w:rFonts w:ascii="Cambria Math" w:eastAsiaTheme="majorEastAsia" w:hAnsi="Cambria Math" w:cs="Arial"/>
              <w:sz w:val="20"/>
              <w:szCs w:val="20"/>
            </w:rPr>
            <m:t>AUDPC</m:t>
          </m:r>
          <m:r>
            <m:rPr>
              <m:sty m:val="bi"/>
            </m:rPr>
            <w:rPr>
              <w:rFonts w:ascii="Cambria Math" w:eastAsiaTheme="majorEastAsia" w:hAnsi="Cambria Math" w:cs="Arial"/>
              <w:sz w:val="20"/>
              <w:szCs w:val="20"/>
            </w:rPr>
            <m:t xml:space="preserve">= </m:t>
          </m:r>
          <m:nary>
            <m:naryPr>
              <m:chr m:val="∑"/>
              <m:limLoc m:val="undOvr"/>
              <m:ctrlPr>
                <w:rPr>
                  <w:rFonts w:ascii="Cambria Math" w:eastAsiaTheme="majorEastAsia" w:hAnsi="Cambria Math" w:cs="Arial"/>
                  <w:b/>
                  <w:i/>
                  <w:sz w:val="20"/>
                  <w:szCs w:val="20"/>
                </w:rPr>
              </m:ctrlPr>
            </m:naryPr>
            <m:sub>
              <m:r>
                <m:rPr>
                  <m:sty m:val="bi"/>
                </m:rPr>
                <w:rPr>
                  <w:rFonts w:ascii="Cambria Math" w:eastAsiaTheme="majorEastAsia" w:hAnsi="Cambria Math" w:cs="Arial"/>
                  <w:sz w:val="20"/>
                  <w:szCs w:val="20"/>
                </w:rPr>
                <m:t>i=1</m:t>
              </m:r>
            </m:sub>
            <m:sup>
              <m:r>
                <m:rPr>
                  <m:sty m:val="bi"/>
                </m:rPr>
                <w:rPr>
                  <w:rFonts w:ascii="Cambria Math" w:eastAsiaTheme="majorEastAsia" w:hAnsi="Cambria Math" w:cs="Arial"/>
                  <w:sz w:val="20"/>
                  <w:szCs w:val="20"/>
                </w:rPr>
                <m:t>n-1</m:t>
              </m:r>
            </m:sup>
            <m:e>
              <m:f>
                <m:fPr>
                  <m:ctrlPr>
                    <w:rPr>
                      <w:rFonts w:ascii="Cambria Math" w:eastAsiaTheme="majorEastAsia" w:hAnsi="Cambria Math" w:cs="Arial"/>
                      <w:b/>
                      <w:i/>
                      <w:sz w:val="20"/>
                      <w:szCs w:val="20"/>
                    </w:rPr>
                  </m:ctrlPr>
                </m:fPr>
                <m:num>
                  <m:sSub>
                    <m:sSubPr>
                      <m:ctrlPr>
                        <w:rPr>
                          <w:rFonts w:ascii="Cambria Math" w:eastAsiaTheme="majorEastAsia" w:hAnsi="Cambria Math" w:cs="Arial"/>
                          <w:b/>
                          <w:i/>
                          <w:sz w:val="20"/>
                          <w:szCs w:val="20"/>
                        </w:rPr>
                      </m:ctrlPr>
                    </m:sSubPr>
                    <m:e>
                      <m:r>
                        <m:rPr>
                          <m:sty m:val="bi"/>
                        </m:rPr>
                        <w:rPr>
                          <w:rFonts w:ascii="Cambria Math" w:eastAsiaTheme="majorEastAsia" w:hAnsi="Cambria Math" w:cs="Arial"/>
                          <w:sz w:val="20"/>
                          <w:szCs w:val="20"/>
                        </w:rPr>
                        <m:t>y</m:t>
                      </m:r>
                    </m:e>
                    <m:sub>
                      <m:r>
                        <m:rPr>
                          <m:sty m:val="bi"/>
                        </m:rPr>
                        <w:rPr>
                          <w:rFonts w:ascii="Cambria Math" w:eastAsiaTheme="majorEastAsia" w:hAnsi="Cambria Math" w:cs="Arial"/>
                          <w:sz w:val="20"/>
                          <w:szCs w:val="20"/>
                        </w:rPr>
                        <m:t>i</m:t>
                      </m:r>
                    </m:sub>
                  </m:sSub>
                  <m:r>
                    <m:rPr>
                      <m:sty m:val="bi"/>
                    </m:rPr>
                    <w:rPr>
                      <w:rFonts w:ascii="Cambria Math" w:eastAsiaTheme="majorEastAsia" w:hAnsi="Cambria Math" w:cs="Arial"/>
                      <w:sz w:val="20"/>
                      <w:szCs w:val="20"/>
                    </w:rPr>
                    <m:t xml:space="preserve"> + </m:t>
                  </m:r>
                  <m:sSub>
                    <m:sSubPr>
                      <m:ctrlPr>
                        <w:rPr>
                          <w:rFonts w:ascii="Cambria Math" w:eastAsiaTheme="majorEastAsia" w:hAnsi="Cambria Math" w:cs="Arial"/>
                          <w:b/>
                          <w:i/>
                          <w:sz w:val="20"/>
                          <w:szCs w:val="20"/>
                        </w:rPr>
                      </m:ctrlPr>
                    </m:sSubPr>
                    <m:e>
                      <m:r>
                        <m:rPr>
                          <m:sty m:val="bi"/>
                        </m:rPr>
                        <w:rPr>
                          <w:rFonts w:ascii="Cambria Math" w:eastAsiaTheme="majorEastAsia" w:hAnsi="Cambria Math" w:cs="Arial"/>
                          <w:sz w:val="20"/>
                          <w:szCs w:val="20"/>
                        </w:rPr>
                        <m:t>y</m:t>
                      </m:r>
                    </m:e>
                    <m:sub>
                      <m:r>
                        <m:rPr>
                          <m:sty m:val="bi"/>
                        </m:rPr>
                        <w:rPr>
                          <w:rFonts w:ascii="Cambria Math" w:eastAsiaTheme="majorEastAsia" w:hAnsi="Cambria Math" w:cs="Arial"/>
                          <w:sz w:val="20"/>
                          <w:szCs w:val="20"/>
                        </w:rPr>
                        <m:t>i+1</m:t>
                      </m:r>
                    </m:sub>
                  </m:sSub>
                </m:num>
                <m:den>
                  <m:r>
                    <m:rPr>
                      <m:sty m:val="bi"/>
                    </m:rPr>
                    <w:rPr>
                      <w:rFonts w:ascii="Cambria Math" w:eastAsiaTheme="majorEastAsia" w:hAnsi="Cambria Math" w:cs="Arial"/>
                      <w:sz w:val="20"/>
                      <w:szCs w:val="20"/>
                    </w:rPr>
                    <m:t>2</m:t>
                  </m:r>
                </m:den>
              </m:f>
            </m:e>
          </m:nary>
          <m:r>
            <m:rPr>
              <m:sty m:val="bi"/>
            </m:rPr>
            <w:rPr>
              <w:rFonts w:ascii="Cambria Math" w:eastAsiaTheme="majorEastAsia" w:hAnsi="Cambria Math" w:cs="Arial"/>
              <w:sz w:val="20"/>
              <w:szCs w:val="20"/>
            </w:rPr>
            <m:t xml:space="preserve"> ×(</m:t>
          </m:r>
          <m:sSub>
            <m:sSubPr>
              <m:ctrlPr>
                <w:rPr>
                  <w:rFonts w:ascii="Cambria Math" w:eastAsiaTheme="majorEastAsia" w:hAnsi="Cambria Math" w:cs="Arial"/>
                  <w:b/>
                  <w:i/>
                  <w:sz w:val="20"/>
                  <w:szCs w:val="20"/>
                </w:rPr>
              </m:ctrlPr>
            </m:sSubPr>
            <m:e>
              <m:r>
                <m:rPr>
                  <m:sty m:val="bi"/>
                </m:rPr>
                <w:rPr>
                  <w:rFonts w:ascii="Cambria Math" w:eastAsiaTheme="majorEastAsia" w:hAnsi="Cambria Math" w:cs="Arial"/>
                  <w:sz w:val="20"/>
                  <w:szCs w:val="20"/>
                </w:rPr>
                <m:t>t</m:t>
              </m:r>
            </m:e>
            <m:sub>
              <m:r>
                <m:rPr>
                  <m:sty m:val="bi"/>
                </m:rPr>
                <w:rPr>
                  <w:rFonts w:ascii="Cambria Math" w:eastAsiaTheme="majorEastAsia" w:hAnsi="Cambria Math" w:cs="Arial"/>
                  <w:sz w:val="20"/>
                  <w:szCs w:val="20"/>
                </w:rPr>
                <m:t>i+1</m:t>
              </m:r>
            </m:sub>
          </m:sSub>
          <m:r>
            <m:rPr>
              <m:sty m:val="bi"/>
            </m:rPr>
            <w:rPr>
              <w:rFonts w:ascii="Cambria Math" w:eastAsiaTheme="majorEastAsia" w:hAnsi="Cambria Math" w:cs="Arial"/>
              <w:sz w:val="20"/>
              <w:szCs w:val="20"/>
            </w:rPr>
            <m:t>-</m:t>
          </m:r>
          <m:sSub>
            <m:sSubPr>
              <m:ctrlPr>
                <w:rPr>
                  <w:rFonts w:ascii="Cambria Math" w:eastAsiaTheme="majorEastAsia" w:hAnsi="Cambria Math" w:cs="Arial"/>
                  <w:b/>
                  <w:i/>
                  <w:sz w:val="20"/>
                  <w:szCs w:val="20"/>
                </w:rPr>
              </m:ctrlPr>
            </m:sSubPr>
            <m:e>
              <m:r>
                <m:rPr>
                  <m:sty m:val="bi"/>
                </m:rPr>
                <w:rPr>
                  <w:rFonts w:ascii="Cambria Math" w:eastAsiaTheme="majorEastAsia" w:hAnsi="Cambria Math" w:cs="Arial"/>
                  <w:sz w:val="20"/>
                  <w:szCs w:val="20"/>
                </w:rPr>
                <m:t>t</m:t>
              </m:r>
            </m:e>
            <m:sub>
              <m:r>
                <m:rPr>
                  <m:sty m:val="bi"/>
                </m:rPr>
                <w:rPr>
                  <w:rFonts w:ascii="Cambria Math" w:eastAsiaTheme="majorEastAsia" w:hAnsi="Cambria Math" w:cs="Arial"/>
                  <w:sz w:val="20"/>
                  <w:szCs w:val="20"/>
                </w:rPr>
                <m:t>i</m:t>
              </m:r>
            </m:sub>
          </m:sSub>
          <m:r>
            <m:rPr>
              <m:sty m:val="bi"/>
            </m:rPr>
            <w:rPr>
              <w:rFonts w:ascii="Cambria Math" w:eastAsiaTheme="majorEastAsia" w:hAnsi="Cambria Math" w:cs="Arial"/>
              <w:sz w:val="20"/>
              <w:szCs w:val="20"/>
            </w:rPr>
            <m:t>)</m:t>
          </m:r>
        </m:oMath>
      </m:oMathPara>
    </w:p>
    <w:p w14:paraId="66107E64" w14:textId="77777777" w:rsidR="007657BC" w:rsidRPr="006831B9" w:rsidRDefault="007657BC" w:rsidP="007657BC">
      <w:pPr>
        <w:tabs>
          <w:tab w:val="left" w:pos="950"/>
        </w:tabs>
        <w:spacing w:after="0" w:line="360" w:lineRule="auto"/>
        <w:jc w:val="both"/>
        <w:rPr>
          <w:rFonts w:ascii="Arial" w:hAnsi="Arial" w:cs="Arial"/>
          <w:sz w:val="20"/>
          <w:szCs w:val="20"/>
        </w:rPr>
      </w:pPr>
      <w:r w:rsidRPr="006831B9">
        <w:rPr>
          <w:rFonts w:ascii="Arial" w:hAnsi="Arial" w:cs="Arial"/>
          <w:sz w:val="20"/>
          <w:szCs w:val="20"/>
        </w:rPr>
        <w:t>Where, y</w:t>
      </w:r>
      <w:r w:rsidRPr="006831B9">
        <w:rPr>
          <w:rFonts w:ascii="Arial" w:hAnsi="Arial" w:cs="Arial"/>
          <w:sz w:val="20"/>
          <w:szCs w:val="20"/>
          <w:vertAlign w:val="subscript"/>
        </w:rPr>
        <w:t>i</w:t>
      </w:r>
      <w:r w:rsidRPr="006831B9">
        <w:rPr>
          <w:rFonts w:ascii="Arial" w:hAnsi="Arial" w:cs="Arial"/>
          <w:sz w:val="20"/>
          <w:szCs w:val="20"/>
        </w:rPr>
        <w:t xml:space="preserve"> = Per cent disease severity at the i</w:t>
      </w:r>
      <w:r w:rsidRPr="006831B9">
        <w:rPr>
          <w:rFonts w:ascii="Arial" w:hAnsi="Arial" w:cs="Arial"/>
          <w:sz w:val="20"/>
          <w:szCs w:val="20"/>
          <w:vertAlign w:val="superscript"/>
        </w:rPr>
        <w:t>th</w:t>
      </w:r>
      <w:r w:rsidRPr="006831B9">
        <w:rPr>
          <w:rFonts w:ascii="Arial" w:hAnsi="Arial" w:cs="Arial"/>
          <w:sz w:val="20"/>
          <w:szCs w:val="20"/>
        </w:rPr>
        <w:t xml:space="preserve"> observation</w:t>
      </w:r>
    </w:p>
    <w:p w14:paraId="21CDA6BC" w14:textId="77777777" w:rsidR="007657BC" w:rsidRPr="006831B9" w:rsidRDefault="007657BC" w:rsidP="007657BC">
      <w:pPr>
        <w:tabs>
          <w:tab w:val="left" w:pos="950"/>
        </w:tabs>
        <w:spacing w:after="0" w:line="360" w:lineRule="auto"/>
        <w:jc w:val="both"/>
        <w:rPr>
          <w:rFonts w:ascii="Arial" w:hAnsi="Arial" w:cs="Arial"/>
          <w:sz w:val="20"/>
          <w:szCs w:val="20"/>
        </w:rPr>
      </w:pPr>
      <w:r w:rsidRPr="006831B9">
        <w:rPr>
          <w:rFonts w:ascii="Arial" w:hAnsi="Arial" w:cs="Arial"/>
          <w:sz w:val="20"/>
          <w:szCs w:val="20"/>
        </w:rPr>
        <w:lastRenderedPageBreak/>
        <w:t xml:space="preserve">             t</w:t>
      </w:r>
      <w:r w:rsidRPr="006831B9">
        <w:rPr>
          <w:rFonts w:ascii="Arial" w:hAnsi="Arial" w:cs="Arial"/>
          <w:sz w:val="20"/>
          <w:szCs w:val="20"/>
          <w:vertAlign w:val="subscript"/>
        </w:rPr>
        <w:t>i</w:t>
      </w:r>
      <w:r w:rsidRPr="006831B9">
        <w:rPr>
          <w:rFonts w:ascii="Arial" w:hAnsi="Arial" w:cs="Arial"/>
          <w:sz w:val="20"/>
          <w:szCs w:val="20"/>
        </w:rPr>
        <w:t xml:space="preserve"> = time (in days) at the i</w:t>
      </w:r>
      <w:r w:rsidRPr="006831B9">
        <w:rPr>
          <w:rFonts w:ascii="Arial" w:hAnsi="Arial" w:cs="Arial"/>
          <w:sz w:val="20"/>
          <w:szCs w:val="20"/>
          <w:vertAlign w:val="superscript"/>
        </w:rPr>
        <w:t>th</w:t>
      </w:r>
      <w:r w:rsidRPr="006831B9">
        <w:rPr>
          <w:rFonts w:ascii="Arial" w:hAnsi="Arial" w:cs="Arial"/>
          <w:sz w:val="20"/>
          <w:szCs w:val="20"/>
        </w:rPr>
        <w:t xml:space="preserve"> observation</w:t>
      </w:r>
    </w:p>
    <w:p w14:paraId="69823D0E" w14:textId="77777777" w:rsidR="007657BC" w:rsidRPr="006831B9" w:rsidRDefault="007657BC" w:rsidP="007657BC">
      <w:pPr>
        <w:tabs>
          <w:tab w:val="left" w:pos="950"/>
        </w:tabs>
        <w:spacing w:after="0" w:line="360" w:lineRule="auto"/>
        <w:jc w:val="both"/>
        <w:rPr>
          <w:rFonts w:ascii="Arial" w:hAnsi="Arial" w:cs="Arial"/>
          <w:sz w:val="20"/>
          <w:szCs w:val="20"/>
        </w:rPr>
      </w:pPr>
      <w:r w:rsidRPr="006831B9">
        <w:rPr>
          <w:rFonts w:ascii="Arial" w:hAnsi="Arial" w:cs="Arial"/>
          <w:sz w:val="20"/>
          <w:szCs w:val="20"/>
        </w:rPr>
        <w:t xml:space="preserve">             n = total number of observations</w:t>
      </w:r>
    </w:p>
    <w:p w14:paraId="2DAC0D08" w14:textId="6E6B9AD1" w:rsidR="007657BC" w:rsidRPr="006831B9" w:rsidRDefault="007657BC" w:rsidP="007657BC">
      <w:pPr>
        <w:tabs>
          <w:tab w:val="left" w:pos="950"/>
        </w:tabs>
        <w:spacing w:line="360" w:lineRule="auto"/>
        <w:jc w:val="center"/>
        <w:rPr>
          <w:rFonts w:ascii="Arial" w:hAnsi="Arial" w:cs="Arial"/>
          <w:b/>
          <w:bCs/>
          <w:sz w:val="20"/>
          <w:szCs w:val="20"/>
        </w:rPr>
      </w:pPr>
      <m:oMathPara>
        <m:oMath>
          <m:r>
            <m:rPr>
              <m:sty m:val="bi"/>
            </m:rPr>
            <w:rPr>
              <w:rFonts w:ascii="Cambria Math" w:hAnsi="Cambria Math" w:cs="Arial"/>
              <w:sz w:val="20"/>
              <w:szCs w:val="20"/>
            </w:rPr>
            <m:t xml:space="preserve">r= </m:t>
          </m:r>
          <m:f>
            <m:fPr>
              <m:ctrlPr>
                <w:rPr>
                  <w:rFonts w:ascii="Cambria Math" w:hAnsi="Cambria Math" w:cs="Arial"/>
                  <w:b/>
                  <w:bCs/>
                  <w:i/>
                  <w:sz w:val="20"/>
                  <w:szCs w:val="20"/>
                </w:rPr>
              </m:ctrlPr>
            </m:fPr>
            <m:num>
              <m:r>
                <m:rPr>
                  <m:sty m:val="bi"/>
                </m:rPr>
                <w:rPr>
                  <w:rFonts w:ascii="Cambria Math" w:hAnsi="Cambria Math" w:cs="Arial"/>
                  <w:sz w:val="20"/>
                  <w:szCs w:val="20"/>
                </w:rPr>
                <m:t>2.303</m:t>
              </m:r>
            </m:num>
            <m:den>
              <m:sSub>
                <m:sSubPr>
                  <m:ctrlPr>
                    <w:rPr>
                      <w:rFonts w:ascii="Cambria Math" w:hAnsi="Cambria Math" w:cs="Arial"/>
                      <w:b/>
                      <w:bCs/>
                      <w:i/>
                      <w:sz w:val="20"/>
                      <w:szCs w:val="20"/>
                    </w:rPr>
                  </m:ctrlPr>
                </m:sSubPr>
                <m:e>
                  <m:r>
                    <m:rPr>
                      <m:sty m:val="bi"/>
                    </m:rPr>
                    <w:rPr>
                      <w:rFonts w:ascii="Cambria Math" w:hAnsi="Cambria Math" w:cs="Arial"/>
                      <w:sz w:val="20"/>
                      <w:szCs w:val="20"/>
                    </w:rPr>
                    <m:t>t</m:t>
                  </m:r>
                </m:e>
                <m:sub>
                  <m:r>
                    <m:rPr>
                      <m:sty m:val="bi"/>
                    </m:rPr>
                    <w:rPr>
                      <w:rFonts w:ascii="Cambria Math" w:hAnsi="Cambria Math" w:cs="Arial"/>
                      <w:sz w:val="20"/>
                      <w:szCs w:val="20"/>
                    </w:rPr>
                    <m:t>2</m:t>
                  </m:r>
                </m:sub>
              </m:sSub>
              <m:r>
                <m:rPr>
                  <m:sty m:val="bi"/>
                </m:rPr>
                <w:rPr>
                  <w:rFonts w:ascii="Cambria Math" w:hAnsi="Cambria Math" w:cs="Arial"/>
                  <w:sz w:val="20"/>
                  <w:szCs w:val="20"/>
                </w:rPr>
                <m:t>-</m:t>
              </m:r>
              <m:sSub>
                <m:sSubPr>
                  <m:ctrlPr>
                    <w:rPr>
                      <w:rFonts w:ascii="Cambria Math" w:hAnsi="Cambria Math" w:cs="Arial"/>
                      <w:b/>
                      <w:bCs/>
                      <w:i/>
                      <w:sz w:val="20"/>
                      <w:szCs w:val="20"/>
                    </w:rPr>
                  </m:ctrlPr>
                </m:sSubPr>
                <m:e>
                  <m:r>
                    <m:rPr>
                      <m:sty m:val="bi"/>
                    </m:rPr>
                    <w:rPr>
                      <w:rFonts w:ascii="Cambria Math" w:hAnsi="Cambria Math" w:cs="Arial"/>
                      <w:sz w:val="20"/>
                      <w:szCs w:val="20"/>
                    </w:rPr>
                    <m:t>t</m:t>
                  </m:r>
                </m:e>
                <m:sub>
                  <m:r>
                    <m:rPr>
                      <m:sty m:val="bi"/>
                    </m:rPr>
                    <w:rPr>
                      <w:rFonts w:ascii="Cambria Math" w:hAnsi="Cambria Math" w:cs="Arial"/>
                      <w:sz w:val="20"/>
                      <w:szCs w:val="20"/>
                    </w:rPr>
                    <m:t>1</m:t>
                  </m:r>
                </m:sub>
              </m:sSub>
            </m:den>
          </m:f>
          <m:func>
            <m:funcPr>
              <m:ctrlPr>
                <w:rPr>
                  <w:rFonts w:ascii="Cambria Math" w:hAnsi="Cambria Math" w:cs="Arial"/>
                  <w:b/>
                  <w:bCs/>
                  <w:i/>
                  <w:sz w:val="20"/>
                  <w:szCs w:val="20"/>
                </w:rPr>
              </m:ctrlPr>
            </m:funcPr>
            <m:fName>
              <m:sSub>
                <m:sSubPr>
                  <m:ctrlPr>
                    <w:rPr>
                      <w:rFonts w:ascii="Cambria Math" w:hAnsi="Cambria Math" w:cs="Arial"/>
                      <w:b/>
                      <w:bCs/>
                      <w:i/>
                      <w:sz w:val="20"/>
                      <w:szCs w:val="20"/>
                    </w:rPr>
                  </m:ctrlPr>
                </m:sSubPr>
                <m:e>
                  <m:r>
                    <m:rPr>
                      <m:sty m:val="b"/>
                    </m:rPr>
                    <w:rPr>
                      <w:rFonts w:ascii="Cambria Math" w:hAnsi="Cambria Math" w:cs="Arial"/>
                      <w:sz w:val="20"/>
                      <w:szCs w:val="20"/>
                    </w:rPr>
                    <m:t xml:space="preserve"> log</m:t>
                  </m:r>
                </m:e>
                <m:sub>
                  <m:r>
                    <m:rPr>
                      <m:sty m:val="bi"/>
                    </m:rPr>
                    <w:rPr>
                      <w:rFonts w:ascii="Cambria Math" w:hAnsi="Cambria Math" w:cs="Arial"/>
                      <w:sz w:val="20"/>
                      <w:szCs w:val="20"/>
                    </w:rPr>
                    <m:t xml:space="preserve">10 </m:t>
                  </m:r>
                  <m:ctrlPr>
                    <w:rPr>
                      <w:rFonts w:ascii="Cambria Math" w:hAnsi="Cambria Math" w:cs="Arial"/>
                      <w:b/>
                      <w:bCs/>
                      <w:sz w:val="20"/>
                      <w:szCs w:val="20"/>
                    </w:rPr>
                  </m:ctrlPr>
                </m:sub>
              </m:sSub>
            </m:fName>
            <m:e>
              <m:f>
                <m:fPr>
                  <m:ctrlPr>
                    <w:rPr>
                      <w:rFonts w:ascii="Cambria Math" w:hAnsi="Cambria Math" w:cs="Arial"/>
                      <w:b/>
                      <w:bCs/>
                      <w:i/>
                      <w:sz w:val="20"/>
                      <w:szCs w:val="20"/>
                    </w:rPr>
                  </m:ctrlPr>
                </m:fPr>
                <m:num>
                  <m:sSub>
                    <m:sSubPr>
                      <m:ctrlPr>
                        <w:rPr>
                          <w:rFonts w:ascii="Cambria Math" w:hAnsi="Cambria Math" w:cs="Arial"/>
                          <w:b/>
                          <w:bCs/>
                          <w:i/>
                          <w:sz w:val="20"/>
                          <w:szCs w:val="20"/>
                        </w:rPr>
                      </m:ctrlPr>
                    </m:sSubPr>
                    <m:e>
                      <m:r>
                        <m:rPr>
                          <m:sty m:val="bi"/>
                        </m:rPr>
                        <w:rPr>
                          <w:rFonts w:ascii="Cambria Math" w:hAnsi="Cambria Math" w:cs="Arial"/>
                          <w:sz w:val="20"/>
                          <w:szCs w:val="20"/>
                        </w:rPr>
                        <m:t>x</m:t>
                      </m:r>
                    </m:e>
                    <m:sub>
                      <m:r>
                        <m:rPr>
                          <m:sty m:val="bi"/>
                        </m:rPr>
                        <w:rPr>
                          <w:rFonts w:ascii="Cambria Math" w:hAnsi="Cambria Math" w:cs="Arial"/>
                          <w:sz w:val="20"/>
                          <w:szCs w:val="20"/>
                        </w:rPr>
                        <m:t>2</m:t>
                      </m:r>
                    </m:sub>
                  </m:sSub>
                </m:num>
                <m:den>
                  <m:sSub>
                    <m:sSubPr>
                      <m:ctrlPr>
                        <w:rPr>
                          <w:rFonts w:ascii="Cambria Math" w:hAnsi="Cambria Math" w:cs="Arial"/>
                          <w:b/>
                          <w:bCs/>
                          <w:i/>
                          <w:sz w:val="20"/>
                          <w:szCs w:val="20"/>
                        </w:rPr>
                      </m:ctrlPr>
                    </m:sSubPr>
                    <m:e>
                      <m:r>
                        <m:rPr>
                          <m:sty m:val="bi"/>
                        </m:rPr>
                        <w:rPr>
                          <w:rFonts w:ascii="Cambria Math" w:hAnsi="Cambria Math" w:cs="Arial"/>
                          <w:sz w:val="20"/>
                          <w:szCs w:val="20"/>
                        </w:rPr>
                        <m:t>x</m:t>
                      </m:r>
                    </m:e>
                    <m:sub>
                      <m:r>
                        <m:rPr>
                          <m:sty m:val="bi"/>
                        </m:rPr>
                        <w:rPr>
                          <w:rFonts w:ascii="Cambria Math" w:hAnsi="Cambria Math" w:cs="Arial"/>
                          <w:sz w:val="20"/>
                          <w:szCs w:val="20"/>
                        </w:rPr>
                        <m:t>1</m:t>
                      </m:r>
                    </m:sub>
                  </m:sSub>
                </m:den>
              </m:f>
            </m:e>
          </m:func>
        </m:oMath>
      </m:oMathPara>
    </w:p>
    <w:p w14:paraId="3C7CB9D5" w14:textId="77777777" w:rsidR="007657BC" w:rsidRPr="006831B9" w:rsidRDefault="007657BC" w:rsidP="007657BC">
      <w:pPr>
        <w:tabs>
          <w:tab w:val="left" w:pos="950"/>
        </w:tabs>
        <w:spacing w:after="0" w:line="360" w:lineRule="auto"/>
        <w:jc w:val="both"/>
        <w:rPr>
          <w:rFonts w:ascii="Arial" w:hAnsi="Arial" w:cs="Arial"/>
          <w:sz w:val="20"/>
          <w:szCs w:val="20"/>
        </w:rPr>
      </w:pPr>
      <w:r w:rsidRPr="006831B9">
        <w:rPr>
          <w:rFonts w:ascii="Arial" w:hAnsi="Arial" w:cs="Arial"/>
          <w:sz w:val="20"/>
          <w:szCs w:val="20"/>
        </w:rPr>
        <w:t>Where,  r = apparent rate of infection</w:t>
      </w:r>
    </w:p>
    <w:p w14:paraId="17F1F6A0" w14:textId="77777777" w:rsidR="007657BC" w:rsidRPr="006831B9" w:rsidRDefault="007657BC" w:rsidP="007657BC">
      <w:pPr>
        <w:tabs>
          <w:tab w:val="left" w:pos="950"/>
        </w:tabs>
        <w:spacing w:after="0" w:line="360" w:lineRule="auto"/>
        <w:jc w:val="both"/>
        <w:rPr>
          <w:rFonts w:ascii="Arial" w:hAnsi="Arial" w:cs="Arial"/>
          <w:sz w:val="20"/>
          <w:szCs w:val="20"/>
        </w:rPr>
      </w:pPr>
      <w:r w:rsidRPr="006831B9">
        <w:rPr>
          <w:rFonts w:ascii="Arial" w:hAnsi="Arial" w:cs="Arial"/>
          <w:sz w:val="20"/>
          <w:szCs w:val="20"/>
        </w:rPr>
        <w:t xml:space="preserve">      t</w:t>
      </w:r>
      <w:r w:rsidRPr="006831B9">
        <w:rPr>
          <w:rFonts w:ascii="Arial" w:hAnsi="Arial" w:cs="Arial"/>
          <w:sz w:val="20"/>
          <w:szCs w:val="20"/>
          <w:vertAlign w:val="subscript"/>
        </w:rPr>
        <w:t>2</w:t>
      </w:r>
      <w:r w:rsidRPr="006831B9">
        <w:rPr>
          <w:rFonts w:ascii="Arial" w:hAnsi="Arial" w:cs="Arial"/>
          <w:sz w:val="20"/>
          <w:szCs w:val="20"/>
        </w:rPr>
        <w:t xml:space="preserve"> – t</w:t>
      </w:r>
      <w:r w:rsidRPr="006831B9">
        <w:rPr>
          <w:rFonts w:ascii="Arial" w:hAnsi="Arial" w:cs="Arial"/>
          <w:sz w:val="20"/>
          <w:szCs w:val="20"/>
          <w:vertAlign w:val="subscript"/>
        </w:rPr>
        <w:t>1</w:t>
      </w:r>
      <w:r w:rsidRPr="006831B9">
        <w:rPr>
          <w:rFonts w:ascii="Arial" w:hAnsi="Arial" w:cs="Arial"/>
          <w:sz w:val="20"/>
          <w:szCs w:val="20"/>
        </w:rPr>
        <w:t xml:space="preserve"> = time interval between first and last observation</w:t>
      </w:r>
    </w:p>
    <w:p w14:paraId="0BAB1699" w14:textId="3D8EA0EE" w:rsidR="00F95BB5" w:rsidRPr="006831B9" w:rsidRDefault="007657BC" w:rsidP="007657BC">
      <w:pPr>
        <w:adjustRightInd w:val="0"/>
        <w:spacing w:after="0" w:line="360" w:lineRule="auto"/>
        <w:jc w:val="both"/>
        <w:rPr>
          <w:rFonts w:ascii="Arial" w:hAnsi="Arial" w:cs="Arial"/>
          <w:sz w:val="20"/>
          <w:szCs w:val="20"/>
        </w:rPr>
      </w:pPr>
      <w:r w:rsidRPr="006831B9">
        <w:rPr>
          <w:rFonts w:ascii="Arial" w:hAnsi="Arial" w:cs="Arial"/>
          <w:sz w:val="20"/>
          <w:szCs w:val="20"/>
        </w:rPr>
        <w:t xml:space="preserve">     x</w:t>
      </w:r>
      <w:r w:rsidRPr="006831B9">
        <w:rPr>
          <w:rFonts w:ascii="Arial" w:hAnsi="Arial" w:cs="Arial"/>
          <w:sz w:val="20"/>
          <w:szCs w:val="20"/>
          <w:vertAlign w:val="subscript"/>
        </w:rPr>
        <w:t xml:space="preserve">1 </w:t>
      </w:r>
      <w:r w:rsidRPr="006831B9">
        <w:rPr>
          <w:rFonts w:ascii="Arial" w:hAnsi="Arial" w:cs="Arial"/>
          <w:sz w:val="20"/>
          <w:szCs w:val="20"/>
        </w:rPr>
        <w:t>&amp; x</w:t>
      </w:r>
      <w:r w:rsidRPr="006831B9">
        <w:rPr>
          <w:rFonts w:ascii="Arial" w:hAnsi="Arial" w:cs="Arial"/>
          <w:sz w:val="20"/>
          <w:szCs w:val="20"/>
          <w:vertAlign w:val="subscript"/>
        </w:rPr>
        <w:t>2</w:t>
      </w:r>
      <w:r w:rsidRPr="006831B9">
        <w:rPr>
          <w:rFonts w:ascii="Arial" w:hAnsi="Arial" w:cs="Arial"/>
          <w:sz w:val="20"/>
          <w:szCs w:val="20"/>
        </w:rPr>
        <w:t xml:space="preserve"> = per cent disease severity at t</w:t>
      </w:r>
      <w:r w:rsidRPr="006831B9">
        <w:rPr>
          <w:rFonts w:ascii="Arial" w:hAnsi="Arial" w:cs="Arial"/>
          <w:sz w:val="20"/>
          <w:szCs w:val="20"/>
          <w:vertAlign w:val="subscript"/>
        </w:rPr>
        <w:t>1</w:t>
      </w:r>
      <w:r w:rsidRPr="006831B9">
        <w:rPr>
          <w:rFonts w:ascii="Arial" w:hAnsi="Arial" w:cs="Arial"/>
          <w:sz w:val="20"/>
          <w:szCs w:val="20"/>
        </w:rPr>
        <w:t xml:space="preserve"> and t</w:t>
      </w:r>
      <w:r w:rsidRPr="006831B9">
        <w:rPr>
          <w:rFonts w:ascii="Arial" w:hAnsi="Arial" w:cs="Arial"/>
          <w:sz w:val="20"/>
          <w:szCs w:val="20"/>
          <w:vertAlign w:val="subscript"/>
        </w:rPr>
        <w:t xml:space="preserve">2 </w:t>
      </w:r>
      <w:r w:rsidRPr="006831B9">
        <w:rPr>
          <w:rFonts w:ascii="Arial" w:hAnsi="Arial" w:cs="Arial"/>
          <w:sz w:val="20"/>
          <w:szCs w:val="20"/>
        </w:rPr>
        <w:t>time intervals, respectively</w:t>
      </w:r>
    </w:p>
    <w:p w14:paraId="6C7956C6" w14:textId="08F7DD2D" w:rsidR="000E4FF3" w:rsidRDefault="000E4FF3" w:rsidP="00313970">
      <w:pPr>
        <w:spacing w:line="276" w:lineRule="auto"/>
        <w:jc w:val="both"/>
        <w:rPr>
          <w:rFonts w:ascii="Times New Roman" w:hAnsi="Times New Roman" w:cs="Times New Roman"/>
          <w:b/>
          <w:bCs/>
        </w:rPr>
      </w:pPr>
    </w:p>
    <w:p w14:paraId="4CF91B07" w14:textId="4F051116" w:rsidR="007657BC" w:rsidRPr="006831B9" w:rsidRDefault="006831B9" w:rsidP="006831B9">
      <w:pPr>
        <w:spacing w:after="0" w:line="360" w:lineRule="auto"/>
        <w:jc w:val="both"/>
        <w:rPr>
          <w:rFonts w:ascii="Arial" w:hAnsi="Arial" w:cs="Arial"/>
          <w:b/>
          <w:bCs/>
          <w:sz w:val="22"/>
          <w:szCs w:val="22"/>
        </w:rPr>
      </w:pPr>
      <w:r w:rsidRPr="006831B9">
        <w:rPr>
          <w:rFonts w:ascii="Arial" w:hAnsi="Arial" w:cs="Arial"/>
          <w:b/>
          <w:bCs/>
          <w:sz w:val="22"/>
          <w:szCs w:val="22"/>
        </w:rPr>
        <w:t xml:space="preserve">2.2 </w:t>
      </w:r>
      <w:r w:rsidR="007657BC" w:rsidRPr="006831B9">
        <w:rPr>
          <w:rFonts w:ascii="Arial" w:hAnsi="Arial" w:cs="Arial"/>
          <w:b/>
          <w:bCs/>
          <w:sz w:val="22"/>
          <w:szCs w:val="22"/>
        </w:rPr>
        <w:t>Age of pathogen culture</w:t>
      </w:r>
    </w:p>
    <w:p w14:paraId="18C0D758" w14:textId="58E08752" w:rsidR="007657BC" w:rsidRPr="006831B9" w:rsidRDefault="007657BC" w:rsidP="006831B9">
      <w:pPr>
        <w:spacing w:line="360" w:lineRule="auto"/>
        <w:ind w:firstLine="720"/>
        <w:jc w:val="both"/>
        <w:rPr>
          <w:rFonts w:ascii="Arial" w:hAnsi="Arial" w:cs="Arial"/>
          <w:sz w:val="20"/>
          <w:szCs w:val="20"/>
        </w:rPr>
      </w:pPr>
      <w:r w:rsidRPr="006831B9">
        <w:rPr>
          <w:rFonts w:ascii="Arial" w:hAnsi="Arial" w:cs="Arial"/>
          <w:sz w:val="20"/>
          <w:szCs w:val="20"/>
        </w:rPr>
        <w:t xml:space="preserve">Pathogen culture isolated from the infected maize leaves on CMA and purified on TYG and PYG smeared with MLEB was maintained in the laboratory at 26±2ºC with 12/12 photoperiod for different time duration </w:t>
      </w:r>
      <w:r w:rsidRPr="006831B9">
        <w:rPr>
          <w:rFonts w:ascii="Arial" w:hAnsi="Arial" w:cs="Arial"/>
          <w:i/>
          <w:iCs/>
          <w:sz w:val="20"/>
          <w:szCs w:val="20"/>
        </w:rPr>
        <w:t xml:space="preserve">viz., </w:t>
      </w:r>
      <w:r w:rsidRPr="006831B9">
        <w:rPr>
          <w:rFonts w:ascii="Arial" w:hAnsi="Arial" w:cs="Arial"/>
          <w:sz w:val="20"/>
          <w:szCs w:val="20"/>
        </w:rPr>
        <w:t>7, 14, 21, 28 and 35-days old culture. The experiment was carried out under polyhouse conditions by whorl inoculation of sporangial suspension (5×10</w:t>
      </w:r>
      <w:r w:rsidRPr="006831B9">
        <w:rPr>
          <w:rFonts w:ascii="Arial" w:hAnsi="Arial" w:cs="Arial"/>
          <w:sz w:val="20"/>
          <w:szCs w:val="20"/>
          <w:vertAlign w:val="superscript"/>
        </w:rPr>
        <w:t xml:space="preserve">5 </w:t>
      </w:r>
      <w:r w:rsidRPr="006831B9">
        <w:rPr>
          <w:rFonts w:ascii="Arial" w:hAnsi="Arial" w:cs="Arial"/>
          <w:sz w:val="20"/>
          <w:szCs w:val="20"/>
        </w:rPr>
        <w:t>sporangia/ml) from 7, 14, 21, 28 and 35-days old culture on 35 days old susceptible seedlings (K25 Gold) in pots. The inoculated plants were sprayed every 24 hours to maintain high humidity on leaves and whorls (RH &gt; 90%) until the development of the disease symptoms. The experiment was conducted in a completely randomized design. Three plants were taken for each replication and each treatment was replicated thrice in pots along with an uninoculated control. The observation on incubation period was recorded for each treatment. Additionally, disease severity on maize plants were recorded at weekly intervals after appearance of first symptoms using 1 to 9 scale given by Hooda et al. (2018). The per cent disease index (PDI), AUDPC and apparent rate of infection (r) were calculated according to the formula as described above.</w:t>
      </w:r>
    </w:p>
    <w:p w14:paraId="7467BCE8" w14:textId="551E7E76" w:rsidR="007657BC" w:rsidRPr="006831B9" w:rsidRDefault="006831B9" w:rsidP="006831B9">
      <w:pPr>
        <w:spacing w:after="0" w:line="360" w:lineRule="auto"/>
        <w:jc w:val="both"/>
        <w:rPr>
          <w:rFonts w:ascii="Arial" w:hAnsi="Arial" w:cs="Arial"/>
          <w:b/>
          <w:bCs/>
          <w:sz w:val="22"/>
          <w:szCs w:val="22"/>
        </w:rPr>
      </w:pPr>
      <w:r w:rsidRPr="006831B9">
        <w:rPr>
          <w:rFonts w:ascii="Arial" w:hAnsi="Arial" w:cs="Arial"/>
          <w:b/>
          <w:bCs/>
          <w:sz w:val="22"/>
          <w:szCs w:val="22"/>
        </w:rPr>
        <w:t xml:space="preserve">2.3 </w:t>
      </w:r>
      <w:r w:rsidR="007657BC" w:rsidRPr="006831B9">
        <w:rPr>
          <w:rFonts w:ascii="Arial" w:hAnsi="Arial" w:cs="Arial"/>
          <w:b/>
          <w:bCs/>
          <w:sz w:val="22"/>
          <w:szCs w:val="22"/>
        </w:rPr>
        <w:t>Inoculum load</w:t>
      </w:r>
    </w:p>
    <w:p w14:paraId="56A7ACF9" w14:textId="16CA71B4" w:rsidR="007657BC" w:rsidRPr="006831B9" w:rsidRDefault="007657BC" w:rsidP="006831B9">
      <w:pPr>
        <w:spacing w:line="360" w:lineRule="auto"/>
        <w:ind w:firstLine="720"/>
        <w:jc w:val="both"/>
        <w:rPr>
          <w:rFonts w:ascii="Arial" w:hAnsi="Arial" w:cs="Arial"/>
          <w:sz w:val="20"/>
          <w:szCs w:val="20"/>
        </w:rPr>
      </w:pPr>
      <w:r w:rsidRPr="006831B9">
        <w:rPr>
          <w:rFonts w:ascii="Arial" w:hAnsi="Arial" w:cs="Arial"/>
          <w:sz w:val="20"/>
          <w:szCs w:val="20"/>
        </w:rPr>
        <w:t xml:space="preserve">Different inoculum concentrations (sporangia/ml) were evaluated to standardize the optimum inoculum load required for successful infection and development of brown spot symptoms on maize plants. The experiment was conducted under polyhouse conditions. Thirty-five days old seedlings of susceptible maize variety (K25 Gold) were whorl inoculated with different sporangial concentrations </w:t>
      </w:r>
      <w:r w:rsidRPr="006831B9">
        <w:rPr>
          <w:rFonts w:ascii="Arial" w:hAnsi="Arial" w:cs="Arial"/>
          <w:i/>
          <w:iCs/>
          <w:sz w:val="20"/>
          <w:szCs w:val="20"/>
        </w:rPr>
        <w:t xml:space="preserve">viz., </w:t>
      </w:r>
      <w:r w:rsidRPr="006831B9">
        <w:rPr>
          <w:rFonts w:ascii="Arial" w:hAnsi="Arial" w:cs="Arial"/>
          <w:sz w:val="20"/>
          <w:szCs w:val="20"/>
        </w:rPr>
        <w:t>5×10</w:t>
      </w:r>
      <w:r w:rsidRPr="006831B9">
        <w:rPr>
          <w:rFonts w:ascii="Arial" w:hAnsi="Arial" w:cs="Arial"/>
          <w:sz w:val="20"/>
          <w:szCs w:val="20"/>
          <w:vertAlign w:val="superscript"/>
        </w:rPr>
        <w:t>3</w:t>
      </w:r>
      <w:r w:rsidRPr="006831B9">
        <w:rPr>
          <w:rFonts w:ascii="Arial" w:hAnsi="Arial" w:cs="Arial"/>
          <w:sz w:val="20"/>
          <w:szCs w:val="20"/>
        </w:rPr>
        <w:t>, 1×10</w:t>
      </w:r>
      <w:r w:rsidRPr="006831B9">
        <w:rPr>
          <w:rFonts w:ascii="Arial" w:hAnsi="Arial" w:cs="Arial"/>
          <w:sz w:val="20"/>
          <w:szCs w:val="20"/>
          <w:vertAlign w:val="superscript"/>
        </w:rPr>
        <w:t>5</w:t>
      </w:r>
      <w:r w:rsidRPr="006831B9">
        <w:rPr>
          <w:rFonts w:ascii="Arial" w:hAnsi="Arial" w:cs="Arial"/>
          <w:sz w:val="20"/>
          <w:szCs w:val="20"/>
        </w:rPr>
        <w:t>, 5×10</w:t>
      </w:r>
      <w:r w:rsidRPr="006831B9">
        <w:rPr>
          <w:rFonts w:ascii="Arial" w:hAnsi="Arial" w:cs="Arial"/>
          <w:sz w:val="20"/>
          <w:szCs w:val="20"/>
          <w:vertAlign w:val="superscript"/>
        </w:rPr>
        <w:t>4</w:t>
      </w:r>
      <w:r w:rsidRPr="006831B9">
        <w:rPr>
          <w:rFonts w:ascii="Arial" w:hAnsi="Arial" w:cs="Arial"/>
          <w:sz w:val="20"/>
          <w:szCs w:val="20"/>
        </w:rPr>
        <w:t>, 1×10</w:t>
      </w:r>
      <w:r w:rsidRPr="006831B9">
        <w:rPr>
          <w:rFonts w:ascii="Arial" w:hAnsi="Arial" w:cs="Arial"/>
          <w:sz w:val="20"/>
          <w:szCs w:val="20"/>
          <w:vertAlign w:val="superscript"/>
        </w:rPr>
        <w:t>6</w:t>
      </w:r>
      <w:r w:rsidRPr="006831B9">
        <w:rPr>
          <w:rFonts w:ascii="Arial" w:hAnsi="Arial" w:cs="Arial"/>
          <w:sz w:val="20"/>
          <w:szCs w:val="20"/>
        </w:rPr>
        <w:t xml:space="preserve"> and 5×10</w:t>
      </w:r>
      <w:r w:rsidRPr="006831B9">
        <w:rPr>
          <w:rFonts w:ascii="Arial" w:hAnsi="Arial" w:cs="Arial"/>
          <w:sz w:val="20"/>
          <w:szCs w:val="20"/>
          <w:vertAlign w:val="superscript"/>
        </w:rPr>
        <w:t xml:space="preserve">5 </w:t>
      </w:r>
      <w:r w:rsidRPr="006831B9">
        <w:rPr>
          <w:rFonts w:ascii="Arial" w:hAnsi="Arial" w:cs="Arial"/>
          <w:sz w:val="20"/>
          <w:szCs w:val="20"/>
        </w:rPr>
        <w:t>sporangia/ml. The inoculated plants were sprayed every 24 hours to maintain high humidity on leaves and whorls (RH &gt; 90%) until the development of the disease symptoms. The experiment was conducted in a completely randomized design. Three plants were taken for each replication and each treatment was replicated thrice in pots. The observation on incubation period was recorded for each treatment. Additionally, disease severity on maize plants were recorded at weekly intervals after appearance of first symptoms using 1 to 9 scale given by Hooda et al. (2018). The per cent disease index (PDI), AUDPC and apparent rate of infection (r) were calculated according to the formula as described above.</w:t>
      </w:r>
    </w:p>
    <w:p w14:paraId="0670C076" w14:textId="019950DD" w:rsidR="007657BC" w:rsidRPr="006831B9" w:rsidRDefault="006831B9" w:rsidP="006831B9">
      <w:pPr>
        <w:spacing w:after="0" w:line="360" w:lineRule="auto"/>
        <w:jc w:val="both"/>
        <w:rPr>
          <w:rFonts w:ascii="Arial" w:hAnsi="Arial" w:cs="Arial"/>
          <w:b/>
          <w:bCs/>
          <w:sz w:val="22"/>
          <w:szCs w:val="22"/>
        </w:rPr>
      </w:pPr>
      <w:r w:rsidRPr="006831B9">
        <w:rPr>
          <w:rFonts w:ascii="Arial" w:hAnsi="Arial" w:cs="Arial"/>
          <w:b/>
          <w:bCs/>
          <w:sz w:val="22"/>
          <w:szCs w:val="22"/>
        </w:rPr>
        <w:t xml:space="preserve">2.4 </w:t>
      </w:r>
      <w:r w:rsidR="007657BC" w:rsidRPr="006831B9">
        <w:rPr>
          <w:rFonts w:ascii="Arial" w:hAnsi="Arial" w:cs="Arial"/>
          <w:b/>
          <w:bCs/>
          <w:sz w:val="22"/>
          <w:szCs w:val="22"/>
        </w:rPr>
        <w:t xml:space="preserve">Pathogen sub-culturing </w:t>
      </w:r>
    </w:p>
    <w:p w14:paraId="2FDFDB3E" w14:textId="3CB9A6CE" w:rsidR="007657BC" w:rsidRPr="006831B9" w:rsidRDefault="007657BC" w:rsidP="006831B9">
      <w:pPr>
        <w:spacing w:line="360" w:lineRule="auto"/>
        <w:ind w:firstLine="720"/>
        <w:jc w:val="both"/>
        <w:rPr>
          <w:rFonts w:ascii="Arial" w:hAnsi="Arial" w:cs="Arial"/>
          <w:sz w:val="20"/>
          <w:szCs w:val="20"/>
        </w:rPr>
      </w:pPr>
      <w:r w:rsidRPr="006831B9">
        <w:rPr>
          <w:rFonts w:ascii="Arial" w:hAnsi="Arial" w:cs="Arial"/>
          <w:sz w:val="20"/>
          <w:szCs w:val="20"/>
        </w:rPr>
        <w:t xml:space="preserve">The pathogenic ability of </w:t>
      </w:r>
      <w:r w:rsidRPr="006831B9">
        <w:rPr>
          <w:rFonts w:ascii="Arial" w:hAnsi="Arial" w:cs="Arial"/>
          <w:i/>
          <w:iCs/>
          <w:sz w:val="20"/>
          <w:szCs w:val="20"/>
        </w:rPr>
        <w:t>P. maydis</w:t>
      </w:r>
      <w:r w:rsidRPr="006831B9">
        <w:rPr>
          <w:rFonts w:ascii="Arial" w:hAnsi="Arial" w:cs="Arial"/>
          <w:sz w:val="20"/>
          <w:szCs w:val="20"/>
        </w:rPr>
        <w:t xml:space="preserve"> was evaluated after subsequent 1</w:t>
      </w:r>
      <w:r w:rsidRPr="006831B9">
        <w:rPr>
          <w:rFonts w:ascii="Arial" w:hAnsi="Arial" w:cs="Arial"/>
          <w:sz w:val="20"/>
          <w:szCs w:val="20"/>
          <w:vertAlign w:val="superscript"/>
        </w:rPr>
        <w:t>st</w:t>
      </w:r>
      <w:r w:rsidRPr="006831B9">
        <w:rPr>
          <w:rFonts w:ascii="Arial" w:hAnsi="Arial" w:cs="Arial"/>
          <w:sz w:val="20"/>
          <w:szCs w:val="20"/>
        </w:rPr>
        <w:t>, 3</w:t>
      </w:r>
      <w:r w:rsidRPr="006831B9">
        <w:rPr>
          <w:rFonts w:ascii="Arial" w:hAnsi="Arial" w:cs="Arial"/>
          <w:sz w:val="20"/>
          <w:szCs w:val="20"/>
          <w:vertAlign w:val="superscript"/>
        </w:rPr>
        <w:t>rd</w:t>
      </w:r>
      <w:r w:rsidRPr="006831B9">
        <w:rPr>
          <w:rFonts w:ascii="Arial" w:hAnsi="Arial" w:cs="Arial"/>
          <w:sz w:val="20"/>
          <w:szCs w:val="20"/>
        </w:rPr>
        <w:t>, 5</w:t>
      </w:r>
      <w:r w:rsidRPr="006831B9">
        <w:rPr>
          <w:rFonts w:ascii="Arial" w:hAnsi="Arial" w:cs="Arial"/>
          <w:sz w:val="20"/>
          <w:szCs w:val="20"/>
          <w:vertAlign w:val="superscript"/>
        </w:rPr>
        <w:t>th</w:t>
      </w:r>
      <w:r w:rsidRPr="006831B9">
        <w:rPr>
          <w:rFonts w:ascii="Arial" w:hAnsi="Arial" w:cs="Arial"/>
          <w:sz w:val="20"/>
          <w:szCs w:val="20"/>
        </w:rPr>
        <w:t>, 7</w:t>
      </w:r>
      <w:r w:rsidRPr="006831B9">
        <w:rPr>
          <w:rFonts w:ascii="Arial" w:hAnsi="Arial" w:cs="Arial"/>
          <w:sz w:val="20"/>
          <w:szCs w:val="20"/>
          <w:vertAlign w:val="superscript"/>
        </w:rPr>
        <w:t>th</w:t>
      </w:r>
      <w:r w:rsidRPr="006831B9">
        <w:rPr>
          <w:rFonts w:ascii="Arial" w:hAnsi="Arial" w:cs="Arial"/>
          <w:sz w:val="20"/>
          <w:szCs w:val="20"/>
        </w:rPr>
        <w:t xml:space="preserve"> and 9</w:t>
      </w:r>
      <w:r w:rsidRPr="006831B9">
        <w:rPr>
          <w:rFonts w:ascii="Arial" w:hAnsi="Arial" w:cs="Arial"/>
          <w:sz w:val="20"/>
          <w:szCs w:val="20"/>
          <w:vertAlign w:val="superscript"/>
        </w:rPr>
        <w:t>th</w:t>
      </w:r>
      <w:r w:rsidRPr="006831B9">
        <w:rPr>
          <w:rFonts w:ascii="Arial" w:hAnsi="Arial" w:cs="Arial"/>
          <w:sz w:val="20"/>
          <w:szCs w:val="20"/>
        </w:rPr>
        <w:t xml:space="preserve"> sub-culturing of the pathogen. For subsequent sub-culturing, mycelial plug from the center of each colony </w:t>
      </w:r>
      <w:r w:rsidRPr="006831B9">
        <w:rPr>
          <w:rFonts w:ascii="Arial" w:hAnsi="Arial" w:cs="Arial"/>
          <w:sz w:val="20"/>
          <w:szCs w:val="20"/>
        </w:rPr>
        <w:lastRenderedPageBreak/>
        <w:t>was used to establish a new growth on Petri plates containing TYG and PYG medium smeared with MLEB. The experiment was conducted in polyhouse conditions. Thirty-five days old seedlings of susceptible maize variety (K25 Gold) were whorl inoculated with different sub-cultures sporangial suspension of the pathogen. The inoculated plants were sprayed every 24 hours to maintain high humidity on leaves and whorls (RH &gt; 90%) until the development of the disease symptoms. The experiment was conducted in a completely randomized design. Three plants were taken for each replication and each treatment was replicated thrice in pots. The observation on incubation period was recorded for each treatment. Additionally, disease severity on maize plants were recorded at weekly intervals after appearance of first symptoms using 1 to 9 scale given by Hooda et al. (2018). The per cent disease index (PDI), AUDPC and apparent rate of infection (r) were calculated according to the formula as described above.</w:t>
      </w:r>
    </w:p>
    <w:p w14:paraId="3FC076A5" w14:textId="1EA17704" w:rsidR="002B7F59" w:rsidRPr="006831B9" w:rsidRDefault="006831B9" w:rsidP="006831B9">
      <w:pPr>
        <w:spacing w:after="0" w:line="360" w:lineRule="auto"/>
        <w:jc w:val="both"/>
        <w:rPr>
          <w:rFonts w:ascii="Arial" w:hAnsi="Arial" w:cs="Arial"/>
          <w:b/>
          <w:bCs/>
          <w:sz w:val="22"/>
          <w:szCs w:val="22"/>
        </w:rPr>
      </w:pPr>
      <w:r>
        <w:rPr>
          <w:rFonts w:ascii="Arial" w:hAnsi="Arial" w:cs="Arial"/>
          <w:b/>
          <w:bCs/>
          <w:sz w:val="22"/>
          <w:szCs w:val="22"/>
        </w:rPr>
        <w:t xml:space="preserve">2.5 </w:t>
      </w:r>
      <w:r w:rsidR="002B7F59" w:rsidRPr="006831B9">
        <w:rPr>
          <w:rFonts w:ascii="Arial" w:hAnsi="Arial" w:cs="Arial"/>
          <w:b/>
          <w:bCs/>
          <w:sz w:val="22"/>
          <w:szCs w:val="22"/>
        </w:rPr>
        <w:t>Statistical Analysis</w:t>
      </w:r>
    </w:p>
    <w:p w14:paraId="40C190F1" w14:textId="4E0FBD8A" w:rsidR="00002CC2" w:rsidRPr="006831B9" w:rsidRDefault="00002CC2" w:rsidP="00002CC2">
      <w:pPr>
        <w:spacing w:line="360" w:lineRule="auto"/>
        <w:ind w:firstLine="720"/>
        <w:jc w:val="both"/>
        <w:rPr>
          <w:rFonts w:ascii="Arial" w:hAnsi="Arial" w:cs="Arial"/>
          <w:sz w:val="20"/>
          <w:szCs w:val="20"/>
        </w:rPr>
      </w:pPr>
      <w:r w:rsidRPr="006831B9">
        <w:rPr>
          <w:rFonts w:ascii="Arial" w:hAnsi="Arial" w:cs="Arial"/>
          <w:sz w:val="20"/>
          <w:szCs w:val="20"/>
        </w:rPr>
        <w:t>The data obtained from experiments were subjected to appropriate statistical analysis wherever necessary. The differences exhibited by the treatments in various experiments were tested for their significance using standard statistical procedures (CRD) as described by Gomez and Gomez (1984). Statistical analysis was performed by ANOVA (Analysis of Variance) using OPSTAT software (Sheoran et al. 1998) and Microsoft excel 2021. The critical difference (CD) is used to compare means of different treatments that have an equal number of replications.</w:t>
      </w:r>
    </w:p>
    <w:p w14:paraId="1260D259" w14:textId="5C1753A4" w:rsidR="002B7F59" w:rsidRPr="006831B9" w:rsidRDefault="0099465C" w:rsidP="006831B9">
      <w:pPr>
        <w:spacing w:after="0" w:line="360" w:lineRule="auto"/>
        <w:jc w:val="both"/>
        <w:rPr>
          <w:rFonts w:ascii="Arial" w:hAnsi="Arial" w:cs="Arial"/>
          <w:b/>
          <w:bCs/>
          <w:sz w:val="22"/>
          <w:szCs w:val="22"/>
        </w:rPr>
      </w:pPr>
      <w:r w:rsidRPr="006831B9">
        <w:rPr>
          <w:rFonts w:ascii="Arial" w:hAnsi="Arial" w:cs="Arial"/>
          <w:b/>
          <w:bCs/>
          <w:sz w:val="22"/>
          <w:szCs w:val="22"/>
        </w:rPr>
        <w:t>3. RESULTS</w:t>
      </w:r>
      <w:r w:rsidR="008907B3" w:rsidRPr="006831B9">
        <w:rPr>
          <w:rFonts w:ascii="Arial" w:hAnsi="Arial" w:cs="Arial"/>
          <w:b/>
          <w:bCs/>
          <w:sz w:val="22"/>
          <w:szCs w:val="22"/>
        </w:rPr>
        <w:t xml:space="preserve"> AND DISCUSSION</w:t>
      </w:r>
    </w:p>
    <w:p w14:paraId="640820B8" w14:textId="3A99A0CA" w:rsidR="0099465C" w:rsidRPr="006831B9" w:rsidRDefault="0099465C" w:rsidP="006831B9">
      <w:pPr>
        <w:spacing w:after="0" w:line="360" w:lineRule="auto"/>
        <w:jc w:val="both"/>
        <w:rPr>
          <w:rFonts w:ascii="Arial" w:hAnsi="Arial" w:cs="Arial"/>
          <w:b/>
          <w:bCs/>
          <w:sz w:val="22"/>
          <w:szCs w:val="22"/>
        </w:rPr>
      </w:pPr>
      <w:r w:rsidRPr="006831B9">
        <w:rPr>
          <w:rFonts w:ascii="Arial" w:hAnsi="Arial" w:cs="Arial"/>
          <w:b/>
          <w:bCs/>
          <w:sz w:val="22"/>
          <w:szCs w:val="22"/>
        </w:rPr>
        <w:t xml:space="preserve">3.1 Infection level in relation to host age </w:t>
      </w:r>
    </w:p>
    <w:p w14:paraId="5EC513B4" w14:textId="562BF26C" w:rsidR="004F19AD" w:rsidRPr="006831B9" w:rsidRDefault="004F19AD" w:rsidP="006831B9">
      <w:pPr>
        <w:spacing w:after="0" w:line="360" w:lineRule="auto"/>
        <w:ind w:firstLine="720"/>
        <w:jc w:val="both"/>
        <w:rPr>
          <w:rFonts w:ascii="Arial" w:hAnsi="Arial" w:cs="Arial"/>
          <w:sz w:val="20"/>
          <w:szCs w:val="20"/>
        </w:rPr>
      </w:pPr>
      <w:r w:rsidRPr="006831B9">
        <w:rPr>
          <w:rFonts w:ascii="Arial" w:hAnsi="Arial" w:cs="Arial"/>
          <w:sz w:val="20"/>
          <w:szCs w:val="20"/>
        </w:rPr>
        <w:t xml:space="preserve">All the inoculated plants exhibited infection with significant differences in the per cent disease index found among the plants inoculated at various growth stages (Table </w:t>
      </w:r>
      <w:r w:rsidR="006831B9">
        <w:rPr>
          <w:rFonts w:ascii="Arial" w:hAnsi="Arial" w:cs="Arial"/>
          <w:sz w:val="20"/>
          <w:szCs w:val="20"/>
        </w:rPr>
        <w:t>2</w:t>
      </w:r>
      <w:r w:rsidRPr="006831B9">
        <w:rPr>
          <w:rFonts w:ascii="Arial" w:hAnsi="Arial" w:cs="Arial"/>
          <w:sz w:val="20"/>
          <w:szCs w:val="20"/>
        </w:rPr>
        <w:t xml:space="preserve">). Highest average per cent disease index (39.50%) was recorded on plants inoculated at 50-days with AUDPC of 842.60 and infection rate of 0.05 r/ day with shortest average incubation period of 13.7 days followed by plants inoculated at 40 DAS with 37.96 per cent of disease index, 812.36 value of AUDPC and infection rate of 0.05 r/day. Plants inoculated at 30 and 35-days were recorded with average disease index of 33.02 and 35.49 per cent, AUDPC of 695.69 and 756.15 values along with infection rate of 0.05 r/day, respectively. Plants inoculated at youngest age (20 DAS) showed minimum average per cent disease index (20.99%), AUDPC (436.43) and infection rate (0.06 r/day) along with longest average incubation period of 18.2 days. </w:t>
      </w:r>
    </w:p>
    <w:p w14:paraId="0933D636" w14:textId="24AD984E" w:rsidR="008907B3" w:rsidRPr="006831B9" w:rsidRDefault="008907B3" w:rsidP="006831B9">
      <w:pPr>
        <w:spacing w:line="360" w:lineRule="auto"/>
        <w:ind w:firstLine="720"/>
        <w:jc w:val="both"/>
        <w:rPr>
          <w:rFonts w:ascii="Arial" w:hAnsi="Arial" w:cs="Arial"/>
          <w:sz w:val="20"/>
          <w:szCs w:val="20"/>
        </w:rPr>
      </w:pPr>
      <w:r w:rsidRPr="006831B9">
        <w:rPr>
          <w:rFonts w:ascii="Arial" w:hAnsi="Arial" w:cs="Arial"/>
          <w:sz w:val="20"/>
          <w:szCs w:val="20"/>
        </w:rPr>
        <w:t xml:space="preserve">In case of host age, it is evident from the data that disease development increased significantly with an increase in host age, however, a reduction in disease severity was observed in plants inoculated at 60-days which may be attributed to the development of age-related resistance. Overall, while </w:t>
      </w:r>
      <w:r w:rsidRPr="006831B9">
        <w:rPr>
          <w:rFonts w:ascii="Arial" w:hAnsi="Arial" w:cs="Arial"/>
          <w:i/>
          <w:iCs/>
          <w:sz w:val="20"/>
          <w:szCs w:val="20"/>
        </w:rPr>
        <w:t xml:space="preserve">P. maydis </w:t>
      </w:r>
      <w:r w:rsidRPr="006831B9">
        <w:rPr>
          <w:rFonts w:ascii="Arial" w:hAnsi="Arial" w:cs="Arial"/>
          <w:sz w:val="20"/>
          <w:szCs w:val="20"/>
        </w:rPr>
        <w:t xml:space="preserve">was capable of infecting maize plants at all growth stages, the extent of susceptibility was strongly influenced by host age, with plants between 30 and 50 DAS being particularly favourable for disease development. Similar results were recorded by Singh and Srivastava (2012) that, 14 days before to 21 days after tasseling is the most susceptible time for development of maydis leaf blight. Whereas, according to Bisht (2015), plant of age group 55 to 65 days old were found to be highly susceptible to </w:t>
      </w:r>
      <w:r w:rsidRPr="006831B9">
        <w:rPr>
          <w:rFonts w:ascii="Arial" w:hAnsi="Arial" w:cs="Arial"/>
          <w:i/>
          <w:iCs/>
          <w:sz w:val="20"/>
          <w:szCs w:val="20"/>
        </w:rPr>
        <w:t>B. maydis</w:t>
      </w:r>
      <w:r w:rsidRPr="006831B9">
        <w:rPr>
          <w:rFonts w:ascii="Arial" w:hAnsi="Arial" w:cs="Arial"/>
          <w:sz w:val="20"/>
          <w:szCs w:val="20"/>
        </w:rPr>
        <w:t xml:space="preserve"> which coincide with silking stage.</w:t>
      </w:r>
    </w:p>
    <w:p w14:paraId="2087798E" w14:textId="4E405F86" w:rsidR="00976C0A" w:rsidRPr="006831B9" w:rsidRDefault="00976C0A" w:rsidP="006831B9">
      <w:pPr>
        <w:spacing w:after="0" w:line="276" w:lineRule="auto"/>
        <w:ind w:right="26"/>
        <w:jc w:val="both"/>
        <w:rPr>
          <w:rFonts w:ascii="Arial" w:hAnsi="Arial" w:cs="Arial"/>
          <w:b/>
          <w:bCs/>
          <w:i/>
          <w:iCs/>
          <w:sz w:val="18"/>
          <w:szCs w:val="18"/>
        </w:rPr>
      </w:pPr>
      <w:r w:rsidRPr="006831B9">
        <w:rPr>
          <w:rFonts w:ascii="Arial" w:hAnsi="Arial" w:cs="Arial"/>
          <w:b/>
          <w:bCs/>
          <w:sz w:val="18"/>
          <w:szCs w:val="18"/>
        </w:rPr>
        <w:lastRenderedPageBreak/>
        <w:t xml:space="preserve">Table </w:t>
      </w:r>
      <w:r w:rsidR="006831B9" w:rsidRPr="006831B9">
        <w:rPr>
          <w:rFonts w:ascii="Arial" w:hAnsi="Arial" w:cs="Arial"/>
          <w:b/>
          <w:bCs/>
          <w:sz w:val="18"/>
          <w:szCs w:val="18"/>
        </w:rPr>
        <w:t>2:</w:t>
      </w:r>
      <w:r w:rsidRPr="006831B9">
        <w:rPr>
          <w:rFonts w:ascii="Arial" w:hAnsi="Arial" w:cs="Arial"/>
          <w:b/>
          <w:bCs/>
          <w:sz w:val="18"/>
          <w:szCs w:val="18"/>
        </w:rPr>
        <w:t xml:space="preserve"> Effect of host age on the development of brown spot of maize caused by </w:t>
      </w:r>
      <w:r w:rsidRPr="006831B9">
        <w:rPr>
          <w:rFonts w:ascii="Arial" w:hAnsi="Arial" w:cs="Arial"/>
          <w:b/>
          <w:bCs/>
          <w:i/>
          <w:iCs/>
          <w:sz w:val="18"/>
          <w:szCs w:val="18"/>
        </w:rPr>
        <w:t>Physoderma maydis</w:t>
      </w:r>
    </w:p>
    <w:tbl>
      <w:tblPr>
        <w:tblStyle w:val="TableGrid"/>
        <w:tblW w:w="9180" w:type="dxa"/>
        <w:jc w:val="center"/>
        <w:tblLook w:val="04A0" w:firstRow="1" w:lastRow="0" w:firstColumn="1" w:lastColumn="0" w:noHBand="0" w:noVBand="1"/>
      </w:tblPr>
      <w:tblGrid>
        <w:gridCol w:w="1060"/>
        <w:gridCol w:w="1126"/>
        <w:gridCol w:w="873"/>
        <w:gridCol w:w="874"/>
        <w:gridCol w:w="862"/>
        <w:gridCol w:w="874"/>
        <w:gridCol w:w="936"/>
        <w:gridCol w:w="1042"/>
        <w:gridCol w:w="1533"/>
      </w:tblGrid>
      <w:tr w:rsidR="00976C0A" w:rsidRPr="006831B9" w14:paraId="20926CEA" w14:textId="77777777" w:rsidTr="0039129A">
        <w:trPr>
          <w:trHeight w:val="551"/>
          <w:jc w:val="center"/>
        </w:trPr>
        <w:tc>
          <w:tcPr>
            <w:tcW w:w="1075" w:type="dxa"/>
            <w:vMerge w:val="restart"/>
            <w:vAlign w:val="center"/>
          </w:tcPr>
          <w:p w14:paraId="084F10E2" w14:textId="77777777" w:rsidR="00976C0A" w:rsidRPr="006831B9" w:rsidRDefault="00976C0A" w:rsidP="0039129A">
            <w:pPr>
              <w:spacing w:line="276" w:lineRule="auto"/>
              <w:jc w:val="center"/>
              <w:rPr>
                <w:rFonts w:ascii="Arial" w:hAnsi="Arial" w:cs="Arial"/>
                <w:b/>
                <w:bCs/>
                <w:sz w:val="18"/>
                <w:szCs w:val="18"/>
              </w:rPr>
            </w:pPr>
            <w:r w:rsidRPr="006831B9">
              <w:rPr>
                <w:rFonts w:ascii="Arial" w:hAnsi="Arial" w:cs="Arial"/>
                <w:b/>
                <w:bCs/>
                <w:sz w:val="18"/>
                <w:szCs w:val="18"/>
              </w:rPr>
              <w:t>Host age (DAS)</w:t>
            </w:r>
          </w:p>
        </w:tc>
        <w:tc>
          <w:tcPr>
            <w:tcW w:w="1040" w:type="dxa"/>
            <w:vMerge w:val="restart"/>
            <w:vAlign w:val="center"/>
          </w:tcPr>
          <w:p w14:paraId="5C476ED7" w14:textId="77777777" w:rsidR="00976C0A" w:rsidRPr="006831B9" w:rsidRDefault="00976C0A" w:rsidP="0039129A">
            <w:pPr>
              <w:spacing w:line="276" w:lineRule="auto"/>
              <w:jc w:val="center"/>
              <w:rPr>
                <w:rFonts w:ascii="Arial" w:hAnsi="Arial" w:cs="Arial"/>
                <w:b/>
                <w:bCs/>
                <w:sz w:val="18"/>
                <w:szCs w:val="18"/>
              </w:rPr>
            </w:pPr>
            <w:r w:rsidRPr="006831B9">
              <w:rPr>
                <w:rFonts w:ascii="Arial" w:hAnsi="Arial" w:cs="Arial"/>
                <w:b/>
                <w:bCs/>
                <w:sz w:val="18"/>
                <w:szCs w:val="18"/>
              </w:rPr>
              <w:t>Incubation period (days)</w:t>
            </w:r>
          </w:p>
        </w:tc>
        <w:tc>
          <w:tcPr>
            <w:tcW w:w="4462" w:type="dxa"/>
            <w:gridSpan w:val="5"/>
            <w:vAlign w:val="center"/>
          </w:tcPr>
          <w:p w14:paraId="3B74058C" w14:textId="77777777" w:rsidR="00976C0A" w:rsidRPr="006831B9" w:rsidRDefault="00976C0A" w:rsidP="0039129A">
            <w:pPr>
              <w:spacing w:line="276" w:lineRule="auto"/>
              <w:jc w:val="center"/>
              <w:rPr>
                <w:rFonts w:ascii="Arial" w:hAnsi="Arial" w:cs="Arial"/>
                <w:b/>
                <w:bCs/>
                <w:sz w:val="18"/>
                <w:szCs w:val="18"/>
              </w:rPr>
            </w:pPr>
            <w:r w:rsidRPr="006831B9">
              <w:rPr>
                <w:rFonts w:ascii="Arial" w:hAnsi="Arial" w:cs="Arial"/>
                <w:b/>
                <w:bCs/>
                <w:sz w:val="18"/>
                <w:szCs w:val="18"/>
              </w:rPr>
              <w:t>Disease index (%) after disease appearance</w:t>
            </w:r>
          </w:p>
        </w:tc>
        <w:tc>
          <w:tcPr>
            <w:tcW w:w="1049" w:type="dxa"/>
            <w:vMerge w:val="restart"/>
            <w:vAlign w:val="center"/>
          </w:tcPr>
          <w:p w14:paraId="6D05A4B9" w14:textId="77777777" w:rsidR="00976C0A" w:rsidRPr="006831B9" w:rsidRDefault="00976C0A" w:rsidP="0039129A">
            <w:pPr>
              <w:spacing w:line="276" w:lineRule="auto"/>
              <w:jc w:val="center"/>
              <w:rPr>
                <w:rFonts w:ascii="Arial" w:hAnsi="Arial" w:cs="Arial"/>
                <w:b/>
                <w:bCs/>
                <w:sz w:val="18"/>
                <w:szCs w:val="18"/>
              </w:rPr>
            </w:pPr>
            <w:r w:rsidRPr="006831B9">
              <w:rPr>
                <w:rFonts w:ascii="Arial" w:hAnsi="Arial" w:cs="Arial"/>
                <w:b/>
                <w:bCs/>
                <w:sz w:val="18"/>
                <w:szCs w:val="18"/>
              </w:rPr>
              <w:t>AUDPC</w:t>
            </w:r>
          </w:p>
        </w:tc>
        <w:tc>
          <w:tcPr>
            <w:tcW w:w="1554" w:type="dxa"/>
            <w:vMerge w:val="restart"/>
            <w:vAlign w:val="center"/>
          </w:tcPr>
          <w:p w14:paraId="0C8D3762" w14:textId="77777777" w:rsidR="00976C0A" w:rsidRPr="006831B9" w:rsidRDefault="00976C0A" w:rsidP="0039129A">
            <w:pPr>
              <w:spacing w:line="276" w:lineRule="auto"/>
              <w:jc w:val="center"/>
              <w:rPr>
                <w:rFonts w:ascii="Arial" w:hAnsi="Arial" w:cs="Arial"/>
                <w:b/>
                <w:bCs/>
                <w:sz w:val="18"/>
                <w:szCs w:val="18"/>
              </w:rPr>
            </w:pPr>
            <w:r w:rsidRPr="006831B9">
              <w:rPr>
                <w:rFonts w:ascii="Arial" w:hAnsi="Arial" w:cs="Arial"/>
                <w:b/>
                <w:bCs/>
                <w:sz w:val="18"/>
                <w:szCs w:val="18"/>
              </w:rPr>
              <w:t>Apparent rate of infection (r/day)</w:t>
            </w:r>
          </w:p>
        </w:tc>
      </w:tr>
      <w:tr w:rsidR="00976C0A" w:rsidRPr="006831B9" w14:paraId="21929421" w14:textId="77777777" w:rsidTr="0039129A">
        <w:trPr>
          <w:trHeight w:val="144"/>
          <w:jc w:val="center"/>
        </w:trPr>
        <w:tc>
          <w:tcPr>
            <w:tcW w:w="1075" w:type="dxa"/>
            <w:vMerge/>
            <w:vAlign w:val="center"/>
          </w:tcPr>
          <w:p w14:paraId="2C691D55" w14:textId="77777777" w:rsidR="00976C0A" w:rsidRPr="006831B9" w:rsidRDefault="00976C0A" w:rsidP="0039129A">
            <w:pPr>
              <w:spacing w:line="276" w:lineRule="auto"/>
              <w:jc w:val="center"/>
              <w:rPr>
                <w:rFonts w:ascii="Arial" w:hAnsi="Arial" w:cs="Arial"/>
                <w:b/>
                <w:bCs/>
                <w:sz w:val="18"/>
                <w:szCs w:val="18"/>
              </w:rPr>
            </w:pPr>
          </w:p>
        </w:tc>
        <w:tc>
          <w:tcPr>
            <w:tcW w:w="1040" w:type="dxa"/>
            <w:vMerge/>
            <w:vAlign w:val="center"/>
          </w:tcPr>
          <w:p w14:paraId="579714ED" w14:textId="77777777" w:rsidR="00976C0A" w:rsidRPr="006831B9" w:rsidRDefault="00976C0A" w:rsidP="0039129A">
            <w:pPr>
              <w:spacing w:line="276" w:lineRule="auto"/>
              <w:jc w:val="center"/>
              <w:rPr>
                <w:rFonts w:ascii="Arial" w:hAnsi="Arial" w:cs="Arial"/>
                <w:b/>
                <w:bCs/>
                <w:sz w:val="18"/>
                <w:szCs w:val="18"/>
              </w:rPr>
            </w:pPr>
          </w:p>
        </w:tc>
        <w:tc>
          <w:tcPr>
            <w:tcW w:w="882" w:type="dxa"/>
            <w:vAlign w:val="center"/>
          </w:tcPr>
          <w:p w14:paraId="5A0ABA23" w14:textId="77777777" w:rsidR="00976C0A" w:rsidRPr="006831B9" w:rsidRDefault="00976C0A" w:rsidP="0039129A">
            <w:pPr>
              <w:spacing w:line="276" w:lineRule="auto"/>
              <w:jc w:val="center"/>
              <w:rPr>
                <w:rFonts w:ascii="Arial" w:hAnsi="Arial" w:cs="Arial"/>
                <w:b/>
                <w:bCs/>
                <w:sz w:val="18"/>
                <w:szCs w:val="18"/>
              </w:rPr>
            </w:pPr>
            <w:r w:rsidRPr="006831B9">
              <w:rPr>
                <w:rFonts w:ascii="Arial" w:hAnsi="Arial" w:cs="Arial"/>
                <w:b/>
                <w:bCs/>
                <w:sz w:val="18"/>
                <w:szCs w:val="18"/>
              </w:rPr>
              <w:t>7</w:t>
            </w:r>
          </w:p>
        </w:tc>
        <w:tc>
          <w:tcPr>
            <w:tcW w:w="882" w:type="dxa"/>
            <w:vAlign w:val="center"/>
          </w:tcPr>
          <w:p w14:paraId="6893BC16" w14:textId="77777777" w:rsidR="00976C0A" w:rsidRPr="006831B9" w:rsidRDefault="00976C0A" w:rsidP="0039129A">
            <w:pPr>
              <w:spacing w:line="276" w:lineRule="auto"/>
              <w:jc w:val="center"/>
              <w:rPr>
                <w:rFonts w:ascii="Arial" w:hAnsi="Arial" w:cs="Arial"/>
                <w:b/>
                <w:bCs/>
                <w:sz w:val="18"/>
                <w:szCs w:val="18"/>
              </w:rPr>
            </w:pPr>
            <w:r w:rsidRPr="006831B9">
              <w:rPr>
                <w:rFonts w:ascii="Arial" w:hAnsi="Arial" w:cs="Arial"/>
                <w:b/>
                <w:bCs/>
                <w:sz w:val="18"/>
                <w:szCs w:val="18"/>
              </w:rPr>
              <w:t>14</w:t>
            </w:r>
          </w:p>
        </w:tc>
        <w:tc>
          <w:tcPr>
            <w:tcW w:w="870" w:type="dxa"/>
            <w:vAlign w:val="center"/>
          </w:tcPr>
          <w:p w14:paraId="06A37D00" w14:textId="77777777" w:rsidR="00976C0A" w:rsidRPr="006831B9" w:rsidRDefault="00976C0A" w:rsidP="0039129A">
            <w:pPr>
              <w:spacing w:line="276" w:lineRule="auto"/>
              <w:jc w:val="center"/>
              <w:rPr>
                <w:rFonts w:ascii="Arial" w:hAnsi="Arial" w:cs="Arial"/>
                <w:b/>
                <w:bCs/>
                <w:sz w:val="18"/>
                <w:szCs w:val="18"/>
              </w:rPr>
            </w:pPr>
            <w:r w:rsidRPr="006831B9">
              <w:rPr>
                <w:rFonts w:ascii="Arial" w:hAnsi="Arial" w:cs="Arial"/>
                <w:b/>
                <w:bCs/>
                <w:sz w:val="18"/>
                <w:szCs w:val="18"/>
              </w:rPr>
              <w:t>21</w:t>
            </w:r>
          </w:p>
        </w:tc>
        <w:tc>
          <w:tcPr>
            <w:tcW w:w="882" w:type="dxa"/>
            <w:vAlign w:val="center"/>
          </w:tcPr>
          <w:p w14:paraId="48FF16C8" w14:textId="77777777" w:rsidR="00976C0A" w:rsidRPr="006831B9" w:rsidRDefault="00976C0A" w:rsidP="0039129A">
            <w:pPr>
              <w:spacing w:line="276" w:lineRule="auto"/>
              <w:jc w:val="center"/>
              <w:rPr>
                <w:rFonts w:ascii="Arial" w:hAnsi="Arial" w:cs="Arial"/>
                <w:b/>
                <w:bCs/>
                <w:sz w:val="18"/>
                <w:szCs w:val="18"/>
              </w:rPr>
            </w:pPr>
            <w:r w:rsidRPr="006831B9">
              <w:rPr>
                <w:rFonts w:ascii="Arial" w:hAnsi="Arial" w:cs="Arial"/>
                <w:b/>
                <w:bCs/>
                <w:sz w:val="18"/>
                <w:szCs w:val="18"/>
              </w:rPr>
              <w:t>28</w:t>
            </w:r>
          </w:p>
        </w:tc>
        <w:tc>
          <w:tcPr>
            <w:tcW w:w="946" w:type="dxa"/>
            <w:vAlign w:val="center"/>
          </w:tcPr>
          <w:p w14:paraId="7D19CFD1" w14:textId="77777777" w:rsidR="00976C0A" w:rsidRPr="006831B9" w:rsidRDefault="00976C0A" w:rsidP="0039129A">
            <w:pPr>
              <w:spacing w:line="276" w:lineRule="auto"/>
              <w:jc w:val="center"/>
              <w:rPr>
                <w:rFonts w:ascii="Arial" w:hAnsi="Arial" w:cs="Arial"/>
                <w:b/>
                <w:bCs/>
                <w:sz w:val="18"/>
                <w:szCs w:val="18"/>
              </w:rPr>
            </w:pPr>
            <w:r w:rsidRPr="006831B9">
              <w:rPr>
                <w:rFonts w:ascii="Arial" w:hAnsi="Arial" w:cs="Arial"/>
                <w:b/>
                <w:bCs/>
                <w:sz w:val="18"/>
                <w:szCs w:val="18"/>
              </w:rPr>
              <w:t>Mean</w:t>
            </w:r>
          </w:p>
        </w:tc>
        <w:tc>
          <w:tcPr>
            <w:tcW w:w="1049" w:type="dxa"/>
            <w:vMerge/>
            <w:vAlign w:val="center"/>
          </w:tcPr>
          <w:p w14:paraId="62468AF9" w14:textId="77777777" w:rsidR="00976C0A" w:rsidRPr="006831B9" w:rsidRDefault="00976C0A" w:rsidP="0039129A">
            <w:pPr>
              <w:spacing w:line="276" w:lineRule="auto"/>
              <w:jc w:val="center"/>
              <w:rPr>
                <w:rFonts w:ascii="Arial" w:hAnsi="Arial" w:cs="Arial"/>
                <w:b/>
                <w:bCs/>
                <w:sz w:val="18"/>
                <w:szCs w:val="18"/>
              </w:rPr>
            </w:pPr>
          </w:p>
        </w:tc>
        <w:tc>
          <w:tcPr>
            <w:tcW w:w="1554" w:type="dxa"/>
            <w:vMerge/>
            <w:vAlign w:val="center"/>
          </w:tcPr>
          <w:p w14:paraId="474E4AA6" w14:textId="77777777" w:rsidR="00976C0A" w:rsidRPr="006831B9" w:rsidRDefault="00976C0A" w:rsidP="0039129A">
            <w:pPr>
              <w:spacing w:line="276" w:lineRule="auto"/>
              <w:jc w:val="center"/>
              <w:rPr>
                <w:rFonts w:ascii="Arial" w:hAnsi="Arial" w:cs="Arial"/>
                <w:b/>
                <w:bCs/>
                <w:sz w:val="18"/>
                <w:szCs w:val="18"/>
              </w:rPr>
            </w:pPr>
          </w:p>
        </w:tc>
      </w:tr>
      <w:tr w:rsidR="00976C0A" w:rsidRPr="006831B9" w14:paraId="127E415C" w14:textId="77777777" w:rsidTr="0039129A">
        <w:trPr>
          <w:trHeight w:val="280"/>
          <w:jc w:val="center"/>
        </w:trPr>
        <w:tc>
          <w:tcPr>
            <w:tcW w:w="1075" w:type="dxa"/>
            <w:vAlign w:val="center"/>
          </w:tcPr>
          <w:p w14:paraId="0F4976F4" w14:textId="77777777" w:rsidR="00976C0A" w:rsidRPr="006831B9" w:rsidRDefault="00976C0A" w:rsidP="0039129A">
            <w:pPr>
              <w:spacing w:line="276" w:lineRule="auto"/>
              <w:jc w:val="center"/>
              <w:rPr>
                <w:rFonts w:ascii="Arial" w:hAnsi="Arial" w:cs="Arial"/>
                <w:sz w:val="18"/>
                <w:szCs w:val="18"/>
              </w:rPr>
            </w:pPr>
            <w:r w:rsidRPr="006831B9">
              <w:rPr>
                <w:rFonts w:ascii="Arial" w:hAnsi="Arial" w:cs="Arial"/>
                <w:sz w:val="18"/>
                <w:szCs w:val="18"/>
              </w:rPr>
              <w:t>20</w:t>
            </w:r>
          </w:p>
        </w:tc>
        <w:tc>
          <w:tcPr>
            <w:tcW w:w="1040" w:type="dxa"/>
            <w:vAlign w:val="center"/>
          </w:tcPr>
          <w:p w14:paraId="106534A0" w14:textId="77777777" w:rsidR="00976C0A" w:rsidRPr="006831B9" w:rsidRDefault="00976C0A" w:rsidP="0039129A">
            <w:pPr>
              <w:spacing w:line="276" w:lineRule="auto"/>
              <w:jc w:val="center"/>
              <w:rPr>
                <w:rFonts w:ascii="Arial" w:hAnsi="Arial" w:cs="Arial"/>
                <w:sz w:val="18"/>
                <w:szCs w:val="18"/>
              </w:rPr>
            </w:pPr>
            <w:r w:rsidRPr="006831B9">
              <w:rPr>
                <w:rFonts w:ascii="Arial" w:hAnsi="Arial" w:cs="Arial"/>
                <w:sz w:val="18"/>
                <w:szCs w:val="18"/>
              </w:rPr>
              <w:t>18.2</w:t>
            </w:r>
          </w:p>
        </w:tc>
        <w:tc>
          <w:tcPr>
            <w:tcW w:w="882" w:type="dxa"/>
            <w:vAlign w:val="center"/>
          </w:tcPr>
          <w:p w14:paraId="15A0AAA1" w14:textId="77777777" w:rsidR="00976C0A" w:rsidRPr="006831B9" w:rsidRDefault="00976C0A" w:rsidP="0039129A">
            <w:pPr>
              <w:spacing w:line="276" w:lineRule="auto"/>
              <w:jc w:val="center"/>
              <w:rPr>
                <w:rFonts w:ascii="Arial" w:hAnsi="Arial" w:cs="Arial"/>
                <w:b/>
                <w:bCs/>
                <w:sz w:val="18"/>
                <w:szCs w:val="18"/>
              </w:rPr>
            </w:pPr>
            <w:r w:rsidRPr="006831B9">
              <w:rPr>
                <w:rFonts w:ascii="Arial" w:hAnsi="Arial" w:cs="Arial"/>
                <w:color w:val="000000" w:themeColor="text1"/>
                <w:sz w:val="18"/>
                <w:szCs w:val="18"/>
                <w:lang w:bidi="hi-IN"/>
              </w:rPr>
              <w:t>9.88</w:t>
            </w:r>
          </w:p>
        </w:tc>
        <w:tc>
          <w:tcPr>
            <w:tcW w:w="882" w:type="dxa"/>
            <w:vAlign w:val="center"/>
          </w:tcPr>
          <w:p w14:paraId="4FBEA76C" w14:textId="77777777" w:rsidR="00976C0A" w:rsidRPr="006831B9" w:rsidRDefault="00976C0A" w:rsidP="0039129A">
            <w:pPr>
              <w:spacing w:line="276" w:lineRule="auto"/>
              <w:jc w:val="center"/>
              <w:rPr>
                <w:rFonts w:ascii="Arial" w:hAnsi="Arial" w:cs="Arial"/>
                <w:b/>
                <w:bCs/>
                <w:sz w:val="18"/>
                <w:szCs w:val="18"/>
              </w:rPr>
            </w:pPr>
            <w:r w:rsidRPr="006831B9">
              <w:rPr>
                <w:rFonts w:ascii="Arial" w:hAnsi="Arial" w:cs="Arial"/>
                <w:color w:val="000000" w:themeColor="text1"/>
                <w:sz w:val="18"/>
                <w:szCs w:val="18"/>
                <w:lang w:bidi="hi-IN"/>
              </w:rPr>
              <w:t>14.81</w:t>
            </w:r>
          </w:p>
        </w:tc>
        <w:tc>
          <w:tcPr>
            <w:tcW w:w="870" w:type="dxa"/>
            <w:vAlign w:val="center"/>
          </w:tcPr>
          <w:p w14:paraId="6029B845" w14:textId="77777777" w:rsidR="00976C0A" w:rsidRPr="006831B9" w:rsidRDefault="00976C0A" w:rsidP="0039129A">
            <w:pPr>
              <w:spacing w:line="276" w:lineRule="auto"/>
              <w:jc w:val="center"/>
              <w:rPr>
                <w:rFonts w:ascii="Arial" w:hAnsi="Arial" w:cs="Arial"/>
                <w:b/>
                <w:bCs/>
                <w:sz w:val="18"/>
                <w:szCs w:val="18"/>
              </w:rPr>
            </w:pPr>
            <w:r w:rsidRPr="006831B9">
              <w:rPr>
                <w:rFonts w:ascii="Arial" w:hAnsi="Arial" w:cs="Arial"/>
                <w:color w:val="000000" w:themeColor="text1"/>
                <w:sz w:val="18"/>
                <w:szCs w:val="18"/>
              </w:rPr>
              <w:t>25.93</w:t>
            </w:r>
          </w:p>
        </w:tc>
        <w:tc>
          <w:tcPr>
            <w:tcW w:w="882" w:type="dxa"/>
            <w:vAlign w:val="center"/>
          </w:tcPr>
          <w:p w14:paraId="3B8F0755" w14:textId="77777777" w:rsidR="00976C0A" w:rsidRPr="006831B9" w:rsidRDefault="00976C0A" w:rsidP="0039129A">
            <w:pPr>
              <w:spacing w:line="276" w:lineRule="auto"/>
              <w:jc w:val="center"/>
              <w:rPr>
                <w:rFonts w:ascii="Arial" w:hAnsi="Arial" w:cs="Arial"/>
                <w:b/>
                <w:bCs/>
                <w:sz w:val="18"/>
                <w:szCs w:val="18"/>
              </w:rPr>
            </w:pPr>
            <w:r w:rsidRPr="006831B9">
              <w:rPr>
                <w:rFonts w:ascii="Arial" w:hAnsi="Arial" w:cs="Arial"/>
                <w:color w:val="000000" w:themeColor="text1"/>
                <w:sz w:val="18"/>
                <w:szCs w:val="18"/>
              </w:rPr>
              <w:t>33.33</w:t>
            </w:r>
          </w:p>
        </w:tc>
        <w:tc>
          <w:tcPr>
            <w:tcW w:w="946" w:type="dxa"/>
            <w:vAlign w:val="center"/>
          </w:tcPr>
          <w:p w14:paraId="791920AA" w14:textId="77777777" w:rsidR="00976C0A" w:rsidRPr="006831B9" w:rsidRDefault="00976C0A" w:rsidP="0039129A">
            <w:pPr>
              <w:spacing w:line="276" w:lineRule="auto"/>
              <w:jc w:val="center"/>
              <w:rPr>
                <w:rFonts w:ascii="Arial" w:hAnsi="Arial" w:cs="Arial"/>
                <w:sz w:val="18"/>
                <w:szCs w:val="18"/>
              </w:rPr>
            </w:pPr>
            <w:r w:rsidRPr="006831B9">
              <w:rPr>
                <w:rFonts w:ascii="Arial" w:hAnsi="Arial" w:cs="Arial"/>
                <w:sz w:val="18"/>
                <w:szCs w:val="18"/>
              </w:rPr>
              <w:t>20.99</w:t>
            </w:r>
          </w:p>
        </w:tc>
        <w:tc>
          <w:tcPr>
            <w:tcW w:w="1049" w:type="dxa"/>
            <w:vAlign w:val="center"/>
          </w:tcPr>
          <w:p w14:paraId="54072353" w14:textId="77777777" w:rsidR="00976C0A" w:rsidRPr="006831B9" w:rsidRDefault="00976C0A" w:rsidP="0039129A">
            <w:pPr>
              <w:spacing w:line="276" w:lineRule="auto"/>
              <w:jc w:val="center"/>
              <w:rPr>
                <w:rFonts w:ascii="Arial" w:hAnsi="Arial" w:cs="Arial"/>
                <w:b/>
                <w:bCs/>
                <w:sz w:val="18"/>
                <w:szCs w:val="18"/>
              </w:rPr>
            </w:pPr>
            <w:r w:rsidRPr="006831B9">
              <w:rPr>
                <w:rFonts w:ascii="Arial" w:hAnsi="Arial" w:cs="Arial"/>
                <w:color w:val="000000" w:themeColor="text1"/>
                <w:sz w:val="18"/>
                <w:szCs w:val="18"/>
              </w:rPr>
              <w:t>436.43</w:t>
            </w:r>
          </w:p>
        </w:tc>
        <w:tc>
          <w:tcPr>
            <w:tcW w:w="1554" w:type="dxa"/>
            <w:vAlign w:val="center"/>
          </w:tcPr>
          <w:p w14:paraId="30E313E0" w14:textId="77777777" w:rsidR="00976C0A" w:rsidRPr="006831B9" w:rsidRDefault="00976C0A" w:rsidP="0039129A">
            <w:pPr>
              <w:spacing w:line="276" w:lineRule="auto"/>
              <w:jc w:val="center"/>
              <w:rPr>
                <w:rFonts w:ascii="Arial" w:hAnsi="Arial" w:cs="Arial"/>
                <w:b/>
                <w:bCs/>
                <w:sz w:val="18"/>
                <w:szCs w:val="18"/>
              </w:rPr>
            </w:pPr>
            <w:r w:rsidRPr="006831B9">
              <w:rPr>
                <w:rFonts w:ascii="Arial" w:hAnsi="Arial" w:cs="Arial"/>
                <w:color w:val="000000" w:themeColor="text1"/>
                <w:sz w:val="18"/>
                <w:szCs w:val="18"/>
              </w:rPr>
              <w:t>0.06</w:t>
            </w:r>
          </w:p>
        </w:tc>
      </w:tr>
      <w:tr w:rsidR="00976C0A" w:rsidRPr="006831B9" w14:paraId="764A680D" w14:textId="77777777" w:rsidTr="0039129A">
        <w:trPr>
          <w:trHeight w:val="280"/>
          <w:jc w:val="center"/>
        </w:trPr>
        <w:tc>
          <w:tcPr>
            <w:tcW w:w="1075" w:type="dxa"/>
            <w:vAlign w:val="center"/>
          </w:tcPr>
          <w:p w14:paraId="109E16C1" w14:textId="77777777" w:rsidR="00976C0A" w:rsidRPr="006831B9" w:rsidRDefault="00976C0A" w:rsidP="0039129A">
            <w:pPr>
              <w:spacing w:line="276" w:lineRule="auto"/>
              <w:jc w:val="center"/>
              <w:rPr>
                <w:rFonts w:ascii="Arial" w:hAnsi="Arial" w:cs="Arial"/>
                <w:sz w:val="18"/>
                <w:szCs w:val="18"/>
              </w:rPr>
            </w:pPr>
            <w:r w:rsidRPr="006831B9">
              <w:rPr>
                <w:rFonts w:ascii="Arial" w:hAnsi="Arial" w:cs="Arial"/>
                <w:sz w:val="18"/>
                <w:szCs w:val="18"/>
              </w:rPr>
              <w:t>30</w:t>
            </w:r>
          </w:p>
        </w:tc>
        <w:tc>
          <w:tcPr>
            <w:tcW w:w="1040" w:type="dxa"/>
            <w:vAlign w:val="center"/>
          </w:tcPr>
          <w:p w14:paraId="1BDBA3A9" w14:textId="77777777" w:rsidR="00976C0A" w:rsidRPr="006831B9" w:rsidRDefault="00976C0A" w:rsidP="0039129A">
            <w:pPr>
              <w:spacing w:line="276" w:lineRule="auto"/>
              <w:jc w:val="center"/>
              <w:rPr>
                <w:rFonts w:ascii="Arial" w:hAnsi="Arial" w:cs="Arial"/>
                <w:sz w:val="18"/>
                <w:szCs w:val="18"/>
              </w:rPr>
            </w:pPr>
            <w:r w:rsidRPr="006831B9">
              <w:rPr>
                <w:rFonts w:ascii="Arial" w:hAnsi="Arial" w:cs="Arial"/>
                <w:sz w:val="18"/>
                <w:szCs w:val="18"/>
              </w:rPr>
              <w:t>14.0</w:t>
            </w:r>
          </w:p>
        </w:tc>
        <w:tc>
          <w:tcPr>
            <w:tcW w:w="882" w:type="dxa"/>
            <w:vAlign w:val="center"/>
          </w:tcPr>
          <w:p w14:paraId="5422510D" w14:textId="77777777" w:rsidR="00976C0A" w:rsidRPr="006831B9" w:rsidRDefault="00976C0A" w:rsidP="0039129A">
            <w:pPr>
              <w:spacing w:line="276" w:lineRule="auto"/>
              <w:jc w:val="center"/>
              <w:rPr>
                <w:rFonts w:ascii="Arial" w:hAnsi="Arial" w:cs="Arial"/>
                <w:b/>
                <w:bCs/>
                <w:sz w:val="18"/>
                <w:szCs w:val="18"/>
              </w:rPr>
            </w:pPr>
            <w:r w:rsidRPr="006831B9">
              <w:rPr>
                <w:rFonts w:ascii="Arial" w:hAnsi="Arial" w:cs="Arial"/>
                <w:color w:val="000000" w:themeColor="text1"/>
                <w:sz w:val="18"/>
                <w:szCs w:val="18"/>
                <w:lang w:bidi="hi-IN"/>
              </w:rPr>
              <w:t>17.28</w:t>
            </w:r>
          </w:p>
        </w:tc>
        <w:tc>
          <w:tcPr>
            <w:tcW w:w="882" w:type="dxa"/>
            <w:vAlign w:val="center"/>
          </w:tcPr>
          <w:p w14:paraId="438C4494" w14:textId="77777777" w:rsidR="00976C0A" w:rsidRPr="006831B9" w:rsidRDefault="00976C0A" w:rsidP="0039129A">
            <w:pPr>
              <w:spacing w:line="276" w:lineRule="auto"/>
              <w:jc w:val="center"/>
              <w:rPr>
                <w:rFonts w:ascii="Arial" w:hAnsi="Arial" w:cs="Arial"/>
                <w:b/>
                <w:bCs/>
                <w:sz w:val="18"/>
                <w:szCs w:val="18"/>
              </w:rPr>
            </w:pPr>
            <w:r w:rsidRPr="006831B9">
              <w:rPr>
                <w:rFonts w:ascii="Arial" w:hAnsi="Arial" w:cs="Arial"/>
                <w:color w:val="000000" w:themeColor="text1"/>
                <w:sz w:val="18"/>
                <w:szCs w:val="18"/>
                <w:lang w:bidi="hi-IN"/>
              </w:rPr>
              <w:t>27.16</w:t>
            </w:r>
          </w:p>
        </w:tc>
        <w:tc>
          <w:tcPr>
            <w:tcW w:w="870" w:type="dxa"/>
            <w:vAlign w:val="center"/>
          </w:tcPr>
          <w:p w14:paraId="772FA7F8" w14:textId="77777777" w:rsidR="00976C0A" w:rsidRPr="006831B9" w:rsidRDefault="00976C0A" w:rsidP="0039129A">
            <w:pPr>
              <w:spacing w:line="276" w:lineRule="auto"/>
              <w:jc w:val="center"/>
              <w:rPr>
                <w:rFonts w:ascii="Arial" w:hAnsi="Arial" w:cs="Arial"/>
                <w:b/>
                <w:bCs/>
                <w:sz w:val="18"/>
                <w:szCs w:val="18"/>
              </w:rPr>
            </w:pPr>
            <w:r w:rsidRPr="006831B9">
              <w:rPr>
                <w:rFonts w:ascii="Arial" w:hAnsi="Arial" w:cs="Arial"/>
                <w:color w:val="000000" w:themeColor="text1"/>
                <w:sz w:val="18"/>
                <w:szCs w:val="18"/>
              </w:rPr>
              <w:t>39.51</w:t>
            </w:r>
          </w:p>
        </w:tc>
        <w:tc>
          <w:tcPr>
            <w:tcW w:w="882" w:type="dxa"/>
            <w:vAlign w:val="center"/>
          </w:tcPr>
          <w:p w14:paraId="7A4BDCDC" w14:textId="77777777" w:rsidR="00976C0A" w:rsidRPr="006831B9" w:rsidRDefault="00976C0A" w:rsidP="0039129A">
            <w:pPr>
              <w:spacing w:line="276" w:lineRule="auto"/>
              <w:jc w:val="center"/>
              <w:rPr>
                <w:rFonts w:ascii="Arial" w:hAnsi="Arial" w:cs="Arial"/>
                <w:b/>
                <w:bCs/>
                <w:sz w:val="18"/>
                <w:szCs w:val="18"/>
              </w:rPr>
            </w:pPr>
            <w:r w:rsidRPr="006831B9">
              <w:rPr>
                <w:rFonts w:ascii="Arial" w:hAnsi="Arial" w:cs="Arial"/>
                <w:color w:val="000000" w:themeColor="text1"/>
                <w:sz w:val="18"/>
                <w:szCs w:val="18"/>
              </w:rPr>
              <w:t>48.15</w:t>
            </w:r>
          </w:p>
        </w:tc>
        <w:tc>
          <w:tcPr>
            <w:tcW w:w="946" w:type="dxa"/>
            <w:vAlign w:val="center"/>
          </w:tcPr>
          <w:p w14:paraId="4B64E938" w14:textId="77777777" w:rsidR="00976C0A" w:rsidRPr="006831B9" w:rsidRDefault="00976C0A" w:rsidP="0039129A">
            <w:pPr>
              <w:spacing w:line="276" w:lineRule="auto"/>
              <w:jc w:val="center"/>
              <w:rPr>
                <w:rFonts w:ascii="Arial" w:hAnsi="Arial" w:cs="Arial"/>
                <w:sz w:val="18"/>
                <w:szCs w:val="18"/>
              </w:rPr>
            </w:pPr>
            <w:r w:rsidRPr="006831B9">
              <w:rPr>
                <w:rFonts w:ascii="Arial" w:hAnsi="Arial" w:cs="Arial"/>
                <w:sz w:val="18"/>
                <w:szCs w:val="18"/>
              </w:rPr>
              <w:t>33.02</w:t>
            </w:r>
          </w:p>
        </w:tc>
        <w:tc>
          <w:tcPr>
            <w:tcW w:w="1049" w:type="dxa"/>
            <w:vAlign w:val="center"/>
          </w:tcPr>
          <w:p w14:paraId="7953E893" w14:textId="77777777" w:rsidR="00976C0A" w:rsidRPr="006831B9" w:rsidRDefault="00976C0A" w:rsidP="0039129A">
            <w:pPr>
              <w:spacing w:line="276" w:lineRule="auto"/>
              <w:jc w:val="center"/>
              <w:rPr>
                <w:rFonts w:ascii="Arial" w:hAnsi="Arial" w:cs="Arial"/>
                <w:b/>
                <w:bCs/>
                <w:sz w:val="18"/>
                <w:szCs w:val="18"/>
              </w:rPr>
            </w:pPr>
            <w:r w:rsidRPr="006831B9">
              <w:rPr>
                <w:rFonts w:ascii="Arial" w:hAnsi="Arial" w:cs="Arial"/>
                <w:color w:val="000000" w:themeColor="text1"/>
                <w:sz w:val="18"/>
                <w:szCs w:val="18"/>
              </w:rPr>
              <w:t>695.69</w:t>
            </w:r>
          </w:p>
        </w:tc>
        <w:tc>
          <w:tcPr>
            <w:tcW w:w="1554" w:type="dxa"/>
            <w:vAlign w:val="center"/>
          </w:tcPr>
          <w:p w14:paraId="230E4A70" w14:textId="77777777" w:rsidR="00976C0A" w:rsidRPr="006831B9" w:rsidRDefault="00976C0A" w:rsidP="0039129A">
            <w:pPr>
              <w:spacing w:line="276" w:lineRule="auto"/>
              <w:jc w:val="center"/>
              <w:rPr>
                <w:rFonts w:ascii="Arial" w:hAnsi="Arial" w:cs="Arial"/>
                <w:b/>
                <w:bCs/>
                <w:sz w:val="18"/>
                <w:szCs w:val="18"/>
              </w:rPr>
            </w:pPr>
            <w:r w:rsidRPr="006831B9">
              <w:rPr>
                <w:rFonts w:ascii="Arial" w:hAnsi="Arial" w:cs="Arial"/>
                <w:color w:val="000000" w:themeColor="text1"/>
                <w:sz w:val="18"/>
                <w:szCs w:val="18"/>
              </w:rPr>
              <w:t>0.05</w:t>
            </w:r>
          </w:p>
        </w:tc>
      </w:tr>
      <w:tr w:rsidR="00976C0A" w:rsidRPr="006831B9" w14:paraId="0D1A74FB" w14:textId="77777777" w:rsidTr="0039129A">
        <w:trPr>
          <w:trHeight w:val="270"/>
          <w:jc w:val="center"/>
        </w:trPr>
        <w:tc>
          <w:tcPr>
            <w:tcW w:w="1075" w:type="dxa"/>
            <w:vAlign w:val="center"/>
          </w:tcPr>
          <w:p w14:paraId="1F86B1DC" w14:textId="77777777" w:rsidR="00976C0A" w:rsidRPr="006831B9" w:rsidRDefault="00976C0A" w:rsidP="0039129A">
            <w:pPr>
              <w:spacing w:line="276" w:lineRule="auto"/>
              <w:jc w:val="center"/>
              <w:rPr>
                <w:rFonts w:ascii="Arial" w:hAnsi="Arial" w:cs="Arial"/>
                <w:sz w:val="18"/>
                <w:szCs w:val="18"/>
              </w:rPr>
            </w:pPr>
            <w:r w:rsidRPr="006831B9">
              <w:rPr>
                <w:rFonts w:ascii="Arial" w:hAnsi="Arial" w:cs="Arial"/>
                <w:sz w:val="18"/>
                <w:szCs w:val="18"/>
              </w:rPr>
              <w:t>35</w:t>
            </w:r>
          </w:p>
        </w:tc>
        <w:tc>
          <w:tcPr>
            <w:tcW w:w="1040" w:type="dxa"/>
            <w:vAlign w:val="center"/>
          </w:tcPr>
          <w:p w14:paraId="0D621792" w14:textId="77777777" w:rsidR="00976C0A" w:rsidRPr="006831B9" w:rsidRDefault="00976C0A" w:rsidP="0039129A">
            <w:pPr>
              <w:spacing w:line="276" w:lineRule="auto"/>
              <w:jc w:val="center"/>
              <w:rPr>
                <w:rFonts w:ascii="Arial" w:hAnsi="Arial" w:cs="Arial"/>
                <w:sz w:val="18"/>
                <w:szCs w:val="18"/>
              </w:rPr>
            </w:pPr>
            <w:r w:rsidRPr="006831B9">
              <w:rPr>
                <w:rFonts w:ascii="Arial" w:hAnsi="Arial" w:cs="Arial"/>
                <w:sz w:val="18"/>
                <w:szCs w:val="18"/>
              </w:rPr>
              <w:t>13.3</w:t>
            </w:r>
          </w:p>
        </w:tc>
        <w:tc>
          <w:tcPr>
            <w:tcW w:w="882" w:type="dxa"/>
            <w:vAlign w:val="center"/>
          </w:tcPr>
          <w:p w14:paraId="072EFCEE" w14:textId="77777777" w:rsidR="00976C0A" w:rsidRPr="006831B9" w:rsidRDefault="00976C0A" w:rsidP="0039129A">
            <w:pPr>
              <w:spacing w:line="276" w:lineRule="auto"/>
              <w:jc w:val="center"/>
              <w:rPr>
                <w:rFonts w:ascii="Arial" w:hAnsi="Arial" w:cs="Arial"/>
                <w:b/>
                <w:bCs/>
                <w:sz w:val="18"/>
                <w:szCs w:val="18"/>
              </w:rPr>
            </w:pPr>
            <w:r w:rsidRPr="006831B9">
              <w:rPr>
                <w:rFonts w:ascii="Arial" w:hAnsi="Arial" w:cs="Arial"/>
                <w:color w:val="000000" w:themeColor="text1"/>
                <w:sz w:val="18"/>
                <w:szCs w:val="18"/>
                <w:lang w:bidi="hi-IN"/>
              </w:rPr>
              <w:t>18.52</w:t>
            </w:r>
          </w:p>
        </w:tc>
        <w:tc>
          <w:tcPr>
            <w:tcW w:w="882" w:type="dxa"/>
            <w:vAlign w:val="center"/>
          </w:tcPr>
          <w:p w14:paraId="30A9F57A" w14:textId="77777777" w:rsidR="00976C0A" w:rsidRPr="006831B9" w:rsidRDefault="00976C0A" w:rsidP="0039129A">
            <w:pPr>
              <w:spacing w:line="276" w:lineRule="auto"/>
              <w:jc w:val="center"/>
              <w:rPr>
                <w:rFonts w:ascii="Arial" w:hAnsi="Arial" w:cs="Arial"/>
                <w:b/>
                <w:bCs/>
                <w:sz w:val="18"/>
                <w:szCs w:val="18"/>
              </w:rPr>
            </w:pPr>
            <w:r w:rsidRPr="006831B9">
              <w:rPr>
                <w:rFonts w:ascii="Arial" w:hAnsi="Arial" w:cs="Arial"/>
                <w:color w:val="000000" w:themeColor="text1"/>
                <w:sz w:val="18"/>
                <w:szCs w:val="18"/>
                <w:lang w:bidi="hi-IN"/>
              </w:rPr>
              <w:t>30.86</w:t>
            </w:r>
          </w:p>
        </w:tc>
        <w:tc>
          <w:tcPr>
            <w:tcW w:w="870" w:type="dxa"/>
            <w:vAlign w:val="center"/>
          </w:tcPr>
          <w:p w14:paraId="033B19F2" w14:textId="77777777" w:rsidR="00976C0A" w:rsidRPr="006831B9" w:rsidRDefault="00976C0A" w:rsidP="0039129A">
            <w:pPr>
              <w:spacing w:line="276" w:lineRule="auto"/>
              <w:jc w:val="center"/>
              <w:rPr>
                <w:rFonts w:ascii="Arial" w:hAnsi="Arial" w:cs="Arial"/>
                <w:b/>
                <w:bCs/>
                <w:sz w:val="18"/>
                <w:szCs w:val="18"/>
              </w:rPr>
            </w:pPr>
            <w:r w:rsidRPr="006831B9">
              <w:rPr>
                <w:rFonts w:ascii="Arial" w:hAnsi="Arial" w:cs="Arial"/>
                <w:color w:val="000000" w:themeColor="text1"/>
                <w:sz w:val="18"/>
                <w:szCs w:val="18"/>
              </w:rPr>
              <w:t>43.21</w:t>
            </w:r>
          </w:p>
        </w:tc>
        <w:tc>
          <w:tcPr>
            <w:tcW w:w="882" w:type="dxa"/>
            <w:vAlign w:val="center"/>
          </w:tcPr>
          <w:p w14:paraId="0D5F1D7A" w14:textId="77777777" w:rsidR="00976C0A" w:rsidRPr="006831B9" w:rsidRDefault="00976C0A" w:rsidP="0039129A">
            <w:pPr>
              <w:spacing w:line="276" w:lineRule="auto"/>
              <w:jc w:val="center"/>
              <w:rPr>
                <w:rFonts w:ascii="Arial" w:hAnsi="Arial" w:cs="Arial"/>
                <w:b/>
                <w:bCs/>
                <w:sz w:val="18"/>
                <w:szCs w:val="18"/>
              </w:rPr>
            </w:pPr>
            <w:r w:rsidRPr="006831B9">
              <w:rPr>
                <w:rFonts w:ascii="Arial" w:hAnsi="Arial" w:cs="Arial"/>
                <w:color w:val="000000" w:themeColor="text1"/>
                <w:sz w:val="18"/>
                <w:szCs w:val="18"/>
              </w:rPr>
              <w:t>49.38</w:t>
            </w:r>
          </w:p>
        </w:tc>
        <w:tc>
          <w:tcPr>
            <w:tcW w:w="946" w:type="dxa"/>
            <w:vAlign w:val="center"/>
          </w:tcPr>
          <w:p w14:paraId="14FA8C85" w14:textId="77777777" w:rsidR="00976C0A" w:rsidRPr="006831B9" w:rsidRDefault="00976C0A" w:rsidP="0039129A">
            <w:pPr>
              <w:spacing w:line="276" w:lineRule="auto"/>
              <w:jc w:val="center"/>
              <w:rPr>
                <w:rFonts w:ascii="Arial" w:hAnsi="Arial" w:cs="Arial"/>
                <w:sz w:val="18"/>
                <w:szCs w:val="18"/>
              </w:rPr>
            </w:pPr>
            <w:r w:rsidRPr="006831B9">
              <w:rPr>
                <w:rFonts w:ascii="Arial" w:hAnsi="Arial" w:cs="Arial"/>
                <w:sz w:val="18"/>
                <w:szCs w:val="18"/>
              </w:rPr>
              <w:t>35.49</w:t>
            </w:r>
          </w:p>
        </w:tc>
        <w:tc>
          <w:tcPr>
            <w:tcW w:w="1049" w:type="dxa"/>
            <w:vAlign w:val="center"/>
          </w:tcPr>
          <w:p w14:paraId="6AED8176" w14:textId="77777777" w:rsidR="00976C0A" w:rsidRPr="006831B9" w:rsidRDefault="00976C0A" w:rsidP="0039129A">
            <w:pPr>
              <w:spacing w:line="276" w:lineRule="auto"/>
              <w:jc w:val="center"/>
              <w:rPr>
                <w:rFonts w:ascii="Arial" w:hAnsi="Arial" w:cs="Arial"/>
                <w:b/>
                <w:bCs/>
                <w:sz w:val="18"/>
                <w:szCs w:val="18"/>
              </w:rPr>
            </w:pPr>
            <w:r w:rsidRPr="006831B9">
              <w:rPr>
                <w:rFonts w:ascii="Arial" w:hAnsi="Arial" w:cs="Arial"/>
                <w:color w:val="000000" w:themeColor="text1"/>
                <w:sz w:val="18"/>
                <w:szCs w:val="18"/>
              </w:rPr>
              <w:t>756.15</w:t>
            </w:r>
          </w:p>
        </w:tc>
        <w:tc>
          <w:tcPr>
            <w:tcW w:w="1554" w:type="dxa"/>
            <w:vAlign w:val="center"/>
          </w:tcPr>
          <w:p w14:paraId="348C8015" w14:textId="77777777" w:rsidR="00976C0A" w:rsidRPr="006831B9" w:rsidRDefault="00976C0A" w:rsidP="0039129A">
            <w:pPr>
              <w:spacing w:line="276" w:lineRule="auto"/>
              <w:jc w:val="center"/>
              <w:rPr>
                <w:rFonts w:ascii="Arial" w:hAnsi="Arial" w:cs="Arial"/>
                <w:b/>
                <w:bCs/>
                <w:sz w:val="18"/>
                <w:szCs w:val="18"/>
              </w:rPr>
            </w:pPr>
            <w:r w:rsidRPr="006831B9">
              <w:rPr>
                <w:rFonts w:ascii="Arial" w:hAnsi="Arial" w:cs="Arial"/>
                <w:color w:val="000000" w:themeColor="text1"/>
                <w:sz w:val="18"/>
                <w:szCs w:val="18"/>
              </w:rPr>
              <w:t>0.05</w:t>
            </w:r>
          </w:p>
        </w:tc>
      </w:tr>
      <w:tr w:rsidR="00976C0A" w:rsidRPr="006831B9" w14:paraId="6DF83564" w14:textId="77777777" w:rsidTr="0039129A">
        <w:trPr>
          <w:trHeight w:val="280"/>
          <w:jc w:val="center"/>
        </w:trPr>
        <w:tc>
          <w:tcPr>
            <w:tcW w:w="1075" w:type="dxa"/>
            <w:vAlign w:val="center"/>
          </w:tcPr>
          <w:p w14:paraId="4B06825F" w14:textId="77777777" w:rsidR="00976C0A" w:rsidRPr="006831B9" w:rsidRDefault="00976C0A" w:rsidP="0039129A">
            <w:pPr>
              <w:spacing w:line="276" w:lineRule="auto"/>
              <w:jc w:val="center"/>
              <w:rPr>
                <w:rFonts w:ascii="Arial" w:hAnsi="Arial" w:cs="Arial"/>
                <w:sz w:val="18"/>
                <w:szCs w:val="18"/>
              </w:rPr>
            </w:pPr>
            <w:r w:rsidRPr="006831B9">
              <w:rPr>
                <w:rFonts w:ascii="Arial" w:hAnsi="Arial" w:cs="Arial"/>
                <w:sz w:val="18"/>
                <w:szCs w:val="18"/>
              </w:rPr>
              <w:t>40</w:t>
            </w:r>
          </w:p>
        </w:tc>
        <w:tc>
          <w:tcPr>
            <w:tcW w:w="1040" w:type="dxa"/>
            <w:vAlign w:val="center"/>
          </w:tcPr>
          <w:p w14:paraId="53C45166" w14:textId="77777777" w:rsidR="00976C0A" w:rsidRPr="006831B9" w:rsidRDefault="00976C0A" w:rsidP="0039129A">
            <w:pPr>
              <w:spacing w:line="276" w:lineRule="auto"/>
              <w:jc w:val="center"/>
              <w:rPr>
                <w:rFonts w:ascii="Arial" w:hAnsi="Arial" w:cs="Arial"/>
                <w:sz w:val="18"/>
                <w:szCs w:val="18"/>
              </w:rPr>
            </w:pPr>
            <w:r w:rsidRPr="006831B9">
              <w:rPr>
                <w:rFonts w:ascii="Arial" w:hAnsi="Arial" w:cs="Arial"/>
                <w:sz w:val="18"/>
                <w:szCs w:val="18"/>
              </w:rPr>
              <w:t>13.0</w:t>
            </w:r>
          </w:p>
        </w:tc>
        <w:tc>
          <w:tcPr>
            <w:tcW w:w="882" w:type="dxa"/>
            <w:vAlign w:val="center"/>
          </w:tcPr>
          <w:p w14:paraId="2D739C8F" w14:textId="77777777" w:rsidR="00976C0A" w:rsidRPr="006831B9" w:rsidRDefault="00976C0A" w:rsidP="0039129A">
            <w:pPr>
              <w:spacing w:line="276" w:lineRule="auto"/>
              <w:jc w:val="center"/>
              <w:rPr>
                <w:rFonts w:ascii="Arial" w:hAnsi="Arial" w:cs="Arial"/>
                <w:b/>
                <w:bCs/>
                <w:sz w:val="18"/>
                <w:szCs w:val="18"/>
              </w:rPr>
            </w:pPr>
            <w:r w:rsidRPr="006831B9">
              <w:rPr>
                <w:rFonts w:ascii="Arial" w:hAnsi="Arial" w:cs="Arial"/>
                <w:color w:val="000000" w:themeColor="text1"/>
                <w:sz w:val="18"/>
                <w:szCs w:val="18"/>
                <w:lang w:bidi="hi-IN"/>
              </w:rPr>
              <w:t>19.75</w:t>
            </w:r>
          </w:p>
        </w:tc>
        <w:tc>
          <w:tcPr>
            <w:tcW w:w="882" w:type="dxa"/>
            <w:vAlign w:val="center"/>
          </w:tcPr>
          <w:p w14:paraId="4749E002" w14:textId="77777777" w:rsidR="00976C0A" w:rsidRPr="006831B9" w:rsidRDefault="00976C0A" w:rsidP="0039129A">
            <w:pPr>
              <w:spacing w:line="276" w:lineRule="auto"/>
              <w:jc w:val="center"/>
              <w:rPr>
                <w:rFonts w:ascii="Arial" w:hAnsi="Arial" w:cs="Arial"/>
                <w:b/>
                <w:bCs/>
                <w:sz w:val="18"/>
                <w:szCs w:val="18"/>
              </w:rPr>
            </w:pPr>
            <w:r w:rsidRPr="006831B9">
              <w:rPr>
                <w:rFonts w:ascii="Arial" w:hAnsi="Arial" w:cs="Arial"/>
                <w:color w:val="000000" w:themeColor="text1"/>
                <w:sz w:val="18"/>
                <w:szCs w:val="18"/>
                <w:lang w:bidi="hi-IN"/>
              </w:rPr>
              <w:t>34.57</w:t>
            </w:r>
          </w:p>
        </w:tc>
        <w:tc>
          <w:tcPr>
            <w:tcW w:w="870" w:type="dxa"/>
            <w:vAlign w:val="center"/>
          </w:tcPr>
          <w:p w14:paraId="78238032" w14:textId="77777777" w:rsidR="00976C0A" w:rsidRPr="006831B9" w:rsidRDefault="00976C0A" w:rsidP="0039129A">
            <w:pPr>
              <w:spacing w:line="276" w:lineRule="auto"/>
              <w:jc w:val="center"/>
              <w:rPr>
                <w:rFonts w:ascii="Arial" w:hAnsi="Arial" w:cs="Arial"/>
                <w:b/>
                <w:bCs/>
                <w:sz w:val="18"/>
                <w:szCs w:val="18"/>
              </w:rPr>
            </w:pPr>
            <w:r w:rsidRPr="006831B9">
              <w:rPr>
                <w:rFonts w:ascii="Arial" w:hAnsi="Arial" w:cs="Arial"/>
                <w:color w:val="000000" w:themeColor="text1"/>
                <w:sz w:val="18"/>
                <w:szCs w:val="18"/>
              </w:rPr>
              <w:t>45.68</w:t>
            </w:r>
          </w:p>
        </w:tc>
        <w:tc>
          <w:tcPr>
            <w:tcW w:w="882" w:type="dxa"/>
            <w:vAlign w:val="center"/>
          </w:tcPr>
          <w:p w14:paraId="04F9E558" w14:textId="77777777" w:rsidR="00976C0A" w:rsidRPr="006831B9" w:rsidRDefault="00976C0A" w:rsidP="0039129A">
            <w:pPr>
              <w:spacing w:line="276" w:lineRule="auto"/>
              <w:jc w:val="center"/>
              <w:rPr>
                <w:rFonts w:ascii="Arial" w:hAnsi="Arial" w:cs="Arial"/>
                <w:b/>
                <w:bCs/>
                <w:sz w:val="18"/>
                <w:szCs w:val="18"/>
              </w:rPr>
            </w:pPr>
            <w:r w:rsidRPr="006831B9">
              <w:rPr>
                <w:rFonts w:ascii="Arial" w:hAnsi="Arial" w:cs="Arial"/>
                <w:color w:val="000000" w:themeColor="text1"/>
                <w:sz w:val="18"/>
                <w:szCs w:val="18"/>
              </w:rPr>
              <w:t>51.85</w:t>
            </w:r>
          </w:p>
        </w:tc>
        <w:tc>
          <w:tcPr>
            <w:tcW w:w="946" w:type="dxa"/>
            <w:vAlign w:val="center"/>
          </w:tcPr>
          <w:p w14:paraId="01E01918" w14:textId="77777777" w:rsidR="00976C0A" w:rsidRPr="006831B9" w:rsidRDefault="00976C0A" w:rsidP="0039129A">
            <w:pPr>
              <w:spacing w:line="276" w:lineRule="auto"/>
              <w:jc w:val="center"/>
              <w:rPr>
                <w:rFonts w:ascii="Arial" w:hAnsi="Arial" w:cs="Arial"/>
                <w:sz w:val="18"/>
                <w:szCs w:val="18"/>
              </w:rPr>
            </w:pPr>
            <w:r w:rsidRPr="006831B9">
              <w:rPr>
                <w:rFonts w:ascii="Arial" w:hAnsi="Arial" w:cs="Arial"/>
                <w:sz w:val="18"/>
                <w:szCs w:val="18"/>
              </w:rPr>
              <w:t>37.96</w:t>
            </w:r>
          </w:p>
        </w:tc>
        <w:tc>
          <w:tcPr>
            <w:tcW w:w="1049" w:type="dxa"/>
            <w:vAlign w:val="center"/>
          </w:tcPr>
          <w:p w14:paraId="0D2F6312" w14:textId="77777777" w:rsidR="00976C0A" w:rsidRPr="006831B9" w:rsidRDefault="00976C0A" w:rsidP="0039129A">
            <w:pPr>
              <w:spacing w:line="276" w:lineRule="auto"/>
              <w:jc w:val="center"/>
              <w:rPr>
                <w:rFonts w:ascii="Arial" w:hAnsi="Arial" w:cs="Arial"/>
                <w:b/>
                <w:bCs/>
                <w:sz w:val="18"/>
                <w:szCs w:val="18"/>
              </w:rPr>
            </w:pPr>
            <w:r w:rsidRPr="006831B9">
              <w:rPr>
                <w:rFonts w:ascii="Arial" w:hAnsi="Arial" w:cs="Arial"/>
                <w:color w:val="000000" w:themeColor="text1"/>
                <w:sz w:val="18"/>
                <w:szCs w:val="18"/>
              </w:rPr>
              <w:t>812.36</w:t>
            </w:r>
          </w:p>
        </w:tc>
        <w:tc>
          <w:tcPr>
            <w:tcW w:w="1554" w:type="dxa"/>
            <w:vAlign w:val="center"/>
          </w:tcPr>
          <w:p w14:paraId="6DF8699A" w14:textId="77777777" w:rsidR="00976C0A" w:rsidRPr="006831B9" w:rsidRDefault="00976C0A" w:rsidP="0039129A">
            <w:pPr>
              <w:spacing w:line="276" w:lineRule="auto"/>
              <w:jc w:val="center"/>
              <w:rPr>
                <w:rFonts w:ascii="Arial" w:hAnsi="Arial" w:cs="Arial"/>
                <w:b/>
                <w:bCs/>
                <w:sz w:val="18"/>
                <w:szCs w:val="18"/>
              </w:rPr>
            </w:pPr>
            <w:r w:rsidRPr="006831B9">
              <w:rPr>
                <w:rFonts w:ascii="Arial" w:hAnsi="Arial" w:cs="Arial"/>
                <w:color w:val="000000" w:themeColor="text1"/>
                <w:sz w:val="18"/>
                <w:szCs w:val="18"/>
              </w:rPr>
              <w:t>0.05</w:t>
            </w:r>
          </w:p>
        </w:tc>
      </w:tr>
      <w:tr w:rsidR="00976C0A" w:rsidRPr="006831B9" w14:paraId="401A45BC" w14:textId="77777777" w:rsidTr="0039129A">
        <w:trPr>
          <w:trHeight w:val="270"/>
          <w:jc w:val="center"/>
        </w:trPr>
        <w:tc>
          <w:tcPr>
            <w:tcW w:w="1075" w:type="dxa"/>
            <w:vAlign w:val="center"/>
          </w:tcPr>
          <w:p w14:paraId="66252301" w14:textId="77777777" w:rsidR="00976C0A" w:rsidRPr="006831B9" w:rsidRDefault="00976C0A" w:rsidP="0039129A">
            <w:pPr>
              <w:spacing w:line="276" w:lineRule="auto"/>
              <w:jc w:val="center"/>
              <w:rPr>
                <w:rFonts w:ascii="Arial" w:hAnsi="Arial" w:cs="Arial"/>
                <w:sz w:val="18"/>
                <w:szCs w:val="18"/>
              </w:rPr>
            </w:pPr>
            <w:r w:rsidRPr="006831B9">
              <w:rPr>
                <w:rFonts w:ascii="Arial" w:hAnsi="Arial" w:cs="Arial"/>
                <w:sz w:val="18"/>
                <w:szCs w:val="18"/>
              </w:rPr>
              <w:t>50</w:t>
            </w:r>
          </w:p>
        </w:tc>
        <w:tc>
          <w:tcPr>
            <w:tcW w:w="1040" w:type="dxa"/>
            <w:vAlign w:val="center"/>
          </w:tcPr>
          <w:p w14:paraId="39BCC9EF" w14:textId="77777777" w:rsidR="00976C0A" w:rsidRPr="006831B9" w:rsidRDefault="00976C0A" w:rsidP="0039129A">
            <w:pPr>
              <w:spacing w:line="276" w:lineRule="auto"/>
              <w:jc w:val="center"/>
              <w:rPr>
                <w:rFonts w:ascii="Arial" w:hAnsi="Arial" w:cs="Arial"/>
                <w:sz w:val="18"/>
                <w:szCs w:val="18"/>
              </w:rPr>
            </w:pPr>
            <w:r w:rsidRPr="006831B9">
              <w:rPr>
                <w:rFonts w:ascii="Arial" w:hAnsi="Arial" w:cs="Arial"/>
                <w:sz w:val="18"/>
                <w:szCs w:val="18"/>
              </w:rPr>
              <w:t>13.7</w:t>
            </w:r>
          </w:p>
        </w:tc>
        <w:tc>
          <w:tcPr>
            <w:tcW w:w="882" w:type="dxa"/>
            <w:vAlign w:val="center"/>
          </w:tcPr>
          <w:p w14:paraId="1A9BB73C" w14:textId="77777777" w:rsidR="00976C0A" w:rsidRPr="006831B9" w:rsidRDefault="00976C0A" w:rsidP="0039129A">
            <w:pPr>
              <w:spacing w:line="276" w:lineRule="auto"/>
              <w:jc w:val="center"/>
              <w:rPr>
                <w:rFonts w:ascii="Arial" w:hAnsi="Arial" w:cs="Arial"/>
                <w:b/>
                <w:bCs/>
                <w:sz w:val="18"/>
                <w:szCs w:val="18"/>
              </w:rPr>
            </w:pPr>
            <w:r w:rsidRPr="006831B9">
              <w:rPr>
                <w:rFonts w:ascii="Arial" w:hAnsi="Arial" w:cs="Arial"/>
                <w:color w:val="000000" w:themeColor="text1"/>
                <w:sz w:val="18"/>
                <w:szCs w:val="18"/>
                <w:lang w:bidi="hi-IN"/>
              </w:rPr>
              <w:t>20.99</w:t>
            </w:r>
          </w:p>
        </w:tc>
        <w:tc>
          <w:tcPr>
            <w:tcW w:w="882" w:type="dxa"/>
            <w:vAlign w:val="center"/>
          </w:tcPr>
          <w:p w14:paraId="62D1315E" w14:textId="77777777" w:rsidR="00976C0A" w:rsidRPr="006831B9" w:rsidRDefault="00976C0A" w:rsidP="0039129A">
            <w:pPr>
              <w:spacing w:line="276" w:lineRule="auto"/>
              <w:jc w:val="center"/>
              <w:rPr>
                <w:rFonts w:ascii="Arial" w:hAnsi="Arial" w:cs="Arial"/>
                <w:b/>
                <w:bCs/>
                <w:sz w:val="18"/>
                <w:szCs w:val="18"/>
              </w:rPr>
            </w:pPr>
            <w:r w:rsidRPr="006831B9">
              <w:rPr>
                <w:rFonts w:ascii="Arial" w:hAnsi="Arial" w:cs="Arial"/>
                <w:color w:val="000000" w:themeColor="text1"/>
                <w:sz w:val="18"/>
                <w:szCs w:val="18"/>
                <w:lang w:bidi="hi-IN"/>
              </w:rPr>
              <w:t>35.80</w:t>
            </w:r>
          </w:p>
        </w:tc>
        <w:tc>
          <w:tcPr>
            <w:tcW w:w="870" w:type="dxa"/>
            <w:vAlign w:val="center"/>
          </w:tcPr>
          <w:p w14:paraId="0E5FC250" w14:textId="77777777" w:rsidR="00976C0A" w:rsidRPr="006831B9" w:rsidRDefault="00976C0A" w:rsidP="0039129A">
            <w:pPr>
              <w:spacing w:line="276" w:lineRule="auto"/>
              <w:jc w:val="center"/>
              <w:rPr>
                <w:rFonts w:ascii="Arial" w:hAnsi="Arial" w:cs="Arial"/>
                <w:b/>
                <w:bCs/>
                <w:sz w:val="18"/>
                <w:szCs w:val="18"/>
              </w:rPr>
            </w:pPr>
            <w:r w:rsidRPr="006831B9">
              <w:rPr>
                <w:rFonts w:ascii="Arial" w:hAnsi="Arial" w:cs="Arial"/>
                <w:color w:val="000000" w:themeColor="text1"/>
                <w:sz w:val="18"/>
                <w:szCs w:val="18"/>
              </w:rPr>
              <w:t>46.91</w:t>
            </w:r>
          </w:p>
        </w:tc>
        <w:tc>
          <w:tcPr>
            <w:tcW w:w="882" w:type="dxa"/>
            <w:vAlign w:val="center"/>
          </w:tcPr>
          <w:p w14:paraId="0AAE1E67" w14:textId="77777777" w:rsidR="00976C0A" w:rsidRPr="006831B9" w:rsidRDefault="00976C0A" w:rsidP="0039129A">
            <w:pPr>
              <w:spacing w:line="276" w:lineRule="auto"/>
              <w:jc w:val="center"/>
              <w:rPr>
                <w:rFonts w:ascii="Arial" w:hAnsi="Arial" w:cs="Arial"/>
                <w:b/>
                <w:bCs/>
                <w:sz w:val="18"/>
                <w:szCs w:val="18"/>
              </w:rPr>
            </w:pPr>
            <w:r w:rsidRPr="006831B9">
              <w:rPr>
                <w:rFonts w:ascii="Arial" w:hAnsi="Arial" w:cs="Arial"/>
                <w:color w:val="000000" w:themeColor="text1"/>
                <w:sz w:val="18"/>
                <w:szCs w:val="18"/>
              </w:rPr>
              <w:t>54.32</w:t>
            </w:r>
          </w:p>
        </w:tc>
        <w:tc>
          <w:tcPr>
            <w:tcW w:w="946" w:type="dxa"/>
            <w:vAlign w:val="center"/>
          </w:tcPr>
          <w:p w14:paraId="54D116C1" w14:textId="77777777" w:rsidR="00976C0A" w:rsidRPr="006831B9" w:rsidRDefault="00976C0A" w:rsidP="0039129A">
            <w:pPr>
              <w:spacing w:line="276" w:lineRule="auto"/>
              <w:jc w:val="center"/>
              <w:rPr>
                <w:rFonts w:ascii="Arial" w:hAnsi="Arial" w:cs="Arial"/>
                <w:sz w:val="18"/>
                <w:szCs w:val="18"/>
              </w:rPr>
            </w:pPr>
            <w:r w:rsidRPr="006831B9">
              <w:rPr>
                <w:rFonts w:ascii="Arial" w:hAnsi="Arial" w:cs="Arial"/>
                <w:sz w:val="18"/>
                <w:szCs w:val="18"/>
              </w:rPr>
              <w:t>39.50</w:t>
            </w:r>
          </w:p>
        </w:tc>
        <w:tc>
          <w:tcPr>
            <w:tcW w:w="1049" w:type="dxa"/>
            <w:vAlign w:val="center"/>
          </w:tcPr>
          <w:p w14:paraId="7462D2EF" w14:textId="77777777" w:rsidR="00976C0A" w:rsidRPr="006831B9" w:rsidRDefault="00976C0A" w:rsidP="0039129A">
            <w:pPr>
              <w:spacing w:line="276" w:lineRule="auto"/>
              <w:jc w:val="center"/>
              <w:rPr>
                <w:rFonts w:ascii="Arial" w:hAnsi="Arial" w:cs="Arial"/>
                <w:b/>
                <w:bCs/>
                <w:sz w:val="18"/>
                <w:szCs w:val="18"/>
              </w:rPr>
            </w:pPr>
            <w:r w:rsidRPr="006831B9">
              <w:rPr>
                <w:rFonts w:ascii="Arial" w:hAnsi="Arial" w:cs="Arial"/>
                <w:color w:val="000000" w:themeColor="text1"/>
                <w:sz w:val="18"/>
                <w:szCs w:val="18"/>
              </w:rPr>
              <w:t>842.60</w:t>
            </w:r>
          </w:p>
        </w:tc>
        <w:tc>
          <w:tcPr>
            <w:tcW w:w="1554" w:type="dxa"/>
            <w:vAlign w:val="center"/>
          </w:tcPr>
          <w:p w14:paraId="0E431F73" w14:textId="77777777" w:rsidR="00976C0A" w:rsidRPr="006831B9" w:rsidRDefault="00976C0A" w:rsidP="0039129A">
            <w:pPr>
              <w:spacing w:line="276" w:lineRule="auto"/>
              <w:jc w:val="center"/>
              <w:rPr>
                <w:rFonts w:ascii="Arial" w:hAnsi="Arial" w:cs="Arial"/>
                <w:b/>
                <w:bCs/>
                <w:sz w:val="18"/>
                <w:szCs w:val="18"/>
              </w:rPr>
            </w:pPr>
            <w:r w:rsidRPr="006831B9">
              <w:rPr>
                <w:rFonts w:ascii="Arial" w:hAnsi="Arial" w:cs="Arial"/>
                <w:color w:val="000000" w:themeColor="text1"/>
                <w:sz w:val="18"/>
                <w:szCs w:val="18"/>
              </w:rPr>
              <w:t>0.05</w:t>
            </w:r>
          </w:p>
        </w:tc>
      </w:tr>
      <w:tr w:rsidR="00976C0A" w:rsidRPr="006831B9" w14:paraId="22D6E00B" w14:textId="77777777" w:rsidTr="0039129A">
        <w:trPr>
          <w:trHeight w:val="280"/>
          <w:jc w:val="center"/>
        </w:trPr>
        <w:tc>
          <w:tcPr>
            <w:tcW w:w="1075" w:type="dxa"/>
            <w:vAlign w:val="center"/>
          </w:tcPr>
          <w:p w14:paraId="4AF217A9" w14:textId="77777777" w:rsidR="00976C0A" w:rsidRPr="006831B9" w:rsidRDefault="00976C0A" w:rsidP="0039129A">
            <w:pPr>
              <w:spacing w:line="276" w:lineRule="auto"/>
              <w:jc w:val="center"/>
              <w:rPr>
                <w:rFonts w:ascii="Arial" w:hAnsi="Arial" w:cs="Arial"/>
                <w:sz w:val="18"/>
                <w:szCs w:val="18"/>
              </w:rPr>
            </w:pPr>
            <w:r w:rsidRPr="006831B9">
              <w:rPr>
                <w:rFonts w:ascii="Arial" w:hAnsi="Arial" w:cs="Arial"/>
                <w:sz w:val="18"/>
                <w:szCs w:val="18"/>
              </w:rPr>
              <w:t>60</w:t>
            </w:r>
          </w:p>
        </w:tc>
        <w:tc>
          <w:tcPr>
            <w:tcW w:w="1040" w:type="dxa"/>
            <w:vAlign w:val="center"/>
          </w:tcPr>
          <w:p w14:paraId="44828A7B" w14:textId="77777777" w:rsidR="00976C0A" w:rsidRPr="006831B9" w:rsidRDefault="00976C0A" w:rsidP="0039129A">
            <w:pPr>
              <w:spacing w:line="276" w:lineRule="auto"/>
              <w:jc w:val="center"/>
              <w:rPr>
                <w:rFonts w:ascii="Arial" w:hAnsi="Arial" w:cs="Arial"/>
                <w:sz w:val="18"/>
                <w:szCs w:val="18"/>
              </w:rPr>
            </w:pPr>
            <w:r w:rsidRPr="006831B9">
              <w:rPr>
                <w:rFonts w:ascii="Arial" w:hAnsi="Arial" w:cs="Arial"/>
                <w:sz w:val="18"/>
                <w:szCs w:val="18"/>
              </w:rPr>
              <w:t>15.7</w:t>
            </w:r>
          </w:p>
        </w:tc>
        <w:tc>
          <w:tcPr>
            <w:tcW w:w="882" w:type="dxa"/>
            <w:vAlign w:val="center"/>
          </w:tcPr>
          <w:p w14:paraId="5F077396" w14:textId="77777777" w:rsidR="00976C0A" w:rsidRPr="006831B9" w:rsidRDefault="00976C0A" w:rsidP="0039129A">
            <w:pPr>
              <w:spacing w:line="276" w:lineRule="auto"/>
              <w:jc w:val="center"/>
              <w:rPr>
                <w:rFonts w:ascii="Arial" w:hAnsi="Arial" w:cs="Arial"/>
                <w:b/>
                <w:bCs/>
                <w:sz w:val="18"/>
                <w:szCs w:val="18"/>
              </w:rPr>
            </w:pPr>
            <w:r w:rsidRPr="006831B9">
              <w:rPr>
                <w:rFonts w:ascii="Arial" w:hAnsi="Arial" w:cs="Arial"/>
                <w:color w:val="000000" w:themeColor="text1"/>
                <w:sz w:val="18"/>
                <w:szCs w:val="18"/>
                <w:lang w:bidi="hi-IN"/>
              </w:rPr>
              <w:t>18.52</w:t>
            </w:r>
          </w:p>
        </w:tc>
        <w:tc>
          <w:tcPr>
            <w:tcW w:w="882" w:type="dxa"/>
            <w:vAlign w:val="center"/>
          </w:tcPr>
          <w:p w14:paraId="3BEA38B4" w14:textId="77777777" w:rsidR="00976C0A" w:rsidRPr="006831B9" w:rsidRDefault="00976C0A" w:rsidP="0039129A">
            <w:pPr>
              <w:spacing w:line="276" w:lineRule="auto"/>
              <w:jc w:val="center"/>
              <w:rPr>
                <w:rFonts w:ascii="Arial" w:hAnsi="Arial" w:cs="Arial"/>
                <w:b/>
                <w:bCs/>
                <w:sz w:val="18"/>
                <w:szCs w:val="18"/>
              </w:rPr>
            </w:pPr>
            <w:r w:rsidRPr="006831B9">
              <w:rPr>
                <w:rFonts w:ascii="Arial" w:hAnsi="Arial" w:cs="Arial"/>
                <w:color w:val="000000" w:themeColor="text1"/>
                <w:sz w:val="18"/>
                <w:szCs w:val="18"/>
                <w:lang w:bidi="hi-IN"/>
              </w:rPr>
              <w:t>28.39</w:t>
            </w:r>
          </w:p>
        </w:tc>
        <w:tc>
          <w:tcPr>
            <w:tcW w:w="870" w:type="dxa"/>
            <w:vAlign w:val="center"/>
          </w:tcPr>
          <w:p w14:paraId="238E2ADB" w14:textId="77777777" w:rsidR="00976C0A" w:rsidRPr="006831B9" w:rsidRDefault="00976C0A" w:rsidP="0039129A">
            <w:pPr>
              <w:spacing w:line="276" w:lineRule="auto"/>
              <w:jc w:val="center"/>
              <w:rPr>
                <w:rFonts w:ascii="Arial" w:hAnsi="Arial" w:cs="Arial"/>
                <w:b/>
                <w:bCs/>
                <w:sz w:val="18"/>
                <w:szCs w:val="18"/>
              </w:rPr>
            </w:pPr>
            <w:r w:rsidRPr="006831B9">
              <w:rPr>
                <w:rFonts w:ascii="Arial" w:hAnsi="Arial" w:cs="Arial"/>
                <w:color w:val="000000" w:themeColor="text1"/>
                <w:sz w:val="18"/>
                <w:szCs w:val="18"/>
              </w:rPr>
              <w:t>35.80</w:t>
            </w:r>
          </w:p>
        </w:tc>
        <w:tc>
          <w:tcPr>
            <w:tcW w:w="882" w:type="dxa"/>
            <w:vAlign w:val="center"/>
          </w:tcPr>
          <w:p w14:paraId="200EE8C1" w14:textId="77777777" w:rsidR="00976C0A" w:rsidRPr="006831B9" w:rsidRDefault="00976C0A" w:rsidP="0039129A">
            <w:pPr>
              <w:spacing w:line="276" w:lineRule="auto"/>
              <w:jc w:val="center"/>
              <w:rPr>
                <w:rFonts w:ascii="Arial" w:hAnsi="Arial" w:cs="Arial"/>
                <w:b/>
                <w:bCs/>
                <w:sz w:val="18"/>
                <w:szCs w:val="18"/>
              </w:rPr>
            </w:pPr>
            <w:r w:rsidRPr="006831B9">
              <w:rPr>
                <w:rFonts w:ascii="Arial" w:hAnsi="Arial" w:cs="Arial"/>
                <w:color w:val="000000" w:themeColor="text1"/>
                <w:sz w:val="18"/>
                <w:szCs w:val="18"/>
              </w:rPr>
              <w:t>43.21</w:t>
            </w:r>
          </w:p>
        </w:tc>
        <w:tc>
          <w:tcPr>
            <w:tcW w:w="946" w:type="dxa"/>
            <w:vAlign w:val="center"/>
          </w:tcPr>
          <w:p w14:paraId="7703FBBE" w14:textId="77777777" w:rsidR="00976C0A" w:rsidRPr="006831B9" w:rsidRDefault="00976C0A" w:rsidP="0039129A">
            <w:pPr>
              <w:spacing w:line="276" w:lineRule="auto"/>
              <w:jc w:val="center"/>
              <w:rPr>
                <w:rFonts w:ascii="Arial" w:hAnsi="Arial" w:cs="Arial"/>
                <w:sz w:val="18"/>
                <w:szCs w:val="18"/>
              </w:rPr>
            </w:pPr>
            <w:r w:rsidRPr="006831B9">
              <w:rPr>
                <w:rFonts w:ascii="Arial" w:hAnsi="Arial" w:cs="Arial"/>
                <w:sz w:val="18"/>
                <w:szCs w:val="18"/>
              </w:rPr>
              <w:t>31.48</w:t>
            </w:r>
          </w:p>
        </w:tc>
        <w:tc>
          <w:tcPr>
            <w:tcW w:w="1049" w:type="dxa"/>
            <w:vAlign w:val="center"/>
          </w:tcPr>
          <w:p w14:paraId="6EDD9ABC" w14:textId="77777777" w:rsidR="00976C0A" w:rsidRPr="006831B9" w:rsidRDefault="00976C0A" w:rsidP="0039129A">
            <w:pPr>
              <w:spacing w:line="276" w:lineRule="auto"/>
              <w:jc w:val="center"/>
              <w:rPr>
                <w:rFonts w:ascii="Arial" w:hAnsi="Arial" w:cs="Arial"/>
                <w:b/>
                <w:bCs/>
                <w:sz w:val="18"/>
                <w:szCs w:val="18"/>
              </w:rPr>
            </w:pPr>
            <w:r w:rsidRPr="006831B9">
              <w:rPr>
                <w:rFonts w:ascii="Arial" w:hAnsi="Arial" w:cs="Arial"/>
                <w:color w:val="000000" w:themeColor="text1"/>
                <w:sz w:val="18"/>
                <w:szCs w:val="18"/>
              </w:rPr>
              <w:t>665.42</w:t>
            </w:r>
          </w:p>
        </w:tc>
        <w:tc>
          <w:tcPr>
            <w:tcW w:w="1554" w:type="dxa"/>
            <w:vAlign w:val="center"/>
          </w:tcPr>
          <w:p w14:paraId="46862218" w14:textId="77777777" w:rsidR="00976C0A" w:rsidRPr="006831B9" w:rsidRDefault="00976C0A" w:rsidP="0039129A">
            <w:pPr>
              <w:spacing w:line="276" w:lineRule="auto"/>
              <w:jc w:val="center"/>
              <w:rPr>
                <w:rFonts w:ascii="Arial" w:hAnsi="Arial" w:cs="Arial"/>
                <w:b/>
                <w:bCs/>
                <w:sz w:val="18"/>
                <w:szCs w:val="18"/>
              </w:rPr>
            </w:pPr>
            <w:r w:rsidRPr="006831B9">
              <w:rPr>
                <w:rFonts w:ascii="Arial" w:hAnsi="Arial" w:cs="Arial"/>
                <w:color w:val="000000" w:themeColor="text1"/>
                <w:sz w:val="18"/>
                <w:szCs w:val="18"/>
              </w:rPr>
              <w:t>0.04</w:t>
            </w:r>
          </w:p>
        </w:tc>
      </w:tr>
      <w:tr w:rsidR="00976C0A" w:rsidRPr="006831B9" w14:paraId="57FE6E5C" w14:textId="77777777" w:rsidTr="0039129A">
        <w:trPr>
          <w:trHeight w:val="260"/>
          <w:jc w:val="center"/>
        </w:trPr>
        <w:tc>
          <w:tcPr>
            <w:tcW w:w="1075" w:type="dxa"/>
            <w:vAlign w:val="center"/>
          </w:tcPr>
          <w:p w14:paraId="285DBA00" w14:textId="77777777" w:rsidR="00976C0A" w:rsidRPr="006831B9" w:rsidRDefault="00976C0A" w:rsidP="0039129A">
            <w:pPr>
              <w:spacing w:line="276" w:lineRule="auto"/>
              <w:jc w:val="center"/>
              <w:rPr>
                <w:rFonts w:ascii="Arial" w:hAnsi="Arial" w:cs="Arial"/>
                <w:b/>
                <w:bCs/>
                <w:sz w:val="18"/>
                <w:szCs w:val="18"/>
                <w:vertAlign w:val="subscript"/>
              </w:rPr>
            </w:pPr>
            <w:r w:rsidRPr="006831B9">
              <w:rPr>
                <w:rFonts w:ascii="Arial" w:hAnsi="Arial" w:cs="Arial"/>
                <w:b/>
                <w:bCs/>
                <w:sz w:val="18"/>
                <w:szCs w:val="18"/>
              </w:rPr>
              <w:t xml:space="preserve">CD </w:t>
            </w:r>
            <w:r w:rsidRPr="006831B9">
              <w:rPr>
                <w:rFonts w:ascii="Arial" w:hAnsi="Arial" w:cs="Arial"/>
                <w:b/>
                <w:bCs/>
                <w:sz w:val="18"/>
                <w:szCs w:val="18"/>
                <w:vertAlign w:val="subscript"/>
              </w:rPr>
              <w:t>(0.05)</w:t>
            </w:r>
          </w:p>
        </w:tc>
        <w:tc>
          <w:tcPr>
            <w:tcW w:w="1040" w:type="dxa"/>
            <w:vAlign w:val="center"/>
          </w:tcPr>
          <w:p w14:paraId="2EB547BA" w14:textId="77777777" w:rsidR="00976C0A" w:rsidRPr="006831B9" w:rsidRDefault="00976C0A" w:rsidP="0039129A">
            <w:pPr>
              <w:spacing w:line="276" w:lineRule="auto"/>
              <w:jc w:val="center"/>
              <w:rPr>
                <w:rFonts w:ascii="Arial" w:hAnsi="Arial" w:cs="Arial"/>
                <w:b/>
                <w:bCs/>
                <w:sz w:val="18"/>
                <w:szCs w:val="18"/>
              </w:rPr>
            </w:pPr>
          </w:p>
        </w:tc>
        <w:tc>
          <w:tcPr>
            <w:tcW w:w="882" w:type="dxa"/>
            <w:vAlign w:val="center"/>
          </w:tcPr>
          <w:p w14:paraId="7B8D671C" w14:textId="77777777" w:rsidR="00976C0A" w:rsidRPr="006831B9" w:rsidRDefault="00976C0A" w:rsidP="0039129A">
            <w:pPr>
              <w:spacing w:line="276" w:lineRule="auto"/>
              <w:jc w:val="center"/>
              <w:rPr>
                <w:rFonts w:ascii="Arial" w:hAnsi="Arial" w:cs="Arial"/>
                <w:b/>
                <w:bCs/>
                <w:sz w:val="18"/>
                <w:szCs w:val="18"/>
              </w:rPr>
            </w:pPr>
            <w:r w:rsidRPr="006831B9">
              <w:rPr>
                <w:rFonts w:ascii="Arial" w:hAnsi="Arial" w:cs="Arial"/>
                <w:color w:val="000000" w:themeColor="text1"/>
                <w:sz w:val="18"/>
                <w:szCs w:val="18"/>
                <w:lang w:bidi="hi-IN"/>
              </w:rPr>
              <w:t>5.66</w:t>
            </w:r>
          </w:p>
        </w:tc>
        <w:tc>
          <w:tcPr>
            <w:tcW w:w="882" w:type="dxa"/>
            <w:vAlign w:val="center"/>
          </w:tcPr>
          <w:p w14:paraId="7AB99461" w14:textId="77777777" w:rsidR="00976C0A" w:rsidRPr="006831B9" w:rsidRDefault="00976C0A" w:rsidP="0039129A">
            <w:pPr>
              <w:spacing w:line="276" w:lineRule="auto"/>
              <w:jc w:val="center"/>
              <w:rPr>
                <w:rFonts w:ascii="Arial" w:hAnsi="Arial" w:cs="Arial"/>
                <w:b/>
                <w:bCs/>
                <w:sz w:val="18"/>
                <w:szCs w:val="18"/>
              </w:rPr>
            </w:pPr>
            <w:r w:rsidRPr="006831B9">
              <w:rPr>
                <w:rFonts w:ascii="Arial" w:hAnsi="Arial" w:cs="Arial"/>
                <w:color w:val="000000" w:themeColor="text1"/>
                <w:sz w:val="18"/>
                <w:szCs w:val="18"/>
                <w:lang w:bidi="hi-IN"/>
              </w:rPr>
              <w:t>7.02</w:t>
            </w:r>
          </w:p>
        </w:tc>
        <w:tc>
          <w:tcPr>
            <w:tcW w:w="870" w:type="dxa"/>
            <w:vAlign w:val="center"/>
          </w:tcPr>
          <w:p w14:paraId="3C7E4D24" w14:textId="77777777" w:rsidR="00976C0A" w:rsidRPr="006831B9" w:rsidRDefault="00976C0A" w:rsidP="0039129A">
            <w:pPr>
              <w:spacing w:line="276" w:lineRule="auto"/>
              <w:jc w:val="center"/>
              <w:rPr>
                <w:rFonts w:ascii="Arial" w:hAnsi="Arial" w:cs="Arial"/>
                <w:b/>
                <w:bCs/>
                <w:sz w:val="18"/>
                <w:szCs w:val="18"/>
              </w:rPr>
            </w:pPr>
            <w:r w:rsidRPr="006831B9">
              <w:rPr>
                <w:rFonts w:ascii="Arial" w:hAnsi="Arial" w:cs="Arial"/>
                <w:color w:val="000000" w:themeColor="text1"/>
                <w:sz w:val="18"/>
                <w:szCs w:val="18"/>
              </w:rPr>
              <w:t>5.88</w:t>
            </w:r>
          </w:p>
        </w:tc>
        <w:tc>
          <w:tcPr>
            <w:tcW w:w="882" w:type="dxa"/>
            <w:vAlign w:val="center"/>
          </w:tcPr>
          <w:p w14:paraId="54623A50" w14:textId="77777777" w:rsidR="00976C0A" w:rsidRPr="006831B9" w:rsidRDefault="00976C0A" w:rsidP="0039129A">
            <w:pPr>
              <w:spacing w:line="276" w:lineRule="auto"/>
              <w:jc w:val="center"/>
              <w:rPr>
                <w:rFonts w:ascii="Arial" w:hAnsi="Arial" w:cs="Arial"/>
                <w:b/>
                <w:bCs/>
                <w:sz w:val="18"/>
                <w:szCs w:val="18"/>
              </w:rPr>
            </w:pPr>
            <w:r w:rsidRPr="006831B9">
              <w:rPr>
                <w:rFonts w:ascii="Arial" w:hAnsi="Arial" w:cs="Arial"/>
                <w:color w:val="000000" w:themeColor="text1"/>
                <w:sz w:val="18"/>
                <w:szCs w:val="18"/>
              </w:rPr>
              <w:t>7.19</w:t>
            </w:r>
          </w:p>
        </w:tc>
        <w:tc>
          <w:tcPr>
            <w:tcW w:w="946" w:type="dxa"/>
            <w:vAlign w:val="center"/>
          </w:tcPr>
          <w:p w14:paraId="5763FFE7" w14:textId="77777777" w:rsidR="00976C0A" w:rsidRPr="006831B9" w:rsidRDefault="00976C0A" w:rsidP="0039129A">
            <w:pPr>
              <w:spacing w:line="276" w:lineRule="auto"/>
              <w:jc w:val="center"/>
              <w:rPr>
                <w:rFonts w:ascii="Arial" w:hAnsi="Arial" w:cs="Arial"/>
                <w:sz w:val="18"/>
                <w:szCs w:val="18"/>
              </w:rPr>
            </w:pPr>
            <w:r w:rsidRPr="006831B9">
              <w:rPr>
                <w:rFonts w:ascii="Arial" w:hAnsi="Arial" w:cs="Arial"/>
                <w:sz w:val="18"/>
                <w:szCs w:val="18"/>
              </w:rPr>
              <w:t>-</w:t>
            </w:r>
          </w:p>
        </w:tc>
        <w:tc>
          <w:tcPr>
            <w:tcW w:w="1049" w:type="dxa"/>
            <w:vAlign w:val="center"/>
          </w:tcPr>
          <w:p w14:paraId="325D2FE3" w14:textId="77777777" w:rsidR="00976C0A" w:rsidRPr="006831B9" w:rsidRDefault="00976C0A" w:rsidP="0039129A">
            <w:pPr>
              <w:spacing w:line="276" w:lineRule="auto"/>
              <w:jc w:val="center"/>
              <w:rPr>
                <w:rFonts w:ascii="Arial" w:hAnsi="Arial" w:cs="Arial"/>
                <w:b/>
                <w:bCs/>
                <w:sz w:val="18"/>
                <w:szCs w:val="18"/>
              </w:rPr>
            </w:pPr>
            <w:r w:rsidRPr="006831B9">
              <w:rPr>
                <w:rFonts w:ascii="Arial" w:hAnsi="Arial" w:cs="Arial"/>
                <w:color w:val="000000" w:themeColor="text1"/>
                <w:sz w:val="18"/>
                <w:szCs w:val="18"/>
              </w:rPr>
              <w:t>93.58</w:t>
            </w:r>
          </w:p>
        </w:tc>
        <w:tc>
          <w:tcPr>
            <w:tcW w:w="1554" w:type="dxa"/>
            <w:vAlign w:val="center"/>
          </w:tcPr>
          <w:p w14:paraId="3C02F1AE" w14:textId="77777777" w:rsidR="00976C0A" w:rsidRPr="006831B9" w:rsidRDefault="00976C0A" w:rsidP="0039129A">
            <w:pPr>
              <w:spacing w:line="276" w:lineRule="auto"/>
              <w:jc w:val="center"/>
              <w:rPr>
                <w:rFonts w:ascii="Arial" w:hAnsi="Arial" w:cs="Arial"/>
                <w:b/>
                <w:bCs/>
                <w:sz w:val="18"/>
                <w:szCs w:val="18"/>
              </w:rPr>
            </w:pPr>
            <w:r w:rsidRPr="006831B9">
              <w:rPr>
                <w:rFonts w:ascii="Arial" w:hAnsi="Arial" w:cs="Arial"/>
                <w:color w:val="000000" w:themeColor="text1"/>
                <w:sz w:val="18"/>
                <w:szCs w:val="18"/>
              </w:rPr>
              <w:t>0.01</w:t>
            </w:r>
          </w:p>
        </w:tc>
      </w:tr>
      <w:tr w:rsidR="00976C0A" w:rsidRPr="006831B9" w14:paraId="614E5414" w14:textId="77777777" w:rsidTr="0039129A">
        <w:trPr>
          <w:trHeight w:val="242"/>
          <w:jc w:val="center"/>
        </w:trPr>
        <w:tc>
          <w:tcPr>
            <w:tcW w:w="1075" w:type="dxa"/>
            <w:vAlign w:val="center"/>
          </w:tcPr>
          <w:p w14:paraId="56DCAA91" w14:textId="77777777" w:rsidR="00976C0A" w:rsidRPr="006831B9" w:rsidRDefault="00976C0A" w:rsidP="0039129A">
            <w:pPr>
              <w:spacing w:line="276" w:lineRule="auto"/>
              <w:jc w:val="center"/>
              <w:rPr>
                <w:rFonts w:ascii="Arial" w:hAnsi="Arial" w:cs="Arial"/>
                <w:b/>
                <w:bCs/>
                <w:sz w:val="18"/>
                <w:szCs w:val="18"/>
              </w:rPr>
            </w:pPr>
            <w:r w:rsidRPr="006831B9">
              <w:rPr>
                <w:rFonts w:ascii="Arial" w:hAnsi="Arial" w:cs="Arial"/>
                <w:b/>
                <w:bCs/>
                <w:sz w:val="18"/>
                <w:szCs w:val="18"/>
              </w:rPr>
              <w:t>SE (d)</w:t>
            </w:r>
          </w:p>
        </w:tc>
        <w:tc>
          <w:tcPr>
            <w:tcW w:w="1040" w:type="dxa"/>
            <w:vAlign w:val="center"/>
          </w:tcPr>
          <w:p w14:paraId="6A887323" w14:textId="77777777" w:rsidR="00976C0A" w:rsidRPr="006831B9" w:rsidRDefault="00976C0A" w:rsidP="0039129A">
            <w:pPr>
              <w:spacing w:line="276" w:lineRule="auto"/>
              <w:jc w:val="center"/>
              <w:rPr>
                <w:rFonts w:ascii="Arial" w:hAnsi="Arial" w:cs="Arial"/>
                <w:b/>
                <w:bCs/>
                <w:sz w:val="18"/>
                <w:szCs w:val="18"/>
              </w:rPr>
            </w:pPr>
          </w:p>
        </w:tc>
        <w:tc>
          <w:tcPr>
            <w:tcW w:w="882" w:type="dxa"/>
            <w:vAlign w:val="center"/>
          </w:tcPr>
          <w:p w14:paraId="0FB5E63A" w14:textId="77777777" w:rsidR="00976C0A" w:rsidRPr="006831B9" w:rsidRDefault="00976C0A" w:rsidP="0039129A">
            <w:pPr>
              <w:spacing w:line="276" w:lineRule="auto"/>
              <w:jc w:val="center"/>
              <w:rPr>
                <w:rFonts w:ascii="Arial" w:hAnsi="Arial" w:cs="Arial"/>
                <w:b/>
                <w:bCs/>
                <w:sz w:val="18"/>
                <w:szCs w:val="18"/>
              </w:rPr>
            </w:pPr>
            <w:r w:rsidRPr="006831B9">
              <w:rPr>
                <w:rFonts w:ascii="Arial" w:hAnsi="Arial" w:cs="Arial"/>
                <w:color w:val="000000" w:themeColor="text1"/>
                <w:sz w:val="18"/>
                <w:szCs w:val="18"/>
                <w:lang w:bidi="hi-IN"/>
              </w:rPr>
              <w:t>2.57</w:t>
            </w:r>
          </w:p>
        </w:tc>
        <w:tc>
          <w:tcPr>
            <w:tcW w:w="882" w:type="dxa"/>
            <w:vAlign w:val="center"/>
          </w:tcPr>
          <w:p w14:paraId="504DF0BF" w14:textId="77777777" w:rsidR="00976C0A" w:rsidRPr="006831B9" w:rsidRDefault="00976C0A" w:rsidP="0039129A">
            <w:pPr>
              <w:spacing w:line="276" w:lineRule="auto"/>
              <w:jc w:val="center"/>
              <w:rPr>
                <w:rFonts w:ascii="Arial" w:hAnsi="Arial" w:cs="Arial"/>
                <w:b/>
                <w:bCs/>
                <w:sz w:val="18"/>
                <w:szCs w:val="18"/>
              </w:rPr>
            </w:pPr>
            <w:r w:rsidRPr="006831B9">
              <w:rPr>
                <w:rFonts w:ascii="Arial" w:hAnsi="Arial" w:cs="Arial"/>
                <w:color w:val="000000" w:themeColor="text1"/>
                <w:sz w:val="18"/>
                <w:szCs w:val="18"/>
                <w:lang w:bidi="hi-IN"/>
              </w:rPr>
              <w:t>3.19</w:t>
            </w:r>
          </w:p>
        </w:tc>
        <w:tc>
          <w:tcPr>
            <w:tcW w:w="870" w:type="dxa"/>
            <w:vAlign w:val="center"/>
          </w:tcPr>
          <w:p w14:paraId="5919B9A2" w14:textId="77777777" w:rsidR="00976C0A" w:rsidRPr="006831B9" w:rsidRDefault="00976C0A" w:rsidP="0039129A">
            <w:pPr>
              <w:spacing w:line="276" w:lineRule="auto"/>
              <w:jc w:val="center"/>
              <w:rPr>
                <w:rFonts w:ascii="Arial" w:hAnsi="Arial" w:cs="Arial"/>
                <w:b/>
                <w:bCs/>
                <w:sz w:val="18"/>
                <w:szCs w:val="18"/>
              </w:rPr>
            </w:pPr>
            <w:r w:rsidRPr="006831B9">
              <w:rPr>
                <w:rFonts w:ascii="Arial" w:hAnsi="Arial" w:cs="Arial"/>
                <w:color w:val="000000" w:themeColor="text1"/>
                <w:sz w:val="18"/>
                <w:szCs w:val="18"/>
              </w:rPr>
              <w:t>2.67</w:t>
            </w:r>
          </w:p>
        </w:tc>
        <w:tc>
          <w:tcPr>
            <w:tcW w:w="882" w:type="dxa"/>
            <w:vAlign w:val="center"/>
          </w:tcPr>
          <w:p w14:paraId="4AF36B6B" w14:textId="77777777" w:rsidR="00976C0A" w:rsidRPr="006831B9" w:rsidRDefault="00976C0A" w:rsidP="0039129A">
            <w:pPr>
              <w:spacing w:line="276" w:lineRule="auto"/>
              <w:jc w:val="center"/>
              <w:rPr>
                <w:rFonts w:ascii="Arial" w:hAnsi="Arial" w:cs="Arial"/>
                <w:b/>
                <w:bCs/>
                <w:sz w:val="18"/>
                <w:szCs w:val="18"/>
              </w:rPr>
            </w:pPr>
            <w:r w:rsidRPr="006831B9">
              <w:rPr>
                <w:rFonts w:ascii="Arial" w:hAnsi="Arial" w:cs="Arial"/>
                <w:color w:val="000000" w:themeColor="text1"/>
                <w:sz w:val="18"/>
                <w:szCs w:val="18"/>
              </w:rPr>
              <w:t>3.26</w:t>
            </w:r>
          </w:p>
        </w:tc>
        <w:tc>
          <w:tcPr>
            <w:tcW w:w="946" w:type="dxa"/>
            <w:vAlign w:val="center"/>
          </w:tcPr>
          <w:p w14:paraId="776CD377" w14:textId="77777777" w:rsidR="00976C0A" w:rsidRPr="006831B9" w:rsidRDefault="00976C0A" w:rsidP="0039129A">
            <w:pPr>
              <w:spacing w:line="276" w:lineRule="auto"/>
              <w:jc w:val="center"/>
              <w:rPr>
                <w:rFonts w:ascii="Arial" w:hAnsi="Arial" w:cs="Arial"/>
                <w:sz w:val="18"/>
                <w:szCs w:val="18"/>
              </w:rPr>
            </w:pPr>
            <w:r w:rsidRPr="006831B9">
              <w:rPr>
                <w:rFonts w:ascii="Arial" w:hAnsi="Arial" w:cs="Arial"/>
                <w:sz w:val="18"/>
                <w:szCs w:val="18"/>
              </w:rPr>
              <w:t>-</w:t>
            </w:r>
          </w:p>
        </w:tc>
        <w:tc>
          <w:tcPr>
            <w:tcW w:w="1049" w:type="dxa"/>
            <w:vAlign w:val="center"/>
          </w:tcPr>
          <w:p w14:paraId="24F97624" w14:textId="77777777" w:rsidR="00976C0A" w:rsidRPr="006831B9" w:rsidRDefault="00976C0A" w:rsidP="0039129A">
            <w:pPr>
              <w:spacing w:line="276" w:lineRule="auto"/>
              <w:jc w:val="center"/>
              <w:rPr>
                <w:rFonts w:ascii="Arial" w:hAnsi="Arial" w:cs="Arial"/>
                <w:b/>
                <w:bCs/>
                <w:sz w:val="18"/>
                <w:szCs w:val="18"/>
              </w:rPr>
            </w:pPr>
            <w:r w:rsidRPr="006831B9">
              <w:rPr>
                <w:rFonts w:ascii="Arial" w:hAnsi="Arial" w:cs="Arial"/>
                <w:color w:val="000000" w:themeColor="text1"/>
                <w:sz w:val="18"/>
                <w:szCs w:val="18"/>
              </w:rPr>
              <w:t>42.48</w:t>
            </w:r>
          </w:p>
        </w:tc>
        <w:tc>
          <w:tcPr>
            <w:tcW w:w="1554" w:type="dxa"/>
            <w:vAlign w:val="center"/>
          </w:tcPr>
          <w:p w14:paraId="11360AF0" w14:textId="77777777" w:rsidR="00976C0A" w:rsidRPr="006831B9" w:rsidRDefault="00976C0A" w:rsidP="0039129A">
            <w:pPr>
              <w:spacing w:line="276" w:lineRule="auto"/>
              <w:jc w:val="center"/>
              <w:rPr>
                <w:rFonts w:ascii="Arial" w:hAnsi="Arial" w:cs="Arial"/>
                <w:b/>
                <w:bCs/>
                <w:sz w:val="18"/>
                <w:szCs w:val="18"/>
              </w:rPr>
            </w:pPr>
            <w:r w:rsidRPr="006831B9">
              <w:rPr>
                <w:rFonts w:ascii="Arial" w:hAnsi="Arial" w:cs="Arial"/>
                <w:color w:val="000000" w:themeColor="text1"/>
                <w:sz w:val="18"/>
                <w:szCs w:val="18"/>
              </w:rPr>
              <w:t>0.008</w:t>
            </w:r>
          </w:p>
        </w:tc>
      </w:tr>
    </w:tbl>
    <w:p w14:paraId="2AB42670" w14:textId="17A015BA" w:rsidR="0099465C" w:rsidRPr="006831B9" w:rsidRDefault="00976C0A" w:rsidP="00976C0A">
      <w:pPr>
        <w:spacing w:after="240" w:line="276" w:lineRule="auto"/>
        <w:jc w:val="both"/>
        <w:rPr>
          <w:rFonts w:ascii="Arial" w:hAnsi="Arial" w:cs="Arial"/>
          <w:sz w:val="18"/>
          <w:szCs w:val="18"/>
        </w:rPr>
      </w:pPr>
      <w:r w:rsidRPr="006831B9">
        <w:rPr>
          <w:rFonts w:ascii="Arial" w:hAnsi="Arial" w:cs="Arial"/>
          <w:b/>
          <w:bCs/>
          <w:sz w:val="18"/>
          <w:szCs w:val="18"/>
        </w:rPr>
        <w:t xml:space="preserve">   </w:t>
      </w:r>
      <w:r w:rsidRPr="006831B9">
        <w:rPr>
          <w:rFonts w:ascii="Arial" w:hAnsi="Arial" w:cs="Arial"/>
          <w:sz w:val="18"/>
          <w:szCs w:val="18"/>
        </w:rPr>
        <w:t xml:space="preserve">DAS- Days after sowing </w:t>
      </w:r>
    </w:p>
    <w:p w14:paraId="65B2C353" w14:textId="0E2E73D5" w:rsidR="00976C0A" w:rsidRPr="006831B9" w:rsidRDefault="00976C0A" w:rsidP="00847FD5">
      <w:pPr>
        <w:spacing w:after="0" w:line="360" w:lineRule="auto"/>
        <w:jc w:val="both"/>
        <w:rPr>
          <w:rFonts w:ascii="Arial" w:hAnsi="Arial" w:cs="Arial"/>
          <w:b/>
          <w:bCs/>
          <w:sz w:val="22"/>
          <w:szCs w:val="22"/>
        </w:rPr>
      </w:pPr>
      <w:r w:rsidRPr="006831B9">
        <w:rPr>
          <w:rFonts w:ascii="Arial" w:hAnsi="Arial" w:cs="Arial"/>
          <w:b/>
          <w:bCs/>
          <w:sz w:val="22"/>
          <w:szCs w:val="22"/>
        </w:rPr>
        <w:t>3.2 Age of pathogen culture</w:t>
      </w:r>
    </w:p>
    <w:p w14:paraId="522B2BC4" w14:textId="01F1805A" w:rsidR="00976C0A" w:rsidRPr="00847FD5" w:rsidRDefault="00976C0A" w:rsidP="00847FD5">
      <w:pPr>
        <w:spacing w:after="0" w:line="360" w:lineRule="auto"/>
        <w:ind w:firstLine="720"/>
        <w:jc w:val="both"/>
        <w:rPr>
          <w:rFonts w:ascii="Arial" w:hAnsi="Arial" w:cs="Arial"/>
          <w:sz w:val="20"/>
          <w:szCs w:val="20"/>
        </w:rPr>
      </w:pPr>
      <w:r w:rsidRPr="00847FD5">
        <w:rPr>
          <w:rFonts w:ascii="Arial" w:hAnsi="Arial" w:cs="Arial"/>
          <w:sz w:val="20"/>
          <w:szCs w:val="20"/>
        </w:rPr>
        <w:t>To study the impact of culture age of pathogen on the development of brown spot disease in maize, an experiment was conducted in pots with 7, 14, 21, 28 and 35-days old pathogen culture maintained on CMA</w:t>
      </w:r>
      <w:r w:rsidR="008907B3" w:rsidRPr="00847FD5">
        <w:rPr>
          <w:rFonts w:ascii="Arial" w:hAnsi="Arial" w:cs="Arial"/>
          <w:sz w:val="20"/>
          <w:szCs w:val="20"/>
        </w:rPr>
        <w:t>, TYG and PYG</w:t>
      </w:r>
      <w:r w:rsidRPr="00847FD5">
        <w:rPr>
          <w:rFonts w:ascii="Arial" w:hAnsi="Arial" w:cs="Arial"/>
          <w:sz w:val="20"/>
          <w:szCs w:val="20"/>
        </w:rPr>
        <w:t xml:space="preserve">. Susceptible variety was sown in pots and thirty-five days old maize plants were inoculated with pathogen culture of different age. It is apparent from the data that the pathogen virulence, as reflected by the incubation period, disease severity, AUDPC and apparent rate of infection varied considerably with the age of pathogen culture. The data from Table </w:t>
      </w:r>
      <w:r w:rsidR="00847FD5">
        <w:rPr>
          <w:rFonts w:ascii="Arial" w:hAnsi="Arial" w:cs="Arial"/>
          <w:sz w:val="20"/>
          <w:szCs w:val="20"/>
        </w:rPr>
        <w:t>3</w:t>
      </w:r>
      <w:r w:rsidRPr="00847FD5">
        <w:rPr>
          <w:rFonts w:ascii="Arial" w:hAnsi="Arial" w:cs="Arial"/>
          <w:sz w:val="20"/>
          <w:szCs w:val="20"/>
        </w:rPr>
        <w:t xml:space="preserve"> revealed that 14-days old culture found most virulent with highest average disease index (26.85%) and shortest average incubation period (14.7 days) along with maximum AUDPC and apparent infection rate of 557.41 and 0.04 r/day, respectively. An average disease index of 23.15 and 22.53 per cent was recorded in plants inoculated with 21 and 7-days old culture, respectively, along with corresponding AUDPC values of 479.60 &amp; 470.97 and infection rate of 0.04 &amp; 0.05 r/day, indicating that the 21-days old culture was the second most effective. Minimum average disease index of 15.12 per cent along with AUDPC (311.11) and infection rate (0.07 r/day) was recorded with 35-days old pathogen culture. Pathogen culture older than 21-days (upto 35-days) indicated successive reduced virulence as evident from delayed disease appearance and slow disease progress.</w:t>
      </w:r>
    </w:p>
    <w:p w14:paraId="1C7294E1" w14:textId="55AD2FC5" w:rsidR="008907B3" w:rsidRPr="00847FD5" w:rsidRDefault="008907B3" w:rsidP="00847FD5">
      <w:pPr>
        <w:spacing w:after="0" w:line="360" w:lineRule="auto"/>
        <w:ind w:firstLine="720"/>
        <w:jc w:val="both"/>
        <w:rPr>
          <w:rFonts w:ascii="Arial" w:hAnsi="Arial" w:cs="Arial"/>
          <w:sz w:val="20"/>
          <w:szCs w:val="20"/>
        </w:rPr>
      </w:pPr>
      <w:r w:rsidRPr="00847FD5">
        <w:rPr>
          <w:rFonts w:ascii="Arial" w:hAnsi="Arial" w:cs="Arial"/>
          <w:sz w:val="20"/>
          <w:szCs w:val="20"/>
        </w:rPr>
        <w:t xml:space="preserve">These findings clearly indicated that physiological age of the pathogen plays a crucial role in disease establishment and progression. The 14-days old culture was identified as the most suitable for inducing consistent and severe brown spot symptoms in maize. Similar results were reported by Nasrin et al. (2018) reported that conidial production and viability of </w:t>
      </w:r>
      <w:r w:rsidRPr="00847FD5">
        <w:rPr>
          <w:rFonts w:ascii="Arial" w:hAnsi="Arial" w:cs="Arial"/>
          <w:i/>
          <w:iCs/>
          <w:sz w:val="20"/>
          <w:szCs w:val="20"/>
        </w:rPr>
        <w:t xml:space="preserve">Bipolaris sorokiniana </w:t>
      </w:r>
      <w:r w:rsidRPr="00847FD5">
        <w:rPr>
          <w:rFonts w:ascii="Arial" w:hAnsi="Arial" w:cs="Arial"/>
          <w:sz w:val="20"/>
          <w:szCs w:val="20"/>
        </w:rPr>
        <w:t>peaks around 10-12 days, highest at 14 days old culture, whereas, beyond this age, spore germination rate declines, directly reducing the infection efficiency.  Deep et al. (2020) reported that bacterial leaf blight in rice pathogen (</w:t>
      </w:r>
      <w:r w:rsidRPr="00847FD5">
        <w:rPr>
          <w:rFonts w:ascii="Arial" w:hAnsi="Arial" w:cs="Arial"/>
          <w:i/>
          <w:iCs/>
          <w:sz w:val="20"/>
          <w:szCs w:val="20"/>
        </w:rPr>
        <w:t xml:space="preserve">Xanthomonas oryzae </w:t>
      </w:r>
      <w:r w:rsidRPr="00847FD5">
        <w:rPr>
          <w:rFonts w:ascii="Arial" w:hAnsi="Arial" w:cs="Arial"/>
          <w:sz w:val="20"/>
          <w:szCs w:val="20"/>
        </w:rPr>
        <w:t xml:space="preserve">pv. </w:t>
      </w:r>
      <w:r w:rsidRPr="00847FD5">
        <w:rPr>
          <w:rFonts w:ascii="Arial" w:hAnsi="Arial" w:cs="Arial"/>
          <w:i/>
          <w:iCs/>
          <w:sz w:val="20"/>
          <w:szCs w:val="20"/>
        </w:rPr>
        <w:t>oryzae</w:t>
      </w:r>
      <w:r w:rsidRPr="00847FD5">
        <w:rPr>
          <w:rFonts w:ascii="Arial" w:hAnsi="Arial" w:cs="Arial"/>
          <w:sz w:val="20"/>
          <w:szCs w:val="20"/>
        </w:rPr>
        <w:t xml:space="preserve">) were most effective when the culture was 36 to 48 hours old. Using culture older than 72 hours leads to significant drop in disease severity.  </w:t>
      </w:r>
    </w:p>
    <w:p w14:paraId="10B2E6B6" w14:textId="1D21BE9E" w:rsidR="008907B3" w:rsidRPr="00847FD5" w:rsidRDefault="008907B3" w:rsidP="00847FD5">
      <w:pPr>
        <w:tabs>
          <w:tab w:val="left" w:pos="0"/>
        </w:tabs>
        <w:spacing w:after="0" w:line="276" w:lineRule="auto"/>
        <w:jc w:val="both"/>
        <w:rPr>
          <w:rFonts w:ascii="Arial" w:hAnsi="Arial" w:cs="Arial"/>
          <w:b/>
          <w:bCs/>
          <w:sz w:val="18"/>
          <w:szCs w:val="18"/>
        </w:rPr>
      </w:pPr>
      <w:r w:rsidRPr="00847FD5">
        <w:rPr>
          <w:rFonts w:ascii="Arial" w:hAnsi="Arial" w:cs="Arial"/>
          <w:b/>
          <w:bCs/>
          <w:sz w:val="18"/>
          <w:szCs w:val="18"/>
        </w:rPr>
        <w:t xml:space="preserve">Table </w:t>
      </w:r>
      <w:r w:rsidR="00847FD5" w:rsidRPr="00847FD5">
        <w:rPr>
          <w:rFonts w:ascii="Arial" w:hAnsi="Arial" w:cs="Arial"/>
          <w:b/>
          <w:bCs/>
          <w:sz w:val="18"/>
          <w:szCs w:val="18"/>
        </w:rPr>
        <w:t>3:</w:t>
      </w:r>
      <w:r w:rsidRPr="00847FD5">
        <w:rPr>
          <w:rFonts w:ascii="Arial" w:hAnsi="Arial" w:cs="Arial"/>
          <w:b/>
          <w:bCs/>
          <w:sz w:val="18"/>
          <w:szCs w:val="18"/>
        </w:rPr>
        <w:t xml:space="preserve"> Effect of age of culture of </w:t>
      </w:r>
      <w:r w:rsidRPr="00847FD5">
        <w:rPr>
          <w:rFonts w:ascii="Arial" w:hAnsi="Arial" w:cs="Arial"/>
          <w:b/>
          <w:bCs/>
          <w:i/>
          <w:iCs/>
          <w:sz w:val="18"/>
          <w:szCs w:val="18"/>
        </w:rPr>
        <w:t>Physoderma maydis</w:t>
      </w:r>
      <w:r w:rsidRPr="00847FD5">
        <w:rPr>
          <w:rFonts w:ascii="Arial" w:hAnsi="Arial" w:cs="Arial"/>
          <w:b/>
          <w:bCs/>
          <w:sz w:val="18"/>
          <w:szCs w:val="18"/>
        </w:rPr>
        <w:t xml:space="preserve"> on the development of brown spot of maize</w:t>
      </w:r>
    </w:p>
    <w:tbl>
      <w:tblPr>
        <w:tblStyle w:val="TableGrid"/>
        <w:tblW w:w="9005" w:type="dxa"/>
        <w:jc w:val="center"/>
        <w:tblLook w:val="04A0" w:firstRow="1" w:lastRow="0" w:firstColumn="1" w:lastColumn="0" w:noHBand="0" w:noVBand="1"/>
      </w:tblPr>
      <w:tblGrid>
        <w:gridCol w:w="985"/>
        <w:gridCol w:w="1350"/>
        <w:gridCol w:w="810"/>
        <w:gridCol w:w="810"/>
        <w:gridCol w:w="900"/>
        <w:gridCol w:w="990"/>
        <w:gridCol w:w="900"/>
        <w:gridCol w:w="1080"/>
        <w:gridCol w:w="1180"/>
      </w:tblGrid>
      <w:tr w:rsidR="008907B3" w:rsidRPr="00847FD5" w14:paraId="3F979D13" w14:textId="77777777" w:rsidTr="0039129A">
        <w:trPr>
          <w:trHeight w:val="551"/>
          <w:jc w:val="center"/>
        </w:trPr>
        <w:tc>
          <w:tcPr>
            <w:tcW w:w="985" w:type="dxa"/>
            <w:vMerge w:val="restart"/>
            <w:vAlign w:val="center"/>
          </w:tcPr>
          <w:p w14:paraId="3A497DB4" w14:textId="77777777" w:rsidR="008907B3" w:rsidRPr="00847FD5" w:rsidRDefault="008907B3" w:rsidP="0039129A">
            <w:pPr>
              <w:jc w:val="center"/>
              <w:rPr>
                <w:rFonts w:ascii="Arial" w:hAnsi="Arial" w:cs="Arial"/>
                <w:b/>
                <w:bCs/>
                <w:sz w:val="18"/>
                <w:szCs w:val="18"/>
              </w:rPr>
            </w:pPr>
            <w:r w:rsidRPr="00847FD5">
              <w:rPr>
                <w:rFonts w:ascii="Arial" w:hAnsi="Arial" w:cs="Arial"/>
                <w:b/>
                <w:bCs/>
                <w:sz w:val="18"/>
                <w:szCs w:val="18"/>
              </w:rPr>
              <w:t>Age of culture (days)</w:t>
            </w:r>
          </w:p>
        </w:tc>
        <w:tc>
          <w:tcPr>
            <w:tcW w:w="1350" w:type="dxa"/>
            <w:vMerge w:val="restart"/>
            <w:vAlign w:val="center"/>
          </w:tcPr>
          <w:p w14:paraId="306834F6" w14:textId="77777777" w:rsidR="008907B3" w:rsidRPr="00847FD5" w:rsidRDefault="008907B3" w:rsidP="0039129A">
            <w:pPr>
              <w:jc w:val="center"/>
              <w:rPr>
                <w:rFonts w:ascii="Arial" w:hAnsi="Arial" w:cs="Arial"/>
                <w:b/>
                <w:bCs/>
                <w:sz w:val="18"/>
                <w:szCs w:val="18"/>
              </w:rPr>
            </w:pPr>
            <w:r w:rsidRPr="00847FD5">
              <w:rPr>
                <w:rFonts w:ascii="Arial" w:hAnsi="Arial" w:cs="Arial"/>
                <w:b/>
                <w:bCs/>
                <w:sz w:val="18"/>
                <w:szCs w:val="18"/>
              </w:rPr>
              <w:t>Incubation period (days)</w:t>
            </w:r>
          </w:p>
        </w:tc>
        <w:tc>
          <w:tcPr>
            <w:tcW w:w="4410" w:type="dxa"/>
            <w:gridSpan w:val="5"/>
            <w:vAlign w:val="center"/>
          </w:tcPr>
          <w:p w14:paraId="28C4A1A7" w14:textId="77777777" w:rsidR="008907B3" w:rsidRPr="00847FD5" w:rsidRDefault="008907B3" w:rsidP="0039129A">
            <w:pPr>
              <w:jc w:val="center"/>
              <w:rPr>
                <w:rFonts w:ascii="Arial" w:hAnsi="Arial" w:cs="Arial"/>
                <w:b/>
                <w:bCs/>
                <w:sz w:val="18"/>
                <w:szCs w:val="18"/>
              </w:rPr>
            </w:pPr>
            <w:r w:rsidRPr="00847FD5">
              <w:rPr>
                <w:rFonts w:ascii="Arial" w:hAnsi="Arial" w:cs="Arial"/>
                <w:b/>
                <w:bCs/>
                <w:sz w:val="18"/>
                <w:szCs w:val="18"/>
              </w:rPr>
              <w:t>Disease index (%) after disease appearance</w:t>
            </w:r>
          </w:p>
        </w:tc>
        <w:tc>
          <w:tcPr>
            <w:tcW w:w="1080" w:type="dxa"/>
            <w:vMerge w:val="restart"/>
            <w:vAlign w:val="center"/>
          </w:tcPr>
          <w:p w14:paraId="1A7A46CE" w14:textId="77777777" w:rsidR="008907B3" w:rsidRPr="00847FD5" w:rsidRDefault="008907B3" w:rsidP="0039129A">
            <w:pPr>
              <w:jc w:val="center"/>
              <w:rPr>
                <w:rFonts w:ascii="Arial" w:hAnsi="Arial" w:cs="Arial"/>
                <w:b/>
                <w:bCs/>
                <w:sz w:val="18"/>
                <w:szCs w:val="18"/>
              </w:rPr>
            </w:pPr>
            <w:r w:rsidRPr="00847FD5">
              <w:rPr>
                <w:rFonts w:ascii="Arial" w:hAnsi="Arial" w:cs="Arial"/>
                <w:b/>
                <w:bCs/>
                <w:sz w:val="18"/>
                <w:szCs w:val="18"/>
              </w:rPr>
              <w:t>AUDPC</w:t>
            </w:r>
          </w:p>
        </w:tc>
        <w:tc>
          <w:tcPr>
            <w:tcW w:w="1180" w:type="dxa"/>
            <w:vMerge w:val="restart"/>
            <w:vAlign w:val="center"/>
          </w:tcPr>
          <w:p w14:paraId="5FFB1D15" w14:textId="77777777" w:rsidR="008907B3" w:rsidRPr="00847FD5" w:rsidRDefault="008907B3" w:rsidP="0039129A">
            <w:pPr>
              <w:jc w:val="center"/>
              <w:rPr>
                <w:rFonts w:ascii="Arial" w:hAnsi="Arial" w:cs="Arial"/>
                <w:b/>
                <w:bCs/>
                <w:sz w:val="18"/>
                <w:szCs w:val="18"/>
              </w:rPr>
            </w:pPr>
            <w:r w:rsidRPr="00847FD5">
              <w:rPr>
                <w:rFonts w:ascii="Arial" w:hAnsi="Arial" w:cs="Arial"/>
                <w:b/>
                <w:bCs/>
                <w:sz w:val="18"/>
                <w:szCs w:val="18"/>
              </w:rPr>
              <w:t>Apparent rate of infection (r/day)</w:t>
            </w:r>
          </w:p>
        </w:tc>
      </w:tr>
      <w:tr w:rsidR="008907B3" w:rsidRPr="00847FD5" w14:paraId="33BCC8D2" w14:textId="77777777" w:rsidTr="0039129A">
        <w:trPr>
          <w:trHeight w:val="144"/>
          <w:jc w:val="center"/>
        </w:trPr>
        <w:tc>
          <w:tcPr>
            <w:tcW w:w="985" w:type="dxa"/>
            <w:vMerge/>
            <w:vAlign w:val="center"/>
          </w:tcPr>
          <w:p w14:paraId="3671B1B4" w14:textId="77777777" w:rsidR="008907B3" w:rsidRPr="00847FD5" w:rsidRDefault="008907B3" w:rsidP="0039129A">
            <w:pPr>
              <w:jc w:val="center"/>
              <w:rPr>
                <w:rFonts w:ascii="Arial" w:hAnsi="Arial" w:cs="Arial"/>
                <w:b/>
                <w:bCs/>
                <w:sz w:val="18"/>
                <w:szCs w:val="18"/>
              </w:rPr>
            </w:pPr>
          </w:p>
        </w:tc>
        <w:tc>
          <w:tcPr>
            <w:tcW w:w="1350" w:type="dxa"/>
            <w:vMerge/>
            <w:vAlign w:val="center"/>
          </w:tcPr>
          <w:p w14:paraId="42BB0B06" w14:textId="77777777" w:rsidR="008907B3" w:rsidRPr="00847FD5" w:rsidRDefault="008907B3" w:rsidP="0039129A">
            <w:pPr>
              <w:jc w:val="center"/>
              <w:rPr>
                <w:rFonts w:ascii="Arial" w:hAnsi="Arial" w:cs="Arial"/>
                <w:b/>
                <w:bCs/>
                <w:sz w:val="18"/>
                <w:szCs w:val="18"/>
              </w:rPr>
            </w:pPr>
          </w:p>
        </w:tc>
        <w:tc>
          <w:tcPr>
            <w:tcW w:w="810" w:type="dxa"/>
            <w:vAlign w:val="center"/>
          </w:tcPr>
          <w:p w14:paraId="1CA2CDB5" w14:textId="77777777" w:rsidR="008907B3" w:rsidRPr="00847FD5" w:rsidRDefault="008907B3" w:rsidP="0039129A">
            <w:pPr>
              <w:jc w:val="center"/>
              <w:rPr>
                <w:rFonts w:ascii="Arial" w:hAnsi="Arial" w:cs="Arial"/>
                <w:b/>
                <w:bCs/>
                <w:sz w:val="18"/>
                <w:szCs w:val="18"/>
              </w:rPr>
            </w:pPr>
            <w:r w:rsidRPr="00847FD5">
              <w:rPr>
                <w:rFonts w:ascii="Arial" w:hAnsi="Arial" w:cs="Arial"/>
                <w:b/>
                <w:bCs/>
                <w:sz w:val="18"/>
                <w:szCs w:val="18"/>
              </w:rPr>
              <w:t>7</w:t>
            </w:r>
          </w:p>
        </w:tc>
        <w:tc>
          <w:tcPr>
            <w:tcW w:w="810" w:type="dxa"/>
            <w:vAlign w:val="center"/>
          </w:tcPr>
          <w:p w14:paraId="2CBA5B24" w14:textId="77777777" w:rsidR="008907B3" w:rsidRPr="00847FD5" w:rsidRDefault="008907B3" w:rsidP="0039129A">
            <w:pPr>
              <w:jc w:val="center"/>
              <w:rPr>
                <w:rFonts w:ascii="Arial" w:hAnsi="Arial" w:cs="Arial"/>
                <w:b/>
                <w:bCs/>
                <w:sz w:val="18"/>
                <w:szCs w:val="18"/>
              </w:rPr>
            </w:pPr>
            <w:r w:rsidRPr="00847FD5">
              <w:rPr>
                <w:rFonts w:ascii="Arial" w:hAnsi="Arial" w:cs="Arial"/>
                <w:b/>
                <w:bCs/>
                <w:sz w:val="18"/>
                <w:szCs w:val="18"/>
              </w:rPr>
              <w:t>14</w:t>
            </w:r>
          </w:p>
        </w:tc>
        <w:tc>
          <w:tcPr>
            <w:tcW w:w="900" w:type="dxa"/>
            <w:vAlign w:val="center"/>
          </w:tcPr>
          <w:p w14:paraId="04474B60" w14:textId="77777777" w:rsidR="008907B3" w:rsidRPr="00847FD5" w:rsidRDefault="008907B3" w:rsidP="0039129A">
            <w:pPr>
              <w:jc w:val="center"/>
              <w:rPr>
                <w:rFonts w:ascii="Arial" w:hAnsi="Arial" w:cs="Arial"/>
                <w:b/>
                <w:bCs/>
                <w:sz w:val="18"/>
                <w:szCs w:val="18"/>
              </w:rPr>
            </w:pPr>
            <w:r w:rsidRPr="00847FD5">
              <w:rPr>
                <w:rFonts w:ascii="Arial" w:hAnsi="Arial" w:cs="Arial"/>
                <w:b/>
                <w:bCs/>
                <w:sz w:val="18"/>
                <w:szCs w:val="18"/>
              </w:rPr>
              <w:t>21</w:t>
            </w:r>
          </w:p>
        </w:tc>
        <w:tc>
          <w:tcPr>
            <w:tcW w:w="990" w:type="dxa"/>
            <w:vAlign w:val="center"/>
          </w:tcPr>
          <w:p w14:paraId="3E234671" w14:textId="77777777" w:rsidR="008907B3" w:rsidRPr="00847FD5" w:rsidRDefault="008907B3" w:rsidP="0039129A">
            <w:pPr>
              <w:jc w:val="center"/>
              <w:rPr>
                <w:rFonts w:ascii="Arial" w:hAnsi="Arial" w:cs="Arial"/>
                <w:b/>
                <w:bCs/>
                <w:sz w:val="18"/>
                <w:szCs w:val="18"/>
              </w:rPr>
            </w:pPr>
            <w:r w:rsidRPr="00847FD5">
              <w:rPr>
                <w:rFonts w:ascii="Arial" w:hAnsi="Arial" w:cs="Arial"/>
                <w:b/>
                <w:bCs/>
                <w:sz w:val="18"/>
                <w:szCs w:val="18"/>
              </w:rPr>
              <w:t>28</w:t>
            </w:r>
          </w:p>
        </w:tc>
        <w:tc>
          <w:tcPr>
            <w:tcW w:w="900" w:type="dxa"/>
            <w:vAlign w:val="center"/>
          </w:tcPr>
          <w:p w14:paraId="6A52291A" w14:textId="77777777" w:rsidR="008907B3" w:rsidRPr="00847FD5" w:rsidRDefault="008907B3" w:rsidP="0039129A">
            <w:pPr>
              <w:jc w:val="center"/>
              <w:rPr>
                <w:rFonts w:ascii="Arial" w:hAnsi="Arial" w:cs="Arial"/>
                <w:b/>
                <w:bCs/>
                <w:sz w:val="18"/>
                <w:szCs w:val="18"/>
              </w:rPr>
            </w:pPr>
            <w:r w:rsidRPr="00847FD5">
              <w:rPr>
                <w:rFonts w:ascii="Arial" w:hAnsi="Arial" w:cs="Arial"/>
                <w:b/>
                <w:bCs/>
                <w:sz w:val="18"/>
                <w:szCs w:val="18"/>
              </w:rPr>
              <w:t>Mean</w:t>
            </w:r>
          </w:p>
        </w:tc>
        <w:tc>
          <w:tcPr>
            <w:tcW w:w="1080" w:type="dxa"/>
            <w:vMerge/>
            <w:vAlign w:val="center"/>
          </w:tcPr>
          <w:p w14:paraId="6CFFB24B" w14:textId="77777777" w:rsidR="008907B3" w:rsidRPr="00847FD5" w:rsidRDefault="008907B3" w:rsidP="0039129A">
            <w:pPr>
              <w:jc w:val="center"/>
              <w:rPr>
                <w:rFonts w:ascii="Arial" w:hAnsi="Arial" w:cs="Arial"/>
                <w:b/>
                <w:bCs/>
                <w:sz w:val="18"/>
                <w:szCs w:val="18"/>
              </w:rPr>
            </w:pPr>
          </w:p>
        </w:tc>
        <w:tc>
          <w:tcPr>
            <w:tcW w:w="1180" w:type="dxa"/>
            <w:vMerge/>
            <w:vAlign w:val="center"/>
          </w:tcPr>
          <w:p w14:paraId="2867DE02" w14:textId="77777777" w:rsidR="008907B3" w:rsidRPr="00847FD5" w:rsidRDefault="008907B3" w:rsidP="0039129A">
            <w:pPr>
              <w:jc w:val="center"/>
              <w:rPr>
                <w:rFonts w:ascii="Arial" w:hAnsi="Arial" w:cs="Arial"/>
                <w:b/>
                <w:bCs/>
                <w:sz w:val="18"/>
                <w:szCs w:val="18"/>
              </w:rPr>
            </w:pPr>
          </w:p>
        </w:tc>
      </w:tr>
      <w:tr w:rsidR="008907B3" w:rsidRPr="00847FD5" w14:paraId="1201F74C" w14:textId="77777777" w:rsidTr="0039129A">
        <w:trPr>
          <w:trHeight w:val="280"/>
          <w:jc w:val="center"/>
        </w:trPr>
        <w:tc>
          <w:tcPr>
            <w:tcW w:w="985" w:type="dxa"/>
            <w:vAlign w:val="center"/>
          </w:tcPr>
          <w:p w14:paraId="6C70EED0" w14:textId="77777777" w:rsidR="008907B3" w:rsidRPr="00847FD5" w:rsidRDefault="008907B3" w:rsidP="0039129A">
            <w:pPr>
              <w:jc w:val="center"/>
              <w:rPr>
                <w:rFonts w:ascii="Arial" w:hAnsi="Arial" w:cs="Arial"/>
                <w:sz w:val="18"/>
                <w:szCs w:val="18"/>
              </w:rPr>
            </w:pPr>
            <w:r w:rsidRPr="00847FD5">
              <w:rPr>
                <w:rFonts w:ascii="Arial" w:hAnsi="Arial" w:cs="Arial"/>
                <w:sz w:val="18"/>
                <w:szCs w:val="18"/>
              </w:rPr>
              <w:t>7</w:t>
            </w:r>
          </w:p>
        </w:tc>
        <w:tc>
          <w:tcPr>
            <w:tcW w:w="1350" w:type="dxa"/>
            <w:vAlign w:val="center"/>
          </w:tcPr>
          <w:p w14:paraId="43868930" w14:textId="77777777" w:rsidR="008907B3" w:rsidRPr="00847FD5" w:rsidRDefault="008907B3" w:rsidP="0039129A">
            <w:pPr>
              <w:jc w:val="center"/>
              <w:rPr>
                <w:rFonts w:ascii="Arial" w:hAnsi="Arial" w:cs="Arial"/>
                <w:sz w:val="18"/>
                <w:szCs w:val="18"/>
              </w:rPr>
            </w:pPr>
            <w:r w:rsidRPr="00847FD5">
              <w:rPr>
                <w:rFonts w:ascii="Arial" w:hAnsi="Arial" w:cs="Arial"/>
                <w:sz w:val="18"/>
                <w:szCs w:val="18"/>
              </w:rPr>
              <w:t>16.2</w:t>
            </w:r>
          </w:p>
        </w:tc>
        <w:tc>
          <w:tcPr>
            <w:tcW w:w="810" w:type="dxa"/>
            <w:vAlign w:val="center"/>
          </w:tcPr>
          <w:p w14:paraId="1B49D85F" w14:textId="77777777" w:rsidR="008907B3" w:rsidRPr="00847FD5" w:rsidRDefault="008907B3" w:rsidP="0039129A">
            <w:pPr>
              <w:jc w:val="center"/>
              <w:rPr>
                <w:rFonts w:ascii="Arial" w:hAnsi="Arial" w:cs="Arial"/>
                <w:sz w:val="18"/>
                <w:szCs w:val="18"/>
              </w:rPr>
            </w:pPr>
            <w:r w:rsidRPr="00847FD5">
              <w:rPr>
                <w:rFonts w:ascii="Arial" w:hAnsi="Arial" w:cs="Arial"/>
                <w:color w:val="000000" w:themeColor="text1"/>
                <w:sz w:val="18"/>
                <w:szCs w:val="18"/>
              </w:rPr>
              <w:t>12.34</w:t>
            </w:r>
          </w:p>
        </w:tc>
        <w:tc>
          <w:tcPr>
            <w:tcW w:w="810" w:type="dxa"/>
            <w:vAlign w:val="center"/>
          </w:tcPr>
          <w:p w14:paraId="7AFE777F" w14:textId="77777777" w:rsidR="008907B3" w:rsidRPr="00847FD5" w:rsidRDefault="008907B3" w:rsidP="0039129A">
            <w:pPr>
              <w:jc w:val="center"/>
              <w:rPr>
                <w:rFonts w:ascii="Arial" w:hAnsi="Arial" w:cs="Arial"/>
                <w:sz w:val="18"/>
                <w:szCs w:val="18"/>
              </w:rPr>
            </w:pPr>
            <w:r w:rsidRPr="00847FD5">
              <w:rPr>
                <w:rFonts w:ascii="Arial" w:hAnsi="Arial" w:cs="Arial"/>
                <w:color w:val="000000" w:themeColor="text1"/>
                <w:sz w:val="18"/>
                <w:szCs w:val="18"/>
              </w:rPr>
              <w:t>18.52</w:t>
            </w:r>
          </w:p>
        </w:tc>
        <w:tc>
          <w:tcPr>
            <w:tcW w:w="900" w:type="dxa"/>
            <w:vAlign w:val="center"/>
          </w:tcPr>
          <w:p w14:paraId="0F3B2BD1" w14:textId="77777777" w:rsidR="008907B3" w:rsidRPr="00847FD5" w:rsidRDefault="008907B3" w:rsidP="0039129A">
            <w:pPr>
              <w:jc w:val="center"/>
              <w:rPr>
                <w:rFonts w:ascii="Arial" w:hAnsi="Arial" w:cs="Arial"/>
                <w:sz w:val="18"/>
                <w:szCs w:val="18"/>
              </w:rPr>
            </w:pPr>
            <w:r w:rsidRPr="00847FD5">
              <w:rPr>
                <w:rFonts w:ascii="Arial" w:hAnsi="Arial" w:cs="Arial"/>
                <w:color w:val="000000" w:themeColor="text1"/>
                <w:sz w:val="18"/>
                <w:szCs w:val="18"/>
              </w:rPr>
              <w:t>25.93</w:t>
            </w:r>
          </w:p>
        </w:tc>
        <w:tc>
          <w:tcPr>
            <w:tcW w:w="990" w:type="dxa"/>
            <w:vAlign w:val="center"/>
          </w:tcPr>
          <w:p w14:paraId="6C0C9AF5" w14:textId="77777777" w:rsidR="008907B3" w:rsidRPr="00847FD5" w:rsidRDefault="008907B3" w:rsidP="0039129A">
            <w:pPr>
              <w:jc w:val="center"/>
              <w:rPr>
                <w:rFonts w:ascii="Arial" w:hAnsi="Arial" w:cs="Arial"/>
                <w:sz w:val="18"/>
                <w:szCs w:val="18"/>
              </w:rPr>
            </w:pPr>
            <w:r w:rsidRPr="00847FD5">
              <w:rPr>
                <w:rFonts w:ascii="Arial" w:hAnsi="Arial" w:cs="Arial"/>
                <w:color w:val="000000" w:themeColor="text1"/>
                <w:sz w:val="18"/>
                <w:szCs w:val="18"/>
              </w:rPr>
              <w:t>33.33</w:t>
            </w:r>
          </w:p>
        </w:tc>
        <w:tc>
          <w:tcPr>
            <w:tcW w:w="900" w:type="dxa"/>
            <w:vAlign w:val="center"/>
          </w:tcPr>
          <w:p w14:paraId="3AA1A563" w14:textId="77777777" w:rsidR="008907B3" w:rsidRPr="00847FD5" w:rsidRDefault="008907B3" w:rsidP="0039129A">
            <w:pPr>
              <w:jc w:val="center"/>
              <w:rPr>
                <w:rFonts w:ascii="Arial" w:hAnsi="Arial" w:cs="Arial"/>
                <w:sz w:val="18"/>
                <w:szCs w:val="18"/>
              </w:rPr>
            </w:pPr>
            <w:r w:rsidRPr="00847FD5">
              <w:rPr>
                <w:rFonts w:ascii="Arial" w:hAnsi="Arial" w:cs="Arial"/>
                <w:sz w:val="18"/>
                <w:szCs w:val="18"/>
              </w:rPr>
              <w:t>22.53</w:t>
            </w:r>
          </w:p>
        </w:tc>
        <w:tc>
          <w:tcPr>
            <w:tcW w:w="1080" w:type="dxa"/>
            <w:vAlign w:val="center"/>
          </w:tcPr>
          <w:p w14:paraId="66528E85" w14:textId="77777777" w:rsidR="008907B3" w:rsidRPr="00847FD5" w:rsidRDefault="008907B3" w:rsidP="0039129A">
            <w:pPr>
              <w:jc w:val="center"/>
              <w:rPr>
                <w:rFonts w:ascii="Arial" w:hAnsi="Arial" w:cs="Arial"/>
                <w:sz w:val="18"/>
                <w:szCs w:val="18"/>
              </w:rPr>
            </w:pPr>
            <w:r w:rsidRPr="00847FD5">
              <w:rPr>
                <w:rFonts w:ascii="Arial" w:hAnsi="Arial" w:cs="Arial"/>
                <w:color w:val="000000" w:themeColor="text1"/>
                <w:sz w:val="18"/>
                <w:szCs w:val="18"/>
              </w:rPr>
              <w:t>470.97</w:t>
            </w:r>
          </w:p>
        </w:tc>
        <w:tc>
          <w:tcPr>
            <w:tcW w:w="1180" w:type="dxa"/>
            <w:vAlign w:val="center"/>
          </w:tcPr>
          <w:p w14:paraId="08327011" w14:textId="77777777" w:rsidR="008907B3" w:rsidRPr="00847FD5" w:rsidRDefault="008907B3" w:rsidP="0039129A">
            <w:pPr>
              <w:jc w:val="center"/>
              <w:rPr>
                <w:rFonts w:ascii="Arial" w:hAnsi="Arial" w:cs="Arial"/>
                <w:sz w:val="18"/>
                <w:szCs w:val="18"/>
              </w:rPr>
            </w:pPr>
            <w:r w:rsidRPr="00847FD5">
              <w:rPr>
                <w:rFonts w:ascii="Arial" w:hAnsi="Arial" w:cs="Arial"/>
                <w:color w:val="000000" w:themeColor="text1"/>
                <w:sz w:val="18"/>
                <w:szCs w:val="18"/>
              </w:rPr>
              <w:t>0.05</w:t>
            </w:r>
          </w:p>
        </w:tc>
      </w:tr>
      <w:tr w:rsidR="008907B3" w:rsidRPr="00847FD5" w14:paraId="2B9CFEB3" w14:textId="77777777" w:rsidTr="0039129A">
        <w:trPr>
          <w:trHeight w:val="280"/>
          <w:jc w:val="center"/>
        </w:trPr>
        <w:tc>
          <w:tcPr>
            <w:tcW w:w="985" w:type="dxa"/>
            <w:vAlign w:val="center"/>
          </w:tcPr>
          <w:p w14:paraId="7078DE25" w14:textId="77777777" w:rsidR="008907B3" w:rsidRPr="00847FD5" w:rsidRDefault="008907B3" w:rsidP="0039129A">
            <w:pPr>
              <w:jc w:val="center"/>
              <w:rPr>
                <w:rFonts w:ascii="Arial" w:hAnsi="Arial" w:cs="Arial"/>
                <w:sz w:val="18"/>
                <w:szCs w:val="18"/>
              </w:rPr>
            </w:pPr>
            <w:r w:rsidRPr="00847FD5">
              <w:rPr>
                <w:rFonts w:ascii="Arial" w:hAnsi="Arial" w:cs="Arial"/>
                <w:sz w:val="18"/>
                <w:szCs w:val="18"/>
              </w:rPr>
              <w:t>14</w:t>
            </w:r>
          </w:p>
        </w:tc>
        <w:tc>
          <w:tcPr>
            <w:tcW w:w="1350" w:type="dxa"/>
            <w:vAlign w:val="center"/>
          </w:tcPr>
          <w:p w14:paraId="67EF32D7" w14:textId="77777777" w:rsidR="008907B3" w:rsidRPr="00847FD5" w:rsidRDefault="008907B3" w:rsidP="0039129A">
            <w:pPr>
              <w:jc w:val="center"/>
              <w:rPr>
                <w:rFonts w:ascii="Arial" w:hAnsi="Arial" w:cs="Arial"/>
                <w:sz w:val="18"/>
                <w:szCs w:val="18"/>
              </w:rPr>
            </w:pPr>
            <w:r w:rsidRPr="00847FD5">
              <w:rPr>
                <w:rFonts w:ascii="Arial" w:hAnsi="Arial" w:cs="Arial"/>
                <w:sz w:val="18"/>
                <w:szCs w:val="18"/>
              </w:rPr>
              <w:t>14.7</w:t>
            </w:r>
          </w:p>
        </w:tc>
        <w:tc>
          <w:tcPr>
            <w:tcW w:w="810" w:type="dxa"/>
            <w:vAlign w:val="center"/>
          </w:tcPr>
          <w:p w14:paraId="5E7E569E" w14:textId="77777777" w:rsidR="008907B3" w:rsidRPr="00847FD5" w:rsidRDefault="008907B3" w:rsidP="0039129A">
            <w:pPr>
              <w:jc w:val="center"/>
              <w:rPr>
                <w:rFonts w:ascii="Arial" w:hAnsi="Arial" w:cs="Arial"/>
                <w:sz w:val="18"/>
                <w:szCs w:val="18"/>
              </w:rPr>
            </w:pPr>
            <w:r w:rsidRPr="00847FD5">
              <w:rPr>
                <w:rFonts w:ascii="Arial" w:hAnsi="Arial" w:cs="Arial"/>
                <w:color w:val="000000" w:themeColor="text1"/>
                <w:sz w:val="18"/>
                <w:szCs w:val="18"/>
              </w:rPr>
              <w:t>16.05</w:t>
            </w:r>
          </w:p>
        </w:tc>
        <w:tc>
          <w:tcPr>
            <w:tcW w:w="810" w:type="dxa"/>
            <w:vAlign w:val="center"/>
          </w:tcPr>
          <w:p w14:paraId="2FCDD68C" w14:textId="77777777" w:rsidR="008907B3" w:rsidRPr="00847FD5" w:rsidRDefault="008907B3" w:rsidP="0039129A">
            <w:pPr>
              <w:jc w:val="center"/>
              <w:rPr>
                <w:rFonts w:ascii="Arial" w:hAnsi="Arial" w:cs="Arial"/>
                <w:sz w:val="18"/>
                <w:szCs w:val="18"/>
              </w:rPr>
            </w:pPr>
            <w:r w:rsidRPr="00847FD5">
              <w:rPr>
                <w:rFonts w:ascii="Arial" w:hAnsi="Arial" w:cs="Arial"/>
                <w:color w:val="000000" w:themeColor="text1"/>
                <w:sz w:val="18"/>
                <w:szCs w:val="18"/>
              </w:rPr>
              <w:t>22.22</w:t>
            </w:r>
          </w:p>
        </w:tc>
        <w:tc>
          <w:tcPr>
            <w:tcW w:w="900" w:type="dxa"/>
            <w:vAlign w:val="center"/>
          </w:tcPr>
          <w:p w14:paraId="06AC88F6" w14:textId="77777777" w:rsidR="008907B3" w:rsidRPr="00847FD5" w:rsidRDefault="008907B3" w:rsidP="0039129A">
            <w:pPr>
              <w:jc w:val="center"/>
              <w:rPr>
                <w:rFonts w:ascii="Arial" w:hAnsi="Arial" w:cs="Arial"/>
                <w:sz w:val="18"/>
                <w:szCs w:val="18"/>
              </w:rPr>
            </w:pPr>
            <w:r w:rsidRPr="00847FD5">
              <w:rPr>
                <w:rFonts w:ascii="Arial" w:hAnsi="Arial" w:cs="Arial"/>
                <w:color w:val="000000" w:themeColor="text1"/>
                <w:sz w:val="18"/>
                <w:szCs w:val="18"/>
              </w:rPr>
              <w:t>29.63</w:t>
            </w:r>
          </w:p>
        </w:tc>
        <w:tc>
          <w:tcPr>
            <w:tcW w:w="990" w:type="dxa"/>
            <w:vAlign w:val="center"/>
          </w:tcPr>
          <w:p w14:paraId="240EFF83" w14:textId="77777777" w:rsidR="008907B3" w:rsidRPr="00847FD5" w:rsidRDefault="008907B3" w:rsidP="0039129A">
            <w:pPr>
              <w:jc w:val="center"/>
              <w:rPr>
                <w:rFonts w:ascii="Arial" w:hAnsi="Arial" w:cs="Arial"/>
                <w:sz w:val="18"/>
                <w:szCs w:val="18"/>
              </w:rPr>
            </w:pPr>
            <w:r w:rsidRPr="00847FD5">
              <w:rPr>
                <w:rFonts w:ascii="Arial" w:hAnsi="Arial" w:cs="Arial"/>
                <w:color w:val="000000" w:themeColor="text1"/>
                <w:sz w:val="18"/>
                <w:szCs w:val="18"/>
              </w:rPr>
              <w:t>39.51</w:t>
            </w:r>
          </w:p>
        </w:tc>
        <w:tc>
          <w:tcPr>
            <w:tcW w:w="900" w:type="dxa"/>
            <w:vAlign w:val="center"/>
          </w:tcPr>
          <w:p w14:paraId="6E6D1CA1" w14:textId="77777777" w:rsidR="008907B3" w:rsidRPr="00847FD5" w:rsidRDefault="008907B3" w:rsidP="0039129A">
            <w:pPr>
              <w:jc w:val="center"/>
              <w:rPr>
                <w:rFonts w:ascii="Arial" w:hAnsi="Arial" w:cs="Arial"/>
                <w:sz w:val="18"/>
                <w:szCs w:val="18"/>
              </w:rPr>
            </w:pPr>
            <w:r w:rsidRPr="00847FD5">
              <w:rPr>
                <w:rFonts w:ascii="Arial" w:hAnsi="Arial" w:cs="Arial"/>
                <w:sz w:val="18"/>
                <w:szCs w:val="18"/>
              </w:rPr>
              <w:t>26.85</w:t>
            </w:r>
          </w:p>
        </w:tc>
        <w:tc>
          <w:tcPr>
            <w:tcW w:w="1080" w:type="dxa"/>
            <w:vAlign w:val="center"/>
          </w:tcPr>
          <w:p w14:paraId="6AF036BC" w14:textId="77777777" w:rsidR="008907B3" w:rsidRPr="00847FD5" w:rsidRDefault="008907B3" w:rsidP="0039129A">
            <w:pPr>
              <w:jc w:val="center"/>
              <w:rPr>
                <w:rFonts w:ascii="Arial" w:hAnsi="Arial" w:cs="Arial"/>
                <w:sz w:val="18"/>
                <w:szCs w:val="18"/>
              </w:rPr>
            </w:pPr>
            <w:r w:rsidRPr="00847FD5">
              <w:rPr>
                <w:rFonts w:ascii="Arial" w:hAnsi="Arial" w:cs="Arial"/>
                <w:color w:val="000000" w:themeColor="text1"/>
                <w:sz w:val="18"/>
                <w:szCs w:val="18"/>
              </w:rPr>
              <w:t>557.41</w:t>
            </w:r>
          </w:p>
        </w:tc>
        <w:tc>
          <w:tcPr>
            <w:tcW w:w="1180" w:type="dxa"/>
            <w:vAlign w:val="center"/>
          </w:tcPr>
          <w:p w14:paraId="1C70BA04" w14:textId="77777777" w:rsidR="008907B3" w:rsidRPr="00847FD5" w:rsidRDefault="008907B3" w:rsidP="0039129A">
            <w:pPr>
              <w:jc w:val="center"/>
              <w:rPr>
                <w:rFonts w:ascii="Arial" w:hAnsi="Arial" w:cs="Arial"/>
                <w:sz w:val="18"/>
                <w:szCs w:val="18"/>
              </w:rPr>
            </w:pPr>
            <w:r w:rsidRPr="00847FD5">
              <w:rPr>
                <w:rFonts w:ascii="Arial" w:hAnsi="Arial" w:cs="Arial"/>
                <w:color w:val="000000" w:themeColor="text1"/>
                <w:sz w:val="18"/>
                <w:szCs w:val="18"/>
              </w:rPr>
              <w:t>0.04</w:t>
            </w:r>
          </w:p>
        </w:tc>
      </w:tr>
      <w:tr w:rsidR="008907B3" w:rsidRPr="00847FD5" w14:paraId="6D380293" w14:textId="77777777" w:rsidTr="0039129A">
        <w:trPr>
          <w:trHeight w:val="270"/>
          <w:jc w:val="center"/>
        </w:trPr>
        <w:tc>
          <w:tcPr>
            <w:tcW w:w="985" w:type="dxa"/>
            <w:vAlign w:val="center"/>
          </w:tcPr>
          <w:p w14:paraId="40E3EB4D" w14:textId="77777777" w:rsidR="008907B3" w:rsidRPr="00847FD5" w:rsidRDefault="008907B3" w:rsidP="0039129A">
            <w:pPr>
              <w:jc w:val="center"/>
              <w:rPr>
                <w:rFonts w:ascii="Arial" w:hAnsi="Arial" w:cs="Arial"/>
                <w:sz w:val="18"/>
                <w:szCs w:val="18"/>
              </w:rPr>
            </w:pPr>
            <w:r w:rsidRPr="00847FD5">
              <w:rPr>
                <w:rFonts w:ascii="Arial" w:hAnsi="Arial" w:cs="Arial"/>
                <w:sz w:val="18"/>
                <w:szCs w:val="18"/>
              </w:rPr>
              <w:lastRenderedPageBreak/>
              <w:t>21</w:t>
            </w:r>
          </w:p>
        </w:tc>
        <w:tc>
          <w:tcPr>
            <w:tcW w:w="1350" w:type="dxa"/>
            <w:vAlign w:val="center"/>
          </w:tcPr>
          <w:p w14:paraId="02C6AD63" w14:textId="77777777" w:rsidR="008907B3" w:rsidRPr="00847FD5" w:rsidRDefault="008907B3" w:rsidP="0039129A">
            <w:pPr>
              <w:jc w:val="center"/>
              <w:rPr>
                <w:rFonts w:ascii="Arial" w:hAnsi="Arial" w:cs="Arial"/>
                <w:sz w:val="18"/>
                <w:szCs w:val="18"/>
              </w:rPr>
            </w:pPr>
            <w:r w:rsidRPr="00847FD5">
              <w:rPr>
                <w:rFonts w:ascii="Arial" w:hAnsi="Arial" w:cs="Arial"/>
                <w:sz w:val="18"/>
                <w:szCs w:val="18"/>
              </w:rPr>
              <w:t>15.4</w:t>
            </w:r>
          </w:p>
        </w:tc>
        <w:tc>
          <w:tcPr>
            <w:tcW w:w="810" w:type="dxa"/>
            <w:vAlign w:val="center"/>
          </w:tcPr>
          <w:p w14:paraId="1AF65C39" w14:textId="77777777" w:rsidR="008907B3" w:rsidRPr="00847FD5" w:rsidRDefault="008907B3" w:rsidP="0039129A">
            <w:pPr>
              <w:jc w:val="center"/>
              <w:rPr>
                <w:rFonts w:ascii="Arial" w:hAnsi="Arial" w:cs="Arial"/>
                <w:sz w:val="18"/>
                <w:szCs w:val="18"/>
              </w:rPr>
            </w:pPr>
            <w:r w:rsidRPr="00847FD5">
              <w:rPr>
                <w:rFonts w:ascii="Arial" w:hAnsi="Arial" w:cs="Arial"/>
                <w:color w:val="000000" w:themeColor="text1"/>
                <w:sz w:val="18"/>
                <w:szCs w:val="18"/>
              </w:rPr>
              <w:t>13.58</w:t>
            </w:r>
          </w:p>
        </w:tc>
        <w:tc>
          <w:tcPr>
            <w:tcW w:w="810" w:type="dxa"/>
            <w:vAlign w:val="center"/>
          </w:tcPr>
          <w:p w14:paraId="783CC575" w14:textId="77777777" w:rsidR="008907B3" w:rsidRPr="00847FD5" w:rsidRDefault="008907B3" w:rsidP="0039129A">
            <w:pPr>
              <w:jc w:val="center"/>
              <w:rPr>
                <w:rFonts w:ascii="Arial" w:hAnsi="Arial" w:cs="Arial"/>
                <w:sz w:val="18"/>
                <w:szCs w:val="18"/>
              </w:rPr>
            </w:pPr>
            <w:r w:rsidRPr="00847FD5">
              <w:rPr>
                <w:rFonts w:ascii="Arial" w:hAnsi="Arial" w:cs="Arial"/>
                <w:color w:val="000000" w:themeColor="text1"/>
                <w:sz w:val="18"/>
                <w:szCs w:val="18"/>
              </w:rPr>
              <w:t>19.75</w:t>
            </w:r>
          </w:p>
        </w:tc>
        <w:tc>
          <w:tcPr>
            <w:tcW w:w="900" w:type="dxa"/>
            <w:vAlign w:val="center"/>
          </w:tcPr>
          <w:p w14:paraId="4E7006AD" w14:textId="77777777" w:rsidR="008907B3" w:rsidRPr="00847FD5" w:rsidRDefault="008907B3" w:rsidP="0039129A">
            <w:pPr>
              <w:jc w:val="center"/>
              <w:rPr>
                <w:rFonts w:ascii="Arial" w:hAnsi="Arial" w:cs="Arial"/>
                <w:sz w:val="18"/>
                <w:szCs w:val="18"/>
              </w:rPr>
            </w:pPr>
            <w:r w:rsidRPr="00847FD5">
              <w:rPr>
                <w:rFonts w:ascii="Arial" w:hAnsi="Arial" w:cs="Arial"/>
                <w:color w:val="000000" w:themeColor="text1"/>
                <w:sz w:val="18"/>
                <w:szCs w:val="18"/>
              </w:rPr>
              <w:t>24.69</w:t>
            </w:r>
          </w:p>
        </w:tc>
        <w:tc>
          <w:tcPr>
            <w:tcW w:w="990" w:type="dxa"/>
            <w:vAlign w:val="center"/>
          </w:tcPr>
          <w:p w14:paraId="3ABCE75A" w14:textId="77777777" w:rsidR="008907B3" w:rsidRPr="00847FD5" w:rsidRDefault="008907B3" w:rsidP="0039129A">
            <w:pPr>
              <w:jc w:val="center"/>
              <w:rPr>
                <w:rFonts w:ascii="Arial" w:hAnsi="Arial" w:cs="Arial"/>
                <w:sz w:val="18"/>
                <w:szCs w:val="18"/>
              </w:rPr>
            </w:pPr>
            <w:r w:rsidRPr="00847FD5">
              <w:rPr>
                <w:rFonts w:ascii="Arial" w:hAnsi="Arial" w:cs="Arial"/>
                <w:color w:val="000000" w:themeColor="text1"/>
                <w:sz w:val="18"/>
                <w:szCs w:val="18"/>
              </w:rPr>
              <w:t>34.57</w:t>
            </w:r>
          </w:p>
        </w:tc>
        <w:tc>
          <w:tcPr>
            <w:tcW w:w="900" w:type="dxa"/>
            <w:vAlign w:val="center"/>
          </w:tcPr>
          <w:p w14:paraId="7C042CA0" w14:textId="77777777" w:rsidR="008907B3" w:rsidRPr="00847FD5" w:rsidRDefault="008907B3" w:rsidP="0039129A">
            <w:pPr>
              <w:jc w:val="center"/>
              <w:rPr>
                <w:rFonts w:ascii="Arial" w:hAnsi="Arial" w:cs="Arial"/>
                <w:sz w:val="18"/>
                <w:szCs w:val="18"/>
              </w:rPr>
            </w:pPr>
            <w:r w:rsidRPr="00847FD5">
              <w:rPr>
                <w:rFonts w:ascii="Arial" w:hAnsi="Arial" w:cs="Arial"/>
                <w:sz w:val="18"/>
                <w:szCs w:val="18"/>
              </w:rPr>
              <w:t>23.15</w:t>
            </w:r>
          </w:p>
        </w:tc>
        <w:tc>
          <w:tcPr>
            <w:tcW w:w="1080" w:type="dxa"/>
            <w:vAlign w:val="center"/>
          </w:tcPr>
          <w:p w14:paraId="4730FA86" w14:textId="77777777" w:rsidR="008907B3" w:rsidRPr="00847FD5" w:rsidRDefault="008907B3" w:rsidP="0039129A">
            <w:pPr>
              <w:jc w:val="center"/>
              <w:rPr>
                <w:rFonts w:ascii="Arial" w:hAnsi="Arial" w:cs="Arial"/>
                <w:sz w:val="18"/>
                <w:szCs w:val="18"/>
              </w:rPr>
            </w:pPr>
            <w:r w:rsidRPr="00847FD5">
              <w:rPr>
                <w:rFonts w:ascii="Arial" w:hAnsi="Arial" w:cs="Arial"/>
                <w:color w:val="000000" w:themeColor="text1"/>
                <w:sz w:val="18"/>
                <w:szCs w:val="18"/>
              </w:rPr>
              <w:t>479.60</w:t>
            </w:r>
          </w:p>
        </w:tc>
        <w:tc>
          <w:tcPr>
            <w:tcW w:w="1180" w:type="dxa"/>
            <w:vAlign w:val="center"/>
          </w:tcPr>
          <w:p w14:paraId="3D07BF05" w14:textId="77777777" w:rsidR="008907B3" w:rsidRPr="00847FD5" w:rsidRDefault="008907B3" w:rsidP="0039129A">
            <w:pPr>
              <w:jc w:val="center"/>
              <w:rPr>
                <w:rFonts w:ascii="Arial" w:hAnsi="Arial" w:cs="Arial"/>
                <w:sz w:val="18"/>
                <w:szCs w:val="18"/>
              </w:rPr>
            </w:pPr>
            <w:r w:rsidRPr="00847FD5">
              <w:rPr>
                <w:rFonts w:ascii="Arial" w:hAnsi="Arial" w:cs="Arial"/>
                <w:color w:val="000000" w:themeColor="text1"/>
                <w:sz w:val="18"/>
                <w:szCs w:val="18"/>
              </w:rPr>
              <w:t>0.04</w:t>
            </w:r>
          </w:p>
        </w:tc>
      </w:tr>
      <w:tr w:rsidR="008907B3" w:rsidRPr="00847FD5" w14:paraId="0431438D" w14:textId="77777777" w:rsidTr="0039129A">
        <w:trPr>
          <w:trHeight w:val="280"/>
          <w:jc w:val="center"/>
        </w:trPr>
        <w:tc>
          <w:tcPr>
            <w:tcW w:w="985" w:type="dxa"/>
            <w:vAlign w:val="center"/>
          </w:tcPr>
          <w:p w14:paraId="18C7A07D" w14:textId="77777777" w:rsidR="008907B3" w:rsidRPr="00847FD5" w:rsidRDefault="008907B3" w:rsidP="0039129A">
            <w:pPr>
              <w:jc w:val="center"/>
              <w:rPr>
                <w:rFonts w:ascii="Arial" w:hAnsi="Arial" w:cs="Arial"/>
                <w:sz w:val="18"/>
                <w:szCs w:val="18"/>
              </w:rPr>
            </w:pPr>
            <w:r w:rsidRPr="00847FD5">
              <w:rPr>
                <w:rFonts w:ascii="Arial" w:hAnsi="Arial" w:cs="Arial"/>
                <w:sz w:val="18"/>
                <w:szCs w:val="18"/>
              </w:rPr>
              <w:t>28</w:t>
            </w:r>
          </w:p>
        </w:tc>
        <w:tc>
          <w:tcPr>
            <w:tcW w:w="1350" w:type="dxa"/>
            <w:vAlign w:val="center"/>
          </w:tcPr>
          <w:p w14:paraId="3D64A238" w14:textId="77777777" w:rsidR="008907B3" w:rsidRPr="00847FD5" w:rsidRDefault="008907B3" w:rsidP="0039129A">
            <w:pPr>
              <w:jc w:val="center"/>
              <w:rPr>
                <w:rFonts w:ascii="Arial" w:hAnsi="Arial" w:cs="Arial"/>
                <w:sz w:val="18"/>
                <w:szCs w:val="18"/>
              </w:rPr>
            </w:pPr>
            <w:r w:rsidRPr="00847FD5">
              <w:rPr>
                <w:rFonts w:ascii="Arial" w:hAnsi="Arial" w:cs="Arial"/>
                <w:sz w:val="18"/>
                <w:szCs w:val="18"/>
              </w:rPr>
              <w:t>17.6</w:t>
            </w:r>
          </w:p>
        </w:tc>
        <w:tc>
          <w:tcPr>
            <w:tcW w:w="810" w:type="dxa"/>
            <w:vAlign w:val="center"/>
          </w:tcPr>
          <w:p w14:paraId="58B00AC5" w14:textId="77777777" w:rsidR="008907B3" w:rsidRPr="00847FD5" w:rsidRDefault="008907B3" w:rsidP="0039129A">
            <w:pPr>
              <w:jc w:val="center"/>
              <w:rPr>
                <w:rFonts w:ascii="Arial" w:hAnsi="Arial" w:cs="Arial"/>
                <w:sz w:val="18"/>
                <w:szCs w:val="18"/>
              </w:rPr>
            </w:pPr>
            <w:r w:rsidRPr="00847FD5">
              <w:rPr>
                <w:rFonts w:ascii="Arial" w:hAnsi="Arial" w:cs="Arial"/>
                <w:color w:val="000000" w:themeColor="text1"/>
                <w:sz w:val="18"/>
                <w:szCs w:val="18"/>
              </w:rPr>
              <w:t>8.64</w:t>
            </w:r>
          </w:p>
        </w:tc>
        <w:tc>
          <w:tcPr>
            <w:tcW w:w="810" w:type="dxa"/>
            <w:vAlign w:val="center"/>
          </w:tcPr>
          <w:p w14:paraId="749A0BE4" w14:textId="77777777" w:rsidR="008907B3" w:rsidRPr="00847FD5" w:rsidRDefault="008907B3" w:rsidP="0039129A">
            <w:pPr>
              <w:jc w:val="center"/>
              <w:rPr>
                <w:rFonts w:ascii="Arial" w:hAnsi="Arial" w:cs="Arial"/>
                <w:sz w:val="18"/>
                <w:szCs w:val="18"/>
              </w:rPr>
            </w:pPr>
            <w:r w:rsidRPr="00847FD5">
              <w:rPr>
                <w:rFonts w:ascii="Arial" w:hAnsi="Arial" w:cs="Arial"/>
                <w:color w:val="000000" w:themeColor="text1"/>
                <w:sz w:val="18"/>
                <w:szCs w:val="18"/>
              </w:rPr>
              <w:t>14.81</w:t>
            </w:r>
          </w:p>
        </w:tc>
        <w:tc>
          <w:tcPr>
            <w:tcW w:w="900" w:type="dxa"/>
            <w:vAlign w:val="center"/>
          </w:tcPr>
          <w:p w14:paraId="54C73259" w14:textId="77777777" w:rsidR="008907B3" w:rsidRPr="00847FD5" w:rsidRDefault="008907B3" w:rsidP="0039129A">
            <w:pPr>
              <w:jc w:val="center"/>
              <w:rPr>
                <w:rFonts w:ascii="Arial" w:hAnsi="Arial" w:cs="Arial"/>
                <w:sz w:val="18"/>
                <w:szCs w:val="18"/>
              </w:rPr>
            </w:pPr>
            <w:r w:rsidRPr="00847FD5">
              <w:rPr>
                <w:rFonts w:ascii="Arial" w:hAnsi="Arial" w:cs="Arial"/>
                <w:color w:val="000000" w:themeColor="text1"/>
                <w:sz w:val="18"/>
                <w:szCs w:val="18"/>
              </w:rPr>
              <w:t>20.99</w:t>
            </w:r>
          </w:p>
        </w:tc>
        <w:tc>
          <w:tcPr>
            <w:tcW w:w="990" w:type="dxa"/>
            <w:vAlign w:val="center"/>
          </w:tcPr>
          <w:p w14:paraId="78E3585F" w14:textId="77777777" w:rsidR="008907B3" w:rsidRPr="00847FD5" w:rsidRDefault="008907B3" w:rsidP="0039129A">
            <w:pPr>
              <w:jc w:val="center"/>
              <w:rPr>
                <w:rFonts w:ascii="Arial" w:hAnsi="Arial" w:cs="Arial"/>
                <w:sz w:val="18"/>
                <w:szCs w:val="18"/>
              </w:rPr>
            </w:pPr>
            <w:r w:rsidRPr="00847FD5">
              <w:rPr>
                <w:rFonts w:ascii="Arial" w:hAnsi="Arial" w:cs="Arial"/>
                <w:color w:val="000000" w:themeColor="text1"/>
                <w:sz w:val="18"/>
                <w:szCs w:val="18"/>
              </w:rPr>
              <w:t>30.86</w:t>
            </w:r>
          </w:p>
        </w:tc>
        <w:tc>
          <w:tcPr>
            <w:tcW w:w="900" w:type="dxa"/>
            <w:vAlign w:val="center"/>
          </w:tcPr>
          <w:p w14:paraId="44C21EC3" w14:textId="77777777" w:rsidR="008907B3" w:rsidRPr="00847FD5" w:rsidRDefault="008907B3" w:rsidP="0039129A">
            <w:pPr>
              <w:jc w:val="center"/>
              <w:rPr>
                <w:rFonts w:ascii="Arial" w:hAnsi="Arial" w:cs="Arial"/>
                <w:sz w:val="18"/>
                <w:szCs w:val="18"/>
              </w:rPr>
            </w:pPr>
            <w:r w:rsidRPr="00847FD5">
              <w:rPr>
                <w:rFonts w:ascii="Arial" w:hAnsi="Arial" w:cs="Arial"/>
                <w:sz w:val="18"/>
                <w:szCs w:val="18"/>
              </w:rPr>
              <w:t>18.82</w:t>
            </w:r>
          </w:p>
        </w:tc>
        <w:tc>
          <w:tcPr>
            <w:tcW w:w="1080" w:type="dxa"/>
            <w:vAlign w:val="center"/>
          </w:tcPr>
          <w:p w14:paraId="6622E831" w14:textId="77777777" w:rsidR="008907B3" w:rsidRPr="00847FD5" w:rsidRDefault="008907B3" w:rsidP="0039129A">
            <w:pPr>
              <w:jc w:val="center"/>
              <w:rPr>
                <w:rFonts w:ascii="Arial" w:hAnsi="Arial" w:cs="Arial"/>
                <w:sz w:val="18"/>
                <w:szCs w:val="18"/>
              </w:rPr>
            </w:pPr>
            <w:r w:rsidRPr="00847FD5">
              <w:rPr>
                <w:rFonts w:ascii="Arial" w:hAnsi="Arial" w:cs="Arial"/>
                <w:color w:val="000000" w:themeColor="text1"/>
                <w:sz w:val="18"/>
                <w:szCs w:val="18"/>
              </w:rPr>
              <w:t>388.85</w:t>
            </w:r>
          </w:p>
        </w:tc>
        <w:tc>
          <w:tcPr>
            <w:tcW w:w="1180" w:type="dxa"/>
            <w:vAlign w:val="center"/>
          </w:tcPr>
          <w:p w14:paraId="64329955" w14:textId="77777777" w:rsidR="008907B3" w:rsidRPr="00847FD5" w:rsidRDefault="008907B3" w:rsidP="0039129A">
            <w:pPr>
              <w:jc w:val="center"/>
              <w:rPr>
                <w:rFonts w:ascii="Arial" w:hAnsi="Arial" w:cs="Arial"/>
                <w:sz w:val="18"/>
                <w:szCs w:val="18"/>
              </w:rPr>
            </w:pPr>
            <w:r w:rsidRPr="00847FD5">
              <w:rPr>
                <w:rFonts w:ascii="Arial" w:hAnsi="Arial" w:cs="Arial"/>
                <w:color w:val="000000" w:themeColor="text1"/>
                <w:sz w:val="18"/>
                <w:szCs w:val="18"/>
              </w:rPr>
              <w:t>0.06</w:t>
            </w:r>
          </w:p>
        </w:tc>
      </w:tr>
      <w:tr w:rsidR="008907B3" w:rsidRPr="00847FD5" w14:paraId="3B6BDDEC" w14:textId="77777777" w:rsidTr="0039129A">
        <w:trPr>
          <w:trHeight w:val="270"/>
          <w:jc w:val="center"/>
        </w:trPr>
        <w:tc>
          <w:tcPr>
            <w:tcW w:w="985" w:type="dxa"/>
            <w:vAlign w:val="center"/>
          </w:tcPr>
          <w:p w14:paraId="70F91A63" w14:textId="77777777" w:rsidR="008907B3" w:rsidRPr="00847FD5" w:rsidRDefault="008907B3" w:rsidP="0039129A">
            <w:pPr>
              <w:jc w:val="center"/>
              <w:rPr>
                <w:rFonts w:ascii="Arial" w:hAnsi="Arial" w:cs="Arial"/>
                <w:sz w:val="18"/>
                <w:szCs w:val="18"/>
              </w:rPr>
            </w:pPr>
            <w:r w:rsidRPr="00847FD5">
              <w:rPr>
                <w:rFonts w:ascii="Arial" w:hAnsi="Arial" w:cs="Arial"/>
                <w:sz w:val="18"/>
                <w:szCs w:val="18"/>
              </w:rPr>
              <w:t>35</w:t>
            </w:r>
          </w:p>
        </w:tc>
        <w:tc>
          <w:tcPr>
            <w:tcW w:w="1350" w:type="dxa"/>
            <w:vAlign w:val="center"/>
          </w:tcPr>
          <w:p w14:paraId="1F764193" w14:textId="77777777" w:rsidR="008907B3" w:rsidRPr="00847FD5" w:rsidRDefault="008907B3" w:rsidP="0039129A">
            <w:pPr>
              <w:jc w:val="center"/>
              <w:rPr>
                <w:rFonts w:ascii="Arial" w:hAnsi="Arial" w:cs="Arial"/>
                <w:sz w:val="18"/>
                <w:szCs w:val="18"/>
              </w:rPr>
            </w:pPr>
            <w:r w:rsidRPr="00847FD5">
              <w:rPr>
                <w:rFonts w:ascii="Arial" w:hAnsi="Arial" w:cs="Arial"/>
                <w:sz w:val="18"/>
                <w:szCs w:val="18"/>
              </w:rPr>
              <w:t>19.3</w:t>
            </w:r>
          </w:p>
        </w:tc>
        <w:tc>
          <w:tcPr>
            <w:tcW w:w="810" w:type="dxa"/>
            <w:vAlign w:val="center"/>
          </w:tcPr>
          <w:p w14:paraId="16BE76C0" w14:textId="77777777" w:rsidR="008907B3" w:rsidRPr="00847FD5" w:rsidRDefault="008907B3" w:rsidP="0039129A">
            <w:pPr>
              <w:jc w:val="center"/>
              <w:rPr>
                <w:rFonts w:ascii="Arial" w:hAnsi="Arial" w:cs="Arial"/>
                <w:sz w:val="18"/>
                <w:szCs w:val="18"/>
              </w:rPr>
            </w:pPr>
            <w:r w:rsidRPr="00847FD5">
              <w:rPr>
                <w:rFonts w:ascii="Arial" w:hAnsi="Arial" w:cs="Arial"/>
                <w:color w:val="000000" w:themeColor="text1"/>
                <w:sz w:val="18"/>
                <w:szCs w:val="18"/>
              </w:rPr>
              <w:t>6.17</w:t>
            </w:r>
          </w:p>
        </w:tc>
        <w:tc>
          <w:tcPr>
            <w:tcW w:w="810" w:type="dxa"/>
            <w:vAlign w:val="center"/>
          </w:tcPr>
          <w:p w14:paraId="23DE6F21" w14:textId="77777777" w:rsidR="008907B3" w:rsidRPr="00847FD5" w:rsidRDefault="008907B3" w:rsidP="0039129A">
            <w:pPr>
              <w:jc w:val="center"/>
              <w:rPr>
                <w:rFonts w:ascii="Arial" w:hAnsi="Arial" w:cs="Arial"/>
                <w:sz w:val="18"/>
                <w:szCs w:val="18"/>
              </w:rPr>
            </w:pPr>
            <w:r w:rsidRPr="00847FD5">
              <w:rPr>
                <w:rFonts w:ascii="Arial" w:hAnsi="Arial" w:cs="Arial"/>
                <w:color w:val="000000" w:themeColor="text1"/>
                <w:sz w:val="18"/>
                <w:szCs w:val="18"/>
              </w:rPr>
              <w:t>11.11</w:t>
            </w:r>
          </w:p>
        </w:tc>
        <w:tc>
          <w:tcPr>
            <w:tcW w:w="900" w:type="dxa"/>
            <w:vAlign w:val="center"/>
          </w:tcPr>
          <w:p w14:paraId="275A147D" w14:textId="77777777" w:rsidR="008907B3" w:rsidRPr="00847FD5" w:rsidRDefault="008907B3" w:rsidP="0039129A">
            <w:pPr>
              <w:jc w:val="center"/>
              <w:rPr>
                <w:rFonts w:ascii="Arial" w:hAnsi="Arial" w:cs="Arial"/>
                <w:sz w:val="18"/>
                <w:szCs w:val="18"/>
              </w:rPr>
            </w:pPr>
            <w:r w:rsidRPr="00847FD5">
              <w:rPr>
                <w:rFonts w:ascii="Arial" w:hAnsi="Arial" w:cs="Arial"/>
                <w:color w:val="000000" w:themeColor="text1"/>
                <w:sz w:val="18"/>
                <w:szCs w:val="18"/>
              </w:rPr>
              <w:t>17.28</w:t>
            </w:r>
          </w:p>
        </w:tc>
        <w:tc>
          <w:tcPr>
            <w:tcW w:w="990" w:type="dxa"/>
            <w:vAlign w:val="center"/>
          </w:tcPr>
          <w:p w14:paraId="45D0CE89" w14:textId="77777777" w:rsidR="008907B3" w:rsidRPr="00847FD5" w:rsidRDefault="008907B3" w:rsidP="0039129A">
            <w:pPr>
              <w:jc w:val="center"/>
              <w:rPr>
                <w:rFonts w:ascii="Arial" w:hAnsi="Arial" w:cs="Arial"/>
                <w:sz w:val="18"/>
                <w:szCs w:val="18"/>
              </w:rPr>
            </w:pPr>
            <w:r w:rsidRPr="00847FD5">
              <w:rPr>
                <w:rFonts w:ascii="Arial" w:hAnsi="Arial" w:cs="Arial"/>
                <w:color w:val="000000" w:themeColor="text1"/>
                <w:sz w:val="18"/>
                <w:szCs w:val="18"/>
              </w:rPr>
              <w:t>25.93</w:t>
            </w:r>
          </w:p>
        </w:tc>
        <w:tc>
          <w:tcPr>
            <w:tcW w:w="900" w:type="dxa"/>
            <w:vAlign w:val="center"/>
          </w:tcPr>
          <w:p w14:paraId="7690306A" w14:textId="77777777" w:rsidR="008907B3" w:rsidRPr="00847FD5" w:rsidRDefault="008907B3" w:rsidP="0039129A">
            <w:pPr>
              <w:jc w:val="center"/>
              <w:rPr>
                <w:rFonts w:ascii="Arial" w:hAnsi="Arial" w:cs="Arial"/>
                <w:sz w:val="18"/>
                <w:szCs w:val="18"/>
              </w:rPr>
            </w:pPr>
            <w:r w:rsidRPr="00847FD5">
              <w:rPr>
                <w:rFonts w:ascii="Arial" w:hAnsi="Arial" w:cs="Arial"/>
                <w:sz w:val="18"/>
                <w:szCs w:val="18"/>
              </w:rPr>
              <w:t>15.12</w:t>
            </w:r>
          </w:p>
        </w:tc>
        <w:tc>
          <w:tcPr>
            <w:tcW w:w="1080" w:type="dxa"/>
            <w:vAlign w:val="center"/>
          </w:tcPr>
          <w:p w14:paraId="149E39C3" w14:textId="77777777" w:rsidR="008907B3" w:rsidRPr="00847FD5" w:rsidRDefault="008907B3" w:rsidP="0039129A">
            <w:pPr>
              <w:jc w:val="center"/>
              <w:rPr>
                <w:rFonts w:ascii="Arial" w:hAnsi="Arial" w:cs="Arial"/>
                <w:sz w:val="18"/>
                <w:szCs w:val="18"/>
              </w:rPr>
            </w:pPr>
            <w:r w:rsidRPr="00847FD5">
              <w:rPr>
                <w:rFonts w:ascii="Arial" w:hAnsi="Arial" w:cs="Arial"/>
                <w:color w:val="000000" w:themeColor="text1"/>
                <w:sz w:val="18"/>
                <w:szCs w:val="18"/>
              </w:rPr>
              <w:t>311.11</w:t>
            </w:r>
          </w:p>
        </w:tc>
        <w:tc>
          <w:tcPr>
            <w:tcW w:w="1180" w:type="dxa"/>
            <w:vAlign w:val="center"/>
          </w:tcPr>
          <w:p w14:paraId="151AAD02" w14:textId="77777777" w:rsidR="008907B3" w:rsidRPr="00847FD5" w:rsidRDefault="008907B3" w:rsidP="0039129A">
            <w:pPr>
              <w:jc w:val="center"/>
              <w:rPr>
                <w:rFonts w:ascii="Arial" w:hAnsi="Arial" w:cs="Arial"/>
                <w:sz w:val="18"/>
                <w:szCs w:val="18"/>
              </w:rPr>
            </w:pPr>
            <w:r w:rsidRPr="00847FD5">
              <w:rPr>
                <w:rFonts w:ascii="Arial" w:hAnsi="Arial" w:cs="Arial"/>
                <w:color w:val="000000" w:themeColor="text1"/>
                <w:sz w:val="18"/>
                <w:szCs w:val="18"/>
              </w:rPr>
              <w:t>0.07</w:t>
            </w:r>
          </w:p>
        </w:tc>
      </w:tr>
      <w:tr w:rsidR="008907B3" w:rsidRPr="00847FD5" w14:paraId="638EA48D" w14:textId="77777777" w:rsidTr="0039129A">
        <w:trPr>
          <w:trHeight w:val="260"/>
          <w:jc w:val="center"/>
        </w:trPr>
        <w:tc>
          <w:tcPr>
            <w:tcW w:w="985" w:type="dxa"/>
            <w:vAlign w:val="center"/>
          </w:tcPr>
          <w:p w14:paraId="342D896A" w14:textId="77777777" w:rsidR="008907B3" w:rsidRPr="00847FD5" w:rsidRDefault="008907B3" w:rsidP="0039129A">
            <w:pPr>
              <w:jc w:val="center"/>
              <w:rPr>
                <w:rFonts w:ascii="Arial" w:hAnsi="Arial" w:cs="Arial"/>
                <w:b/>
                <w:bCs/>
                <w:sz w:val="18"/>
                <w:szCs w:val="18"/>
                <w:vertAlign w:val="subscript"/>
              </w:rPr>
            </w:pPr>
            <w:r w:rsidRPr="00847FD5">
              <w:rPr>
                <w:rFonts w:ascii="Arial" w:hAnsi="Arial" w:cs="Arial"/>
                <w:b/>
                <w:bCs/>
                <w:sz w:val="18"/>
                <w:szCs w:val="18"/>
              </w:rPr>
              <w:t xml:space="preserve">CD </w:t>
            </w:r>
            <w:r w:rsidRPr="00847FD5">
              <w:rPr>
                <w:rFonts w:ascii="Arial" w:hAnsi="Arial" w:cs="Arial"/>
                <w:b/>
                <w:bCs/>
                <w:sz w:val="18"/>
                <w:szCs w:val="18"/>
                <w:vertAlign w:val="subscript"/>
              </w:rPr>
              <w:t>(0.05)</w:t>
            </w:r>
          </w:p>
        </w:tc>
        <w:tc>
          <w:tcPr>
            <w:tcW w:w="1350" w:type="dxa"/>
            <w:vAlign w:val="center"/>
          </w:tcPr>
          <w:p w14:paraId="51FD89D0" w14:textId="77777777" w:rsidR="008907B3" w:rsidRPr="00847FD5" w:rsidRDefault="008907B3" w:rsidP="0039129A">
            <w:pPr>
              <w:jc w:val="center"/>
              <w:rPr>
                <w:rFonts w:ascii="Arial" w:hAnsi="Arial" w:cs="Arial"/>
                <w:b/>
                <w:bCs/>
                <w:sz w:val="18"/>
                <w:szCs w:val="18"/>
              </w:rPr>
            </w:pPr>
          </w:p>
        </w:tc>
        <w:tc>
          <w:tcPr>
            <w:tcW w:w="810" w:type="dxa"/>
            <w:vAlign w:val="center"/>
          </w:tcPr>
          <w:p w14:paraId="069CD665" w14:textId="77777777" w:rsidR="008907B3" w:rsidRPr="00847FD5" w:rsidRDefault="008907B3" w:rsidP="0039129A">
            <w:pPr>
              <w:jc w:val="center"/>
              <w:rPr>
                <w:rFonts w:ascii="Arial" w:hAnsi="Arial" w:cs="Arial"/>
                <w:sz w:val="18"/>
                <w:szCs w:val="18"/>
              </w:rPr>
            </w:pPr>
            <w:r w:rsidRPr="00847FD5">
              <w:rPr>
                <w:rFonts w:ascii="Arial" w:hAnsi="Arial" w:cs="Arial"/>
                <w:color w:val="000000" w:themeColor="text1"/>
                <w:sz w:val="18"/>
                <w:szCs w:val="18"/>
              </w:rPr>
              <w:t>3.94</w:t>
            </w:r>
          </w:p>
        </w:tc>
        <w:tc>
          <w:tcPr>
            <w:tcW w:w="810" w:type="dxa"/>
            <w:vAlign w:val="center"/>
          </w:tcPr>
          <w:p w14:paraId="49D98E66" w14:textId="77777777" w:rsidR="008907B3" w:rsidRPr="00847FD5" w:rsidRDefault="008907B3" w:rsidP="0039129A">
            <w:pPr>
              <w:jc w:val="center"/>
              <w:rPr>
                <w:rFonts w:ascii="Arial" w:hAnsi="Arial" w:cs="Arial"/>
                <w:sz w:val="18"/>
                <w:szCs w:val="18"/>
              </w:rPr>
            </w:pPr>
            <w:r w:rsidRPr="00847FD5">
              <w:rPr>
                <w:rFonts w:ascii="Arial" w:hAnsi="Arial" w:cs="Arial"/>
                <w:color w:val="000000" w:themeColor="text1"/>
                <w:sz w:val="18"/>
                <w:szCs w:val="18"/>
              </w:rPr>
              <w:t>5.57</w:t>
            </w:r>
          </w:p>
        </w:tc>
        <w:tc>
          <w:tcPr>
            <w:tcW w:w="900" w:type="dxa"/>
            <w:vAlign w:val="center"/>
          </w:tcPr>
          <w:p w14:paraId="3A38B140" w14:textId="77777777" w:rsidR="008907B3" w:rsidRPr="00847FD5" w:rsidRDefault="008907B3" w:rsidP="0039129A">
            <w:pPr>
              <w:jc w:val="center"/>
              <w:rPr>
                <w:rFonts w:ascii="Arial" w:hAnsi="Arial" w:cs="Arial"/>
                <w:sz w:val="18"/>
                <w:szCs w:val="18"/>
              </w:rPr>
            </w:pPr>
            <w:r w:rsidRPr="00847FD5">
              <w:rPr>
                <w:rFonts w:ascii="Arial" w:hAnsi="Arial" w:cs="Arial"/>
                <w:color w:val="000000" w:themeColor="text1"/>
                <w:sz w:val="18"/>
                <w:szCs w:val="18"/>
              </w:rPr>
              <w:t>6.10</w:t>
            </w:r>
          </w:p>
        </w:tc>
        <w:tc>
          <w:tcPr>
            <w:tcW w:w="990" w:type="dxa"/>
            <w:vAlign w:val="center"/>
          </w:tcPr>
          <w:p w14:paraId="2BF4C80E" w14:textId="77777777" w:rsidR="008907B3" w:rsidRPr="00847FD5" w:rsidRDefault="008907B3" w:rsidP="0039129A">
            <w:pPr>
              <w:jc w:val="center"/>
              <w:rPr>
                <w:rFonts w:ascii="Arial" w:hAnsi="Arial" w:cs="Arial"/>
                <w:sz w:val="18"/>
                <w:szCs w:val="18"/>
              </w:rPr>
            </w:pPr>
            <w:r w:rsidRPr="00847FD5">
              <w:rPr>
                <w:rFonts w:ascii="Arial" w:hAnsi="Arial" w:cs="Arial"/>
                <w:color w:val="000000" w:themeColor="text1"/>
                <w:sz w:val="18"/>
                <w:szCs w:val="18"/>
              </w:rPr>
              <w:t>5.28</w:t>
            </w:r>
          </w:p>
        </w:tc>
        <w:tc>
          <w:tcPr>
            <w:tcW w:w="900" w:type="dxa"/>
            <w:vAlign w:val="center"/>
          </w:tcPr>
          <w:p w14:paraId="68AB98D3" w14:textId="77777777" w:rsidR="008907B3" w:rsidRPr="00847FD5" w:rsidRDefault="008907B3" w:rsidP="0039129A">
            <w:pPr>
              <w:jc w:val="center"/>
              <w:rPr>
                <w:rFonts w:ascii="Arial" w:hAnsi="Arial" w:cs="Arial"/>
                <w:sz w:val="18"/>
                <w:szCs w:val="18"/>
              </w:rPr>
            </w:pPr>
            <w:r w:rsidRPr="00847FD5">
              <w:rPr>
                <w:rFonts w:ascii="Arial" w:hAnsi="Arial" w:cs="Arial"/>
                <w:sz w:val="18"/>
                <w:szCs w:val="18"/>
              </w:rPr>
              <w:t>-</w:t>
            </w:r>
          </w:p>
        </w:tc>
        <w:tc>
          <w:tcPr>
            <w:tcW w:w="1080" w:type="dxa"/>
            <w:vAlign w:val="center"/>
          </w:tcPr>
          <w:p w14:paraId="1A12CB65" w14:textId="77777777" w:rsidR="008907B3" w:rsidRPr="00847FD5" w:rsidRDefault="008907B3" w:rsidP="0039129A">
            <w:pPr>
              <w:jc w:val="center"/>
              <w:rPr>
                <w:rFonts w:ascii="Arial" w:hAnsi="Arial" w:cs="Arial"/>
                <w:sz w:val="18"/>
                <w:szCs w:val="18"/>
              </w:rPr>
            </w:pPr>
            <w:r w:rsidRPr="00847FD5">
              <w:rPr>
                <w:rFonts w:ascii="Arial" w:hAnsi="Arial" w:cs="Arial"/>
                <w:color w:val="000000" w:themeColor="text1"/>
                <w:sz w:val="18"/>
                <w:szCs w:val="18"/>
              </w:rPr>
              <w:t>82.28</w:t>
            </w:r>
          </w:p>
        </w:tc>
        <w:tc>
          <w:tcPr>
            <w:tcW w:w="1180" w:type="dxa"/>
            <w:vAlign w:val="center"/>
          </w:tcPr>
          <w:p w14:paraId="5E119504" w14:textId="77777777" w:rsidR="008907B3" w:rsidRPr="00847FD5" w:rsidRDefault="008907B3" w:rsidP="0039129A">
            <w:pPr>
              <w:jc w:val="center"/>
              <w:rPr>
                <w:rFonts w:ascii="Arial" w:hAnsi="Arial" w:cs="Arial"/>
                <w:sz w:val="18"/>
                <w:szCs w:val="18"/>
              </w:rPr>
            </w:pPr>
            <w:r w:rsidRPr="00847FD5">
              <w:rPr>
                <w:rFonts w:ascii="Arial" w:hAnsi="Arial" w:cs="Arial"/>
                <w:color w:val="000000" w:themeColor="text1"/>
                <w:sz w:val="18"/>
                <w:szCs w:val="18"/>
              </w:rPr>
              <w:t>0.02</w:t>
            </w:r>
          </w:p>
        </w:tc>
      </w:tr>
      <w:tr w:rsidR="008907B3" w:rsidRPr="00847FD5" w14:paraId="030F1AC8" w14:textId="77777777" w:rsidTr="0039129A">
        <w:trPr>
          <w:trHeight w:val="242"/>
          <w:jc w:val="center"/>
        </w:trPr>
        <w:tc>
          <w:tcPr>
            <w:tcW w:w="985" w:type="dxa"/>
            <w:vAlign w:val="center"/>
          </w:tcPr>
          <w:p w14:paraId="724B96DA" w14:textId="77777777" w:rsidR="008907B3" w:rsidRPr="00847FD5" w:rsidRDefault="008907B3" w:rsidP="0039129A">
            <w:pPr>
              <w:jc w:val="center"/>
              <w:rPr>
                <w:rFonts w:ascii="Arial" w:hAnsi="Arial" w:cs="Arial"/>
                <w:b/>
                <w:bCs/>
                <w:sz w:val="18"/>
                <w:szCs w:val="18"/>
              </w:rPr>
            </w:pPr>
            <w:r w:rsidRPr="00847FD5">
              <w:rPr>
                <w:rFonts w:ascii="Arial" w:hAnsi="Arial" w:cs="Arial"/>
                <w:b/>
                <w:bCs/>
                <w:sz w:val="18"/>
                <w:szCs w:val="18"/>
              </w:rPr>
              <w:t>SE (d)</w:t>
            </w:r>
          </w:p>
        </w:tc>
        <w:tc>
          <w:tcPr>
            <w:tcW w:w="1350" w:type="dxa"/>
            <w:vAlign w:val="center"/>
          </w:tcPr>
          <w:p w14:paraId="58E71D09" w14:textId="77777777" w:rsidR="008907B3" w:rsidRPr="00847FD5" w:rsidRDefault="008907B3" w:rsidP="0039129A">
            <w:pPr>
              <w:jc w:val="center"/>
              <w:rPr>
                <w:rFonts w:ascii="Arial" w:hAnsi="Arial" w:cs="Arial"/>
                <w:b/>
                <w:bCs/>
                <w:sz w:val="18"/>
                <w:szCs w:val="18"/>
              </w:rPr>
            </w:pPr>
          </w:p>
        </w:tc>
        <w:tc>
          <w:tcPr>
            <w:tcW w:w="810" w:type="dxa"/>
            <w:vAlign w:val="center"/>
          </w:tcPr>
          <w:p w14:paraId="3551B537" w14:textId="77777777" w:rsidR="008907B3" w:rsidRPr="00847FD5" w:rsidRDefault="008907B3" w:rsidP="0039129A">
            <w:pPr>
              <w:jc w:val="center"/>
              <w:rPr>
                <w:rFonts w:ascii="Arial" w:hAnsi="Arial" w:cs="Arial"/>
                <w:sz w:val="18"/>
                <w:szCs w:val="18"/>
              </w:rPr>
            </w:pPr>
            <w:r w:rsidRPr="00847FD5">
              <w:rPr>
                <w:rFonts w:ascii="Arial" w:hAnsi="Arial" w:cs="Arial"/>
                <w:color w:val="000000" w:themeColor="text1"/>
                <w:sz w:val="18"/>
                <w:szCs w:val="18"/>
              </w:rPr>
              <w:t>1.75</w:t>
            </w:r>
          </w:p>
        </w:tc>
        <w:tc>
          <w:tcPr>
            <w:tcW w:w="810" w:type="dxa"/>
            <w:vAlign w:val="center"/>
          </w:tcPr>
          <w:p w14:paraId="1AA1DBBF" w14:textId="77777777" w:rsidR="008907B3" w:rsidRPr="00847FD5" w:rsidRDefault="008907B3" w:rsidP="0039129A">
            <w:pPr>
              <w:jc w:val="center"/>
              <w:rPr>
                <w:rFonts w:ascii="Arial" w:hAnsi="Arial" w:cs="Arial"/>
                <w:sz w:val="18"/>
                <w:szCs w:val="18"/>
              </w:rPr>
            </w:pPr>
            <w:r w:rsidRPr="00847FD5">
              <w:rPr>
                <w:rFonts w:ascii="Arial" w:hAnsi="Arial" w:cs="Arial"/>
                <w:color w:val="000000" w:themeColor="text1"/>
                <w:sz w:val="18"/>
                <w:szCs w:val="18"/>
              </w:rPr>
              <w:t>2.46</w:t>
            </w:r>
          </w:p>
        </w:tc>
        <w:tc>
          <w:tcPr>
            <w:tcW w:w="900" w:type="dxa"/>
            <w:vAlign w:val="center"/>
          </w:tcPr>
          <w:p w14:paraId="4E77DCEB" w14:textId="77777777" w:rsidR="008907B3" w:rsidRPr="00847FD5" w:rsidRDefault="008907B3" w:rsidP="0039129A">
            <w:pPr>
              <w:jc w:val="center"/>
              <w:rPr>
                <w:rFonts w:ascii="Arial" w:hAnsi="Arial" w:cs="Arial"/>
                <w:sz w:val="18"/>
                <w:szCs w:val="18"/>
              </w:rPr>
            </w:pPr>
            <w:r w:rsidRPr="00847FD5">
              <w:rPr>
                <w:rFonts w:ascii="Arial" w:hAnsi="Arial" w:cs="Arial"/>
                <w:color w:val="000000" w:themeColor="text1"/>
                <w:sz w:val="18"/>
                <w:szCs w:val="18"/>
              </w:rPr>
              <w:t>2.70</w:t>
            </w:r>
          </w:p>
        </w:tc>
        <w:tc>
          <w:tcPr>
            <w:tcW w:w="990" w:type="dxa"/>
            <w:vAlign w:val="center"/>
          </w:tcPr>
          <w:p w14:paraId="6762F57E" w14:textId="77777777" w:rsidR="008907B3" w:rsidRPr="00847FD5" w:rsidRDefault="008907B3" w:rsidP="0039129A">
            <w:pPr>
              <w:jc w:val="center"/>
              <w:rPr>
                <w:rFonts w:ascii="Arial" w:hAnsi="Arial" w:cs="Arial"/>
                <w:sz w:val="18"/>
                <w:szCs w:val="18"/>
              </w:rPr>
            </w:pPr>
            <w:r w:rsidRPr="00847FD5">
              <w:rPr>
                <w:rFonts w:ascii="Arial" w:hAnsi="Arial" w:cs="Arial"/>
                <w:color w:val="000000" w:themeColor="text1"/>
                <w:sz w:val="18"/>
                <w:szCs w:val="18"/>
              </w:rPr>
              <w:t>2.34</w:t>
            </w:r>
          </w:p>
        </w:tc>
        <w:tc>
          <w:tcPr>
            <w:tcW w:w="900" w:type="dxa"/>
            <w:vAlign w:val="center"/>
          </w:tcPr>
          <w:p w14:paraId="5A70BF9C" w14:textId="77777777" w:rsidR="008907B3" w:rsidRPr="00847FD5" w:rsidRDefault="008907B3" w:rsidP="0039129A">
            <w:pPr>
              <w:jc w:val="center"/>
              <w:rPr>
                <w:rFonts w:ascii="Arial" w:hAnsi="Arial" w:cs="Arial"/>
                <w:sz w:val="18"/>
                <w:szCs w:val="18"/>
              </w:rPr>
            </w:pPr>
            <w:r w:rsidRPr="00847FD5">
              <w:rPr>
                <w:rFonts w:ascii="Arial" w:hAnsi="Arial" w:cs="Arial"/>
                <w:sz w:val="18"/>
                <w:szCs w:val="18"/>
              </w:rPr>
              <w:t>-</w:t>
            </w:r>
          </w:p>
        </w:tc>
        <w:tc>
          <w:tcPr>
            <w:tcW w:w="1080" w:type="dxa"/>
            <w:vAlign w:val="center"/>
          </w:tcPr>
          <w:p w14:paraId="32739F89" w14:textId="77777777" w:rsidR="008907B3" w:rsidRPr="00847FD5" w:rsidRDefault="008907B3" w:rsidP="0039129A">
            <w:pPr>
              <w:jc w:val="center"/>
              <w:rPr>
                <w:rFonts w:ascii="Arial" w:hAnsi="Arial" w:cs="Arial"/>
                <w:sz w:val="18"/>
                <w:szCs w:val="18"/>
              </w:rPr>
            </w:pPr>
            <w:r w:rsidRPr="00847FD5">
              <w:rPr>
                <w:rFonts w:ascii="Arial" w:hAnsi="Arial" w:cs="Arial"/>
                <w:color w:val="000000" w:themeColor="text1"/>
                <w:sz w:val="18"/>
                <w:szCs w:val="18"/>
              </w:rPr>
              <w:t>36.45</w:t>
            </w:r>
          </w:p>
        </w:tc>
        <w:tc>
          <w:tcPr>
            <w:tcW w:w="1180" w:type="dxa"/>
            <w:vAlign w:val="center"/>
          </w:tcPr>
          <w:p w14:paraId="18BC18C6" w14:textId="77777777" w:rsidR="008907B3" w:rsidRPr="00847FD5" w:rsidRDefault="008907B3" w:rsidP="0039129A">
            <w:pPr>
              <w:jc w:val="center"/>
              <w:rPr>
                <w:rFonts w:ascii="Arial" w:hAnsi="Arial" w:cs="Arial"/>
                <w:sz w:val="18"/>
                <w:szCs w:val="18"/>
              </w:rPr>
            </w:pPr>
            <w:r w:rsidRPr="00847FD5">
              <w:rPr>
                <w:rFonts w:ascii="Arial" w:hAnsi="Arial" w:cs="Arial"/>
                <w:color w:val="000000" w:themeColor="text1"/>
                <w:sz w:val="18"/>
                <w:szCs w:val="18"/>
              </w:rPr>
              <w:t>0.01</w:t>
            </w:r>
          </w:p>
        </w:tc>
      </w:tr>
    </w:tbl>
    <w:p w14:paraId="6A23AB36" w14:textId="77777777" w:rsidR="00163E63" w:rsidRDefault="00163E63" w:rsidP="00163E63">
      <w:pPr>
        <w:spacing w:after="0" w:line="276" w:lineRule="auto"/>
        <w:jc w:val="both"/>
        <w:rPr>
          <w:b/>
          <w:bCs/>
        </w:rPr>
      </w:pPr>
    </w:p>
    <w:p w14:paraId="35039AF5" w14:textId="673EAA99" w:rsidR="008907B3" w:rsidRPr="00163E63" w:rsidRDefault="008907B3" w:rsidP="00163E63">
      <w:pPr>
        <w:spacing w:after="0" w:line="360" w:lineRule="auto"/>
        <w:jc w:val="both"/>
        <w:rPr>
          <w:rFonts w:ascii="Arial" w:hAnsi="Arial" w:cs="Arial"/>
          <w:b/>
          <w:bCs/>
          <w:sz w:val="22"/>
          <w:szCs w:val="22"/>
        </w:rPr>
      </w:pPr>
      <w:r w:rsidRPr="00163E63">
        <w:rPr>
          <w:rFonts w:ascii="Arial" w:hAnsi="Arial" w:cs="Arial"/>
          <w:b/>
          <w:bCs/>
          <w:sz w:val="22"/>
          <w:szCs w:val="22"/>
        </w:rPr>
        <w:t>3.3 Inoculum load</w:t>
      </w:r>
    </w:p>
    <w:p w14:paraId="1DF6CC92" w14:textId="6A1E3AA2" w:rsidR="008907B3" w:rsidRPr="00163E63" w:rsidRDefault="008907B3" w:rsidP="00163E63">
      <w:pPr>
        <w:spacing w:after="0" w:line="360" w:lineRule="auto"/>
        <w:ind w:firstLine="720"/>
        <w:jc w:val="both"/>
        <w:rPr>
          <w:rFonts w:ascii="Arial" w:hAnsi="Arial" w:cs="Arial"/>
          <w:sz w:val="20"/>
          <w:szCs w:val="20"/>
        </w:rPr>
      </w:pPr>
      <w:r w:rsidRPr="00163E63">
        <w:rPr>
          <w:rFonts w:ascii="Arial" w:hAnsi="Arial" w:cs="Arial"/>
          <w:sz w:val="20"/>
          <w:szCs w:val="20"/>
        </w:rPr>
        <w:t>The effect of different inoculum levels on disease development was studied with 5×10</w:t>
      </w:r>
      <w:r w:rsidRPr="00163E63">
        <w:rPr>
          <w:rFonts w:ascii="Arial" w:hAnsi="Arial" w:cs="Arial"/>
          <w:sz w:val="20"/>
          <w:szCs w:val="20"/>
          <w:vertAlign w:val="superscript"/>
        </w:rPr>
        <w:t>3</w:t>
      </w:r>
      <w:r w:rsidRPr="00163E63">
        <w:rPr>
          <w:rFonts w:ascii="Arial" w:hAnsi="Arial" w:cs="Arial"/>
          <w:sz w:val="20"/>
          <w:szCs w:val="20"/>
        </w:rPr>
        <w:t>, 1×10</w:t>
      </w:r>
      <w:r w:rsidRPr="00163E63">
        <w:rPr>
          <w:rFonts w:ascii="Arial" w:hAnsi="Arial" w:cs="Arial"/>
          <w:sz w:val="20"/>
          <w:szCs w:val="20"/>
          <w:vertAlign w:val="superscript"/>
        </w:rPr>
        <w:t>5</w:t>
      </w:r>
      <w:r w:rsidRPr="00163E63">
        <w:rPr>
          <w:rFonts w:ascii="Arial" w:hAnsi="Arial" w:cs="Arial"/>
          <w:sz w:val="20"/>
          <w:szCs w:val="20"/>
        </w:rPr>
        <w:t>, 5×10</w:t>
      </w:r>
      <w:r w:rsidRPr="00163E63">
        <w:rPr>
          <w:rFonts w:ascii="Arial" w:hAnsi="Arial" w:cs="Arial"/>
          <w:sz w:val="20"/>
          <w:szCs w:val="20"/>
          <w:vertAlign w:val="superscript"/>
        </w:rPr>
        <w:t>4</w:t>
      </w:r>
      <w:r w:rsidRPr="00163E63">
        <w:rPr>
          <w:rFonts w:ascii="Arial" w:hAnsi="Arial" w:cs="Arial"/>
          <w:sz w:val="20"/>
          <w:szCs w:val="20"/>
        </w:rPr>
        <w:t>, 1×10</w:t>
      </w:r>
      <w:r w:rsidRPr="00163E63">
        <w:rPr>
          <w:rFonts w:ascii="Arial" w:hAnsi="Arial" w:cs="Arial"/>
          <w:sz w:val="20"/>
          <w:szCs w:val="20"/>
          <w:vertAlign w:val="superscript"/>
        </w:rPr>
        <w:t>6</w:t>
      </w:r>
      <w:r w:rsidRPr="00163E63">
        <w:rPr>
          <w:rFonts w:ascii="Arial" w:hAnsi="Arial" w:cs="Arial"/>
          <w:sz w:val="20"/>
          <w:szCs w:val="20"/>
        </w:rPr>
        <w:t xml:space="preserve"> and 5×10</w:t>
      </w:r>
      <w:r w:rsidRPr="00163E63">
        <w:rPr>
          <w:rFonts w:ascii="Arial" w:hAnsi="Arial" w:cs="Arial"/>
          <w:sz w:val="20"/>
          <w:szCs w:val="20"/>
          <w:vertAlign w:val="superscript"/>
        </w:rPr>
        <w:t xml:space="preserve">5 </w:t>
      </w:r>
      <w:r w:rsidRPr="00163E63">
        <w:rPr>
          <w:rFonts w:ascii="Arial" w:hAnsi="Arial" w:cs="Arial"/>
          <w:sz w:val="20"/>
          <w:szCs w:val="20"/>
        </w:rPr>
        <w:t xml:space="preserve">sporangia/ml. The data presented in Table </w:t>
      </w:r>
      <w:r w:rsidR="00163E63">
        <w:rPr>
          <w:rFonts w:ascii="Arial" w:hAnsi="Arial" w:cs="Arial"/>
          <w:sz w:val="20"/>
          <w:szCs w:val="20"/>
        </w:rPr>
        <w:t>4</w:t>
      </w:r>
      <w:r w:rsidRPr="00163E63">
        <w:rPr>
          <w:rFonts w:ascii="Arial" w:hAnsi="Arial" w:cs="Arial"/>
          <w:sz w:val="20"/>
          <w:szCs w:val="20"/>
        </w:rPr>
        <w:t xml:space="preserve"> revealed significant variation in incubation period, disease severity, AUDPC values and apparent rate of infection was recorded at different inoculum loads. The results of the experiment revealed that the plants inoculated with different inoculum concentrations showed varied infection. Inoculum load of 1×10</w:t>
      </w:r>
      <w:r w:rsidRPr="00163E63">
        <w:rPr>
          <w:rFonts w:ascii="Arial" w:hAnsi="Arial" w:cs="Arial"/>
          <w:sz w:val="20"/>
          <w:szCs w:val="20"/>
          <w:vertAlign w:val="superscript"/>
        </w:rPr>
        <w:t xml:space="preserve">6 </w:t>
      </w:r>
      <w:r w:rsidRPr="00163E63">
        <w:rPr>
          <w:rFonts w:ascii="Arial" w:hAnsi="Arial" w:cs="Arial"/>
          <w:sz w:val="20"/>
          <w:szCs w:val="20"/>
        </w:rPr>
        <w:t>sporangia/ml resulted in maximum average disease index (39.51%) and shortest average incubation period of 13.0 days with corresponding AUDPC and infection rate of 829.62 and 0.03 r/day, respectively. Next best in order was inoculum load of 5×10</w:t>
      </w:r>
      <w:r w:rsidRPr="00163E63">
        <w:rPr>
          <w:rFonts w:ascii="Arial" w:hAnsi="Arial" w:cs="Arial"/>
          <w:sz w:val="20"/>
          <w:szCs w:val="20"/>
          <w:vertAlign w:val="superscript"/>
        </w:rPr>
        <w:t xml:space="preserve">5 </w:t>
      </w:r>
      <w:r w:rsidRPr="00163E63">
        <w:rPr>
          <w:rFonts w:ascii="Arial" w:hAnsi="Arial" w:cs="Arial"/>
          <w:sz w:val="20"/>
          <w:szCs w:val="20"/>
        </w:rPr>
        <w:t>sporangia/ml with average disease index of 33.64 per cent along with AUDPC of 717.28 and infection rate of 0.04 r/day. The disease progress was also significantly moderate at 1×10</w:t>
      </w:r>
      <w:r w:rsidRPr="00163E63">
        <w:rPr>
          <w:rFonts w:ascii="Arial" w:hAnsi="Arial" w:cs="Arial"/>
          <w:sz w:val="20"/>
          <w:szCs w:val="20"/>
          <w:vertAlign w:val="superscript"/>
        </w:rPr>
        <w:t>5</w:t>
      </w:r>
      <w:r w:rsidRPr="00163E63">
        <w:rPr>
          <w:rFonts w:ascii="Arial" w:hAnsi="Arial" w:cs="Arial"/>
          <w:sz w:val="20"/>
          <w:szCs w:val="20"/>
        </w:rPr>
        <w:t xml:space="preserve"> sporangia/ml inoculum load which was evident by average disease index (31.79%), AUDPC values (669.76) and apparent infection rate (0.03 r/day). However, minimum average disease index (22.53%) was recorded with inoculum level of 5×10</w:t>
      </w:r>
      <w:r w:rsidRPr="00163E63">
        <w:rPr>
          <w:rFonts w:ascii="Arial" w:hAnsi="Arial" w:cs="Arial"/>
          <w:sz w:val="20"/>
          <w:szCs w:val="20"/>
          <w:vertAlign w:val="superscript"/>
        </w:rPr>
        <w:t>3</w:t>
      </w:r>
      <w:r w:rsidRPr="00163E63">
        <w:rPr>
          <w:rFonts w:ascii="Arial" w:hAnsi="Arial" w:cs="Arial"/>
          <w:sz w:val="20"/>
          <w:szCs w:val="20"/>
        </w:rPr>
        <w:t xml:space="preserve"> sporangia/ml with longest average incubation period of 18.3 days. It also provided minimum AUDPC (466.67) and apparent rate of infection (0.06 r/day).</w:t>
      </w:r>
    </w:p>
    <w:p w14:paraId="64C32D05" w14:textId="77777777" w:rsidR="00163E63" w:rsidRDefault="008907B3" w:rsidP="00163E63">
      <w:pPr>
        <w:spacing w:after="0" w:line="360" w:lineRule="auto"/>
        <w:ind w:firstLine="720"/>
        <w:jc w:val="both"/>
        <w:rPr>
          <w:rFonts w:ascii="Arial" w:hAnsi="Arial" w:cs="Arial"/>
          <w:sz w:val="20"/>
          <w:szCs w:val="20"/>
        </w:rPr>
      </w:pPr>
      <w:r w:rsidRPr="00163E63">
        <w:rPr>
          <w:rFonts w:ascii="Arial" w:hAnsi="Arial" w:cs="Arial"/>
          <w:sz w:val="20"/>
          <w:szCs w:val="20"/>
        </w:rPr>
        <w:t>Overall, the findings highlighted inoculum density as a critical epidemiological factor governing brown spot development. Although, 1×10</w:t>
      </w:r>
      <w:r w:rsidRPr="00163E63">
        <w:rPr>
          <w:rFonts w:ascii="Arial" w:hAnsi="Arial" w:cs="Arial"/>
          <w:sz w:val="20"/>
          <w:szCs w:val="20"/>
          <w:vertAlign w:val="superscript"/>
        </w:rPr>
        <w:t>6</w:t>
      </w:r>
      <w:r w:rsidRPr="00163E63">
        <w:rPr>
          <w:rFonts w:ascii="Arial" w:hAnsi="Arial" w:cs="Arial"/>
          <w:sz w:val="20"/>
          <w:szCs w:val="20"/>
        </w:rPr>
        <w:t xml:space="preserve"> sporangia/ml produced maximum disease severity, but this concentration can result in unnaturally high infection pressure, which is less representative of field conditions and may mask subtle treatment effects in subsequent experiments. Therefore, 5 × 10</w:t>
      </w:r>
      <w:r w:rsidRPr="00163E63">
        <w:rPr>
          <w:rFonts w:ascii="Arial" w:hAnsi="Arial" w:cs="Arial"/>
          <w:sz w:val="20"/>
          <w:szCs w:val="20"/>
          <w:vertAlign w:val="superscript"/>
        </w:rPr>
        <w:t>5</w:t>
      </w:r>
      <w:r w:rsidRPr="00163E63">
        <w:rPr>
          <w:rFonts w:ascii="Arial" w:hAnsi="Arial" w:cs="Arial"/>
          <w:sz w:val="20"/>
          <w:szCs w:val="20"/>
        </w:rPr>
        <w:t xml:space="preserve"> sporangia/ml was considered optimal and selected for further studies, as it produced reliable, reproducible disease symptoms with an appropriate incubation period and disease progress.</w:t>
      </w:r>
    </w:p>
    <w:p w14:paraId="1F52218F" w14:textId="24BC3ED5" w:rsidR="008907B3" w:rsidRPr="00163E63" w:rsidRDefault="008907B3" w:rsidP="00163E63">
      <w:pPr>
        <w:spacing w:after="0" w:line="360" w:lineRule="auto"/>
        <w:ind w:firstLine="720"/>
        <w:jc w:val="both"/>
        <w:rPr>
          <w:rFonts w:ascii="Arial" w:hAnsi="Arial" w:cs="Arial"/>
          <w:sz w:val="20"/>
          <w:szCs w:val="20"/>
        </w:rPr>
      </w:pPr>
      <w:r w:rsidRPr="00163E63">
        <w:rPr>
          <w:rFonts w:ascii="Arial" w:hAnsi="Arial" w:cs="Arial"/>
          <w:sz w:val="20"/>
          <w:szCs w:val="20"/>
        </w:rPr>
        <w:t xml:space="preserve"> Shah et al. (2016) evaluated the response of three maize varieties </w:t>
      </w:r>
      <w:r w:rsidRPr="00163E63">
        <w:rPr>
          <w:rFonts w:ascii="Arial" w:hAnsi="Arial" w:cs="Arial"/>
          <w:i/>
          <w:iCs/>
          <w:sz w:val="20"/>
          <w:szCs w:val="20"/>
        </w:rPr>
        <w:t xml:space="preserve">viz., </w:t>
      </w:r>
      <w:r w:rsidRPr="00163E63">
        <w:rPr>
          <w:rFonts w:ascii="Arial" w:hAnsi="Arial" w:cs="Arial"/>
          <w:sz w:val="20"/>
          <w:szCs w:val="20"/>
        </w:rPr>
        <w:t xml:space="preserve">Iqbal, Azam and Jalal towards four inoculum levels of </w:t>
      </w:r>
      <w:r w:rsidRPr="00163E63">
        <w:rPr>
          <w:rFonts w:ascii="Arial" w:hAnsi="Arial" w:cs="Arial"/>
          <w:i/>
          <w:iCs/>
          <w:sz w:val="20"/>
          <w:szCs w:val="20"/>
        </w:rPr>
        <w:t xml:space="preserve">B. maydis </w:t>
      </w:r>
      <w:r w:rsidRPr="00163E63">
        <w:rPr>
          <w:rFonts w:ascii="Arial" w:hAnsi="Arial" w:cs="Arial"/>
          <w:sz w:val="20"/>
          <w:szCs w:val="20"/>
        </w:rPr>
        <w:t>(1.5×10</w:t>
      </w:r>
      <w:r w:rsidRPr="00163E63">
        <w:rPr>
          <w:rFonts w:ascii="Arial" w:hAnsi="Arial" w:cs="Arial"/>
          <w:sz w:val="20"/>
          <w:szCs w:val="20"/>
          <w:vertAlign w:val="superscript"/>
        </w:rPr>
        <w:t>4</w:t>
      </w:r>
      <w:r w:rsidRPr="00163E63">
        <w:rPr>
          <w:rFonts w:ascii="Arial" w:hAnsi="Arial" w:cs="Arial"/>
          <w:sz w:val="20"/>
          <w:szCs w:val="20"/>
        </w:rPr>
        <w:t>, 3×10</w:t>
      </w:r>
      <w:r w:rsidRPr="00163E63">
        <w:rPr>
          <w:rFonts w:ascii="Arial" w:hAnsi="Arial" w:cs="Arial"/>
          <w:sz w:val="20"/>
          <w:szCs w:val="20"/>
          <w:vertAlign w:val="superscript"/>
        </w:rPr>
        <w:t>4</w:t>
      </w:r>
      <w:r w:rsidRPr="00163E63">
        <w:rPr>
          <w:rFonts w:ascii="Arial" w:hAnsi="Arial" w:cs="Arial"/>
          <w:sz w:val="20"/>
          <w:szCs w:val="20"/>
        </w:rPr>
        <w:t>, 4.5×10</w:t>
      </w:r>
      <w:r w:rsidRPr="00163E63">
        <w:rPr>
          <w:rFonts w:ascii="Arial" w:hAnsi="Arial" w:cs="Arial"/>
          <w:sz w:val="20"/>
          <w:szCs w:val="20"/>
          <w:vertAlign w:val="superscript"/>
        </w:rPr>
        <w:t>4</w:t>
      </w:r>
      <w:r w:rsidRPr="00163E63">
        <w:rPr>
          <w:rFonts w:ascii="Arial" w:hAnsi="Arial" w:cs="Arial"/>
          <w:sz w:val="20"/>
          <w:szCs w:val="20"/>
        </w:rPr>
        <w:t xml:space="preserve"> and 6×10</w:t>
      </w:r>
      <w:r w:rsidRPr="00163E63">
        <w:rPr>
          <w:rFonts w:ascii="Arial" w:hAnsi="Arial" w:cs="Arial"/>
          <w:sz w:val="20"/>
          <w:szCs w:val="20"/>
          <w:vertAlign w:val="superscript"/>
        </w:rPr>
        <w:t>4</w:t>
      </w:r>
      <w:r w:rsidRPr="00163E63">
        <w:rPr>
          <w:rFonts w:ascii="Arial" w:hAnsi="Arial" w:cs="Arial"/>
          <w:sz w:val="20"/>
          <w:szCs w:val="20"/>
        </w:rPr>
        <w:t xml:space="preserve"> conidia/ml). The highest inoculum level of </w:t>
      </w:r>
      <w:r w:rsidRPr="00163E63">
        <w:rPr>
          <w:rFonts w:ascii="Arial" w:hAnsi="Arial" w:cs="Arial"/>
          <w:i/>
          <w:iCs/>
          <w:sz w:val="20"/>
          <w:szCs w:val="20"/>
        </w:rPr>
        <w:t xml:space="preserve">B. maydis </w:t>
      </w:r>
      <w:r w:rsidRPr="00163E63">
        <w:rPr>
          <w:rFonts w:ascii="Arial" w:hAnsi="Arial" w:cs="Arial"/>
          <w:sz w:val="20"/>
          <w:szCs w:val="20"/>
        </w:rPr>
        <w:t>(6×10</w:t>
      </w:r>
      <w:r w:rsidRPr="00163E63">
        <w:rPr>
          <w:rFonts w:ascii="Arial" w:hAnsi="Arial" w:cs="Arial"/>
          <w:sz w:val="20"/>
          <w:szCs w:val="20"/>
          <w:vertAlign w:val="superscript"/>
        </w:rPr>
        <w:t>4</w:t>
      </w:r>
      <w:r w:rsidRPr="00163E63">
        <w:rPr>
          <w:rFonts w:ascii="Arial" w:hAnsi="Arial" w:cs="Arial"/>
          <w:sz w:val="20"/>
          <w:szCs w:val="20"/>
        </w:rPr>
        <w:t xml:space="preserve"> conidia/ml) reported maximum disease severity (3.33%) and minimum plant height (145.14 cm), fresh ear weight (1678.8 g), number of grains/ear (335.67), cob length (13.38 cm) and grain yield/sub-plots (2322.0 g) in Azam variety. Similarly, 6×10</w:t>
      </w:r>
      <w:r w:rsidRPr="00163E63">
        <w:rPr>
          <w:rFonts w:ascii="Arial" w:hAnsi="Arial" w:cs="Arial"/>
          <w:sz w:val="20"/>
          <w:szCs w:val="20"/>
          <w:vertAlign w:val="superscript"/>
        </w:rPr>
        <w:t>4</w:t>
      </w:r>
      <w:r w:rsidRPr="00163E63">
        <w:rPr>
          <w:rFonts w:ascii="Arial" w:hAnsi="Arial" w:cs="Arial"/>
          <w:sz w:val="20"/>
          <w:szCs w:val="20"/>
        </w:rPr>
        <w:t xml:space="preserve"> conidia/ml inoculum load resulted in most disease severity (4.00%), whereas, Jalal variety was found resistant even at higher inoculum level. </w:t>
      </w:r>
    </w:p>
    <w:p w14:paraId="1326CFBD" w14:textId="77777777" w:rsidR="00163E63" w:rsidRDefault="00163E63" w:rsidP="008907B3">
      <w:pPr>
        <w:spacing w:after="240" w:line="276" w:lineRule="auto"/>
        <w:jc w:val="both"/>
        <w:rPr>
          <w:rFonts w:ascii="Arial" w:hAnsi="Arial" w:cs="Arial"/>
          <w:b/>
          <w:bCs/>
          <w:sz w:val="18"/>
          <w:szCs w:val="18"/>
        </w:rPr>
      </w:pPr>
    </w:p>
    <w:p w14:paraId="3322AEA0" w14:textId="77777777" w:rsidR="00163E63" w:rsidRDefault="00163E63" w:rsidP="008907B3">
      <w:pPr>
        <w:spacing w:after="240" w:line="276" w:lineRule="auto"/>
        <w:jc w:val="both"/>
        <w:rPr>
          <w:rFonts w:ascii="Arial" w:hAnsi="Arial" w:cs="Arial"/>
          <w:b/>
          <w:bCs/>
          <w:sz w:val="18"/>
          <w:szCs w:val="18"/>
        </w:rPr>
      </w:pPr>
    </w:p>
    <w:p w14:paraId="6CE9015C" w14:textId="2FF5DFD3" w:rsidR="008907B3" w:rsidRPr="00163E63" w:rsidRDefault="008907B3" w:rsidP="00163E63">
      <w:pPr>
        <w:spacing w:after="0" w:line="276" w:lineRule="auto"/>
        <w:jc w:val="both"/>
        <w:rPr>
          <w:rFonts w:ascii="Arial" w:hAnsi="Arial" w:cs="Arial"/>
          <w:sz w:val="18"/>
          <w:szCs w:val="18"/>
        </w:rPr>
      </w:pPr>
      <w:r w:rsidRPr="00163E63">
        <w:rPr>
          <w:rFonts w:ascii="Arial" w:hAnsi="Arial" w:cs="Arial"/>
          <w:b/>
          <w:bCs/>
          <w:sz w:val="18"/>
          <w:szCs w:val="18"/>
        </w:rPr>
        <w:t>Table 4</w:t>
      </w:r>
      <w:r w:rsidR="00163E63">
        <w:rPr>
          <w:rFonts w:ascii="Arial" w:hAnsi="Arial" w:cs="Arial"/>
          <w:b/>
          <w:bCs/>
          <w:sz w:val="18"/>
          <w:szCs w:val="18"/>
        </w:rPr>
        <w:t>:</w:t>
      </w:r>
      <w:r w:rsidRPr="00163E63">
        <w:rPr>
          <w:rFonts w:ascii="Arial" w:hAnsi="Arial" w:cs="Arial"/>
          <w:b/>
          <w:bCs/>
          <w:sz w:val="18"/>
          <w:szCs w:val="18"/>
        </w:rPr>
        <w:t xml:space="preserve"> Effect of inoculum load of </w:t>
      </w:r>
      <w:r w:rsidRPr="00163E63">
        <w:rPr>
          <w:rFonts w:ascii="Arial" w:hAnsi="Arial" w:cs="Arial"/>
          <w:b/>
          <w:bCs/>
          <w:i/>
          <w:iCs/>
          <w:sz w:val="18"/>
          <w:szCs w:val="18"/>
        </w:rPr>
        <w:t>Physoderma maydis</w:t>
      </w:r>
      <w:r w:rsidRPr="00163E63">
        <w:rPr>
          <w:rFonts w:ascii="Arial" w:hAnsi="Arial" w:cs="Arial"/>
          <w:b/>
          <w:bCs/>
          <w:sz w:val="18"/>
          <w:szCs w:val="18"/>
        </w:rPr>
        <w:t xml:space="preserve"> on the development of brown spot of maize</w:t>
      </w:r>
    </w:p>
    <w:tbl>
      <w:tblPr>
        <w:tblStyle w:val="TableGrid"/>
        <w:tblW w:w="9005" w:type="dxa"/>
        <w:jc w:val="center"/>
        <w:tblLook w:val="04A0" w:firstRow="1" w:lastRow="0" w:firstColumn="1" w:lastColumn="0" w:noHBand="0" w:noVBand="1"/>
      </w:tblPr>
      <w:tblGrid>
        <w:gridCol w:w="1457"/>
        <w:gridCol w:w="1227"/>
        <w:gridCol w:w="842"/>
        <w:gridCol w:w="796"/>
        <w:gridCol w:w="796"/>
        <w:gridCol w:w="840"/>
        <w:gridCol w:w="814"/>
        <w:gridCol w:w="1014"/>
        <w:gridCol w:w="1219"/>
      </w:tblGrid>
      <w:tr w:rsidR="008907B3" w:rsidRPr="00163E63" w14:paraId="17FF8105" w14:textId="77777777" w:rsidTr="0039129A">
        <w:trPr>
          <w:trHeight w:val="551"/>
          <w:jc w:val="center"/>
        </w:trPr>
        <w:tc>
          <w:tcPr>
            <w:tcW w:w="1268" w:type="dxa"/>
            <w:vMerge w:val="restart"/>
            <w:vAlign w:val="center"/>
          </w:tcPr>
          <w:p w14:paraId="41E60B47" w14:textId="77777777" w:rsidR="008907B3" w:rsidRPr="00163E63" w:rsidRDefault="008907B3" w:rsidP="0039129A">
            <w:pPr>
              <w:jc w:val="center"/>
              <w:rPr>
                <w:rFonts w:ascii="Arial" w:hAnsi="Arial" w:cs="Arial"/>
                <w:b/>
                <w:bCs/>
                <w:sz w:val="18"/>
                <w:szCs w:val="18"/>
              </w:rPr>
            </w:pPr>
            <w:r w:rsidRPr="00163E63">
              <w:rPr>
                <w:rFonts w:ascii="Arial" w:hAnsi="Arial" w:cs="Arial"/>
                <w:b/>
                <w:bCs/>
                <w:sz w:val="18"/>
                <w:szCs w:val="18"/>
              </w:rPr>
              <w:t>Inoculum load (sporangia/ml)</w:t>
            </w:r>
          </w:p>
        </w:tc>
        <w:tc>
          <w:tcPr>
            <w:tcW w:w="1244" w:type="dxa"/>
            <w:vMerge w:val="restart"/>
            <w:vAlign w:val="center"/>
          </w:tcPr>
          <w:p w14:paraId="314B6927" w14:textId="77777777" w:rsidR="008907B3" w:rsidRPr="00163E63" w:rsidRDefault="008907B3" w:rsidP="0039129A">
            <w:pPr>
              <w:jc w:val="center"/>
              <w:rPr>
                <w:rFonts w:ascii="Arial" w:hAnsi="Arial" w:cs="Arial"/>
                <w:b/>
                <w:bCs/>
                <w:sz w:val="18"/>
                <w:szCs w:val="18"/>
              </w:rPr>
            </w:pPr>
            <w:r w:rsidRPr="00163E63">
              <w:rPr>
                <w:rFonts w:ascii="Arial" w:hAnsi="Arial" w:cs="Arial"/>
                <w:b/>
                <w:bCs/>
                <w:sz w:val="18"/>
                <w:szCs w:val="18"/>
              </w:rPr>
              <w:t>Incubation period (days)</w:t>
            </w:r>
          </w:p>
        </w:tc>
        <w:tc>
          <w:tcPr>
            <w:tcW w:w="4203" w:type="dxa"/>
            <w:gridSpan w:val="5"/>
            <w:vAlign w:val="center"/>
          </w:tcPr>
          <w:p w14:paraId="350DC626" w14:textId="77777777" w:rsidR="008907B3" w:rsidRPr="00163E63" w:rsidRDefault="008907B3" w:rsidP="0039129A">
            <w:pPr>
              <w:jc w:val="center"/>
              <w:rPr>
                <w:rFonts w:ascii="Arial" w:hAnsi="Arial" w:cs="Arial"/>
                <w:b/>
                <w:bCs/>
                <w:sz w:val="18"/>
                <w:szCs w:val="18"/>
              </w:rPr>
            </w:pPr>
            <w:r w:rsidRPr="00163E63">
              <w:rPr>
                <w:rFonts w:ascii="Arial" w:hAnsi="Arial" w:cs="Arial"/>
                <w:b/>
                <w:bCs/>
                <w:sz w:val="18"/>
                <w:szCs w:val="18"/>
              </w:rPr>
              <w:t>Disease index (%) after disease appearance</w:t>
            </w:r>
          </w:p>
        </w:tc>
        <w:tc>
          <w:tcPr>
            <w:tcW w:w="1038" w:type="dxa"/>
            <w:vMerge w:val="restart"/>
            <w:vAlign w:val="center"/>
          </w:tcPr>
          <w:p w14:paraId="6C77767F" w14:textId="77777777" w:rsidR="008907B3" w:rsidRPr="00163E63" w:rsidRDefault="008907B3" w:rsidP="0039129A">
            <w:pPr>
              <w:jc w:val="center"/>
              <w:rPr>
                <w:rFonts w:ascii="Arial" w:hAnsi="Arial" w:cs="Arial"/>
                <w:b/>
                <w:bCs/>
                <w:sz w:val="18"/>
                <w:szCs w:val="18"/>
              </w:rPr>
            </w:pPr>
            <w:r w:rsidRPr="00163E63">
              <w:rPr>
                <w:rFonts w:ascii="Arial" w:hAnsi="Arial" w:cs="Arial"/>
                <w:b/>
                <w:bCs/>
                <w:sz w:val="18"/>
                <w:szCs w:val="18"/>
              </w:rPr>
              <w:t>AUDPC</w:t>
            </w:r>
          </w:p>
        </w:tc>
        <w:tc>
          <w:tcPr>
            <w:tcW w:w="1252" w:type="dxa"/>
            <w:vMerge w:val="restart"/>
            <w:vAlign w:val="center"/>
          </w:tcPr>
          <w:p w14:paraId="3E09C60C" w14:textId="77777777" w:rsidR="008907B3" w:rsidRPr="00163E63" w:rsidRDefault="008907B3" w:rsidP="0039129A">
            <w:pPr>
              <w:jc w:val="center"/>
              <w:rPr>
                <w:rFonts w:ascii="Arial" w:hAnsi="Arial" w:cs="Arial"/>
                <w:b/>
                <w:bCs/>
                <w:sz w:val="18"/>
                <w:szCs w:val="18"/>
              </w:rPr>
            </w:pPr>
            <w:r w:rsidRPr="00163E63">
              <w:rPr>
                <w:rFonts w:ascii="Arial" w:hAnsi="Arial" w:cs="Arial"/>
                <w:b/>
                <w:bCs/>
                <w:sz w:val="18"/>
                <w:szCs w:val="18"/>
              </w:rPr>
              <w:t>Apparent rate of infection (r/day)</w:t>
            </w:r>
          </w:p>
        </w:tc>
      </w:tr>
      <w:tr w:rsidR="008907B3" w:rsidRPr="00163E63" w14:paraId="0E127B30" w14:textId="77777777" w:rsidTr="0039129A">
        <w:trPr>
          <w:trHeight w:val="144"/>
          <w:jc w:val="center"/>
        </w:trPr>
        <w:tc>
          <w:tcPr>
            <w:tcW w:w="1268" w:type="dxa"/>
            <w:vMerge/>
            <w:vAlign w:val="center"/>
          </w:tcPr>
          <w:p w14:paraId="40055B4F" w14:textId="77777777" w:rsidR="008907B3" w:rsidRPr="00163E63" w:rsidRDefault="008907B3" w:rsidP="0039129A">
            <w:pPr>
              <w:jc w:val="center"/>
              <w:rPr>
                <w:rFonts w:ascii="Arial" w:hAnsi="Arial" w:cs="Arial"/>
                <w:b/>
                <w:bCs/>
                <w:sz w:val="18"/>
                <w:szCs w:val="18"/>
              </w:rPr>
            </w:pPr>
          </w:p>
        </w:tc>
        <w:tc>
          <w:tcPr>
            <w:tcW w:w="1244" w:type="dxa"/>
            <w:vMerge/>
            <w:vAlign w:val="center"/>
          </w:tcPr>
          <w:p w14:paraId="288CABE9" w14:textId="77777777" w:rsidR="008907B3" w:rsidRPr="00163E63" w:rsidRDefault="008907B3" w:rsidP="0039129A">
            <w:pPr>
              <w:jc w:val="center"/>
              <w:rPr>
                <w:rFonts w:ascii="Arial" w:hAnsi="Arial" w:cs="Arial"/>
                <w:b/>
                <w:bCs/>
                <w:sz w:val="18"/>
                <w:szCs w:val="18"/>
              </w:rPr>
            </w:pPr>
          </w:p>
        </w:tc>
        <w:tc>
          <w:tcPr>
            <w:tcW w:w="869" w:type="dxa"/>
            <w:vAlign w:val="center"/>
          </w:tcPr>
          <w:p w14:paraId="37ABC4B0" w14:textId="77777777" w:rsidR="008907B3" w:rsidRPr="00163E63" w:rsidRDefault="008907B3" w:rsidP="0039129A">
            <w:pPr>
              <w:jc w:val="center"/>
              <w:rPr>
                <w:rFonts w:ascii="Arial" w:hAnsi="Arial" w:cs="Arial"/>
                <w:b/>
                <w:bCs/>
                <w:sz w:val="18"/>
                <w:szCs w:val="18"/>
              </w:rPr>
            </w:pPr>
            <w:r w:rsidRPr="00163E63">
              <w:rPr>
                <w:rFonts w:ascii="Arial" w:hAnsi="Arial" w:cs="Arial"/>
                <w:b/>
                <w:bCs/>
                <w:sz w:val="18"/>
                <w:szCs w:val="18"/>
              </w:rPr>
              <w:t>7</w:t>
            </w:r>
          </w:p>
        </w:tc>
        <w:tc>
          <w:tcPr>
            <w:tcW w:w="816" w:type="dxa"/>
            <w:vAlign w:val="center"/>
          </w:tcPr>
          <w:p w14:paraId="53A572DF" w14:textId="77777777" w:rsidR="008907B3" w:rsidRPr="00163E63" w:rsidRDefault="008907B3" w:rsidP="0039129A">
            <w:pPr>
              <w:jc w:val="center"/>
              <w:rPr>
                <w:rFonts w:ascii="Arial" w:hAnsi="Arial" w:cs="Arial"/>
                <w:b/>
                <w:bCs/>
                <w:sz w:val="18"/>
                <w:szCs w:val="18"/>
              </w:rPr>
            </w:pPr>
            <w:r w:rsidRPr="00163E63">
              <w:rPr>
                <w:rFonts w:ascii="Arial" w:hAnsi="Arial" w:cs="Arial"/>
                <w:b/>
                <w:bCs/>
                <w:sz w:val="18"/>
                <w:szCs w:val="18"/>
              </w:rPr>
              <w:t>14</w:t>
            </w:r>
          </w:p>
        </w:tc>
        <w:tc>
          <w:tcPr>
            <w:tcW w:w="816" w:type="dxa"/>
            <w:vAlign w:val="center"/>
          </w:tcPr>
          <w:p w14:paraId="0D34B42D" w14:textId="77777777" w:rsidR="008907B3" w:rsidRPr="00163E63" w:rsidRDefault="008907B3" w:rsidP="0039129A">
            <w:pPr>
              <w:jc w:val="center"/>
              <w:rPr>
                <w:rFonts w:ascii="Arial" w:hAnsi="Arial" w:cs="Arial"/>
                <w:b/>
                <w:bCs/>
                <w:sz w:val="18"/>
                <w:szCs w:val="18"/>
              </w:rPr>
            </w:pPr>
            <w:r w:rsidRPr="00163E63">
              <w:rPr>
                <w:rFonts w:ascii="Arial" w:hAnsi="Arial" w:cs="Arial"/>
                <w:b/>
                <w:bCs/>
                <w:sz w:val="18"/>
                <w:szCs w:val="18"/>
              </w:rPr>
              <w:t>21</w:t>
            </w:r>
          </w:p>
        </w:tc>
        <w:tc>
          <w:tcPr>
            <w:tcW w:w="867" w:type="dxa"/>
            <w:vAlign w:val="center"/>
          </w:tcPr>
          <w:p w14:paraId="39F0C9B0" w14:textId="77777777" w:rsidR="008907B3" w:rsidRPr="00163E63" w:rsidRDefault="008907B3" w:rsidP="0039129A">
            <w:pPr>
              <w:jc w:val="center"/>
              <w:rPr>
                <w:rFonts w:ascii="Arial" w:hAnsi="Arial" w:cs="Arial"/>
                <w:b/>
                <w:bCs/>
                <w:sz w:val="18"/>
                <w:szCs w:val="18"/>
              </w:rPr>
            </w:pPr>
            <w:r w:rsidRPr="00163E63">
              <w:rPr>
                <w:rFonts w:ascii="Arial" w:hAnsi="Arial" w:cs="Arial"/>
                <w:b/>
                <w:bCs/>
                <w:sz w:val="18"/>
                <w:szCs w:val="18"/>
              </w:rPr>
              <w:t>28</w:t>
            </w:r>
          </w:p>
        </w:tc>
        <w:tc>
          <w:tcPr>
            <w:tcW w:w="835" w:type="dxa"/>
            <w:vAlign w:val="center"/>
          </w:tcPr>
          <w:p w14:paraId="65762646" w14:textId="77777777" w:rsidR="008907B3" w:rsidRPr="00163E63" w:rsidRDefault="008907B3" w:rsidP="0039129A">
            <w:pPr>
              <w:jc w:val="center"/>
              <w:rPr>
                <w:rFonts w:ascii="Arial" w:hAnsi="Arial" w:cs="Arial"/>
                <w:b/>
                <w:bCs/>
                <w:sz w:val="18"/>
                <w:szCs w:val="18"/>
              </w:rPr>
            </w:pPr>
            <w:r w:rsidRPr="00163E63">
              <w:rPr>
                <w:rFonts w:ascii="Arial" w:hAnsi="Arial" w:cs="Arial"/>
                <w:b/>
                <w:bCs/>
                <w:sz w:val="18"/>
                <w:szCs w:val="18"/>
              </w:rPr>
              <w:t>Mean</w:t>
            </w:r>
          </w:p>
        </w:tc>
        <w:tc>
          <w:tcPr>
            <w:tcW w:w="1038" w:type="dxa"/>
            <w:vMerge/>
            <w:vAlign w:val="center"/>
          </w:tcPr>
          <w:p w14:paraId="00A73442" w14:textId="77777777" w:rsidR="008907B3" w:rsidRPr="00163E63" w:rsidRDefault="008907B3" w:rsidP="0039129A">
            <w:pPr>
              <w:jc w:val="center"/>
              <w:rPr>
                <w:rFonts w:ascii="Arial" w:hAnsi="Arial" w:cs="Arial"/>
                <w:b/>
                <w:bCs/>
                <w:sz w:val="18"/>
                <w:szCs w:val="18"/>
              </w:rPr>
            </w:pPr>
          </w:p>
        </w:tc>
        <w:tc>
          <w:tcPr>
            <w:tcW w:w="1252" w:type="dxa"/>
            <w:vMerge/>
            <w:vAlign w:val="center"/>
          </w:tcPr>
          <w:p w14:paraId="298C7FE0" w14:textId="77777777" w:rsidR="008907B3" w:rsidRPr="00163E63" w:rsidRDefault="008907B3" w:rsidP="0039129A">
            <w:pPr>
              <w:jc w:val="center"/>
              <w:rPr>
                <w:rFonts w:ascii="Arial" w:hAnsi="Arial" w:cs="Arial"/>
                <w:b/>
                <w:bCs/>
                <w:sz w:val="18"/>
                <w:szCs w:val="18"/>
              </w:rPr>
            </w:pPr>
          </w:p>
        </w:tc>
      </w:tr>
      <w:tr w:rsidR="008907B3" w:rsidRPr="00163E63" w14:paraId="136EDA99" w14:textId="77777777" w:rsidTr="0039129A">
        <w:trPr>
          <w:trHeight w:val="280"/>
          <w:jc w:val="center"/>
        </w:trPr>
        <w:tc>
          <w:tcPr>
            <w:tcW w:w="1268" w:type="dxa"/>
            <w:vAlign w:val="center"/>
          </w:tcPr>
          <w:p w14:paraId="760C9200" w14:textId="77777777" w:rsidR="008907B3" w:rsidRPr="00163E63" w:rsidRDefault="008907B3" w:rsidP="0039129A">
            <w:pPr>
              <w:jc w:val="center"/>
              <w:rPr>
                <w:rFonts w:ascii="Arial" w:hAnsi="Arial" w:cs="Arial"/>
                <w:sz w:val="18"/>
                <w:szCs w:val="18"/>
              </w:rPr>
            </w:pPr>
            <w:r w:rsidRPr="00163E63">
              <w:rPr>
                <w:rFonts w:ascii="Arial" w:hAnsi="Arial" w:cs="Arial"/>
                <w:sz w:val="18"/>
                <w:szCs w:val="18"/>
              </w:rPr>
              <w:t>5×10</w:t>
            </w:r>
            <w:r w:rsidRPr="00163E63">
              <w:rPr>
                <w:rFonts w:ascii="Arial" w:hAnsi="Arial" w:cs="Arial"/>
                <w:sz w:val="18"/>
                <w:szCs w:val="18"/>
                <w:vertAlign w:val="superscript"/>
              </w:rPr>
              <w:t>3</w:t>
            </w:r>
          </w:p>
        </w:tc>
        <w:tc>
          <w:tcPr>
            <w:tcW w:w="1244" w:type="dxa"/>
            <w:vAlign w:val="center"/>
          </w:tcPr>
          <w:p w14:paraId="5B49FCFA" w14:textId="77777777" w:rsidR="008907B3" w:rsidRPr="00163E63" w:rsidRDefault="008907B3" w:rsidP="0039129A">
            <w:pPr>
              <w:jc w:val="center"/>
              <w:rPr>
                <w:rFonts w:ascii="Arial" w:hAnsi="Arial" w:cs="Arial"/>
                <w:sz w:val="18"/>
                <w:szCs w:val="18"/>
              </w:rPr>
            </w:pPr>
            <w:r w:rsidRPr="00163E63">
              <w:rPr>
                <w:rFonts w:ascii="Arial" w:hAnsi="Arial" w:cs="Arial"/>
                <w:sz w:val="18"/>
                <w:szCs w:val="18"/>
              </w:rPr>
              <w:t>18.3</w:t>
            </w:r>
          </w:p>
        </w:tc>
        <w:tc>
          <w:tcPr>
            <w:tcW w:w="869" w:type="dxa"/>
            <w:vAlign w:val="center"/>
          </w:tcPr>
          <w:p w14:paraId="407AE580" w14:textId="77777777" w:rsidR="008907B3" w:rsidRPr="00163E63" w:rsidRDefault="008907B3" w:rsidP="0039129A">
            <w:pPr>
              <w:jc w:val="center"/>
              <w:rPr>
                <w:rFonts w:ascii="Arial" w:hAnsi="Arial" w:cs="Arial"/>
                <w:sz w:val="18"/>
                <w:szCs w:val="18"/>
              </w:rPr>
            </w:pPr>
            <w:r w:rsidRPr="00163E63">
              <w:rPr>
                <w:rFonts w:ascii="Arial" w:hAnsi="Arial" w:cs="Arial"/>
                <w:color w:val="000000" w:themeColor="text1"/>
                <w:sz w:val="18"/>
                <w:szCs w:val="18"/>
              </w:rPr>
              <w:t>11.11</w:t>
            </w:r>
          </w:p>
        </w:tc>
        <w:tc>
          <w:tcPr>
            <w:tcW w:w="816" w:type="dxa"/>
            <w:vAlign w:val="center"/>
          </w:tcPr>
          <w:p w14:paraId="45C341CE" w14:textId="77777777" w:rsidR="008907B3" w:rsidRPr="00163E63" w:rsidRDefault="008907B3" w:rsidP="0039129A">
            <w:pPr>
              <w:jc w:val="center"/>
              <w:rPr>
                <w:rFonts w:ascii="Arial" w:hAnsi="Arial" w:cs="Arial"/>
                <w:sz w:val="18"/>
                <w:szCs w:val="18"/>
              </w:rPr>
            </w:pPr>
            <w:r w:rsidRPr="00163E63">
              <w:rPr>
                <w:rFonts w:ascii="Arial" w:hAnsi="Arial" w:cs="Arial"/>
                <w:color w:val="000000" w:themeColor="text1"/>
                <w:sz w:val="18"/>
                <w:szCs w:val="18"/>
              </w:rPr>
              <w:t>17.28</w:t>
            </w:r>
          </w:p>
        </w:tc>
        <w:tc>
          <w:tcPr>
            <w:tcW w:w="816" w:type="dxa"/>
            <w:vAlign w:val="center"/>
          </w:tcPr>
          <w:p w14:paraId="6EC061A9" w14:textId="77777777" w:rsidR="008907B3" w:rsidRPr="00163E63" w:rsidRDefault="008907B3" w:rsidP="0039129A">
            <w:pPr>
              <w:jc w:val="center"/>
              <w:rPr>
                <w:rFonts w:ascii="Arial" w:hAnsi="Arial" w:cs="Arial"/>
                <w:sz w:val="18"/>
                <w:szCs w:val="18"/>
              </w:rPr>
            </w:pPr>
            <w:r w:rsidRPr="00163E63">
              <w:rPr>
                <w:rFonts w:ascii="Arial" w:hAnsi="Arial" w:cs="Arial"/>
                <w:color w:val="000000" w:themeColor="text1"/>
                <w:sz w:val="18"/>
                <w:szCs w:val="18"/>
              </w:rPr>
              <w:t>25.93</w:t>
            </w:r>
          </w:p>
        </w:tc>
        <w:tc>
          <w:tcPr>
            <w:tcW w:w="867" w:type="dxa"/>
            <w:vAlign w:val="center"/>
          </w:tcPr>
          <w:p w14:paraId="656F8AD3" w14:textId="77777777" w:rsidR="008907B3" w:rsidRPr="00163E63" w:rsidRDefault="008907B3" w:rsidP="0039129A">
            <w:pPr>
              <w:jc w:val="center"/>
              <w:rPr>
                <w:rFonts w:ascii="Arial" w:hAnsi="Arial" w:cs="Arial"/>
                <w:sz w:val="18"/>
                <w:szCs w:val="18"/>
              </w:rPr>
            </w:pPr>
            <w:r w:rsidRPr="00163E63">
              <w:rPr>
                <w:rFonts w:ascii="Arial" w:hAnsi="Arial" w:cs="Arial"/>
                <w:color w:val="000000" w:themeColor="text1"/>
                <w:sz w:val="18"/>
                <w:szCs w:val="18"/>
              </w:rPr>
              <w:t>35.80</w:t>
            </w:r>
          </w:p>
        </w:tc>
        <w:tc>
          <w:tcPr>
            <w:tcW w:w="835" w:type="dxa"/>
            <w:vAlign w:val="center"/>
          </w:tcPr>
          <w:p w14:paraId="032DB95E" w14:textId="77777777" w:rsidR="008907B3" w:rsidRPr="00163E63" w:rsidRDefault="008907B3" w:rsidP="0039129A">
            <w:pPr>
              <w:jc w:val="center"/>
              <w:rPr>
                <w:rFonts w:ascii="Arial" w:hAnsi="Arial" w:cs="Arial"/>
                <w:sz w:val="18"/>
                <w:szCs w:val="18"/>
              </w:rPr>
            </w:pPr>
            <w:r w:rsidRPr="00163E63">
              <w:rPr>
                <w:rFonts w:ascii="Arial" w:hAnsi="Arial" w:cs="Arial"/>
                <w:sz w:val="18"/>
                <w:szCs w:val="18"/>
              </w:rPr>
              <w:t>22.53</w:t>
            </w:r>
          </w:p>
        </w:tc>
        <w:tc>
          <w:tcPr>
            <w:tcW w:w="1038" w:type="dxa"/>
            <w:vAlign w:val="center"/>
          </w:tcPr>
          <w:p w14:paraId="0C2CF02B" w14:textId="77777777" w:rsidR="008907B3" w:rsidRPr="00163E63" w:rsidRDefault="008907B3" w:rsidP="0039129A">
            <w:pPr>
              <w:jc w:val="center"/>
              <w:rPr>
                <w:rFonts w:ascii="Arial" w:hAnsi="Arial" w:cs="Arial"/>
                <w:sz w:val="18"/>
                <w:szCs w:val="18"/>
              </w:rPr>
            </w:pPr>
            <w:r w:rsidRPr="00163E63">
              <w:rPr>
                <w:rFonts w:ascii="Arial" w:hAnsi="Arial" w:cs="Arial"/>
                <w:color w:val="000000" w:themeColor="text1"/>
                <w:sz w:val="18"/>
                <w:szCs w:val="18"/>
              </w:rPr>
              <w:t>466.67</w:t>
            </w:r>
          </w:p>
        </w:tc>
        <w:tc>
          <w:tcPr>
            <w:tcW w:w="1252" w:type="dxa"/>
            <w:vAlign w:val="center"/>
          </w:tcPr>
          <w:p w14:paraId="33064AC3" w14:textId="77777777" w:rsidR="008907B3" w:rsidRPr="00163E63" w:rsidRDefault="008907B3" w:rsidP="0039129A">
            <w:pPr>
              <w:jc w:val="center"/>
              <w:rPr>
                <w:rFonts w:ascii="Arial" w:hAnsi="Arial" w:cs="Arial"/>
                <w:sz w:val="18"/>
                <w:szCs w:val="18"/>
              </w:rPr>
            </w:pPr>
            <w:r w:rsidRPr="00163E63">
              <w:rPr>
                <w:rFonts w:ascii="Arial" w:hAnsi="Arial" w:cs="Arial"/>
                <w:color w:val="000000" w:themeColor="text1"/>
                <w:sz w:val="18"/>
                <w:szCs w:val="18"/>
              </w:rPr>
              <w:t>0.06</w:t>
            </w:r>
          </w:p>
        </w:tc>
      </w:tr>
      <w:tr w:rsidR="008907B3" w:rsidRPr="00163E63" w14:paraId="0836418D" w14:textId="77777777" w:rsidTr="0039129A">
        <w:trPr>
          <w:trHeight w:val="280"/>
          <w:jc w:val="center"/>
        </w:trPr>
        <w:tc>
          <w:tcPr>
            <w:tcW w:w="1268" w:type="dxa"/>
            <w:vAlign w:val="center"/>
          </w:tcPr>
          <w:p w14:paraId="1EC4D9EB" w14:textId="77777777" w:rsidR="008907B3" w:rsidRPr="00163E63" w:rsidRDefault="008907B3" w:rsidP="0039129A">
            <w:pPr>
              <w:jc w:val="center"/>
              <w:rPr>
                <w:rFonts w:ascii="Arial" w:hAnsi="Arial" w:cs="Arial"/>
                <w:sz w:val="18"/>
                <w:szCs w:val="18"/>
                <w:vertAlign w:val="superscript"/>
              </w:rPr>
            </w:pPr>
            <w:r w:rsidRPr="00163E63">
              <w:rPr>
                <w:rFonts w:ascii="Arial" w:hAnsi="Arial" w:cs="Arial"/>
                <w:sz w:val="18"/>
                <w:szCs w:val="18"/>
              </w:rPr>
              <w:lastRenderedPageBreak/>
              <w:t>1×10</w:t>
            </w:r>
            <w:r w:rsidRPr="00163E63">
              <w:rPr>
                <w:rFonts w:ascii="Arial" w:hAnsi="Arial" w:cs="Arial"/>
                <w:sz w:val="18"/>
                <w:szCs w:val="18"/>
                <w:vertAlign w:val="superscript"/>
              </w:rPr>
              <w:t>5</w:t>
            </w:r>
          </w:p>
        </w:tc>
        <w:tc>
          <w:tcPr>
            <w:tcW w:w="1244" w:type="dxa"/>
            <w:vAlign w:val="center"/>
          </w:tcPr>
          <w:p w14:paraId="00E8BC4B" w14:textId="77777777" w:rsidR="008907B3" w:rsidRPr="00163E63" w:rsidRDefault="008907B3" w:rsidP="0039129A">
            <w:pPr>
              <w:jc w:val="center"/>
              <w:rPr>
                <w:rFonts w:ascii="Arial" w:hAnsi="Arial" w:cs="Arial"/>
                <w:sz w:val="18"/>
                <w:szCs w:val="18"/>
              </w:rPr>
            </w:pPr>
            <w:r w:rsidRPr="00163E63">
              <w:rPr>
                <w:rFonts w:ascii="Arial" w:hAnsi="Arial" w:cs="Arial"/>
                <w:sz w:val="18"/>
                <w:szCs w:val="18"/>
              </w:rPr>
              <w:t>16.3</w:t>
            </w:r>
          </w:p>
        </w:tc>
        <w:tc>
          <w:tcPr>
            <w:tcW w:w="869" w:type="dxa"/>
            <w:vAlign w:val="center"/>
          </w:tcPr>
          <w:p w14:paraId="7B8C2FA5" w14:textId="77777777" w:rsidR="008907B3" w:rsidRPr="00163E63" w:rsidRDefault="008907B3" w:rsidP="0039129A">
            <w:pPr>
              <w:jc w:val="center"/>
              <w:rPr>
                <w:rFonts w:ascii="Arial" w:hAnsi="Arial" w:cs="Arial"/>
                <w:sz w:val="18"/>
                <w:szCs w:val="18"/>
              </w:rPr>
            </w:pPr>
            <w:r w:rsidRPr="00163E63">
              <w:rPr>
                <w:rFonts w:ascii="Arial" w:hAnsi="Arial" w:cs="Arial"/>
                <w:color w:val="000000" w:themeColor="text1"/>
                <w:sz w:val="18"/>
                <w:szCs w:val="18"/>
              </w:rPr>
              <w:t>20.99</w:t>
            </w:r>
          </w:p>
        </w:tc>
        <w:tc>
          <w:tcPr>
            <w:tcW w:w="816" w:type="dxa"/>
            <w:vAlign w:val="center"/>
          </w:tcPr>
          <w:p w14:paraId="4C0CBD72" w14:textId="77777777" w:rsidR="008907B3" w:rsidRPr="00163E63" w:rsidRDefault="008907B3" w:rsidP="0039129A">
            <w:pPr>
              <w:jc w:val="center"/>
              <w:rPr>
                <w:rFonts w:ascii="Arial" w:hAnsi="Arial" w:cs="Arial"/>
                <w:sz w:val="18"/>
                <w:szCs w:val="18"/>
              </w:rPr>
            </w:pPr>
            <w:r w:rsidRPr="00163E63">
              <w:rPr>
                <w:rFonts w:ascii="Arial" w:hAnsi="Arial" w:cs="Arial"/>
                <w:sz w:val="18"/>
                <w:szCs w:val="18"/>
              </w:rPr>
              <w:t>29.63</w:t>
            </w:r>
          </w:p>
        </w:tc>
        <w:tc>
          <w:tcPr>
            <w:tcW w:w="816" w:type="dxa"/>
            <w:vAlign w:val="center"/>
          </w:tcPr>
          <w:p w14:paraId="1FCCACC9" w14:textId="77777777" w:rsidR="008907B3" w:rsidRPr="00163E63" w:rsidRDefault="008907B3" w:rsidP="0039129A">
            <w:pPr>
              <w:jc w:val="center"/>
              <w:rPr>
                <w:rFonts w:ascii="Arial" w:hAnsi="Arial" w:cs="Arial"/>
                <w:sz w:val="18"/>
                <w:szCs w:val="18"/>
              </w:rPr>
            </w:pPr>
            <w:r w:rsidRPr="00163E63">
              <w:rPr>
                <w:rFonts w:ascii="Arial" w:hAnsi="Arial" w:cs="Arial"/>
                <w:sz w:val="18"/>
                <w:szCs w:val="18"/>
              </w:rPr>
              <w:t>34.57</w:t>
            </w:r>
          </w:p>
        </w:tc>
        <w:tc>
          <w:tcPr>
            <w:tcW w:w="867" w:type="dxa"/>
            <w:vAlign w:val="center"/>
          </w:tcPr>
          <w:p w14:paraId="0A0D63DA" w14:textId="77777777" w:rsidR="008907B3" w:rsidRPr="00163E63" w:rsidRDefault="008907B3" w:rsidP="0039129A">
            <w:pPr>
              <w:jc w:val="center"/>
              <w:rPr>
                <w:rFonts w:ascii="Arial" w:hAnsi="Arial" w:cs="Arial"/>
                <w:sz w:val="18"/>
                <w:szCs w:val="18"/>
              </w:rPr>
            </w:pPr>
            <w:r w:rsidRPr="00163E63">
              <w:rPr>
                <w:rFonts w:ascii="Arial" w:hAnsi="Arial" w:cs="Arial"/>
                <w:sz w:val="18"/>
                <w:szCs w:val="18"/>
              </w:rPr>
              <w:t>41.97</w:t>
            </w:r>
          </w:p>
        </w:tc>
        <w:tc>
          <w:tcPr>
            <w:tcW w:w="835" w:type="dxa"/>
            <w:vAlign w:val="center"/>
          </w:tcPr>
          <w:p w14:paraId="3EBC6AF3" w14:textId="77777777" w:rsidR="008907B3" w:rsidRPr="00163E63" w:rsidRDefault="008907B3" w:rsidP="0039129A">
            <w:pPr>
              <w:jc w:val="center"/>
              <w:rPr>
                <w:rFonts w:ascii="Arial" w:hAnsi="Arial" w:cs="Arial"/>
                <w:sz w:val="18"/>
                <w:szCs w:val="18"/>
              </w:rPr>
            </w:pPr>
            <w:r w:rsidRPr="00163E63">
              <w:rPr>
                <w:rFonts w:ascii="Arial" w:hAnsi="Arial" w:cs="Arial"/>
                <w:sz w:val="18"/>
                <w:szCs w:val="18"/>
              </w:rPr>
              <w:t>31.79</w:t>
            </w:r>
          </w:p>
        </w:tc>
        <w:tc>
          <w:tcPr>
            <w:tcW w:w="1038" w:type="dxa"/>
            <w:vAlign w:val="center"/>
          </w:tcPr>
          <w:p w14:paraId="5D5FD46D" w14:textId="77777777" w:rsidR="008907B3" w:rsidRPr="00163E63" w:rsidRDefault="008907B3" w:rsidP="0039129A">
            <w:pPr>
              <w:jc w:val="center"/>
              <w:rPr>
                <w:rFonts w:ascii="Arial" w:hAnsi="Arial" w:cs="Arial"/>
                <w:sz w:val="18"/>
                <w:szCs w:val="18"/>
              </w:rPr>
            </w:pPr>
            <w:r w:rsidRPr="00163E63">
              <w:rPr>
                <w:rFonts w:ascii="Arial" w:hAnsi="Arial" w:cs="Arial"/>
                <w:sz w:val="18"/>
                <w:szCs w:val="18"/>
              </w:rPr>
              <w:t>669.76</w:t>
            </w:r>
          </w:p>
        </w:tc>
        <w:tc>
          <w:tcPr>
            <w:tcW w:w="1252" w:type="dxa"/>
            <w:vAlign w:val="center"/>
          </w:tcPr>
          <w:p w14:paraId="406545DF" w14:textId="77777777" w:rsidR="008907B3" w:rsidRPr="00163E63" w:rsidRDefault="008907B3" w:rsidP="0039129A">
            <w:pPr>
              <w:jc w:val="center"/>
              <w:rPr>
                <w:rFonts w:ascii="Arial" w:hAnsi="Arial" w:cs="Arial"/>
                <w:sz w:val="18"/>
                <w:szCs w:val="18"/>
              </w:rPr>
            </w:pPr>
            <w:r w:rsidRPr="00163E63">
              <w:rPr>
                <w:rFonts w:ascii="Arial" w:hAnsi="Arial" w:cs="Arial"/>
                <w:color w:val="000000" w:themeColor="text1"/>
                <w:sz w:val="18"/>
                <w:szCs w:val="18"/>
              </w:rPr>
              <w:t>0.03</w:t>
            </w:r>
          </w:p>
        </w:tc>
      </w:tr>
      <w:tr w:rsidR="008907B3" w:rsidRPr="00163E63" w14:paraId="61FA39B8" w14:textId="77777777" w:rsidTr="0039129A">
        <w:trPr>
          <w:trHeight w:val="270"/>
          <w:jc w:val="center"/>
        </w:trPr>
        <w:tc>
          <w:tcPr>
            <w:tcW w:w="1268" w:type="dxa"/>
            <w:vAlign w:val="center"/>
          </w:tcPr>
          <w:p w14:paraId="247D60EB" w14:textId="77777777" w:rsidR="008907B3" w:rsidRPr="00163E63" w:rsidRDefault="008907B3" w:rsidP="0039129A">
            <w:pPr>
              <w:jc w:val="center"/>
              <w:rPr>
                <w:rFonts w:ascii="Arial" w:hAnsi="Arial" w:cs="Arial"/>
                <w:sz w:val="18"/>
                <w:szCs w:val="18"/>
                <w:vertAlign w:val="superscript"/>
              </w:rPr>
            </w:pPr>
            <w:r w:rsidRPr="00163E63">
              <w:rPr>
                <w:rFonts w:ascii="Arial" w:hAnsi="Arial" w:cs="Arial"/>
                <w:sz w:val="18"/>
                <w:szCs w:val="18"/>
              </w:rPr>
              <w:t>5×10</w:t>
            </w:r>
            <w:r w:rsidRPr="00163E63">
              <w:rPr>
                <w:rFonts w:ascii="Arial" w:hAnsi="Arial" w:cs="Arial"/>
                <w:sz w:val="18"/>
                <w:szCs w:val="18"/>
                <w:vertAlign w:val="superscript"/>
              </w:rPr>
              <w:t>4</w:t>
            </w:r>
          </w:p>
        </w:tc>
        <w:tc>
          <w:tcPr>
            <w:tcW w:w="1244" w:type="dxa"/>
            <w:vAlign w:val="center"/>
          </w:tcPr>
          <w:p w14:paraId="78FBCEAA" w14:textId="77777777" w:rsidR="008907B3" w:rsidRPr="00163E63" w:rsidRDefault="008907B3" w:rsidP="0039129A">
            <w:pPr>
              <w:jc w:val="center"/>
              <w:rPr>
                <w:rFonts w:ascii="Arial" w:hAnsi="Arial" w:cs="Arial"/>
                <w:sz w:val="18"/>
                <w:szCs w:val="18"/>
              </w:rPr>
            </w:pPr>
            <w:r w:rsidRPr="00163E63">
              <w:rPr>
                <w:rFonts w:ascii="Arial" w:hAnsi="Arial" w:cs="Arial"/>
                <w:sz w:val="18"/>
                <w:szCs w:val="18"/>
              </w:rPr>
              <w:t>15.0</w:t>
            </w:r>
          </w:p>
        </w:tc>
        <w:tc>
          <w:tcPr>
            <w:tcW w:w="869" w:type="dxa"/>
            <w:vAlign w:val="center"/>
          </w:tcPr>
          <w:p w14:paraId="6F3451E8" w14:textId="77777777" w:rsidR="008907B3" w:rsidRPr="00163E63" w:rsidRDefault="008907B3" w:rsidP="0039129A">
            <w:pPr>
              <w:jc w:val="center"/>
              <w:rPr>
                <w:rFonts w:ascii="Arial" w:hAnsi="Arial" w:cs="Arial"/>
                <w:sz w:val="18"/>
                <w:szCs w:val="18"/>
              </w:rPr>
            </w:pPr>
            <w:r w:rsidRPr="00163E63">
              <w:rPr>
                <w:rFonts w:ascii="Arial" w:hAnsi="Arial" w:cs="Arial"/>
                <w:color w:val="000000" w:themeColor="text1"/>
                <w:sz w:val="18"/>
                <w:szCs w:val="18"/>
              </w:rPr>
              <w:t>17.28</w:t>
            </w:r>
          </w:p>
        </w:tc>
        <w:tc>
          <w:tcPr>
            <w:tcW w:w="816" w:type="dxa"/>
            <w:vAlign w:val="center"/>
          </w:tcPr>
          <w:p w14:paraId="45371EC0" w14:textId="77777777" w:rsidR="008907B3" w:rsidRPr="00163E63" w:rsidRDefault="008907B3" w:rsidP="0039129A">
            <w:pPr>
              <w:jc w:val="center"/>
              <w:rPr>
                <w:rFonts w:ascii="Arial" w:hAnsi="Arial" w:cs="Arial"/>
                <w:sz w:val="18"/>
                <w:szCs w:val="18"/>
              </w:rPr>
            </w:pPr>
            <w:r w:rsidRPr="00163E63">
              <w:rPr>
                <w:rFonts w:ascii="Arial" w:hAnsi="Arial" w:cs="Arial"/>
                <w:color w:val="000000" w:themeColor="text1"/>
                <w:sz w:val="18"/>
                <w:szCs w:val="18"/>
              </w:rPr>
              <w:t>27.16</w:t>
            </w:r>
          </w:p>
        </w:tc>
        <w:tc>
          <w:tcPr>
            <w:tcW w:w="816" w:type="dxa"/>
            <w:vAlign w:val="center"/>
          </w:tcPr>
          <w:p w14:paraId="6EA3941F" w14:textId="77777777" w:rsidR="008907B3" w:rsidRPr="00163E63" w:rsidRDefault="008907B3" w:rsidP="0039129A">
            <w:pPr>
              <w:jc w:val="center"/>
              <w:rPr>
                <w:rFonts w:ascii="Arial" w:hAnsi="Arial" w:cs="Arial"/>
                <w:sz w:val="18"/>
                <w:szCs w:val="18"/>
              </w:rPr>
            </w:pPr>
            <w:r w:rsidRPr="00163E63">
              <w:rPr>
                <w:rFonts w:ascii="Arial" w:hAnsi="Arial" w:cs="Arial"/>
                <w:color w:val="000000" w:themeColor="text1"/>
                <w:sz w:val="18"/>
                <w:szCs w:val="18"/>
              </w:rPr>
              <w:t>33.33</w:t>
            </w:r>
          </w:p>
        </w:tc>
        <w:tc>
          <w:tcPr>
            <w:tcW w:w="867" w:type="dxa"/>
            <w:vAlign w:val="center"/>
          </w:tcPr>
          <w:p w14:paraId="14766A71" w14:textId="77777777" w:rsidR="008907B3" w:rsidRPr="00163E63" w:rsidRDefault="008907B3" w:rsidP="0039129A">
            <w:pPr>
              <w:jc w:val="center"/>
              <w:rPr>
                <w:rFonts w:ascii="Arial" w:hAnsi="Arial" w:cs="Arial"/>
                <w:sz w:val="18"/>
                <w:szCs w:val="18"/>
              </w:rPr>
            </w:pPr>
            <w:r w:rsidRPr="00163E63">
              <w:rPr>
                <w:rFonts w:ascii="Arial" w:hAnsi="Arial" w:cs="Arial"/>
                <w:color w:val="000000" w:themeColor="text1"/>
                <w:sz w:val="18"/>
                <w:szCs w:val="18"/>
              </w:rPr>
              <w:t>39.51</w:t>
            </w:r>
          </w:p>
        </w:tc>
        <w:tc>
          <w:tcPr>
            <w:tcW w:w="835" w:type="dxa"/>
            <w:vAlign w:val="center"/>
          </w:tcPr>
          <w:p w14:paraId="1DDE2A39" w14:textId="77777777" w:rsidR="008907B3" w:rsidRPr="00163E63" w:rsidRDefault="008907B3" w:rsidP="0039129A">
            <w:pPr>
              <w:jc w:val="center"/>
              <w:rPr>
                <w:rFonts w:ascii="Arial" w:hAnsi="Arial" w:cs="Arial"/>
                <w:sz w:val="18"/>
                <w:szCs w:val="18"/>
              </w:rPr>
            </w:pPr>
            <w:r w:rsidRPr="00163E63">
              <w:rPr>
                <w:rFonts w:ascii="Arial" w:hAnsi="Arial" w:cs="Arial"/>
                <w:sz w:val="18"/>
                <w:szCs w:val="18"/>
              </w:rPr>
              <w:t>29.32</w:t>
            </w:r>
          </w:p>
        </w:tc>
        <w:tc>
          <w:tcPr>
            <w:tcW w:w="1038" w:type="dxa"/>
            <w:vAlign w:val="center"/>
          </w:tcPr>
          <w:p w14:paraId="6F0696E2" w14:textId="77777777" w:rsidR="008907B3" w:rsidRPr="00163E63" w:rsidRDefault="008907B3" w:rsidP="0039129A">
            <w:pPr>
              <w:jc w:val="center"/>
              <w:rPr>
                <w:rFonts w:ascii="Arial" w:hAnsi="Arial" w:cs="Arial"/>
                <w:sz w:val="18"/>
                <w:szCs w:val="18"/>
              </w:rPr>
            </w:pPr>
            <w:r w:rsidRPr="00163E63">
              <w:rPr>
                <w:rFonts w:ascii="Arial" w:hAnsi="Arial" w:cs="Arial"/>
                <w:color w:val="000000" w:themeColor="text1"/>
                <w:sz w:val="18"/>
                <w:szCs w:val="18"/>
              </w:rPr>
              <w:t>622.22</w:t>
            </w:r>
          </w:p>
        </w:tc>
        <w:tc>
          <w:tcPr>
            <w:tcW w:w="1252" w:type="dxa"/>
            <w:vAlign w:val="center"/>
          </w:tcPr>
          <w:p w14:paraId="6AD7558F" w14:textId="77777777" w:rsidR="008907B3" w:rsidRPr="00163E63" w:rsidRDefault="008907B3" w:rsidP="0039129A">
            <w:pPr>
              <w:jc w:val="center"/>
              <w:rPr>
                <w:rFonts w:ascii="Arial" w:hAnsi="Arial" w:cs="Arial"/>
                <w:sz w:val="18"/>
                <w:szCs w:val="18"/>
              </w:rPr>
            </w:pPr>
            <w:r w:rsidRPr="00163E63">
              <w:rPr>
                <w:rFonts w:ascii="Arial" w:hAnsi="Arial" w:cs="Arial"/>
                <w:color w:val="000000" w:themeColor="text1"/>
                <w:sz w:val="18"/>
                <w:szCs w:val="18"/>
              </w:rPr>
              <w:t>0.04</w:t>
            </w:r>
          </w:p>
        </w:tc>
      </w:tr>
      <w:tr w:rsidR="008907B3" w:rsidRPr="00163E63" w14:paraId="5E16238D" w14:textId="77777777" w:rsidTr="0039129A">
        <w:trPr>
          <w:trHeight w:val="280"/>
          <w:jc w:val="center"/>
        </w:trPr>
        <w:tc>
          <w:tcPr>
            <w:tcW w:w="1268" w:type="dxa"/>
            <w:vAlign w:val="center"/>
          </w:tcPr>
          <w:p w14:paraId="578541E7" w14:textId="77777777" w:rsidR="008907B3" w:rsidRPr="00163E63" w:rsidRDefault="008907B3" w:rsidP="0039129A">
            <w:pPr>
              <w:jc w:val="center"/>
              <w:rPr>
                <w:rFonts w:ascii="Arial" w:hAnsi="Arial" w:cs="Arial"/>
                <w:sz w:val="18"/>
                <w:szCs w:val="18"/>
                <w:vertAlign w:val="superscript"/>
              </w:rPr>
            </w:pPr>
            <w:r w:rsidRPr="00163E63">
              <w:rPr>
                <w:rFonts w:ascii="Arial" w:hAnsi="Arial" w:cs="Arial"/>
                <w:sz w:val="18"/>
                <w:szCs w:val="18"/>
              </w:rPr>
              <w:t>1×10</w:t>
            </w:r>
            <w:r w:rsidRPr="00163E63">
              <w:rPr>
                <w:rFonts w:ascii="Arial" w:hAnsi="Arial" w:cs="Arial"/>
                <w:sz w:val="18"/>
                <w:szCs w:val="18"/>
                <w:vertAlign w:val="superscript"/>
              </w:rPr>
              <w:t>6</w:t>
            </w:r>
          </w:p>
        </w:tc>
        <w:tc>
          <w:tcPr>
            <w:tcW w:w="1244" w:type="dxa"/>
            <w:vAlign w:val="center"/>
          </w:tcPr>
          <w:p w14:paraId="2E3E10A3" w14:textId="77777777" w:rsidR="008907B3" w:rsidRPr="00163E63" w:rsidRDefault="008907B3" w:rsidP="0039129A">
            <w:pPr>
              <w:jc w:val="center"/>
              <w:rPr>
                <w:rFonts w:ascii="Arial" w:hAnsi="Arial" w:cs="Arial"/>
                <w:sz w:val="18"/>
                <w:szCs w:val="18"/>
              </w:rPr>
            </w:pPr>
            <w:r w:rsidRPr="00163E63">
              <w:rPr>
                <w:rFonts w:ascii="Arial" w:hAnsi="Arial" w:cs="Arial"/>
                <w:sz w:val="18"/>
                <w:szCs w:val="18"/>
              </w:rPr>
              <w:t>13.0</w:t>
            </w:r>
          </w:p>
        </w:tc>
        <w:tc>
          <w:tcPr>
            <w:tcW w:w="869" w:type="dxa"/>
            <w:vAlign w:val="center"/>
          </w:tcPr>
          <w:p w14:paraId="1E110F44" w14:textId="77777777" w:rsidR="008907B3" w:rsidRPr="00163E63" w:rsidRDefault="008907B3" w:rsidP="0039129A">
            <w:pPr>
              <w:jc w:val="center"/>
              <w:rPr>
                <w:rFonts w:ascii="Arial" w:hAnsi="Arial" w:cs="Arial"/>
                <w:sz w:val="18"/>
                <w:szCs w:val="18"/>
              </w:rPr>
            </w:pPr>
            <w:r w:rsidRPr="00163E63">
              <w:rPr>
                <w:rFonts w:ascii="Arial" w:hAnsi="Arial" w:cs="Arial"/>
                <w:color w:val="000000" w:themeColor="text1"/>
                <w:sz w:val="18"/>
                <w:szCs w:val="18"/>
              </w:rPr>
              <w:t>27.16</w:t>
            </w:r>
          </w:p>
        </w:tc>
        <w:tc>
          <w:tcPr>
            <w:tcW w:w="816" w:type="dxa"/>
            <w:vAlign w:val="center"/>
          </w:tcPr>
          <w:p w14:paraId="0F835336" w14:textId="77777777" w:rsidR="008907B3" w:rsidRPr="00163E63" w:rsidRDefault="008907B3" w:rsidP="0039129A">
            <w:pPr>
              <w:jc w:val="center"/>
              <w:rPr>
                <w:rFonts w:ascii="Arial" w:hAnsi="Arial" w:cs="Arial"/>
                <w:sz w:val="18"/>
                <w:szCs w:val="18"/>
              </w:rPr>
            </w:pPr>
            <w:r w:rsidRPr="00163E63">
              <w:rPr>
                <w:rFonts w:ascii="Arial" w:hAnsi="Arial" w:cs="Arial"/>
                <w:color w:val="000000" w:themeColor="text1"/>
                <w:sz w:val="18"/>
                <w:szCs w:val="18"/>
              </w:rPr>
              <w:t>35.80</w:t>
            </w:r>
          </w:p>
        </w:tc>
        <w:tc>
          <w:tcPr>
            <w:tcW w:w="816" w:type="dxa"/>
            <w:vAlign w:val="center"/>
          </w:tcPr>
          <w:p w14:paraId="3C1BF83D" w14:textId="77777777" w:rsidR="008907B3" w:rsidRPr="00163E63" w:rsidRDefault="008907B3" w:rsidP="0039129A">
            <w:pPr>
              <w:jc w:val="center"/>
              <w:rPr>
                <w:rFonts w:ascii="Arial" w:hAnsi="Arial" w:cs="Arial"/>
                <w:sz w:val="18"/>
                <w:szCs w:val="18"/>
              </w:rPr>
            </w:pPr>
            <w:r w:rsidRPr="00163E63">
              <w:rPr>
                <w:rFonts w:ascii="Arial" w:hAnsi="Arial" w:cs="Arial"/>
                <w:color w:val="000000" w:themeColor="text1"/>
                <w:sz w:val="18"/>
                <w:szCs w:val="18"/>
              </w:rPr>
              <w:t>43.21</w:t>
            </w:r>
          </w:p>
        </w:tc>
        <w:tc>
          <w:tcPr>
            <w:tcW w:w="867" w:type="dxa"/>
            <w:vAlign w:val="center"/>
          </w:tcPr>
          <w:p w14:paraId="180F09CA" w14:textId="77777777" w:rsidR="008907B3" w:rsidRPr="00163E63" w:rsidRDefault="008907B3" w:rsidP="0039129A">
            <w:pPr>
              <w:jc w:val="center"/>
              <w:rPr>
                <w:rFonts w:ascii="Arial" w:hAnsi="Arial" w:cs="Arial"/>
                <w:sz w:val="18"/>
                <w:szCs w:val="18"/>
              </w:rPr>
            </w:pPr>
            <w:r w:rsidRPr="00163E63">
              <w:rPr>
                <w:rFonts w:ascii="Arial" w:hAnsi="Arial" w:cs="Arial"/>
                <w:color w:val="000000" w:themeColor="text1"/>
                <w:sz w:val="18"/>
                <w:szCs w:val="18"/>
              </w:rPr>
              <w:t>51.85</w:t>
            </w:r>
          </w:p>
        </w:tc>
        <w:tc>
          <w:tcPr>
            <w:tcW w:w="835" w:type="dxa"/>
            <w:vAlign w:val="center"/>
          </w:tcPr>
          <w:p w14:paraId="13F744C1" w14:textId="77777777" w:rsidR="008907B3" w:rsidRPr="00163E63" w:rsidRDefault="008907B3" w:rsidP="0039129A">
            <w:pPr>
              <w:jc w:val="center"/>
              <w:rPr>
                <w:rFonts w:ascii="Arial" w:hAnsi="Arial" w:cs="Arial"/>
                <w:sz w:val="18"/>
                <w:szCs w:val="18"/>
              </w:rPr>
            </w:pPr>
            <w:r w:rsidRPr="00163E63">
              <w:rPr>
                <w:rFonts w:ascii="Arial" w:hAnsi="Arial" w:cs="Arial"/>
                <w:sz w:val="18"/>
                <w:szCs w:val="18"/>
              </w:rPr>
              <w:t>39.51</w:t>
            </w:r>
          </w:p>
        </w:tc>
        <w:tc>
          <w:tcPr>
            <w:tcW w:w="1038" w:type="dxa"/>
            <w:vAlign w:val="center"/>
          </w:tcPr>
          <w:p w14:paraId="101566B3" w14:textId="77777777" w:rsidR="008907B3" w:rsidRPr="00163E63" w:rsidRDefault="008907B3" w:rsidP="0039129A">
            <w:pPr>
              <w:jc w:val="center"/>
              <w:rPr>
                <w:rFonts w:ascii="Arial" w:hAnsi="Arial" w:cs="Arial"/>
                <w:sz w:val="18"/>
                <w:szCs w:val="18"/>
              </w:rPr>
            </w:pPr>
            <w:r w:rsidRPr="00163E63">
              <w:rPr>
                <w:rFonts w:ascii="Arial" w:hAnsi="Arial" w:cs="Arial"/>
                <w:color w:val="000000" w:themeColor="text1"/>
                <w:sz w:val="18"/>
                <w:szCs w:val="18"/>
              </w:rPr>
              <w:t>829.62</w:t>
            </w:r>
          </w:p>
        </w:tc>
        <w:tc>
          <w:tcPr>
            <w:tcW w:w="1252" w:type="dxa"/>
            <w:vAlign w:val="center"/>
          </w:tcPr>
          <w:p w14:paraId="2011988D" w14:textId="77777777" w:rsidR="008907B3" w:rsidRPr="00163E63" w:rsidRDefault="008907B3" w:rsidP="0039129A">
            <w:pPr>
              <w:jc w:val="center"/>
              <w:rPr>
                <w:rFonts w:ascii="Arial" w:hAnsi="Arial" w:cs="Arial"/>
                <w:sz w:val="18"/>
                <w:szCs w:val="18"/>
              </w:rPr>
            </w:pPr>
            <w:r w:rsidRPr="00163E63">
              <w:rPr>
                <w:rFonts w:ascii="Arial" w:hAnsi="Arial" w:cs="Arial"/>
                <w:color w:val="000000" w:themeColor="text1"/>
                <w:sz w:val="18"/>
                <w:szCs w:val="18"/>
              </w:rPr>
              <w:t>0.03</w:t>
            </w:r>
          </w:p>
        </w:tc>
      </w:tr>
      <w:tr w:rsidR="008907B3" w:rsidRPr="00163E63" w14:paraId="1F1E9BB4" w14:textId="77777777" w:rsidTr="0039129A">
        <w:trPr>
          <w:trHeight w:val="270"/>
          <w:jc w:val="center"/>
        </w:trPr>
        <w:tc>
          <w:tcPr>
            <w:tcW w:w="1268" w:type="dxa"/>
            <w:vAlign w:val="center"/>
          </w:tcPr>
          <w:p w14:paraId="125EB942" w14:textId="77777777" w:rsidR="008907B3" w:rsidRPr="00163E63" w:rsidRDefault="008907B3" w:rsidP="0039129A">
            <w:pPr>
              <w:jc w:val="center"/>
              <w:rPr>
                <w:rFonts w:ascii="Arial" w:hAnsi="Arial" w:cs="Arial"/>
                <w:sz w:val="18"/>
                <w:szCs w:val="18"/>
                <w:vertAlign w:val="superscript"/>
              </w:rPr>
            </w:pPr>
            <w:r w:rsidRPr="00163E63">
              <w:rPr>
                <w:rFonts w:ascii="Arial" w:hAnsi="Arial" w:cs="Arial"/>
                <w:sz w:val="18"/>
                <w:szCs w:val="18"/>
              </w:rPr>
              <w:t>5×10</w:t>
            </w:r>
            <w:r w:rsidRPr="00163E63">
              <w:rPr>
                <w:rFonts w:ascii="Arial" w:hAnsi="Arial" w:cs="Arial"/>
                <w:sz w:val="18"/>
                <w:szCs w:val="18"/>
                <w:vertAlign w:val="superscript"/>
              </w:rPr>
              <w:t>5</w:t>
            </w:r>
          </w:p>
        </w:tc>
        <w:tc>
          <w:tcPr>
            <w:tcW w:w="1244" w:type="dxa"/>
            <w:vAlign w:val="center"/>
          </w:tcPr>
          <w:p w14:paraId="56F5D511" w14:textId="77777777" w:rsidR="008907B3" w:rsidRPr="00163E63" w:rsidRDefault="008907B3" w:rsidP="0039129A">
            <w:pPr>
              <w:jc w:val="center"/>
              <w:rPr>
                <w:rFonts w:ascii="Arial" w:hAnsi="Arial" w:cs="Arial"/>
                <w:sz w:val="18"/>
                <w:szCs w:val="18"/>
              </w:rPr>
            </w:pPr>
            <w:r w:rsidRPr="00163E63">
              <w:rPr>
                <w:rFonts w:ascii="Arial" w:hAnsi="Arial" w:cs="Arial"/>
                <w:sz w:val="18"/>
                <w:szCs w:val="18"/>
              </w:rPr>
              <w:t>13.7</w:t>
            </w:r>
          </w:p>
        </w:tc>
        <w:tc>
          <w:tcPr>
            <w:tcW w:w="869" w:type="dxa"/>
            <w:vAlign w:val="center"/>
          </w:tcPr>
          <w:p w14:paraId="2FFBE0F1" w14:textId="77777777" w:rsidR="008907B3" w:rsidRPr="00163E63" w:rsidRDefault="008907B3" w:rsidP="0039129A">
            <w:pPr>
              <w:jc w:val="center"/>
              <w:rPr>
                <w:rFonts w:ascii="Arial" w:hAnsi="Arial" w:cs="Arial"/>
                <w:sz w:val="18"/>
                <w:szCs w:val="18"/>
              </w:rPr>
            </w:pPr>
            <w:r w:rsidRPr="00163E63">
              <w:rPr>
                <w:rFonts w:ascii="Arial" w:hAnsi="Arial" w:cs="Arial"/>
                <w:color w:val="000000" w:themeColor="text1"/>
                <w:sz w:val="18"/>
                <w:szCs w:val="18"/>
              </w:rPr>
              <w:t>19.75</w:t>
            </w:r>
          </w:p>
        </w:tc>
        <w:tc>
          <w:tcPr>
            <w:tcW w:w="816" w:type="dxa"/>
            <w:vAlign w:val="center"/>
          </w:tcPr>
          <w:p w14:paraId="6CF14960" w14:textId="77777777" w:rsidR="008907B3" w:rsidRPr="00163E63" w:rsidRDefault="008907B3" w:rsidP="0039129A">
            <w:pPr>
              <w:jc w:val="center"/>
              <w:rPr>
                <w:rFonts w:ascii="Arial" w:hAnsi="Arial" w:cs="Arial"/>
                <w:sz w:val="18"/>
                <w:szCs w:val="18"/>
              </w:rPr>
            </w:pPr>
            <w:r w:rsidRPr="00163E63">
              <w:rPr>
                <w:rFonts w:ascii="Arial" w:hAnsi="Arial" w:cs="Arial"/>
                <w:color w:val="000000" w:themeColor="text1"/>
                <w:sz w:val="18"/>
                <w:szCs w:val="18"/>
              </w:rPr>
              <w:t>30.86</w:t>
            </w:r>
          </w:p>
        </w:tc>
        <w:tc>
          <w:tcPr>
            <w:tcW w:w="816" w:type="dxa"/>
            <w:vAlign w:val="center"/>
          </w:tcPr>
          <w:p w14:paraId="7F98E12E" w14:textId="77777777" w:rsidR="008907B3" w:rsidRPr="00163E63" w:rsidRDefault="008907B3" w:rsidP="0039129A">
            <w:pPr>
              <w:jc w:val="center"/>
              <w:rPr>
                <w:rFonts w:ascii="Arial" w:hAnsi="Arial" w:cs="Arial"/>
                <w:sz w:val="18"/>
                <w:szCs w:val="18"/>
              </w:rPr>
            </w:pPr>
            <w:r w:rsidRPr="00163E63">
              <w:rPr>
                <w:rFonts w:ascii="Arial" w:hAnsi="Arial" w:cs="Arial"/>
                <w:color w:val="000000" w:themeColor="text1"/>
                <w:sz w:val="18"/>
                <w:szCs w:val="18"/>
              </w:rPr>
              <w:t>39.51</w:t>
            </w:r>
          </w:p>
        </w:tc>
        <w:tc>
          <w:tcPr>
            <w:tcW w:w="867" w:type="dxa"/>
            <w:vAlign w:val="center"/>
          </w:tcPr>
          <w:p w14:paraId="2703A4EA" w14:textId="77777777" w:rsidR="008907B3" w:rsidRPr="00163E63" w:rsidRDefault="008907B3" w:rsidP="0039129A">
            <w:pPr>
              <w:jc w:val="center"/>
              <w:rPr>
                <w:rFonts w:ascii="Arial" w:hAnsi="Arial" w:cs="Arial"/>
                <w:sz w:val="18"/>
                <w:szCs w:val="18"/>
              </w:rPr>
            </w:pPr>
            <w:r w:rsidRPr="00163E63">
              <w:rPr>
                <w:rFonts w:ascii="Arial" w:hAnsi="Arial" w:cs="Arial"/>
                <w:color w:val="000000" w:themeColor="text1"/>
                <w:sz w:val="18"/>
                <w:szCs w:val="18"/>
              </w:rPr>
              <w:t>44.44</w:t>
            </w:r>
          </w:p>
        </w:tc>
        <w:tc>
          <w:tcPr>
            <w:tcW w:w="835" w:type="dxa"/>
            <w:vAlign w:val="center"/>
          </w:tcPr>
          <w:p w14:paraId="51DA5A95" w14:textId="77777777" w:rsidR="008907B3" w:rsidRPr="00163E63" w:rsidRDefault="008907B3" w:rsidP="0039129A">
            <w:pPr>
              <w:jc w:val="center"/>
              <w:rPr>
                <w:rFonts w:ascii="Arial" w:hAnsi="Arial" w:cs="Arial"/>
                <w:sz w:val="18"/>
                <w:szCs w:val="18"/>
              </w:rPr>
            </w:pPr>
            <w:r w:rsidRPr="00163E63">
              <w:rPr>
                <w:rFonts w:ascii="Arial" w:hAnsi="Arial" w:cs="Arial"/>
                <w:sz w:val="18"/>
                <w:szCs w:val="18"/>
              </w:rPr>
              <w:t>33.64</w:t>
            </w:r>
          </w:p>
        </w:tc>
        <w:tc>
          <w:tcPr>
            <w:tcW w:w="1038" w:type="dxa"/>
            <w:vAlign w:val="center"/>
          </w:tcPr>
          <w:p w14:paraId="40D1DB19" w14:textId="77777777" w:rsidR="008907B3" w:rsidRPr="00163E63" w:rsidRDefault="008907B3" w:rsidP="0039129A">
            <w:pPr>
              <w:jc w:val="center"/>
              <w:rPr>
                <w:rFonts w:ascii="Arial" w:hAnsi="Arial" w:cs="Arial"/>
                <w:sz w:val="18"/>
                <w:szCs w:val="18"/>
              </w:rPr>
            </w:pPr>
            <w:r w:rsidRPr="00163E63">
              <w:rPr>
                <w:rFonts w:ascii="Arial" w:hAnsi="Arial" w:cs="Arial"/>
                <w:color w:val="000000" w:themeColor="text1"/>
                <w:sz w:val="18"/>
                <w:szCs w:val="18"/>
              </w:rPr>
              <w:t>717.28</w:t>
            </w:r>
          </w:p>
        </w:tc>
        <w:tc>
          <w:tcPr>
            <w:tcW w:w="1252" w:type="dxa"/>
            <w:vAlign w:val="center"/>
          </w:tcPr>
          <w:p w14:paraId="4DCF272C" w14:textId="77777777" w:rsidR="008907B3" w:rsidRPr="00163E63" w:rsidRDefault="008907B3" w:rsidP="0039129A">
            <w:pPr>
              <w:jc w:val="center"/>
              <w:rPr>
                <w:rFonts w:ascii="Arial" w:hAnsi="Arial" w:cs="Arial"/>
                <w:sz w:val="18"/>
                <w:szCs w:val="18"/>
              </w:rPr>
            </w:pPr>
            <w:r w:rsidRPr="00163E63">
              <w:rPr>
                <w:rFonts w:ascii="Arial" w:hAnsi="Arial" w:cs="Arial"/>
                <w:color w:val="000000" w:themeColor="text1"/>
                <w:sz w:val="18"/>
                <w:szCs w:val="18"/>
              </w:rPr>
              <w:t>0.04</w:t>
            </w:r>
          </w:p>
        </w:tc>
      </w:tr>
      <w:tr w:rsidR="008907B3" w:rsidRPr="00163E63" w14:paraId="6EE5816E" w14:textId="77777777" w:rsidTr="0039129A">
        <w:trPr>
          <w:trHeight w:val="260"/>
          <w:jc w:val="center"/>
        </w:trPr>
        <w:tc>
          <w:tcPr>
            <w:tcW w:w="1268" w:type="dxa"/>
            <w:vAlign w:val="center"/>
          </w:tcPr>
          <w:p w14:paraId="7447FE43" w14:textId="77777777" w:rsidR="008907B3" w:rsidRPr="00163E63" w:rsidRDefault="008907B3" w:rsidP="0039129A">
            <w:pPr>
              <w:jc w:val="center"/>
              <w:rPr>
                <w:rFonts w:ascii="Arial" w:hAnsi="Arial" w:cs="Arial"/>
                <w:b/>
                <w:bCs/>
                <w:sz w:val="18"/>
                <w:szCs w:val="18"/>
                <w:vertAlign w:val="subscript"/>
              </w:rPr>
            </w:pPr>
            <w:r w:rsidRPr="00163E63">
              <w:rPr>
                <w:rFonts w:ascii="Arial" w:hAnsi="Arial" w:cs="Arial"/>
                <w:b/>
                <w:bCs/>
                <w:sz w:val="18"/>
                <w:szCs w:val="18"/>
              </w:rPr>
              <w:t xml:space="preserve">CD </w:t>
            </w:r>
            <w:r w:rsidRPr="00163E63">
              <w:rPr>
                <w:rFonts w:ascii="Arial" w:hAnsi="Arial" w:cs="Arial"/>
                <w:b/>
                <w:bCs/>
                <w:sz w:val="18"/>
                <w:szCs w:val="18"/>
                <w:vertAlign w:val="subscript"/>
              </w:rPr>
              <w:t>(0.05)</w:t>
            </w:r>
          </w:p>
        </w:tc>
        <w:tc>
          <w:tcPr>
            <w:tcW w:w="1244" w:type="dxa"/>
            <w:vAlign w:val="center"/>
          </w:tcPr>
          <w:p w14:paraId="08F24130" w14:textId="77777777" w:rsidR="008907B3" w:rsidRPr="00163E63" w:rsidRDefault="008907B3" w:rsidP="0039129A">
            <w:pPr>
              <w:jc w:val="center"/>
              <w:rPr>
                <w:rFonts w:ascii="Arial" w:hAnsi="Arial" w:cs="Arial"/>
                <w:b/>
                <w:bCs/>
                <w:sz w:val="18"/>
                <w:szCs w:val="18"/>
              </w:rPr>
            </w:pPr>
          </w:p>
        </w:tc>
        <w:tc>
          <w:tcPr>
            <w:tcW w:w="869" w:type="dxa"/>
            <w:vAlign w:val="center"/>
          </w:tcPr>
          <w:p w14:paraId="50BB70D4" w14:textId="77777777" w:rsidR="008907B3" w:rsidRPr="00163E63" w:rsidRDefault="008907B3" w:rsidP="0039129A">
            <w:pPr>
              <w:jc w:val="center"/>
              <w:rPr>
                <w:rFonts w:ascii="Arial" w:hAnsi="Arial" w:cs="Arial"/>
                <w:sz w:val="18"/>
                <w:szCs w:val="18"/>
              </w:rPr>
            </w:pPr>
            <w:r w:rsidRPr="00163E63">
              <w:rPr>
                <w:rFonts w:ascii="Arial" w:hAnsi="Arial" w:cs="Arial"/>
                <w:color w:val="000000" w:themeColor="text1"/>
                <w:sz w:val="18"/>
                <w:szCs w:val="18"/>
              </w:rPr>
              <w:t>4.66</w:t>
            </w:r>
          </w:p>
        </w:tc>
        <w:tc>
          <w:tcPr>
            <w:tcW w:w="816" w:type="dxa"/>
            <w:vAlign w:val="center"/>
          </w:tcPr>
          <w:p w14:paraId="41E45D2B" w14:textId="77777777" w:rsidR="008907B3" w:rsidRPr="00163E63" w:rsidRDefault="008907B3" w:rsidP="0039129A">
            <w:pPr>
              <w:jc w:val="center"/>
              <w:rPr>
                <w:rFonts w:ascii="Arial" w:hAnsi="Arial" w:cs="Arial"/>
                <w:sz w:val="18"/>
                <w:szCs w:val="18"/>
              </w:rPr>
            </w:pPr>
            <w:r w:rsidRPr="00163E63">
              <w:rPr>
                <w:rFonts w:ascii="Arial" w:hAnsi="Arial" w:cs="Arial"/>
                <w:color w:val="000000" w:themeColor="text1"/>
                <w:sz w:val="18"/>
                <w:szCs w:val="18"/>
              </w:rPr>
              <w:t>4.66</w:t>
            </w:r>
          </w:p>
        </w:tc>
        <w:tc>
          <w:tcPr>
            <w:tcW w:w="816" w:type="dxa"/>
            <w:vAlign w:val="center"/>
          </w:tcPr>
          <w:p w14:paraId="70D70087" w14:textId="77777777" w:rsidR="008907B3" w:rsidRPr="00163E63" w:rsidRDefault="008907B3" w:rsidP="0039129A">
            <w:pPr>
              <w:jc w:val="center"/>
              <w:rPr>
                <w:rFonts w:ascii="Arial" w:hAnsi="Arial" w:cs="Arial"/>
                <w:sz w:val="18"/>
                <w:szCs w:val="18"/>
              </w:rPr>
            </w:pPr>
            <w:r w:rsidRPr="00163E63">
              <w:rPr>
                <w:rFonts w:ascii="Arial" w:hAnsi="Arial" w:cs="Arial"/>
                <w:color w:val="000000" w:themeColor="text1"/>
                <w:sz w:val="18"/>
                <w:szCs w:val="18"/>
              </w:rPr>
              <w:t>6.10</w:t>
            </w:r>
          </w:p>
        </w:tc>
        <w:tc>
          <w:tcPr>
            <w:tcW w:w="867" w:type="dxa"/>
            <w:vAlign w:val="center"/>
          </w:tcPr>
          <w:p w14:paraId="033C26F2" w14:textId="77777777" w:rsidR="008907B3" w:rsidRPr="00163E63" w:rsidRDefault="008907B3" w:rsidP="0039129A">
            <w:pPr>
              <w:jc w:val="center"/>
              <w:rPr>
                <w:rFonts w:ascii="Arial" w:hAnsi="Arial" w:cs="Arial"/>
                <w:sz w:val="18"/>
                <w:szCs w:val="18"/>
              </w:rPr>
            </w:pPr>
            <w:r w:rsidRPr="00163E63">
              <w:rPr>
                <w:rFonts w:ascii="Arial" w:hAnsi="Arial" w:cs="Arial"/>
                <w:color w:val="000000" w:themeColor="text1"/>
                <w:sz w:val="18"/>
                <w:szCs w:val="18"/>
              </w:rPr>
              <w:t>4.32</w:t>
            </w:r>
          </w:p>
        </w:tc>
        <w:tc>
          <w:tcPr>
            <w:tcW w:w="835" w:type="dxa"/>
            <w:vAlign w:val="center"/>
          </w:tcPr>
          <w:p w14:paraId="35AEB49B" w14:textId="77777777" w:rsidR="008907B3" w:rsidRPr="00163E63" w:rsidRDefault="008907B3" w:rsidP="0039129A">
            <w:pPr>
              <w:jc w:val="center"/>
              <w:rPr>
                <w:rFonts w:ascii="Arial" w:hAnsi="Arial" w:cs="Arial"/>
                <w:sz w:val="18"/>
                <w:szCs w:val="18"/>
              </w:rPr>
            </w:pPr>
            <w:r w:rsidRPr="00163E63">
              <w:rPr>
                <w:rFonts w:ascii="Arial" w:hAnsi="Arial" w:cs="Arial"/>
                <w:sz w:val="18"/>
                <w:szCs w:val="18"/>
              </w:rPr>
              <w:t>-</w:t>
            </w:r>
          </w:p>
        </w:tc>
        <w:tc>
          <w:tcPr>
            <w:tcW w:w="1038" w:type="dxa"/>
            <w:vAlign w:val="center"/>
          </w:tcPr>
          <w:p w14:paraId="0A537BFA" w14:textId="77777777" w:rsidR="008907B3" w:rsidRPr="00163E63" w:rsidRDefault="008907B3" w:rsidP="0039129A">
            <w:pPr>
              <w:jc w:val="center"/>
              <w:rPr>
                <w:rFonts w:ascii="Arial" w:hAnsi="Arial" w:cs="Arial"/>
                <w:sz w:val="18"/>
                <w:szCs w:val="18"/>
              </w:rPr>
            </w:pPr>
            <w:r w:rsidRPr="00163E63">
              <w:rPr>
                <w:rFonts w:ascii="Arial" w:hAnsi="Arial" w:cs="Arial"/>
                <w:color w:val="000000" w:themeColor="text1"/>
                <w:sz w:val="18"/>
                <w:szCs w:val="18"/>
              </w:rPr>
              <w:t>70.61</w:t>
            </w:r>
          </w:p>
        </w:tc>
        <w:tc>
          <w:tcPr>
            <w:tcW w:w="1252" w:type="dxa"/>
            <w:vAlign w:val="center"/>
          </w:tcPr>
          <w:p w14:paraId="3FC7CBE2" w14:textId="77777777" w:rsidR="008907B3" w:rsidRPr="00163E63" w:rsidRDefault="008907B3" w:rsidP="0039129A">
            <w:pPr>
              <w:jc w:val="center"/>
              <w:rPr>
                <w:rFonts w:ascii="Arial" w:hAnsi="Arial" w:cs="Arial"/>
                <w:sz w:val="18"/>
                <w:szCs w:val="18"/>
              </w:rPr>
            </w:pPr>
            <w:r w:rsidRPr="00163E63">
              <w:rPr>
                <w:rFonts w:ascii="Arial" w:hAnsi="Arial" w:cs="Arial"/>
                <w:color w:val="000000" w:themeColor="text1"/>
                <w:sz w:val="18"/>
                <w:szCs w:val="18"/>
              </w:rPr>
              <w:t>0.02</w:t>
            </w:r>
          </w:p>
        </w:tc>
      </w:tr>
      <w:tr w:rsidR="008907B3" w:rsidRPr="00163E63" w14:paraId="7AA3BBCD" w14:textId="77777777" w:rsidTr="0039129A">
        <w:trPr>
          <w:trHeight w:val="242"/>
          <w:jc w:val="center"/>
        </w:trPr>
        <w:tc>
          <w:tcPr>
            <w:tcW w:w="1268" w:type="dxa"/>
            <w:vAlign w:val="center"/>
          </w:tcPr>
          <w:p w14:paraId="75A33B1D" w14:textId="77777777" w:rsidR="008907B3" w:rsidRPr="00163E63" w:rsidRDefault="008907B3" w:rsidP="0039129A">
            <w:pPr>
              <w:jc w:val="center"/>
              <w:rPr>
                <w:rFonts w:ascii="Arial" w:hAnsi="Arial" w:cs="Arial"/>
                <w:b/>
                <w:bCs/>
                <w:sz w:val="18"/>
                <w:szCs w:val="18"/>
              </w:rPr>
            </w:pPr>
            <w:r w:rsidRPr="00163E63">
              <w:rPr>
                <w:rFonts w:ascii="Arial" w:hAnsi="Arial" w:cs="Arial"/>
                <w:b/>
                <w:bCs/>
                <w:sz w:val="18"/>
                <w:szCs w:val="18"/>
              </w:rPr>
              <w:t>SE (d)</w:t>
            </w:r>
          </w:p>
        </w:tc>
        <w:tc>
          <w:tcPr>
            <w:tcW w:w="1244" w:type="dxa"/>
            <w:vAlign w:val="center"/>
          </w:tcPr>
          <w:p w14:paraId="121FC5F1" w14:textId="77777777" w:rsidR="008907B3" w:rsidRPr="00163E63" w:rsidRDefault="008907B3" w:rsidP="0039129A">
            <w:pPr>
              <w:jc w:val="center"/>
              <w:rPr>
                <w:rFonts w:ascii="Arial" w:hAnsi="Arial" w:cs="Arial"/>
                <w:b/>
                <w:bCs/>
                <w:sz w:val="18"/>
                <w:szCs w:val="18"/>
              </w:rPr>
            </w:pPr>
          </w:p>
        </w:tc>
        <w:tc>
          <w:tcPr>
            <w:tcW w:w="869" w:type="dxa"/>
            <w:vAlign w:val="center"/>
          </w:tcPr>
          <w:p w14:paraId="67F97282" w14:textId="77777777" w:rsidR="008907B3" w:rsidRPr="00163E63" w:rsidRDefault="008907B3" w:rsidP="0039129A">
            <w:pPr>
              <w:jc w:val="center"/>
              <w:rPr>
                <w:rFonts w:ascii="Arial" w:hAnsi="Arial" w:cs="Arial"/>
                <w:sz w:val="18"/>
                <w:szCs w:val="18"/>
              </w:rPr>
            </w:pPr>
            <w:r w:rsidRPr="00163E63">
              <w:rPr>
                <w:rFonts w:ascii="Arial" w:hAnsi="Arial" w:cs="Arial"/>
                <w:color w:val="000000" w:themeColor="text1"/>
                <w:sz w:val="18"/>
                <w:szCs w:val="18"/>
              </w:rPr>
              <w:t>2.06</w:t>
            </w:r>
          </w:p>
        </w:tc>
        <w:tc>
          <w:tcPr>
            <w:tcW w:w="816" w:type="dxa"/>
            <w:vAlign w:val="center"/>
          </w:tcPr>
          <w:p w14:paraId="67AADBC3" w14:textId="77777777" w:rsidR="008907B3" w:rsidRPr="00163E63" w:rsidRDefault="008907B3" w:rsidP="0039129A">
            <w:pPr>
              <w:jc w:val="center"/>
              <w:rPr>
                <w:rFonts w:ascii="Arial" w:hAnsi="Arial" w:cs="Arial"/>
                <w:sz w:val="18"/>
                <w:szCs w:val="18"/>
              </w:rPr>
            </w:pPr>
            <w:r w:rsidRPr="00163E63">
              <w:rPr>
                <w:rFonts w:ascii="Arial" w:hAnsi="Arial" w:cs="Arial"/>
                <w:color w:val="000000" w:themeColor="text1"/>
                <w:sz w:val="18"/>
                <w:szCs w:val="18"/>
              </w:rPr>
              <w:t>2.07</w:t>
            </w:r>
          </w:p>
        </w:tc>
        <w:tc>
          <w:tcPr>
            <w:tcW w:w="816" w:type="dxa"/>
            <w:vAlign w:val="center"/>
          </w:tcPr>
          <w:p w14:paraId="20BDAF51" w14:textId="77777777" w:rsidR="008907B3" w:rsidRPr="00163E63" w:rsidRDefault="008907B3" w:rsidP="0039129A">
            <w:pPr>
              <w:jc w:val="center"/>
              <w:rPr>
                <w:rFonts w:ascii="Arial" w:hAnsi="Arial" w:cs="Arial"/>
                <w:sz w:val="18"/>
                <w:szCs w:val="18"/>
              </w:rPr>
            </w:pPr>
            <w:r w:rsidRPr="00163E63">
              <w:rPr>
                <w:rFonts w:ascii="Arial" w:hAnsi="Arial" w:cs="Arial"/>
                <w:color w:val="000000" w:themeColor="text1"/>
                <w:sz w:val="18"/>
                <w:szCs w:val="18"/>
              </w:rPr>
              <w:t>2.70</w:t>
            </w:r>
          </w:p>
        </w:tc>
        <w:tc>
          <w:tcPr>
            <w:tcW w:w="867" w:type="dxa"/>
            <w:vAlign w:val="center"/>
          </w:tcPr>
          <w:p w14:paraId="27FB8A59" w14:textId="77777777" w:rsidR="008907B3" w:rsidRPr="00163E63" w:rsidRDefault="008907B3" w:rsidP="0039129A">
            <w:pPr>
              <w:jc w:val="center"/>
              <w:rPr>
                <w:rFonts w:ascii="Arial" w:hAnsi="Arial" w:cs="Arial"/>
                <w:sz w:val="18"/>
                <w:szCs w:val="18"/>
              </w:rPr>
            </w:pPr>
            <w:r w:rsidRPr="00163E63">
              <w:rPr>
                <w:rFonts w:ascii="Arial" w:hAnsi="Arial" w:cs="Arial"/>
                <w:color w:val="000000" w:themeColor="text1"/>
                <w:sz w:val="18"/>
                <w:szCs w:val="18"/>
              </w:rPr>
              <w:t>1.91</w:t>
            </w:r>
          </w:p>
        </w:tc>
        <w:tc>
          <w:tcPr>
            <w:tcW w:w="835" w:type="dxa"/>
            <w:vAlign w:val="center"/>
          </w:tcPr>
          <w:p w14:paraId="77F73C97" w14:textId="77777777" w:rsidR="008907B3" w:rsidRPr="00163E63" w:rsidRDefault="008907B3" w:rsidP="0039129A">
            <w:pPr>
              <w:jc w:val="center"/>
              <w:rPr>
                <w:rFonts w:ascii="Arial" w:hAnsi="Arial" w:cs="Arial"/>
                <w:sz w:val="18"/>
                <w:szCs w:val="18"/>
              </w:rPr>
            </w:pPr>
            <w:r w:rsidRPr="00163E63">
              <w:rPr>
                <w:rFonts w:ascii="Arial" w:hAnsi="Arial" w:cs="Arial"/>
                <w:sz w:val="18"/>
                <w:szCs w:val="18"/>
              </w:rPr>
              <w:t>-</w:t>
            </w:r>
          </w:p>
        </w:tc>
        <w:tc>
          <w:tcPr>
            <w:tcW w:w="1038" w:type="dxa"/>
            <w:vAlign w:val="center"/>
          </w:tcPr>
          <w:p w14:paraId="62DC58E6" w14:textId="77777777" w:rsidR="008907B3" w:rsidRPr="00163E63" w:rsidRDefault="008907B3" w:rsidP="0039129A">
            <w:pPr>
              <w:jc w:val="center"/>
              <w:rPr>
                <w:rFonts w:ascii="Arial" w:hAnsi="Arial" w:cs="Arial"/>
                <w:sz w:val="18"/>
                <w:szCs w:val="18"/>
              </w:rPr>
            </w:pPr>
            <w:r w:rsidRPr="00163E63">
              <w:rPr>
                <w:rFonts w:ascii="Arial" w:hAnsi="Arial" w:cs="Arial"/>
                <w:color w:val="000000" w:themeColor="text1"/>
                <w:sz w:val="18"/>
                <w:szCs w:val="18"/>
              </w:rPr>
              <w:t>31.29</w:t>
            </w:r>
          </w:p>
        </w:tc>
        <w:tc>
          <w:tcPr>
            <w:tcW w:w="1252" w:type="dxa"/>
            <w:vAlign w:val="center"/>
          </w:tcPr>
          <w:p w14:paraId="3A4B6D0F" w14:textId="77777777" w:rsidR="008907B3" w:rsidRPr="00163E63" w:rsidRDefault="008907B3" w:rsidP="0039129A">
            <w:pPr>
              <w:jc w:val="center"/>
              <w:rPr>
                <w:rFonts w:ascii="Arial" w:hAnsi="Arial" w:cs="Arial"/>
                <w:sz w:val="18"/>
                <w:szCs w:val="18"/>
              </w:rPr>
            </w:pPr>
            <w:r w:rsidRPr="00163E63">
              <w:rPr>
                <w:rFonts w:ascii="Arial" w:hAnsi="Arial" w:cs="Arial"/>
                <w:color w:val="000000" w:themeColor="text1"/>
                <w:sz w:val="18"/>
                <w:szCs w:val="18"/>
              </w:rPr>
              <w:t>0.007</w:t>
            </w:r>
          </w:p>
        </w:tc>
      </w:tr>
    </w:tbl>
    <w:p w14:paraId="7668A221" w14:textId="77777777" w:rsidR="008907B3" w:rsidRDefault="008907B3" w:rsidP="008907B3">
      <w:pPr>
        <w:spacing w:line="276" w:lineRule="auto"/>
        <w:jc w:val="both"/>
      </w:pPr>
    </w:p>
    <w:p w14:paraId="2720B32B" w14:textId="62E64331" w:rsidR="008907B3" w:rsidRPr="00163E63" w:rsidRDefault="00163E63" w:rsidP="00163E63">
      <w:pPr>
        <w:spacing w:after="0" w:line="360" w:lineRule="auto"/>
        <w:jc w:val="both"/>
        <w:rPr>
          <w:rFonts w:ascii="Arial" w:hAnsi="Arial" w:cs="Arial"/>
          <w:sz w:val="22"/>
          <w:szCs w:val="22"/>
        </w:rPr>
      </w:pPr>
      <w:r w:rsidRPr="00163E63">
        <w:rPr>
          <w:rFonts w:ascii="Arial" w:hAnsi="Arial" w:cs="Arial"/>
          <w:b/>
          <w:bCs/>
          <w:sz w:val="22"/>
          <w:szCs w:val="22"/>
        </w:rPr>
        <w:t>3.4</w:t>
      </w:r>
      <w:r w:rsidR="008907B3" w:rsidRPr="00163E63">
        <w:rPr>
          <w:rFonts w:ascii="Arial" w:hAnsi="Arial" w:cs="Arial"/>
          <w:b/>
          <w:bCs/>
          <w:sz w:val="22"/>
          <w:szCs w:val="22"/>
        </w:rPr>
        <w:t xml:space="preserve"> Pathogen sub-culturing</w:t>
      </w:r>
    </w:p>
    <w:p w14:paraId="35254DF0" w14:textId="3B188F22" w:rsidR="006652F7" w:rsidRPr="00163E63" w:rsidRDefault="008907B3" w:rsidP="00163E63">
      <w:pPr>
        <w:spacing w:after="0" w:line="360" w:lineRule="auto"/>
        <w:jc w:val="both"/>
        <w:rPr>
          <w:rFonts w:ascii="Arial" w:hAnsi="Arial" w:cs="Arial"/>
          <w:sz w:val="20"/>
          <w:szCs w:val="20"/>
        </w:rPr>
      </w:pPr>
      <w:r>
        <w:tab/>
      </w:r>
      <w:r w:rsidRPr="00163E63">
        <w:rPr>
          <w:rFonts w:ascii="Arial" w:hAnsi="Arial" w:cs="Arial"/>
          <w:sz w:val="20"/>
          <w:szCs w:val="20"/>
        </w:rPr>
        <w:t xml:space="preserve"> Effect of sub-culturing of </w:t>
      </w:r>
      <w:r w:rsidRPr="00163E63">
        <w:rPr>
          <w:rFonts w:ascii="Arial" w:hAnsi="Arial" w:cs="Arial"/>
          <w:i/>
          <w:iCs/>
          <w:sz w:val="20"/>
          <w:szCs w:val="20"/>
        </w:rPr>
        <w:t xml:space="preserve">P. maydis </w:t>
      </w:r>
      <w:r w:rsidRPr="00163E63">
        <w:rPr>
          <w:rFonts w:ascii="Arial" w:hAnsi="Arial" w:cs="Arial"/>
          <w:sz w:val="20"/>
          <w:szCs w:val="20"/>
        </w:rPr>
        <w:t>culture on brown spot disease development were studied under polyhouse conditions. Significant differences in disease development were observed across various sub-cultures stages. Thirty-five days old susceptible maize plants were inoculated with the pathogen from 1</w:t>
      </w:r>
      <w:r w:rsidRPr="00163E63">
        <w:rPr>
          <w:rFonts w:ascii="Arial" w:hAnsi="Arial" w:cs="Arial"/>
          <w:sz w:val="20"/>
          <w:szCs w:val="20"/>
          <w:vertAlign w:val="superscript"/>
        </w:rPr>
        <w:t>st</w:t>
      </w:r>
      <w:r w:rsidRPr="00163E63">
        <w:rPr>
          <w:rFonts w:ascii="Arial" w:hAnsi="Arial" w:cs="Arial"/>
          <w:sz w:val="20"/>
          <w:szCs w:val="20"/>
        </w:rPr>
        <w:t>, 3</w:t>
      </w:r>
      <w:r w:rsidRPr="00163E63">
        <w:rPr>
          <w:rFonts w:ascii="Arial" w:hAnsi="Arial" w:cs="Arial"/>
          <w:sz w:val="20"/>
          <w:szCs w:val="20"/>
          <w:vertAlign w:val="superscript"/>
        </w:rPr>
        <w:t>rd</w:t>
      </w:r>
      <w:r w:rsidRPr="00163E63">
        <w:rPr>
          <w:rFonts w:ascii="Arial" w:hAnsi="Arial" w:cs="Arial"/>
          <w:sz w:val="20"/>
          <w:szCs w:val="20"/>
        </w:rPr>
        <w:t>, 5</w:t>
      </w:r>
      <w:r w:rsidRPr="00163E63">
        <w:rPr>
          <w:rFonts w:ascii="Arial" w:hAnsi="Arial" w:cs="Arial"/>
          <w:sz w:val="20"/>
          <w:szCs w:val="20"/>
          <w:vertAlign w:val="superscript"/>
        </w:rPr>
        <w:t>th</w:t>
      </w:r>
      <w:r w:rsidRPr="00163E63">
        <w:rPr>
          <w:rFonts w:ascii="Arial" w:hAnsi="Arial" w:cs="Arial"/>
          <w:sz w:val="20"/>
          <w:szCs w:val="20"/>
        </w:rPr>
        <w:t>, 7</w:t>
      </w:r>
      <w:r w:rsidRPr="00163E63">
        <w:rPr>
          <w:rFonts w:ascii="Arial" w:hAnsi="Arial" w:cs="Arial"/>
          <w:sz w:val="20"/>
          <w:szCs w:val="20"/>
          <w:vertAlign w:val="superscript"/>
        </w:rPr>
        <w:t>th</w:t>
      </w:r>
      <w:r w:rsidRPr="00163E63">
        <w:rPr>
          <w:rFonts w:ascii="Arial" w:hAnsi="Arial" w:cs="Arial"/>
          <w:sz w:val="20"/>
          <w:szCs w:val="20"/>
        </w:rPr>
        <w:t xml:space="preserve"> and 9</w:t>
      </w:r>
      <w:r w:rsidRPr="00163E63">
        <w:rPr>
          <w:rFonts w:ascii="Arial" w:hAnsi="Arial" w:cs="Arial"/>
          <w:sz w:val="20"/>
          <w:szCs w:val="20"/>
          <w:vertAlign w:val="superscript"/>
        </w:rPr>
        <w:t>th</w:t>
      </w:r>
      <w:r w:rsidRPr="00163E63">
        <w:rPr>
          <w:rFonts w:ascii="Arial" w:hAnsi="Arial" w:cs="Arial"/>
          <w:sz w:val="20"/>
          <w:szCs w:val="20"/>
        </w:rPr>
        <w:t xml:space="preserve"> -sub-culture stages (Table </w:t>
      </w:r>
      <w:r w:rsidR="00163E63">
        <w:rPr>
          <w:rFonts w:ascii="Arial" w:hAnsi="Arial" w:cs="Arial"/>
          <w:sz w:val="20"/>
          <w:szCs w:val="20"/>
        </w:rPr>
        <w:t>5</w:t>
      </w:r>
      <w:r w:rsidRPr="00163E63">
        <w:rPr>
          <w:rFonts w:ascii="Arial" w:hAnsi="Arial" w:cs="Arial"/>
          <w:sz w:val="20"/>
          <w:szCs w:val="20"/>
        </w:rPr>
        <w:t>). Significantly, highest average disease index of 22.22 per cent was recorded in the maize plants inoculated with 1</w:t>
      </w:r>
      <w:r w:rsidRPr="00163E63">
        <w:rPr>
          <w:rFonts w:ascii="Arial" w:hAnsi="Arial" w:cs="Arial"/>
          <w:sz w:val="20"/>
          <w:szCs w:val="20"/>
          <w:vertAlign w:val="superscript"/>
        </w:rPr>
        <w:t>st</w:t>
      </w:r>
      <w:r w:rsidRPr="00163E63">
        <w:rPr>
          <w:rFonts w:ascii="Arial" w:hAnsi="Arial" w:cs="Arial"/>
          <w:sz w:val="20"/>
          <w:szCs w:val="20"/>
        </w:rPr>
        <w:t xml:space="preserve"> sub-culture and shortest average incubation period (16.5 days) indicating a strong pathogenic response followed by 3</w:t>
      </w:r>
      <w:r w:rsidRPr="00163E63">
        <w:rPr>
          <w:rFonts w:ascii="Arial" w:hAnsi="Arial" w:cs="Arial"/>
          <w:sz w:val="20"/>
          <w:szCs w:val="20"/>
          <w:vertAlign w:val="superscript"/>
        </w:rPr>
        <w:t>rd</w:t>
      </w:r>
      <w:r w:rsidRPr="00163E63">
        <w:rPr>
          <w:rFonts w:ascii="Arial" w:hAnsi="Arial" w:cs="Arial"/>
          <w:sz w:val="20"/>
          <w:szCs w:val="20"/>
        </w:rPr>
        <w:t xml:space="preserve"> sub-culture exhibiting an average disease index of 18.21 per cent with average incubation period of 17.0 days. The disease progress was significantly high with 1</w:t>
      </w:r>
      <w:r w:rsidRPr="00163E63">
        <w:rPr>
          <w:rFonts w:ascii="Arial" w:hAnsi="Arial" w:cs="Arial"/>
          <w:sz w:val="20"/>
          <w:szCs w:val="20"/>
          <w:vertAlign w:val="superscript"/>
        </w:rPr>
        <w:t>st</w:t>
      </w:r>
      <w:r w:rsidRPr="00163E63">
        <w:rPr>
          <w:rFonts w:ascii="Arial" w:hAnsi="Arial" w:cs="Arial"/>
          <w:sz w:val="20"/>
          <w:szCs w:val="20"/>
        </w:rPr>
        <w:t xml:space="preserve"> sub-culture of the pathogen which was evident by highest AUDPC (466.66) and apparent rate of infection (0.03 r/day). This was followed by 3</w:t>
      </w:r>
      <w:r w:rsidRPr="00163E63">
        <w:rPr>
          <w:rFonts w:ascii="Arial" w:hAnsi="Arial" w:cs="Arial"/>
          <w:sz w:val="20"/>
          <w:szCs w:val="20"/>
          <w:vertAlign w:val="superscript"/>
        </w:rPr>
        <w:t>rd</w:t>
      </w:r>
      <w:r w:rsidRPr="00163E63">
        <w:rPr>
          <w:rFonts w:ascii="Arial" w:hAnsi="Arial" w:cs="Arial"/>
          <w:sz w:val="20"/>
          <w:szCs w:val="20"/>
        </w:rPr>
        <w:t xml:space="preserve"> sub-culture of the pathogen with 384.53 and 0.03 r/day AUDPC and rate of infection, respectively. However, minimum average disease index of 10.80 per cent was observed with 9</w:t>
      </w:r>
      <w:r w:rsidRPr="00163E63">
        <w:rPr>
          <w:rFonts w:ascii="Arial" w:hAnsi="Arial" w:cs="Arial"/>
          <w:sz w:val="20"/>
          <w:szCs w:val="20"/>
          <w:vertAlign w:val="superscript"/>
        </w:rPr>
        <w:t>th</w:t>
      </w:r>
      <w:r w:rsidRPr="00163E63">
        <w:rPr>
          <w:rFonts w:ascii="Arial" w:hAnsi="Arial" w:cs="Arial"/>
          <w:sz w:val="20"/>
          <w:szCs w:val="20"/>
        </w:rPr>
        <w:t xml:space="preserve"> sub-culture of the pathogen and longest average incubation period of 20.0 days. It also provided minimum AUDPC values and apparent rate of infection i.e. 224.68 and 0.06 r/day, respectively. In contrast, plants inoculated with the pathogen from the 5</w:t>
      </w:r>
      <w:r w:rsidRPr="00163E63">
        <w:rPr>
          <w:rFonts w:ascii="Arial" w:hAnsi="Arial" w:cs="Arial"/>
          <w:sz w:val="20"/>
          <w:szCs w:val="20"/>
          <w:vertAlign w:val="superscript"/>
        </w:rPr>
        <w:t>th</w:t>
      </w:r>
      <w:r w:rsidRPr="00163E63">
        <w:rPr>
          <w:rFonts w:ascii="Arial" w:hAnsi="Arial" w:cs="Arial"/>
          <w:sz w:val="20"/>
          <w:szCs w:val="20"/>
        </w:rPr>
        <w:t xml:space="preserve"> to 9</w:t>
      </w:r>
      <w:r w:rsidRPr="00163E63">
        <w:rPr>
          <w:rFonts w:ascii="Arial" w:hAnsi="Arial" w:cs="Arial"/>
          <w:sz w:val="20"/>
          <w:szCs w:val="20"/>
          <w:vertAlign w:val="superscript"/>
        </w:rPr>
        <w:t>th</w:t>
      </w:r>
      <w:r w:rsidRPr="00163E63">
        <w:rPr>
          <w:rFonts w:ascii="Arial" w:hAnsi="Arial" w:cs="Arial"/>
          <w:sz w:val="20"/>
          <w:szCs w:val="20"/>
        </w:rPr>
        <w:t xml:space="preserve"> sub-culture showed a markedly lower average disease index varied from 16.05 to 10.80 per cent. </w:t>
      </w:r>
    </w:p>
    <w:p w14:paraId="042AEC57" w14:textId="77777777" w:rsidR="00647115" w:rsidRDefault="008907B3" w:rsidP="00163E63">
      <w:pPr>
        <w:spacing w:after="0" w:line="360" w:lineRule="auto"/>
        <w:ind w:firstLine="720"/>
        <w:jc w:val="both"/>
        <w:rPr>
          <w:rFonts w:ascii="Arial" w:hAnsi="Arial" w:cs="Arial"/>
          <w:sz w:val="20"/>
          <w:szCs w:val="20"/>
        </w:rPr>
      </w:pPr>
      <w:r w:rsidRPr="00163E63">
        <w:rPr>
          <w:rFonts w:ascii="Arial" w:hAnsi="Arial" w:cs="Arial"/>
          <w:sz w:val="20"/>
          <w:szCs w:val="20"/>
        </w:rPr>
        <w:t xml:space="preserve">These findings suggest that the virulence of </w:t>
      </w:r>
      <w:r w:rsidRPr="00163E63">
        <w:rPr>
          <w:rFonts w:ascii="Arial" w:hAnsi="Arial" w:cs="Arial"/>
          <w:i/>
          <w:iCs/>
          <w:sz w:val="20"/>
          <w:szCs w:val="20"/>
        </w:rPr>
        <w:t xml:space="preserve">P. maydis </w:t>
      </w:r>
      <w:r w:rsidRPr="00163E63">
        <w:rPr>
          <w:rFonts w:ascii="Arial" w:hAnsi="Arial" w:cs="Arial"/>
          <w:sz w:val="20"/>
          <w:szCs w:val="20"/>
        </w:rPr>
        <w:t>was significantly affected by its sub-culturing period, with younger cultures displaying greater potential for infection in maize plants and with the increase in sub-culturing, there is a corresponding decline in brown spot disease development in maize plants. These results underscore the important influence of pathogen sub-culturing on disease dynamics, with the 1</w:t>
      </w:r>
      <w:r w:rsidRPr="00163E63">
        <w:rPr>
          <w:rFonts w:ascii="Arial" w:hAnsi="Arial" w:cs="Arial"/>
          <w:sz w:val="20"/>
          <w:szCs w:val="20"/>
          <w:vertAlign w:val="superscript"/>
        </w:rPr>
        <w:t>st</w:t>
      </w:r>
      <w:r w:rsidRPr="00163E63">
        <w:rPr>
          <w:rFonts w:ascii="Arial" w:hAnsi="Arial" w:cs="Arial"/>
          <w:sz w:val="20"/>
          <w:szCs w:val="20"/>
        </w:rPr>
        <w:t xml:space="preserve"> and 3</w:t>
      </w:r>
      <w:r w:rsidRPr="00163E63">
        <w:rPr>
          <w:rFonts w:ascii="Arial" w:hAnsi="Arial" w:cs="Arial"/>
          <w:sz w:val="20"/>
          <w:szCs w:val="20"/>
          <w:vertAlign w:val="superscript"/>
        </w:rPr>
        <w:t>rd</w:t>
      </w:r>
      <w:r w:rsidRPr="00163E63">
        <w:rPr>
          <w:rFonts w:ascii="Arial" w:hAnsi="Arial" w:cs="Arial"/>
          <w:sz w:val="20"/>
          <w:szCs w:val="20"/>
        </w:rPr>
        <w:t xml:space="preserve"> sub-cultures exhibiting the highest disease index.  </w:t>
      </w:r>
      <w:r w:rsidR="006652F7" w:rsidRPr="00163E63">
        <w:rPr>
          <w:rFonts w:ascii="Arial" w:hAnsi="Arial" w:cs="Arial"/>
          <w:sz w:val="20"/>
          <w:szCs w:val="20"/>
        </w:rPr>
        <w:t xml:space="preserve">This reduction in virulence was attributed due to physiological degeneration, nutrient depletion, reduced sporangial viability and loss of pathogenic fitness during prolonged maintenance under artificial conditions. </w:t>
      </w:r>
    </w:p>
    <w:p w14:paraId="5D7F69D9" w14:textId="0C1B08BD" w:rsidR="006652F7" w:rsidRPr="00163E63" w:rsidRDefault="006652F7" w:rsidP="00163E63">
      <w:pPr>
        <w:spacing w:after="0" w:line="360" w:lineRule="auto"/>
        <w:ind w:firstLine="720"/>
        <w:jc w:val="both"/>
        <w:rPr>
          <w:rFonts w:ascii="Arial" w:hAnsi="Arial" w:cs="Arial"/>
          <w:sz w:val="20"/>
          <w:szCs w:val="20"/>
        </w:rPr>
      </w:pPr>
      <w:r w:rsidRPr="00163E63">
        <w:rPr>
          <w:rFonts w:ascii="Arial" w:hAnsi="Arial" w:cs="Arial"/>
          <w:sz w:val="20"/>
          <w:szCs w:val="20"/>
        </w:rPr>
        <w:t xml:space="preserve">Similar results were recorded by Anand (2019) reported that young and early generation of pathogen culture gave maximum disease incidence of collar rot of cow pea and significant decrease in the disease incidence was observed with increase in age and sub-culturing of the pathogen.  </w:t>
      </w:r>
      <w:r w:rsidR="00442ED3" w:rsidRPr="00163E63">
        <w:rPr>
          <w:rFonts w:ascii="Arial" w:hAnsi="Arial" w:cs="Arial"/>
          <w:sz w:val="20"/>
          <w:szCs w:val="20"/>
        </w:rPr>
        <w:t>Although sub-culturing is required to prolong the lifespan and/or increase the number of microbial cells in the culture, successive sub-culturing has been reported to affect the pathogenicity, sporangial yield, germination and stability of strains in various fungal pathogens (Ansari and Butt 2011; Sennoi et al. 2013; Bruslind 2021).</w:t>
      </w:r>
    </w:p>
    <w:p w14:paraId="3308C4BD" w14:textId="74D439B1" w:rsidR="008907B3" w:rsidRPr="00647115" w:rsidRDefault="008907B3" w:rsidP="00647115">
      <w:pPr>
        <w:spacing w:after="0" w:line="276" w:lineRule="auto"/>
        <w:ind w:right="26"/>
        <w:jc w:val="both"/>
        <w:rPr>
          <w:rFonts w:ascii="Arial" w:hAnsi="Arial" w:cs="Arial"/>
          <w:b/>
          <w:bCs/>
          <w:sz w:val="18"/>
          <w:szCs w:val="18"/>
        </w:rPr>
      </w:pPr>
      <w:r w:rsidRPr="00647115">
        <w:rPr>
          <w:rFonts w:ascii="Arial" w:hAnsi="Arial" w:cs="Arial"/>
          <w:b/>
          <w:bCs/>
          <w:sz w:val="18"/>
          <w:szCs w:val="18"/>
        </w:rPr>
        <w:t xml:space="preserve">Table </w:t>
      </w:r>
      <w:r w:rsidR="00647115">
        <w:rPr>
          <w:rFonts w:ascii="Arial" w:hAnsi="Arial" w:cs="Arial"/>
          <w:b/>
          <w:bCs/>
          <w:sz w:val="18"/>
          <w:szCs w:val="18"/>
        </w:rPr>
        <w:t>5:</w:t>
      </w:r>
      <w:r w:rsidRPr="00647115">
        <w:rPr>
          <w:rFonts w:ascii="Arial" w:hAnsi="Arial" w:cs="Arial"/>
          <w:b/>
          <w:bCs/>
          <w:sz w:val="18"/>
          <w:szCs w:val="18"/>
        </w:rPr>
        <w:t xml:space="preserve"> Effect of sub-culturing of </w:t>
      </w:r>
      <w:r w:rsidRPr="00647115">
        <w:rPr>
          <w:rFonts w:ascii="Arial" w:hAnsi="Arial" w:cs="Arial"/>
          <w:b/>
          <w:bCs/>
          <w:i/>
          <w:iCs/>
          <w:sz w:val="18"/>
          <w:szCs w:val="18"/>
        </w:rPr>
        <w:t>Physoderma maydis</w:t>
      </w:r>
      <w:r w:rsidRPr="00647115">
        <w:rPr>
          <w:rFonts w:ascii="Arial" w:hAnsi="Arial" w:cs="Arial"/>
          <w:b/>
          <w:bCs/>
          <w:sz w:val="18"/>
          <w:szCs w:val="18"/>
        </w:rPr>
        <w:t xml:space="preserve"> on the development of brown spot of maize</w:t>
      </w:r>
    </w:p>
    <w:tbl>
      <w:tblPr>
        <w:tblStyle w:val="TableGrid"/>
        <w:tblW w:w="9000" w:type="dxa"/>
        <w:jc w:val="center"/>
        <w:tblLook w:val="04A0" w:firstRow="1" w:lastRow="0" w:firstColumn="1" w:lastColumn="0" w:noHBand="0" w:noVBand="1"/>
      </w:tblPr>
      <w:tblGrid>
        <w:gridCol w:w="1157"/>
        <w:gridCol w:w="1258"/>
        <w:gridCol w:w="909"/>
        <w:gridCol w:w="909"/>
        <w:gridCol w:w="909"/>
        <w:gridCol w:w="723"/>
        <w:gridCol w:w="833"/>
        <w:gridCol w:w="989"/>
        <w:gridCol w:w="1313"/>
      </w:tblGrid>
      <w:tr w:rsidR="008907B3" w:rsidRPr="00647115" w14:paraId="2A77C3EA" w14:textId="77777777" w:rsidTr="0039129A">
        <w:trPr>
          <w:trHeight w:val="551"/>
          <w:jc w:val="center"/>
        </w:trPr>
        <w:tc>
          <w:tcPr>
            <w:tcW w:w="272" w:type="dxa"/>
            <w:vMerge w:val="restart"/>
            <w:vAlign w:val="center"/>
          </w:tcPr>
          <w:p w14:paraId="727046B9" w14:textId="77777777" w:rsidR="008907B3" w:rsidRPr="00647115" w:rsidRDefault="008907B3" w:rsidP="0039129A">
            <w:pPr>
              <w:jc w:val="center"/>
              <w:rPr>
                <w:rFonts w:ascii="Arial" w:hAnsi="Arial" w:cs="Arial"/>
                <w:b/>
                <w:bCs/>
                <w:sz w:val="18"/>
                <w:szCs w:val="18"/>
              </w:rPr>
            </w:pPr>
            <w:r w:rsidRPr="00647115">
              <w:rPr>
                <w:rFonts w:ascii="Arial" w:hAnsi="Arial" w:cs="Arial"/>
                <w:b/>
                <w:bCs/>
                <w:sz w:val="18"/>
                <w:szCs w:val="18"/>
              </w:rPr>
              <w:t>Subculture</w:t>
            </w:r>
          </w:p>
        </w:tc>
        <w:tc>
          <w:tcPr>
            <w:tcW w:w="1337" w:type="dxa"/>
            <w:vMerge w:val="restart"/>
            <w:vAlign w:val="center"/>
          </w:tcPr>
          <w:p w14:paraId="58560CA9" w14:textId="77777777" w:rsidR="008907B3" w:rsidRPr="00647115" w:rsidRDefault="008907B3" w:rsidP="0039129A">
            <w:pPr>
              <w:jc w:val="center"/>
              <w:rPr>
                <w:rFonts w:ascii="Arial" w:hAnsi="Arial" w:cs="Arial"/>
                <w:b/>
                <w:bCs/>
                <w:sz w:val="18"/>
                <w:szCs w:val="18"/>
              </w:rPr>
            </w:pPr>
            <w:r w:rsidRPr="00647115">
              <w:rPr>
                <w:rFonts w:ascii="Arial" w:hAnsi="Arial" w:cs="Arial"/>
                <w:b/>
                <w:bCs/>
                <w:sz w:val="18"/>
                <w:szCs w:val="18"/>
              </w:rPr>
              <w:t>Incubation period (days)</w:t>
            </w:r>
          </w:p>
        </w:tc>
        <w:tc>
          <w:tcPr>
            <w:tcW w:w="4833" w:type="dxa"/>
            <w:gridSpan w:val="5"/>
            <w:vAlign w:val="center"/>
          </w:tcPr>
          <w:p w14:paraId="78308722" w14:textId="77777777" w:rsidR="008907B3" w:rsidRPr="00647115" w:rsidRDefault="008907B3" w:rsidP="0039129A">
            <w:pPr>
              <w:jc w:val="center"/>
              <w:rPr>
                <w:rFonts w:ascii="Arial" w:hAnsi="Arial" w:cs="Arial"/>
                <w:b/>
                <w:bCs/>
                <w:sz w:val="18"/>
                <w:szCs w:val="18"/>
              </w:rPr>
            </w:pPr>
            <w:r w:rsidRPr="00647115">
              <w:rPr>
                <w:rFonts w:ascii="Arial" w:hAnsi="Arial" w:cs="Arial"/>
                <w:b/>
                <w:bCs/>
                <w:sz w:val="18"/>
                <w:szCs w:val="18"/>
              </w:rPr>
              <w:t>Disease index (%) after disease appearance</w:t>
            </w:r>
          </w:p>
        </w:tc>
        <w:tc>
          <w:tcPr>
            <w:tcW w:w="1066" w:type="dxa"/>
            <w:vMerge w:val="restart"/>
            <w:vAlign w:val="center"/>
          </w:tcPr>
          <w:p w14:paraId="78BD1816" w14:textId="77777777" w:rsidR="008907B3" w:rsidRPr="00647115" w:rsidRDefault="008907B3" w:rsidP="0039129A">
            <w:pPr>
              <w:jc w:val="center"/>
              <w:rPr>
                <w:rFonts w:ascii="Arial" w:hAnsi="Arial" w:cs="Arial"/>
                <w:b/>
                <w:bCs/>
                <w:sz w:val="18"/>
                <w:szCs w:val="18"/>
              </w:rPr>
            </w:pPr>
            <w:r w:rsidRPr="00647115">
              <w:rPr>
                <w:rFonts w:ascii="Arial" w:hAnsi="Arial" w:cs="Arial"/>
                <w:b/>
                <w:bCs/>
                <w:sz w:val="18"/>
                <w:szCs w:val="18"/>
              </w:rPr>
              <w:t>AUDPC</w:t>
            </w:r>
          </w:p>
        </w:tc>
        <w:tc>
          <w:tcPr>
            <w:tcW w:w="1492" w:type="dxa"/>
            <w:vMerge w:val="restart"/>
            <w:vAlign w:val="center"/>
          </w:tcPr>
          <w:p w14:paraId="09520433" w14:textId="77777777" w:rsidR="008907B3" w:rsidRPr="00647115" w:rsidRDefault="008907B3" w:rsidP="0039129A">
            <w:pPr>
              <w:jc w:val="center"/>
              <w:rPr>
                <w:rFonts w:ascii="Arial" w:hAnsi="Arial" w:cs="Arial"/>
                <w:b/>
                <w:bCs/>
                <w:sz w:val="18"/>
                <w:szCs w:val="18"/>
              </w:rPr>
            </w:pPr>
            <w:r w:rsidRPr="00647115">
              <w:rPr>
                <w:rFonts w:ascii="Arial" w:hAnsi="Arial" w:cs="Arial"/>
                <w:b/>
                <w:bCs/>
                <w:sz w:val="18"/>
                <w:szCs w:val="18"/>
              </w:rPr>
              <w:t>Apparent rate of infection (r/day)</w:t>
            </w:r>
          </w:p>
        </w:tc>
      </w:tr>
      <w:tr w:rsidR="008907B3" w:rsidRPr="00647115" w14:paraId="4FCBD5F4" w14:textId="77777777" w:rsidTr="0039129A">
        <w:trPr>
          <w:trHeight w:val="144"/>
          <w:jc w:val="center"/>
        </w:trPr>
        <w:tc>
          <w:tcPr>
            <w:tcW w:w="272" w:type="dxa"/>
            <w:vMerge/>
            <w:vAlign w:val="center"/>
          </w:tcPr>
          <w:p w14:paraId="4FA3A200" w14:textId="77777777" w:rsidR="008907B3" w:rsidRPr="00647115" w:rsidRDefault="008907B3" w:rsidP="0039129A">
            <w:pPr>
              <w:jc w:val="center"/>
              <w:rPr>
                <w:rFonts w:ascii="Arial" w:hAnsi="Arial" w:cs="Arial"/>
                <w:b/>
                <w:bCs/>
                <w:sz w:val="18"/>
                <w:szCs w:val="18"/>
              </w:rPr>
            </w:pPr>
          </w:p>
        </w:tc>
        <w:tc>
          <w:tcPr>
            <w:tcW w:w="1337" w:type="dxa"/>
            <w:vMerge/>
            <w:vAlign w:val="center"/>
          </w:tcPr>
          <w:p w14:paraId="538ACA77" w14:textId="77777777" w:rsidR="008907B3" w:rsidRPr="00647115" w:rsidRDefault="008907B3" w:rsidP="0039129A">
            <w:pPr>
              <w:jc w:val="center"/>
              <w:rPr>
                <w:rFonts w:ascii="Arial" w:hAnsi="Arial" w:cs="Arial"/>
                <w:b/>
                <w:bCs/>
                <w:sz w:val="18"/>
                <w:szCs w:val="18"/>
              </w:rPr>
            </w:pPr>
          </w:p>
        </w:tc>
        <w:tc>
          <w:tcPr>
            <w:tcW w:w="1051" w:type="dxa"/>
            <w:vAlign w:val="center"/>
          </w:tcPr>
          <w:p w14:paraId="0E8629B9" w14:textId="77777777" w:rsidR="008907B3" w:rsidRPr="00647115" w:rsidRDefault="008907B3" w:rsidP="0039129A">
            <w:pPr>
              <w:jc w:val="center"/>
              <w:rPr>
                <w:rFonts w:ascii="Arial" w:hAnsi="Arial" w:cs="Arial"/>
                <w:b/>
                <w:bCs/>
                <w:sz w:val="18"/>
                <w:szCs w:val="18"/>
              </w:rPr>
            </w:pPr>
            <w:r w:rsidRPr="00647115">
              <w:rPr>
                <w:rFonts w:ascii="Arial" w:hAnsi="Arial" w:cs="Arial"/>
                <w:b/>
                <w:bCs/>
                <w:sz w:val="18"/>
                <w:szCs w:val="18"/>
              </w:rPr>
              <w:t>7</w:t>
            </w:r>
          </w:p>
        </w:tc>
        <w:tc>
          <w:tcPr>
            <w:tcW w:w="1051" w:type="dxa"/>
            <w:vAlign w:val="center"/>
          </w:tcPr>
          <w:p w14:paraId="4BFB66AA" w14:textId="77777777" w:rsidR="008907B3" w:rsidRPr="00647115" w:rsidRDefault="008907B3" w:rsidP="0039129A">
            <w:pPr>
              <w:jc w:val="center"/>
              <w:rPr>
                <w:rFonts w:ascii="Arial" w:hAnsi="Arial" w:cs="Arial"/>
                <w:b/>
                <w:bCs/>
                <w:sz w:val="18"/>
                <w:szCs w:val="18"/>
              </w:rPr>
            </w:pPr>
            <w:r w:rsidRPr="00647115">
              <w:rPr>
                <w:rFonts w:ascii="Arial" w:hAnsi="Arial" w:cs="Arial"/>
                <w:b/>
                <w:bCs/>
                <w:sz w:val="18"/>
                <w:szCs w:val="18"/>
              </w:rPr>
              <w:t>14</w:t>
            </w:r>
          </w:p>
        </w:tc>
        <w:tc>
          <w:tcPr>
            <w:tcW w:w="1051" w:type="dxa"/>
            <w:vAlign w:val="center"/>
          </w:tcPr>
          <w:p w14:paraId="069E540A" w14:textId="77777777" w:rsidR="008907B3" w:rsidRPr="00647115" w:rsidRDefault="008907B3" w:rsidP="0039129A">
            <w:pPr>
              <w:jc w:val="center"/>
              <w:rPr>
                <w:rFonts w:ascii="Arial" w:hAnsi="Arial" w:cs="Arial"/>
                <w:b/>
                <w:bCs/>
                <w:sz w:val="18"/>
                <w:szCs w:val="18"/>
              </w:rPr>
            </w:pPr>
            <w:r w:rsidRPr="00647115">
              <w:rPr>
                <w:rFonts w:ascii="Arial" w:hAnsi="Arial" w:cs="Arial"/>
                <w:b/>
                <w:bCs/>
                <w:sz w:val="18"/>
                <w:szCs w:val="18"/>
              </w:rPr>
              <w:t>21</w:t>
            </w:r>
          </w:p>
        </w:tc>
        <w:tc>
          <w:tcPr>
            <w:tcW w:w="756" w:type="dxa"/>
            <w:vAlign w:val="center"/>
          </w:tcPr>
          <w:p w14:paraId="030AB3AA" w14:textId="77777777" w:rsidR="008907B3" w:rsidRPr="00647115" w:rsidRDefault="008907B3" w:rsidP="0039129A">
            <w:pPr>
              <w:jc w:val="center"/>
              <w:rPr>
                <w:rFonts w:ascii="Arial" w:hAnsi="Arial" w:cs="Arial"/>
                <w:b/>
                <w:bCs/>
                <w:sz w:val="18"/>
                <w:szCs w:val="18"/>
              </w:rPr>
            </w:pPr>
            <w:r w:rsidRPr="00647115">
              <w:rPr>
                <w:rFonts w:ascii="Arial" w:hAnsi="Arial" w:cs="Arial"/>
                <w:b/>
                <w:bCs/>
                <w:sz w:val="18"/>
                <w:szCs w:val="18"/>
              </w:rPr>
              <w:t>28</w:t>
            </w:r>
          </w:p>
        </w:tc>
        <w:tc>
          <w:tcPr>
            <w:tcW w:w="924" w:type="dxa"/>
            <w:vAlign w:val="center"/>
          </w:tcPr>
          <w:p w14:paraId="4C9B44CB" w14:textId="77777777" w:rsidR="008907B3" w:rsidRPr="00647115" w:rsidRDefault="008907B3" w:rsidP="0039129A">
            <w:pPr>
              <w:jc w:val="center"/>
              <w:rPr>
                <w:rFonts w:ascii="Arial" w:hAnsi="Arial" w:cs="Arial"/>
                <w:b/>
                <w:bCs/>
                <w:sz w:val="18"/>
                <w:szCs w:val="18"/>
              </w:rPr>
            </w:pPr>
            <w:r w:rsidRPr="00647115">
              <w:rPr>
                <w:rFonts w:ascii="Arial" w:hAnsi="Arial" w:cs="Arial"/>
                <w:b/>
                <w:bCs/>
                <w:sz w:val="18"/>
                <w:szCs w:val="18"/>
              </w:rPr>
              <w:t>Mean</w:t>
            </w:r>
          </w:p>
        </w:tc>
        <w:tc>
          <w:tcPr>
            <w:tcW w:w="1066" w:type="dxa"/>
            <w:vMerge/>
            <w:vAlign w:val="center"/>
          </w:tcPr>
          <w:p w14:paraId="7BAAF6E3" w14:textId="77777777" w:rsidR="008907B3" w:rsidRPr="00647115" w:rsidRDefault="008907B3" w:rsidP="0039129A">
            <w:pPr>
              <w:jc w:val="center"/>
              <w:rPr>
                <w:rFonts w:ascii="Arial" w:hAnsi="Arial" w:cs="Arial"/>
                <w:b/>
                <w:bCs/>
                <w:sz w:val="18"/>
                <w:szCs w:val="18"/>
              </w:rPr>
            </w:pPr>
          </w:p>
        </w:tc>
        <w:tc>
          <w:tcPr>
            <w:tcW w:w="1492" w:type="dxa"/>
            <w:vMerge/>
            <w:vAlign w:val="center"/>
          </w:tcPr>
          <w:p w14:paraId="68CE5CD2" w14:textId="77777777" w:rsidR="008907B3" w:rsidRPr="00647115" w:rsidRDefault="008907B3" w:rsidP="0039129A">
            <w:pPr>
              <w:jc w:val="center"/>
              <w:rPr>
                <w:rFonts w:ascii="Arial" w:hAnsi="Arial" w:cs="Arial"/>
                <w:b/>
                <w:bCs/>
                <w:sz w:val="18"/>
                <w:szCs w:val="18"/>
              </w:rPr>
            </w:pPr>
          </w:p>
        </w:tc>
      </w:tr>
      <w:tr w:rsidR="008907B3" w:rsidRPr="00647115" w14:paraId="5FBAD61F" w14:textId="77777777" w:rsidTr="0039129A">
        <w:trPr>
          <w:trHeight w:val="280"/>
          <w:jc w:val="center"/>
        </w:trPr>
        <w:tc>
          <w:tcPr>
            <w:tcW w:w="272" w:type="dxa"/>
            <w:vAlign w:val="center"/>
          </w:tcPr>
          <w:p w14:paraId="59DBE089" w14:textId="77777777" w:rsidR="008907B3" w:rsidRPr="00647115" w:rsidRDefault="008907B3" w:rsidP="0039129A">
            <w:pPr>
              <w:jc w:val="center"/>
              <w:rPr>
                <w:rFonts w:ascii="Arial" w:hAnsi="Arial" w:cs="Arial"/>
                <w:sz w:val="18"/>
                <w:szCs w:val="18"/>
              </w:rPr>
            </w:pPr>
            <w:r w:rsidRPr="00647115">
              <w:rPr>
                <w:rFonts w:ascii="Arial" w:hAnsi="Arial" w:cs="Arial"/>
                <w:sz w:val="18"/>
                <w:szCs w:val="18"/>
              </w:rPr>
              <w:t>1</w:t>
            </w:r>
            <w:r w:rsidRPr="00647115">
              <w:rPr>
                <w:rFonts w:ascii="Arial" w:hAnsi="Arial" w:cs="Arial"/>
                <w:sz w:val="18"/>
                <w:szCs w:val="18"/>
                <w:vertAlign w:val="superscript"/>
              </w:rPr>
              <w:t>st</w:t>
            </w:r>
          </w:p>
        </w:tc>
        <w:tc>
          <w:tcPr>
            <w:tcW w:w="1337" w:type="dxa"/>
            <w:vAlign w:val="center"/>
          </w:tcPr>
          <w:p w14:paraId="6341BB03" w14:textId="77777777" w:rsidR="008907B3" w:rsidRPr="00647115" w:rsidRDefault="008907B3" w:rsidP="0039129A">
            <w:pPr>
              <w:jc w:val="center"/>
              <w:rPr>
                <w:rFonts w:ascii="Arial" w:hAnsi="Arial" w:cs="Arial"/>
                <w:sz w:val="18"/>
                <w:szCs w:val="18"/>
              </w:rPr>
            </w:pPr>
            <w:r w:rsidRPr="00647115">
              <w:rPr>
                <w:rFonts w:ascii="Arial" w:hAnsi="Arial" w:cs="Arial"/>
                <w:sz w:val="18"/>
                <w:szCs w:val="18"/>
              </w:rPr>
              <w:t>16.5</w:t>
            </w:r>
          </w:p>
        </w:tc>
        <w:tc>
          <w:tcPr>
            <w:tcW w:w="1051" w:type="dxa"/>
            <w:vAlign w:val="center"/>
          </w:tcPr>
          <w:p w14:paraId="6BB05AB9" w14:textId="77777777" w:rsidR="008907B3" w:rsidRPr="00647115" w:rsidRDefault="008907B3" w:rsidP="0039129A">
            <w:pPr>
              <w:jc w:val="center"/>
              <w:rPr>
                <w:rFonts w:ascii="Arial" w:hAnsi="Arial" w:cs="Arial"/>
                <w:sz w:val="18"/>
                <w:szCs w:val="18"/>
              </w:rPr>
            </w:pPr>
            <w:r w:rsidRPr="00647115">
              <w:rPr>
                <w:rFonts w:ascii="Arial" w:hAnsi="Arial" w:cs="Arial"/>
                <w:color w:val="000000"/>
                <w:sz w:val="18"/>
                <w:szCs w:val="18"/>
              </w:rPr>
              <w:t>16.05</w:t>
            </w:r>
          </w:p>
        </w:tc>
        <w:tc>
          <w:tcPr>
            <w:tcW w:w="1051" w:type="dxa"/>
            <w:vAlign w:val="center"/>
          </w:tcPr>
          <w:p w14:paraId="679555FA" w14:textId="77777777" w:rsidR="008907B3" w:rsidRPr="00647115" w:rsidRDefault="008907B3" w:rsidP="0039129A">
            <w:pPr>
              <w:jc w:val="center"/>
              <w:rPr>
                <w:rFonts w:ascii="Arial" w:hAnsi="Arial" w:cs="Arial"/>
                <w:sz w:val="18"/>
                <w:szCs w:val="18"/>
              </w:rPr>
            </w:pPr>
            <w:r w:rsidRPr="00647115">
              <w:rPr>
                <w:rFonts w:ascii="Arial" w:hAnsi="Arial" w:cs="Arial"/>
                <w:color w:val="000000"/>
                <w:sz w:val="18"/>
                <w:szCs w:val="18"/>
              </w:rPr>
              <w:t>19.75</w:t>
            </w:r>
          </w:p>
        </w:tc>
        <w:tc>
          <w:tcPr>
            <w:tcW w:w="1051" w:type="dxa"/>
            <w:vAlign w:val="center"/>
          </w:tcPr>
          <w:p w14:paraId="671051E0" w14:textId="77777777" w:rsidR="008907B3" w:rsidRPr="00647115" w:rsidRDefault="008907B3" w:rsidP="0039129A">
            <w:pPr>
              <w:jc w:val="center"/>
              <w:rPr>
                <w:rFonts w:ascii="Arial" w:hAnsi="Arial" w:cs="Arial"/>
                <w:sz w:val="18"/>
                <w:szCs w:val="18"/>
              </w:rPr>
            </w:pPr>
            <w:r w:rsidRPr="00647115">
              <w:rPr>
                <w:rFonts w:ascii="Arial" w:hAnsi="Arial" w:cs="Arial"/>
                <w:color w:val="000000"/>
                <w:sz w:val="18"/>
                <w:szCs w:val="18"/>
              </w:rPr>
              <w:t>24.69</w:t>
            </w:r>
          </w:p>
        </w:tc>
        <w:tc>
          <w:tcPr>
            <w:tcW w:w="756" w:type="dxa"/>
            <w:vAlign w:val="center"/>
          </w:tcPr>
          <w:p w14:paraId="7821FA74" w14:textId="77777777" w:rsidR="008907B3" w:rsidRPr="00647115" w:rsidRDefault="008907B3" w:rsidP="0039129A">
            <w:pPr>
              <w:jc w:val="center"/>
              <w:rPr>
                <w:rFonts w:ascii="Arial" w:hAnsi="Arial" w:cs="Arial"/>
                <w:sz w:val="18"/>
                <w:szCs w:val="18"/>
              </w:rPr>
            </w:pPr>
            <w:r w:rsidRPr="00647115">
              <w:rPr>
                <w:rFonts w:ascii="Arial" w:hAnsi="Arial" w:cs="Arial"/>
                <w:color w:val="000000"/>
                <w:sz w:val="18"/>
                <w:szCs w:val="18"/>
              </w:rPr>
              <w:t>28.39</w:t>
            </w:r>
          </w:p>
        </w:tc>
        <w:tc>
          <w:tcPr>
            <w:tcW w:w="924" w:type="dxa"/>
            <w:vAlign w:val="center"/>
          </w:tcPr>
          <w:p w14:paraId="4A922C8D" w14:textId="77777777" w:rsidR="008907B3" w:rsidRPr="00647115" w:rsidRDefault="008907B3" w:rsidP="0039129A">
            <w:pPr>
              <w:jc w:val="center"/>
              <w:rPr>
                <w:rFonts w:ascii="Arial" w:hAnsi="Arial" w:cs="Arial"/>
                <w:sz w:val="18"/>
                <w:szCs w:val="18"/>
                <w:vertAlign w:val="superscript"/>
              </w:rPr>
            </w:pPr>
            <w:r w:rsidRPr="00647115">
              <w:rPr>
                <w:rFonts w:ascii="Arial" w:hAnsi="Arial" w:cs="Arial"/>
                <w:sz w:val="18"/>
                <w:szCs w:val="18"/>
              </w:rPr>
              <w:t>22.22</w:t>
            </w:r>
          </w:p>
        </w:tc>
        <w:tc>
          <w:tcPr>
            <w:tcW w:w="1066" w:type="dxa"/>
            <w:vAlign w:val="center"/>
          </w:tcPr>
          <w:p w14:paraId="64C3F32A" w14:textId="77777777" w:rsidR="008907B3" w:rsidRPr="00647115" w:rsidRDefault="008907B3" w:rsidP="0039129A">
            <w:pPr>
              <w:jc w:val="center"/>
              <w:rPr>
                <w:rFonts w:ascii="Arial" w:hAnsi="Arial" w:cs="Arial"/>
                <w:sz w:val="18"/>
                <w:szCs w:val="18"/>
              </w:rPr>
            </w:pPr>
            <w:r w:rsidRPr="00647115">
              <w:rPr>
                <w:rFonts w:ascii="Arial" w:hAnsi="Arial" w:cs="Arial"/>
                <w:color w:val="000000"/>
                <w:sz w:val="18"/>
                <w:szCs w:val="18"/>
              </w:rPr>
              <w:t>466.66</w:t>
            </w:r>
          </w:p>
        </w:tc>
        <w:tc>
          <w:tcPr>
            <w:tcW w:w="1492" w:type="dxa"/>
            <w:vAlign w:val="center"/>
          </w:tcPr>
          <w:p w14:paraId="4C547935" w14:textId="77777777" w:rsidR="008907B3" w:rsidRPr="00647115" w:rsidRDefault="008907B3" w:rsidP="0039129A">
            <w:pPr>
              <w:jc w:val="center"/>
              <w:rPr>
                <w:rFonts w:ascii="Arial" w:hAnsi="Arial" w:cs="Arial"/>
                <w:sz w:val="18"/>
                <w:szCs w:val="18"/>
              </w:rPr>
            </w:pPr>
            <w:r w:rsidRPr="00647115">
              <w:rPr>
                <w:rFonts w:ascii="Arial" w:hAnsi="Arial" w:cs="Arial"/>
                <w:color w:val="000000"/>
                <w:sz w:val="18"/>
                <w:szCs w:val="18"/>
              </w:rPr>
              <w:t>0.03</w:t>
            </w:r>
          </w:p>
        </w:tc>
      </w:tr>
      <w:tr w:rsidR="008907B3" w:rsidRPr="00647115" w14:paraId="231D246F" w14:textId="77777777" w:rsidTr="0039129A">
        <w:trPr>
          <w:trHeight w:val="280"/>
          <w:jc w:val="center"/>
        </w:trPr>
        <w:tc>
          <w:tcPr>
            <w:tcW w:w="272" w:type="dxa"/>
            <w:vAlign w:val="center"/>
          </w:tcPr>
          <w:p w14:paraId="1DB5445F" w14:textId="77777777" w:rsidR="008907B3" w:rsidRPr="00647115" w:rsidRDefault="008907B3" w:rsidP="0039129A">
            <w:pPr>
              <w:jc w:val="center"/>
              <w:rPr>
                <w:rFonts w:ascii="Arial" w:hAnsi="Arial" w:cs="Arial"/>
                <w:sz w:val="18"/>
                <w:szCs w:val="18"/>
              </w:rPr>
            </w:pPr>
            <w:r w:rsidRPr="00647115">
              <w:rPr>
                <w:rFonts w:ascii="Arial" w:hAnsi="Arial" w:cs="Arial"/>
                <w:sz w:val="18"/>
                <w:szCs w:val="18"/>
              </w:rPr>
              <w:lastRenderedPageBreak/>
              <w:t>3</w:t>
            </w:r>
            <w:r w:rsidRPr="00647115">
              <w:rPr>
                <w:rFonts w:ascii="Arial" w:hAnsi="Arial" w:cs="Arial"/>
                <w:sz w:val="18"/>
                <w:szCs w:val="18"/>
                <w:vertAlign w:val="superscript"/>
              </w:rPr>
              <w:t>rd</w:t>
            </w:r>
          </w:p>
        </w:tc>
        <w:tc>
          <w:tcPr>
            <w:tcW w:w="1337" w:type="dxa"/>
            <w:vAlign w:val="center"/>
          </w:tcPr>
          <w:p w14:paraId="4E0CB392" w14:textId="77777777" w:rsidR="008907B3" w:rsidRPr="00647115" w:rsidRDefault="008907B3" w:rsidP="0039129A">
            <w:pPr>
              <w:jc w:val="center"/>
              <w:rPr>
                <w:rFonts w:ascii="Arial" w:hAnsi="Arial" w:cs="Arial"/>
                <w:sz w:val="18"/>
                <w:szCs w:val="18"/>
              </w:rPr>
            </w:pPr>
            <w:r w:rsidRPr="00647115">
              <w:rPr>
                <w:rFonts w:ascii="Arial" w:hAnsi="Arial" w:cs="Arial"/>
                <w:sz w:val="18"/>
                <w:szCs w:val="18"/>
              </w:rPr>
              <w:t>17.0</w:t>
            </w:r>
          </w:p>
        </w:tc>
        <w:tc>
          <w:tcPr>
            <w:tcW w:w="1051" w:type="dxa"/>
            <w:vAlign w:val="center"/>
          </w:tcPr>
          <w:p w14:paraId="5851D7AE" w14:textId="77777777" w:rsidR="008907B3" w:rsidRPr="00647115" w:rsidRDefault="008907B3" w:rsidP="0039129A">
            <w:pPr>
              <w:jc w:val="center"/>
              <w:rPr>
                <w:rFonts w:ascii="Arial" w:hAnsi="Arial" w:cs="Arial"/>
                <w:sz w:val="18"/>
                <w:szCs w:val="18"/>
              </w:rPr>
            </w:pPr>
            <w:r w:rsidRPr="00647115">
              <w:rPr>
                <w:rFonts w:ascii="Arial" w:hAnsi="Arial" w:cs="Arial"/>
                <w:color w:val="000000"/>
                <w:sz w:val="18"/>
                <w:szCs w:val="18"/>
              </w:rPr>
              <w:t>12.34</w:t>
            </w:r>
          </w:p>
        </w:tc>
        <w:tc>
          <w:tcPr>
            <w:tcW w:w="1051" w:type="dxa"/>
            <w:vAlign w:val="center"/>
          </w:tcPr>
          <w:p w14:paraId="56CC20C6" w14:textId="77777777" w:rsidR="008907B3" w:rsidRPr="00647115" w:rsidRDefault="008907B3" w:rsidP="0039129A">
            <w:pPr>
              <w:jc w:val="center"/>
              <w:rPr>
                <w:rFonts w:ascii="Arial" w:hAnsi="Arial" w:cs="Arial"/>
                <w:sz w:val="18"/>
                <w:szCs w:val="18"/>
              </w:rPr>
            </w:pPr>
            <w:r w:rsidRPr="00647115">
              <w:rPr>
                <w:rFonts w:ascii="Arial" w:hAnsi="Arial" w:cs="Arial"/>
                <w:color w:val="000000"/>
                <w:sz w:val="18"/>
                <w:szCs w:val="18"/>
              </w:rPr>
              <w:t>16.05</w:t>
            </w:r>
          </w:p>
        </w:tc>
        <w:tc>
          <w:tcPr>
            <w:tcW w:w="1051" w:type="dxa"/>
            <w:vAlign w:val="center"/>
          </w:tcPr>
          <w:p w14:paraId="701241B7" w14:textId="77777777" w:rsidR="008907B3" w:rsidRPr="00647115" w:rsidRDefault="008907B3" w:rsidP="0039129A">
            <w:pPr>
              <w:jc w:val="center"/>
              <w:rPr>
                <w:rFonts w:ascii="Arial" w:hAnsi="Arial" w:cs="Arial"/>
                <w:sz w:val="18"/>
                <w:szCs w:val="18"/>
              </w:rPr>
            </w:pPr>
            <w:r w:rsidRPr="00647115">
              <w:rPr>
                <w:rFonts w:ascii="Arial" w:hAnsi="Arial" w:cs="Arial"/>
                <w:color w:val="000000"/>
                <w:sz w:val="18"/>
                <w:szCs w:val="18"/>
              </w:rPr>
              <w:t>20.99</w:t>
            </w:r>
          </w:p>
        </w:tc>
        <w:tc>
          <w:tcPr>
            <w:tcW w:w="756" w:type="dxa"/>
            <w:vAlign w:val="center"/>
          </w:tcPr>
          <w:p w14:paraId="076FF801" w14:textId="77777777" w:rsidR="008907B3" w:rsidRPr="00647115" w:rsidRDefault="008907B3" w:rsidP="0039129A">
            <w:pPr>
              <w:jc w:val="center"/>
              <w:rPr>
                <w:rFonts w:ascii="Arial" w:hAnsi="Arial" w:cs="Arial"/>
                <w:sz w:val="18"/>
                <w:szCs w:val="18"/>
              </w:rPr>
            </w:pPr>
            <w:r w:rsidRPr="00647115">
              <w:rPr>
                <w:rFonts w:ascii="Arial" w:hAnsi="Arial" w:cs="Arial"/>
                <w:color w:val="000000"/>
                <w:sz w:val="18"/>
                <w:szCs w:val="18"/>
              </w:rPr>
              <w:t>23.46</w:t>
            </w:r>
          </w:p>
        </w:tc>
        <w:tc>
          <w:tcPr>
            <w:tcW w:w="924" w:type="dxa"/>
            <w:vAlign w:val="center"/>
          </w:tcPr>
          <w:p w14:paraId="6D89EED7" w14:textId="77777777" w:rsidR="008907B3" w:rsidRPr="00647115" w:rsidRDefault="008907B3" w:rsidP="0039129A">
            <w:pPr>
              <w:jc w:val="center"/>
              <w:rPr>
                <w:rFonts w:ascii="Arial" w:hAnsi="Arial" w:cs="Arial"/>
                <w:sz w:val="18"/>
                <w:szCs w:val="18"/>
              </w:rPr>
            </w:pPr>
            <w:r w:rsidRPr="00647115">
              <w:rPr>
                <w:rFonts w:ascii="Arial" w:hAnsi="Arial" w:cs="Arial"/>
                <w:sz w:val="18"/>
                <w:szCs w:val="18"/>
              </w:rPr>
              <w:t>18.21</w:t>
            </w:r>
          </w:p>
        </w:tc>
        <w:tc>
          <w:tcPr>
            <w:tcW w:w="1066" w:type="dxa"/>
            <w:vAlign w:val="center"/>
          </w:tcPr>
          <w:p w14:paraId="5F9C9BF3" w14:textId="77777777" w:rsidR="008907B3" w:rsidRPr="00647115" w:rsidRDefault="008907B3" w:rsidP="0039129A">
            <w:pPr>
              <w:jc w:val="center"/>
              <w:rPr>
                <w:rFonts w:ascii="Arial" w:hAnsi="Arial" w:cs="Arial"/>
                <w:sz w:val="18"/>
                <w:szCs w:val="18"/>
              </w:rPr>
            </w:pPr>
            <w:r w:rsidRPr="00647115">
              <w:rPr>
                <w:rFonts w:ascii="Arial" w:hAnsi="Arial" w:cs="Arial"/>
                <w:color w:val="000000"/>
                <w:sz w:val="18"/>
                <w:szCs w:val="18"/>
              </w:rPr>
              <w:t>384.53</w:t>
            </w:r>
          </w:p>
        </w:tc>
        <w:tc>
          <w:tcPr>
            <w:tcW w:w="1492" w:type="dxa"/>
            <w:vAlign w:val="center"/>
          </w:tcPr>
          <w:p w14:paraId="16179E35" w14:textId="77777777" w:rsidR="008907B3" w:rsidRPr="00647115" w:rsidRDefault="008907B3" w:rsidP="0039129A">
            <w:pPr>
              <w:jc w:val="center"/>
              <w:rPr>
                <w:rFonts w:ascii="Arial" w:hAnsi="Arial" w:cs="Arial"/>
                <w:sz w:val="18"/>
                <w:szCs w:val="18"/>
              </w:rPr>
            </w:pPr>
            <w:r w:rsidRPr="00647115">
              <w:rPr>
                <w:rFonts w:ascii="Arial" w:hAnsi="Arial" w:cs="Arial"/>
                <w:color w:val="000000"/>
                <w:sz w:val="18"/>
                <w:szCs w:val="18"/>
              </w:rPr>
              <w:t>0.03</w:t>
            </w:r>
          </w:p>
        </w:tc>
      </w:tr>
      <w:tr w:rsidR="008907B3" w:rsidRPr="00647115" w14:paraId="669073A4" w14:textId="77777777" w:rsidTr="0039129A">
        <w:trPr>
          <w:trHeight w:val="270"/>
          <w:jc w:val="center"/>
        </w:trPr>
        <w:tc>
          <w:tcPr>
            <w:tcW w:w="272" w:type="dxa"/>
            <w:vAlign w:val="center"/>
          </w:tcPr>
          <w:p w14:paraId="300B6D3F" w14:textId="77777777" w:rsidR="008907B3" w:rsidRPr="00647115" w:rsidRDefault="008907B3" w:rsidP="0039129A">
            <w:pPr>
              <w:jc w:val="center"/>
              <w:rPr>
                <w:rFonts w:ascii="Arial" w:hAnsi="Arial" w:cs="Arial"/>
                <w:sz w:val="18"/>
                <w:szCs w:val="18"/>
              </w:rPr>
            </w:pPr>
            <w:r w:rsidRPr="00647115">
              <w:rPr>
                <w:rFonts w:ascii="Arial" w:hAnsi="Arial" w:cs="Arial"/>
                <w:sz w:val="18"/>
                <w:szCs w:val="18"/>
              </w:rPr>
              <w:t>5</w:t>
            </w:r>
            <w:r w:rsidRPr="00647115">
              <w:rPr>
                <w:rFonts w:ascii="Arial" w:hAnsi="Arial" w:cs="Arial"/>
                <w:sz w:val="18"/>
                <w:szCs w:val="18"/>
                <w:vertAlign w:val="superscript"/>
              </w:rPr>
              <w:t>th</w:t>
            </w:r>
          </w:p>
        </w:tc>
        <w:tc>
          <w:tcPr>
            <w:tcW w:w="1337" w:type="dxa"/>
            <w:vAlign w:val="center"/>
          </w:tcPr>
          <w:p w14:paraId="416AE932" w14:textId="77777777" w:rsidR="008907B3" w:rsidRPr="00647115" w:rsidRDefault="008907B3" w:rsidP="0039129A">
            <w:pPr>
              <w:jc w:val="center"/>
              <w:rPr>
                <w:rFonts w:ascii="Arial" w:hAnsi="Arial" w:cs="Arial"/>
                <w:sz w:val="18"/>
                <w:szCs w:val="18"/>
              </w:rPr>
            </w:pPr>
            <w:r w:rsidRPr="00647115">
              <w:rPr>
                <w:rFonts w:ascii="Arial" w:hAnsi="Arial" w:cs="Arial"/>
                <w:sz w:val="18"/>
                <w:szCs w:val="18"/>
              </w:rPr>
              <w:t>17.9</w:t>
            </w:r>
          </w:p>
        </w:tc>
        <w:tc>
          <w:tcPr>
            <w:tcW w:w="1051" w:type="dxa"/>
            <w:vAlign w:val="center"/>
          </w:tcPr>
          <w:p w14:paraId="3D80FECD" w14:textId="77777777" w:rsidR="008907B3" w:rsidRPr="00647115" w:rsidRDefault="008907B3" w:rsidP="0039129A">
            <w:pPr>
              <w:jc w:val="center"/>
              <w:rPr>
                <w:rFonts w:ascii="Arial" w:hAnsi="Arial" w:cs="Arial"/>
                <w:sz w:val="18"/>
                <w:szCs w:val="18"/>
              </w:rPr>
            </w:pPr>
            <w:r w:rsidRPr="00647115">
              <w:rPr>
                <w:rFonts w:ascii="Arial" w:hAnsi="Arial" w:cs="Arial"/>
                <w:color w:val="000000"/>
                <w:sz w:val="18"/>
                <w:szCs w:val="18"/>
              </w:rPr>
              <w:t>9.88</w:t>
            </w:r>
          </w:p>
        </w:tc>
        <w:tc>
          <w:tcPr>
            <w:tcW w:w="1051" w:type="dxa"/>
            <w:vAlign w:val="center"/>
          </w:tcPr>
          <w:p w14:paraId="18BBDDEF" w14:textId="77777777" w:rsidR="008907B3" w:rsidRPr="00647115" w:rsidRDefault="008907B3" w:rsidP="0039129A">
            <w:pPr>
              <w:jc w:val="center"/>
              <w:rPr>
                <w:rFonts w:ascii="Arial" w:hAnsi="Arial" w:cs="Arial"/>
                <w:sz w:val="18"/>
                <w:szCs w:val="18"/>
              </w:rPr>
            </w:pPr>
            <w:r w:rsidRPr="00647115">
              <w:rPr>
                <w:rFonts w:ascii="Arial" w:hAnsi="Arial" w:cs="Arial"/>
                <w:color w:val="000000"/>
                <w:sz w:val="18"/>
                <w:szCs w:val="18"/>
              </w:rPr>
              <w:t>13.58</w:t>
            </w:r>
          </w:p>
        </w:tc>
        <w:tc>
          <w:tcPr>
            <w:tcW w:w="1051" w:type="dxa"/>
            <w:vAlign w:val="center"/>
          </w:tcPr>
          <w:p w14:paraId="7A3DDD08" w14:textId="77777777" w:rsidR="008907B3" w:rsidRPr="00647115" w:rsidRDefault="008907B3" w:rsidP="0039129A">
            <w:pPr>
              <w:jc w:val="center"/>
              <w:rPr>
                <w:rFonts w:ascii="Arial" w:hAnsi="Arial" w:cs="Arial"/>
                <w:sz w:val="18"/>
                <w:szCs w:val="18"/>
              </w:rPr>
            </w:pPr>
            <w:r w:rsidRPr="00647115">
              <w:rPr>
                <w:rFonts w:ascii="Arial" w:hAnsi="Arial" w:cs="Arial"/>
                <w:color w:val="000000"/>
                <w:sz w:val="18"/>
                <w:szCs w:val="18"/>
              </w:rPr>
              <w:t>18.52</w:t>
            </w:r>
          </w:p>
        </w:tc>
        <w:tc>
          <w:tcPr>
            <w:tcW w:w="756" w:type="dxa"/>
            <w:vAlign w:val="center"/>
          </w:tcPr>
          <w:p w14:paraId="3255797D" w14:textId="77777777" w:rsidR="008907B3" w:rsidRPr="00647115" w:rsidRDefault="008907B3" w:rsidP="0039129A">
            <w:pPr>
              <w:jc w:val="center"/>
              <w:rPr>
                <w:rFonts w:ascii="Arial" w:hAnsi="Arial" w:cs="Arial"/>
                <w:sz w:val="18"/>
                <w:szCs w:val="18"/>
              </w:rPr>
            </w:pPr>
            <w:r w:rsidRPr="00647115">
              <w:rPr>
                <w:rFonts w:ascii="Arial" w:hAnsi="Arial" w:cs="Arial"/>
                <w:color w:val="000000"/>
                <w:sz w:val="18"/>
                <w:szCs w:val="18"/>
              </w:rPr>
              <w:t>22.22</w:t>
            </w:r>
          </w:p>
        </w:tc>
        <w:tc>
          <w:tcPr>
            <w:tcW w:w="924" w:type="dxa"/>
            <w:vAlign w:val="center"/>
          </w:tcPr>
          <w:p w14:paraId="14227460" w14:textId="77777777" w:rsidR="008907B3" w:rsidRPr="00647115" w:rsidRDefault="008907B3" w:rsidP="0039129A">
            <w:pPr>
              <w:jc w:val="center"/>
              <w:rPr>
                <w:rFonts w:ascii="Arial" w:hAnsi="Arial" w:cs="Arial"/>
                <w:sz w:val="18"/>
                <w:szCs w:val="18"/>
              </w:rPr>
            </w:pPr>
            <w:r w:rsidRPr="00647115">
              <w:rPr>
                <w:rFonts w:ascii="Arial" w:hAnsi="Arial" w:cs="Arial"/>
                <w:sz w:val="18"/>
                <w:szCs w:val="18"/>
              </w:rPr>
              <w:t>16.05</w:t>
            </w:r>
          </w:p>
        </w:tc>
        <w:tc>
          <w:tcPr>
            <w:tcW w:w="1066" w:type="dxa"/>
            <w:vAlign w:val="center"/>
          </w:tcPr>
          <w:p w14:paraId="08D730B0" w14:textId="77777777" w:rsidR="008907B3" w:rsidRPr="00647115" w:rsidRDefault="008907B3" w:rsidP="0039129A">
            <w:pPr>
              <w:jc w:val="center"/>
              <w:rPr>
                <w:rFonts w:ascii="Arial" w:hAnsi="Arial" w:cs="Arial"/>
                <w:sz w:val="18"/>
                <w:szCs w:val="18"/>
              </w:rPr>
            </w:pPr>
            <w:r w:rsidRPr="00647115">
              <w:rPr>
                <w:rFonts w:ascii="Arial" w:hAnsi="Arial" w:cs="Arial"/>
                <w:color w:val="000000"/>
                <w:sz w:val="18"/>
                <w:szCs w:val="18"/>
              </w:rPr>
              <w:t>337.03</w:t>
            </w:r>
          </w:p>
        </w:tc>
        <w:tc>
          <w:tcPr>
            <w:tcW w:w="1492" w:type="dxa"/>
            <w:vAlign w:val="center"/>
          </w:tcPr>
          <w:p w14:paraId="4273910D" w14:textId="77777777" w:rsidR="008907B3" w:rsidRPr="00647115" w:rsidRDefault="008907B3" w:rsidP="0039129A">
            <w:pPr>
              <w:jc w:val="center"/>
              <w:rPr>
                <w:rFonts w:ascii="Arial" w:hAnsi="Arial" w:cs="Arial"/>
                <w:sz w:val="18"/>
                <w:szCs w:val="18"/>
              </w:rPr>
            </w:pPr>
            <w:r w:rsidRPr="00647115">
              <w:rPr>
                <w:rFonts w:ascii="Arial" w:hAnsi="Arial" w:cs="Arial"/>
                <w:color w:val="000000"/>
                <w:sz w:val="18"/>
                <w:szCs w:val="18"/>
              </w:rPr>
              <w:t>0.04</w:t>
            </w:r>
          </w:p>
        </w:tc>
      </w:tr>
      <w:tr w:rsidR="008907B3" w:rsidRPr="00647115" w14:paraId="7946C2B9" w14:textId="77777777" w:rsidTr="0039129A">
        <w:trPr>
          <w:trHeight w:val="280"/>
          <w:jc w:val="center"/>
        </w:trPr>
        <w:tc>
          <w:tcPr>
            <w:tcW w:w="272" w:type="dxa"/>
            <w:vAlign w:val="center"/>
          </w:tcPr>
          <w:p w14:paraId="4EB14533" w14:textId="77777777" w:rsidR="008907B3" w:rsidRPr="00647115" w:rsidRDefault="008907B3" w:rsidP="0039129A">
            <w:pPr>
              <w:jc w:val="center"/>
              <w:rPr>
                <w:rFonts w:ascii="Arial" w:hAnsi="Arial" w:cs="Arial"/>
                <w:sz w:val="18"/>
                <w:szCs w:val="18"/>
              </w:rPr>
            </w:pPr>
            <w:r w:rsidRPr="00647115">
              <w:rPr>
                <w:rFonts w:ascii="Arial" w:hAnsi="Arial" w:cs="Arial"/>
                <w:sz w:val="18"/>
                <w:szCs w:val="18"/>
              </w:rPr>
              <w:t>7</w:t>
            </w:r>
            <w:r w:rsidRPr="00647115">
              <w:rPr>
                <w:rFonts w:ascii="Arial" w:hAnsi="Arial" w:cs="Arial"/>
                <w:sz w:val="18"/>
                <w:szCs w:val="18"/>
                <w:vertAlign w:val="superscript"/>
              </w:rPr>
              <w:t>th</w:t>
            </w:r>
          </w:p>
        </w:tc>
        <w:tc>
          <w:tcPr>
            <w:tcW w:w="1337" w:type="dxa"/>
            <w:vAlign w:val="center"/>
          </w:tcPr>
          <w:p w14:paraId="01B8A194" w14:textId="77777777" w:rsidR="008907B3" w:rsidRPr="00647115" w:rsidRDefault="008907B3" w:rsidP="0039129A">
            <w:pPr>
              <w:jc w:val="center"/>
              <w:rPr>
                <w:rFonts w:ascii="Arial" w:hAnsi="Arial" w:cs="Arial"/>
                <w:sz w:val="18"/>
                <w:szCs w:val="18"/>
              </w:rPr>
            </w:pPr>
            <w:r w:rsidRPr="00647115">
              <w:rPr>
                <w:rFonts w:ascii="Arial" w:hAnsi="Arial" w:cs="Arial"/>
                <w:sz w:val="18"/>
                <w:szCs w:val="18"/>
              </w:rPr>
              <w:t>19.4</w:t>
            </w:r>
          </w:p>
        </w:tc>
        <w:tc>
          <w:tcPr>
            <w:tcW w:w="1051" w:type="dxa"/>
            <w:vAlign w:val="center"/>
          </w:tcPr>
          <w:p w14:paraId="231B5B65" w14:textId="77777777" w:rsidR="008907B3" w:rsidRPr="00647115" w:rsidRDefault="008907B3" w:rsidP="0039129A">
            <w:pPr>
              <w:jc w:val="center"/>
              <w:rPr>
                <w:rFonts w:ascii="Arial" w:hAnsi="Arial" w:cs="Arial"/>
                <w:sz w:val="18"/>
                <w:szCs w:val="18"/>
              </w:rPr>
            </w:pPr>
            <w:r w:rsidRPr="00647115">
              <w:rPr>
                <w:rFonts w:ascii="Arial" w:hAnsi="Arial" w:cs="Arial"/>
                <w:color w:val="000000"/>
                <w:sz w:val="18"/>
                <w:szCs w:val="18"/>
              </w:rPr>
              <w:t>6.17</w:t>
            </w:r>
          </w:p>
        </w:tc>
        <w:tc>
          <w:tcPr>
            <w:tcW w:w="1051" w:type="dxa"/>
            <w:vAlign w:val="center"/>
          </w:tcPr>
          <w:p w14:paraId="6B8E071C" w14:textId="77777777" w:rsidR="008907B3" w:rsidRPr="00647115" w:rsidRDefault="008907B3" w:rsidP="0039129A">
            <w:pPr>
              <w:jc w:val="center"/>
              <w:rPr>
                <w:rFonts w:ascii="Arial" w:hAnsi="Arial" w:cs="Arial"/>
                <w:sz w:val="18"/>
                <w:szCs w:val="18"/>
              </w:rPr>
            </w:pPr>
            <w:r w:rsidRPr="00647115">
              <w:rPr>
                <w:rFonts w:ascii="Arial" w:hAnsi="Arial" w:cs="Arial"/>
                <w:color w:val="000000"/>
                <w:sz w:val="18"/>
                <w:szCs w:val="18"/>
              </w:rPr>
              <w:t>9.88</w:t>
            </w:r>
          </w:p>
        </w:tc>
        <w:tc>
          <w:tcPr>
            <w:tcW w:w="1051" w:type="dxa"/>
            <w:vAlign w:val="center"/>
          </w:tcPr>
          <w:p w14:paraId="42B3B0B6" w14:textId="77777777" w:rsidR="008907B3" w:rsidRPr="00647115" w:rsidRDefault="008907B3" w:rsidP="0039129A">
            <w:pPr>
              <w:jc w:val="center"/>
              <w:rPr>
                <w:rFonts w:ascii="Arial" w:hAnsi="Arial" w:cs="Arial"/>
                <w:sz w:val="18"/>
                <w:szCs w:val="18"/>
              </w:rPr>
            </w:pPr>
            <w:r w:rsidRPr="00647115">
              <w:rPr>
                <w:rFonts w:ascii="Arial" w:hAnsi="Arial" w:cs="Arial"/>
                <w:color w:val="000000"/>
                <w:sz w:val="18"/>
                <w:szCs w:val="18"/>
              </w:rPr>
              <w:t>13.58</w:t>
            </w:r>
          </w:p>
        </w:tc>
        <w:tc>
          <w:tcPr>
            <w:tcW w:w="756" w:type="dxa"/>
            <w:vAlign w:val="center"/>
          </w:tcPr>
          <w:p w14:paraId="028F138F" w14:textId="77777777" w:rsidR="008907B3" w:rsidRPr="00647115" w:rsidRDefault="008907B3" w:rsidP="0039129A">
            <w:pPr>
              <w:jc w:val="center"/>
              <w:rPr>
                <w:rFonts w:ascii="Arial" w:hAnsi="Arial" w:cs="Arial"/>
                <w:sz w:val="18"/>
                <w:szCs w:val="18"/>
              </w:rPr>
            </w:pPr>
            <w:r w:rsidRPr="00647115">
              <w:rPr>
                <w:rFonts w:ascii="Arial" w:hAnsi="Arial" w:cs="Arial"/>
                <w:color w:val="000000"/>
                <w:sz w:val="18"/>
                <w:szCs w:val="18"/>
              </w:rPr>
              <w:t>18.52</w:t>
            </w:r>
          </w:p>
        </w:tc>
        <w:tc>
          <w:tcPr>
            <w:tcW w:w="924" w:type="dxa"/>
            <w:vAlign w:val="center"/>
          </w:tcPr>
          <w:p w14:paraId="45EDF578" w14:textId="77777777" w:rsidR="008907B3" w:rsidRPr="00647115" w:rsidRDefault="008907B3" w:rsidP="0039129A">
            <w:pPr>
              <w:jc w:val="center"/>
              <w:rPr>
                <w:rFonts w:ascii="Arial" w:hAnsi="Arial" w:cs="Arial"/>
                <w:sz w:val="18"/>
                <w:szCs w:val="18"/>
              </w:rPr>
            </w:pPr>
            <w:r w:rsidRPr="00647115">
              <w:rPr>
                <w:rFonts w:ascii="Arial" w:hAnsi="Arial" w:cs="Arial"/>
                <w:sz w:val="18"/>
                <w:szCs w:val="18"/>
              </w:rPr>
              <w:t>12.04</w:t>
            </w:r>
          </w:p>
        </w:tc>
        <w:tc>
          <w:tcPr>
            <w:tcW w:w="1066" w:type="dxa"/>
            <w:vAlign w:val="center"/>
          </w:tcPr>
          <w:p w14:paraId="54EECFFE" w14:textId="77777777" w:rsidR="008907B3" w:rsidRPr="00647115" w:rsidRDefault="008907B3" w:rsidP="0039129A">
            <w:pPr>
              <w:jc w:val="center"/>
              <w:rPr>
                <w:rFonts w:ascii="Arial" w:hAnsi="Arial" w:cs="Arial"/>
                <w:sz w:val="18"/>
                <w:szCs w:val="18"/>
              </w:rPr>
            </w:pPr>
            <w:r w:rsidRPr="00647115">
              <w:rPr>
                <w:rFonts w:ascii="Arial" w:hAnsi="Arial" w:cs="Arial"/>
                <w:color w:val="000000"/>
                <w:sz w:val="18"/>
                <w:szCs w:val="18"/>
              </w:rPr>
              <w:t>250.60</w:t>
            </w:r>
          </w:p>
        </w:tc>
        <w:tc>
          <w:tcPr>
            <w:tcW w:w="1492" w:type="dxa"/>
            <w:vAlign w:val="center"/>
          </w:tcPr>
          <w:p w14:paraId="68AE141E" w14:textId="77777777" w:rsidR="008907B3" w:rsidRPr="00647115" w:rsidRDefault="008907B3" w:rsidP="0039129A">
            <w:pPr>
              <w:jc w:val="center"/>
              <w:rPr>
                <w:rFonts w:ascii="Arial" w:hAnsi="Arial" w:cs="Arial"/>
                <w:sz w:val="18"/>
                <w:szCs w:val="18"/>
              </w:rPr>
            </w:pPr>
            <w:r w:rsidRPr="00647115">
              <w:rPr>
                <w:rFonts w:ascii="Arial" w:hAnsi="Arial" w:cs="Arial"/>
                <w:color w:val="000000"/>
                <w:sz w:val="18"/>
                <w:szCs w:val="18"/>
              </w:rPr>
              <w:t>0.05</w:t>
            </w:r>
          </w:p>
        </w:tc>
      </w:tr>
      <w:tr w:rsidR="008907B3" w:rsidRPr="00647115" w14:paraId="500D6A2C" w14:textId="77777777" w:rsidTr="0039129A">
        <w:trPr>
          <w:trHeight w:val="270"/>
          <w:jc w:val="center"/>
        </w:trPr>
        <w:tc>
          <w:tcPr>
            <w:tcW w:w="272" w:type="dxa"/>
            <w:vAlign w:val="center"/>
          </w:tcPr>
          <w:p w14:paraId="2AA92EC4" w14:textId="77777777" w:rsidR="008907B3" w:rsidRPr="00647115" w:rsidRDefault="008907B3" w:rsidP="0039129A">
            <w:pPr>
              <w:jc w:val="center"/>
              <w:rPr>
                <w:rFonts w:ascii="Arial" w:hAnsi="Arial" w:cs="Arial"/>
                <w:sz w:val="18"/>
                <w:szCs w:val="18"/>
              </w:rPr>
            </w:pPr>
            <w:r w:rsidRPr="00647115">
              <w:rPr>
                <w:rFonts w:ascii="Arial" w:hAnsi="Arial" w:cs="Arial"/>
                <w:sz w:val="18"/>
                <w:szCs w:val="18"/>
              </w:rPr>
              <w:t>9</w:t>
            </w:r>
            <w:r w:rsidRPr="00647115">
              <w:rPr>
                <w:rFonts w:ascii="Arial" w:hAnsi="Arial" w:cs="Arial"/>
                <w:sz w:val="18"/>
                <w:szCs w:val="18"/>
                <w:vertAlign w:val="superscript"/>
              </w:rPr>
              <w:t>th</w:t>
            </w:r>
          </w:p>
        </w:tc>
        <w:tc>
          <w:tcPr>
            <w:tcW w:w="1337" w:type="dxa"/>
            <w:vAlign w:val="center"/>
          </w:tcPr>
          <w:p w14:paraId="3773DCE9" w14:textId="77777777" w:rsidR="008907B3" w:rsidRPr="00647115" w:rsidRDefault="008907B3" w:rsidP="0039129A">
            <w:pPr>
              <w:jc w:val="center"/>
              <w:rPr>
                <w:rFonts w:ascii="Arial" w:hAnsi="Arial" w:cs="Arial"/>
                <w:sz w:val="18"/>
                <w:szCs w:val="18"/>
              </w:rPr>
            </w:pPr>
            <w:r w:rsidRPr="00647115">
              <w:rPr>
                <w:rFonts w:ascii="Arial" w:hAnsi="Arial" w:cs="Arial"/>
                <w:sz w:val="18"/>
                <w:szCs w:val="18"/>
              </w:rPr>
              <w:t>20.0</w:t>
            </w:r>
          </w:p>
        </w:tc>
        <w:tc>
          <w:tcPr>
            <w:tcW w:w="1051" w:type="dxa"/>
            <w:vAlign w:val="center"/>
          </w:tcPr>
          <w:p w14:paraId="72EEA9F6" w14:textId="77777777" w:rsidR="008907B3" w:rsidRPr="00647115" w:rsidRDefault="008907B3" w:rsidP="0039129A">
            <w:pPr>
              <w:jc w:val="center"/>
              <w:rPr>
                <w:rFonts w:ascii="Arial" w:hAnsi="Arial" w:cs="Arial"/>
                <w:sz w:val="18"/>
                <w:szCs w:val="18"/>
              </w:rPr>
            </w:pPr>
            <w:r w:rsidRPr="00647115">
              <w:rPr>
                <w:rFonts w:ascii="Arial" w:hAnsi="Arial" w:cs="Arial"/>
                <w:color w:val="000000"/>
                <w:sz w:val="18"/>
                <w:szCs w:val="18"/>
              </w:rPr>
              <w:t>4.94</w:t>
            </w:r>
          </w:p>
        </w:tc>
        <w:tc>
          <w:tcPr>
            <w:tcW w:w="1051" w:type="dxa"/>
            <w:vAlign w:val="center"/>
          </w:tcPr>
          <w:p w14:paraId="48FB41F8" w14:textId="77777777" w:rsidR="008907B3" w:rsidRPr="00647115" w:rsidRDefault="008907B3" w:rsidP="0039129A">
            <w:pPr>
              <w:jc w:val="center"/>
              <w:rPr>
                <w:rFonts w:ascii="Arial" w:hAnsi="Arial" w:cs="Arial"/>
                <w:sz w:val="18"/>
                <w:szCs w:val="18"/>
              </w:rPr>
            </w:pPr>
            <w:r w:rsidRPr="00647115">
              <w:rPr>
                <w:rFonts w:ascii="Arial" w:hAnsi="Arial" w:cs="Arial"/>
                <w:color w:val="000000"/>
                <w:sz w:val="18"/>
                <w:szCs w:val="18"/>
              </w:rPr>
              <w:t>8.64</w:t>
            </w:r>
          </w:p>
        </w:tc>
        <w:tc>
          <w:tcPr>
            <w:tcW w:w="1051" w:type="dxa"/>
            <w:vAlign w:val="center"/>
          </w:tcPr>
          <w:p w14:paraId="6A1EADD1" w14:textId="77777777" w:rsidR="008907B3" w:rsidRPr="00647115" w:rsidRDefault="008907B3" w:rsidP="0039129A">
            <w:pPr>
              <w:jc w:val="center"/>
              <w:rPr>
                <w:rFonts w:ascii="Arial" w:hAnsi="Arial" w:cs="Arial"/>
                <w:sz w:val="18"/>
                <w:szCs w:val="18"/>
              </w:rPr>
            </w:pPr>
            <w:r w:rsidRPr="00647115">
              <w:rPr>
                <w:rFonts w:ascii="Arial" w:hAnsi="Arial" w:cs="Arial"/>
                <w:color w:val="000000"/>
                <w:sz w:val="18"/>
                <w:szCs w:val="18"/>
              </w:rPr>
              <w:t>12.34</w:t>
            </w:r>
          </w:p>
        </w:tc>
        <w:tc>
          <w:tcPr>
            <w:tcW w:w="756" w:type="dxa"/>
            <w:vAlign w:val="center"/>
          </w:tcPr>
          <w:p w14:paraId="35FF2C41" w14:textId="77777777" w:rsidR="008907B3" w:rsidRPr="00647115" w:rsidRDefault="008907B3" w:rsidP="0039129A">
            <w:pPr>
              <w:jc w:val="center"/>
              <w:rPr>
                <w:rFonts w:ascii="Arial" w:hAnsi="Arial" w:cs="Arial"/>
                <w:sz w:val="18"/>
                <w:szCs w:val="18"/>
              </w:rPr>
            </w:pPr>
            <w:r w:rsidRPr="00647115">
              <w:rPr>
                <w:rFonts w:ascii="Arial" w:hAnsi="Arial" w:cs="Arial"/>
                <w:color w:val="000000"/>
                <w:sz w:val="18"/>
                <w:szCs w:val="18"/>
              </w:rPr>
              <w:t>17.28</w:t>
            </w:r>
          </w:p>
        </w:tc>
        <w:tc>
          <w:tcPr>
            <w:tcW w:w="924" w:type="dxa"/>
            <w:vAlign w:val="center"/>
          </w:tcPr>
          <w:p w14:paraId="195180B9" w14:textId="77777777" w:rsidR="008907B3" w:rsidRPr="00647115" w:rsidRDefault="008907B3" w:rsidP="0039129A">
            <w:pPr>
              <w:jc w:val="center"/>
              <w:rPr>
                <w:rFonts w:ascii="Arial" w:hAnsi="Arial" w:cs="Arial"/>
                <w:sz w:val="18"/>
                <w:szCs w:val="18"/>
              </w:rPr>
            </w:pPr>
            <w:r w:rsidRPr="00647115">
              <w:rPr>
                <w:rFonts w:ascii="Arial" w:hAnsi="Arial" w:cs="Arial"/>
                <w:sz w:val="18"/>
                <w:szCs w:val="18"/>
              </w:rPr>
              <w:t>10.80</w:t>
            </w:r>
          </w:p>
        </w:tc>
        <w:tc>
          <w:tcPr>
            <w:tcW w:w="1066" w:type="dxa"/>
            <w:vAlign w:val="center"/>
          </w:tcPr>
          <w:p w14:paraId="66C3FB24" w14:textId="77777777" w:rsidR="008907B3" w:rsidRPr="00647115" w:rsidRDefault="008907B3" w:rsidP="0039129A">
            <w:pPr>
              <w:jc w:val="center"/>
              <w:rPr>
                <w:rFonts w:ascii="Arial" w:hAnsi="Arial" w:cs="Arial"/>
                <w:sz w:val="18"/>
                <w:szCs w:val="18"/>
              </w:rPr>
            </w:pPr>
            <w:r w:rsidRPr="00647115">
              <w:rPr>
                <w:rFonts w:ascii="Arial" w:hAnsi="Arial" w:cs="Arial"/>
                <w:color w:val="000000"/>
                <w:sz w:val="18"/>
                <w:szCs w:val="18"/>
              </w:rPr>
              <w:t>224.68</w:t>
            </w:r>
          </w:p>
        </w:tc>
        <w:tc>
          <w:tcPr>
            <w:tcW w:w="1492" w:type="dxa"/>
            <w:vAlign w:val="center"/>
          </w:tcPr>
          <w:p w14:paraId="07868E4A" w14:textId="77777777" w:rsidR="008907B3" w:rsidRPr="00647115" w:rsidRDefault="008907B3" w:rsidP="0039129A">
            <w:pPr>
              <w:jc w:val="center"/>
              <w:rPr>
                <w:rFonts w:ascii="Arial" w:hAnsi="Arial" w:cs="Arial"/>
                <w:sz w:val="18"/>
                <w:szCs w:val="18"/>
              </w:rPr>
            </w:pPr>
            <w:r w:rsidRPr="00647115">
              <w:rPr>
                <w:rFonts w:ascii="Arial" w:hAnsi="Arial" w:cs="Arial"/>
                <w:color w:val="000000"/>
                <w:sz w:val="18"/>
                <w:szCs w:val="18"/>
              </w:rPr>
              <w:t>0.06</w:t>
            </w:r>
          </w:p>
        </w:tc>
      </w:tr>
      <w:tr w:rsidR="008907B3" w:rsidRPr="00647115" w14:paraId="6E7DB05F" w14:textId="77777777" w:rsidTr="0039129A">
        <w:trPr>
          <w:trHeight w:val="260"/>
          <w:jc w:val="center"/>
        </w:trPr>
        <w:tc>
          <w:tcPr>
            <w:tcW w:w="272" w:type="dxa"/>
            <w:vAlign w:val="center"/>
          </w:tcPr>
          <w:p w14:paraId="2DAF0A27" w14:textId="77777777" w:rsidR="008907B3" w:rsidRPr="00647115" w:rsidRDefault="008907B3" w:rsidP="0039129A">
            <w:pPr>
              <w:jc w:val="center"/>
              <w:rPr>
                <w:rFonts w:ascii="Arial" w:hAnsi="Arial" w:cs="Arial"/>
                <w:b/>
                <w:bCs/>
                <w:sz w:val="18"/>
                <w:szCs w:val="18"/>
                <w:vertAlign w:val="subscript"/>
              </w:rPr>
            </w:pPr>
            <w:r w:rsidRPr="00647115">
              <w:rPr>
                <w:rFonts w:ascii="Arial" w:hAnsi="Arial" w:cs="Arial"/>
                <w:b/>
                <w:bCs/>
                <w:sz w:val="18"/>
                <w:szCs w:val="18"/>
              </w:rPr>
              <w:t xml:space="preserve">CD </w:t>
            </w:r>
            <w:r w:rsidRPr="00647115">
              <w:rPr>
                <w:rFonts w:ascii="Arial" w:hAnsi="Arial" w:cs="Arial"/>
                <w:b/>
                <w:bCs/>
                <w:sz w:val="18"/>
                <w:szCs w:val="18"/>
                <w:vertAlign w:val="subscript"/>
              </w:rPr>
              <w:t>(0.05)</w:t>
            </w:r>
          </w:p>
        </w:tc>
        <w:tc>
          <w:tcPr>
            <w:tcW w:w="1337" w:type="dxa"/>
            <w:vAlign w:val="center"/>
          </w:tcPr>
          <w:p w14:paraId="2F2550C9" w14:textId="77777777" w:rsidR="008907B3" w:rsidRPr="00647115" w:rsidRDefault="008907B3" w:rsidP="0039129A">
            <w:pPr>
              <w:jc w:val="center"/>
              <w:rPr>
                <w:rFonts w:ascii="Arial" w:hAnsi="Arial" w:cs="Arial"/>
                <w:b/>
                <w:bCs/>
                <w:sz w:val="18"/>
                <w:szCs w:val="18"/>
              </w:rPr>
            </w:pPr>
          </w:p>
        </w:tc>
        <w:tc>
          <w:tcPr>
            <w:tcW w:w="1051" w:type="dxa"/>
            <w:vAlign w:val="center"/>
          </w:tcPr>
          <w:p w14:paraId="459907F6" w14:textId="77777777" w:rsidR="008907B3" w:rsidRPr="00647115" w:rsidRDefault="008907B3" w:rsidP="0039129A">
            <w:pPr>
              <w:jc w:val="center"/>
              <w:rPr>
                <w:rFonts w:ascii="Arial" w:hAnsi="Arial" w:cs="Arial"/>
                <w:sz w:val="18"/>
                <w:szCs w:val="18"/>
              </w:rPr>
            </w:pPr>
            <w:r w:rsidRPr="00647115">
              <w:rPr>
                <w:rFonts w:ascii="Arial" w:hAnsi="Arial" w:cs="Arial"/>
                <w:sz w:val="18"/>
                <w:szCs w:val="18"/>
              </w:rPr>
              <w:t>4.98</w:t>
            </w:r>
          </w:p>
        </w:tc>
        <w:tc>
          <w:tcPr>
            <w:tcW w:w="1051" w:type="dxa"/>
            <w:vAlign w:val="center"/>
          </w:tcPr>
          <w:p w14:paraId="1AD33326" w14:textId="77777777" w:rsidR="008907B3" w:rsidRPr="00647115" w:rsidRDefault="008907B3" w:rsidP="0039129A">
            <w:pPr>
              <w:jc w:val="center"/>
              <w:rPr>
                <w:rFonts w:ascii="Arial" w:hAnsi="Arial" w:cs="Arial"/>
                <w:sz w:val="18"/>
                <w:szCs w:val="18"/>
              </w:rPr>
            </w:pPr>
            <w:r w:rsidRPr="00647115">
              <w:rPr>
                <w:rFonts w:ascii="Arial" w:hAnsi="Arial" w:cs="Arial"/>
                <w:sz w:val="18"/>
                <w:szCs w:val="18"/>
              </w:rPr>
              <w:t>4.98</w:t>
            </w:r>
          </w:p>
        </w:tc>
        <w:tc>
          <w:tcPr>
            <w:tcW w:w="1051" w:type="dxa"/>
            <w:vAlign w:val="center"/>
          </w:tcPr>
          <w:p w14:paraId="335DF6EC" w14:textId="77777777" w:rsidR="008907B3" w:rsidRPr="00647115" w:rsidRDefault="008907B3" w:rsidP="0039129A">
            <w:pPr>
              <w:jc w:val="center"/>
              <w:rPr>
                <w:rFonts w:ascii="Arial" w:hAnsi="Arial" w:cs="Arial"/>
                <w:sz w:val="18"/>
                <w:szCs w:val="18"/>
              </w:rPr>
            </w:pPr>
            <w:r w:rsidRPr="00647115">
              <w:rPr>
                <w:rFonts w:ascii="Arial" w:hAnsi="Arial" w:cs="Arial"/>
                <w:sz w:val="18"/>
                <w:szCs w:val="18"/>
              </w:rPr>
              <w:t>5.57</w:t>
            </w:r>
          </w:p>
        </w:tc>
        <w:tc>
          <w:tcPr>
            <w:tcW w:w="756" w:type="dxa"/>
            <w:vAlign w:val="center"/>
          </w:tcPr>
          <w:p w14:paraId="36D68577" w14:textId="77777777" w:rsidR="008907B3" w:rsidRPr="00647115" w:rsidRDefault="008907B3" w:rsidP="0039129A">
            <w:pPr>
              <w:jc w:val="center"/>
              <w:rPr>
                <w:rFonts w:ascii="Arial" w:hAnsi="Arial" w:cs="Arial"/>
                <w:sz w:val="18"/>
                <w:szCs w:val="18"/>
              </w:rPr>
            </w:pPr>
            <w:r w:rsidRPr="00647115">
              <w:rPr>
                <w:rFonts w:ascii="Arial" w:hAnsi="Arial" w:cs="Arial"/>
                <w:sz w:val="18"/>
                <w:szCs w:val="18"/>
              </w:rPr>
              <w:t>5.29</w:t>
            </w:r>
          </w:p>
        </w:tc>
        <w:tc>
          <w:tcPr>
            <w:tcW w:w="924" w:type="dxa"/>
            <w:vAlign w:val="center"/>
          </w:tcPr>
          <w:p w14:paraId="5ECAF5E1" w14:textId="77777777" w:rsidR="008907B3" w:rsidRPr="00647115" w:rsidRDefault="008907B3" w:rsidP="0039129A">
            <w:pPr>
              <w:jc w:val="center"/>
              <w:rPr>
                <w:rFonts w:ascii="Arial" w:hAnsi="Arial" w:cs="Arial"/>
                <w:sz w:val="18"/>
                <w:szCs w:val="18"/>
              </w:rPr>
            </w:pPr>
            <w:r w:rsidRPr="00647115">
              <w:rPr>
                <w:rFonts w:ascii="Arial" w:hAnsi="Arial" w:cs="Arial"/>
                <w:sz w:val="18"/>
                <w:szCs w:val="18"/>
              </w:rPr>
              <w:t>-</w:t>
            </w:r>
          </w:p>
        </w:tc>
        <w:tc>
          <w:tcPr>
            <w:tcW w:w="1066" w:type="dxa"/>
            <w:vAlign w:val="center"/>
          </w:tcPr>
          <w:p w14:paraId="2B4795CD" w14:textId="77777777" w:rsidR="008907B3" w:rsidRPr="00647115" w:rsidRDefault="008907B3" w:rsidP="0039129A">
            <w:pPr>
              <w:jc w:val="center"/>
              <w:rPr>
                <w:rFonts w:ascii="Arial" w:hAnsi="Arial" w:cs="Arial"/>
                <w:sz w:val="18"/>
                <w:szCs w:val="18"/>
              </w:rPr>
            </w:pPr>
            <w:r w:rsidRPr="00647115">
              <w:rPr>
                <w:rFonts w:ascii="Arial" w:hAnsi="Arial" w:cs="Arial"/>
                <w:sz w:val="18"/>
                <w:szCs w:val="18"/>
              </w:rPr>
              <w:t>103.57</w:t>
            </w:r>
          </w:p>
        </w:tc>
        <w:tc>
          <w:tcPr>
            <w:tcW w:w="1492" w:type="dxa"/>
            <w:vAlign w:val="center"/>
          </w:tcPr>
          <w:p w14:paraId="744AA3E0" w14:textId="77777777" w:rsidR="008907B3" w:rsidRPr="00647115" w:rsidRDefault="008907B3" w:rsidP="0039129A">
            <w:pPr>
              <w:jc w:val="center"/>
              <w:rPr>
                <w:rFonts w:ascii="Arial" w:hAnsi="Arial" w:cs="Arial"/>
                <w:sz w:val="18"/>
                <w:szCs w:val="18"/>
              </w:rPr>
            </w:pPr>
            <w:r w:rsidRPr="00647115">
              <w:rPr>
                <w:rFonts w:ascii="Arial" w:hAnsi="Arial" w:cs="Arial"/>
                <w:sz w:val="18"/>
                <w:szCs w:val="18"/>
              </w:rPr>
              <w:t>0.02</w:t>
            </w:r>
          </w:p>
        </w:tc>
      </w:tr>
      <w:tr w:rsidR="008907B3" w:rsidRPr="00647115" w14:paraId="1A12A45B" w14:textId="77777777" w:rsidTr="0039129A">
        <w:trPr>
          <w:trHeight w:val="242"/>
          <w:jc w:val="center"/>
        </w:trPr>
        <w:tc>
          <w:tcPr>
            <w:tcW w:w="272" w:type="dxa"/>
            <w:vAlign w:val="center"/>
          </w:tcPr>
          <w:p w14:paraId="66E43135" w14:textId="77777777" w:rsidR="008907B3" w:rsidRPr="00647115" w:rsidRDefault="008907B3" w:rsidP="0039129A">
            <w:pPr>
              <w:jc w:val="center"/>
              <w:rPr>
                <w:rFonts w:ascii="Arial" w:hAnsi="Arial" w:cs="Arial"/>
                <w:b/>
                <w:bCs/>
                <w:sz w:val="18"/>
                <w:szCs w:val="18"/>
              </w:rPr>
            </w:pPr>
            <w:r w:rsidRPr="00647115">
              <w:rPr>
                <w:rFonts w:ascii="Arial" w:hAnsi="Arial" w:cs="Arial"/>
                <w:b/>
                <w:bCs/>
                <w:sz w:val="18"/>
                <w:szCs w:val="18"/>
              </w:rPr>
              <w:t>SE (d)</w:t>
            </w:r>
          </w:p>
        </w:tc>
        <w:tc>
          <w:tcPr>
            <w:tcW w:w="1337" w:type="dxa"/>
            <w:vAlign w:val="center"/>
          </w:tcPr>
          <w:p w14:paraId="5B40B277" w14:textId="77777777" w:rsidR="008907B3" w:rsidRPr="00647115" w:rsidRDefault="008907B3" w:rsidP="0039129A">
            <w:pPr>
              <w:jc w:val="center"/>
              <w:rPr>
                <w:rFonts w:ascii="Arial" w:hAnsi="Arial" w:cs="Arial"/>
                <w:b/>
                <w:bCs/>
                <w:sz w:val="18"/>
                <w:szCs w:val="18"/>
              </w:rPr>
            </w:pPr>
          </w:p>
        </w:tc>
        <w:tc>
          <w:tcPr>
            <w:tcW w:w="1051" w:type="dxa"/>
            <w:vAlign w:val="center"/>
          </w:tcPr>
          <w:p w14:paraId="5C0B74DE" w14:textId="77777777" w:rsidR="008907B3" w:rsidRPr="00647115" w:rsidRDefault="008907B3" w:rsidP="0039129A">
            <w:pPr>
              <w:jc w:val="center"/>
              <w:rPr>
                <w:rFonts w:ascii="Arial" w:hAnsi="Arial" w:cs="Arial"/>
                <w:sz w:val="18"/>
                <w:szCs w:val="18"/>
              </w:rPr>
            </w:pPr>
            <w:r w:rsidRPr="00647115">
              <w:rPr>
                <w:rFonts w:ascii="Arial" w:hAnsi="Arial" w:cs="Arial"/>
                <w:sz w:val="18"/>
                <w:szCs w:val="18"/>
              </w:rPr>
              <w:t>2.21</w:t>
            </w:r>
          </w:p>
        </w:tc>
        <w:tc>
          <w:tcPr>
            <w:tcW w:w="1051" w:type="dxa"/>
            <w:vAlign w:val="center"/>
          </w:tcPr>
          <w:p w14:paraId="3E8F493B" w14:textId="77777777" w:rsidR="008907B3" w:rsidRPr="00647115" w:rsidRDefault="008907B3" w:rsidP="0039129A">
            <w:pPr>
              <w:jc w:val="center"/>
              <w:rPr>
                <w:rFonts w:ascii="Arial" w:hAnsi="Arial" w:cs="Arial"/>
                <w:sz w:val="18"/>
                <w:szCs w:val="18"/>
              </w:rPr>
            </w:pPr>
            <w:r w:rsidRPr="00647115">
              <w:rPr>
                <w:rFonts w:ascii="Arial" w:hAnsi="Arial" w:cs="Arial"/>
                <w:sz w:val="18"/>
                <w:szCs w:val="18"/>
              </w:rPr>
              <w:t>2.21</w:t>
            </w:r>
          </w:p>
        </w:tc>
        <w:tc>
          <w:tcPr>
            <w:tcW w:w="1051" w:type="dxa"/>
            <w:vAlign w:val="center"/>
          </w:tcPr>
          <w:p w14:paraId="19F93B72" w14:textId="77777777" w:rsidR="008907B3" w:rsidRPr="00647115" w:rsidRDefault="008907B3" w:rsidP="0039129A">
            <w:pPr>
              <w:jc w:val="center"/>
              <w:rPr>
                <w:rFonts w:ascii="Arial" w:hAnsi="Arial" w:cs="Arial"/>
                <w:sz w:val="18"/>
                <w:szCs w:val="18"/>
              </w:rPr>
            </w:pPr>
            <w:r w:rsidRPr="00647115">
              <w:rPr>
                <w:rFonts w:ascii="Arial" w:hAnsi="Arial" w:cs="Arial"/>
                <w:sz w:val="18"/>
                <w:szCs w:val="18"/>
              </w:rPr>
              <w:t>2.47</w:t>
            </w:r>
          </w:p>
        </w:tc>
        <w:tc>
          <w:tcPr>
            <w:tcW w:w="756" w:type="dxa"/>
            <w:vAlign w:val="center"/>
          </w:tcPr>
          <w:p w14:paraId="096A442F" w14:textId="77777777" w:rsidR="008907B3" w:rsidRPr="00647115" w:rsidRDefault="008907B3" w:rsidP="0039129A">
            <w:pPr>
              <w:jc w:val="center"/>
              <w:rPr>
                <w:rFonts w:ascii="Arial" w:hAnsi="Arial" w:cs="Arial"/>
                <w:sz w:val="18"/>
                <w:szCs w:val="18"/>
              </w:rPr>
            </w:pPr>
            <w:r w:rsidRPr="00647115">
              <w:rPr>
                <w:rFonts w:ascii="Arial" w:hAnsi="Arial" w:cs="Arial"/>
                <w:sz w:val="18"/>
                <w:szCs w:val="18"/>
              </w:rPr>
              <w:t>2.34</w:t>
            </w:r>
          </w:p>
        </w:tc>
        <w:tc>
          <w:tcPr>
            <w:tcW w:w="924" w:type="dxa"/>
            <w:vAlign w:val="center"/>
          </w:tcPr>
          <w:p w14:paraId="4CC6624A" w14:textId="77777777" w:rsidR="008907B3" w:rsidRPr="00647115" w:rsidRDefault="008907B3" w:rsidP="0039129A">
            <w:pPr>
              <w:jc w:val="center"/>
              <w:rPr>
                <w:rFonts w:ascii="Arial" w:hAnsi="Arial" w:cs="Arial"/>
                <w:sz w:val="18"/>
                <w:szCs w:val="18"/>
              </w:rPr>
            </w:pPr>
            <w:r w:rsidRPr="00647115">
              <w:rPr>
                <w:rFonts w:ascii="Arial" w:hAnsi="Arial" w:cs="Arial"/>
                <w:sz w:val="18"/>
                <w:szCs w:val="18"/>
              </w:rPr>
              <w:t>-</w:t>
            </w:r>
          </w:p>
        </w:tc>
        <w:tc>
          <w:tcPr>
            <w:tcW w:w="1066" w:type="dxa"/>
            <w:vAlign w:val="center"/>
          </w:tcPr>
          <w:p w14:paraId="71B598F5" w14:textId="77777777" w:rsidR="008907B3" w:rsidRPr="00647115" w:rsidRDefault="008907B3" w:rsidP="0039129A">
            <w:pPr>
              <w:jc w:val="center"/>
              <w:rPr>
                <w:rFonts w:ascii="Arial" w:hAnsi="Arial" w:cs="Arial"/>
                <w:sz w:val="18"/>
                <w:szCs w:val="18"/>
              </w:rPr>
            </w:pPr>
            <w:r w:rsidRPr="00647115">
              <w:rPr>
                <w:rFonts w:ascii="Arial" w:hAnsi="Arial" w:cs="Arial"/>
                <w:sz w:val="18"/>
                <w:szCs w:val="18"/>
              </w:rPr>
              <w:t>45.89</w:t>
            </w:r>
          </w:p>
        </w:tc>
        <w:tc>
          <w:tcPr>
            <w:tcW w:w="1492" w:type="dxa"/>
            <w:vAlign w:val="center"/>
          </w:tcPr>
          <w:p w14:paraId="5EB9D44E" w14:textId="77777777" w:rsidR="008907B3" w:rsidRPr="00647115" w:rsidRDefault="008907B3" w:rsidP="0039129A">
            <w:pPr>
              <w:jc w:val="center"/>
              <w:rPr>
                <w:rFonts w:ascii="Arial" w:hAnsi="Arial" w:cs="Arial"/>
                <w:sz w:val="18"/>
                <w:szCs w:val="18"/>
              </w:rPr>
            </w:pPr>
            <w:r w:rsidRPr="00647115">
              <w:rPr>
                <w:rFonts w:ascii="Arial" w:hAnsi="Arial" w:cs="Arial"/>
                <w:sz w:val="18"/>
                <w:szCs w:val="18"/>
              </w:rPr>
              <w:t>0.01</w:t>
            </w:r>
          </w:p>
        </w:tc>
      </w:tr>
    </w:tbl>
    <w:p w14:paraId="78E71396" w14:textId="5E54215D" w:rsidR="008907B3" w:rsidRPr="00647115" w:rsidRDefault="00F95BB5" w:rsidP="00647115">
      <w:pPr>
        <w:spacing w:before="240" w:after="0" w:line="360" w:lineRule="auto"/>
        <w:jc w:val="both"/>
        <w:rPr>
          <w:rFonts w:ascii="Arial" w:hAnsi="Arial" w:cs="Arial"/>
          <w:b/>
          <w:bCs/>
          <w:sz w:val="22"/>
          <w:szCs w:val="22"/>
        </w:rPr>
      </w:pPr>
      <w:r w:rsidRPr="00647115">
        <w:rPr>
          <w:rFonts w:ascii="Arial" w:hAnsi="Arial" w:cs="Arial"/>
          <w:b/>
          <w:bCs/>
          <w:sz w:val="22"/>
          <w:szCs w:val="22"/>
        </w:rPr>
        <w:t xml:space="preserve">4. CONCLUSION </w:t>
      </w:r>
    </w:p>
    <w:p w14:paraId="39530792" w14:textId="4CFF439D" w:rsidR="00F71AF5" w:rsidRDefault="00F71AF5" w:rsidP="00647115">
      <w:pPr>
        <w:spacing w:after="240" w:line="360" w:lineRule="auto"/>
        <w:ind w:firstLine="720"/>
        <w:jc w:val="both"/>
        <w:rPr>
          <w:rFonts w:ascii="Arial" w:hAnsi="Arial" w:cs="Arial"/>
          <w:sz w:val="20"/>
          <w:szCs w:val="20"/>
        </w:rPr>
      </w:pPr>
      <w:r w:rsidRPr="00647115">
        <w:rPr>
          <w:rFonts w:ascii="Arial" w:hAnsi="Arial" w:cs="Arial"/>
          <w:sz w:val="20"/>
          <w:szCs w:val="20"/>
        </w:rPr>
        <w:t xml:space="preserve">The present investigations highlighted that brown spot of maize caused by </w:t>
      </w:r>
      <w:r w:rsidRPr="00647115">
        <w:rPr>
          <w:rFonts w:ascii="Arial" w:hAnsi="Arial" w:cs="Arial"/>
          <w:i/>
          <w:iCs/>
          <w:sz w:val="20"/>
          <w:szCs w:val="20"/>
        </w:rPr>
        <w:t xml:space="preserve">P. maydis </w:t>
      </w:r>
      <w:r w:rsidRPr="00647115">
        <w:rPr>
          <w:rFonts w:ascii="Arial" w:hAnsi="Arial" w:cs="Arial"/>
          <w:sz w:val="20"/>
          <w:szCs w:val="20"/>
        </w:rPr>
        <w:t xml:space="preserve">is strongly influenced by age of host plant, effect of sub-culturing, inoculum load and age of pathogen culture. Maize plants were susceptible to infection at all growth stages; however, susceptibility increased with advancing host age (30-50 DAS), but reduced disease severity at later stages indicated the possible involvement of age-related resistance. The physiological age of the pathogen played a crucial role in disease establishments, as cultures of intermediate age were more virulent than very young or older cultures. Fourteen days old cultures consistently produced the highest disease severity, fastest disease progress and shortest incubation period. In case of inoculum density of the pathogen, </w:t>
      </w:r>
      <w:r w:rsidR="005914D3" w:rsidRPr="00647115">
        <w:rPr>
          <w:rFonts w:ascii="Arial" w:hAnsi="Arial" w:cs="Arial"/>
          <w:sz w:val="20"/>
          <w:szCs w:val="20"/>
        </w:rPr>
        <w:t xml:space="preserve">higher inoculum loads resulted in maximum disease severity, but it was also observed that moderately high inoculum levels produced reliable and reproducible symptoms without creating unnaturally high disease pressure, making them more suitable for experimental studies. Successive sub-culturing significantly reduced its pathogenic potential, in which early sub-cultures exhibited greater virulence, whereas, advanced sub-cultures showed delayed symptom expressions. Overall, the study highlights that optimum host age, appropriate pathogen culture age, standardized inoculum load and minimal sub-culturing are critical factors for consistent disease development. Therefore, these findings provide a sound experimental basis for epidemiological studies and for standardizing inoculation techniques in future management and resistance screening programmes for brown spot of maize.  </w:t>
      </w:r>
    </w:p>
    <w:p w14:paraId="77D1AA6C" w14:textId="4183E539" w:rsidR="00C41B18" w:rsidRDefault="00C41B18" w:rsidP="00647115">
      <w:pPr>
        <w:spacing w:after="240" w:line="360" w:lineRule="auto"/>
        <w:ind w:firstLine="720"/>
        <w:jc w:val="both"/>
        <w:rPr>
          <w:rFonts w:ascii="Arial" w:hAnsi="Arial" w:cs="Arial"/>
          <w:sz w:val="20"/>
          <w:szCs w:val="20"/>
        </w:rPr>
      </w:pPr>
    </w:p>
    <w:p w14:paraId="4B6761A2" w14:textId="77777777" w:rsidR="00C41B18" w:rsidRDefault="00C41B18" w:rsidP="00C41B18">
      <w:pPr>
        <w:rPr>
          <w:rFonts w:ascii="Calibri" w:eastAsia="Calibri" w:hAnsi="Calibri" w:cs="Times New Roman"/>
          <w:highlight w:val="yellow"/>
        </w:rPr>
      </w:pPr>
      <w:bookmarkStart w:id="0" w:name="_Hlk204003461"/>
      <w:bookmarkStart w:id="1" w:name="_Hlk213070710"/>
      <w:r>
        <w:rPr>
          <w:rFonts w:ascii="Calibri" w:eastAsia="Calibri" w:hAnsi="Calibri" w:cs="Times New Roman"/>
          <w:highlight w:val="yellow"/>
        </w:rPr>
        <w:t>Disclaimer (Artificial intelligence)</w:t>
      </w:r>
    </w:p>
    <w:p w14:paraId="581961E3" w14:textId="77777777" w:rsidR="00C41B18" w:rsidRDefault="00C41B18" w:rsidP="00C41B18">
      <w:pPr>
        <w:rPr>
          <w:rFonts w:ascii="Calibri" w:eastAsia="Calibri" w:hAnsi="Calibri" w:cs="Times New Roman"/>
          <w:highlight w:val="yellow"/>
        </w:rPr>
      </w:pPr>
      <w:r>
        <w:rPr>
          <w:rFonts w:ascii="Calibri" w:eastAsia="Calibri" w:hAnsi="Calibri" w:cs="Times New Roman"/>
          <w:highlight w:val="yellow"/>
        </w:rPr>
        <w:t>Option 1:</w:t>
      </w:r>
    </w:p>
    <w:p w14:paraId="7BFD9C70" w14:textId="720B290F" w:rsidR="00C41B18" w:rsidRPr="00840922" w:rsidRDefault="00C41B18" w:rsidP="00840922">
      <w:pPr>
        <w:rPr>
          <w:rFonts w:ascii="Calibri" w:eastAsia="Calibri" w:hAnsi="Calibri" w:cs="Times New Roman"/>
          <w:highlight w:val="yellow"/>
        </w:rPr>
      </w:pPr>
      <w:r>
        <w:rPr>
          <w:rFonts w:ascii="Calibri" w:eastAsia="Calibri" w:hAnsi="Calibri" w:cs="Times New Roman"/>
          <w:highlight w:val="yellow"/>
        </w:rPr>
        <w:t xml:space="preserve">Author(s) hereby declare that NO generative AI technologies such as Large Language Models (ChatGPT, COPILOT, etc.) and text-to-image generators have been used during the writing or editing of this manuscript. </w:t>
      </w:r>
      <w:bookmarkEnd w:id="0"/>
      <w:bookmarkEnd w:id="1"/>
    </w:p>
    <w:p w14:paraId="0586A9FB" w14:textId="77777777" w:rsidR="00F75EDE" w:rsidRDefault="00F75EDE" w:rsidP="00F74190">
      <w:pPr>
        <w:spacing w:after="0" w:line="360" w:lineRule="auto"/>
        <w:jc w:val="both"/>
        <w:rPr>
          <w:rFonts w:ascii="Arial" w:hAnsi="Arial" w:cs="Arial"/>
          <w:b/>
          <w:bCs/>
          <w:sz w:val="20"/>
          <w:szCs w:val="20"/>
        </w:rPr>
      </w:pPr>
    </w:p>
    <w:p w14:paraId="2E5B5CC3" w14:textId="474A3957" w:rsidR="008907B3" w:rsidRDefault="001C5B7E" w:rsidP="00F74190">
      <w:pPr>
        <w:spacing w:after="0" w:line="360" w:lineRule="auto"/>
        <w:jc w:val="both"/>
        <w:rPr>
          <w:rFonts w:ascii="Arial" w:hAnsi="Arial" w:cs="Arial"/>
          <w:b/>
          <w:bCs/>
          <w:sz w:val="22"/>
          <w:szCs w:val="22"/>
        </w:rPr>
      </w:pPr>
      <w:r w:rsidRPr="00647115">
        <w:rPr>
          <w:rFonts w:ascii="Arial" w:hAnsi="Arial" w:cs="Arial"/>
          <w:b/>
          <w:bCs/>
          <w:sz w:val="22"/>
          <w:szCs w:val="22"/>
        </w:rPr>
        <w:t>REFERENCES</w:t>
      </w:r>
    </w:p>
    <w:p w14:paraId="29C2AF03" w14:textId="77777777" w:rsidR="00B80F76" w:rsidRDefault="00B80F76" w:rsidP="00B80F76">
      <w:pPr>
        <w:jc w:val="both"/>
        <w:rPr>
          <w:rFonts w:ascii="Arial" w:eastAsia="Times New Roman" w:hAnsi="Arial" w:cs="Arial"/>
          <w:sz w:val="18"/>
          <w:szCs w:val="18"/>
        </w:rPr>
      </w:pPr>
      <w:r>
        <w:rPr>
          <w:rFonts w:ascii="Arial" w:eastAsia="Times New Roman" w:hAnsi="Arial" w:cs="Arial"/>
          <w:sz w:val="18"/>
          <w:szCs w:val="18"/>
        </w:rPr>
        <w:t>Anand, S. (2019). Etiology and epidemiology of collar rot complex of cowpea. (Master's thesis). Chaudhary Sarwan Kumar Himachal Pradesh Krishi Vishwavidalaya, Palampur, Himachal Pradesh, India. https://krishikosh.egranth.ac.in/handle/1/5810000000</w:t>
      </w:r>
    </w:p>
    <w:p w14:paraId="3507EAA1" w14:textId="77777777" w:rsidR="00B80F76" w:rsidRDefault="00B80F76" w:rsidP="00B80F76">
      <w:pPr>
        <w:jc w:val="both"/>
        <w:rPr>
          <w:rFonts w:ascii="Arial" w:eastAsia="Times New Roman" w:hAnsi="Arial" w:cs="Arial"/>
          <w:sz w:val="18"/>
          <w:szCs w:val="18"/>
        </w:rPr>
      </w:pPr>
      <w:r>
        <w:rPr>
          <w:rFonts w:ascii="Arial" w:eastAsia="Times New Roman" w:hAnsi="Arial" w:cs="Arial"/>
          <w:sz w:val="18"/>
          <w:szCs w:val="18"/>
        </w:rPr>
        <w:t>Ansari, M. A., &amp; Butt, T. M. (2011). Effects of successive subculturing on stability, virulence, conidial yield, germination and shelf-life of entomopathogenic fungi. Journal of Applied Microbiology. https://doi.org/10.1111/j.1365-2672.2011.04994.x</w:t>
      </w:r>
    </w:p>
    <w:p w14:paraId="789CC12A" w14:textId="77777777" w:rsidR="00B80F76" w:rsidRDefault="00B80F76" w:rsidP="00B80F76">
      <w:pPr>
        <w:jc w:val="both"/>
        <w:rPr>
          <w:rFonts w:ascii="Arial" w:eastAsia="Times New Roman" w:hAnsi="Arial" w:cs="Arial"/>
          <w:sz w:val="18"/>
          <w:szCs w:val="18"/>
        </w:rPr>
      </w:pPr>
      <w:r>
        <w:rPr>
          <w:rFonts w:ascii="Arial" w:eastAsia="Times New Roman" w:hAnsi="Arial" w:cs="Arial"/>
          <w:sz w:val="18"/>
          <w:szCs w:val="18"/>
        </w:rPr>
        <w:lastRenderedPageBreak/>
        <w:t>Bisht, S. (2015). Southern leaf blight of maize [Bipolaris maydis (Nisikado and Miyake) Shoemaker]: Disease epidemiology and management strategies. (Ph.D. Thesis). G.B. Pant University of Agriculture and Technology. http://krishikosh.egranth.ac.in/handle/1/67036</w:t>
      </w:r>
    </w:p>
    <w:p w14:paraId="3DFD2530" w14:textId="77777777" w:rsidR="00715B75" w:rsidRPr="00E5011F" w:rsidRDefault="00715B75" w:rsidP="00715B75">
      <w:pPr>
        <w:spacing w:line="276" w:lineRule="auto"/>
        <w:ind w:left="450" w:hanging="450"/>
        <w:jc w:val="both"/>
        <w:rPr>
          <w:rFonts w:ascii="Arial" w:hAnsi="Arial" w:cs="Arial"/>
          <w:sz w:val="20"/>
          <w:szCs w:val="20"/>
        </w:rPr>
      </w:pPr>
      <w:r w:rsidRPr="00E5011F">
        <w:rPr>
          <w:rFonts w:ascii="Arial" w:hAnsi="Arial" w:cs="Arial"/>
          <w:sz w:val="20"/>
          <w:szCs w:val="20"/>
        </w:rPr>
        <w:t>Bruslind</w:t>
      </w:r>
      <w:r>
        <w:rPr>
          <w:rFonts w:ascii="Arial" w:hAnsi="Arial" w:cs="Arial"/>
          <w:sz w:val="20"/>
          <w:szCs w:val="20"/>
        </w:rPr>
        <w:t>,</w:t>
      </w:r>
      <w:r w:rsidRPr="00E5011F">
        <w:rPr>
          <w:rFonts w:ascii="Arial" w:hAnsi="Arial" w:cs="Arial"/>
          <w:sz w:val="20"/>
          <w:szCs w:val="20"/>
        </w:rPr>
        <w:t xml:space="preserve"> L. </w:t>
      </w:r>
      <w:r>
        <w:rPr>
          <w:rFonts w:ascii="Arial" w:hAnsi="Arial" w:cs="Arial"/>
          <w:sz w:val="20"/>
          <w:szCs w:val="20"/>
        </w:rPr>
        <w:t>(</w:t>
      </w:r>
      <w:r w:rsidRPr="00E5011F">
        <w:rPr>
          <w:rFonts w:ascii="Arial" w:hAnsi="Arial" w:cs="Arial"/>
          <w:sz w:val="20"/>
          <w:szCs w:val="20"/>
        </w:rPr>
        <w:t>2021</w:t>
      </w:r>
      <w:r>
        <w:rPr>
          <w:rFonts w:ascii="Arial" w:hAnsi="Arial" w:cs="Arial"/>
          <w:sz w:val="20"/>
          <w:szCs w:val="20"/>
        </w:rPr>
        <w:t>)</w:t>
      </w:r>
      <w:r w:rsidRPr="00E5011F">
        <w:rPr>
          <w:rFonts w:ascii="Arial" w:hAnsi="Arial" w:cs="Arial"/>
          <w:sz w:val="20"/>
          <w:szCs w:val="20"/>
        </w:rPr>
        <w:t xml:space="preserve">. “Microbial Growth.” General Microbiology. Oregon State University. </w:t>
      </w:r>
      <w:hyperlink r:id="rId7" w:history="1">
        <w:r w:rsidRPr="00E5011F">
          <w:rPr>
            <w:rStyle w:val="Hyperlink"/>
            <w:rFonts w:ascii="Arial" w:hAnsi="Arial" w:cs="Arial"/>
            <w:sz w:val="20"/>
            <w:szCs w:val="20"/>
          </w:rPr>
          <w:t>https://open.oregonstate.education/generalmicrobiology/chapter/microbial-growth</w:t>
        </w:r>
      </w:hyperlink>
      <w:r>
        <w:rPr>
          <w:rFonts w:ascii="Arial" w:hAnsi="Arial" w:cs="Arial"/>
          <w:sz w:val="20"/>
          <w:szCs w:val="20"/>
        </w:rPr>
        <w:t>.</w:t>
      </w:r>
    </w:p>
    <w:p w14:paraId="5D15E7FE" w14:textId="77777777" w:rsidR="00B80F76" w:rsidRDefault="00B80F76" w:rsidP="00B80F76">
      <w:pPr>
        <w:jc w:val="both"/>
        <w:rPr>
          <w:rFonts w:ascii="Arial" w:eastAsia="Times New Roman" w:hAnsi="Arial" w:cs="Arial"/>
          <w:sz w:val="18"/>
          <w:szCs w:val="18"/>
        </w:rPr>
      </w:pPr>
      <w:r>
        <w:rPr>
          <w:rFonts w:ascii="Arial" w:eastAsia="Times New Roman" w:hAnsi="Arial" w:cs="Arial"/>
          <w:sz w:val="18"/>
          <w:szCs w:val="18"/>
        </w:rPr>
        <w:t>Bruslind, L. (2021). Microbial Growth. In General Microbiology. Oregon State University. https://open.oregonstate.education/generalmicrobiology/chapter/microbial-growth</w:t>
      </w:r>
    </w:p>
    <w:p w14:paraId="5FBB70A2" w14:textId="313326AD" w:rsidR="00B80F76" w:rsidRPr="00840922" w:rsidRDefault="00B80F76" w:rsidP="00840922">
      <w:pPr>
        <w:jc w:val="both"/>
        <w:rPr>
          <w:rFonts w:ascii="Arial" w:eastAsia="Times New Roman" w:hAnsi="Arial" w:cs="Arial"/>
          <w:sz w:val="18"/>
          <w:szCs w:val="18"/>
        </w:rPr>
      </w:pPr>
      <w:r>
        <w:rPr>
          <w:rFonts w:ascii="Arial" w:eastAsia="Times New Roman" w:hAnsi="Arial" w:cs="Arial"/>
          <w:sz w:val="18"/>
          <w:szCs w:val="18"/>
        </w:rPr>
        <w:t>Deep, S., Prasad, D., &amp; Sarkhel, S. (2020). Standardization of culture age, crop growth stages and different methods of inoculation of Xanthomonas oryzae pv. oryzae, A cause bacterial leaf blight in rice (Oryza sativa L.). International Journal of Plant Protection, 13(1), 30-35. https://doi.org/10.15740/HAS/IJPP/13.1/30-35</w:t>
      </w:r>
    </w:p>
    <w:p w14:paraId="66D80A79" w14:textId="77777777" w:rsidR="00B80F76" w:rsidRDefault="00B80F76" w:rsidP="00B80F76">
      <w:pPr>
        <w:jc w:val="both"/>
        <w:rPr>
          <w:rFonts w:ascii="Arial" w:eastAsia="Times New Roman" w:hAnsi="Arial" w:cs="Arial"/>
          <w:sz w:val="18"/>
          <w:szCs w:val="18"/>
        </w:rPr>
      </w:pPr>
      <w:r>
        <w:rPr>
          <w:rFonts w:ascii="Arial" w:eastAsia="Times New Roman" w:hAnsi="Arial" w:cs="Arial"/>
          <w:sz w:val="18"/>
          <w:szCs w:val="18"/>
        </w:rPr>
        <w:t>Dooh, J. P. N., Bouba, D., Gabriel, D., Brice, T. T. D., Rita, Y., Durel, N. C., Alain, H., &amp; Zachee, A. (2021). Brown spot and stalk rot disease of maize (Zea mays) and susceptibility of two varieties to Physoderma maydis in Far North Cameroon. International Journal of Phytopathology, 10(1), 19-28. https://doi.org/10.33687/phytopath.010.01.3505</w:t>
      </w:r>
    </w:p>
    <w:p w14:paraId="7083E7C5" w14:textId="77777777" w:rsidR="00B80F76" w:rsidRDefault="00B80F76" w:rsidP="00B80F76">
      <w:pPr>
        <w:jc w:val="both"/>
        <w:rPr>
          <w:rFonts w:ascii="Arial" w:eastAsia="Times New Roman" w:hAnsi="Arial" w:cs="Arial"/>
          <w:sz w:val="18"/>
          <w:szCs w:val="18"/>
        </w:rPr>
      </w:pPr>
      <w:r w:rsidRPr="00B80F76">
        <w:rPr>
          <w:rFonts w:ascii="Arial" w:eastAsia="Times New Roman" w:hAnsi="Arial" w:cs="Arial"/>
          <w:sz w:val="18"/>
          <w:szCs w:val="18"/>
        </w:rPr>
        <w:t xml:space="preserve">Dubey, M. K., Gajbhiye, M. H., &amp; Upadhyay, R. (2022). </w:t>
      </w:r>
      <w:r>
        <w:rPr>
          <w:rFonts w:ascii="Arial" w:eastAsia="Times New Roman" w:hAnsi="Arial" w:cs="Arial"/>
          <w:sz w:val="18"/>
          <w:szCs w:val="18"/>
        </w:rPr>
        <w:t>New records, rare and noteworthy species of the genus Nowakowskiella (Nowakowskiellaceae, Chytridiomycota) from India. Current Science, 123(12), 1462-1472. https://doi.org/10.18520/cs/v123/i12/1462-1472</w:t>
      </w:r>
    </w:p>
    <w:p w14:paraId="27CFF4F0" w14:textId="77777777" w:rsidR="00715B75" w:rsidRPr="00B80F76" w:rsidRDefault="00715B75" w:rsidP="00715B75">
      <w:pPr>
        <w:spacing w:after="0" w:line="276" w:lineRule="auto"/>
        <w:ind w:left="450" w:hanging="450"/>
        <w:jc w:val="both"/>
        <w:rPr>
          <w:rFonts w:ascii="Arial" w:hAnsi="Arial" w:cs="Arial"/>
          <w:sz w:val="20"/>
          <w:szCs w:val="20"/>
          <w:lang w:val="pt-BR"/>
        </w:rPr>
      </w:pPr>
      <w:r w:rsidRPr="00E5011F">
        <w:rPr>
          <w:rFonts w:ascii="Arial" w:hAnsi="Arial" w:cs="Arial"/>
          <w:sz w:val="20"/>
          <w:szCs w:val="20"/>
        </w:rPr>
        <w:t xml:space="preserve">FAOSTAT. </w:t>
      </w:r>
      <w:r>
        <w:rPr>
          <w:rFonts w:ascii="Arial" w:hAnsi="Arial" w:cs="Arial"/>
          <w:sz w:val="20"/>
          <w:szCs w:val="20"/>
        </w:rPr>
        <w:t>(</w:t>
      </w:r>
      <w:r w:rsidRPr="00E5011F">
        <w:rPr>
          <w:rFonts w:ascii="Arial" w:hAnsi="Arial" w:cs="Arial"/>
          <w:sz w:val="20"/>
          <w:szCs w:val="20"/>
        </w:rPr>
        <w:t>2024</w:t>
      </w:r>
      <w:r>
        <w:rPr>
          <w:rFonts w:ascii="Arial" w:hAnsi="Arial" w:cs="Arial"/>
          <w:sz w:val="20"/>
          <w:szCs w:val="20"/>
        </w:rPr>
        <w:t>)</w:t>
      </w:r>
      <w:r w:rsidRPr="00E5011F">
        <w:rPr>
          <w:rFonts w:ascii="Arial" w:hAnsi="Arial" w:cs="Arial"/>
          <w:sz w:val="20"/>
          <w:szCs w:val="20"/>
        </w:rPr>
        <w:t xml:space="preserve">. Food and Agriculture Organization of the United Nations. </w:t>
      </w:r>
      <w:hyperlink r:id="rId8" w:history="1">
        <w:r w:rsidRPr="00B80F76">
          <w:rPr>
            <w:rStyle w:val="Hyperlink"/>
            <w:rFonts w:ascii="Arial" w:hAnsi="Arial" w:cs="Arial"/>
            <w:sz w:val="20"/>
            <w:szCs w:val="20"/>
            <w:lang w:val="pt-BR"/>
          </w:rPr>
          <w:t>https://www.fao.org/faostat/en/data/QCL</w:t>
        </w:r>
      </w:hyperlink>
      <w:r w:rsidRPr="00B80F76">
        <w:rPr>
          <w:rFonts w:ascii="Arial" w:hAnsi="Arial" w:cs="Arial"/>
          <w:sz w:val="20"/>
          <w:szCs w:val="20"/>
          <w:lang w:val="pt-BR"/>
        </w:rPr>
        <w:t>.</w:t>
      </w:r>
    </w:p>
    <w:p w14:paraId="0F7FE393" w14:textId="77777777" w:rsidR="00B80F76" w:rsidRDefault="00B80F76" w:rsidP="00B80F76">
      <w:pPr>
        <w:jc w:val="both"/>
        <w:rPr>
          <w:rFonts w:ascii="Arial" w:eastAsia="Times New Roman" w:hAnsi="Arial" w:cs="Arial"/>
          <w:sz w:val="18"/>
          <w:szCs w:val="18"/>
        </w:rPr>
      </w:pPr>
      <w:r w:rsidRPr="00FF1DC0">
        <w:rPr>
          <w:rFonts w:ascii="Arial" w:eastAsia="Times New Roman" w:hAnsi="Arial" w:cs="Arial"/>
          <w:sz w:val="18"/>
          <w:szCs w:val="18"/>
          <w:lang w:val="pt-BR"/>
        </w:rPr>
        <w:t xml:space="preserve">Gomez, K. A., &amp; Gomez, A. A. (1984). </w:t>
      </w:r>
      <w:r>
        <w:rPr>
          <w:rFonts w:ascii="Arial" w:eastAsia="Times New Roman" w:hAnsi="Arial" w:cs="Arial"/>
          <w:sz w:val="18"/>
          <w:szCs w:val="18"/>
        </w:rPr>
        <w:t>Statistical procedures for agricultural research (2nd ed.). John Wiley &amp; Sons. https://www.wiley.com/en-us/Statistical+Procedures+for+Agricultural+Research,+2nd+Edition-p-9780471879312</w:t>
      </w:r>
    </w:p>
    <w:p w14:paraId="753634F1" w14:textId="77777777" w:rsidR="00B80F76" w:rsidRDefault="00B80F76" w:rsidP="00B80F76">
      <w:pPr>
        <w:jc w:val="both"/>
        <w:rPr>
          <w:rFonts w:ascii="Arial" w:eastAsia="Times New Roman" w:hAnsi="Arial" w:cs="Arial"/>
          <w:sz w:val="18"/>
          <w:szCs w:val="18"/>
        </w:rPr>
      </w:pPr>
      <w:r w:rsidRPr="00FF1DC0">
        <w:rPr>
          <w:rFonts w:ascii="Arial" w:eastAsia="Times New Roman" w:hAnsi="Arial" w:cs="Arial"/>
          <w:sz w:val="18"/>
          <w:szCs w:val="18"/>
          <w:lang w:val="pt-BR"/>
        </w:rPr>
        <w:t xml:space="preserve">Haque, M. A., Marwaha, S., Arora, A., Deb, C. K., Misra, T., Nigam, S., &amp; Hooda, K. S. (2022). </w:t>
      </w:r>
      <w:r>
        <w:rPr>
          <w:rFonts w:ascii="Arial" w:eastAsia="Times New Roman" w:hAnsi="Arial" w:cs="Arial"/>
          <w:sz w:val="18"/>
          <w:szCs w:val="18"/>
        </w:rPr>
        <w:t>A lightweight convolutional neural network for recognition of severity stages of maydis leaf blight disease of maize. Frontiers in Plant Science. https://doi.org/10.3389/fpls.2022.1077568</w:t>
      </w:r>
    </w:p>
    <w:p w14:paraId="6E9703CC" w14:textId="77777777" w:rsidR="00715B75" w:rsidRPr="00E5011F" w:rsidRDefault="00715B75" w:rsidP="00715B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276" w:lineRule="auto"/>
        <w:ind w:left="450" w:hanging="450"/>
        <w:jc w:val="both"/>
        <w:rPr>
          <w:rFonts w:ascii="Arial" w:hAnsi="Arial" w:cs="Arial"/>
          <w:kern w:val="0"/>
          <w:sz w:val="20"/>
          <w:szCs w:val="20"/>
          <w:lang w:val="en-GB"/>
        </w:rPr>
      </w:pPr>
      <w:r w:rsidRPr="00E5011F">
        <w:rPr>
          <w:rFonts w:ascii="Arial" w:hAnsi="Arial" w:cs="Arial"/>
          <w:kern w:val="0"/>
          <w:sz w:val="20"/>
          <w:szCs w:val="20"/>
          <w:lang w:val="en-GB"/>
        </w:rPr>
        <w:t>Hooda</w:t>
      </w:r>
      <w:r>
        <w:rPr>
          <w:rFonts w:ascii="Arial" w:hAnsi="Arial" w:cs="Arial"/>
          <w:kern w:val="0"/>
          <w:sz w:val="20"/>
          <w:szCs w:val="20"/>
          <w:lang w:val="en-GB"/>
        </w:rPr>
        <w:t>,</w:t>
      </w:r>
      <w:r w:rsidRPr="00E5011F">
        <w:rPr>
          <w:rFonts w:ascii="Arial" w:hAnsi="Arial" w:cs="Arial"/>
          <w:kern w:val="0"/>
          <w:sz w:val="20"/>
          <w:szCs w:val="20"/>
          <w:lang w:val="en-GB"/>
        </w:rPr>
        <w:t xml:space="preserve"> K</w:t>
      </w:r>
      <w:r>
        <w:rPr>
          <w:rFonts w:ascii="Arial" w:hAnsi="Arial" w:cs="Arial"/>
          <w:kern w:val="0"/>
          <w:sz w:val="20"/>
          <w:szCs w:val="20"/>
          <w:lang w:val="en-GB"/>
        </w:rPr>
        <w:t xml:space="preserve">. </w:t>
      </w:r>
      <w:r w:rsidRPr="00E5011F">
        <w:rPr>
          <w:rFonts w:ascii="Arial" w:hAnsi="Arial" w:cs="Arial"/>
          <w:kern w:val="0"/>
          <w:sz w:val="20"/>
          <w:szCs w:val="20"/>
          <w:lang w:val="en-GB"/>
        </w:rPr>
        <w:t>S</w:t>
      </w:r>
      <w:r>
        <w:rPr>
          <w:rFonts w:ascii="Arial" w:hAnsi="Arial" w:cs="Arial"/>
          <w:kern w:val="0"/>
          <w:sz w:val="20"/>
          <w:szCs w:val="20"/>
          <w:lang w:val="en-GB"/>
        </w:rPr>
        <w:t>.</w:t>
      </w:r>
      <w:r w:rsidRPr="00E5011F">
        <w:rPr>
          <w:rFonts w:ascii="Arial" w:hAnsi="Arial" w:cs="Arial"/>
          <w:kern w:val="0"/>
          <w:sz w:val="20"/>
          <w:szCs w:val="20"/>
          <w:lang w:val="en-GB"/>
        </w:rPr>
        <w:t>, Bagaria</w:t>
      </w:r>
      <w:r>
        <w:rPr>
          <w:rFonts w:ascii="Arial" w:hAnsi="Arial" w:cs="Arial"/>
          <w:kern w:val="0"/>
          <w:sz w:val="20"/>
          <w:szCs w:val="20"/>
          <w:lang w:val="en-GB"/>
        </w:rPr>
        <w:t>,</w:t>
      </w:r>
      <w:r w:rsidRPr="00E5011F">
        <w:rPr>
          <w:rFonts w:ascii="Arial" w:hAnsi="Arial" w:cs="Arial"/>
          <w:kern w:val="0"/>
          <w:sz w:val="20"/>
          <w:szCs w:val="20"/>
          <w:lang w:val="en-GB"/>
        </w:rPr>
        <w:t xml:space="preserve"> P</w:t>
      </w:r>
      <w:r>
        <w:rPr>
          <w:rFonts w:ascii="Arial" w:hAnsi="Arial" w:cs="Arial"/>
          <w:kern w:val="0"/>
          <w:sz w:val="20"/>
          <w:szCs w:val="20"/>
          <w:lang w:val="en-GB"/>
        </w:rPr>
        <w:t xml:space="preserve">. </w:t>
      </w:r>
      <w:r w:rsidRPr="00E5011F">
        <w:rPr>
          <w:rFonts w:ascii="Arial" w:hAnsi="Arial" w:cs="Arial"/>
          <w:kern w:val="0"/>
          <w:sz w:val="20"/>
          <w:szCs w:val="20"/>
          <w:lang w:val="en-GB"/>
        </w:rPr>
        <w:t>K</w:t>
      </w:r>
      <w:r>
        <w:rPr>
          <w:rFonts w:ascii="Arial" w:hAnsi="Arial" w:cs="Arial"/>
          <w:kern w:val="0"/>
          <w:sz w:val="20"/>
          <w:szCs w:val="20"/>
          <w:lang w:val="en-GB"/>
        </w:rPr>
        <w:t>.</w:t>
      </w:r>
      <w:r w:rsidRPr="00E5011F">
        <w:rPr>
          <w:rFonts w:ascii="Arial" w:hAnsi="Arial" w:cs="Arial"/>
          <w:kern w:val="0"/>
          <w:sz w:val="20"/>
          <w:szCs w:val="20"/>
          <w:lang w:val="en-GB"/>
        </w:rPr>
        <w:t>, Khokhar M</w:t>
      </w:r>
      <w:r>
        <w:rPr>
          <w:rFonts w:ascii="Arial" w:hAnsi="Arial" w:cs="Arial"/>
          <w:kern w:val="0"/>
          <w:sz w:val="20"/>
          <w:szCs w:val="20"/>
          <w:lang w:val="en-GB"/>
        </w:rPr>
        <w:t>.</w:t>
      </w:r>
      <w:r w:rsidRPr="00E5011F">
        <w:rPr>
          <w:rFonts w:ascii="Arial" w:hAnsi="Arial" w:cs="Arial"/>
          <w:kern w:val="0"/>
          <w:sz w:val="20"/>
          <w:szCs w:val="20"/>
          <w:lang w:val="en-GB"/>
        </w:rPr>
        <w:t xml:space="preserve">, </w:t>
      </w:r>
      <w:r>
        <w:rPr>
          <w:rFonts w:ascii="Arial" w:hAnsi="Arial" w:cs="Arial"/>
          <w:kern w:val="0"/>
          <w:sz w:val="20"/>
          <w:szCs w:val="20"/>
          <w:lang w:val="en-GB"/>
        </w:rPr>
        <w:t xml:space="preserve">&amp; </w:t>
      </w:r>
      <w:r w:rsidRPr="00E5011F">
        <w:rPr>
          <w:rFonts w:ascii="Arial" w:hAnsi="Arial" w:cs="Arial"/>
          <w:kern w:val="0"/>
          <w:sz w:val="20"/>
          <w:szCs w:val="20"/>
          <w:lang w:val="en-GB"/>
        </w:rPr>
        <w:t>Kaur Hand Rakshit</w:t>
      </w:r>
      <w:r>
        <w:rPr>
          <w:rFonts w:ascii="Arial" w:hAnsi="Arial" w:cs="Arial"/>
          <w:kern w:val="0"/>
          <w:sz w:val="20"/>
          <w:szCs w:val="20"/>
          <w:lang w:val="en-GB"/>
        </w:rPr>
        <w:t>,</w:t>
      </w:r>
      <w:r w:rsidRPr="00E5011F">
        <w:rPr>
          <w:rFonts w:ascii="Arial" w:hAnsi="Arial" w:cs="Arial"/>
          <w:kern w:val="0"/>
          <w:sz w:val="20"/>
          <w:szCs w:val="20"/>
          <w:lang w:val="en-GB"/>
        </w:rPr>
        <w:t xml:space="preserve"> S. </w:t>
      </w:r>
      <w:r>
        <w:rPr>
          <w:rFonts w:ascii="Arial" w:hAnsi="Arial" w:cs="Arial"/>
          <w:kern w:val="0"/>
          <w:sz w:val="20"/>
          <w:szCs w:val="20"/>
          <w:lang w:val="en-GB"/>
        </w:rPr>
        <w:t>(</w:t>
      </w:r>
      <w:r w:rsidRPr="00E5011F">
        <w:rPr>
          <w:rFonts w:ascii="Arial" w:hAnsi="Arial" w:cs="Arial"/>
          <w:kern w:val="0"/>
          <w:sz w:val="20"/>
          <w:szCs w:val="20"/>
          <w:lang w:val="en-GB"/>
        </w:rPr>
        <w:t>2018</w:t>
      </w:r>
      <w:r>
        <w:rPr>
          <w:rFonts w:ascii="Arial" w:hAnsi="Arial" w:cs="Arial"/>
          <w:kern w:val="0"/>
          <w:sz w:val="20"/>
          <w:szCs w:val="20"/>
          <w:lang w:val="en-GB"/>
        </w:rPr>
        <w:t>)</w:t>
      </w:r>
      <w:r w:rsidRPr="00E5011F">
        <w:rPr>
          <w:rFonts w:ascii="Arial" w:hAnsi="Arial" w:cs="Arial"/>
          <w:kern w:val="0"/>
          <w:sz w:val="20"/>
          <w:szCs w:val="20"/>
          <w:lang w:val="en-GB"/>
        </w:rPr>
        <w:t>. Mass Screening Techniques for Resistance to Maize Diseases. ICAR-Indian Institute of Maize Research, PAU Campus: Ludhiana, India</w:t>
      </w:r>
      <w:r>
        <w:rPr>
          <w:rFonts w:ascii="Arial" w:hAnsi="Arial" w:cs="Arial"/>
          <w:kern w:val="0"/>
          <w:sz w:val="20"/>
          <w:szCs w:val="20"/>
          <w:lang w:val="en-GB"/>
        </w:rPr>
        <w:t>.</w:t>
      </w:r>
    </w:p>
    <w:p w14:paraId="32798A25" w14:textId="77777777" w:rsidR="00715B75" w:rsidRPr="00B80F76" w:rsidRDefault="00715B75" w:rsidP="00715B75">
      <w:pPr>
        <w:spacing w:after="240" w:line="276" w:lineRule="auto"/>
        <w:ind w:left="450" w:hanging="450"/>
        <w:jc w:val="both"/>
        <w:rPr>
          <w:rFonts w:ascii="Arial" w:hAnsi="Arial" w:cs="Arial"/>
          <w:sz w:val="20"/>
          <w:szCs w:val="20"/>
          <w:lang w:val="pt-BR"/>
        </w:rPr>
      </w:pPr>
      <w:r w:rsidRPr="00E5011F">
        <w:rPr>
          <w:rFonts w:ascii="Arial" w:hAnsi="Arial" w:cs="Arial"/>
          <w:sz w:val="20"/>
          <w:szCs w:val="20"/>
        </w:rPr>
        <w:t xml:space="preserve">HPDOA. </w:t>
      </w:r>
      <w:r>
        <w:rPr>
          <w:rFonts w:ascii="Arial" w:hAnsi="Arial" w:cs="Arial"/>
          <w:sz w:val="20"/>
          <w:szCs w:val="20"/>
        </w:rPr>
        <w:t>(</w:t>
      </w:r>
      <w:r w:rsidRPr="00E5011F">
        <w:rPr>
          <w:rFonts w:ascii="Arial" w:hAnsi="Arial" w:cs="Arial"/>
          <w:sz w:val="20"/>
          <w:szCs w:val="20"/>
        </w:rPr>
        <w:t>2022</w:t>
      </w:r>
      <w:r>
        <w:rPr>
          <w:rFonts w:ascii="Arial" w:hAnsi="Arial" w:cs="Arial"/>
          <w:sz w:val="20"/>
          <w:szCs w:val="20"/>
        </w:rPr>
        <w:t>)</w:t>
      </w:r>
      <w:r w:rsidRPr="00E5011F">
        <w:rPr>
          <w:rFonts w:ascii="Arial" w:hAnsi="Arial" w:cs="Arial"/>
          <w:sz w:val="20"/>
          <w:szCs w:val="20"/>
        </w:rPr>
        <w:t xml:space="preserve">. Area and Production under crops. </w:t>
      </w:r>
      <w:hyperlink r:id="rId9" w:history="1">
        <w:r w:rsidRPr="00B80F76">
          <w:rPr>
            <w:rStyle w:val="Hyperlink"/>
            <w:rFonts w:ascii="Arial" w:hAnsi="Arial" w:cs="Arial"/>
            <w:sz w:val="20"/>
            <w:szCs w:val="20"/>
            <w:lang w:val="pt-BR"/>
          </w:rPr>
          <w:t>https://agriculture.hp.gov.in</w:t>
        </w:r>
      </w:hyperlink>
      <w:r w:rsidRPr="00B80F76">
        <w:rPr>
          <w:rFonts w:ascii="Arial" w:hAnsi="Arial" w:cs="Arial"/>
          <w:sz w:val="20"/>
          <w:szCs w:val="20"/>
          <w:lang w:val="pt-BR"/>
        </w:rPr>
        <w:t>.</w:t>
      </w:r>
    </w:p>
    <w:p w14:paraId="180AC10E" w14:textId="77777777" w:rsidR="00B80F76" w:rsidRDefault="00B80F76" w:rsidP="00B80F76">
      <w:pPr>
        <w:jc w:val="both"/>
        <w:rPr>
          <w:rFonts w:ascii="Arial" w:eastAsia="Times New Roman" w:hAnsi="Arial" w:cs="Arial"/>
          <w:sz w:val="18"/>
          <w:szCs w:val="18"/>
        </w:rPr>
      </w:pPr>
      <w:r w:rsidRPr="00B80F76">
        <w:rPr>
          <w:rFonts w:ascii="Arial" w:eastAsia="Times New Roman" w:hAnsi="Arial" w:cs="Arial"/>
          <w:sz w:val="18"/>
          <w:szCs w:val="18"/>
          <w:lang w:val="pt-BR"/>
        </w:rPr>
        <w:t xml:space="preserve">Manzar, N., Kashyap, A. S., Maurya, A., Rajawat, M. V. S., Sharma, P. K., Srivastava, A. K., Roy, M., Saxena, A. K., &amp; Singh, H. V. (2022). </w:t>
      </w:r>
      <w:r>
        <w:rPr>
          <w:rFonts w:ascii="Arial" w:eastAsia="Times New Roman" w:hAnsi="Arial" w:cs="Arial"/>
          <w:sz w:val="18"/>
          <w:szCs w:val="18"/>
        </w:rPr>
        <w:t>Multi-gene phylogenetic approach for identification and diversity analysis of Bipolaris maydis and Curvularia lunata isolates causing foliar blight of Zea mays. Journal of Fungi, 8(8), 802. https://doi.org/10.3390/jof8080802</w:t>
      </w:r>
    </w:p>
    <w:p w14:paraId="39C87BD7" w14:textId="77777777" w:rsidR="00B80F76" w:rsidRDefault="00B80F76" w:rsidP="00B80F76">
      <w:pPr>
        <w:jc w:val="both"/>
        <w:rPr>
          <w:rFonts w:ascii="Arial" w:eastAsia="Times New Roman" w:hAnsi="Arial" w:cs="Arial"/>
          <w:sz w:val="18"/>
          <w:szCs w:val="18"/>
        </w:rPr>
      </w:pPr>
      <w:r>
        <w:rPr>
          <w:rFonts w:ascii="Arial" w:eastAsia="Times New Roman" w:hAnsi="Arial" w:cs="Arial"/>
          <w:sz w:val="18"/>
          <w:szCs w:val="18"/>
        </w:rPr>
        <w:t>Nasrin, Z., Ferdousy, Z. A., Sarker, B. C., Sultana, S., Adhikary, S. K., &amp; Mondal, C. (2017). Effect of subculturing and culture age on sporulation and morphological characteristics of Bipolaris sorokiniana. Khulna University Studies, Life Science, 14, 59-70. https://doi.org/10.53808/KUS.2017.14.1and2.1627-L</w:t>
      </w:r>
    </w:p>
    <w:p w14:paraId="3A0BD9C7" w14:textId="77777777" w:rsidR="00B80F76" w:rsidRDefault="00B80F76" w:rsidP="00B80F76">
      <w:pPr>
        <w:jc w:val="both"/>
        <w:rPr>
          <w:rFonts w:ascii="Arial" w:eastAsia="Times New Roman" w:hAnsi="Arial" w:cs="Arial"/>
          <w:sz w:val="18"/>
          <w:szCs w:val="18"/>
        </w:rPr>
      </w:pPr>
      <w:r w:rsidRPr="00B80F76">
        <w:rPr>
          <w:rFonts w:ascii="Arial" w:eastAsia="Times New Roman" w:hAnsi="Arial" w:cs="Arial"/>
          <w:sz w:val="18"/>
          <w:szCs w:val="18"/>
        </w:rPr>
        <w:t xml:space="preserve">Sennoi, R., Singkham, N., Jogloy, S., Boonlue, S., Saksirirat, W., Kesmala, T., &amp; Patanothai, A. (2013). </w:t>
      </w:r>
      <w:r>
        <w:rPr>
          <w:rFonts w:ascii="Arial" w:eastAsia="Times New Roman" w:hAnsi="Arial" w:cs="Arial"/>
          <w:sz w:val="18"/>
          <w:szCs w:val="18"/>
        </w:rPr>
        <w:t>Biological control of southern stem rot caused by Sclerotium rolfsii using Trichoderma harzianum and arbuscular mycorrhizal fungi on Jerusalem artichoke (Helianthus tuberosus L.). Crop Protection, 54, 148-153. https://doi.org/10.1016/j.cropro.2013.08.011</w:t>
      </w:r>
    </w:p>
    <w:p w14:paraId="14182A70" w14:textId="77777777" w:rsidR="00B80F76" w:rsidRDefault="00B80F76" w:rsidP="00B80F76">
      <w:pPr>
        <w:jc w:val="both"/>
        <w:rPr>
          <w:rFonts w:ascii="Arial" w:eastAsia="Times New Roman" w:hAnsi="Arial" w:cs="Arial"/>
          <w:sz w:val="18"/>
          <w:szCs w:val="18"/>
        </w:rPr>
      </w:pPr>
      <w:r>
        <w:rPr>
          <w:rFonts w:ascii="Arial" w:eastAsia="Times New Roman" w:hAnsi="Arial" w:cs="Arial"/>
          <w:sz w:val="18"/>
          <w:szCs w:val="18"/>
        </w:rPr>
        <w:t>Shah, J. A., Ramzan, U., Naseer, S., Khalid, M. N., Amjad, I., Majeed, T., Sabir, W., Shaheen, M. K., Ali, B., Shahmim, F., &amp; Nazeer, S. (2023). Chemical control of southern leaf blight of maize caused by Helminthosporium maydis. Biological and Clinical Sciences Research Journal, 2023(1), 225. https://doi.org/10.54112/bcsrj.v2023i1.225</w:t>
      </w:r>
    </w:p>
    <w:p w14:paraId="11B84603" w14:textId="6361264F" w:rsidR="00715B75" w:rsidRPr="00E5011F" w:rsidRDefault="00715B75" w:rsidP="00715B75">
      <w:pPr>
        <w:spacing w:line="276" w:lineRule="auto"/>
        <w:ind w:left="450" w:hanging="450"/>
        <w:jc w:val="both"/>
        <w:rPr>
          <w:rFonts w:ascii="Arial" w:hAnsi="Arial" w:cs="Arial"/>
          <w:sz w:val="20"/>
          <w:szCs w:val="20"/>
        </w:rPr>
      </w:pPr>
      <w:r w:rsidRPr="00E5011F">
        <w:rPr>
          <w:rFonts w:ascii="Arial" w:hAnsi="Arial" w:cs="Arial"/>
          <w:sz w:val="20"/>
          <w:szCs w:val="20"/>
        </w:rPr>
        <w:t>Shah</w:t>
      </w:r>
      <w:r>
        <w:rPr>
          <w:rFonts w:ascii="Arial" w:hAnsi="Arial" w:cs="Arial"/>
          <w:sz w:val="20"/>
          <w:szCs w:val="20"/>
        </w:rPr>
        <w:t>,</w:t>
      </w:r>
      <w:r w:rsidRPr="00E5011F">
        <w:rPr>
          <w:rFonts w:ascii="Arial" w:hAnsi="Arial" w:cs="Arial"/>
          <w:sz w:val="20"/>
          <w:szCs w:val="20"/>
        </w:rPr>
        <w:t xml:space="preserve"> W</w:t>
      </w:r>
      <w:r>
        <w:rPr>
          <w:rFonts w:ascii="Arial" w:hAnsi="Arial" w:cs="Arial"/>
          <w:sz w:val="20"/>
          <w:szCs w:val="20"/>
        </w:rPr>
        <w:t xml:space="preserve">. </w:t>
      </w:r>
      <w:r w:rsidRPr="00E5011F">
        <w:rPr>
          <w:rFonts w:ascii="Arial" w:hAnsi="Arial" w:cs="Arial"/>
          <w:sz w:val="20"/>
          <w:szCs w:val="20"/>
        </w:rPr>
        <w:t>U</w:t>
      </w:r>
      <w:r>
        <w:rPr>
          <w:rFonts w:ascii="Arial" w:hAnsi="Arial" w:cs="Arial"/>
          <w:sz w:val="20"/>
          <w:szCs w:val="20"/>
        </w:rPr>
        <w:t>.</w:t>
      </w:r>
      <w:r w:rsidRPr="00E5011F">
        <w:rPr>
          <w:rFonts w:ascii="Arial" w:hAnsi="Arial" w:cs="Arial"/>
          <w:sz w:val="20"/>
          <w:szCs w:val="20"/>
        </w:rPr>
        <w:t>, Naeem</w:t>
      </w:r>
      <w:r>
        <w:rPr>
          <w:rFonts w:ascii="Arial" w:hAnsi="Arial" w:cs="Arial"/>
          <w:sz w:val="20"/>
          <w:szCs w:val="20"/>
        </w:rPr>
        <w:t>,</w:t>
      </w:r>
      <w:r w:rsidRPr="00E5011F">
        <w:rPr>
          <w:rFonts w:ascii="Arial" w:hAnsi="Arial" w:cs="Arial"/>
          <w:sz w:val="20"/>
          <w:szCs w:val="20"/>
        </w:rPr>
        <w:t xml:space="preserve"> A</w:t>
      </w:r>
      <w:r>
        <w:rPr>
          <w:rFonts w:ascii="Arial" w:hAnsi="Arial" w:cs="Arial"/>
          <w:sz w:val="20"/>
          <w:szCs w:val="20"/>
        </w:rPr>
        <w:t>.</w:t>
      </w:r>
      <w:r w:rsidRPr="00E5011F">
        <w:rPr>
          <w:rFonts w:ascii="Arial" w:hAnsi="Arial" w:cs="Arial"/>
          <w:sz w:val="20"/>
          <w:szCs w:val="20"/>
        </w:rPr>
        <w:t>, Adnan</w:t>
      </w:r>
      <w:r>
        <w:rPr>
          <w:rFonts w:ascii="Arial" w:hAnsi="Arial" w:cs="Arial"/>
          <w:sz w:val="20"/>
          <w:szCs w:val="20"/>
        </w:rPr>
        <w:t>,</w:t>
      </w:r>
      <w:r w:rsidRPr="00E5011F">
        <w:rPr>
          <w:rFonts w:ascii="Arial" w:hAnsi="Arial" w:cs="Arial"/>
          <w:sz w:val="20"/>
          <w:szCs w:val="20"/>
        </w:rPr>
        <w:t xml:space="preserve"> M</w:t>
      </w:r>
      <w:r>
        <w:rPr>
          <w:rFonts w:ascii="Arial" w:hAnsi="Arial" w:cs="Arial"/>
          <w:sz w:val="20"/>
          <w:szCs w:val="20"/>
        </w:rPr>
        <w:t>.</w:t>
      </w:r>
      <w:r w:rsidRPr="00E5011F">
        <w:rPr>
          <w:rFonts w:ascii="Arial" w:hAnsi="Arial" w:cs="Arial"/>
          <w:sz w:val="20"/>
          <w:szCs w:val="20"/>
        </w:rPr>
        <w:t>, Junaid</w:t>
      </w:r>
      <w:r>
        <w:rPr>
          <w:rFonts w:ascii="Arial" w:hAnsi="Arial" w:cs="Arial"/>
          <w:sz w:val="20"/>
          <w:szCs w:val="20"/>
        </w:rPr>
        <w:t>,</w:t>
      </w:r>
      <w:r w:rsidRPr="00E5011F">
        <w:rPr>
          <w:rFonts w:ascii="Arial" w:hAnsi="Arial" w:cs="Arial"/>
          <w:sz w:val="20"/>
          <w:szCs w:val="20"/>
        </w:rPr>
        <w:t xml:space="preserve"> K</w:t>
      </w:r>
      <w:r>
        <w:rPr>
          <w:rFonts w:ascii="Arial" w:hAnsi="Arial" w:cs="Arial"/>
          <w:sz w:val="20"/>
          <w:szCs w:val="20"/>
        </w:rPr>
        <w:t>.</w:t>
      </w:r>
      <w:r w:rsidRPr="00E5011F">
        <w:rPr>
          <w:rFonts w:ascii="Arial" w:hAnsi="Arial" w:cs="Arial"/>
          <w:sz w:val="20"/>
          <w:szCs w:val="20"/>
        </w:rPr>
        <w:t>, Ali Shah</w:t>
      </w:r>
      <w:r>
        <w:rPr>
          <w:rFonts w:ascii="Arial" w:hAnsi="Arial" w:cs="Arial"/>
          <w:sz w:val="20"/>
          <w:szCs w:val="20"/>
        </w:rPr>
        <w:t>,</w:t>
      </w:r>
      <w:r w:rsidRPr="00E5011F">
        <w:rPr>
          <w:rFonts w:ascii="Arial" w:hAnsi="Arial" w:cs="Arial"/>
          <w:sz w:val="20"/>
          <w:szCs w:val="20"/>
        </w:rPr>
        <w:t xml:space="preserve"> S</w:t>
      </w:r>
      <w:r>
        <w:rPr>
          <w:rFonts w:ascii="Arial" w:hAnsi="Arial" w:cs="Arial"/>
          <w:sz w:val="20"/>
          <w:szCs w:val="20"/>
        </w:rPr>
        <w:t xml:space="preserve">. </w:t>
      </w:r>
      <w:r w:rsidRPr="00E5011F">
        <w:rPr>
          <w:rFonts w:ascii="Arial" w:hAnsi="Arial" w:cs="Arial"/>
          <w:sz w:val="20"/>
          <w:szCs w:val="20"/>
        </w:rPr>
        <w:t>R</w:t>
      </w:r>
      <w:r>
        <w:rPr>
          <w:rFonts w:ascii="Arial" w:hAnsi="Arial" w:cs="Arial"/>
          <w:sz w:val="20"/>
          <w:szCs w:val="20"/>
        </w:rPr>
        <w:t>.,</w:t>
      </w:r>
      <w:r w:rsidRPr="00E5011F">
        <w:rPr>
          <w:rFonts w:ascii="Arial" w:hAnsi="Arial" w:cs="Arial"/>
          <w:sz w:val="20"/>
          <w:szCs w:val="20"/>
        </w:rPr>
        <w:t xml:space="preserve"> </w:t>
      </w:r>
      <w:r>
        <w:rPr>
          <w:rFonts w:ascii="Arial" w:hAnsi="Arial" w:cs="Arial"/>
          <w:sz w:val="20"/>
          <w:szCs w:val="20"/>
        </w:rPr>
        <w:t>&amp;</w:t>
      </w:r>
      <w:r w:rsidRPr="00E5011F">
        <w:rPr>
          <w:rFonts w:ascii="Arial" w:hAnsi="Arial" w:cs="Arial"/>
          <w:sz w:val="20"/>
          <w:szCs w:val="20"/>
        </w:rPr>
        <w:t xml:space="preserve"> Attaullah</w:t>
      </w:r>
      <w:r>
        <w:rPr>
          <w:rFonts w:ascii="Arial" w:hAnsi="Arial" w:cs="Arial"/>
          <w:sz w:val="20"/>
          <w:szCs w:val="20"/>
        </w:rPr>
        <w:t>,</w:t>
      </w:r>
      <w:r w:rsidRPr="00E5011F">
        <w:rPr>
          <w:rFonts w:ascii="Arial" w:hAnsi="Arial" w:cs="Arial"/>
          <w:sz w:val="20"/>
          <w:szCs w:val="20"/>
        </w:rPr>
        <w:t xml:space="preserve"> M</w:t>
      </w:r>
      <w:r>
        <w:rPr>
          <w:rFonts w:ascii="Arial" w:hAnsi="Arial" w:cs="Arial"/>
          <w:sz w:val="20"/>
          <w:szCs w:val="20"/>
        </w:rPr>
        <w:t xml:space="preserve">. </w:t>
      </w:r>
      <w:r w:rsidRPr="00E5011F">
        <w:rPr>
          <w:rFonts w:ascii="Arial" w:hAnsi="Arial" w:cs="Arial"/>
          <w:sz w:val="20"/>
          <w:szCs w:val="20"/>
        </w:rPr>
        <w:t xml:space="preserve">I. </w:t>
      </w:r>
      <w:r>
        <w:rPr>
          <w:rFonts w:ascii="Arial" w:hAnsi="Arial" w:cs="Arial"/>
          <w:sz w:val="20"/>
          <w:szCs w:val="20"/>
        </w:rPr>
        <w:t>(</w:t>
      </w:r>
      <w:r w:rsidRPr="00E5011F">
        <w:rPr>
          <w:rFonts w:ascii="Arial" w:hAnsi="Arial" w:cs="Arial"/>
          <w:sz w:val="20"/>
          <w:szCs w:val="20"/>
        </w:rPr>
        <w:t>2016</w:t>
      </w:r>
      <w:r>
        <w:rPr>
          <w:rFonts w:ascii="Arial" w:hAnsi="Arial" w:cs="Arial"/>
          <w:sz w:val="20"/>
          <w:szCs w:val="20"/>
        </w:rPr>
        <w:t>)</w:t>
      </w:r>
      <w:r w:rsidRPr="00E5011F">
        <w:rPr>
          <w:rFonts w:ascii="Arial" w:hAnsi="Arial" w:cs="Arial"/>
          <w:sz w:val="20"/>
          <w:szCs w:val="20"/>
        </w:rPr>
        <w:t xml:space="preserve">. Study on the response of different maize cultivars to various inoculum levels of </w:t>
      </w:r>
      <w:r w:rsidRPr="00E5011F">
        <w:rPr>
          <w:rFonts w:ascii="Arial" w:hAnsi="Arial" w:cs="Arial"/>
          <w:i/>
          <w:iCs/>
          <w:sz w:val="20"/>
          <w:szCs w:val="20"/>
        </w:rPr>
        <w:t xml:space="preserve">Bipolaris maydis </w:t>
      </w:r>
      <w:r w:rsidRPr="00E5011F">
        <w:rPr>
          <w:rFonts w:ascii="Arial" w:hAnsi="Arial" w:cs="Arial"/>
          <w:sz w:val="20"/>
          <w:szCs w:val="20"/>
        </w:rPr>
        <w:t xml:space="preserve">(Y. Nisik &amp; C. Miyake) Shoemaker under field conditions. </w:t>
      </w:r>
      <w:r w:rsidRPr="00E5011F">
        <w:rPr>
          <w:rFonts w:ascii="Arial" w:hAnsi="Arial" w:cs="Arial"/>
          <w:i/>
          <w:iCs/>
          <w:sz w:val="20"/>
          <w:szCs w:val="20"/>
        </w:rPr>
        <w:t>Journal of Entomology and Zoology Studies</w:t>
      </w:r>
      <w:r>
        <w:rPr>
          <w:rFonts w:ascii="Arial" w:hAnsi="Arial" w:cs="Arial"/>
          <w:i/>
          <w:iCs/>
          <w:sz w:val="20"/>
          <w:szCs w:val="20"/>
        </w:rPr>
        <w:t>,</w:t>
      </w:r>
      <w:r w:rsidRPr="00E5011F">
        <w:rPr>
          <w:rFonts w:ascii="Arial" w:hAnsi="Arial" w:cs="Arial"/>
          <w:i/>
          <w:iCs/>
          <w:sz w:val="20"/>
          <w:szCs w:val="20"/>
        </w:rPr>
        <w:t xml:space="preserve"> </w:t>
      </w:r>
      <w:r w:rsidRPr="00E5011F">
        <w:rPr>
          <w:rFonts w:ascii="Arial" w:hAnsi="Arial" w:cs="Arial"/>
          <w:sz w:val="20"/>
          <w:szCs w:val="20"/>
        </w:rPr>
        <w:t>4(2)</w:t>
      </w:r>
      <w:r>
        <w:rPr>
          <w:rFonts w:ascii="Arial" w:hAnsi="Arial" w:cs="Arial"/>
          <w:sz w:val="20"/>
          <w:szCs w:val="20"/>
        </w:rPr>
        <w:t>,</w:t>
      </w:r>
      <w:r w:rsidRPr="00E5011F">
        <w:rPr>
          <w:rFonts w:ascii="Arial" w:hAnsi="Arial" w:cs="Arial"/>
          <w:sz w:val="20"/>
          <w:szCs w:val="20"/>
        </w:rPr>
        <w:t xml:space="preserve"> 533-537</w:t>
      </w:r>
      <w:r>
        <w:rPr>
          <w:rFonts w:ascii="Arial" w:hAnsi="Arial" w:cs="Arial"/>
          <w:sz w:val="20"/>
          <w:szCs w:val="20"/>
        </w:rPr>
        <w:t>.</w:t>
      </w:r>
      <w:r w:rsidR="00B80F76" w:rsidRPr="00B80F76">
        <w:t xml:space="preserve"> </w:t>
      </w:r>
      <w:hyperlink r:id="rId10" w:history="1">
        <w:r w:rsidR="00B80F76" w:rsidRPr="00F72613">
          <w:rPr>
            <w:rStyle w:val="Hyperlink"/>
            <w:rFonts w:ascii="Arial" w:hAnsi="Arial" w:cs="Arial"/>
            <w:sz w:val="20"/>
            <w:szCs w:val="20"/>
          </w:rPr>
          <w:t>https://www.researchgate.net/profile/Muhammad-Adnan-</w:t>
        </w:r>
        <w:r w:rsidR="00B80F76" w:rsidRPr="00F72613">
          <w:rPr>
            <w:rStyle w:val="Hyperlink"/>
            <w:rFonts w:ascii="Arial" w:hAnsi="Arial" w:cs="Arial"/>
            <w:sz w:val="20"/>
            <w:szCs w:val="20"/>
          </w:rPr>
          <w:lastRenderedPageBreak/>
          <w:t>6/publication/301674167_Study_on_the_response_of_different_maize_cultivars_to_various_inoculum_levels_of_Bipolaris_maydis_Y_Nisik_C_Miyake_shoemaker_under_field_conditions/links/5720cc8208aefa6488a04bcb/Study-on-the-response-of-different-maize-cultivars-to-various-inoculum-levels-of-Bipolaris-maydis-Y-Nisik-C-Miyake-shoemaker-under-field-conditions.pdf</w:t>
        </w:r>
      </w:hyperlink>
      <w:r w:rsidR="00B80F76">
        <w:rPr>
          <w:rFonts w:ascii="Arial" w:hAnsi="Arial" w:cs="Arial"/>
          <w:sz w:val="20"/>
          <w:szCs w:val="20"/>
        </w:rPr>
        <w:t xml:space="preserve"> </w:t>
      </w:r>
    </w:p>
    <w:p w14:paraId="3FA0561E" w14:textId="77777777" w:rsidR="00B80F76" w:rsidRDefault="00B80F76" w:rsidP="00B80F76">
      <w:pPr>
        <w:jc w:val="both"/>
        <w:rPr>
          <w:rFonts w:ascii="Arial" w:eastAsia="Times New Roman" w:hAnsi="Arial" w:cs="Arial"/>
          <w:sz w:val="18"/>
          <w:szCs w:val="18"/>
        </w:rPr>
      </w:pPr>
      <w:r>
        <w:rPr>
          <w:rFonts w:ascii="Arial" w:eastAsia="Times New Roman" w:hAnsi="Arial" w:cs="Arial"/>
          <w:sz w:val="18"/>
          <w:szCs w:val="18"/>
        </w:rPr>
        <w:t>Shekhar, M., &amp; Kumar, S. (2012). Inoculation methods and disease rating scales for maize diseases. ICAR-Directorate of Maize Research, New Delhi.</w:t>
      </w:r>
    </w:p>
    <w:p w14:paraId="1354800E" w14:textId="77777777" w:rsidR="00715B75" w:rsidRPr="00E5011F" w:rsidRDefault="00715B75" w:rsidP="00715B75">
      <w:pPr>
        <w:spacing w:line="276" w:lineRule="auto"/>
        <w:ind w:left="450" w:hanging="450"/>
        <w:jc w:val="both"/>
        <w:rPr>
          <w:rFonts w:ascii="Arial" w:hAnsi="Arial" w:cs="Arial"/>
          <w:sz w:val="20"/>
          <w:szCs w:val="20"/>
        </w:rPr>
      </w:pPr>
      <w:r w:rsidRPr="00E5011F">
        <w:rPr>
          <w:rFonts w:ascii="Arial" w:hAnsi="Arial" w:cs="Arial"/>
          <w:sz w:val="20"/>
          <w:szCs w:val="20"/>
        </w:rPr>
        <w:t>Sheoran</w:t>
      </w:r>
      <w:r>
        <w:rPr>
          <w:rFonts w:ascii="Arial" w:hAnsi="Arial" w:cs="Arial"/>
          <w:sz w:val="20"/>
          <w:szCs w:val="20"/>
        </w:rPr>
        <w:t>,</w:t>
      </w:r>
      <w:r w:rsidRPr="00E5011F">
        <w:rPr>
          <w:rFonts w:ascii="Arial" w:hAnsi="Arial" w:cs="Arial"/>
          <w:sz w:val="20"/>
          <w:szCs w:val="20"/>
        </w:rPr>
        <w:t xml:space="preserve"> O</w:t>
      </w:r>
      <w:r>
        <w:rPr>
          <w:rFonts w:ascii="Arial" w:hAnsi="Arial" w:cs="Arial"/>
          <w:sz w:val="20"/>
          <w:szCs w:val="20"/>
        </w:rPr>
        <w:t xml:space="preserve">. </w:t>
      </w:r>
      <w:r w:rsidRPr="00E5011F">
        <w:rPr>
          <w:rFonts w:ascii="Arial" w:hAnsi="Arial" w:cs="Arial"/>
          <w:sz w:val="20"/>
          <w:szCs w:val="20"/>
        </w:rPr>
        <w:t>P</w:t>
      </w:r>
      <w:r>
        <w:rPr>
          <w:rFonts w:ascii="Arial" w:hAnsi="Arial" w:cs="Arial"/>
          <w:sz w:val="20"/>
          <w:szCs w:val="20"/>
        </w:rPr>
        <w:t>.</w:t>
      </w:r>
      <w:r w:rsidRPr="00E5011F">
        <w:rPr>
          <w:rFonts w:ascii="Arial" w:hAnsi="Arial" w:cs="Arial"/>
          <w:sz w:val="20"/>
          <w:szCs w:val="20"/>
        </w:rPr>
        <w:t>, Tonk</w:t>
      </w:r>
      <w:r>
        <w:rPr>
          <w:rFonts w:ascii="Arial" w:hAnsi="Arial" w:cs="Arial"/>
          <w:sz w:val="20"/>
          <w:szCs w:val="20"/>
        </w:rPr>
        <w:t>,</w:t>
      </w:r>
      <w:r w:rsidRPr="00E5011F">
        <w:rPr>
          <w:rFonts w:ascii="Arial" w:hAnsi="Arial" w:cs="Arial"/>
          <w:sz w:val="20"/>
          <w:szCs w:val="20"/>
        </w:rPr>
        <w:t xml:space="preserve"> D</w:t>
      </w:r>
      <w:r>
        <w:rPr>
          <w:rFonts w:ascii="Arial" w:hAnsi="Arial" w:cs="Arial"/>
          <w:sz w:val="20"/>
          <w:szCs w:val="20"/>
        </w:rPr>
        <w:t xml:space="preserve">. </w:t>
      </w:r>
      <w:r w:rsidRPr="00E5011F">
        <w:rPr>
          <w:rFonts w:ascii="Arial" w:hAnsi="Arial" w:cs="Arial"/>
          <w:sz w:val="20"/>
          <w:szCs w:val="20"/>
        </w:rPr>
        <w:t>S</w:t>
      </w:r>
      <w:r>
        <w:rPr>
          <w:rFonts w:ascii="Arial" w:hAnsi="Arial" w:cs="Arial"/>
          <w:sz w:val="20"/>
          <w:szCs w:val="20"/>
        </w:rPr>
        <w:t>.</w:t>
      </w:r>
      <w:r w:rsidRPr="00E5011F">
        <w:rPr>
          <w:rFonts w:ascii="Arial" w:hAnsi="Arial" w:cs="Arial"/>
          <w:sz w:val="20"/>
          <w:szCs w:val="20"/>
        </w:rPr>
        <w:t>, Kaushik</w:t>
      </w:r>
      <w:r>
        <w:rPr>
          <w:rFonts w:ascii="Arial" w:hAnsi="Arial" w:cs="Arial"/>
          <w:sz w:val="20"/>
          <w:szCs w:val="20"/>
        </w:rPr>
        <w:t>,</w:t>
      </w:r>
      <w:r w:rsidRPr="00E5011F">
        <w:rPr>
          <w:rFonts w:ascii="Arial" w:hAnsi="Arial" w:cs="Arial"/>
          <w:sz w:val="20"/>
          <w:szCs w:val="20"/>
        </w:rPr>
        <w:t xml:space="preserve"> L</w:t>
      </w:r>
      <w:r>
        <w:rPr>
          <w:rFonts w:ascii="Arial" w:hAnsi="Arial" w:cs="Arial"/>
          <w:sz w:val="20"/>
          <w:szCs w:val="20"/>
        </w:rPr>
        <w:t xml:space="preserve">. </w:t>
      </w:r>
      <w:r w:rsidRPr="00E5011F">
        <w:rPr>
          <w:rFonts w:ascii="Arial" w:hAnsi="Arial" w:cs="Arial"/>
          <w:sz w:val="20"/>
          <w:szCs w:val="20"/>
        </w:rPr>
        <w:t>S</w:t>
      </w:r>
      <w:r>
        <w:rPr>
          <w:rFonts w:ascii="Arial" w:hAnsi="Arial" w:cs="Arial"/>
          <w:sz w:val="20"/>
          <w:szCs w:val="20"/>
        </w:rPr>
        <w:t>.</w:t>
      </w:r>
      <w:r w:rsidRPr="00E5011F">
        <w:rPr>
          <w:rFonts w:ascii="Arial" w:hAnsi="Arial" w:cs="Arial"/>
          <w:sz w:val="20"/>
          <w:szCs w:val="20"/>
        </w:rPr>
        <w:t>, Hasija</w:t>
      </w:r>
      <w:r>
        <w:rPr>
          <w:rFonts w:ascii="Arial" w:hAnsi="Arial" w:cs="Arial"/>
          <w:sz w:val="20"/>
          <w:szCs w:val="20"/>
        </w:rPr>
        <w:t>,</w:t>
      </w:r>
      <w:r w:rsidRPr="00E5011F">
        <w:rPr>
          <w:rFonts w:ascii="Arial" w:hAnsi="Arial" w:cs="Arial"/>
          <w:sz w:val="20"/>
          <w:szCs w:val="20"/>
        </w:rPr>
        <w:t xml:space="preserve"> R</w:t>
      </w:r>
      <w:r>
        <w:rPr>
          <w:rFonts w:ascii="Arial" w:hAnsi="Arial" w:cs="Arial"/>
          <w:sz w:val="20"/>
          <w:szCs w:val="20"/>
        </w:rPr>
        <w:t xml:space="preserve">. </w:t>
      </w:r>
      <w:r w:rsidRPr="00E5011F">
        <w:rPr>
          <w:rFonts w:ascii="Arial" w:hAnsi="Arial" w:cs="Arial"/>
          <w:sz w:val="20"/>
          <w:szCs w:val="20"/>
        </w:rPr>
        <w:t>C</w:t>
      </w:r>
      <w:r>
        <w:rPr>
          <w:rFonts w:ascii="Arial" w:hAnsi="Arial" w:cs="Arial"/>
          <w:sz w:val="20"/>
          <w:szCs w:val="20"/>
        </w:rPr>
        <w:t>.,</w:t>
      </w:r>
      <w:r w:rsidRPr="00E5011F">
        <w:rPr>
          <w:rFonts w:ascii="Arial" w:hAnsi="Arial" w:cs="Arial"/>
          <w:sz w:val="20"/>
          <w:szCs w:val="20"/>
        </w:rPr>
        <w:t xml:space="preserve"> </w:t>
      </w:r>
      <w:r>
        <w:rPr>
          <w:rFonts w:ascii="Arial" w:hAnsi="Arial" w:cs="Arial"/>
          <w:sz w:val="20"/>
          <w:szCs w:val="20"/>
        </w:rPr>
        <w:t>&amp;</w:t>
      </w:r>
      <w:r w:rsidRPr="00E5011F">
        <w:rPr>
          <w:rFonts w:ascii="Arial" w:hAnsi="Arial" w:cs="Arial"/>
          <w:sz w:val="20"/>
          <w:szCs w:val="20"/>
        </w:rPr>
        <w:t xml:space="preserve"> Pannu</w:t>
      </w:r>
      <w:r>
        <w:rPr>
          <w:rFonts w:ascii="Arial" w:hAnsi="Arial" w:cs="Arial"/>
          <w:sz w:val="20"/>
          <w:szCs w:val="20"/>
        </w:rPr>
        <w:t>,</w:t>
      </w:r>
      <w:r w:rsidRPr="00E5011F">
        <w:rPr>
          <w:rFonts w:ascii="Arial" w:hAnsi="Arial" w:cs="Arial"/>
          <w:sz w:val="20"/>
          <w:szCs w:val="20"/>
        </w:rPr>
        <w:t xml:space="preserve"> R</w:t>
      </w:r>
      <w:r>
        <w:rPr>
          <w:rFonts w:ascii="Arial" w:hAnsi="Arial" w:cs="Arial"/>
          <w:sz w:val="20"/>
          <w:szCs w:val="20"/>
        </w:rPr>
        <w:t xml:space="preserve">. </w:t>
      </w:r>
      <w:r w:rsidRPr="00E5011F">
        <w:rPr>
          <w:rFonts w:ascii="Arial" w:hAnsi="Arial" w:cs="Arial"/>
          <w:sz w:val="20"/>
          <w:szCs w:val="20"/>
        </w:rPr>
        <w:t xml:space="preserve">S. </w:t>
      </w:r>
      <w:r>
        <w:rPr>
          <w:rFonts w:ascii="Arial" w:hAnsi="Arial" w:cs="Arial"/>
          <w:sz w:val="20"/>
          <w:szCs w:val="20"/>
        </w:rPr>
        <w:t>(</w:t>
      </w:r>
      <w:r w:rsidRPr="00E5011F">
        <w:rPr>
          <w:rFonts w:ascii="Arial" w:hAnsi="Arial" w:cs="Arial"/>
          <w:sz w:val="20"/>
          <w:szCs w:val="20"/>
        </w:rPr>
        <w:t>1998</w:t>
      </w:r>
      <w:r>
        <w:rPr>
          <w:rFonts w:ascii="Arial" w:hAnsi="Arial" w:cs="Arial"/>
          <w:sz w:val="20"/>
          <w:szCs w:val="20"/>
        </w:rPr>
        <w:t>)</w:t>
      </w:r>
      <w:r w:rsidRPr="00E5011F">
        <w:rPr>
          <w:rFonts w:ascii="Arial" w:hAnsi="Arial" w:cs="Arial"/>
          <w:sz w:val="20"/>
          <w:szCs w:val="20"/>
        </w:rPr>
        <w:t>. Statistical software package for agricultural research workers. Recent Advances in Information Theory, Statistics and Computer Applications by Hooda DS and Hasija RC. Department of Mathematics Statistics, CCS HAU, Hisar. pp 139-143</w:t>
      </w:r>
      <w:r>
        <w:rPr>
          <w:rFonts w:ascii="Arial" w:hAnsi="Arial" w:cs="Arial"/>
          <w:sz w:val="20"/>
          <w:szCs w:val="20"/>
        </w:rPr>
        <w:t>.</w:t>
      </w:r>
    </w:p>
    <w:p w14:paraId="2BC15DF2" w14:textId="77777777" w:rsidR="00715B75" w:rsidRPr="00E5011F" w:rsidRDefault="00715B75" w:rsidP="00715B75">
      <w:pPr>
        <w:spacing w:line="276" w:lineRule="auto"/>
        <w:ind w:left="450" w:hanging="450"/>
        <w:jc w:val="both"/>
        <w:rPr>
          <w:rFonts w:ascii="Arial" w:hAnsi="Arial" w:cs="Arial"/>
          <w:sz w:val="20"/>
          <w:szCs w:val="20"/>
        </w:rPr>
      </w:pPr>
      <w:r w:rsidRPr="00E5011F">
        <w:rPr>
          <w:rFonts w:ascii="Arial" w:hAnsi="Arial" w:cs="Arial"/>
          <w:sz w:val="20"/>
          <w:szCs w:val="20"/>
        </w:rPr>
        <w:t>Singh</w:t>
      </w:r>
      <w:r>
        <w:rPr>
          <w:rFonts w:ascii="Arial" w:hAnsi="Arial" w:cs="Arial"/>
          <w:sz w:val="20"/>
          <w:szCs w:val="20"/>
        </w:rPr>
        <w:t>,</w:t>
      </w:r>
      <w:r w:rsidRPr="00E5011F">
        <w:rPr>
          <w:rFonts w:ascii="Arial" w:hAnsi="Arial" w:cs="Arial"/>
          <w:sz w:val="20"/>
          <w:szCs w:val="20"/>
        </w:rPr>
        <w:t xml:space="preserve"> R</w:t>
      </w:r>
      <w:r>
        <w:rPr>
          <w:rFonts w:ascii="Arial" w:hAnsi="Arial" w:cs="Arial"/>
          <w:sz w:val="20"/>
          <w:szCs w:val="20"/>
        </w:rPr>
        <w:t>.,</w:t>
      </w:r>
      <w:r w:rsidRPr="00E5011F">
        <w:rPr>
          <w:rFonts w:ascii="Arial" w:hAnsi="Arial" w:cs="Arial"/>
          <w:sz w:val="20"/>
          <w:szCs w:val="20"/>
        </w:rPr>
        <w:t xml:space="preserve"> </w:t>
      </w:r>
      <w:r>
        <w:rPr>
          <w:rFonts w:ascii="Arial" w:hAnsi="Arial" w:cs="Arial"/>
          <w:sz w:val="20"/>
          <w:szCs w:val="20"/>
        </w:rPr>
        <w:t>&amp;</w:t>
      </w:r>
      <w:r w:rsidRPr="00E5011F">
        <w:rPr>
          <w:rFonts w:ascii="Arial" w:hAnsi="Arial" w:cs="Arial"/>
          <w:sz w:val="20"/>
          <w:szCs w:val="20"/>
        </w:rPr>
        <w:t xml:space="preserve"> Srivastava</w:t>
      </w:r>
      <w:r>
        <w:rPr>
          <w:rFonts w:ascii="Arial" w:hAnsi="Arial" w:cs="Arial"/>
          <w:sz w:val="20"/>
          <w:szCs w:val="20"/>
        </w:rPr>
        <w:t>,</w:t>
      </w:r>
      <w:r w:rsidRPr="00E5011F">
        <w:rPr>
          <w:rFonts w:ascii="Arial" w:hAnsi="Arial" w:cs="Arial"/>
          <w:sz w:val="20"/>
          <w:szCs w:val="20"/>
        </w:rPr>
        <w:t xml:space="preserve"> R</w:t>
      </w:r>
      <w:r>
        <w:rPr>
          <w:rFonts w:ascii="Arial" w:hAnsi="Arial" w:cs="Arial"/>
          <w:sz w:val="20"/>
          <w:szCs w:val="20"/>
        </w:rPr>
        <w:t xml:space="preserve">. </w:t>
      </w:r>
      <w:r w:rsidRPr="00E5011F">
        <w:rPr>
          <w:rFonts w:ascii="Arial" w:hAnsi="Arial" w:cs="Arial"/>
          <w:sz w:val="20"/>
          <w:szCs w:val="20"/>
        </w:rPr>
        <w:t xml:space="preserve">P. </w:t>
      </w:r>
      <w:r>
        <w:rPr>
          <w:rFonts w:ascii="Arial" w:hAnsi="Arial" w:cs="Arial"/>
          <w:sz w:val="20"/>
          <w:szCs w:val="20"/>
        </w:rPr>
        <w:t>(</w:t>
      </w:r>
      <w:r w:rsidRPr="00E5011F">
        <w:rPr>
          <w:rFonts w:ascii="Arial" w:hAnsi="Arial" w:cs="Arial"/>
          <w:sz w:val="20"/>
          <w:szCs w:val="20"/>
        </w:rPr>
        <w:t>2012</w:t>
      </w:r>
      <w:r>
        <w:rPr>
          <w:rFonts w:ascii="Arial" w:hAnsi="Arial" w:cs="Arial"/>
          <w:sz w:val="20"/>
          <w:szCs w:val="20"/>
        </w:rPr>
        <w:t>)</w:t>
      </w:r>
      <w:r w:rsidRPr="00E5011F">
        <w:rPr>
          <w:rFonts w:ascii="Arial" w:hAnsi="Arial" w:cs="Arial"/>
          <w:sz w:val="20"/>
          <w:szCs w:val="20"/>
        </w:rPr>
        <w:t xml:space="preserve">. Southern corn leaf blight- an important disease of maize: an extension fact sheet. </w:t>
      </w:r>
      <w:r w:rsidRPr="00E5011F">
        <w:rPr>
          <w:rFonts w:ascii="Arial" w:hAnsi="Arial" w:cs="Arial"/>
          <w:i/>
          <w:iCs/>
          <w:sz w:val="20"/>
          <w:szCs w:val="20"/>
        </w:rPr>
        <w:t>Indian Research Journal of Extension Education</w:t>
      </w:r>
      <w:r>
        <w:rPr>
          <w:rFonts w:ascii="Arial" w:hAnsi="Arial" w:cs="Arial"/>
          <w:i/>
          <w:iCs/>
          <w:sz w:val="20"/>
          <w:szCs w:val="20"/>
        </w:rPr>
        <w:t>,</w:t>
      </w:r>
      <w:r w:rsidRPr="00E5011F">
        <w:rPr>
          <w:rFonts w:ascii="Arial" w:hAnsi="Arial" w:cs="Arial"/>
          <w:sz w:val="20"/>
          <w:szCs w:val="20"/>
        </w:rPr>
        <w:t xml:space="preserve"> 1</w:t>
      </w:r>
      <w:r>
        <w:rPr>
          <w:rFonts w:ascii="Arial" w:hAnsi="Arial" w:cs="Arial"/>
          <w:sz w:val="20"/>
          <w:szCs w:val="20"/>
        </w:rPr>
        <w:t>,</w:t>
      </w:r>
      <w:r w:rsidRPr="00E5011F">
        <w:rPr>
          <w:rFonts w:ascii="Arial" w:hAnsi="Arial" w:cs="Arial"/>
          <w:sz w:val="20"/>
          <w:szCs w:val="20"/>
        </w:rPr>
        <w:t xml:space="preserve"> 334-337</w:t>
      </w:r>
      <w:r>
        <w:rPr>
          <w:rFonts w:ascii="Arial" w:hAnsi="Arial" w:cs="Arial"/>
          <w:sz w:val="20"/>
          <w:szCs w:val="20"/>
        </w:rPr>
        <w:t>.</w:t>
      </w:r>
    </w:p>
    <w:p w14:paraId="1F4CD513" w14:textId="77777777" w:rsidR="00B80F76" w:rsidRDefault="00B80F76" w:rsidP="00B80F76">
      <w:pPr>
        <w:jc w:val="both"/>
        <w:rPr>
          <w:rFonts w:ascii="Arial" w:eastAsia="Times New Roman" w:hAnsi="Arial" w:cs="Arial"/>
          <w:sz w:val="18"/>
          <w:szCs w:val="18"/>
        </w:rPr>
      </w:pPr>
      <w:r>
        <w:rPr>
          <w:rFonts w:ascii="Arial" w:eastAsia="Times New Roman" w:hAnsi="Arial" w:cs="Arial"/>
          <w:sz w:val="18"/>
          <w:szCs w:val="18"/>
        </w:rPr>
        <w:t>Thakur, A., &amp; Banyal, D. K. (2022). Physiological studies on Stemphylium vesicarium causing Stemphylium blight of onion. Himachal Journal of Agricultural Research, 48(1), 71-79. https://www.hjar.org/index.php/hjar/article/view/172123</w:t>
      </w:r>
    </w:p>
    <w:p w14:paraId="125E2C79" w14:textId="77777777" w:rsidR="00B80F76" w:rsidRDefault="00B80F76" w:rsidP="00B80F76">
      <w:pPr>
        <w:jc w:val="both"/>
        <w:rPr>
          <w:rFonts w:ascii="Arial" w:eastAsia="Times New Roman" w:hAnsi="Arial" w:cs="Arial"/>
          <w:sz w:val="18"/>
          <w:szCs w:val="18"/>
        </w:rPr>
      </w:pPr>
      <w:r>
        <w:rPr>
          <w:rFonts w:ascii="Arial" w:eastAsia="Times New Roman" w:hAnsi="Arial" w:cs="Arial"/>
          <w:sz w:val="18"/>
          <w:szCs w:val="18"/>
        </w:rPr>
        <w:t>Van der Plank, J. E. (1963). Plant Diseases: Epidemics and Control. Academic Press. https://www.elsevier.com/books/plant-diseases/van-der-plank/978-1-4832-6213-0</w:t>
      </w:r>
    </w:p>
    <w:p w14:paraId="79034599" w14:textId="77777777" w:rsidR="00B80F76" w:rsidRDefault="00B80F76" w:rsidP="00B80F76">
      <w:pPr>
        <w:jc w:val="both"/>
        <w:rPr>
          <w:rFonts w:ascii="Arial" w:eastAsia="Times New Roman" w:hAnsi="Arial" w:cs="Arial"/>
          <w:sz w:val="18"/>
          <w:szCs w:val="18"/>
        </w:rPr>
      </w:pPr>
      <w:r>
        <w:rPr>
          <w:rFonts w:ascii="Arial" w:eastAsia="Times New Roman" w:hAnsi="Arial" w:cs="Arial"/>
          <w:sz w:val="18"/>
          <w:szCs w:val="18"/>
        </w:rPr>
        <w:t>Walker, J. C. (1983). Physoderma maydis. CMI Descriptions of pathogenic fungi and bacteria, No. 753. Wallingford, UK: CAB International. https://doi.org/10.1079/DFB/20056400753</w:t>
      </w:r>
    </w:p>
    <w:p w14:paraId="017DC9D6" w14:textId="77777777" w:rsidR="00B80F76" w:rsidRDefault="00B80F76" w:rsidP="00B80F76">
      <w:pPr>
        <w:jc w:val="both"/>
        <w:rPr>
          <w:rFonts w:ascii="Arial" w:eastAsia="Times New Roman" w:hAnsi="Arial" w:cs="Arial"/>
          <w:sz w:val="18"/>
          <w:szCs w:val="18"/>
        </w:rPr>
      </w:pPr>
      <w:r>
        <w:rPr>
          <w:rFonts w:ascii="Arial" w:eastAsia="Times New Roman" w:hAnsi="Arial" w:cs="Arial"/>
          <w:sz w:val="18"/>
          <w:szCs w:val="18"/>
        </w:rPr>
        <w:t>Wheeler, B. E. J. (1969). An Introduction to Plant Diseases. John Wiley &amp; Sons. https://www.cabidigitallibrary.org/doi/10.1079/CABICOMPENDIUM_19701604180</w:t>
      </w:r>
    </w:p>
    <w:p w14:paraId="0554AEFC" w14:textId="77777777" w:rsidR="00B80F76" w:rsidRDefault="00B80F76" w:rsidP="00B80F76">
      <w:pPr>
        <w:jc w:val="both"/>
        <w:rPr>
          <w:rFonts w:ascii="Arial" w:eastAsia="Times New Roman" w:hAnsi="Arial" w:cs="Arial"/>
          <w:sz w:val="18"/>
          <w:szCs w:val="18"/>
        </w:rPr>
      </w:pPr>
      <w:r>
        <w:rPr>
          <w:rFonts w:ascii="Arial" w:eastAsia="Times New Roman" w:hAnsi="Arial" w:cs="Arial"/>
          <w:sz w:val="18"/>
          <w:szCs w:val="18"/>
        </w:rPr>
        <w:t>Yadav, O. P., Hossain, F., Karjagi, C. G., Kumar, B., Zaidi, P. H., Jat, S. L., Chawla, J. S., Kaul, J., Hooda, K. S., &amp; Kumar, P. (2015). Genetic improvement of maize in India: Retrospect and prospects. Agricultural Research, 4, 325-338. https://doi.org/10.1007/s40003-015-0180-8</w:t>
      </w:r>
    </w:p>
    <w:p w14:paraId="3EA7E45C" w14:textId="77777777" w:rsidR="00816AE6" w:rsidRPr="00B80F76" w:rsidRDefault="00816AE6" w:rsidP="008907B3">
      <w:pPr>
        <w:spacing w:after="240" w:line="360" w:lineRule="auto"/>
        <w:jc w:val="both"/>
        <w:rPr>
          <w:rFonts w:ascii="Arial" w:hAnsi="Arial" w:cs="Arial"/>
          <w:sz w:val="22"/>
          <w:szCs w:val="22"/>
        </w:rPr>
      </w:pPr>
    </w:p>
    <w:sectPr w:rsidR="00816AE6" w:rsidRPr="00B80F76" w:rsidSect="005144D8">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F9073" w14:textId="77777777" w:rsidR="009312E8" w:rsidRDefault="009312E8" w:rsidP="009A1BF4">
      <w:pPr>
        <w:spacing w:after="0" w:line="240" w:lineRule="auto"/>
      </w:pPr>
      <w:r>
        <w:separator/>
      </w:r>
    </w:p>
  </w:endnote>
  <w:endnote w:type="continuationSeparator" w:id="0">
    <w:p w14:paraId="0AD10599" w14:textId="77777777" w:rsidR="009312E8" w:rsidRDefault="009312E8" w:rsidP="009A1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DA9D3" w14:textId="77777777" w:rsidR="009A1BF4" w:rsidRDefault="009A1B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C896F" w14:textId="77777777" w:rsidR="009A1BF4" w:rsidRDefault="009A1B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5F5E6" w14:textId="77777777" w:rsidR="009A1BF4" w:rsidRDefault="009A1B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047E9" w14:textId="77777777" w:rsidR="009312E8" w:rsidRDefault="009312E8" w:rsidP="009A1BF4">
      <w:pPr>
        <w:spacing w:after="0" w:line="240" w:lineRule="auto"/>
      </w:pPr>
      <w:r>
        <w:separator/>
      </w:r>
    </w:p>
  </w:footnote>
  <w:footnote w:type="continuationSeparator" w:id="0">
    <w:p w14:paraId="74EAAC8B" w14:textId="77777777" w:rsidR="009312E8" w:rsidRDefault="009312E8" w:rsidP="009A1B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B7C6" w14:textId="6774D527" w:rsidR="009A1BF4" w:rsidRDefault="00000000">
    <w:pPr>
      <w:pStyle w:val="Header"/>
    </w:pPr>
    <w:r>
      <w:rPr>
        <w:noProof/>
      </w:rPr>
      <w:pict w14:anchorId="4568FB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5167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D9457" w14:textId="20688F16" w:rsidR="009A1BF4" w:rsidRDefault="00000000">
    <w:pPr>
      <w:pStyle w:val="Header"/>
    </w:pPr>
    <w:r>
      <w:rPr>
        <w:noProof/>
      </w:rPr>
      <w:pict w14:anchorId="612D42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5167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00CDF" w14:textId="63EB4BF1" w:rsidR="009A1BF4" w:rsidRDefault="00000000">
    <w:pPr>
      <w:pStyle w:val="Header"/>
    </w:pPr>
    <w:r>
      <w:rPr>
        <w:noProof/>
      </w:rPr>
      <w:pict w14:anchorId="2349DE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5167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262CD"/>
    <w:multiLevelType w:val="hybridMultilevel"/>
    <w:tmpl w:val="FCA01460"/>
    <w:lvl w:ilvl="0" w:tplc="FFFAA9B8">
      <w:start w:val="1"/>
      <w:numFmt w:val="decimal"/>
      <w:lvlText w:val="%1)"/>
      <w:lvlJc w:val="left"/>
      <w:pPr>
        <w:ind w:left="720" w:hanging="360"/>
      </w:pPr>
      <w:rPr>
        <w:rFonts w:ascii="Times New Roman" w:hAnsi="Times New Roman" w:cs="Times New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CB1A56"/>
    <w:multiLevelType w:val="hybridMultilevel"/>
    <w:tmpl w:val="86E23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0232503">
    <w:abstractNumId w:val="0"/>
  </w:num>
  <w:num w:numId="2" w16cid:durableId="4440819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4D8"/>
    <w:rsid w:val="00002CC2"/>
    <w:rsid w:val="000268F1"/>
    <w:rsid w:val="000C0E26"/>
    <w:rsid w:val="000E4FF3"/>
    <w:rsid w:val="000F0C2C"/>
    <w:rsid w:val="000F1CD4"/>
    <w:rsid w:val="000F31F1"/>
    <w:rsid w:val="00163E63"/>
    <w:rsid w:val="001743C1"/>
    <w:rsid w:val="001C5B7E"/>
    <w:rsid w:val="00273ADA"/>
    <w:rsid w:val="002B3422"/>
    <w:rsid w:val="002B6AF0"/>
    <w:rsid w:val="002B7F59"/>
    <w:rsid w:val="002C71C1"/>
    <w:rsid w:val="00313970"/>
    <w:rsid w:val="00346750"/>
    <w:rsid w:val="00391DB4"/>
    <w:rsid w:val="003B0F15"/>
    <w:rsid w:val="003D7176"/>
    <w:rsid w:val="003F1F47"/>
    <w:rsid w:val="00436CC9"/>
    <w:rsid w:val="00442ED3"/>
    <w:rsid w:val="004653B6"/>
    <w:rsid w:val="004F19AD"/>
    <w:rsid w:val="005144D8"/>
    <w:rsid w:val="00561EEF"/>
    <w:rsid w:val="005914D3"/>
    <w:rsid w:val="005C0872"/>
    <w:rsid w:val="00647115"/>
    <w:rsid w:val="006652F7"/>
    <w:rsid w:val="00674C55"/>
    <w:rsid w:val="006831B9"/>
    <w:rsid w:val="00686181"/>
    <w:rsid w:val="00715B75"/>
    <w:rsid w:val="007657BC"/>
    <w:rsid w:val="00816AE6"/>
    <w:rsid w:val="00840922"/>
    <w:rsid w:val="00847FD5"/>
    <w:rsid w:val="00876BD0"/>
    <w:rsid w:val="008907B3"/>
    <w:rsid w:val="008C112A"/>
    <w:rsid w:val="009065F9"/>
    <w:rsid w:val="00913858"/>
    <w:rsid w:val="009312E8"/>
    <w:rsid w:val="00976C0A"/>
    <w:rsid w:val="0099465C"/>
    <w:rsid w:val="009A08F2"/>
    <w:rsid w:val="009A1BF4"/>
    <w:rsid w:val="009E3CAD"/>
    <w:rsid w:val="00A258C1"/>
    <w:rsid w:val="00A72BE6"/>
    <w:rsid w:val="00AB74EB"/>
    <w:rsid w:val="00AD137E"/>
    <w:rsid w:val="00AE2E93"/>
    <w:rsid w:val="00B22B17"/>
    <w:rsid w:val="00B80F76"/>
    <w:rsid w:val="00BB41A3"/>
    <w:rsid w:val="00BB7706"/>
    <w:rsid w:val="00C41B18"/>
    <w:rsid w:val="00C74E18"/>
    <w:rsid w:val="00C82DD8"/>
    <w:rsid w:val="00CA702F"/>
    <w:rsid w:val="00D23734"/>
    <w:rsid w:val="00D2739B"/>
    <w:rsid w:val="00D4644D"/>
    <w:rsid w:val="00DF1E05"/>
    <w:rsid w:val="00E354EE"/>
    <w:rsid w:val="00E4460C"/>
    <w:rsid w:val="00E5011F"/>
    <w:rsid w:val="00E501B1"/>
    <w:rsid w:val="00ED55C5"/>
    <w:rsid w:val="00F71AF5"/>
    <w:rsid w:val="00F74190"/>
    <w:rsid w:val="00F75EDE"/>
    <w:rsid w:val="00F77595"/>
    <w:rsid w:val="00F95BB5"/>
    <w:rsid w:val="00FD71F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40533B"/>
  <w15:chartTrackingRefBased/>
  <w15:docId w15:val="{2882F5B1-A40C-4E0D-8F65-3EBE72AEF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44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144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144D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144D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144D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144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44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44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44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4D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144D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144D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144D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144D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144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44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44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44D8"/>
    <w:rPr>
      <w:rFonts w:eastAsiaTheme="majorEastAsia" w:cstheme="majorBidi"/>
      <w:color w:val="272727" w:themeColor="text1" w:themeTint="D8"/>
    </w:rPr>
  </w:style>
  <w:style w:type="paragraph" w:styleId="Title">
    <w:name w:val="Title"/>
    <w:basedOn w:val="Normal"/>
    <w:next w:val="Normal"/>
    <w:link w:val="TitleChar"/>
    <w:uiPriority w:val="10"/>
    <w:qFormat/>
    <w:rsid w:val="005144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44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44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44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44D8"/>
    <w:pPr>
      <w:spacing w:before="160"/>
      <w:jc w:val="center"/>
    </w:pPr>
    <w:rPr>
      <w:i/>
      <w:iCs/>
      <w:color w:val="404040" w:themeColor="text1" w:themeTint="BF"/>
    </w:rPr>
  </w:style>
  <w:style w:type="character" w:customStyle="1" w:styleId="QuoteChar">
    <w:name w:val="Quote Char"/>
    <w:basedOn w:val="DefaultParagraphFont"/>
    <w:link w:val="Quote"/>
    <w:uiPriority w:val="29"/>
    <w:rsid w:val="005144D8"/>
    <w:rPr>
      <w:i/>
      <w:iCs/>
      <w:color w:val="404040" w:themeColor="text1" w:themeTint="BF"/>
    </w:rPr>
  </w:style>
  <w:style w:type="paragraph" w:styleId="ListParagraph">
    <w:name w:val="List Paragraph"/>
    <w:basedOn w:val="Normal"/>
    <w:uiPriority w:val="34"/>
    <w:qFormat/>
    <w:rsid w:val="005144D8"/>
    <w:pPr>
      <w:ind w:left="720"/>
      <w:contextualSpacing/>
    </w:pPr>
  </w:style>
  <w:style w:type="character" w:styleId="IntenseEmphasis">
    <w:name w:val="Intense Emphasis"/>
    <w:basedOn w:val="DefaultParagraphFont"/>
    <w:uiPriority w:val="21"/>
    <w:qFormat/>
    <w:rsid w:val="005144D8"/>
    <w:rPr>
      <w:i/>
      <w:iCs/>
      <w:color w:val="2F5496" w:themeColor="accent1" w:themeShade="BF"/>
    </w:rPr>
  </w:style>
  <w:style w:type="paragraph" w:styleId="IntenseQuote">
    <w:name w:val="Intense Quote"/>
    <w:basedOn w:val="Normal"/>
    <w:next w:val="Normal"/>
    <w:link w:val="IntenseQuoteChar"/>
    <w:uiPriority w:val="30"/>
    <w:qFormat/>
    <w:rsid w:val="005144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144D8"/>
    <w:rPr>
      <w:i/>
      <w:iCs/>
      <w:color w:val="2F5496" w:themeColor="accent1" w:themeShade="BF"/>
    </w:rPr>
  </w:style>
  <w:style w:type="character" w:styleId="IntenseReference">
    <w:name w:val="Intense Reference"/>
    <w:basedOn w:val="DefaultParagraphFont"/>
    <w:uiPriority w:val="32"/>
    <w:qFormat/>
    <w:rsid w:val="005144D8"/>
    <w:rPr>
      <w:b/>
      <w:bCs/>
      <w:smallCaps/>
      <w:color w:val="2F5496" w:themeColor="accent1" w:themeShade="BF"/>
      <w:spacing w:val="5"/>
    </w:rPr>
  </w:style>
  <w:style w:type="character" w:styleId="Hyperlink">
    <w:name w:val="Hyperlink"/>
    <w:basedOn w:val="DefaultParagraphFont"/>
    <w:uiPriority w:val="99"/>
    <w:unhideWhenUsed/>
    <w:rsid w:val="00391DB4"/>
    <w:rPr>
      <w:color w:val="0563C1" w:themeColor="hyperlink"/>
      <w:u w:val="single"/>
    </w:rPr>
  </w:style>
  <w:style w:type="character" w:styleId="UnresolvedMention">
    <w:name w:val="Unresolved Mention"/>
    <w:basedOn w:val="DefaultParagraphFont"/>
    <w:uiPriority w:val="99"/>
    <w:semiHidden/>
    <w:unhideWhenUsed/>
    <w:rsid w:val="00391DB4"/>
    <w:rPr>
      <w:color w:val="605E5C"/>
      <w:shd w:val="clear" w:color="auto" w:fill="E1DFDD"/>
    </w:rPr>
  </w:style>
  <w:style w:type="paragraph" w:styleId="BodyText">
    <w:name w:val="Body Text"/>
    <w:basedOn w:val="Normal"/>
    <w:link w:val="BodyTextChar"/>
    <w:uiPriority w:val="1"/>
    <w:qFormat/>
    <w:rsid w:val="007657BC"/>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7657BC"/>
    <w:rPr>
      <w:rFonts w:ascii="Times New Roman" w:eastAsia="Times New Roman" w:hAnsi="Times New Roman" w:cs="Times New Roman"/>
      <w:kern w:val="0"/>
      <w14:ligatures w14:val="none"/>
    </w:rPr>
  </w:style>
  <w:style w:type="table" w:styleId="TableGrid">
    <w:name w:val="Table Grid"/>
    <w:basedOn w:val="TableNormal"/>
    <w:uiPriority w:val="59"/>
    <w:rsid w:val="00976C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F95BB5"/>
    <w:pPr>
      <w:spacing w:after="200" w:line="276" w:lineRule="auto"/>
    </w:pPr>
    <w:rPr>
      <w:rFonts w:ascii="Calibri" w:eastAsia="Arial Unicode MS" w:hAnsi="Calibri" w:cs="Arial Unicode MS"/>
      <w:color w:val="000000"/>
      <w:kern w:val="0"/>
      <w:sz w:val="22"/>
      <w:szCs w:val="22"/>
      <w:u w:color="000000"/>
      <w:lang w:val="nl-NL" w:bidi="hi-IN"/>
      <w14:ligatures w14:val="none"/>
    </w:rPr>
  </w:style>
  <w:style w:type="paragraph" w:styleId="NormalWeb">
    <w:name w:val="Normal (Web)"/>
    <w:basedOn w:val="Normal"/>
    <w:uiPriority w:val="99"/>
    <w:unhideWhenUsed/>
    <w:rsid w:val="005914D3"/>
    <w:pPr>
      <w:spacing w:before="100" w:beforeAutospacing="1" w:after="100" w:afterAutospacing="1" w:line="240" w:lineRule="auto"/>
    </w:pPr>
    <w:rPr>
      <w:rFonts w:ascii="Times New Roman" w:eastAsia="Times New Roman" w:hAnsi="Times New Roman" w:cs="Times New Roman"/>
      <w:kern w:val="0"/>
      <w:lang w:val="en-IN" w:eastAsia="en-IN"/>
      <w14:ligatures w14:val="none"/>
    </w:rPr>
  </w:style>
  <w:style w:type="paragraph" w:styleId="Header">
    <w:name w:val="header"/>
    <w:basedOn w:val="Normal"/>
    <w:link w:val="HeaderChar"/>
    <w:uiPriority w:val="99"/>
    <w:unhideWhenUsed/>
    <w:rsid w:val="009A1B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1BF4"/>
  </w:style>
  <w:style w:type="paragraph" w:styleId="Footer">
    <w:name w:val="footer"/>
    <w:basedOn w:val="Normal"/>
    <w:link w:val="FooterChar"/>
    <w:uiPriority w:val="99"/>
    <w:unhideWhenUsed/>
    <w:rsid w:val="009A1B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1B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o.org/faostat/en/data/QC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pen.oregonstate.education/generalmicrobiology/chapter/microbial-growth"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researchgate.net/profile/Muhammad-Adnan-6/publication/301674167_Study_on_the_response_of_different_maize_cultivars_to_various_inoculum_levels_of_Bipolaris_maydis_Y_Nisik_C_Miyake_shoemaker_under_field_conditions/links/5720cc8208aefa6488a04bcb/Study-on-the-response-of-different-maize-cultivars-to-various-inoculum-levels-of-Bipolaris-maydis-Y-Nisik-C-Miyake-shoemaker-under-field-conditions.pdf" TargetMode="External"/><Relationship Id="rId4" Type="http://schemas.openxmlformats.org/officeDocument/2006/relationships/webSettings" Target="webSettings.xml"/><Relationship Id="rId9" Type="http://schemas.openxmlformats.org/officeDocument/2006/relationships/hyperlink" Target="https://agriculture.hp.gov.in"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11</Pages>
  <Words>5229</Words>
  <Characters>29811</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Chetna Mahajan</dc:creator>
  <cp:keywords/>
  <dc:description/>
  <cp:lastModifiedBy>Chetna Mahajan</cp:lastModifiedBy>
  <cp:revision>69</cp:revision>
  <dcterms:created xsi:type="dcterms:W3CDTF">2025-12-28T20:11:00Z</dcterms:created>
  <dcterms:modified xsi:type="dcterms:W3CDTF">2026-01-08T18:25:00Z</dcterms:modified>
</cp:coreProperties>
</file>