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26E0" w14:textId="77777777" w:rsidR="008F2B70" w:rsidRPr="008F2B70" w:rsidRDefault="008F2B70" w:rsidP="008F2B70">
      <w:pPr>
        <w:spacing w:after="240" w:line="360" w:lineRule="auto"/>
        <w:jc w:val="center"/>
        <w:rPr>
          <w:b/>
          <w:bCs w:val="0"/>
          <w:i/>
          <w:iCs/>
          <w:u w:val="single"/>
          <w:lang w:val="en-US"/>
        </w:rPr>
      </w:pPr>
      <w:r w:rsidRPr="008F2B70">
        <w:rPr>
          <w:b/>
          <w:i/>
          <w:iCs/>
          <w:u w:val="single"/>
          <w:lang w:val="en-US"/>
        </w:rPr>
        <w:t>Original Research Article</w:t>
      </w:r>
    </w:p>
    <w:p w14:paraId="4899C804" w14:textId="32930A59" w:rsidR="00C53223" w:rsidRDefault="00C53223" w:rsidP="00302468">
      <w:pPr>
        <w:spacing w:after="240" w:line="360" w:lineRule="auto"/>
        <w:jc w:val="center"/>
        <w:rPr>
          <w:b/>
          <w:bCs w:val="0"/>
        </w:rPr>
      </w:pPr>
      <w:r w:rsidRPr="004A4296">
        <w:rPr>
          <w:b/>
        </w:rPr>
        <w:t>Role of Maize Silk in Host Plant Resistance to Fall Armyworm: Evidence from Survival and Developmental Bioassays</w:t>
      </w:r>
    </w:p>
    <w:p w14:paraId="6E49805A" w14:textId="77777777" w:rsidR="004659EE" w:rsidRDefault="004659EE" w:rsidP="00302468">
      <w:pPr>
        <w:spacing w:after="240" w:line="360" w:lineRule="auto"/>
        <w:jc w:val="center"/>
        <w:rPr>
          <w:b/>
          <w:bCs w:val="0"/>
        </w:rPr>
      </w:pPr>
    </w:p>
    <w:p w14:paraId="79F0DF4D" w14:textId="481C7166" w:rsidR="00BC1DA9" w:rsidRDefault="00BC1DA9" w:rsidP="00302468">
      <w:pPr>
        <w:spacing w:after="240" w:line="360" w:lineRule="auto"/>
        <w:jc w:val="center"/>
        <w:rPr>
          <w:b/>
          <w:bCs w:val="0"/>
        </w:rPr>
      </w:pPr>
      <w:r>
        <w:rPr>
          <w:b/>
        </w:rPr>
        <w:t>Abstract</w:t>
      </w:r>
    </w:p>
    <w:p w14:paraId="09DFF8D2" w14:textId="745CDD9D" w:rsidR="00BC1DA9" w:rsidRPr="00FB3A7D" w:rsidRDefault="00FB3A7D" w:rsidP="00FB3A7D">
      <w:pPr>
        <w:spacing w:after="240" w:line="360" w:lineRule="auto"/>
        <w:jc w:val="both"/>
      </w:pPr>
      <w:r w:rsidRPr="00FB3A7D">
        <w:t>Maize (</w:t>
      </w:r>
      <w:r w:rsidRPr="00457122">
        <w:rPr>
          <w:i/>
        </w:rPr>
        <w:t>Zea mays</w:t>
      </w:r>
      <w:r w:rsidRPr="00FB3A7D">
        <w:t xml:space="preserve"> L.) is a globally important</w:t>
      </w:r>
      <w:r w:rsidR="00BA788E">
        <w:t xml:space="preserve"> cereal</w:t>
      </w:r>
      <w:r w:rsidRPr="00FB3A7D">
        <w:t xml:space="preserve"> crop whose productivity is severely constrained by</w:t>
      </w:r>
      <w:r w:rsidR="00763123">
        <w:t xml:space="preserve"> fall armyworm</w:t>
      </w:r>
      <w:r w:rsidRPr="00FB3A7D">
        <w:t xml:space="preserve"> </w:t>
      </w:r>
      <w:r w:rsidR="00763123">
        <w:t>(</w:t>
      </w:r>
      <w:r w:rsidR="00457122">
        <w:t>FAW</w:t>
      </w:r>
      <w:r w:rsidR="00763123">
        <w:t xml:space="preserve">) </w:t>
      </w:r>
      <w:r w:rsidRPr="00FB3A7D">
        <w:t>(</w:t>
      </w:r>
      <w:r w:rsidRPr="00FB3A7D">
        <w:rPr>
          <w:i/>
          <w:iCs/>
        </w:rPr>
        <w:t xml:space="preserve">Spodoptera </w:t>
      </w:r>
      <w:proofErr w:type="spellStart"/>
      <w:r w:rsidRPr="00FB3A7D">
        <w:rPr>
          <w:i/>
          <w:iCs/>
        </w:rPr>
        <w:t>frugiperda</w:t>
      </w:r>
      <w:proofErr w:type="spellEnd"/>
      <w:r w:rsidRPr="00FB3A7D">
        <w:t xml:space="preserve"> J.E. Smith), a destructive and invasive pest. Host plant resistance offers an eco-friendly and sustainable approach for its management, and antibiosis plays a crucial role by adversely affecting insect growth and reproduction. The present study evaluated the antibiosis component of resistance in selected maize genotypes at the R3 stage (silking) under controlled laboratory conditions. Silk tissues collected 10–12 days after silking were offered to neonate larvae, and their effects on survival and development were assessed by recording larval survival percentage, larval weight and duration, pupation percentage, pupal weight and duration, adult emergence, adult longevity, and fecundity. Significant differences were observed among the genotypes, reflecting variability in their resistance responses. Resistant genotypes (MIL 9-1230, MIL 9-1309, MIL 9-1308) (R) exhibited reduced larval survival, prolonged development, lighter larval and pupal weights, and lower adult emergence and fecundity, indicating strong antibiosis effects. Moderately resistant genotypes (MIL 9-1179, MIL 9-1260) (MR) expressed intermediate levels of resistance, while susceptible genotypes (Sarhad HSRB, VS </w:t>
      </w:r>
      <w:proofErr w:type="gramStart"/>
      <w:r w:rsidRPr="00FB3A7D">
        <w:t>144)supported</w:t>
      </w:r>
      <w:proofErr w:type="gramEnd"/>
      <w:r w:rsidRPr="00FB3A7D">
        <w:t xml:space="preserve"> higher larval survival, rapid development, heavier pupae, and greater fecundity. These results clearly demonstrate that silk tissues play an important role in mediating resistance and that genotypic variation exists in antibiosis expression against </w:t>
      </w:r>
      <w:r w:rsidR="00457122">
        <w:t>FAW</w:t>
      </w:r>
      <w:r w:rsidRPr="00FB3A7D">
        <w:t>. The identification of resistant and moderately resistant genotypes provides valuable sources for breeding programs aimed at developing cultivars with durable resistance, thereby contributing to sustainable management of this invasive pest.</w:t>
      </w:r>
    </w:p>
    <w:p w14:paraId="2D8C10BA" w14:textId="77777777" w:rsidR="00BC1DA9" w:rsidRPr="004A4296" w:rsidRDefault="00BC1DA9" w:rsidP="00302468">
      <w:pPr>
        <w:spacing w:after="240" w:line="360" w:lineRule="auto"/>
        <w:jc w:val="center"/>
        <w:rPr>
          <w:b/>
          <w:bCs w:val="0"/>
        </w:rPr>
      </w:pPr>
    </w:p>
    <w:p w14:paraId="578084CB" w14:textId="77777777" w:rsidR="00763123" w:rsidRDefault="00763123" w:rsidP="00302468">
      <w:pPr>
        <w:spacing w:after="240" w:line="360" w:lineRule="auto"/>
        <w:jc w:val="both"/>
        <w:rPr>
          <w:b/>
          <w:bCs w:val="0"/>
        </w:rPr>
      </w:pPr>
    </w:p>
    <w:p w14:paraId="785DD6AF" w14:textId="77777777" w:rsidR="00763123" w:rsidRDefault="00763123" w:rsidP="00302468">
      <w:pPr>
        <w:spacing w:after="240" w:line="360" w:lineRule="auto"/>
        <w:jc w:val="both"/>
        <w:rPr>
          <w:b/>
          <w:bCs w:val="0"/>
        </w:rPr>
      </w:pPr>
    </w:p>
    <w:p w14:paraId="2B2F8040" w14:textId="78733FA7" w:rsidR="00124656" w:rsidRPr="00124656" w:rsidRDefault="00124656" w:rsidP="00302468">
      <w:pPr>
        <w:spacing w:after="240" w:line="360" w:lineRule="auto"/>
        <w:jc w:val="both"/>
        <w:rPr>
          <w:b/>
          <w:bCs w:val="0"/>
        </w:rPr>
      </w:pPr>
      <w:r w:rsidRPr="00124656">
        <w:rPr>
          <w:b/>
        </w:rPr>
        <w:lastRenderedPageBreak/>
        <w:t>Introduction</w:t>
      </w:r>
    </w:p>
    <w:p w14:paraId="61E473C4" w14:textId="49D16625" w:rsidR="00B70FC6" w:rsidRDefault="00B70FC6" w:rsidP="00302468">
      <w:pPr>
        <w:spacing w:after="240" w:line="360" w:lineRule="auto"/>
        <w:jc w:val="both"/>
      </w:pPr>
      <w:r w:rsidRPr="00B70FC6">
        <w:t>Maize (</w:t>
      </w:r>
      <w:r w:rsidRPr="00457122">
        <w:rPr>
          <w:i/>
        </w:rPr>
        <w:t>Zea mays</w:t>
      </w:r>
      <w:r w:rsidRPr="00B70FC6">
        <w:t xml:space="preserve"> L.) is a vital cereal crop worldwide, valued for its diverse applications in food, livestock feed, fodder, and recently in the ethanol industry. It is cultivated in 170 countries, in an area of 203.47 million hectares, with a production of 1,163.50 million metric tons per year (FAOSTAT 2023). India stands fourth in terms of area and fifth in production, with 35.67 million metric tons from </w:t>
      </w:r>
      <w:r w:rsidR="00457122">
        <w:t>11.30</w:t>
      </w:r>
      <w:r w:rsidRPr="00B70FC6">
        <w:t xml:space="preserve"> million hectares and an average yield of 3.3 metric tons per hectare (APEDA 202</w:t>
      </w:r>
      <w:r w:rsidR="00457122">
        <w:t>4)</w:t>
      </w:r>
      <w:r w:rsidRPr="00B70FC6">
        <w:t xml:space="preserve">. Despite its global significance, maize production is heavily influenced by various biotic and abiotic stresses. Among them, </w:t>
      </w:r>
      <w:r w:rsidR="00457122">
        <w:t>FAW</w:t>
      </w:r>
      <w:r w:rsidRPr="00B70FC6">
        <w:t xml:space="preserve"> is a major invasive insect pest in African and Asian countries and has emerged as a significant threat to food and nutritional security.</w:t>
      </w:r>
    </w:p>
    <w:p w14:paraId="0CB88E53" w14:textId="0BA42CAA" w:rsidR="006F2C86" w:rsidRPr="006F2C86" w:rsidRDefault="006F2C86" w:rsidP="00302468">
      <w:pPr>
        <w:spacing w:after="240" w:line="360" w:lineRule="auto"/>
        <w:jc w:val="both"/>
      </w:pPr>
      <w:r w:rsidRPr="006F2C86">
        <w:t>While most resistance studies against FAW have focused on leaf tissues, reproductive systems like maize silks are important but understudied</w:t>
      </w:r>
      <w:r w:rsidR="00B43D3B" w:rsidRPr="00B43D3B">
        <w:t>(Widstrom &amp; Snook, 1998)</w:t>
      </w:r>
      <w:r w:rsidRPr="006F2C86">
        <w:t>.</w:t>
      </w:r>
      <w:r w:rsidR="00B43D3B" w:rsidRPr="00B43D3B">
        <w:t>Maize silks play a critical role in fertilization and kernel set by facilitating pollen capture and pollen tube growth, and any disruption during this stage can significantly reduce grain yield (Ritchie et al., 1993)</w:t>
      </w:r>
      <w:r w:rsidRPr="006F2C86">
        <w:t xml:space="preserve"> Silks serve an important function in fertilization and kernel set, but they are also highly susceptible to larval feeding. Damage to silks can impair pollination, diminish seed formation, and enhance subsequent ear infestation, all of which contribute to yield loss. </w:t>
      </w:r>
      <w:r w:rsidR="00BA788E">
        <w:t>Maize s</w:t>
      </w:r>
      <w:r w:rsidRPr="006F2C86">
        <w:t>ilk display host plant resistance, which has the potential to protect reproductive success and yield stability</w:t>
      </w:r>
      <w:r w:rsidR="00AD6554">
        <w:t xml:space="preserve"> </w:t>
      </w:r>
      <w:r w:rsidR="00B43D3B" w:rsidRPr="00B43D3B">
        <w:t>(</w:t>
      </w:r>
      <w:proofErr w:type="spellStart"/>
      <w:r w:rsidR="00B43D3B" w:rsidRPr="00B43D3B">
        <w:t>Waiss</w:t>
      </w:r>
      <w:proofErr w:type="spellEnd"/>
      <w:r w:rsidR="00B43D3B" w:rsidRPr="00B43D3B">
        <w:t xml:space="preserve"> et al., 1979; Widstrom &amp; Snook, 1998)</w:t>
      </w:r>
      <w:r w:rsidRPr="006F2C86">
        <w:t>.</w:t>
      </w:r>
    </w:p>
    <w:p w14:paraId="33D974EF" w14:textId="0C68D74A" w:rsidR="003D252C" w:rsidRPr="003D252C" w:rsidRDefault="003D252C" w:rsidP="003D252C">
      <w:pPr>
        <w:spacing w:after="240" w:line="360" w:lineRule="auto"/>
        <w:jc w:val="both"/>
      </w:pPr>
      <w:r w:rsidRPr="003D252C">
        <w:t>Previous research has demonstrated that the biochemical and morphological properties of maize silks play a critical role in influencing insect survival and development. Maysin, a flavone glycoside present in maize silks, has been shown to exert strong antibiosis effects against key lepidopteran pests such as the corn earworm (</w:t>
      </w:r>
      <w:r w:rsidRPr="003D252C">
        <w:rPr>
          <w:i/>
          <w:iCs/>
        </w:rPr>
        <w:t xml:space="preserve">Helicoverpa </w:t>
      </w:r>
      <w:proofErr w:type="spellStart"/>
      <w:r w:rsidRPr="003D252C">
        <w:rPr>
          <w:i/>
          <w:iCs/>
        </w:rPr>
        <w:t>zea</w:t>
      </w:r>
      <w:proofErr w:type="spellEnd"/>
      <w:r w:rsidRPr="003D252C">
        <w:t xml:space="preserve">) </w:t>
      </w:r>
      <w:r w:rsidR="00FD5C69">
        <w:t xml:space="preserve">and </w:t>
      </w:r>
      <w:r w:rsidRPr="003D252C">
        <w:t>FAW, leading to reduced larval growth and survival (</w:t>
      </w:r>
      <w:proofErr w:type="spellStart"/>
      <w:r w:rsidRPr="003D252C">
        <w:t>Waiss</w:t>
      </w:r>
      <w:proofErr w:type="spellEnd"/>
      <w:r w:rsidRPr="003D252C">
        <w:t xml:space="preserve"> </w:t>
      </w:r>
      <w:r w:rsidRPr="003D252C">
        <w:rPr>
          <w:i/>
          <w:iCs/>
        </w:rPr>
        <w:t>et al.,</w:t>
      </w:r>
      <w:r w:rsidRPr="003D252C">
        <w:t xml:space="preserve"> 1979; Snook </w:t>
      </w:r>
      <w:r w:rsidRPr="003D252C">
        <w:rPr>
          <w:i/>
          <w:iCs/>
        </w:rPr>
        <w:t>et al.,</w:t>
      </w:r>
      <w:r w:rsidRPr="003D252C">
        <w:t xml:space="preserve"> 1993; Gueldner </w:t>
      </w:r>
      <w:r w:rsidRPr="003D252C">
        <w:rPr>
          <w:i/>
          <w:iCs/>
        </w:rPr>
        <w:t>et al.,</w:t>
      </w:r>
      <w:r w:rsidRPr="003D252C">
        <w:t xml:space="preserve"> 1992). In addition to </w:t>
      </w:r>
      <w:proofErr w:type="spellStart"/>
      <w:r w:rsidRPr="003D252C">
        <w:t>maysin</w:t>
      </w:r>
      <w:proofErr w:type="spellEnd"/>
      <w:r w:rsidRPr="003D252C">
        <w:t>, maize silks contain a wide range of bioactive phytochemicals, including flavonoids, phenolic acids, and glycosides, which have been reported to possess antibacterial and growth-modulating properties that may indirectly influence herbivorous insects through altered nutrition or defensive chemistry (Nessa et al., 2012; De Carvalho et al., 2019; Muzaffar et al., 2025; Snook et al., 1989).</w:t>
      </w:r>
    </w:p>
    <w:p w14:paraId="3867C200" w14:textId="77777777" w:rsidR="003D252C" w:rsidRPr="003D252C" w:rsidRDefault="003D252C" w:rsidP="003D252C">
      <w:pPr>
        <w:spacing w:after="240" w:line="360" w:lineRule="auto"/>
        <w:jc w:val="both"/>
      </w:pPr>
      <w:r w:rsidRPr="003D252C">
        <w:t xml:space="preserve">Morphological resistance mechanisms have also been associated with silk traits such as tight husk coverage, elongated silk channels, increased silk wetness, and silk toughness, which </w:t>
      </w:r>
      <w:r w:rsidRPr="003D252C">
        <w:lastRenderedPageBreak/>
        <w:t>collectively restrict larval access, feeding efficiency, and penetration into developing ears (Wiseman et al., 1977; Wiseman et al., 1981; Widstrom &amp; Snook, 1998). Wiseman and Widstrom (1986) further reported that ear-feeding pests exhibit differential preference and performance on silk tissues of contrasting maize genotypes, emphasizing the importance of reproductive structures in host plant resistance.</w:t>
      </w:r>
    </w:p>
    <w:p w14:paraId="7F8A5748" w14:textId="77777777" w:rsidR="003D252C" w:rsidRPr="003D252C" w:rsidRDefault="003D252C" w:rsidP="003D252C">
      <w:pPr>
        <w:spacing w:after="240" w:line="360" w:lineRule="auto"/>
        <w:jc w:val="both"/>
      </w:pPr>
      <w:r w:rsidRPr="003D252C">
        <w:t xml:space="preserve">Despite these findings, subsequent evaluations of FAW-resistant cultivars revealed that resistance expressed in vegetative tissues is not always mirrored in silk tissues, suggesting tissue-specific </w:t>
      </w:r>
      <w:proofErr w:type="spellStart"/>
      <w:r w:rsidRPr="003D252C">
        <w:t>defense</w:t>
      </w:r>
      <w:proofErr w:type="spellEnd"/>
      <w:r w:rsidRPr="003D252C">
        <w:t xml:space="preserve"> mechanisms governed by distinct biochemical pathways and genetic regulation (</w:t>
      </w:r>
      <w:proofErr w:type="spellStart"/>
      <w:r w:rsidRPr="003D252C">
        <w:t>Nuambote</w:t>
      </w:r>
      <w:proofErr w:type="spellEnd"/>
      <w:r w:rsidRPr="003D252C">
        <w:t xml:space="preserve">-Yobila </w:t>
      </w:r>
      <w:r w:rsidRPr="003D252C">
        <w:rPr>
          <w:i/>
          <w:iCs/>
        </w:rPr>
        <w:t>et al.,</w:t>
      </w:r>
      <w:r w:rsidRPr="003D252C">
        <w:t xml:space="preserve"> 2023). This inconsistency highlights a critical knowledge gap and underscores the need for focused investigations on maize silk-mediated antibiosis.</w:t>
      </w:r>
    </w:p>
    <w:p w14:paraId="79436AD3" w14:textId="50EF0492" w:rsidR="003D252C" w:rsidRPr="003D252C" w:rsidRDefault="003D252C" w:rsidP="003D252C">
      <w:pPr>
        <w:spacing w:after="240" w:line="360" w:lineRule="auto"/>
        <w:jc w:val="both"/>
      </w:pPr>
      <w:r w:rsidRPr="003D252C">
        <w:t>The present study therefore aims to evaluate the survival and developmental parameters of FAW larvae fed on silks of diverse maize genotypes. By specifically targeting silk tissues, this work provides insights into genotypic variability in resistance expression and supports breeding strategies aimed at developing maize cultivars with enhanced resilience to FAW during reproductive stages</w:t>
      </w:r>
      <w:r w:rsidR="00AD6554">
        <w:t>.</w:t>
      </w:r>
    </w:p>
    <w:p w14:paraId="23F4CB5A" w14:textId="5BFD51E8" w:rsidR="00792D99" w:rsidRPr="00302468" w:rsidRDefault="00792D99" w:rsidP="00302468">
      <w:pPr>
        <w:spacing w:after="240" w:line="360" w:lineRule="auto"/>
        <w:jc w:val="both"/>
        <w:rPr>
          <w:b/>
          <w:bCs w:val="0"/>
        </w:rPr>
      </w:pPr>
      <w:r w:rsidRPr="00302468">
        <w:rPr>
          <w:b/>
        </w:rPr>
        <w:t>Materials and methods:</w:t>
      </w:r>
    </w:p>
    <w:p w14:paraId="793A9FC7" w14:textId="01F33A04" w:rsidR="00B51E3C" w:rsidRPr="00680BEE" w:rsidRDefault="00B51E3C" w:rsidP="00302468">
      <w:pPr>
        <w:spacing w:after="0" w:line="360" w:lineRule="auto"/>
        <w:jc w:val="both"/>
        <w:rPr>
          <w:b/>
          <w:bCs w:val="0"/>
          <w:color w:val="000000"/>
        </w:rPr>
      </w:pPr>
      <w:r w:rsidRPr="00680BEE">
        <w:rPr>
          <w:b/>
          <w:color w:val="000000"/>
        </w:rPr>
        <w:t xml:space="preserve"> Study area</w:t>
      </w:r>
    </w:p>
    <w:p w14:paraId="6D6E44BF" w14:textId="5151F9F5" w:rsidR="00B51E3C" w:rsidRDefault="00B51E3C" w:rsidP="00A26ECA">
      <w:pPr>
        <w:spacing w:after="0" w:line="360" w:lineRule="auto"/>
        <w:jc w:val="both"/>
        <w:rPr>
          <w:color w:val="000000"/>
        </w:rPr>
      </w:pPr>
      <w:r>
        <w:rPr>
          <w:color w:val="000000"/>
        </w:rPr>
        <w:t xml:space="preserve"> </w:t>
      </w:r>
      <w:r w:rsidR="004C0C93">
        <w:rPr>
          <w:color w:val="000000"/>
        </w:rPr>
        <w:t>T</w:t>
      </w:r>
      <w:r>
        <w:rPr>
          <w:color w:val="000000"/>
        </w:rPr>
        <w:t>he</w:t>
      </w:r>
      <w:r w:rsidRPr="00853765">
        <w:rPr>
          <w:color w:val="000000"/>
        </w:rPr>
        <w:t xml:space="preserve"> field experiments were carried out in well-drained black loamy soil at the Winter Nursery Centre (WNC), ICAR-Indian Institute of Maize Research, Hyderabad (17.3254N, 78.4004E, and 527-meter</w:t>
      </w:r>
      <w:r>
        <w:rPr>
          <w:color w:val="000000"/>
        </w:rPr>
        <w:t xml:space="preserve"> MSL</w:t>
      </w:r>
      <w:r w:rsidRPr="00853765">
        <w:rPr>
          <w:color w:val="000000"/>
        </w:rPr>
        <w:t xml:space="preserve">), India. The mean maximum and minimum temperatures recorded at WNC during the experimental period </w:t>
      </w:r>
      <w:r>
        <w:rPr>
          <w:color w:val="000000"/>
        </w:rPr>
        <w:t>we</w:t>
      </w:r>
      <w:r w:rsidRPr="00853765">
        <w:rPr>
          <w:color w:val="000000"/>
        </w:rPr>
        <w:t>re 32</w:t>
      </w:r>
      <w:r w:rsidRPr="00853765">
        <w:rPr>
          <w:color w:val="000000"/>
          <w:vertAlign w:val="superscript"/>
        </w:rPr>
        <w:t>◦</w:t>
      </w:r>
      <w:r w:rsidRPr="00853765">
        <w:rPr>
          <w:color w:val="000000"/>
        </w:rPr>
        <w:t>C and 15</w:t>
      </w:r>
      <w:r w:rsidRPr="00853765">
        <w:rPr>
          <w:color w:val="000000"/>
          <w:vertAlign w:val="superscript"/>
        </w:rPr>
        <w:t>◦</w:t>
      </w:r>
      <w:r w:rsidRPr="00853765">
        <w:rPr>
          <w:color w:val="000000"/>
        </w:rPr>
        <w:t>C, respectively</w:t>
      </w:r>
      <w:r w:rsidR="00AD6554">
        <w:rPr>
          <w:color w:val="000000"/>
        </w:rPr>
        <w:t>.</w:t>
      </w:r>
    </w:p>
    <w:p w14:paraId="2D138F9C" w14:textId="77777777" w:rsidR="00E615BA" w:rsidRDefault="00E615BA" w:rsidP="00A26ECA">
      <w:pPr>
        <w:spacing w:after="0" w:line="360" w:lineRule="auto"/>
        <w:jc w:val="both"/>
        <w:rPr>
          <w:color w:val="000000"/>
        </w:rPr>
      </w:pPr>
    </w:p>
    <w:p w14:paraId="36277406" w14:textId="77777777" w:rsidR="00E615BA" w:rsidRPr="00C93C1F" w:rsidRDefault="00E615BA" w:rsidP="00E615BA">
      <w:pPr>
        <w:spacing w:after="0" w:line="360" w:lineRule="auto"/>
        <w:jc w:val="both"/>
        <w:rPr>
          <w:b/>
          <w:bCs w:val="0"/>
          <w:color w:val="000000"/>
        </w:rPr>
      </w:pPr>
      <w:r w:rsidRPr="00C93C1F">
        <w:rPr>
          <w:b/>
          <w:color w:val="000000"/>
        </w:rPr>
        <w:t>Rearing of FAW culture</w:t>
      </w:r>
    </w:p>
    <w:p w14:paraId="229AD9AE" w14:textId="64F2CDB3" w:rsidR="00E615BA" w:rsidRDefault="00E615BA" w:rsidP="00E615BA">
      <w:pPr>
        <w:spacing w:after="0" w:line="360" w:lineRule="auto"/>
        <w:jc w:val="both"/>
        <w:rPr>
          <w:color w:val="000000"/>
        </w:rPr>
      </w:pPr>
      <w:r w:rsidRPr="006F2C86">
        <w:rPr>
          <w:color w:val="000000"/>
        </w:rPr>
        <w:t xml:space="preserve">Neonate FAW larvae were </w:t>
      </w:r>
      <w:r w:rsidR="004C0C93">
        <w:rPr>
          <w:color w:val="000000"/>
        </w:rPr>
        <w:t>collected</w:t>
      </w:r>
      <w:r w:rsidR="004C0C93" w:rsidRPr="006F2C86">
        <w:rPr>
          <w:color w:val="000000"/>
        </w:rPr>
        <w:t xml:space="preserve"> </w:t>
      </w:r>
      <w:r w:rsidRPr="006F2C86">
        <w:rPr>
          <w:color w:val="000000"/>
        </w:rPr>
        <w:t>from diseased maize plants at the Winter Nursery Centre</w:t>
      </w:r>
      <w:r w:rsidR="004C0C93">
        <w:rPr>
          <w:color w:val="000000"/>
        </w:rPr>
        <w:t>,</w:t>
      </w:r>
      <w:r w:rsidRPr="006F2C86">
        <w:rPr>
          <w:color w:val="000000"/>
        </w:rPr>
        <w:t xml:space="preserve"> Hyderabad, India, to generate an initial lab culture. The larvae were raised under controlled conditions, including a 16-hour light/8-hour dark photoperiod, a temperature of 28 ± 1 °C, and a relative humidity of 65 ± 10%. During the first five days, larvae were kept in groups of 50-100 in plastic jars with a 2-3 mm layer of chickpea flour, a casein-based artificial diet (Singh and Rembold, 1992). Following this initial stage, the larvae were individually transplanted to 12-well plates (Hi-Media) to avoid cannibalism, with each well measuring 2.5 cm in diameter and 2.3 cm in depth, and raised until pupation. Pupae were arranged in clusters of 25-50 in </w:t>
      </w:r>
      <w:r w:rsidRPr="006F2C86">
        <w:rPr>
          <w:color w:val="000000"/>
        </w:rPr>
        <w:lastRenderedPageBreak/>
        <w:t>plastic jars filled with soil.</w:t>
      </w:r>
      <w:r w:rsidR="004C0C93">
        <w:rPr>
          <w:color w:val="000000"/>
        </w:rPr>
        <w:t xml:space="preserve"> </w:t>
      </w:r>
      <w:r w:rsidRPr="00853765">
        <w:rPr>
          <w:color w:val="000000"/>
        </w:rPr>
        <w:t>Upon adult emergence, 10 pairs of FAW moths were released into oviposition cages measuring 30 × 23 cm (length × diameter) and provided with a 10% honey solution on a cotton swab for feeding. Blotting paper strips were suspended inside the cages as oviposition substrates, replaced daily, and the eggs collected were sterilized with a 10% formalin solution. The sterilized eggs were allowed to hatch, and the neonate larvae were transferred to plastic jars containing the artificial diet using a hairbrush. These laboratory-reared neonate larvae were subsequently utilized for artificial infestation in the screening experiments.</w:t>
      </w:r>
    </w:p>
    <w:p w14:paraId="729AAE40" w14:textId="77777777" w:rsidR="00E615BA" w:rsidRPr="00E615BA" w:rsidRDefault="00E615BA" w:rsidP="00E615BA">
      <w:pPr>
        <w:spacing w:after="0" w:line="360" w:lineRule="auto"/>
        <w:jc w:val="both"/>
        <w:rPr>
          <w:b/>
          <w:bCs w:val="0"/>
          <w:color w:val="000000"/>
        </w:rPr>
      </w:pPr>
      <w:r w:rsidRPr="00E615BA">
        <w:rPr>
          <w:b/>
          <w:color w:val="000000"/>
        </w:rPr>
        <w:t>Plant Material and Genotypes</w:t>
      </w:r>
    </w:p>
    <w:p w14:paraId="331BBD1E" w14:textId="56A31E7D" w:rsidR="00E615BA" w:rsidRPr="00E615BA" w:rsidRDefault="00E615BA" w:rsidP="00E615BA">
      <w:pPr>
        <w:spacing w:after="0" w:line="360" w:lineRule="auto"/>
        <w:jc w:val="both"/>
        <w:rPr>
          <w:color w:val="000000"/>
        </w:rPr>
      </w:pPr>
      <w:r w:rsidRPr="00E615BA">
        <w:rPr>
          <w:color w:val="000000"/>
        </w:rPr>
        <w:t xml:space="preserve">A total of seven maize genotypes were used for the antibiosis experiment. These genotypes were not chosen at random but were selected based on an initial screening for </w:t>
      </w:r>
      <w:r w:rsidR="00457122">
        <w:rPr>
          <w:color w:val="000000"/>
        </w:rPr>
        <w:t>FAW</w:t>
      </w:r>
      <w:r w:rsidRPr="00E615BA">
        <w:rPr>
          <w:color w:val="000000"/>
        </w:rPr>
        <w:t xml:space="preserve"> resistance at the seedling and vegetative stages. The selection was made to represent both resistant</w:t>
      </w:r>
      <w:r>
        <w:rPr>
          <w:color w:val="000000"/>
        </w:rPr>
        <w:t>,</w:t>
      </w:r>
      <w:r w:rsidR="00261AA9">
        <w:rPr>
          <w:color w:val="000000"/>
        </w:rPr>
        <w:t xml:space="preserve"> </w:t>
      </w:r>
      <w:r>
        <w:rPr>
          <w:color w:val="000000"/>
        </w:rPr>
        <w:t>moderately resistant</w:t>
      </w:r>
      <w:r w:rsidRPr="00E615BA">
        <w:rPr>
          <w:color w:val="000000"/>
        </w:rPr>
        <w:t xml:space="preserve"> and susceptible responses observed during preliminary evaluations. The selected genotypes included MIL 9-1230, MIL 9-1308, and MIL 9-1309 </w:t>
      </w:r>
      <w:r w:rsidR="00261AA9">
        <w:rPr>
          <w:color w:val="000000"/>
        </w:rPr>
        <w:t>(which were</w:t>
      </w:r>
      <w:r w:rsidR="00457122">
        <w:rPr>
          <w:color w:val="000000"/>
        </w:rPr>
        <w:t xml:space="preserve"> </w:t>
      </w:r>
      <w:r w:rsidRPr="00E615BA">
        <w:rPr>
          <w:color w:val="000000"/>
        </w:rPr>
        <w:t>identified as resistant in earlier screening and VS 144, Sarhad HSRB, MIL 9-1179, and MIL 9-1260 (</w:t>
      </w:r>
      <w:r w:rsidR="00261AA9">
        <w:rPr>
          <w:color w:val="000000"/>
        </w:rPr>
        <w:t xml:space="preserve">which were </w:t>
      </w:r>
      <w:r w:rsidRPr="00E615BA">
        <w:rPr>
          <w:color w:val="000000"/>
        </w:rPr>
        <w:t xml:space="preserve">identified as susceptible or moderately susceptible). </w:t>
      </w:r>
      <w:r w:rsidR="00261AA9">
        <w:rPr>
          <w:color w:val="000000"/>
        </w:rPr>
        <w:t xml:space="preserve">The genotypes </w:t>
      </w:r>
      <w:r w:rsidRPr="00E615BA">
        <w:rPr>
          <w:color w:val="000000"/>
        </w:rPr>
        <w:t xml:space="preserve">were raised under </w:t>
      </w:r>
      <w:r w:rsidR="00261AA9">
        <w:rPr>
          <w:color w:val="000000"/>
        </w:rPr>
        <w:t>controlled</w:t>
      </w:r>
      <w:r w:rsidR="00261AA9" w:rsidRPr="00E615BA">
        <w:rPr>
          <w:color w:val="000000"/>
        </w:rPr>
        <w:t xml:space="preserve"> </w:t>
      </w:r>
      <w:r w:rsidRPr="00E615BA">
        <w:rPr>
          <w:color w:val="000000"/>
        </w:rPr>
        <w:t xml:space="preserve">conditions, </w:t>
      </w:r>
      <w:r w:rsidR="00261AA9">
        <w:rPr>
          <w:color w:val="000000"/>
        </w:rPr>
        <w:t>and</w:t>
      </w:r>
      <w:r w:rsidR="00261AA9" w:rsidRPr="00E615BA">
        <w:rPr>
          <w:color w:val="000000"/>
        </w:rPr>
        <w:t xml:space="preserve"> </w:t>
      </w:r>
      <w:r w:rsidR="00261AA9">
        <w:rPr>
          <w:color w:val="000000"/>
        </w:rPr>
        <w:t xml:space="preserve">maize </w:t>
      </w:r>
      <w:r w:rsidRPr="00E615BA">
        <w:rPr>
          <w:color w:val="000000"/>
        </w:rPr>
        <w:t xml:space="preserve">silk tissues were collected </w:t>
      </w:r>
      <w:r w:rsidR="00261AA9">
        <w:rPr>
          <w:color w:val="000000"/>
        </w:rPr>
        <w:t xml:space="preserve">at </w:t>
      </w:r>
      <w:r w:rsidR="00261AA9" w:rsidRPr="00E615BA">
        <w:rPr>
          <w:color w:val="000000"/>
        </w:rPr>
        <w:t>R3 (silking) stage</w:t>
      </w:r>
      <w:r w:rsidR="00261AA9">
        <w:rPr>
          <w:color w:val="000000"/>
        </w:rPr>
        <w:t xml:space="preserve"> </w:t>
      </w:r>
      <w:r w:rsidRPr="00E615BA">
        <w:rPr>
          <w:color w:val="000000"/>
        </w:rPr>
        <w:t>for laboratory bioassays.</w:t>
      </w:r>
    </w:p>
    <w:p w14:paraId="2C1ED6E9" w14:textId="77777777" w:rsidR="00E615BA" w:rsidRPr="00A26ECA" w:rsidRDefault="00E615BA" w:rsidP="00A26ECA">
      <w:pPr>
        <w:spacing w:after="0" w:line="360" w:lineRule="auto"/>
        <w:jc w:val="both"/>
        <w:rPr>
          <w:color w:val="000000"/>
        </w:rPr>
      </w:pPr>
    </w:p>
    <w:p w14:paraId="269EC91B" w14:textId="1C2B76BB" w:rsidR="00CE2747" w:rsidRPr="00680BEE" w:rsidRDefault="00CE2747" w:rsidP="00302468">
      <w:pPr>
        <w:spacing w:after="240" w:line="360" w:lineRule="auto"/>
        <w:jc w:val="both"/>
        <w:rPr>
          <w:b/>
          <w:bCs w:val="0"/>
        </w:rPr>
      </w:pPr>
      <w:r w:rsidRPr="00680BEE">
        <w:rPr>
          <w:b/>
        </w:rPr>
        <w:t>Effect of selected genotypes on the subsequent survival and development of FAW</w:t>
      </w:r>
    </w:p>
    <w:p w14:paraId="3495E554" w14:textId="246EE0B9" w:rsidR="00CE2747" w:rsidRPr="004A4296" w:rsidRDefault="00CE2747" w:rsidP="00302468">
      <w:pPr>
        <w:spacing w:line="360" w:lineRule="auto"/>
        <w:jc w:val="both"/>
      </w:pPr>
      <w:r w:rsidRPr="004A4296">
        <w:t xml:space="preserve">To assess the antibiosis component of resistance to FAW under controlled laboratory conditions, plants </w:t>
      </w:r>
      <w:r w:rsidR="00261AA9">
        <w:t>were</w:t>
      </w:r>
      <w:r w:rsidRPr="004A4296">
        <w:t xml:space="preserve"> grown in the field</w:t>
      </w:r>
      <w:r w:rsidR="006F2C86">
        <w:t>.</w:t>
      </w:r>
      <w:r w:rsidR="00A26ECA">
        <w:t xml:space="preserve"> </w:t>
      </w:r>
      <w:r w:rsidRPr="004A4296">
        <w:t xml:space="preserve">This experiment specifically focused on the </w:t>
      </w:r>
      <w:r w:rsidR="00B51E3C">
        <w:t>R3</w:t>
      </w:r>
      <w:r w:rsidR="00A26ECA">
        <w:t xml:space="preserve"> stage</w:t>
      </w:r>
      <w:r w:rsidR="00B51E3C">
        <w:t xml:space="preserve"> (silking stage)</w:t>
      </w:r>
      <w:r w:rsidR="00E615BA">
        <w:t xml:space="preserve"> </w:t>
      </w:r>
      <w:r w:rsidRPr="004A4296">
        <w:t xml:space="preserve">of the tested maize genotypes. </w:t>
      </w:r>
      <w:r w:rsidR="0087387D" w:rsidRPr="00AD6554">
        <w:t xml:space="preserve">The R3 (silking) stage was selected because maize silk is fully developed and rich in defensive metabolites at this stage, which directly influence </w:t>
      </w:r>
      <w:r w:rsidR="00C25D94" w:rsidRPr="00AD6554">
        <w:t xml:space="preserve">FAW </w:t>
      </w:r>
      <w:r w:rsidR="0087387D" w:rsidRPr="00AD6554">
        <w:t xml:space="preserve">feeding, survival, and development, making it a biologically relevant stage for assessing silk-mediated resistance. </w:t>
      </w:r>
      <w:r w:rsidRPr="004A4296">
        <w:t>For each petri dish, one neonate larva was released on silk using a camel hair brush</w:t>
      </w:r>
      <w:r w:rsidR="00A26ECA">
        <w:t xml:space="preserve">. </w:t>
      </w:r>
      <w:r w:rsidRPr="004A4296">
        <w:t xml:space="preserve">The effect of silk on the survival and development of </w:t>
      </w:r>
      <w:r w:rsidR="00A26ECA">
        <w:t>FAW</w:t>
      </w:r>
      <w:r w:rsidR="00E615BA">
        <w:t xml:space="preserve"> </w:t>
      </w:r>
      <w:r w:rsidRPr="004A4296">
        <w:t>was also evaluated. The silk w</w:t>
      </w:r>
      <w:r w:rsidR="006F2C86">
        <w:t>as</w:t>
      </w:r>
      <w:r w:rsidRPr="004A4296">
        <w:t xml:space="preserve"> changed once in two days. There </w:t>
      </w:r>
      <w:proofErr w:type="gramStart"/>
      <w:r w:rsidRPr="004A4296">
        <w:t>were</w:t>
      </w:r>
      <w:proofErr w:type="gramEnd"/>
      <w:r w:rsidRPr="004A4296">
        <w:t xml:space="preserve"> a total of 20 petri dishes per replication, and the experimental design followed a completely randomized layout with five replications. To maintain optimal conditions, the </w:t>
      </w:r>
      <w:r w:rsidR="006F2C86">
        <w:t xml:space="preserve">silk was </w:t>
      </w:r>
      <w:r w:rsidRPr="004A4296">
        <w:t>changed every two days, and any insect f</w:t>
      </w:r>
      <w:r w:rsidR="00A26ECA">
        <w:t>ae</w:t>
      </w:r>
      <w:r w:rsidRPr="004A4296">
        <w:t xml:space="preserve">ces and exuviae were promptly removed to uphold aseptic conditions within the petri dish. The assessment involved recording various biological attributes, including the percent larval survival after 10 days from the initial release, larval weight (mg), larval period (days), </w:t>
      </w:r>
      <w:r w:rsidRPr="004A4296">
        <w:lastRenderedPageBreak/>
        <w:t xml:space="preserve">percent pupation (%), pupal weight (mg), pupal period (days), percent adult emergence (%), adult longevity (%), and fecundity. This comprehensive approach aimed to provide insights into the antibiosis resistance mechanism against </w:t>
      </w:r>
      <w:r w:rsidR="00457122">
        <w:t>FAW</w:t>
      </w:r>
      <w:r w:rsidRPr="004A4296">
        <w:t xml:space="preserve">, with a focus on understanding how the tested maize genotypes affected key life cycle stages and biological attributes of the </w:t>
      </w:r>
      <w:r w:rsidR="00A26ECA">
        <w:t>FAW</w:t>
      </w:r>
      <w:r w:rsidR="00B353EB">
        <w:t xml:space="preserve"> </w:t>
      </w:r>
      <w:r w:rsidRPr="004A4296">
        <w:t>larvae under these controlled laboratory conditions.</w:t>
      </w:r>
    </w:p>
    <w:p w14:paraId="758B9D28" w14:textId="66CAF750" w:rsidR="00CE2747" w:rsidRPr="00680BEE" w:rsidRDefault="00CE2747" w:rsidP="00302468">
      <w:pPr>
        <w:spacing w:line="360" w:lineRule="auto"/>
        <w:rPr>
          <w:b/>
          <w:bCs w:val="0"/>
        </w:rPr>
      </w:pPr>
      <w:r w:rsidRPr="00680BEE">
        <w:rPr>
          <w:b/>
        </w:rPr>
        <w:t>Statistical analysis</w:t>
      </w:r>
    </w:p>
    <w:p w14:paraId="22F034A9" w14:textId="77777777" w:rsidR="00E615BA" w:rsidRDefault="00CE2747" w:rsidP="00302468">
      <w:pPr>
        <w:spacing w:line="360" w:lineRule="auto"/>
        <w:jc w:val="both"/>
      </w:pPr>
      <w:r w:rsidRPr="004A4296">
        <w:t xml:space="preserve">The data collected from the tested maize genotypes were subjected to analysis of variance (ANOVA) in a </w:t>
      </w:r>
      <w:r w:rsidR="00B353EB">
        <w:t>co</w:t>
      </w:r>
      <w:r w:rsidR="0004308F">
        <w:t>mpletely randomized</w:t>
      </w:r>
      <w:r w:rsidRPr="004A4296">
        <w:t xml:space="preserve"> design (</w:t>
      </w:r>
      <w:r w:rsidR="00B353EB">
        <w:t>CR</w:t>
      </w:r>
      <w:r w:rsidRPr="004A4296">
        <w:t xml:space="preserve">D) using SAS version 9.3. The significance of differences between treatment means was judged by </w:t>
      </w:r>
      <w:r w:rsidR="00F42EE7" w:rsidRPr="004A4296">
        <w:rPr>
          <w:rFonts w:eastAsia="Times New Roman"/>
        </w:rPr>
        <w:t xml:space="preserve">using </w:t>
      </w:r>
      <w:hyperlink w:history="1">
        <w:r w:rsidR="00F42EE7" w:rsidRPr="00202425">
          <w:rPr>
            <w:rStyle w:val="Hyperlink"/>
            <w:rFonts w:eastAsia="Times New Roman"/>
            <w:color w:val="000000" w:themeColor="text1"/>
            <w:u w:val="none"/>
          </w:rPr>
          <w:t>Tukey's HSD</w:t>
        </w:r>
      </w:hyperlink>
      <w:r w:rsidR="00F42EE7" w:rsidRPr="004A4296">
        <w:rPr>
          <w:rFonts w:eastAsia="Times New Roman"/>
        </w:rPr>
        <w:t xml:space="preserve"> test</w:t>
      </w:r>
      <w:r w:rsidR="00F42EE7">
        <w:rPr>
          <w:rFonts w:eastAsia="Times New Roman"/>
        </w:rPr>
        <w:t xml:space="preserve"> </w:t>
      </w:r>
      <w:r w:rsidRPr="004A4296">
        <w:t>at P≤0.05.</w:t>
      </w:r>
    </w:p>
    <w:p w14:paraId="2F2E96FC" w14:textId="4A330915" w:rsidR="00F42EE7" w:rsidRDefault="00CE2747" w:rsidP="00302468">
      <w:pPr>
        <w:spacing w:line="360" w:lineRule="auto"/>
        <w:jc w:val="both"/>
        <w:rPr>
          <w:rFonts w:eastAsia="Times New Roman"/>
        </w:rPr>
      </w:pPr>
      <w:r w:rsidRPr="004A4296">
        <w:rPr>
          <w:rFonts w:eastAsia="Times New Roman"/>
        </w:rPr>
        <w:t xml:space="preserve"> </w:t>
      </w:r>
    </w:p>
    <w:p w14:paraId="2C4F3AD8" w14:textId="50D24F07" w:rsidR="00CE2747" w:rsidRPr="004A4296" w:rsidRDefault="00CE2747" w:rsidP="00302468">
      <w:pPr>
        <w:spacing w:line="360" w:lineRule="auto"/>
        <w:jc w:val="both"/>
        <w:rPr>
          <w:rFonts w:eastAsia="Times New Roman"/>
        </w:rPr>
      </w:pPr>
      <w:r w:rsidRPr="004A4296">
        <w:rPr>
          <w:b/>
          <w:color w:val="000000" w:themeColor="text1"/>
        </w:rPr>
        <w:t xml:space="preserve">Effect </w:t>
      </w:r>
      <w:r w:rsidRPr="004A4296">
        <w:rPr>
          <w:b/>
        </w:rPr>
        <w:t>of silk tissues of selected maize genotypes on survival and development of FAW.</w:t>
      </w:r>
    </w:p>
    <w:p w14:paraId="7691491B" w14:textId="2C5860A0" w:rsidR="00CE2747" w:rsidRPr="004A4296" w:rsidRDefault="00CE2747" w:rsidP="00302468">
      <w:pPr>
        <w:spacing w:line="360" w:lineRule="auto"/>
        <w:jc w:val="both"/>
      </w:pPr>
      <w:r w:rsidRPr="004A4296">
        <w:t>The average larval weight of FAW varied significantly when fed on silk tissues of different maize genotypes, ranging from 38.85 mg/larvae (MIL 9-1230</w:t>
      </w:r>
      <w:r w:rsidRPr="00302468">
        <w:rPr>
          <w:b/>
        </w:rPr>
        <w:t xml:space="preserve">) </w:t>
      </w:r>
      <w:r w:rsidRPr="00202425">
        <w:t>(</w:t>
      </w:r>
      <w:r w:rsidR="00202425" w:rsidRPr="00202425">
        <w:t>Fig</w:t>
      </w:r>
      <w:r w:rsidR="00202425">
        <w:t>ure</w:t>
      </w:r>
      <w:r w:rsidR="00202425" w:rsidRPr="00202425">
        <w:t xml:space="preserve"> 1</w:t>
      </w:r>
      <w:r w:rsidRPr="00202425">
        <w:t xml:space="preserve">) </w:t>
      </w:r>
      <w:r w:rsidRPr="004A4296">
        <w:t>to 86.03 mg/larvae (VS 144) (</w:t>
      </w:r>
      <w:r w:rsidRPr="004A4296">
        <w:rPr>
          <w:color w:val="000000" w:themeColor="text1"/>
        </w:rPr>
        <w:t xml:space="preserve">Table </w:t>
      </w:r>
      <w:r w:rsidR="00302468">
        <w:rPr>
          <w:color w:val="000000" w:themeColor="text1"/>
        </w:rPr>
        <w:t>1</w:t>
      </w:r>
      <w:r w:rsidRPr="004A4296">
        <w:t xml:space="preserve">). Specifically, when compared to other genotypes, FAW larvae, when reared on silk of two genotypes, </w:t>
      </w:r>
      <w:r w:rsidRPr="004A4296">
        <w:rPr>
          <w:i/>
        </w:rPr>
        <w:t>viz.</w:t>
      </w:r>
      <w:r w:rsidRPr="004A4296">
        <w:t>MIL 9-1308 and MIL 9-1309, exhibited significantly lower larval weights, with mean values of 43.27 mg and 39.12 mg, respectively</w:t>
      </w:r>
      <w:r w:rsidRPr="004A4296">
        <w:rPr>
          <w:color w:val="FF0000"/>
        </w:rPr>
        <w:t xml:space="preserve">. </w:t>
      </w:r>
      <w:r w:rsidRPr="004A4296">
        <w:t xml:space="preserve">In contrast, two genotypes, </w:t>
      </w:r>
      <w:r w:rsidRPr="004A4296">
        <w:rPr>
          <w:i/>
        </w:rPr>
        <w:t>viz.,</w:t>
      </w:r>
      <w:r w:rsidRPr="004A4296">
        <w:t xml:space="preserve"> Sarhad HSRB and VS 144, showcased higher mean larval weights of 74.06 mg and 86.03 mg, respectively, compared to other genotypes. The remaining genotypes, MIL 9-1260 and MIL-9-1179, displayed average larval weights ranging between 79.25 mg and 69.94 mg/larvae. The analysis of variance revealed significant differences among the genotypes (F =11.62, HSD = 27.15, p =&lt;0.0001), confirming the observed variation in larval weight across different maize genotypes.</w:t>
      </w:r>
    </w:p>
    <w:p w14:paraId="3EAE8C71" w14:textId="2DC21C78" w:rsidR="00CE2747" w:rsidRPr="004A4296" w:rsidRDefault="00CE2747" w:rsidP="00302468">
      <w:pPr>
        <w:spacing w:line="360" w:lineRule="auto"/>
        <w:jc w:val="both"/>
      </w:pPr>
      <w:r w:rsidRPr="004A4296">
        <w:t>The mean larval period of FAW larvae varied across different maize genotypes and varied from 21.10 days (MIL 9-1260) to 24.00 days (MIL 9-1230) (</w:t>
      </w:r>
      <w:r w:rsidRPr="004A4296">
        <w:rPr>
          <w:color w:val="000000" w:themeColor="text1"/>
        </w:rPr>
        <w:t xml:space="preserve">Table </w:t>
      </w:r>
      <w:r w:rsidR="00302468">
        <w:rPr>
          <w:color w:val="000000" w:themeColor="text1"/>
        </w:rPr>
        <w:t>1</w:t>
      </w:r>
      <w:r w:rsidRPr="004A4296">
        <w:t xml:space="preserve">). Notably, FAW exhibited a significantly prolonged larval period of 24.00 days, 23.00 days, and 24.10 days when fed on three genotypes, </w:t>
      </w:r>
      <w:r w:rsidRPr="004A4296">
        <w:rPr>
          <w:i/>
        </w:rPr>
        <w:t xml:space="preserve">viz., </w:t>
      </w:r>
      <w:r w:rsidRPr="004A4296">
        <w:rPr>
          <w:iCs/>
        </w:rPr>
        <w:t xml:space="preserve">MIL 9-1230, </w:t>
      </w:r>
      <w:r w:rsidRPr="004A4296">
        <w:t xml:space="preserve">MIL 9-1308, and MIL 9-1309, respectively, compared to other genotypes. Conversely, two genotypes, </w:t>
      </w:r>
      <w:r w:rsidRPr="004A4296">
        <w:rPr>
          <w:i/>
        </w:rPr>
        <w:t>viz.,</w:t>
      </w:r>
      <w:r w:rsidRPr="004A4296">
        <w:t xml:space="preserve"> Sarhad HSRB and VS 144, showcased lower mean larval periods of 23.20 days and 21.86 days, respectively, compared to other genotypes. The remaining genotypes, MIL 9-1179 and MIL 9-1260, displayed an average larval period of 23.00 days and 21.10 days, respectively. The analysis of variance revealed no significant differences among the genotypes (F =3.43, HSD = 2.66, p =0.0137).</w:t>
      </w:r>
    </w:p>
    <w:p w14:paraId="494E99CD" w14:textId="7CD7772C" w:rsidR="00CE2747" w:rsidRPr="004A4296" w:rsidRDefault="00CE2747" w:rsidP="00302468">
      <w:pPr>
        <w:spacing w:line="360" w:lineRule="auto"/>
        <w:jc w:val="both"/>
      </w:pPr>
      <w:r w:rsidRPr="004A4296">
        <w:lastRenderedPageBreak/>
        <w:t>The mean percentage of FAW larval survival varied among different maize genotypes, ranging from 64.06% (MIL 9-1230) to 85.00% (MIL 9-1179) (</w:t>
      </w:r>
      <w:r w:rsidRPr="004A4296">
        <w:rPr>
          <w:color w:val="000000" w:themeColor="text1"/>
        </w:rPr>
        <w:t xml:space="preserve">Table </w:t>
      </w:r>
      <w:r w:rsidR="00302468">
        <w:rPr>
          <w:color w:val="000000" w:themeColor="text1"/>
        </w:rPr>
        <w:t>1</w:t>
      </w:r>
      <w:r w:rsidRPr="004A4296">
        <w:t xml:space="preserve">). Significantly lower percentages of larval survival of 64.06% was observed when larvae fed on </w:t>
      </w:r>
      <w:r w:rsidRPr="004A4296">
        <w:rPr>
          <w:iCs/>
        </w:rPr>
        <w:t>MIL 9-1230</w:t>
      </w:r>
      <w:r w:rsidRPr="004A4296">
        <w:t xml:space="preserve"> compared to other genotypes. In contrast, two genotypes,</w:t>
      </w:r>
      <w:r w:rsidRPr="004A4296">
        <w:rPr>
          <w:i/>
        </w:rPr>
        <w:t xml:space="preserve"> viz. </w:t>
      </w:r>
      <w:r w:rsidRPr="004A4296">
        <w:t>VS 144 and MIL 9-1179 showcased higher mean percentages of larval survival, which were 77.00% and 85.00%, compared to other genotypes. The remaining genotypes, MIL 9-1260 and Sarhad HSRB, displayed an average percentage of larval survival of 74.00%. The analysis of variance revealed significant differences among the genotypes (F =11.12, HSD = 8.59, p&lt;0.0001), confirming the observed variation in larval survival across different maize genotypes.</w:t>
      </w:r>
    </w:p>
    <w:p w14:paraId="676F23A3" w14:textId="4CAFCF01" w:rsidR="00CE2747" w:rsidRPr="004A4296" w:rsidRDefault="00CE2747" w:rsidP="00302468">
      <w:pPr>
        <w:spacing w:line="360" w:lineRule="auto"/>
        <w:jc w:val="both"/>
        <w:rPr>
          <w:bCs w:val="0"/>
        </w:rPr>
      </w:pPr>
      <w:r w:rsidRPr="004A4296">
        <w:t>The mean pupal weight of FAW larvae varied across different maize genotypes, ranging from 63.40 mg (MIL9-1230) to 101.28 mg (</w:t>
      </w:r>
      <w:r w:rsidRPr="004A4296">
        <w:rPr>
          <w:color w:val="000000" w:themeColor="text1"/>
        </w:rPr>
        <w:t xml:space="preserve">Table </w:t>
      </w:r>
      <w:r w:rsidR="00302468">
        <w:rPr>
          <w:color w:val="000000" w:themeColor="text1"/>
        </w:rPr>
        <w:t>1</w:t>
      </w:r>
      <w:r w:rsidRPr="004A4296">
        <w:rPr>
          <w:color w:val="000000" w:themeColor="text1"/>
        </w:rPr>
        <w:t>).</w:t>
      </w:r>
      <w:r w:rsidRPr="004A4296">
        <w:t xml:space="preserve"> Specifically, two genotypes, </w:t>
      </w:r>
      <w:r w:rsidRPr="004A4296">
        <w:rPr>
          <w:i/>
        </w:rPr>
        <w:t xml:space="preserve">viz </w:t>
      </w:r>
      <w:r w:rsidRPr="004A4296">
        <w:rPr>
          <w:iCs/>
        </w:rPr>
        <w:t>MIL 9-1230</w:t>
      </w:r>
      <w:r w:rsidRPr="004A4296">
        <w:t xml:space="preserve"> and MIL 9-1308, exhibited significantly lower pupal weights, with mean values of 63.40 mg and 64.27 mg, respectively, compared to other genotypes. The pupal weight of FAW larvae fed on the remaining genotypes, Sarhad HSRB and VS 144(Plate </w:t>
      </w:r>
      <w:proofErr w:type="gramStart"/>
      <w:r w:rsidR="004E5D8F">
        <w:t>1</w:t>
      </w:r>
      <w:r w:rsidRPr="004A4296">
        <w:t>)is</w:t>
      </w:r>
      <w:proofErr w:type="gramEnd"/>
      <w:r w:rsidRPr="004A4296">
        <w:t xml:space="preserve"> 83.30 mg and 84.26 mg/pupae, respectively.</w:t>
      </w:r>
      <w:r w:rsidRPr="004A4296">
        <w:rPr>
          <w:color w:val="FF0000"/>
        </w:rPr>
        <w:t xml:space="preserve"> </w:t>
      </w:r>
      <w:r w:rsidRPr="004A4296">
        <w:t>The analysis of variance revealed significant differences among the genotypes (F =11.29, HSD = 19.41, p=&lt;0.0001), confirming the observed variation in pupal weight across different maize genotypes.</w:t>
      </w:r>
    </w:p>
    <w:p w14:paraId="2DB72013" w14:textId="75906D06" w:rsidR="00CE2747" w:rsidRPr="004A4296" w:rsidRDefault="00CE2747" w:rsidP="00302468">
      <w:pPr>
        <w:spacing w:line="360" w:lineRule="auto"/>
        <w:jc w:val="both"/>
        <w:rPr>
          <w:bCs w:val="0"/>
        </w:rPr>
      </w:pPr>
      <w:r w:rsidRPr="004A4296">
        <w:t>The mean pupal period of FAW larvae varied across different maize genotypes, ranging from 5.40 days (MIL 9-1308) to 7.40 days (MIL 9-1230) (</w:t>
      </w:r>
      <w:r w:rsidRPr="004A4296">
        <w:rPr>
          <w:color w:val="000000" w:themeColor="text1"/>
        </w:rPr>
        <w:t xml:space="preserve">Table </w:t>
      </w:r>
      <w:r w:rsidR="00302468">
        <w:rPr>
          <w:color w:val="000000" w:themeColor="text1"/>
        </w:rPr>
        <w:t>1</w:t>
      </w:r>
      <w:r w:rsidRPr="004A4296">
        <w:t>). Notably, two genotypes,</w:t>
      </w:r>
      <w:r w:rsidRPr="004A4296">
        <w:rPr>
          <w:i/>
        </w:rPr>
        <w:t xml:space="preserve"> viz </w:t>
      </w:r>
      <w:r w:rsidRPr="004A4296">
        <w:rPr>
          <w:iCs/>
        </w:rPr>
        <w:t>MIL 9-1230</w:t>
      </w:r>
      <w:r w:rsidRPr="004A4296">
        <w:t>, and MIL 9-1260, exhibited significantly higher pupal periods of 7.40 days, and 7.20 days, respectively. In contrast, genotype,</w:t>
      </w:r>
      <w:r w:rsidRPr="004A4296">
        <w:rPr>
          <w:i/>
        </w:rPr>
        <w:t xml:space="preserve"> viz.,</w:t>
      </w:r>
      <w:r w:rsidRPr="004A4296">
        <w:t xml:space="preserve"> MIL 9-1179 showcased a lower mean pupal period of 6.40 days, respectively. The pupal period of FAW larvae fed on the remaining genotypes VS 144 and Sarhad HSRB were 7.00 and 6.80 days. The analysis of variance revealed significant differences among the genotypes (F =4.42, HSD = 1.47, p=&lt;0.0001), confirming the observed variation in the pupal period across different maize genotypes.</w:t>
      </w:r>
    </w:p>
    <w:p w14:paraId="6556360B" w14:textId="151C7230" w:rsidR="00CE2747" w:rsidRPr="004A4296" w:rsidRDefault="00CE2747" w:rsidP="00302468">
      <w:pPr>
        <w:spacing w:line="360" w:lineRule="auto"/>
        <w:jc w:val="both"/>
      </w:pPr>
      <w:r w:rsidRPr="004A4296">
        <w:t>The mean percentage of pupal survival for FAW larvae varied among different maize genotypes, ranging from 64.06% (MIL 9-1230) to 85.00% (MIL9 -1179) (</w:t>
      </w:r>
      <w:r w:rsidRPr="004A4296">
        <w:rPr>
          <w:color w:val="000000" w:themeColor="text1"/>
        </w:rPr>
        <w:t>Table</w:t>
      </w:r>
      <w:r w:rsidR="00302468">
        <w:rPr>
          <w:color w:val="000000" w:themeColor="text1"/>
        </w:rPr>
        <w:t xml:space="preserve"> 1</w:t>
      </w:r>
      <w:r w:rsidRPr="004A4296">
        <w:t xml:space="preserve">).   Significantly lower percentages of pupal survival of 64.06% was observed when larvae fed on </w:t>
      </w:r>
      <w:r w:rsidRPr="004A4296">
        <w:rPr>
          <w:iCs/>
        </w:rPr>
        <w:t>MIL 9-1230</w:t>
      </w:r>
      <w:r w:rsidRPr="004A4296">
        <w:t xml:space="preserve"> compared to other genotypes. In contrast, two genotypes,</w:t>
      </w:r>
      <w:r w:rsidRPr="004A4296">
        <w:rPr>
          <w:i/>
        </w:rPr>
        <w:t xml:space="preserve"> viz. </w:t>
      </w:r>
      <w:r w:rsidRPr="004A4296">
        <w:t xml:space="preserve">VS 144 and MIL 9-1179 showcased higher mean percentages of pupal survival, which were 77.00% and 85.00%, compared to other genotypes. The remaining genotypes, MIL 9-1260 and Sarhad HSRB, displayed an average percentage of larval survival of 74.00%. The analysis of variance revealed </w:t>
      </w:r>
      <w:r w:rsidRPr="004A4296">
        <w:lastRenderedPageBreak/>
        <w:t>significant differences among the genotypes (F =11.12, HSD = 8.59, p&lt;0.0001), confirming the observed variation in larval survival across different maize genotypes.</w:t>
      </w:r>
    </w:p>
    <w:p w14:paraId="3764263A" w14:textId="3A27A6C3" w:rsidR="00CE2747" w:rsidRPr="004A4296" w:rsidRDefault="00CE2747" w:rsidP="00302468">
      <w:pPr>
        <w:spacing w:line="360" w:lineRule="auto"/>
        <w:jc w:val="both"/>
      </w:pPr>
      <w:r w:rsidRPr="004A4296">
        <w:t>The mean adult emergence of FAW larvae varied across different maize genotypes, ranging from 1.40 days (MIL 9-1230) to 3.80 days (MIL 9-1179) (</w:t>
      </w:r>
      <w:r w:rsidRPr="004A4296">
        <w:rPr>
          <w:color w:val="000000" w:themeColor="text1"/>
        </w:rPr>
        <w:t xml:space="preserve">Table </w:t>
      </w:r>
      <w:r w:rsidR="00302468">
        <w:rPr>
          <w:color w:val="000000" w:themeColor="text1"/>
        </w:rPr>
        <w:t>1</w:t>
      </w:r>
      <w:r w:rsidRPr="004A4296">
        <w:t xml:space="preserve">). Notably, three genotypes, </w:t>
      </w:r>
      <w:r w:rsidRPr="004A4296">
        <w:rPr>
          <w:i/>
        </w:rPr>
        <w:t xml:space="preserve">viz., </w:t>
      </w:r>
      <w:r w:rsidRPr="004A4296">
        <w:rPr>
          <w:iCs/>
        </w:rPr>
        <w:t>MIL 9-1230,</w:t>
      </w:r>
      <w:r w:rsidRPr="004A4296">
        <w:rPr>
          <w:i/>
        </w:rPr>
        <w:t xml:space="preserve"> </w:t>
      </w:r>
      <w:r w:rsidRPr="004A4296">
        <w:t xml:space="preserve">MIL 9-1308, and MIL 9-1309, exhibited significantly lower adult emergence, with mean values of 1.40 days,2.40 days, and 2.60 days, respectively, compared to other genotypes. Conversely, genotype (MIL 9-1179) showed higher longevity, 3.80 days. The adult emergence of FAW larvae fed on the remaining genotypes </w:t>
      </w:r>
      <w:r w:rsidRPr="004A4296">
        <w:rPr>
          <w:i/>
        </w:rPr>
        <w:t>viz.,</w:t>
      </w:r>
      <w:r w:rsidRPr="004A4296">
        <w:t xml:space="preserve"> Sarhad HSRB and VS 144, showed moderate mean adult emergence, with values of 3.60 days and 3.40 days, compared to other genotypes. The analysis of variance revealed significant differences among the genotypes (F =11.18, HSD = 1.15, p &lt;0.0001), confirming the observed variation in mean adult emergence across different maize genotypes. </w:t>
      </w:r>
    </w:p>
    <w:p w14:paraId="181B5DEF" w14:textId="1901A3B5" w:rsidR="00CE2747" w:rsidRPr="004A4296" w:rsidRDefault="00CE2747" w:rsidP="00302468">
      <w:pPr>
        <w:spacing w:line="360" w:lineRule="auto"/>
        <w:jc w:val="both"/>
        <w:rPr>
          <w:color w:val="FF0000"/>
        </w:rPr>
      </w:pPr>
      <w:r w:rsidRPr="004A4296">
        <w:t xml:space="preserve">The mean percentage of adult emergence for FAW larvae varied across different maize genotypes, ranging from 44.34% (MIL 9-1308) to 65.77% (MIL 9-1179) (Table </w:t>
      </w:r>
      <w:r w:rsidR="00302468">
        <w:t>1</w:t>
      </w:r>
      <w:r w:rsidRPr="004A4296">
        <w:t xml:space="preserve">). Specifically, three genotypes, </w:t>
      </w:r>
      <w:r w:rsidRPr="004A4296">
        <w:rPr>
          <w:i/>
        </w:rPr>
        <w:t xml:space="preserve">viz., </w:t>
      </w:r>
      <w:r w:rsidRPr="004A4296">
        <w:rPr>
          <w:iCs/>
        </w:rPr>
        <w:t xml:space="preserve">MIL 9-1230, </w:t>
      </w:r>
      <w:r w:rsidRPr="004A4296">
        <w:t xml:space="preserve">MIL 9-1308, and MIL 9-1309, exhibited significantly lower percentages of adult emergence, with values of 45.39%, 44.34%, and 46.8%, respectively, compared to other genotypes. In contrast, two genotypes, </w:t>
      </w:r>
      <w:r w:rsidRPr="004A4296">
        <w:rPr>
          <w:i/>
        </w:rPr>
        <w:t xml:space="preserve">viz. </w:t>
      </w:r>
      <w:r w:rsidRPr="004A4296">
        <w:rPr>
          <w:iCs/>
        </w:rPr>
        <w:t xml:space="preserve"> MIL 9-1179 and MIL 9-1260 </w:t>
      </w:r>
      <w:r w:rsidRPr="004A4296">
        <w:t>showcased higher mean percentages of adult emergence, 65.77% and 59.54%, respectively, compared to other genotypes. The percentage of adult emergence for FAW larvae fed on the remaining genotypes, VS 144 and Sarhad HSRB, is 58.56% and 55.83%, respectively. The analysis of variance revealed significant differences among the genotypes (F =7.93, HSD = 13.43, p&lt;0.0001), confirming the observed variation in percent adult emergence across different maize genotypes</w:t>
      </w:r>
      <w:r w:rsidRPr="004A4296">
        <w:rPr>
          <w:color w:val="FF0000"/>
        </w:rPr>
        <w:t xml:space="preserve">. </w:t>
      </w:r>
    </w:p>
    <w:p w14:paraId="1094A461" w14:textId="5208FE61" w:rsidR="00291C7C" w:rsidRDefault="00291C7C" w:rsidP="00302468">
      <w:pPr>
        <w:spacing w:line="360" w:lineRule="auto"/>
        <w:jc w:val="both"/>
        <w:rPr>
          <w:b/>
          <w:color w:val="000000" w:themeColor="text1"/>
        </w:rPr>
      </w:pPr>
      <w:r w:rsidRPr="004A4296">
        <w:rPr>
          <w:noProof/>
          <w:color w:val="FF0000"/>
          <w:lang w:eastAsia="en-IN"/>
        </w:rPr>
        <w:lastRenderedPageBreak/>
        <w:drawing>
          <wp:anchor distT="0" distB="0" distL="114300" distR="114300" simplePos="0" relativeHeight="251664384" behindDoc="1" locked="0" layoutInCell="1" allowOverlap="1" wp14:anchorId="18D9D54F" wp14:editId="0A6602B3">
            <wp:simplePos x="0" y="0"/>
            <wp:positionH relativeFrom="column">
              <wp:posOffset>48260</wp:posOffset>
            </wp:positionH>
            <wp:positionV relativeFrom="paragraph">
              <wp:posOffset>131445</wp:posOffset>
            </wp:positionV>
            <wp:extent cx="5731510" cy="3241675"/>
            <wp:effectExtent l="0" t="0" r="2540" b="0"/>
            <wp:wrapTight wrapText="bothSides">
              <wp:wrapPolygon edited="0">
                <wp:start x="0" y="0"/>
                <wp:lineTo x="0" y="21452"/>
                <wp:lineTo x="21538" y="21452"/>
                <wp:lineTo x="21538" y="0"/>
                <wp:lineTo x="0" y="0"/>
              </wp:wrapPolygon>
            </wp:wrapTight>
            <wp:docPr id="94495817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41675"/>
                    </a:xfrm>
                    <a:prstGeom prst="rect">
                      <a:avLst/>
                    </a:prstGeom>
                    <a:noFill/>
                    <a:ln>
                      <a:noFill/>
                    </a:ln>
                  </pic:spPr>
                </pic:pic>
              </a:graphicData>
            </a:graphic>
            <wp14:sizeRelV relativeFrom="margin">
              <wp14:pctHeight>0</wp14:pctHeight>
            </wp14:sizeRelV>
          </wp:anchor>
        </w:drawing>
      </w:r>
      <w:r w:rsidR="00CE2747" w:rsidRPr="004A4296">
        <w:rPr>
          <w:noProof/>
          <w:lang w:eastAsia="en-IN"/>
        </w:rPr>
        <mc:AlternateContent>
          <mc:Choice Requires="wps">
            <w:drawing>
              <wp:anchor distT="0" distB="0" distL="114300" distR="114300" simplePos="0" relativeHeight="251661312" behindDoc="0" locked="0" layoutInCell="1" allowOverlap="1" wp14:anchorId="57A9102F" wp14:editId="62259032">
                <wp:simplePos x="0" y="0"/>
                <wp:positionH relativeFrom="column">
                  <wp:posOffset>5561874</wp:posOffset>
                </wp:positionH>
                <wp:positionV relativeFrom="paragraph">
                  <wp:posOffset>3036297</wp:posOffset>
                </wp:positionV>
                <wp:extent cx="331833" cy="250371"/>
                <wp:effectExtent l="0" t="0" r="0" b="0"/>
                <wp:wrapNone/>
                <wp:docPr id="250958815" name="Text Box 8"/>
                <wp:cNvGraphicFramePr/>
                <a:graphic xmlns:a="http://schemas.openxmlformats.org/drawingml/2006/main">
                  <a:graphicData uri="http://schemas.microsoft.com/office/word/2010/wordprocessingShape">
                    <wps:wsp>
                      <wps:cNvSpPr txBox="1"/>
                      <wps:spPr>
                        <a:xfrm>
                          <a:off x="0" y="0"/>
                          <a:ext cx="331833" cy="250371"/>
                        </a:xfrm>
                        <a:prstGeom prst="rect">
                          <a:avLst/>
                        </a:prstGeom>
                        <a:noFill/>
                        <a:ln w="6350">
                          <a:noFill/>
                        </a:ln>
                      </wps:spPr>
                      <wps:txbx>
                        <w:txbxContent>
                          <w:p w14:paraId="0B9FCA91" w14:textId="77777777" w:rsidR="00CE2747" w:rsidRPr="008C4C92" w:rsidRDefault="00CE2747" w:rsidP="00CE2747">
                            <w:pPr>
                              <w:rPr>
                                <w:b/>
                                <w:bCs w:val="0"/>
                                <w:color w:val="FFFFFF" w:themeColor="background1"/>
                              </w:rPr>
                            </w:pPr>
                            <w:r>
                              <w:rPr>
                                <w:b/>
                                <w:color w:val="FFFFFF" w:themeColor="background1"/>
                              </w:rPr>
                              <w:t>b</w:t>
                            </w:r>
                            <w:r w:rsidRPr="008C4C92">
                              <w:rPr>
                                <w:b/>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9102F" id="_x0000_t202" coordsize="21600,21600" o:spt="202" path="m,l,21600r21600,l21600,xe">
                <v:stroke joinstyle="miter"/>
                <v:path gradientshapeok="t" o:connecttype="rect"/>
              </v:shapetype>
              <v:shape id="Text Box 8" o:spid="_x0000_s1026" type="#_x0000_t202" style="position:absolute;left:0;text-align:left;margin-left:437.95pt;margin-top:239.1pt;width:26.15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" filled="f" stroked="f" strokeweight=".5pt">
                <v:textbox>
                  <w:txbxContent>
                    <w:p w14:paraId="0B9FCA91" w14:textId="77777777" w:rsidR="00CE2747" w:rsidRPr="008C4C92" w:rsidRDefault="00CE2747" w:rsidP="00CE2747">
                      <w:pPr>
                        <w:rPr>
                          <w:b/>
                          <w:bCs w:val="0"/>
                          <w:color w:val="FFFFFF" w:themeColor="background1"/>
                        </w:rPr>
                      </w:pPr>
                      <w:r>
                        <w:rPr>
                          <w:b/>
                          <w:color w:val="FFFFFF" w:themeColor="background1"/>
                        </w:rPr>
                        <w:t>b</w:t>
                      </w:r>
                      <w:r w:rsidRPr="008C4C92">
                        <w:rPr>
                          <w:b/>
                          <w:color w:val="FFFFFF" w:themeColor="background1"/>
                        </w:rPr>
                        <w:t>)</w:t>
                      </w:r>
                    </w:p>
                  </w:txbxContent>
                </v:textbox>
              </v:shape>
            </w:pict>
          </mc:Fallback>
        </mc:AlternateContent>
      </w:r>
      <w:r w:rsidR="00CE2747" w:rsidRPr="004A4296">
        <w:rPr>
          <w:noProof/>
          <w:lang w:eastAsia="en-IN"/>
        </w:rPr>
        <mc:AlternateContent>
          <mc:Choice Requires="wps">
            <w:drawing>
              <wp:anchor distT="0" distB="0" distL="114300" distR="114300" simplePos="0" relativeHeight="251660288" behindDoc="0" locked="0" layoutInCell="1" allowOverlap="1" wp14:anchorId="79900986" wp14:editId="25CA4102">
                <wp:simplePos x="0" y="0"/>
                <wp:positionH relativeFrom="column">
                  <wp:posOffset>2704828</wp:posOffset>
                </wp:positionH>
                <wp:positionV relativeFrom="paragraph">
                  <wp:posOffset>3058432</wp:posOffset>
                </wp:positionV>
                <wp:extent cx="331833" cy="250371"/>
                <wp:effectExtent l="0" t="0" r="0" b="0"/>
                <wp:wrapNone/>
                <wp:docPr id="835143176" name="Text Box 8"/>
                <wp:cNvGraphicFramePr/>
                <a:graphic xmlns:a="http://schemas.openxmlformats.org/drawingml/2006/main">
                  <a:graphicData uri="http://schemas.microsoft.com/office/word/2010/wordprocessingShape">
                    <wps:wsp>
                      <wps:cNvSpPr txBox="1"/>
                      <wps:spPr>
                        <a:xfrm>
                          <a:off x="0" y="0"/>
                          <a:ext cx="331833" cy="250371"/>
                        </a:xfrm>
                        <a:prstGeom prst="rect">
                          <a:avLst/>
                        </a:prstGeom>
                        <a:noFill/>
                        <a:ln w="6350">
                          <a:noFill/>
                        </a:ln>
                      </wps:spPr>
                      <wps:txbx>
                        <w:txbxContent>
                          <w:p w14:paraId="64D3138F" w14:textId="77777777" w:rsidR="00CE2747" w:rsidRPr="008C4C92" w:rsidRDefault="00CE2747" w:rsidP="00CE2747">
                            <w:pPr>
                              <w:rPr>
                                <w:b/>
                                <w:bCs w:val="0"/>
                                <w:color w:val="FFFFFF" w:themeColor="background1"/>
                              </w:rPr>
                            </w:pPr>
                            <w:r w:rsidRPr="008C4C92">
                              <w:rPr>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00986" id="_x0000_s1027" type="#_x0000_t202" style="position:absolute;left:0;text-align:left;margin-left:213pt;margin-top:240.8pt;width:26.15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" filled="f" stroked="f" strokeweight=".5pt">
                <v:textbox>
                  <w:txbxContent>
                    <w:p w14:paraId="64D3138F" w14:textId="77777777" w:rsidR="00CE2747" w:rsidRPr="008C4C92" w:rsidRDefault="00CE2747" w:rsidP="00CE2747">
                      <w:pPr>
                        <w:rPr>
                          <w:b/>
                          <w:bCs w:val="0"/>
                          <w:color w:val="FFFFFF" w:themeColor="background1"/>
                        </w:rPr>
                      </w:pPr>
                      <w:r w:rsidRPr="008C4C92">
                        <w:rPr>
                          <w:b/>
                          <w:color w:val="FFFFFF" w:themeColor="background1"/>
                        </w:rPr>
                        <w:t>a))</w:t>
                      </w:r>
                    </w:p>
                  </w:txbxContent>
                </v:textbox>
              </v:shape>
            </w:pict>
          </mc:Fallback>
        </mc:AlternateContent>
      </w:r>
      <w:bookmarkStart w:id="0" w:name="_Hlk200704954"/>
    </w:p>
    <w:p w14:paraId="419FDCA5" w14:textId="25B13FE7" w:rsidR="00CE2747" w:rsidRDefault="00AD6554" w:rsidP="00302468">
      <w:pPr>
        <w:spacing w:line="360" w:lineRule="auto"/>
        <w:jc w:val="both"/>
        <w:rPr>
          <w:b/>
          <w:color w:val="000000" w:themeColor="text1"/>
        </w:rPr>
      </w:pPr>
      <w:r>
        <w:rPr>
          <w:b/>
          <w:color w:val="000000" w:themeColor="text1"/>
        </w:rPr>
        <w:t xml:space="preserve">         </w:t>
      </w:r>
      <w:r w:rsidR="00DA08F3">
        <w:rPr>
          <w:b/>
          <w:color w:val="000000" w:themeColor="text1"/>
        </w:rPr>
        <w:t>Figure 1</w:t>
      </w:r>
      <w:r w:rsidR="004A4A5A">
        <w:rPr>
          <w:b/>
          <w:color w:val="000000" w:themeColor="text1"/>
        </w:rPr>
        <w:t>.</w:t>
      </w:r>
      <w:r w:rsidR="00C25D94">
        <w:rPr>
          <w:b/>
          <w:color w:val="000000" w:themeColor="text1"/>
        </w:rPr>
        <w:t xml:space="preserve"> </w:t>
      </w:r>
      <w:r w:rsidR="00CE2747" w:rsidRPr="004A4296">
        <w:rPr>
          <w:b/>
          <w:color w:val="000000" w:themeColor="text1"/>
        </w:rPr>
        <w:t xml:space="preserve">Larva (a) and pupa (b) fed on silk tissues </w:t>
      </w:r>
      <w:r w:rsidR="00C25D94" w:rsidRPr="004A4296">
        <w:rPr>
          <w:b/>
          <w:color w:val="000000" w:themeColor="text1"/>
        </w:rPr>
        <w:t>of genotype</w:t>
      </w:r>
      <w:r w:rsidR="00CE2747" w:rsidRPr="004A4296">
        <w:rPr>
          <w:b/>
          <w:color w:val="000000" w:themeColor="text1"/>
        </w:rPr>
        <w:t xml:space="preserve">   MIL 9-1230 </w:t>
      </w:r>
    </w:p>
    <w:p w14:paraId="3D2FFDBD" w14:textId="42BBF24C" w:rsidR="00291C7C" w:rsidRPr="004A4296" w:rsidRDefault="00744806" w:rsidP="00302468">
      <w:pPr>
        <w:spacing w:line="360" w:lineRule="auto"/>
        <w:jc w:val="both"/>
        <w:rPr>
          <w:color w:val="FF0000"/>
        </w:rPr>
        <w:sectPr w:rsidR="00291C7C" w:rsidRPr="004A4296" w:rsidSect="00CE274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r>
        <w:rPr>
          <w:noProof/>
          <w:lang w:eastAsia="en-IN"/>
        </w:rPr>
        <mc:AlternateContent>
          <mc:Choice Requires="wps">
            <w:drawing>
              <wp:anchor distT="0" distB="0" distL="114300" distR="114300" simplePos="0" relativeHeight="251668480" behindDoc="0" locked="0" layoutInCell="1" allowOverlap="1" wp14:anchorId="0DE8B915" wp14:editId="3D60061E">
                <wp:simplePos x="0" y="0"/>
                <wp:positionH relativeFrom="margin">
                  <wp:align>left</wp:align>
                </wp:positionH>
                <wp:positionV relativeFrom="paragraph">
                  <wp:posOffset>3401695</wp:posOffset>
                </wp:positionV>
                <wp:extent cx="5417820" cy="635"/>
                <wp:effectExtent l="0" t="0" r="0" b="2540"/>
                <wp:wrapSquare wrapText="bothSides"/>
                <wp:docPr id="914242634" name="Text Box 1"/>
                <wp:cNvGraphicFramePr/>
                <a:graphic xmlns:a="http://schemas.openxmlformats.org/drawingml/2006/main">
                  <a:graphicData uri="http://schemas.microsoft.com/office/word/2010/wordprocessingShape">
                    <wps:wsp>
                      <wps:cNvSpPr txBox="1"/>
                      <wps:spPr>
                        <a:xfrm>
                          <a:off x="0" y="0"/>
                          <a:ext cx="5417820" cy="635"/>
                        </a:xfrm>
                        <a:prstGeom prst="rect">
                          <a:avLst/>
                        </a:prstGeom>
                        <a:solidFill>
                          <a:prstClr val="white"/>
                        </a:solidFill>
                        <a:ln>
                          <a:noFill/>
                        </a:ln>
                      </wps:spPr>
                      <wps:txbx>
                        <w:txbxContent>
                          <w:p w14:paraId="549E5F58" w14:textId="1BED3C1D" w:rsidR="00744806" w:rsidRPr="00744806" w:rsidRDefault="00C25D94" w:rsidP="00744806">
                            <w:pPr>
                              <w:pStyle w:val="Caption"/>
                              <w:rPr>
                                <w:b/>
                                <w:bCs w:val="0"/>
                                <w:i w:val="0"/>
                                <w:iCs w:val="0"/>
                                <w:noProof/>
                                <w:color w:val="000000" w:themeColor="text1"/>
                                <w:sz w:val="24"/>
                                <w:szCs w:val="24"/>
                              </w:rPr>
                            </w:pPr>
                            <w:r>
                              <w:rPr>
                                <w:b/>
                                <w:bCs w:val="0"/>
                                <w:i w:val="0"/>
                                <w:iCs w:val="0"/>
                                <w:color w:val="000000" w:themeColor="text1"/>
                                <w:sz w:val="24"/>
                                <w:szCs w:val="24"/>
                              </w:rPr>
                              <w:t xml:space="preserve">               </w:t>
                            </w:r>
                            <w:r w:rsidR="00744806" w:rsidRPr="00744806">
                              <w:rPr>
                                <w:b/>
                                <w:i w:val="0"/>
                                <w:iCs w:val="0"/>
                                <w:color w:val="000000" w:themeColor="text1"/>
                                <w:sz w:val="24"/>
                                <w:szCs w:val="24"/>
                              </w:rPr>
                              <w:t xml:space="preserve">Figure </w:t>
                            </w:r>
                            <w:r w:rsidR="00DA08F3">
                              <w:rPr>
                                <w:b/>
                                <w:i w:val="0"/>
                                <w:iCs w:val="0"/>
                                <w:color w:val="000000" w:themeColor="text1"/>
                                <w:sz w:val="24"/>
                                <w:szCs w:val="24"/>
                              </w:rPr>
                              <w:t>2</w:t>
                            </w:r>
                            <w:r w:rsidR="004A4A5A">
                              <w:rPr>
                                <w:b/>
                                <w:i w:val="0"/>
                                <w:iCs w:val="0"/>
                                <w:color w:val="000000" w:themeColor="text1"/>
                                <w:sz w:val="24"/>
                                <w:szCs w:val="24"/>
                              </w:rPr>
                              <w:t>.</w:t>
                            </w:r>
                            <w:r w:rsidR="00744806" w:rsidRPr="00744806">
                              <w:rPr>
                                <w:b/>
                                <w:i w:val="0"/>
                                <w:iCs w:val="0"/>
                                <w:color w:val="000000" w:themeColor="text1"/>
                                <w:sz w:val="24"/>
                                <w:szCs w:val="24"/>
                              </w:rPr>
                              <w:t xml:space="preserve"> Larva (a) and pupae (b) fed on silk of genotype VS 144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E8B915" id="Text Box 1" o:spid="_x0000_s1028" type="#_x0000_t202" style="position:absolute;left:0;text-align:left;margin-left:0;margin-top:267.85pt;width:426.6pt;height:.05pt;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" stroked="f">
                <v:textbox style="mso-fit-shape-to-text:t" inset="0,0,0,0">
                  <w:txbxContent>
                    <w:p w14:paraId="549E5F58" w14:textId="1BED3C1D" w:rsidR="00744806" w:rsidRPr="00744806" w:rsidRDefault="00C25D94" w:rsidP="00744806">
                      <w:pPr>
                        <w:pStyle w:val="Caption"/>
                        <w:rPr>
                          <w:b/>
                          <w:bCs w:val="0"/>
                          <w:i w:val="0"/>
                          <w:iCs w:val="0"/>
                          <w:noProof/>
                          <w:color w:val="000000" w:themeColor="text1"/>
                          <w:sz w:val="24"/>
                          <w:szCs w:val="24"/>
                        </w:rPr>
                      </w:pPr>
                      <w:r>
                        <w:rPr>
                          <w:b/>
                          <w:bCs w:val="0"/>
                          <w:i w:val="0"/>
                          <w:iCs w:val="0"/>
                          <w:color w:val="000000" w:themeColor="text1"/>
                          <w:sz w:val="24"/>
                          <w:szCs w:val="24"/>
                        </w:rPr>
                        <w:t xml:space="preserve">               </w:t>
                      </w:r>
                      <w:r w:rsidR="00744806" w:rsidRPr="00744806">
                        <w:rPr>
                          <w:b/>
                          <w:i w:val="0"/>
                          <w:iCs w:val="0"/>
                          <w:color w:val="000000" w:themeColor="text1"/>
                          <w:sz w:val="24"/>
                          <w:szCs w:val="24"/>
                        </w:rPr>
                        <w:t xml:space="preserve">Figure </w:t>
                      </w:r>
                      <w:r w:rsidR="00DA08F3">
                        <w:rPr>
                          <w:b/>
                          <w:i w:val="0"/>
                          <w:iCs w:val="0"/>
                          <w:color w:val="000000" w:themeColor="text1"/>
                          <w:sz w:val="24"/>
                          <w:szCs w:val="24"/>
                        </w:rPr>
                        <w:t>2</w:t>
                      </w:r>
                      <w:r w:rsidR="004A4A5A">
                        <w:rPr>
                          <w:b/>
                          <w:i w:val="0"/>
                          <w:iCs w:val="0"/>
                          <w:color w:val="000000" w:themeColor="text1"/>
                          <w:sz w:val="24"/>
                          <w:szCs w:val="24"/>
                        </w:rPr>
                        <w:t>.</w:t>
                      </w:r>
                      <w:r w:rsidR="00744806" w:rsidRPr="00744806">
                        <w:rPr>
                          <w:b/>
                          <w:i w:val="0"/>
                          <w:iCs w:val="0"/>
                          <w:color w:val="000000" w:themeColor="text1"/>
                          <w:sz w:val="24"/>
                          <w:szCs w:val="24"/>
                        </w:rPr>
                        <w:t xml:space="preserve"> Larva (a) and pupae (b) fed on silk of genotype VS 144</w:t>
                      </w:r>
                    </w:p>
                  </w:txbxContent>
                </v:textbox>
                <w10:wrap type="square" anchorx="margin"/>
              </v:shape>
            </w:pict>
          </mc:Fallback>
        </mc:AlternateContent>
      </w:r>
      <w:r w:rsidR="00291C7C" w:rsidRPr="004A4296">
        <w:rPr>
          <w:noProof/>
          <w:color w:val="FF0000"/>
          <w:lang w:eastAsia="en-IN"/>
        </w:rPr>
        <w:drawing>
          <wp:anchor distT="0" distB="0" distL="114300" distR="114300" simplePos="0" relativeHeight="251666432" behindDoc="1" locked="0" layoutInCell="1" allowOverlap="1" wp14:anchorId="54329497" wp14:editId="42426061">
            <wp:simplePos x="0" y="0"/>
            <wp:positionH relativeFrom="margin">
              <wp:align>left</wp:align>
            </wp:positionH>
            <wp:positionV relativeFrom="paragraph">
              <wp:posOffset>124229</wp:posOffset>
            </wp:positionV>
            <wp:extent cx="5731510" cy="3223895"/>
            <wp:effectExtent l="0" t="0" r="2540" b="0"/>
            <wp:wrapSquare wrapText="bothSides"/>
            <wp:docPr id="6261843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14:sizeRelV relativeFrom="margin">
              <wp14:pctHeight>0</wp14:pctHeight>
            </wp14:sizeRelV>
          </wp:anchor>
        </w:drawing>
      </w:r>
    </w:p>
    <w:bookmarkEnd w:id="0"/>
    <w:p w14:paraId="2F3B813D" w14:textId="572C3280" w:rsidR="00CE2747" w:rsidRPr="00744806" w:rsidRDefault="00CE2747" w:rsidP="00744806">
      <w:pPr>
        <w:spacing w:line="360" w:lineRule="auto"/>
        <w:ind w:left="-990"/>
        <w:jc w:val="both"/>
        <w:rPr>
          <w:color w:val="FF0000"/>
        </w:rPr>
      </w:pPr>
      <w:r w:rsidRPr="004A4296">
        <w:rPr>
          <w:noProof/>
          <w:color w:val="FF0000"/>
          <w:lang w:eastAsia="en-IN"/>
        </w:rPr>
        <w:lastRenderedPageBreak/>
        <w:drawing>
          <wp:anchor distT="0" distB="0" distL="114300" distR="114300" simplePos="0" relativeHeight="251659264" behindDoc="1" locked="0" layoutInCell="1" allowOverlap="1" wp14:anchorId="2B06C8A1" wp14:editId="4154C7B1">
            <wp:simplePos x="0" y="0"/>
            <wp:positionH relativeFrom="margin">
              <wp:posOffset>128154</wp:posOffset>
            </wp:positionH>
            <wp:positionV relativeFrom="paragraph">
              <wp:posOffset>57</wp:posOffset>
            </wp:positionV>
            <wp:extent cx="5731510" cy="3223895"/>
            <wp:effectExtent l="0" t="0" r="2540" b="0"/>
            <wp:wrapTight wrapText="bothSides">
              <wp:wrapPolygon edited="0">
                <wp:start x="0" y="0"/>
                <wp:lineTo x="0" y="21443"/>
                <wp:lineTo x="21538" y="21443"/>
                <wp:lineTo x="21538" y="0"/>
                <wp:lineTo x="0" y="0"/>
              </wp:wrapPolygon>
            </wp:wrapTight>
            <wp:docPr id="2423621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anchor>
        </w:drawing>
      </w:r>
      <w:r w:rsidR="00744806">
        <w:rPr>
          <w:b/>
          <w:color w:val="000000" w:themeColor="text1"/>
        </w:rPr>
        <w:t xml:space="preserve">           </w:t>
      </w:r>
      <w:r w:rsidR="00744806">
        <w:rPr>
          <w:b/>
          <w:color w:val="000000" w:themeColor="text1"/>
        </w:rPr>
        <w:tab/>
      </w:r>
      <w:r w:rsidR="00744806">
        <w:rPr>
          <w:b/>
          <w:color w:val="000000" w:themeColor="text1"/>
        </w:rPr>
        <w:tab/>
      </w:r>
      <w:r w:rsidR="00C25D94">
        <w:rPr>
          <w:b/>
          <w:color w:val="000000" w:themeColor="text1"/>
        </w:rPr>
        <w:t>Figure 3</w:t>
      </w:r>
      <w:r w:rsidR="004A4A5A">
        <w:rPr>
          <w:b/>
          <w:color w:val="000000" w:themeColor="text1"/>
        </w:rPr>
        <w:t>.</w:t>
      </w:r>
      <w:r w:rsidR="00C25D94">
        <w:rPr>
          <w:b/>
          <w:color w:val="000000" w:themeColor="text1"/>
        </w:rPr>
        <w:t xml:space="preserve">   </w:t>
      </w:r>
      <w:r w:rsidRPr="004A4296">
        <w:rPr>
          <w:b/>
          <w:color w:val="000000" w:themeColor="text1"/>
        </w:rPr>
        <w:t>Malformed adults when fed on resistant genotypes.</w:t>
      </w:r>
    </w:p>
    <w:p w14:paraId="2772FA01" w14:textId="77777777" w:rsidR="00B70FC6" w:rsidRDefault="00B70FC6" w:rsidP="00302468">
      <w:pPr>
        <w:spacing w:line="360" w:lineRule="auto"/>
        <w:jc w:val="both"/>
        <w:rPr>
          <w:bCs w:val="0"/>
          <w:color w:val="000000" w:themeColor="text1"/>
        </w:rPr>
      </w:pPr>
    </w:p>
    <w:p w14:paraId="5ABCC6E2" w14:textId="77777777" w:rsidR="00823FB2" w:rsidRPr="00823FB2" w:rsidRDefault="00823FB2" w:rsidP="00823FB2">
      <w:pPr>
        <w:spacing w:line="360" w:lineRule="auto"/>
        <w:jc w:val="both"/>
        <w:rPr>
          <w:b/>
          <w:bCs w:val="0"/>
          <w:color w:val="000000" w:themeColor="text1"/>
        </w:rPr>
      </w:pPr>
      <w:r w:rsidRPr="00823FB2">
        <w:rPr>
          <w:b/>
          <w:color w:val="000000" w:themeColor="text1"/>
        </w:rPr>
        <w:t>Discussion</w:t>
      </w:r>
    </w:p>
    <w:p w14:paraId="1726A9C4" w14:textId="7E8B72EB" w:rsidR="00823FB2" w:rsidRPr="00823FB2" w:rsidRDefault="00823FB2" w:rsidP="00823FB2">
      <w:pPr>
        <w:spacing w:line="360" w:lineRule="auto"/>
        <w:jc w:val="both"/>
        <w:rPr>
          <w:bCs w:val="0"/>
          <w:color w:val="000000" w:themeColor="text1"/>
        </w:rPr>
      </w:pPr>
      <w:r w:rsidRPr="00823FB2">
        <w:rPr>
          <w:color w:val="000000" w:themeColor="text1"/>
        </w:rPr>
        <w:t xml:space="preserve">The present study demonstrated significant variation in the antibiosis effects of maize silks on the survival and development of </w:t>
      </w:r>
      <w:r w:rsidR="00457122" w:rsidRPr="00457122">
        <w:rPr>
          <w:color w:val="000000" w:themeColor="text1"/>
        </w:rPr>
        <w:t>FAW</w:t>
      </w:r>
      <w:r w:rsidR="004A4A5A">
        <w:rPr>
          <w:color w:val="000000" w:themeColor="text1"/>
        </w:rPr>
        <w:t>.</w:t>
      </w:r>
      <w:r w:rsidR="00457122">
        <w:rPr>
          <w:color w:val="000000" w:themeColor="text1"/>
        </w:rPr>
        <w:t xml:space="preserve"> </w:t>
      </w:r>
      <w:r w:rsidR="00C74DE6">
        <w:rPr>
          <w:color w:val="000000" w:themeColor="text1"/>
        </w:rPr>
        <w:t>Larval weight, developmental duration, pupal weight, adult emergence, and fecundity differed considerably among genotypes, indicating that silk tissues contribute to the differential expression of resistance</w:t>
      </w:r>
      <w:r w:rsidRPr="00823FB2">
        <w:rPr>
          <w:color w:val="000000" w:themeColor="text1"/>
        </w:rPr>
        <w:t xml:space="preserve">. Specifically, genotypes such as MIL 9-1230, MIL 9-1308, and MIL 9-1309 adversely affected larval performance by reducing larval weight, prolonging the larval period, and lowering pupal survival and adult emergence. Conversely, genotypes such as VS 144, Sarhad HSRB, and MIL 9-1179 supported higher larval survival and development, suggesting that their silks are more </w:t>
      </w:r>
      <w:r w:rsidR="00C74DE6" w:rsidRPr="00823FB2">
        <w:rPr>
          <w:color w:val="000000" w:themeColor="text1"/>
        </w:rPr>
        <w:t>favourable</w:t>
      </w:r>
      <w:r w:rsidR="00E87211">
        <w:rPr>
          <w:color w:val="000000" w:themeColor="text1"/>
        </w:rPr>
        <w:t xml:space="preserve"> </w:t>
      </w:r>
      <w:r w:rsidRPr="00823FB2">
        <w:rPr>
          <w:color w:val="000000" w:themeColor="text1"/>
        </w:rPr>
        <w:t>for FAW growth and thus exhibit little to no antibiosis.</w:t>
      </w:r>
    </w:p>
    <w:p w14:paraId="414B79A1" w14:textId="3472D872" w:rsidR="00823FB2" w:rsidRPr="00B70FC6" w:rsidRDefault="00823FB2" w:rsidP="00823FB2">
      <w:pPr>
        <w:spacing w:line="360" w:lineRule="auto"/>
        <w:jc w:val="both"/>
        <w:rPr>
          <w:color w:val="000000" w:themeColor="text1"/>
        </w:rPr>
      </w:pPr>
      <w:r w:rsidRPr="00823FB2">
        <w:rPr>
          <w:color w:val="000000" w:themeColor="text1"/>
        </w:rPr>
        <w:t xml:space="preserve">These findings corroborate earlier reports that maize silks can significantly influence lepidopteran pest biology. </w:t>
      </w:r>
      <w:proofErr w:type="spellStart"/>
      <w:r w:rsidRPr="00823FB2">
        <w:rPr>
          <w:color w:val="000000" w:themeColor="text1"/>
        </w:rPr>
        <w:t>Waiss</w:t>
      </w:r>
      <w:proofErr w:type="spellEnd"/>
      <w:r w:rsidRPr="00823FB2">
        <w:rPr>
          <w:color w:val="000000" w:themeColor="text1"/>
        </w:rPr>
        <w:t xml:space="preserve"> et al.</w:t>
      </w:r>
      <w:r w:rsidR="00F6105D">
        <w:rPr>
          <w:color w:val="000000" w:themeColor="text1"/>
        </w:rPr>
        <w:t>,</w:t>
      </w:r>
      <w:r w:rsidRPr="00823FB2">
        <w:rPr>
          <w:color w:val="000000" w:themeColor="text1"/>
        </w:rPr>
        <w:t xml:space="preserve">1979 identified </w:t>
      </w:r>
      <w:proofErr w:type="spellStart"/>
      <w:r w:rsidRPr="00B70FC6">
        <w:rPr>
          <w:color w:val="000000" w:themeColor="text1"/>
        </w:rPr>
        <w:t>maysin</w:t>
      </w:r>
      <w:proofErr w:type="spellEnd"/>
      <w:r w:rsidRPr="00B70FC6">
        <w:rPr>
          <w:color w:val="000000" w:themeColor="text1"/>
        </w:rPr>
        <w:t>, a flavone glycoside in maize silks, as a key biochemical factor conferring antibiotic effects against the corn earworm (</w:t>
      </w:r>
      <w:r w:rsidRPr="00B70FC6">
        <w:rPr>
          <w:i/>
          <w:iCs/>
          <w:color w:val="000000" w:themeColor="text1"/>
        </w:rPr>
        <w:t xml:space="preserve">Helicoverpa </w:t>
      </w:r>
      <w:proofErr w:type="spellStart"/>
      <w:r w:rsidRPr="00B70FC6">
        <w:rPr>
          <w:i/>
          <w:iCs/>
          <w:color w:val="000000" w:themeColor="text1"/>
        </w:rPr>
        <w:t>zea</w:t>
      </w:r>
      <w:proofErr w:type="spellEnd"/>
      <w:r w:rsidRPr="00B70FC6">
        <w:rPr>
          <w:color w:val="000000" w:themeColor="text1"/>
        </w:rPr>
        <w:t xml:space="preserve">). High </w:t>
      </w:r>
      <w:proofErr w:type="spellStart"/>
      <w:r w:rsidRPr="00B70FC6">
        <w:rPr>
          <w:color w:val="000000" w:themeColor="text1"/>
        </w:rPr>
        <w:t>maysin</w:t>
      </w:r>
      <w:proofErr w:type="spellEnd"/>
      <w:r w:rsidRPr="00B70FC6">
        <w:rPr>
          <w:color w:val="000000" w:themeColor="text1"/>
        </w:rPr>
        <w:t xml:space="preserve"> concentrations were associated with reduced larval growth and survival, which is consistent with the reduced FAW performance observed on resistant genotypes in this study. Similarly,</w:t>
      </w:r>
      <w:r w:rsidR="00F6105D">
        <w:rPr>
          <w:color w:val="000000" w:themeColor="text1"/>
        </w:rPr>
        <w:t xml:space="preserve"> </w:t>
      </w:r>
      <w:r w:rsidRPr="00B70FC6">
        <w:rPr>
          <w:color w:val="000000" w:themeColor="text1"/>
        </w:rPr>
        <w:t>Wiseman et al.</w:t>
      </w:r>
      <w:r w:rsidR="00F6105D">
        <w:rPr>
          <w:color w:val="000000" w:themeColor="text1"/>
        </w:rPr>
        <w:t xml:space="preserve"> 1</w:t>
      </w:r>
      <w:r w:rsidRPr="00B70FC6">
        <w:rPr>
          <w:color w:val="000000" w:themeColor="text1"/>
        </w:rPr>
        <w:t xml:space="preserve">977, 1981 and Wiseman &amp; Widstrom (1986) demonstrated that silk tissues from resistant maize genotypes, including </w:t>
      </w:r>
      <w:proofErr w:type="spellStart"/>
      <w:r w:rsidRPr="00B70FC6">
        <w:rPr>
          <w:i/>
          <w:iCs/>
          <w:color w:val="000000" w:themeColor="text1"/>
        </w:rPr>
        <w:t>Zapalote</w:t>
      </w:r>
      <w:proofErr w:type="spellEnd"/>
      <w:r w:rsidRPr="00B70FC6">
        <w:rPr>
          <w:i/>
          <w:iCs/>
          <w:color w:val="000000" w:themeColor="text1"/>
        </w:rPr>
        <w:t xml:space="preserve"> Chico</w:t>
      </w:r>
      <w:r w:rsidRPr="00B70FC6">
        <w:rPr>
          <w:color w:val="000000" w:themeColor="text1"/>
        </w:rPr>
        <w:t xml:space="preserve">, reduced larval feeding and </w:t>
      </w:r>
      <w:r w:rsidRPr="00B70FC6">
        <w:rPr>
          <w:color w:val="000000" w:themeColor="text1"/>
        </w:rPr>
        <w:lastRenderedPageBreak/>
        <w:t>development of ear-feeding pests. The extended larval duration and reduced pupal weights observed in our resistant genotypes align with the antibiosis effects reported in these earlier studies.</w:t>
      </w:r>
    </w:p>
    <w:p w14:paraId="0785DC86" w14:textId="77777777" w:rsidR="00823FB2" w:rsidRPr="00823FB2" w:rsidRDefault="00823FB2" w:rsidP="00823FB2">
      <w:pPr>
        <w:spacing w:line="360" w:lineRule="auto"/>
        <w:jc w:val="both"/>
        <w:rPr>
          <w:bCs w:val="0"/>
          <w:color w:val="000000" w:themeColor="text1"/>
        </w:rPr>
      </w:pPr>
      <w:r w:rsidRPr="00B70FC6">
        <w:rPr>
          <w:color w:val="000000" w:themeColor="text1"/>
        </w:rPr>
        <w:t xml:space="preserve">In addition to biochemical </w:t>
      </w:r>
      <w:proofErr w:type="spellStart"/>
      <w:r w:rsidRPr="00B70FC6">
        <w:rPr>
          <w:color w:val="000000" w:themeColor="text1"/>
        </w:rPr>
        <w:t>defenses</w:t>
      </w:r>
      <w:proofErr w:type="spellEnd"/>
      <w:r w:rsidRPr="00B70FC6">
        <w:rPr>
          <w:color w:val="000000" w:themeColor="text1"/>
        </w:rPr>
        <w:t>, morphological attributes of silk tissues have been implicated in resistance. Traits such as tight husks, elongated silk channels, and greater silk density ca</w:t>
      </w:r>
      <w:r w:rsidRPr="00823FB2">
        <w:rPr>
          <w:color w:val="000000" w:themeColor="text1"/>
        </w:rPr>
        <w:t xml:space="preserve">n physically hinder larval entry and feeding (Wiseman et al., 1977). While such traits were not directly measured in the present study, the observed differences in FAW performance across genotypes may reflect an interplay of both biochemical and structural </w:t>
      </w:r>
      <w:proofErr w:type="spellStart"/>
      <w:r w:rsidRPr="00823FB2">
        <w:rPr>
          <w:color w:val="000000" w:themeColor="text1"/>
        </w:rPr>
        <w:t>defenses</w:t>
      </w:r>
      <w:proofErr w:type="spellEnd"/>
      <w:r w:rsidRPr="00823FB2">
        <w:rPr>
          <w:color w:val="000000" w:themeColor="text1"/>
        </w:rPr>
        <w:t xml:space="preserve"> in silks.</w:t>
      </w:r>
    </w:p>
    <w:p w14:paraId="3569BBA6" w14:textId="34E655F2" w:rsidR="00823FB2" w:rsidRPr="00823FB2" w:rsidRDefault="00823FB2" w:rsidP="00823FB2">
      <w:pPr>
        <w:spacing w:line="360" w:lineRule="auto"/>
        <w:jc w:val="both"/>
        <w:rPr>
          <w:bCs w:val="0"/>
          <w:color w:val="000000" w:themeColor="text1"/>
        </w:rPr>
      </w:pPr>
      <w:r w:rsidRPr="00823FB2">
        <w:rPr>
          <w:color w:val="000000" w:themeColor="text1"/>
        </w:rPr>
        <w:t xml:space="preserve">In our study, resistant genotypes such as MIL 9-1230 and MIL 9-1308 exhibited strong antibiosis in silks, whereas susceptible genotypes like VS 144 and Sarhad HSRB supported high larval growth and survival. </w:t>
      </w:r>
      <w:r w:rsidRPr="004A4296">
        <w:rPr>
          <w:color w:val="000000" w:themeColor="text1"/>
        </w:rPr>
        <w:t xml:space="preserve">Interestingly, not all genotypes that showed resistance in leaves expressed resistance in silks, echoing the results of </w:t>
      </w:r>
      <w:proofErr w:type="spellStart"/>
      <w:r w:rsidRPr="004A4296">
        <w:rPr>
          <w:color w:val="000000" w:themeColor="text1"/>
        </w:rPr>
        <w:t>Nuambote</w:t>
      </w:r>
      <w:proofErr w:type="spellEnd"/>
      <w:r w:rsidRPr="004A4296">
        <w:rPr>
          <w:color w:val="000000" w:themeColor="text1"/>
        </w:rPr>
        <w:t>-Yobila et al.</w:t>
      </w:r>
      <w:r w:rsidR="00F6105D">
        <w:rPr>
          <w:color w:val="000000" w:themeColor="text1"/>
        </w:rPr>
        <w:t>,</w:t>
      </w:r>
      <w:r w:rsidRPr="004A4296">
        <w:rPr>
          <w:color w:val="000000" w:themeColor="text1"/>
        </w:rPr>
        <w:t xml:space="preserve"> (2023), who reported that silk tissues may not always reflect the antibiosis and </w:t>
      </w:r>
      <w:proofErr w:type="spellStart"/>
      <w:r w:rsidRPr="004A4296">
        <w:rPr>
          <w:color w:val="000000" w:themeColor="text1"/>
        </w:rPr>
        <w:t>antixenosis</w:t>
      </w:r>
      <w:proofErr w:type="spellEnd"/>
      <w:r w:rsidRPr="004A4296">
        <w:rPr>
          <w:color w:val="000000" w:themeColor="text1"/>
        </w:rPr>
        <w:t xml:space="preserve"> observed in vegetative tissues. This highlights the tissue-specific nature of maize </w:t>
      </w:r>
      <w:proofErr w:type="spellStart"/>
      <w:r w:rsidRPr="004A4296">
        <w:rPr>
          <w:color w:val="000000" w:themeColor="text1"/>
        </w:rPr>
        <w:t>defense</w:t>
      </w:r>
      <w:proofErr w:type="spellEnd"/>
      <w:r w:rsidRPr="004A4296">
        <w:rPr>
          <w:color w:val="000000" w:themeColor="text1"/>
        </w:rPr>
        <w:t xml:space="preserve"> responses and underscores the importance of incorporating silk resistance into breeding programs aimed at comprehensive protection against FAW.</w:t>
      </w:r>
    </w:p>
    <w:p w14:paraId="3450A746" w14:textId="77777777" w:rsidR="00823FB2" w:rsidRPr="00823FB2" w:rsidRDefault="00823FB2" w:rsidP="00823FB2">
      <w:pPr>
        <w:spacing w:line="360" w:lineRule="auto"/>
        <w:jc w:val="both"/>
        <w:rPr>
          <w:bCs w:val="0"/>
          <w:color w:val="000000" w:themeColor="text1"/>
        </w:rPr>
      </w:pPr>
      <w:r w:rsidRPr="00823FB2">
        <w:rPr>
          <w:color w:val="000000" w:themeColor="text1"/>
        </w:rPr>
        <w:t>The prolonged larval and pupal periods observed in resistant genotypes are particularly relevant for integrated pest management. Slower larval development exposes insects to natural enemies for longer periods, potentially enhancing biological control effectiveness. Reduced pupal weights and lower adult emergence rates also imply decreased reproductive potential, thereby suppressing subsequent pest generations. These antibiosis effects highlight the importance of incorporating silk resistance into maize breeding programs.</w:t>
      </w:r>
    </w:p>
    <w:p w14:paraId="152DE559" w14:textId="77777777" w:rsidR="00823FB2" w:rsidRDefault="00823FB2" w:rsidP="00823FB2">
      <w:pPr>
        <w:spacing w:line="360" w:lineRule="auto"/>
        <w:jc w:val="both"/>
        <w:rPr>
          <w:bCs w:val="0"/>
          <w:color w:val="000000" w:themeColor="text1"/>
        </w:rPr>
      </w:pPr>
      <w:r w:rsidRPr="00823FB2">
        <w:rPr>
          <w:color w:val="000000" w:themeColor="text1"/>
        </w:rPr>
        <w:t>Overall, the present findings reinforce the significance of silks as a defensive tissue against FAW. The observed genotypic variability suggests that silks could serve as an important selection criterion in breeding programs aimed at developing cultivars with stable resistance at reproductive stages. Future work should focus on quantifying silk biochemical constituents such as flavonoids and phenolics, as well as evaluating structural traits, to unravel the specific mechanisms underlying silk-mediated resistance to FAW.</w:t>
      </w:r>
    </w:p>
    <w:p w14:paraId="7827A790" w14:textId="5E5654AF" w:rsidR="005060AD" w:rsidRPr="005060AD" w:rsidRDefault="005060AD" w:rsidP="00823FB2">
      <w:pPr>
        <w:spacing w:line="360" w:lineRule="auto"/>
        <w:jc w:val="both"/>
        <w:rPr>
          <w:b/>
          <w:color w:val="000000" w:themeColor="text1"/>
        </w:rPr>
      </w:pPr>
      <w:r w:rsidRPr="005060AD">
        <w:rPr>
          <w:b/>
          <w:color w:val="000000" w:themeColor="text1"/>
        </w:rPr>
        <w:t>Conclusion:</w:t>
      </w:r>
    </w:p>
    <w:p w14:paraId="0651FFE9" w14:textId="266B13A3" w:rsidR="005060AD" w:rsidRDefault="005060AD" w:rsidP="005060AD">
      <w:pPr>
        <w:spacing w:line="360" w:lineRule="auto"/>
        <w:jc w:val="both"/>
        <w:rPr>
          <w:bCs w:val="0"/>
          <w:color w:val="000000" w:themeColor="text1"/>
        </w:rPr>
      </w:pPr>
      <w:r w:rsidRPr="005060AD">
        <w:rPr>
          <w:color w:val="000000" w:themeColor="text1"/>
        </w:rPr>
        <w:t xml:space="preserve">The results of this study showed that maize silks are essential for mediating resistance to antibiotics against </w:t>
      </w:r>
      <w:r w:rsidR="00743022">
        <w:rPr>
          <w:color w:val="000000" w:themeColor="text1"/>
        </w:rPr>
        <w:t>FAW</w:t>
      </w:r>
      <w:r w:rsidRPr="005060AD">
        <w:rPr>
          <w:color w:val="000000" w:themeColor="text1"/>
        </w:rPr>
        <w:t xml:space="preserve">. Significant differences were found across the seven genotypes that were </w:t>
      </w:r>
      <w:r w:rsidRPr="005060AD">
        <w:rPr>
          <w:color w:val="000000" w:themeColor="text1"/>
        </w:rPr>
        <w:lastRenderedPageBreak/>
        <w:t>assessed in terms of adult emergence, pupal weight, development, and larval survival. Strong antibiosis effects were demonstrated by genotypes like MIL 9-1230, MIL 9-1308, and MIL 9-1309, which consistently decreased larval growth, extended developmental length, and decreased pupal and adult survival. However, as a result of their vulnerability, VS 144, Sarhad HSRB,</w:t>
      </w:r>
      <w:r w:rsidR="00F96341">
        <w:rPr>
          <w:color w:val="000000" w:themeColor="text1"/>
        </w:rPr>
        <w:t xml:space="preserve"> </w:t>
      </w:r>
      <w:r>
        <w:rPr>
          <w:color w:val="000000" w:themeColor="text1"/>
        </w:rPr>
        <w:t>MIL 9-1260</w:t>
      </w:r>
      <w:r w:rsidRPr="005060AD">
        <w:rPr>
          <w:color w:val="000000" w:themeColor="text1"/>
        </w:rPr>
        <w:t xml:space="preserve"> and MIL 9-1179 promoted greater larval growth and survival. These results demonstrate the tissue-specificity of resistance expression in maize and the distinct role silks play in the </w:t>
      </w:r>
      <w:proofErr w:type="spellStart"/>
      <w:r w:rsidRPr="005060AD">
        <w:rPr>
          <w:color w:val="000000" w:themeColor="text1"/>
        </w:rPr>
        <w:t>defense</w:t>
      </w:r>
      <w:proofErr w:type="spellEnd"/>
      <w:r w:rsidRPr="005060AD">
        <w:rPr>
          <w:color w:val="000000" w:themeColor="text1"/>
        </w:rPr>
        <w:t xml:space="preserve"> mechanism as a whole.</w:t>
      </w:r>
    </w:p>
    <w:p w14:paraId="041BC921" w14:textId="3CC61A63" w:rsidR="009F2FD7" w:rsidRPr="009F2FD7" w:rsidRDefault="009F2FD7" w:rsidP="005060AD">
      <w:pPr>
        <w:spacing w:line="360" w:lineRule="auto"/>
        <w:jc w:val="both"/>
        <w:rPr>
          <w:bCs w:val="0"/>
          <w:color w:val="000000" w:themeColor="text1"/>
        </w:rPr>
      </w:pPr>
      <w:r w:rsidRPr="009F2FD7">
        <w:rPr>
          <w:rFonts w:cs="Myriad Pro Light SemiCond"/>
          <w:b/>
          <w:color w:val="000000"/>
        </w:rPr>
        <w:t xml:space="preserve">Acknowledgements </w:t>
      </w:r>
      <w:r w:rsidRPr="009F2FD7">
        <w:rPr>
          <w:color w:val="000000"/>
        </w:rPr>
        <w:t>The authors express their gratitude to the Direc</w:t>
      </w:r>
      <w:r w:rsidRPr="009F2FD7">
        <w:rPr>
          <w:color w:val="000000"/>
        </w:rPr>
        <w:softHyphen/>
        <w:t xml:space="preserve">tor, ICAR-IIMR, Ludhiana for providing facilities to carry out the research work. The Head of the Department of Entomology and Dean of the College of Agriculture, </w:t>
      </w:r>
      <w:proofErr w:type="spellStart"/>
      <w:r w:rsidRPr="009F2FD7">
        <w:rPr>
          <w:color w:val="000000"/>
        </w:rPr>
        <w:t>Iroisemba</w:t>
      </w:r>
      <w:proofErr w:type="spellEnd"/>
      <w:r w:rsidRPr="009F2FD7">
        <w:rPr>
          <w:color w:val="000000"/>
        </w:rPr>
        <w:t>, Central Agricultural Univer</w:t>
      </w:r>
      <w:r w:rsidRPr="009F2FD7">
        <w:rPr>
          <w:color w:val="000000"/>
        </w:rPr>
        <w:softHyphen/>
        <w:t xml:space="preserve">sity, Imphal, is also acknowledged for supporting the research work. The authors also acknowledge CIMMYT, India for providing a DH induction facility </w:t>
      </w:r>
    </w:p>
    <w:p w14:paraId="4EB3C119" w14:textId="77777777" w:rsidR="005060AD" w:rsidRPr="009F2FD7" w:rsidRDefault="005060AD" w:rsidP="00823FB2">
      <w:pPr>
        <w:spacing w:line="360" w:lineRule="auto"/>
        <w:jc w:val="both"/>
        <w:rPr>
          <w:bCs w:val="0"/>
          <w:color w:val="000000" w:themeColor="text1"/>
        </w:rPr>
      </w:pPr>
    </w:p>
    <w:p w14:paraId="1C2C1FCA" w14:textId="77777777" w:rsidR="00823FB2" w:rsidRPr="004A4296" w:rsidRDefault="00823FB2" w:rsidP="00302468">
      <w:pPr>
        <w:spacing w:line="360" w:lineRule="auto"/>
        <w:jc w:val="both"/>
        <w:rPr>
          <w:bCs w:val="0"/>
          <w:color w:val="000000" w:themeColor="text1"/>
        </w:rPr>
      </w:pPr>
    </w:p>
    <w:p w14:paraId="2DB50336" w14:textId="77777777" w:rsidR="002905BE" w:rsidRPr="004A4296" w:rsidRDefault="002905BE" w:rsidP="00302468">
      <w:pPr>
        <w:spacing w:line="360" w:lineRule="auto"/>
        <w:jc w:val="both"/>
        <w:rPr>
          <w:bCs w:val="0"/>
          <w:color w:val="000000" w:themeColor="text1"/>
        </w:rPr>
      </w:pPr>
    </w:p>
    <w:p w14:paraId="33941E5C" w14:textId="77777777" w:rsidR="002905BE" w:rsidRPr="004A4296" w:rsidRDefault="002905BE" w:rsidP="00302468">
      <w:pPr>
        <w:spacing w:line="360" w:lineRule="auto"/>
        <w:sectPr w:rsidR="002905BE" w:rsidRPr="004A4296" w:rsidSect="00744806">
          <w:pgSz w:w="11906" w:h="16838"/>
          <w:pgMar w:top="1440" w:right="1152" w:bottom="1440" w:left="1530" w:header="706" w:footer="706" w:gutter="0"/>
          <w:cols w:space="708"/>
          <w:docGrid w:linePitch="360"/>
        </w:sectPr>
      </w:pPr>
    </w:p>
    <w:p w14:paraId="545D8FDB" w14:textId="66D6865F" w:rsidR="002905BE" w:rsidRPr="004A4296" w:rsidRDefault="002905BE" w:rsidP="00302468">
      <w:pPr>
        <w:spacing w:line="360" w:lineRule="auto"/>
        <w:jc w:val="both"/>
        <w:rPr>
          <w:b/>
          <w:bCs w:val="0"/>
        </w:rPr>
      </w:pPr>
      <w:r w:rsidRPr="004A4296">
        <w:rPr>
          <w:b/>
          <w:color w:val="000000" w:themeColor="text1"/>
        </w:rPr>
        <w:lastRenderedPageBreak/>
        <w:t xml:space="preserve">Table </w:t>
      </w:r>
      <w:r w:rsidR="00D10140">
        <w:rPr>
          <w:b/>
          <w:color w:val="000000" w:themeColor="text1"/>
        </w:rPr>
        <w:t>1</w:t>
      </w:r>
      <w:r w:rsidRPr="004A4296">
        <w:rPr>
          <w:b/>
          <w:color w:val="000000" w:themeColor="text1"/>
        </w:rPr>
        <w:t xml:space="preserve"> Effect </w:t>
      </w:r>
      <w:r w:rsidRPr="004A4296">
        <w:rPr>
          <w:b/>
        </w:rPr>
        <w:t>of silk tissues of selected maize genotypes on survival and development of FAW under controlled la</w:t>
      </w:r>
      <w:r w:rsidR="00853B4F">
        <w:rPr>
          <w:b/>
        </w:rPr>
        <w:t>b</w:t>
      </w:r>
      <w:r w:rsidRPr="004A4296">
        <w:rPr>
          <w:b/>
        </w:rPr>
        <w:t>oratory conditions</w:t>
      </w:r>
    </w:p>
    <w:tbl>
      <w:tblPr>
        <w:tblW w:w="14723" w:type="dxa"/>
        <w:tblInd w:w="-393" w:type="dxa"/>
        <w:tblLook w:val="04A0" w:firstRow="1" w:lastRow="0" w:firstColumn="1" w:lastColumn="0" w:noHBand="0" w:noVBand="1"/>
      </w:tblPr>
      <w:tblGrid>
        <w:gridCol w:w="809"/>
        <w:gridCol w:w="1356"/>
        <w:gridCol w:w="1599"/>
        <w:gridCol w:w="1561"/>
        <w:gridCol w:w="1627"/>
        <w:gridCol w:w="1438"/>
        <w:gridCol w:w="1548"/>
        <w:gridCol w:w="1561"/>
        <w:gridCol w:w="1632"/>
        <w:gridCol w:w="1592"/>
      </w:tblGrid>
      <w:tr w:rsidR="002905BE" w:rsidRPr="004A4296" w14:paraId="226F0A6C" w14:textId="77777777" w:rsidTr="00AB219B">
        <w:trPr>
          <w:trHeight w:val="668"/>
        </w:trPr>
        <w:tc>
          <w:tcPr>
            <w:tcW w:w="809" w:type="dxa"/>
            <w:tcBorders>
              <w:top w:val="single" w:sz="8" w:space="0" w:color="auto"/>
              <w:left w:val="single" w:sz="8" w:space="0" w:color="auto"/>
              <w:bottom w:val="single" w:sz="8" w:space="0" w:color="auto"/>
              <w:right w:val="single" w:sz="8" w:space="0" w:color="auto"/>
            </w:tcBorders>
            <w:vAlign w:val="center"/>
            <w:hideMark/>
          </w:tcPr>
          <w:p w14:paraId="246495A2"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S. No</w:t>
            </w:r>
          </w:p>
        </w:tc>
        <w:tc>
          <w:tcPr>
            <w:tcW w:w="1356" w:type="dxa"/>
            <w:tcBorders>
              <w:top w:val="single" w:sz="8" w:space="0" w:color="auto"/>
              <w:left w:val="nil"/>
              <w:bottom w:val="single" w:sz="8" w:space="0" w:color="auto"/>
              <w:right w:val="single" w:sz="8" w:space="0" w:color="auto"/>
            </w:tcBorders>
            <w:vAlign w:val="center"/>
            <w:hideMark/>
          </w:tcPr>
          <w:p w14:paraId="41CD2FDC"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Genotype</w:t>
            </w:r>
          </w:p>
        </w:tc>
        <w:tc>
          <w:tcPr>
            <w:tcW w:w="1599" w:type="dxa"/>
            <w:tcBorders>
              <w:top w:val="single" w:sz="8" w:space="0" w:color="auto"/>
              <w:left w:val="nil"/>
              <w:bottom w:val="single" w:sz="8" w:space="0" w:color="auto"/>
              <w:right w:val="single" w:sz="8" w:space="0" w:color="auto"/>
            </w:tcBorders>
            <w:vAlign w:val="center"/>
            <w:hideMark/>
          </w:tcPr>
          <w:p w14:paraId="77B1D3C0"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Larval weight (mg)</w:t>
            </w:r>
          </w:p>
        </w:tc>
        <w:tc>
          <w:tcPr>
            <w:tcW w:w="1561" w:type="dxa"/>
            <w:tcBorders>
              <w:top w:val="single" w:sz="8" w:space="0" w:color="auto"/>
              <w:left w:val="nil"/>
              <w:bottom w:val="single" w:sz="8" w:space="0" w:color="auto"/>
              <w:right w:val="single" w:sz="8" w:space="0" w:color="auto"/>
            </w:tcBorders>
            <w:vAlign w:val="center"/>
            <w:hideMark/>
          </w:tcPr>
          <w:p w14:paraId="7C155BDE"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Larval period (days)</w:t>
            </w:r>
          </w:p>
        </w:tc>
        <w:tc>
          <w:tcPr>
            <w:tcW w:w="1627" w:type="dxa"/>
            <w:tcBorders>
              <w:top w:val="single" w:sz="8" w:space="0" w:color="auto"/>
              <w:left w:val="nil"/>
              <w:bottom w:val="single" w:sz="8" w:space="0" w:color="auto"/>
              <w:right w:val="single" w:sz="8" w:space="0" w:color="auto"/>
            </w:tcBorders>
            <w:vAlign w:val="center"/>
            <w:hideMark/>
          </w:tcPr>
          <w:p w14:paraId="5A723BDF"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Pupal weight (mg)</w:t>
            </w:r>
          </w:p>
        </w:tc>
        <w:tc>
          <w:tcPr>
            <w:tcW w:w="1438" w:type="dxa"/>
            <w:tcBorders>
              <w:top w:val="single" w:sz="8" w:space="0" w:color="auto"/>
              <w:left w:val="nil"/>
              <w:bottom w:val="single" w:sz="8" w:space="0" w:color="auto"/>
              <w:right w:val="single" w:sz="8" w:space="0" w:color="auto"/>
            </w:tcBorders>
            <w:vAlign w:val="center"/>
            <w:hideMark/>
          </w:tcPr>
          <w:p w14:paraId="6B6FCD53"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Pupal period (days)</w:t>
            </w:r>
          </w:p>
        </w:tc>
        <w:tc>
          <w:tcPr>
            <w:tcW w:w="1548" w:type="dxa"/>
            <w:tcBorders>
              <w:top w:val="single" w:sz="8" w:space="0" w:color="auto"/>
              <w:left w:val="nil"/>
              <w:bottom w:val="single" w:sz="8" w:space="0" w:color="auto"/>
              <w:right w:val="single" w:sz="8" w:space="0" w:color="auto"/>
            </w:tcBorders>
            <w:vAlign w:val="center"/>
            <w:hideMark/>
          </w:tcPr>
          <w:p w14:paraId="3B24D7E6"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Adult emergence (days)</w:t>
            </w:r>
          </w:p>
        </w:tc>
        <w:tc>
          <w:tcPr>
            <w:tcW w:w="1561" w:type="dxa"/>
            <w:tcBorders>
              <w:top w:val="single" w:sz="8" w:space="0" w:color="auto"/>
              <w:left w:val="nil"/>
              <w:bottom w:val="single" w:sz="8" w:space="0" w:color="auto"/>
              <w:right w:val="single" w:sz="8" w:space="0" w:color="auto"/>
            </w:tcBorders>
            <w:vAlign w:val="center"/>
            <w:hideMark/>
          </w:tcPr>
          <w:p w14:paraId="0F7B5804"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%Larval survival</w:t>
            </w:r>
          </w:p>
        </w:tc>
        <w:tc>
          <w:tcPr>
            <w:tcW w:w="1632" w:type="dxa"/>
            <w:tcBorders>
              <w:top w:val="single" w:sz="8" w:space="0" w:color="auto"/>
              <w:left w:val="nil"/>
              <w:bottom w:val="single" w:sz="8" w:space="0" w:color="auto"/>
              <w:right w:val="single" w:sz="8" w:space="0" w:color="auto"/>
            </w:tcBorders>
            <w:vAlign w:val="center"/>
            <w:hideMark/>
          </w:tcPr>
          <w:p w14:paraId="09EC538B"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%Pupation</w:t>
            </w:r>
          </w:p>
        </w:tc>
        <w:tc>
          <w:tcPr>
            <w:tcW w:w="1592" w:type="dxa"/>
            <w:tcBorders>
              <w:top w:val="single" w:sz="8" w:space="0" w:color="auto"/>
              <w:left w:val="nil"/>
              <w:bottom w:val="single" w:sz="8" w:space="0" w:color="auto"/>
              <w:right w:val="single" w:sz="8" w:space="0" w:color="auto"/>
            </w:tcBorders>
            <w:vAlign w:val="center"/>
            <w:hideMark/>
          </w:tcPr>
          <w:p w14:paraId="4A4DB6EA" w14:textId="77777777" w:rsidR="002905BE" w:rsidRPr="004A4296" w:rsidRDefault="002905BE" w:rsidP="00302468">
            <w:pPr>
              <w:spacing w:after="0" w:line="360" w:lineRule="auto"/>
              <w:jc w:val="center"/>
              <w:rPr>
                <w:rFonts w:eastAsia="Times New Roman"/>
                <w:b/>
                <w:color w:val="000000"/>
                <w:lang w:eastAsia="en-IN"/>
              </w:rPr>
            </w:pPr>
            <w:r w:rsidRPr="004A4296">
              <w:rPr>
                <w:rFonts w:eastAsia="Times New Roman"/>
                <w:b/>
                <w:color w:val="000000"/>
                <w:lang w:eastAsia="en-IN"/>
              </w:rPr>
              <w:t>%Adult Emergence</w:t>
            </w:r>
          </w:p>
        </w:tc>
      </w:tr>
      <w:tr w:rsidR="00801FBF" w:rsidRPr="004A4296" w14:paraId="01B09161"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18EF9BCA"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1</w:t>
            </w:r>
          </w:p>
        </w:tc>
        <w:tc>
          <w:tcPr>
            <w:tcW w:w="1356" w:type="dxa"/>
            <w:tcBorders>
              <w:top w:val="nil"/>
              <w:left w:val="nil"/>
              <w:bottom w:val="single" w:sz="8" w:space="0" w:color="auto"/>
              <w:right w:val="single" w:sz="8" w:space="0" w:color="auto"/>
            </w:tcBorders>
            <w:vAlign w:val="center"/>
            <w:hideMark/>
          </w:tcPr>
          <w:p w14:paraId="3B3863F5"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MIL9-1179</w:t>
            </w:r>
          </w:p>
        </w:tc>
        <w:tc>
          <w:tcPr>
            <w:tcW w:w="1599" w:type="dxa"/>
            <w:tcBorders>
              <w:top w:val="nil"/>
              <w:left w:val="nil"/>
              <w:bottom w:val="single" w:sz="8" w:space="0" w:color="auto"/>
              <w:right w:val="single" w:sz="8" w:space="0" w:color="auto"/>
            </w:tcBorders>
            <w:vAlign w:val="bottom"/>
            <w:hideMark/>
          </w:tcPr>
          <w:p w14:paraId="7D5F8418"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69.94±8.48</w:t>
            </w:r>
            <w:r w:rsidRPr="00C25D94">
              <w:rPr>
                <w:color w:val="000000"/>
                <w:vertAlign w:val="superscript"/>
              </w:rPr>
              <w:t>ab</w:t>
            </w:r>
          </w:p>
        </w:tc>
        <w:tc>
          <w:tcPr>
            <w:tcW w:w="1561" w:type="dxa"/>
            <w:tcBorders>
              <w:top w:val="nil"/>
              <w:left w:val="nil"/>
              <w:bottom w:val="single" w:sz="8" w:space="0" w:color="auto"/>
              <w:right w:val="single" w:sz="8" w:space="0" w:color="auto"/>
            </w:tcBorders>
            <w:vAlign w:val="bottom"/>
            <w:hideMark/>
          </w:tcPr>
          <w:p w14:paraId="545B819B"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 xml:space="preserve">23.00±0 </w:t>
            </w:r>
            <w:r w:rsidRPr="00C25D94">
              <w:rPr>
                <w:color w:val="000000"/>
                <w:vertAlign w:val="superscript"/>
              </w:rPr>
              <w:t>ab</w:t>
            </w:r>
          </w:p>
        </w:tc>
        <w:tc>
          <w:tcPr>
            <w:tcW w:w="1627" w:type="dxa"/>
            <w:tcBorders>
              <w:top w:val="nil"/>
              <w:left w:val="nil"/>
              <w:bottom w:val="single" w:sz="8" w:space="0" w:color="auto"/>
              <w:right w:val="single" w:sz="8" w:space="0" w:color="auto"/>
            </w:tcBorders>
            <w:vAlign w:val="bottom"/>
            <w:hideMark/>
          </w:tcPr>
          <w:p w14:paraId="5587FEEF"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101.28±5.11</w:t>
            </w:r>
            <w:r w:rsidRPr="00C25D94">
              <w:rPr>
                <w:color w:val="000000"/>
                <w:vertAlign w:val="superscript"/>
              </w:rPr>
              <w:t>a</w:t>
            </w:r>
          </w:p>
        </w:tc>
        <w:tc>
          <w:tcPr>
            <w:tcW w:w="1438" w:type="dxa"/>
            <w:tcBorders>
              <w:top w:val="nil"/>
              <w:left w:val="nil"/>
              <w:bottom w:val="single" w:sz="8" w:space="0" w:color="auto"/>
              <w:right w:val="single" w:sz="8" w:space="0" w:color="auto"/>
            </w:tcBorders>
            <w:vAlign w:val="bottom"/>
            <w:hideMark/>
          </w:tcPr>
          <w:p w14:paraId="5D4BF8AE"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6.40±0.4</w:t>
            </w:r>
            <w:r w:rsidRPr="00DB6019">
              <w:rPr>
                <w:color w:val="000000"/>
                <w:vertAlign w:val="superscript"/>
              </w:rPr>
              <w:t>ab</w:t>
            </w:r>
          </w:p>
        </w:tc>
        <w:tc>
          <w:tcPr>
            <w:tcW w:w="1548" w:type="dxa"/>
            <w:tcBorders>
              <w:top w:val="nil"/>
              <w:left w:val="nil"/>
              <w:bottom w:val="single" w:sz="8" w:space="0" w:color="auto"/>
              <w:right w:val="single" w:sz="8" w:space="0" w:color="auto"/>
            </w:tcBorders>
            <w:vAlign w:val="bottom"/>
            <w:hideMark/>
          </w:tcPr>
          <w:p w14:paraId="46900D97"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3.80±0.38</w:t>
            </w:r>
            <w:r w:rsidRPr="00DB6019">
              <w:rPr>
                <w:color w:val="000000"/>
                <w:vertAlign w:val="superscript"/>
              </w:rPr>
              <w:t>a</w:t>
            </w:r>
          </w:p>
        </w:tc>
        <w:tc>
          <w:tcPr>
            <w:tcW w:w="1561" w:type="dxa"/>
            <w:tcBorders>
              <w:top w:val="nil"/>
              <w:left w:val="nil"/>
              <w:bottom w:val="single" w:sz="8" w:space="0" w:color="auto"/>
              <w:right w:val="single" w:sz="8" w:space="0" w:color="auto"/>
            </w:tcBorders>
            <w:vAlign w:val="bottom"/>
            <w:hideMark/>
          </w:tcPr>
          <w:p w14:paraId="1F6646A7"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85.00±1.59</w:t>
            </w:r>
            <w:r w:rsidRPr="00DB6019">
              <w:rPr>
                <w:color w:val="000000"/>
                <w:vertAlign w:val="superscript"/>
              </w:rPr>
              <w:t>a</w:t>
            </w:r>
          </w:p>
        </w:tc>
        <w:tc>
          <w:tcPr>
            <w:tcW w:w="1632" w:type="dxa"/>
            <w:tcBorders>
              <w:top w:val="nil"/>
              <w:left w:val="nil"/>
              <w:bottom w:val="single" w:sz="8" w:space="0" w:color="auto"/>
              <w:right w:val="single" w:sz="8" w:space="0" w:color="auto"/>
            </w:tcBorders>
            <w:vAlign w:val="bottom"/>
            <w:hideMark/>
          </w:tcPr>
          <w:p w14:paraId="31B1449E"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85.00±1.59</w:t>
            </w:r>
            <w:r w:rsidRPr="00DB6019">
              <w:rPr>
                <w:color w:val="000000"/>
                <w:vertAlign w:val="superscript"/>
              </w:rPr>
              <w:t>a</w:t>
            </w:r>
          </w:p>
        </w:tc>
        <w:tc>
          <w:tcPr>
            <w:tcW w:w="1592" w:type="dxa"/>
            <w:tcBorders>
              <w:top w:val="nil"/>
              <w:left w:val="nil"/>
              <w:bottom w:val="single" w:sz="8" w:space="0" w:color="auto"/>
              <w:right w:val="single" w:sz="8" w:space="0" w:color="auto"/>
            </w:tcBorders>
            <w:vAlign w:val="bottom"/>
            <w:hideMark/>
          </w:tcPr>
          <w:p w14:paraId="78A233F7" w14:textId="1947CA0A" w:rsidR="00801FBF" w:rsidRPr="00801FBF" w:rsidRDefault="00801FBF" w:rsidP="00801FBF">
            <w:pPr>
              <w:spacing w:after="0" w:line="360" w:lineRule="auto"/>
              <w:jc w:val="center"/>
              <w:rPr>
                <w:rFonts w:eastAsia="Times New Roman"/>
                <w:bCs w:val="0"/>
                <w:color w:val="000000"/>
                <w:lang w:eastAsia="en-IN"/>
              </w:rPr>
            </w:pPr>
            <w:r w:rsidRPr="00801FBF">
              <w:rPr>
                <w:color w:val="000000"/>
              </w:rPr>
              <w:t>65.77±2.51</w:t>
            </w:r>
            <w:r w:rsidRPr="00DB6019">
              <w:rPr>
                <w:color w:val="000000"/>
                <w:vertAlign w:val="superscript"/>
              </w:rPr>
              <w:t>a</w:t>
            </w:r>
          </w:p>
        </w:tc>
      </w:tr>
      <w:tr w:rsidR="00801FBF" w:rsidRPr="004A4296" w14:paraId="0BA5556E"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6DC5F972"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2</w:t>
            </w:r>
          </w:p>
        </w:tc>
        <w:tc>
          <w:tcPr>
            <w:tcW w:w="1356" w:type="dxa"/>
            <w:tcBorders>
              <w:top w:val="nil"/>
              <w:left w:val="nil"/>
              <w:bottom w:val="single" w:sz="8" w:space="0" w:color="auto"/>
              <w:right w:val="single" w:sz="8" w:space="0" w:color="auto"/>
            </w:tcBorders>
            <w:vAlign w:val="center"/>
            <w:hideMark/>
          </w:tcPr>
          <w:p w14:paraId="5EFF87FF"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MIL9-1230</w:t>
            </w:r>
          </w:p>
        </w:tc>
        <w:tc>
          <w:tcPr>
            <w:tcW w:w="1599" w:type="dxa"/>
            <w:tcBorders>
              <w:top w:val="nil"/>
              <w:left w:val="nil"/>
              <w:bottom w:val="single" w:sz="8" w:space="0" w:color="auto"/>
              <w:right w:val="single" w:sz="8" w:space="0" w:color="auto"/>
            </w:tcBorders>
            <w:vAlign w:val="bottom"/>
            <w:hideMark/>
          </w:tcPr>
          <w:p w14:paraId="0C111CAE"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38.85±3.87</w:t>
            </w:r>
            <w:r w:rsidRPr="00C25D94">
              <w:rPr>
                <w:color w:val="000000"/>
                <w:vertAlign w:val="superscript"/>
              </w:rPr>
              <w:t>c</w:t>
            </w:r>
          </w:p>
        </w:tc>
        <w:tc>
          <w:tcPr>
            <w:tcW w:w="1561" w:type="dxa"/>
            <w:tcBorders>
              <w:top w:val="nil"/>
              <w:left w:val="nil"/>
              <w:bottom w:val="single" w:sz="8" w:space="0" w:color="auto"/>
              <w:right w:val="single" w:sz="8" w:space="0" w:color="auto"/>
            </w:tcBorders>
            <w:vAlign w:val="bottom"/>
            <w:hideMark/>
          </w:tcPr>
          <w:p w14:paraId="0785E6ED"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24.00±0</w:t>
            </w:r>
            <w:r w:rsidRPr="00C25D94">
              <w:rPr>
                <w:color w:val="000000"/>
                <w:vertAlign w:val="superscript"/>
              </w:rPr>
              <w:t>a</w:t>
            </w:r>
          </w:p>
        </w:tc>
        <w:tc>
          <w:tcPr>
            <w:tcW w:w="1627" w:type="dxa"/>
            <w:tcBorders>
              <w:top w:val="nil"/>
              <w:left w:val="nil"/>
              <w:bottom w:val="single" w:sz="8" w:space="0" w:color="auto"/>
              <w:right w:val="single" w:sz="8" w:space="0" w:color="auto"/>
            </w:tcBorders>
            <w:vAlign w:val="bottom"/>
            <w:hideMark/>
          </w:tcPr>
          <w:p w14:paraId="36F8CFEA"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63.40±3.45</w:t>
            </w:r>
            <w:r w:rsidRPr="00C25D94">
              <w:rPr>
                <w:color w:val="000000"/>
                <w:vertAlign w:val="superscript"/>
              </w:rPr>
              <w:t>c</w:t>
            </w:r>
          </w:p>
        </w:tc>
        <w:tc>
          <w:tcPr>
            <w:tcW w:w="1438" w:type="dxa"/>
            <w:tcBorders>
              <w:top w:val="nil"/>
              <w:left w:val="nil"/>
              <w:bottom w:val="single" w:sz="8" w:space="0" w:color="auto"/>
              <w:right w:val="single" w:sz="8" w:space="0" w:color="auto"/>
            </w:tcBorders>
            <w:vAlign w:val="bottom"/>
            <w:hideMark/>
          </w:tcPr>
          <w:p w14:paraId="024D183B"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7.40±0.25</w:t>
            </w:r>
            <w:r w:rsidRPr="00DB6019">
              <w:rPr>
                <w:color w:val="000000"/>
                <w:vertAlign w:val="superscript"/>
              </w:rPr>
              <w:t>a</w:t>
            </w:r>
          </w:p>
        </w:tc>
        <w:tc>
          <w:tcPr>
            <w:tcW w:w="1548" w:type="dxa"/>
            <w:tcBorders>
              <w:top w:val="nil"/>
              <w:left w:val="nil"/>
              <w:bottom w:val="single" w:sz="8" w:space="0" w:color="auto"/>
              <w:right w:val="single" w:sz="8" w:space="0" w:color="auto"/>
            </w:tcBorders>
            <w:vAlign w:val="bottom"/>
            <w:hideMark/>
          </w:tcPr>
          <w:p w14:paraId="62A74934"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1.40±0.25</w:t>
            </w:r>
            <w:r w:rsidRPr="00DB6019">
              <w:rPr>
                <w:color w:val="000000"/>
                <w:vertAlign w:val="superscript"/>
              </w:rPr>
              <w:t>d</w:t>
            </w:r>
          </w:p>
        </w:tc>
        <w:tc>
          <w:tcPr>
            <w:tcW w:w="1561" w:type="dxa"/>
            <w:tcBorders>
              <w:top w:val="nil"/>
              <w:left w:val="nil"/>
              <w:bottom w:val="single" w:sz="8" w:space="0" w:color="auto"/>
              <w:right w:val="single" w:sz="8" w:space="0" w:color="auto"/>
            </w:tcBorders>
            <w:vAlign w:val="bottom"/>
            <w:hideMark/>
          </w:tcPr>
          <w:p w14:paraId="46B02B75"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64.06±3.14</w:t>
            </w:r>
            <w:r w:rsidRPr="00DB6019">
              <w:rPr>
                <w:color w:val="000000"/>
                <w:vertAlign w:val="superscript"/>
              </w:rPr>
              <w:t>c</w:t>
            </w:r>
          </w:p>
        </w:tc>
        <w:tc>
          <w:tcPr>
            <w:tcW w:w="1632" w:type="dxa"/>
            <w:tcBorders>
              <w:top w:val="nil"/>
              <w:left w:val="nil"/>
              <w:bottom w:val="single" w:sz="8" w:space="0" w:color="auto"/>
              <w:right w:val="single" w:sz="8" w:space="0" w:color="auto"/>
            </w:tcBorders>
            <w:vAlign w:val="bottom"/>
            <w:hideMark/>
          </w:tcPr>
          <w:p w14:paraId="6F7FF0A2"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64.06±3.14</w:t>
            </w:r>
            <w:r w:rsidRPr="00DB6019">
              <w:rPr>
                <w:color w:val="000000"/>
                <w:vertAlign w:val="superscript"/>
              </w:rPr>
              <w:t>c</w:t>
            </w:r>
          </w:p>
        </w:tc>
        <w:tc>
          <w:tcPr>
            <w:tcW w:w="1592" w:type="dxa"/>
            <w:tcBorders>
              <w:top w:val="nil"/>
              <w:left w:val="nil"/>
              <w:bottom w:val="single" w:sz="8" w:space="0" w:color="auto"/>
              <w:right w:val="single" w:sz="8" w:space="0" w:color="auto"/>
            </w:tcBorders>
            <w:vAlign w:val="bottom"/>
            <w:hideMark/>
          </w:tcPr>
          <w:p w14:paraId="1A3F5B7C" w14:textId="1AD7FE82" w:rsidR="00801FBF" w:rsidRPr="00801FBF" w:rsidRDefault="00801FBF" w:rsidP="00801FBF">
            <w:pPr>
              <w:spacing w:after="0" w:line="360" w:lineRule="auto"/>
              <w:jc w:val="center"/>
              <w:rPr>
                <w:rFonts w:eastAsia="Times New Roman"/>
                <w:bCs w:val="0"/>
                <w:color w:val="000000"/>
                <w:lang w:eastAsia="en-IN"/>
              </w:rPr>
            </w:pPr>
            <w:r w:rsidRPr="00801FBF">
              <w:rPr>
                <w:color w:val="000000"/>
              </w:rPr>
              <w:t>45.39±5.4</w:t>
            </w:r>
            <w:r w:rsidRPr="00DB6019">
              <w:rPr>
                <w:color w:val="000000"/>
                <w:vertAlign w:val="superscript"/>
              </w:rPr>
              <w:t>c</w:t>
            </w:r>
          </w:p>
        </w:tc>
      </w:tr>
      <w:tr w:rsidR="00801FBF" w:rsidRPr="004A4296" w14:paraId="355726D6"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60CB04F9"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3</w:t>
            </w:r>
          </w:p>
        </w:tc>
        <w:tc>
          <w:tcPr>
            <w:tcW w:w="1356" w:type="dxa"/>
            <w:tcBorders>
              <w:top w:val="nil"/>
              <w:left w:val="nil"/>
              <w:bottom w:val="single" w:sz="8" w:space="0" w:color="auto"/>
              <w:right w:val="single" w:sz="8" w:space="0" w:color="auto"/>
            </w:tcBorders>
            <w:vAlign w:val="center"/>
            <w:hideMark/>
          </w:tcPr>
          <w:p w14:paraId="678A9E25"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MIL9-1260</w:t>
            </w:r>
          </w:p>
        </w:tc>
        <w:tc>
          <w:tcPr>
            <w:tcW w:w="1599" w:type="dxa"/>
            <w:tcBorders>
              <w:top w:val="nil"/>
              <w:left w:val="nil"/>
              <w:bottom w:val="single" w:sz="8" w:space="0" w:color="auto"/>
              <w:right w:val="single" w:sz="8" w:space="0" w:color="auto"/>
            </w:tcBorders>
            <w:vAlign w:val="bottom"/>
            <w:hideMark/>
          </w:tcPr>
          <w:p w14:paraId="4BE1DB8A"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79.25±6.6</w:t>
            </w:r>
            <w:r w:rsidRPr="00C25D94">
              <w:rPr>
                <w:color w:val="000000"/>
                <w:vertAlign w:val="superscript"/>
              </w:rPr>
              <w:t>a</w:t>
            </w:r>
          </w:p>
        </w:tc>
        <w:tc>
          <w:tcPr>
            <w:tcW w:w="1561" w:type="dxa"/>
            <w:tcBorders>
              <w:top w:val="nil"/>
              <w:left w:val="nil"/>
              <w:bottom w:val="single" w:sz="8" w:space="0" w:color="auto"/>
              <w:right w:val="single" w:sz="8" w:space="0" w:color="auto"/>
            </w:tcBorders>
            <w:vAlign w:val="bottom"/>
            <w:hideMark/>
          </w:tcPr>
          <w:p w14:paraId="32B01EC4"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21.10±0.27</w:t>
            </w:r>
            <w:r w:rsidRPr="00C25D94">
              <w:rPr>
                <w:color w:val="000000"/>
                <w:vertAlign w:val="superscript"/>
              </w:rPr>
              <w:t>b</w:t>
            </w:r>
          </w:p>
        </w:tc>
        <w:tc>
          <w:tcPr>
            <w:tcW w:w="1627" w:type="dxa"/>
            <w:tcBorders>
              <w:top w:val="nil"/>
              <w:left w:val="nil"/>
              <w:bottom w:val="single" w:sz="8" w:space="0" w:color="auto"/>
              <w:right w:val="single" w:sz="8" w:space="0" w:color="auto"/>
            </w:tcBorders>
            <w:vAlign w:val="bottom"/>
            <w:hideMark/>
          </w:tcPr>
          <w:p w14:paraId="299912AE"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84.60±3.61</w:t>
            </w:r>
            <w:r w:rsidRPr="00C25D94">
              <w:rPr>
                <w:color w:val="000000"/>
                <w:vertAlign w:val="superscript"/>
              </w:rPr>
              <w:t>a</w:t>
            </w:r>
          </w:p>
        </w:tc>
        <w:tc>
          <w:tcPr>
            <w:tcW w:w="1438" w:type="dxa"/>
            <w:tcBorders>
              <w:top w:val="nil"/>
              <w:left w:val="nil"/>
              <w:bottom w:val="single" w:sz="8" w:space="0" w:color="auto"/>
              <w:right w:val="single" w:sz="8" w:space="0" w:color="auto"/>
            </w:tcBorders>
            <w:vAlign w:val="bottom"/>
            <w:hideMark/>
          </w:tcPr>
          <w:p w14:paraId="706E7001"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7.20±0.2</w:t>
            </w:r>
            <w:r w:rsidRPr="00DB6019">
              <w:rPr>
                <w:color w:val="000000"/>
                <w:vertAlign w:val="superscript"/>
              </w:rPr>
              <w:t>a</w:t>
            </w:r>
          </w:p>
        </w:tc>
        <w:tc>
          <w:tcPr>
            <w:tcW w:w="1548" w:type="dxa"/>
            <w:tcBorders>
              <w:top w:val="nil"/>
              <w:left w:val="nil"/>
              <w:bottom w:val="single" w:sz="8" w:space="0" w:color="auto"/>
              <w:right w:val="single" w:sz="8" w:space="0" w:color="auto"/>
            </w:tcBorders>
            <w:vAlign w:val="bottom"/>
            <w:hideMark/>
          </w:tcPr>
          <w:p w14:paraId="57CBCB8D"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3.40±0.25</w:t>
            </w:r>
            <w:r w:rsidRPr="00DB6019">
              <w:rPr>
                <w:color w:val="000000"/>
                <w:vertAlign w:val="superscript"/>
              </w:rPr>
              <w:t>abc</w:t>
            </w:r>
          </w:p>
        </w:tc>
        <w:tc>
          <w:tcPr>
            <w:tcW w:w="1561" w:type="dxa"/>
            <w:tcBorders>
              <w:top w:val="nil"/>
              <w:left w:val="nil"/>
              <w:bottom w:val="single" w:sz="8" w:space="0" w:color="auto"/>
              <w:right w:val="single" w:sz="8" w:space="0" w:color="auto"/>
            </w:tcBorders>
            <w:vAlign w:val="bottom"/>
            <w:hideMark/>
          </w:tcPr>
          <w:p w14:paraId="404CBD5C"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74.00±1.88</w:t>
            </w:r>
            <w:r w:rsidRPr="00DB6019">
              <w:rPr>
                <w:color w:val="000000"/>
                <w:vertAlign w:val="superscript"/>
              </w:rPr>
              <w:t>b</w:t>
            </w:r>
          </w:p>
        </w:tc>
        <w:tc>
          <w:tcPr>
            <w:tcW w:w="1632" w:type="dxa"/>
            <w:tcBorders>
              <w:top w:val="nil"/>
              <w:left w:val="nil"/>
              <w:bottom w:val="single" w:sz="8" w:space="0" w:color="auto"/>
              <w:right w:val="single" w:sz="8" w:space="0" w:color="auto"/>
            </w:tcBorders>
            <w:vAlign w:val="bottom"/>
            <w:hideMark/>
          </w:tcPr>
          <w:p w14:paraId="5B0943CB"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74.00±1.88</w:t>
            </w:r>
            <w:r w:rsidRPr="00DB6019">
              <w:rPr>
                <w:color w:val="000000"/>
                <w:vertAlign w:val="superscript"/>
              </w:rPr>
              <w:t>b</w:t>
            </w:r>
          </w:p>
        </w:tc>
        <w:tc>
          <w:tcPr>
            <w:tcW w:w="1592" w:type="dxa"/>
            <w:tcBorders>
              <w:top w:val="nil"/>
              <w:left w:val="nil"/>
              <w:bottom w:val="single" w:sz="8" w:space="0" w:color="auto"/>
              <w:right w:val="single" w:sz="8" w:space="0" w:color="auto"/>
            </w:tcBorders>
            <w:vAlign w:val="bottom"/>
            <w:hideMark/>
          </w:tcPr>
          <w:p w14:paraId="0D7AA6A1" w14:textId="4CF63EF4" w:rsidR="00801FBF" w:rsidRPr="00801FBF" w:rsidRDefault="00801FBF" w:rsidP="00801FBF">
            <w:pPr>
              <w:spacing w:after="0" w:line="360" w:lineRule="auto"/>
              <w:jc w:val="center"/>
              <w:rPr>
                <w:rFonts w:eastAsia="Times New Roman"/>
                <w:bCs w:val="0"/>
                <w:color w:val="000000"/>
                <w:lang w:eastAsia="en-IN"/>
              </w:rPr>
            </w:pPr>
            <w:r w:rsidRPr="00801FBF">
              <w:rPr>
                <w:color w:val="000000"/>
              </w:rPr>
              <w:t>59.54±2.54</w:t>
            </w:r>
            <w:r w:rsidRPr="00DB6019">
              <w:rPr>
                <w:color w:val="000000"/>
                <w:vertAlign w:val="superscript"/>
              </w:rPr>
              <w:t>ab</w:t>
            </w:r>
          </w:p>
        </w:tc>
      </w:tr>
      <w:tr w:rsidR="00801FBF" w:rsidRPr="004A4296" w14:paraId="0A84624A"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6B79A9FE"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4</w:t>
            </w:r>
          </w:p>
        </w:tc>
        <w:tc>
          <w:tcPr>
            <w:tcW w:w="1356" w:type="dxa"/>
            <w:tcBorders>
              <w:top w:val="nil"/>
              <w:left w:val="nil"/>
              <w:bottom w:val="single" w:sz="8" w:space="0" w:color="auto"/>
              <w:right w:val="single" w:sz="8" w:space="0" w:color="auto"/>
            </w:tcBorders>
            <w:vAlign w:val="center"/>
            <w:hideMark/>
          </w:tcPr>
          <w:p w14:paraId="357B75B4"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MIL9-1308</w:t>
            </w:r>
          </w:p>
        </w:tc>
        <w:tc>
          <w:tcPr>
            <w:tcW w:w="1599" w:type="dxa"/>
            <w:tcBorders>
              <w:top w:val="nil"/>
              <w:left w:val="nil"/>
              <w:bottom w:val="single" w:sz="8" w:space="0" w:color="auto"/>
              <w:right w:val="single" w:sz="8" w:space="0" w:color="auto"/>
            </w:tcBorders>
            <w:vAlign w:val="bottom"/>
            <w:hideMark/>
          </w:tcPr>
          <w:p w14:paraId="5C5F3AC1"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43.27±3.7</w:t>
            </w:r>
            <w:r w:rsidRPr="00C25D94">
              <w:rPr>
                <w:color w:val="000000"/>
                <w:vertAlign w:val="superscript"/>
              </w:rPr>
              <w:t>bc</w:t>
            </w:r>
          </w:p>
        </w:tc>
        <w:tc>
          <w:tcPr>
            <w:tcW w:w="1561" w:type="dxa"/>
            <w:tcBorders>
              <w:top w:val="nil"/>
              <w:left w:val="nil"/>
              <w:bottom w:val="single" w:sz="8" w:space="0" w:color="auto"/>
              <w:right w:val="single" w:sz="8" w:space="0" w:color="auto"/>
            </w:tcBorders>
            <w:vAlign w:val="bottom"/>
            <w:hideMark/>
          </w:tcPr>
          <w:p w14:paraId="4C5DD913"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23.00±0.87</w:t>
            </w:r>
            <w:r w:rsidRPr="00C25D94">
              <w:rPr>
                <w:color w:val="000000"/>
                <w:vertAlign w:val="superscript"/>
              </w:rPr>
              <w:t>ab</w:t>
            </w:r>
          </w:p>
        </w:tc>
        <w:tc>
          <w:tcPr>
            <w:tcW w:w="1627" w:type="dxa"/>
            <w:tcBorders>
              <w:top w:val="nil"/>
              <w:left w:val="nil"/>
              <w:bottom w:val="single" w:sz="8" w:space="0" w:color="auto"/>
              <w:right w:val="single" w:sz="8" w:space="0" w:color="auto"/>
            </w:tcBorders>
            <w:vAlign w:val="bottom"/>
            <w:hideMark/>
          </w:tcPr>
          <w:p w14:paraId="475D9B5F"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64.27±3.92</w:t>
            </w:r>
            <w:r w:rsidRPr="00C25D94">
              <w:rPr>
                <w:color w:val="000000"/>
                <w:vertAlign w:val="superscript"/>
              </w:rPr>
              <w:t>bc</w:t>
            </w:r>
          </w:p>
        </w:tc>
        <w:tc>
          <w:tcPr>
            <w:tcW w:w="1438" w:type="dxa"/>
            <w:tcBorders>
              <w:top w:val="nil"/>
              <w:left w:val="nil"/>
              <w:bottom w:val="single" w:sz="8" w:space="0" w:color="auto"/>
              <w:right w:val="single" w:sz="8" w:space="0" w:color="auto"/>
            </w:tcBorders>
            <w:vAlign w:val="bottom"/>
            <w:hideMark/>
          </w:tcPr>
          <w:p w14:paraId="6D1E73CF"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5.40±0.25</w:t>
            </w:r>
            <w:r w:rsidRPr="00DB6019">
              <w:rPr>
                <w:color w:val="000000"/>
                <w:vertAlign w:val="superscript"/>
              </w:rPr>
              <w:t>b</w:t>
            </w:r>
          </w:p>
        </w:tc>
        <w:tc>
          <w:tcPr>
            <w:tcW w:w="1548" w:type="dxa"/>
            <w:tcBorders>
              <w:top w:val="nil"/>
              <w:left w:val="nil"/>
              <w:bottom w:val="single" w:sz="8" w:space="0" w:color="auto"/>
              <w:right w:val="single" w:sz="8" w:space="0" w:color="auto"/>
            </w:tcBorders>
            <w:vAlign w:val="bottom"/>
            <w:hideMark/>
          </w:tcPr>
          <w:p w14:paraId="444DC668"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2.40±0.25</w:t>
            </w:r>
            <w:r w:rsidRPr="00DB6019">
              <w:rPr>
                <w:color w:val="000000"/>
                <w:vertAlign w:val="superscript"/>
              </w:rPr>
              <w:t>cd</w:t>
            </w:r>
          </w:p>
        </w:tc>
        <w:tc>
          <w:tcPr>
            <w:tcW w:w="1561" w:type="dxa"/>
            <w:tcBorders>
              <w:top w:val="nil"/>
              <w:left w:val="nil"/>
              <w:bottom w:val="single" w:sz="8" w:space="0" w:color="auto"/>
              <w:right w:val="single" w:sz="8" w:space="0" w:color="auto"/>
            </w:tcBorders>
            <w:vAlign w:val="bottom"/>
            <w:hideMark/>
          </w:tcPr>
          <w:p w14:paraId="76C16782"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73.00±3.01</w:t>
            </w:r>
            <w:r w:rsidRPr="00DB6019">
              <w:rPr>
                <w:color w:val="000000"/>
                <w:vertAlign w:val="superscript"/>
              </w:rPr>
              <w:t>b</w:t>
            </w:r>
          </w:p>
        </w:tc>
        <w:tc>
          <w:tcPr>
            <w:tcW w:w="1632" w:type="dxa"/>
            <w:tcBorders>
              <w:top w:val="nil"/>
              <w:left w:val="nil"/>
              <w:bottom w:val="single" w:sz="8" w:space="0" w:color="auto"/>
              <w:right w:val="single" w:sz="8" w:space="0" w:color="auto"/>
            </w:tcBorders>
            <w:vAlign w:val="bottom"/>
            <w:hideMark/>
          </w:tcPr>
          <w:p w14:paraId="74ACDD5C"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73.00±3.01</w:t>
            </w:r>
            <w:r w:rsidRPr="00DB6019">
              <w:rPr>
                <w:color w:val="000000"/>
                <w:vertAlign w:val="superscript"/>
              </w:rPr>
              <w:t>b</w:t>
            </w:r>
          </w:p>
        </w:tc>
        <w:tc>
          <w:tcPr>
            <w:tcW w:w="1592" w:type="dxa"/>
            <w:tcBorders>
              <w:top w:val="nil"/>
              <w:left w:val="nil"/>
              <w:bottom w:val="single" w:sz="8" w:space="0" w:color="auto"/>
              <w:right w:val="single" w:sz="8" w:space="0" w:color="auto"/>
            </w:tcBorders>
            <w:vAlign w:val="bottom"/>
          </w:tcPr>
          <w:p w14:paraId="26B50B6F" w14:textId="4D196E49" w:rsidR="00801FBF" w:rsidRPr="00801FBF" w:rsidRDefault="00801FBF" w:rsidP="00801FBF">
            <w:pPr>
              <w:spacing w:after="0" w:line="360" w:lineRule="auto"/>
              <w:jc w:val="center"/>
              <w:rPr>
                <w:rFonts w:eastAsia="Times New Roman"/>
                <w:bCs w:val="0"/>
                <w:color w:val="000000"/>
                <w:lang w:eastAsia="en-IN"/>
              </w:rPr>
            </w:pPr>
            <w:r w:rsidRPr="00801FBF">
              <w:rPr>
                <w:color w:val="000000"/>
              </w:rPr>
              <w:t>44.34±3.86</w:t>
            </w:r>
            <w:r w:rsidRPr="00DB6019">
              <w:rPr>
                <w:color w:val="000000"/>
                <w:vertAlign w:val="superscript"/>
              </w:rPr>
              <w:t>c</w:t>
            </w:r>
          </w:p>
        </w:tc>
      </w:tr>
      <w:tr w:rsidR="00801FBF" w:rsidRPr="004A4296" w14:paraId="01EDA92B"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13BB76DE"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5</w:t>
            </w:r>
          </w:p>
        </w:tc>
        <w:tc>
          <w:tcPr>
            <w:tcW w:w="1356" w:type="dxa"/>
            <w:tcBorders>
              <w:top w:val="nil"/>
              <w:left w:val="nil"/>
              <w:bottom w:val="single" w:sz="8" w:space="0" w:color="auto"/>
              <w:right w:val="single" w:sz="8" w:space="0" w:color="auto"/>
            </w:tcBorders>
            <w:vAlign w:val="center"/>
            <w:hideMark/>
          </w:tcPr>
          <w:p w14:paraId="19CBEF27"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MIL9-1309</w:t>
            </w:r>
          </w:p>
        </w:tc>
        <w:tc>
          <w:tcPr>
            <w:tcW w:w="1599" w:type="dxa"/>
            <w:tcBorders>
              <w:top w:val="nil"/>
              <w:left w:val="nil"/>
              <w:bottom w:val="single" w:sz="8" w:space="0" w:color="auto"/>
              <w:right w:val="single" w:sz="8" w:space="0" w:color="auto"/>
            </w:tcBorders>
            <w:vAlign w:val="bottom"/>
            <w:hideMark/>
          </w:tcPr>
          <w:p w14:paraId="3FA2701A"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39.12±2.94</w:t>
            </w:r>
            <w:r w:rsidRPr="00C25D94">
              <w:rPr>
                <w:color w:val="000000"/>
                <w:vertAlign w:val="superscript"/>
              </w:rPr>
              <w:t>c</w:t>
            </w:r>
          </w:p>
        </w:tc>
        <w:tc>
          <w:tcPr>
            <w:tcW w:w="1561" w:type="dxa"/>
            <w:tcBorders>
              <w:top w:val="nil"/>
              <w:left w:val="nil"/>
              <w:bottom w:val="single" w:sz="8" w:space="0" w:color="auto"/>
              <w:right w:val="single" w:sz="8" w:space="0" w:color="auto"/>
            </w:tcBorders>
            <w:vAlign w:val="bottom"/>
            <w:hideMark/>
          </w:tcPr>
          <w:p w14:paraId="55B3737B"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24.10±0.51</w:t>
            </w:r>
            <w:r w:rsidRPr="00C25D94">
              <w:rPr>
                <w:color w:val="000000"/>
                <w:vertAlign w:val="superscript"/>
              </w:rPr>
              <w:t>a</w:t>
            </w:r>
          </w:p>
        </w:tc>
        <w:tc>
          <w:tcPr>
            <w:tcW w:w="1627" w:type="dxa"/>
            <w:tcBorders>
              <w:top w:val="nil"/>
              <w:left w:val="nil"/>
              <w:bottom w:val="single" w:sz="8" w:space="0" w:color="auto"/>
              <w:right w:val="single" w:sz="8" w:space="0" w:color="auto"/>
            </w:tcBorders>
            <w:vAlign w:val="bottom"/>
            <w:hideMark/>
          </w:tcPr>
          <w:p w14:paraId="60620DF3"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64.45±1.1</w:t>
            </w:r>
            <w:r w:rsidRPr="00C25D94">
              <w:rPr>
                <w:color w:val="000000"/>
                <w:vertAlign w:val="superscript"/>
              </w:rPr>
              <w:t>bc</w:t>
            </w:r>
          </w:p>
        </w:tc>
        <w:tc>
          <w:tcPr>
            <w:tcW w:w="1438" w:type="dxa"/>
            <w:tcBorders>
              <w:top w:val="nil"/>
              <w:left w:val="nil"/>
              <w:bottom w:val="single" w:sz="8" w:space="0" w:color="auto"/>
              <w:right w:val="single" w:sz="8" w:space="0" w:color="auto"/>
            </w:tcBorders>
            <w:vAlign w:val="bottom"/>
            <w:hideMark/>
          </w:tcPr>
          <w:p w14:paraId="2CBDFC12"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7.14±0.1</w:t>
            </w:r>
            <w:r w:rsidRPr="00DB6019">
              <w:rPr>
                <w:color w:val="000000"/>
                <w:vertAlign w:val="superscript"/>
              </w:rPr>
              <w:t>a</w:t>
            </w:r>
          </w:p>
        </w:tc>
        <w:tc>
          <w:tcPr>
            <w:tcW w:w="1548" w:type="dxa"/>
            <w:tcBorders>
              <w:top w:val="nil"/>
              <w:left w:val="nil"/>
              <w:bottom w:val="single" w:sz="8" w:space="0" w:color="auto"/>
              <w:right w:val="single" w:sz="8" w:space="0" w:color="auto"/>
            </w:tcBorders>
            <w:vAlign w:val="bottom"/>
            <w:hideMark/>
          </w:tcPr>
          <w:p w14:paraId="0F7BFB62"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2.60±0.25</w:t>
            </w:r>
            <w:r w:rsidRPr="00DB6019">
              <w:rPr>
                <w:color w:val="000000"/>
                <w:vertAlign w:val="superscript"/>
              </w:rPr>
              <w:t>bc</w:t>
            </w:r>
          </w:p>
        </w:tc>
        <w:tc>
          <w:tcPr>
            <w:tcW w:w="1561" w:type="dxa"/>
            <w:tcBorders>
              <w:top w:val="nil"/>
              <w:left w:val="nil"/>
              <w:bottom w:val="single" w:sz="8" w:space="0" w:color="auto"/>
              <w:right w:val="single" w:sz="8" w:space="0" w:color="auto"/>
            </w:tcBorders>
            <w:vAlign w:val="bottom"/>
            <w:hideMark/>
          </w:tcPr>
          <w:p w14:paraId="2267A4F6"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71.00±1</w:t>
            </w:r>
            <w:r w:rsidRPr="00DB6019">
              <w:rPr>
                <w:color w:val="000000"/>
                <w:vertAlign w:val="superscript"/>
              </w:rPr>
              <w:t>bc</w:t>
            </w:r>
          </w:p>
        </w:tc>
        <w:tc>
          <w:tcPr>
            <w:tcW w:w="1632" w:type="dxa"/>
            <w:tcBorders>
              <w:top w:val="nil"/>
              <w:left w:val="nil"/>
              <w:bottom w:val="single" w:sz="8" w:space="0" w:color="auto"/>
              <w:right w:val="single" w:sz="8" w:space="0" w:color="auto"/>
            </w:tcBorders>
            <w:vAlign w:val="bottom"/>
            <w:hideMark/>
          </w:tcPr>
          <w:p w14:paraId="7D303A58"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71.00±1</w:t>
            </w:r>
            <w:r w:rsidRPr="00DB6019">
              <w:rPr>
                <w:color w:val="000000"/>
                <w:vertAlign w:val="superscript"/>
              </w:rPr>
              <w:t>bc</w:t>
            </w:r>
          </w:p>
        </w:tc>
        <w:tc>
          <w:tcPr>
            <w:tcW w:w="1592" w:type="dxa"/>
            <w:tcBorders>
              <w:top w:val="nil"/>
              <w:left w:val="nil"/>
              <w:bottom w:val="single" w:sz="8" w:space="0" w:color="auto"/>
              <w:right w:val="single" w:sz="8" w:space="0" w:color="auto"/>
            </w:tcBorders>
            <w:vAlign w:val="bottom"/>
          </w:tcPr>
          <w:p w14:paraId="3E3B3F06" w14:textId="5D75093F" w:rsidR="00801FBF" w:rsidRPr="00801FBF" w:rsidRDefault="00801FBF" w:rsidP="00801FBF">
            <w:pPr>
              <w:spacing w:after="0" w:line="360" w:lineRule="auto"/>
              <w:jc w:val="center"/>
              <w:rPr>
                <w:rFonts w:eastAsia="Times New Roman"/>
                <w:bCs w:val="0"/>
                <w:color w:val="000000"/>
                <w:lang w:eastAsia="en-IN"/>
              </w:rPr>
            </w:pPr>
            <w:r w:rsidRPr="00801FBF">
              <w:rPr>
                <w:color w:val="000000"/>
              </w:rPr>
              <w:t>46.48±1.6</w:t>
            </w:r>
            <w:r w:rsidRPr="00DB6019">
              <w:rPr>
                <w:color w:val="000000"/>
                <w:vertAlign w:val="superscript"/>
              </w:rPr>
              <w:t>bc</w:t>
            </w:r>
          </w:p>
        </w:tc>
      </w:tr>
      <w:tr w:rsidR="00801FBF" w:rsidRPr="004A4296" w14:paraId="60E2E239" w14:textId="77777777" w:rsidTr="00667F2D">
        <w:trPr>
          <w:trHeight w:val="248"/>
        </w:trPr>
        <w:tc>
          <w:tcPr>
            <w:tcW w:w="809" w:type="dxa"/>
            <w:tcBorders>
              <w:top w:val="nil"/>
              <w:left w:val="single" w:sz="8" w:space="0" w:color="auto"/>
              <w:bottom w:val="single" w:sz="8" w:space="0" w:color="auto"/>
              <w:right w:val="single" w:sz="8" w:space="0" w:color="auto"/>
            </w:tcBorders>
            <w:vAlign w:val="center"/>
            <w:hideMark/>
          </w:tcPr>
          <w:p w14:paraId="157F7DE3"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6</w:t>
            </w:r>
          </w:p>
        </w:tc>
        <w:tc>
          <w:tcPr>
            <w:tcW w:w="1356" w:type="dxa"/>
            <w:tcBorders>
              <w:top w:val="nil"/>
              <w:left w:val="nil"/>
              <w:bottom w:val="single" w:sz="8" w:space="0" w:color="auto"/>
              <w:right w:val="single" w:sz="8" w:space="0" w:color="auto"/>
            </w:tcBorders>
            <w:vAlign w:val="center"/>
            <w:hideMark/>
          </w:tcPr>
          <w:p w14:paraId="570D27D6"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Sarhad HSRB</w:t>
            </w:r>
          </w:p>
        </w:tc>
        <w:tc>
          <w:tcPr>
            <w:tcW w:w="1599" w:type="dxa"/>
            <w:tcBorders>
              <w:top w:val="nil"/>
              <w:left w:val="nil"/>
              <w:bottom w:val="single" w:sz="8" w:space="0" w:color="auto"/>
              <w:right w:val="single" w:sz="8" w:space="0" w:color="auto"/>
            </w:tcBorders>
            <w:vAlign w:val="bottom"/>
            <w:hideMark/>
          </w:tcPr>
          <w:p w14:paraId="2EBE1A54"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74.06±5.93a</w:t>
            </w:r>
          </w:p>
        </w:tc>
        <w:tc>
          <w:tcPr>
            <w:tcW w:w="1561" w:type="dxa"/>
            <w:tcBorders>
              <w:top w:val="nil"/>
              <w:left w:val="nil"/>
              <w:bottom w:val="single" w:sz="8" w:space="0" w:color="auto"/>
              <w:right w:val="single" w:sz="8" w:space="0" w:color="auto"/>
            </w:tcBorders>
            <w:vAlign w:val="bottom"/>
            <w:hideMark/>
          </w:tcPr>
          <w:p w14:paraId="4E04DD55"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23.20±0.98</w:t>
            </w:r>
            <w:r w:rsidRPr="00C25D94">
              <w:rPr>
                <w:color w:val="000000"/>
                <w:vertAlign w:val="superscript"/>
              </w:rPr>
              <w:t>ab</w:t>
            </w:r>
          </w:p>
        </w:tc>
        <w:tc>
          <w:tcPr>
            <w:tcW w:w="1627" w:type="dxa"/>
            <w:tcBorders>
              <w:top w:val="nil"/>
              <w:left w:val="nil"/>
              <w:bottom w:val="single" w:sz="8" w:space="0" w:color="auto"/>
              <w:right w:val="single" w:sz="8" w:space="0" w:color="auto"/>
            </w:tcBorders>
            <w:vAlign w:val="bottom"/>
            <w:hideMark/>
          </w:tcPr>
          <w:p w14:paraId="2BABF766"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83.30±3.88</w:t>
            </w:r>
            <w:r w:rsidRPr="00C25D94">
              <w:rPr>
                <w:color w:val="000000"/>
                <w:vertAlign w:val="superscript"/>
              </w:rPr>
              <w:t>ab</w:t>
            </w:r>
          </w:p>
        </w:tc>
        <w:tc>
          <w:tcPr>
            <w:tcW w:w="1438" w:type="dxa"/>
            <w:tcBorders>
              <w:top w:val="nil"/>
              <w:left w:val="nil"/>
              <w:bottom w:val="single" w:sz="8" w:space="0" w:color="auto"/>
              <w:right w:val="single" w:sz="8" w:space="0" w:color="auto"/>
            </w:tcBorders>
            <w:vAlign w:val="bottom"/>
            <w:hideMark/>
          </w:tcPr>
          <w:p w14:paraId="7F3EBEA5"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6.80±0.38</w:t>
            </w:r>
            <w:r w:rsidRPr="00DB6019">
              <w:rPr>
                <w:color w:val="000000"/>
                <w:vertAlign w:val="superscript"/>
              </w:rPr>
              <w:t>ab</w:t>
            </w:r>
          </w:p>
        </w:tc>
        <w:tc>
          <w:tcPr>
            <w:tcW w:w="1548" w:type="dxa"/>
            <w:tcBorders>
              <w:top w:val="nil"/>
              <w:left w:val="nil"/>
              <w:bottom w:val="single" w:sz="8" w:space="0" w:color="auto"/>
              <w:right w:val="single" w:sz="8" w:space="0" w:color="auto"/>
            </w:tcBorders>
            <w:vAlign w:val="bottom"/>
            <w:hideMark/>
          </w:tcPr>
          <w:p w14:paraId="2524C1CB"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3.60±0.25</w:t>
            </w:r>
            <w:r w:rsidRPr="00DB6019">
              <w:rPr>
                <w:color w:val="000000"/>
                <w:vertAlign w:val="superscript"/>
              </w:rPr>
              <w:t>ab</w:t>
            </w:r>
          </w:p>
        </w:tc>
        <w:tc>
          <w:tcPr>
            <w:tcW w:w="1561" w:type="dxa"/>
            <w:tcBorders>
              <w:top w:val="nil"/>
              <w:left w:val="nil"/>
              <w:bottom w:val="single" w:sz="8" w:space="0" w:color="auto"/>
              <w:right w:val="single" w:sz="8" w:space="0" w:color="auto"/>
            </w:tcBorders>
            <w:vAlign w:val="bottom"/>
            <w:hideMark/>
          </w:tcPr>
          <w:p w14:paraId="0E2B5A59"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74.00±1.88</w:t>
            </w:r>
            <w:r w:rsidRPr="00DB6019">
              <w:rPr>
                <w:color w:val="000000"/>
                <w:vertAlign w:val="superscript"/>
              </w:rPr>
              <w:t>b</w:t>
            </w:r>
          </w:p>
        </w:tc>
        <w:tc>
          <w:tcPr>
            <w:tcW w:w="1632" w:type="dxa"/>
            <w:tcBorders>
              <w:top w:val="nil"/>
              <w:left w:val="nil"/>
              <w:bottom w:val="single" w:sz="8" w:space="0" w:color="auto"/>
              <w:right w:val="single" w:sz="8" w:space="0" w:color="auto"/>
            </w:tcBorders>
            <w:vAlign w:val="bottom"/>
            <w:hideMark/>
          </w:tcPr>
          <w:p w14:paraId="3035B464"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74.00±1.88</w:t>
            </w:r>
            <w:r w:rsidRPr="00DB6019">
              <w:rPr>
                <w:color w:val="000000"/>
                <w:vertAlign w:val="superscript"/>
              </w:rPr>
              <w:t>b</w:t>
            </w:r>
          </w:p>
        </w:tc>
        <w:tc>
          <w:tcPr>
            <w:tcW w:w="1592" w:type="dxa"/>
            <w:tcBorders>
              <w:top w:val="nil"/>
              <w:left w:val="nil"/>
              <w:bottom w:val="single" w:sz="8" w:space="0" w:color="auto"/>
              <w:right w:val="single" w:sz="8" w:space="0" w:color="auto"/>
            </w:tcBorders>
          </w:tcPr>
          <w:p w14:paraId="175632AD" w14:textId="41B81961" w:rsidR="00801FBF" w:rsidRPr="00801FBF" w:rsidRDefault="00801FBF" w:rsidP="00801FBF">
            <w:pPr>
              <w:spacing w:after="0" w:line="360" w:lineRule="auto"/>
              <w:jc w:val="center"/>
              <w:rPr>
                <w:rFonts w:eastAsia="Times New Roman"/>
                <w:bCs w:val="0"/>
                <w:color w:val="000000"/>
                <w:lang w:eastAsia="en-IN"/>
              </w:rPr>
            </w:pPr>
            <w:r w:rsidRPr="00801FBF">
              <w:rPr>
                <w:color w:val="000000"/>
              </w:rPr>
              <w:t>58.56±4.74</w:t>
            </w:r>
            <w:r w:rsidRPr="00DB6019">
              <w:rPr>
                <w:color w:val="000000"/>
                <w:vertAlign w:val="superscript"/>
              </w:rPr>
              <w:t>ab</w:t>
            </w:r>
          </w:p>
        </w:tc>
      </w:tr>
      <w:tr w:rsidR="00801FBF" w:rsidRPr="004A4296" w14:paraId="68D56176" w14:textId="77777777" w:rsidTr="00667F2D">
        <w:trPr>
          <w:trHeight w:val="248"/>
        </w:trPr>
        <w:tc>
          <w:tcPr>
            <w:tcW w:w="809" w:type="dxa"/>
            <w:tcBorders>
              <w:top w:val="nil"/>
              <w:left w:val="single" w:sz="8" w:space="0" w:color="auto"/>
              <w:bottom w:val="single" w:sz="8" w:space="0" w:color="auto"/>
              <w:right w:val="single" w:sz="8" w:space="0" w:color="auto"/>
            </w:tcBorders>
            <w:vAlign w:val="center"/>
            <w:hideMark/>
          </w:tcPr>
          <w:p w14:paraId="7B0D9A91"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7</w:t>
            </w:r>
          </w:p>
        </w:tc>
        <w:tc>
          <w:tcPr>
            <w:tcW w:w="1356" w:type="dxa"/>
            <w:tcBorders>
              <w:top w:val="nil"/>
              <w:left w:val="nil"/>
              <w:bottom w:val="single" w:sz="8" w:space="0" w:color="auto"/>
              <w:right w:val="single" w:sz="8" w:space="0" w:color="auto"/>
            </w:tcBorders>
            <w:vAlign w:val="center"/>
            <w:hideMark/>
          </w:tcPr>
          <w:p w14:paraId="53EFA22A" w14:textId="77777777" w:rsidR="00801FBF" w:rsidRPr="004A4296" w:rsidRDefault="00801FBF" w:rsidP="00801FBF">
            <w:pPr>
              <w:spacing w:after="0" w:line="360" w:lineRule="auto"/>
              <w:jc w:val="center"/>
              <w:rPr>
                <w:rFonts w:eastAsia="Times New Roman"/>
                <w:bCs w:val="0"/>
                <w:color w:val="000000"/>
                <w:lang w:eastAsia="en-IN"/>
              </w:rPr>
            </w:pPr>
            <w:r w:rsidRPr="004A4296">
              <w:rPr>
                <w:rFonts w:eastAsia="Times New Roman"/>
                <w:color w:val="000000"/>
                <w:lang w:eastAsia="en-IN"/>
              </w:rPr>
              <w:t>VS-144</w:t>
            </w:r>
          </w:p>
        </w:tc>
        <w:tc>
          <w:tcPr>
            <w:tcW w:w="1599" w:type="dxa"/>
            <w:tcBorders>
              <w:top w:val="nil"/>
              <w:left w:val="nil"/>
              <w:bottom w:val="single" w:sz="8" w:space="0" w:color="auto"/>
              <w:right w:val="single" w:sz="8" w:space="0" w:color="auto"/>
            </w:tcBorders>
            <w:vAlign w:val="bottom"/>
            <w:hideMark/>
          </w:tcPr>
          <w:p w14:paraId="2B2CF7E8"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86.03±7.02a</w:t>
            </w:r>
          </w:p>
        </w:tc>
        <w:tc>
          <w:tcPr>
            <w:tcW w:w="1561" w:type="dxa"/>
            <w:tcBorders>
              <w:top w:val="nil"/>
              <w:left w:val="nil"/>
              <w:bottom w:val="single" w:sz="8" w:space="0" w:color="auto"/>
              <w:right w:val="single" w:sz="8" w:space="0" w:color="auto"/>
            </w:tcBorders>
            <w:vAlign w:val="bottom"/>
            <w:hideMark/>
          </w:tcPr>
          <w:p w14:paraId="772F402B"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21.86±0.88</w:t>
            </w:r>
            <w:r w:rsidRPr="00C25D94">
              <w:rPr>
                <w:color w:val="000000"/>
                <w:vertAlign w:val="superscript"/>
              </w:rPr>
              <w:t>ab</w:t>
            </w:r>
          </w:p>
        </w:tc>
        <w:tc>
          <w:tcPr>
            <w:tcW w:w="1627" w:type="dxa"/>
            <w:tcBorders>
              <w:top w:val="nil"/>
              <w:left w:val="nil"/>
              <w:bottom w:val="single" w:sz="8" w:space="0" w:color="auto"/>
              <w:right w:val="single" w:sz="8" w:space="0" w:color="auto"/>
            </w:tcBorders>
            <w:vAlign w:val="bottom"/>
            <w:hideMark/>
          </w:tcPr>
          <w:p w14:paraId="6ABD96FF"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84.26±5.95</w:t>
            </w:r>
            <w:r w:rsidRPr="00C25D94">
              <w:rPr>
                <w:color w:val="000000"/>
                <w:vertAlign w:val="superscript"/>
              </w:rPr>
              <w:t>a</w:t>
            </w:r>
          </w:p>
        </w:tc>
        <w:tc>
          <w:tcPr>
            <w:tcW w:w="1438" w:type="dxa"/>
            <w:tcBorders>
              <w:top w:val="nil"/>
              <w:left w:val="nil"/>
              <w:bottom w:val="single" w:sz="8" w:space="0" w:color="auto"/>
              <w:right w:val="single" w:sz="8" w:space="0" w:color="auto"/>
            </w:tcBorders>
            <w:vAlign w:val="bottom"/>
            <w:hideMark/>
          </w:tcPr>
          <w:p w14:paraId="0656ABB4"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7.00±0.45</w:t>
            </w:r>
            <w:r w:rsidRPr="00DB6019">
              <w:rPr>
                <w:color w:val="000000"/>
                <w:vertAlign w:val="superscript"/>
              </w:rPr>
              <w:t>a</w:t>
            </w:r>
          </w:p>
        </w:tc>
        <w:tc>
          <w:tcPr>
            <w:tcW w:w="1548" w:type="dxa"/>
            <w:tcBorders>
              <w:top w:val="nil"/>
              <w:left w:val="nil"/>
              <w:bottom w:val="single" w:sz="8" w:space="0" w:color="auto"/>
              <w:right w:val="single" w:sz="8" w:space="0" w:color="auto"/>
            </w:tcBorders>
            <w:vAlign w:val="bottom"/>
            <w:hideMark/>
          </w:tcPr>
          <w:p w14:paraId="4605BD8E"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3.40±0.25</w:t>
            </w:r>
            <w:r w:rsidRPr="00DB6019">
              <w:rPr>
                <w:color w:val="000000"/>
                <w:vertAlign w:val="superscript"/>
              </w:rPr>
              <w:t>abc</w:t>
            </w:r>
          </w:p>
        </w:tc>
        <w:tc>
          <w:tcPr>
            <w:tcW w:w="1561" w:type="dxa"/>
            <w:tcBorders>
              <w:top w:val="nil"/>
              <w:left w:val="nil"/>
              <w:bottom w:val="single" w:sz="8" w:space="0" w:color="auto"/>
              <w:right w:val="single" w:sz="8" w:space="0" w:color="auto"/>
            </w:tcBorders>
            <w:vAlign w:val="bottom"/>
            <w:hideMark/>
          </w:tcPr>
          <w:p w14:paraId="6545CE05"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77.00±1.23</w:t>
            </w:r>
            <w:r w:rsidRPr="00DB6019">
              <w:rPr>
                <w:color w:val="000000"/>
                <w:vertAlign w:val="superscript"/>
              </w:rPr>
              <w:t>ab</w:t>
            </w:r>
          </w:p>
        </w:tc>
        <w:tc>
          <w:tcPr>
            <w:tcW w:w="1632" w:type="dxa"/>
            <w:tcBorders>
              <w:top w:val="nil"/>
              <w:left w:val="nil"/>
              <w:bottom w:val="single" w:sz="8" w:space="0" w:color="auto"/>
              <w:right w:val="single" w:sz="8" w:space="0" w:color="auto"/>
            </w:tcBorders>
            <w:vAlign w:val="bottom"/>
            <w:hideMark/>
          </w:tcPr>
          <w:p w14:paraId="41FD8310" w14:textId="77777777" w:rsidR="00801FBF" w:rsidRPr="004A4296" w:rsidRDefault="00801FBF" w:rsidP="00801FBF">
            <w:pPr>
              <w:spacing w:after="0" w:line="360" w:lineRule="auto"/>
              <w:jc w:val="center"/>
              <w:rPr>
                <w:rFonts w:eastAsia="Times New Roman"/>
                <w:bCs w:val="0"/>
                <w:color w:val="000000"/>
                <w:lang w:eastAsia="en-IN"/>
              </w:rPr>
            </w:pPr>
            <w:r w:rsidRPr="004A4296">
              <w:rPr>
                <w:color w:val="000000"/>
              </w:rPr>
              <w:t>77.00±1.23</w:t>
            </w:r>
            <w:r w:rsidRPr="00DB6019">
              <w:rPr>
                <w:color w:val="000000"/>
                <w:vertAlign w:val="superscript"/>
              </w:rPr>
              <w:t>ab</w:t>
            </w:r>
          </w:p>
        </w:tc>
        <w:tc>
          <w:tcPr>
            <w:tcW w:w="1592" w:type="dxa"/>
            <w:tcBorders>
              <w:top w:val="nil"/>
              <w:left w:val="nil"/>
              <w:bottom w:val="single" w:sz="8" w:space="0" w:color="auto"/>
              <w:right w:val="single" w:sz="8" w:space="0" w:color="auto"/>
            </w:tcBorders>
          </w:tcPr>
          <w:p w14:paraId="3599D035" w14:textId="2F876B02" w:rsidR="00801FBF" w:rsidRPr="00801FBF" w:rsidRDefault="00801FBF" w:rsidP="00801FBF">
            <w:pPr>
              <w:spacing w:after="0" w:line="360" w:lineRule="auto"/>
              <w:jc w:val="center"/>
              <w:rPr>
                <w:rFonts w:eastAsia="Times New Roman"/>
                <w:bCs w:val="0"/>
                <w:color w:val="000000"/>
                <w:lang w:eastAsia="en-IN"/>
              </w:rPr>
            </w:pPr>
            <w:r w:rsidRPr="00801FBF">
              <w:rPr>
                <w:color w:val="000000"/>
              </w:rPr>
              <w:t>55.83±3.79</w:t>
            </w:r>
            <w:r w:rsidRPr="00DB6019">
              <w:rPr>
                <w:color w:val="000000"/>
                <w:vertAlign w:val="superscript"/>
              </w:rPr>
              <w:t>abc</w:t>
            </w:r>
          </w:p>
        </w:tc>
      </w:tr>
      <w:tr w:rsidR="002905BE" w:rsidRPr="004A4296" w14:paraId="2B09C8B2"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5D08CE65" w14:textId="77777777" w:rsidR="002905BE" w:rsidRPr="004A4296" w:rsidRDefault="002905BE" w:rsidP="00302468">
            <w:pPr>
              <w:spacing w:after="0" w:line="360" w:lineRule="auto"/>
              <w:jc w:val="center"/>
              <w:rPr>
                <w:rFonts w:eastAsia="Times New Roman"/>
                <w:bCs w:val="0"/>
                <w:color w:val="000000"/>
                <w:lang w:eastAsia="en-IN"/>
              </w:rPr>
            </w:pPr>
          </w:p>
        </w:tc>
        <w:tc>
          <w:tcPr>
            <w:tcW w:w="1356" w:type="dxa"/>
            <w:tcBorders>
              <w:top w:val="nil"/>
              <w:left w:val="nil"/>
              <w:bottom w:val="single" w:sz="8" w:space="0" w:color="auto"/>
              <w:right w:val="single" w:sz="8" w:space="0" w:color="auto"/>
            </w:tcBorders>
            <w:vAlign w:val="center"/>
            <w:hideMark/>
          </w:tcPr>
          <w:p w14:paraId="35E2F36D" w14:textId="77777777" w:rsidR="002905BE" w:rsidRPr="004A4296" w:rsidRDefault="002905BE" w:rsidP="00302468">
            <w:pPr>
              <w:spacing w:after="0" w:line="360" w:lineRule="auto"/>
              <w:jc w:val="center"/>
              <w:rPr>
                <w:rFonts w:eastAsia="Times New Roman"/>
                <w:bCs w:val="0"/>
                <w:color w:val="000000"/>
                <w:lang w:eastAsia="en-IN"/>
              </w:rPr>
            </w:pPr>
            <w:r w:rsidRPr="004A4296">
              <w:rPr>
                <w:rFonts w:eastAsia="Times New Roman"/>
                <w:color w:val="000000"/>
                <w:lang w:eastAsia="en-IN"/>
              </w:rPr>
              <w:t>F-VALUE</w:t>
            </w:r>
          </w:p>
        </w:tc>
        <w:tc>
          <w:tcPr>
            <w:tcW w:w="1599" w:type="dxa"/>
            <w:tcBorders>
              <w:top w:val="nil"/>
              <w:left w:val="nil"/>
              <w:bottom w:val="single" w:sz="8" w:space="0" w:color="auto"/>
              <w:right w:val="single" w:sz="8" w:space="0" w:color="auto"/>
            </w:tcBorders>
            <w:hideMark/>
          </w:tcPr>
          <w:p w14:paraId="5EA1644D"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11.62</w:t>
            </w:r>
          </w:p>
        </w:tc>
        <w:tc>
          <w:tcPr>
            <w:tcW w:w="1561" w:type="dxa"/>
            <w:tcBorders>
              <w:top w:val="nil"/>
              <w:left w:val="nil"/>
              <w:bottom w:val="single" w:sz="8" w:space="0" w:color="auto"/>
              <w:right w:val="single" w:sz="8" w:space="0" w:color="auto"/>
            </w:tcBorders>
            <w:hideMark/>
          </w:tcPr>
          <w:p w14:paraId="7091D7A7"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3.43</w:t>
            </w:r>
          </w:p>
        </w:tc>
        <w:tc>
          <w:tcPr>
            <w:tcW w:w="1627" w:type="dxa"/>
            <w:tcBorders>
              <w:top w:val="nil"/>
              <w:left w:val="nil"/>
              <w:bottom w:val="single" w:sz="8" w:space="0" w:color="auto"/>
              <w:right w:val="single" w:sz="8" w:space="0" w:color="auto"/>
            </w:tcBorders>
            <w:hideMark/>
          </w:tcPr>
          <w:p w14:paraId="260B2146"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11.29</w:t>
            </w:r>
          </w:p>
        </w:tc>
        <w:tc>
          <w:tcPr>
            <w:tcW w:w="1438" w:type="dxa"/>
            <w:tcBorders>
              <w:top w:val="nil"/>
              <w:left w:val="nil"/>
              <w:bottom w:val="single" w:sz="8" w:space="0" w:color="auto"/>
              <w:right w:val="single" w:sz="8" w:space="0" w:color="auto"/>
            </w:tcBorders>
            <w:hideMark/>
          </w:tcPr>
          <w:p w14:paraId="14083ACC"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4.42</w:t>
            </w:r>
          </w:p>
        </w:tc>
        <w:tc>
          <w:tcPr>
            <w:tcW w:w="1548" w:type="dxa"/>
            <w:tcBorders>
              <w:top w:val="nil"/>
              <w:left w:val="nil"/>
              <w:bottom w:val="single" w:sz="8" w:space="0" w:color="auto"/>
              <w:right w:val="single" w:sz="8" w:space="0" w:color="auto"/>
            </w:tcBorders>
            <w:hideMark/>
          </w:tcPr>
          <w:p w14:paraId="1AC458B6"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11.18</w:t>
            </w:r>
          </w:p>
        </w:tc>
        <w:tc>
          <w:tcPr>
            <w:tcW w:w="1561" w:type="dxa"/>
            <w:tcBorders>
              <w:top w:val="nil"/>
              <w:left w:val="nil"/>
              <w:bottom w:val="single" w:sz="8" w:space="0" w:color="auto"/>
              <w:right w:val="single" w:sz="8" w:space="0" w:color="auto"/>
            </w:tcBorders>
            <w:vAlign w:val="bottom"/>
            <w:hideMark/>
          </w:tcPr>
          <w:p w14:paraId="798C0539"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11.12</w:t>
            </w:r>
          </w:p>
        </w:tc>
        <w:tc>
          <w:tcPr>
            <w:tcW w:w="1632" w:type="dxa"/>
            <w:tcBorders>
              <w:top w:val="nil"/>
              <w:left w:val="nil"/>
              <w:bottom w:val="single" w:sz="8" w:space="0" w:color="auto"/>
              <w:right w:val="single" w:sz="8" w:space="0" w:color="auto"/>
            </w:tcBorders>
            <w:vAlign w:val="bottom"/>
            <w:hideMark/>
          </w:tcPr>
          <w:p w14:paraId="0BB14403"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11.12</w:t>
            </w:r>
          </w:p>
        </w:tc>
        <w:tc>
          <w:tcPr>
            <w:tcW w:w="1592" w:type="dxa"/>
            <w:tcBorders>
              <w:top w:val="nil"/>
              <w:left w:val="nil"/>
              <w:bottom w:val="single" w:sz="8" w:space="0" w:color="auto"/>
              <w:right w:val="single" w:sz="8" w:space="0" w:color="auto"/>
            </w:tcBorders>
            <w:vAlign w:val="bottom"/>
            <w:hideMark/>
          </w:tcPr>
          <w:p w14:paraId="2A8AD493"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7.93</w:t>
            </w:r>
          </w:p>
        </w:tc>
      </w:tr>
      <w:tr w:rsidR="002905BE" w:rsidRPr="004A4296" w14:paraId="0159AC58"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31651E78" w14:textId="77777777" w:rsidR="002905BE" w:rsidRPr="004A4296" w:rsidRDefault="002905BE" w:rsidP="00302468">
            <w:pPr>
              <w:spacing w:after="0" w:line="360" w:lineRule="auto"/>
              <w:jc w:val="center"/>
              <w:rPr>
                <w:rFonts w:eastAsia="Times New Roman"/>
                <w:bCs w:val="0"/>
                <w:color w:val="000000"/>
                <w:lang w:eastAsia="en-IN"/>
              </w:rPr>
            </w:pPr>
          </w:p>
        </w:tc>
        <w:tc>
          <w:tcPr>
            <w:tcW w:w="1356" w:type="dxa"/>
            <w:tcBorders>
              <w:top w:val="nil"/>
              <w:left w:val="nil"/>
              <w:bottom w:val="single" w:sz="8" w:space="0" w:color="auto"/>
              <w:right w:val="single" w:sz="8" w:space="0" w:color="auto"/>
            </w:tcBorders>
            <w:vAlign w:val="center"/>
            <w:hideMark/>
          </w:tcPr>
          <w:p w14:paraId="0F4EB837" w14:textId="77777777" w:rsidR="002905BE" w:rsidRPr="004A4296" w:rsidRDefault="002905BE" w:rsidP="00302468">
            <w:pPr>
              <w:spacing w:after="0" w:line="360" w:lineRule="auto"/>
              <w:jc w:val="center"/>
              <w:rPr>
                <w:rFonts w:eastAsia="Times New Roman"/>
                <w:bCs w:val="0"/>
                <w:color w:val="000000"/>
                <w:lang w:eastAsia="en-IN"/>
              </w:rPr>
            </w:pPr>
            <w:r w:rsidRPr="004A4296">
              <w:rPr>
                <w:rFonts w:eastAsia="Times New Roman"/>
                <w:color w:val="000000"/>
                <w:lang w:eastAsia="en-IN"/>
              </w:rPr>
              <w:t>Tukey’s HSD</w:t>
            </w:r>
          </w:p>
        </w:tc>
        <w:tc>
          <w:tcPr>
            <w:tcW w:w="1599" w:type="dxa"/>
            <w:tcBorders>
              <w:top w:val="nil"/>
              <w:left w:val="nil"/>
              <w:bottom w:val="single" w:sz="8" w:space="0" w:color="auto"/>
              <w:right w:val="single" w:sz="8" w:space="0" w:color="auto"/>
            </w:tcBorders>
            <w:hideMark/>
          </w:tcPr>
          <w:p w14:paraId="59FDC88E"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27.153</w:t>
            </w:r>
          </w:p>
        </w:tc>
        <w:tc>
          <w:tcPr>
            <w:tcW w:w="1561" w:type="dxa"/>
            <w:tcBorders>
              <w:top w:val="nil"/>
              <w:left w:val="nil"/>
              <w:bottom w:val="single" w:sz="8" w:space="0" w:color="auto"/>
              <w:right w:val="single" w:sz="8" w:space="0" w:color="auto"/>
            </w:tcBorders>
            <w:hideMark/>
          </w:tcPr>
          <w:p w14:paraId="7803E0B9"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2.6651</w:t>
            </w:r>
          </w:p>
        </w:tc>
        <w:tc>
          <w:tcPr>
            <w:tcW w:w="1627" w:type="dxa"/>
            <w:tcBorders>
              <w:top w:val="nil"/>
              <w:left w:val="nil"/>
              <w:bottom w:val="single" w:sz="8" w:space="0" w:color="auto"/>
              <w:right w:val="single" w:sz="8" w:space="0" w:color="auto"/>
            </w:tcBorders>
            <w:hideMark/>
          </w:tcPr>
          <w:p w14:paraId="47D1240D"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19.412</w:t>
            </w:r>
          </w:p>
        </w:tc>
        <w:tc>
          <w:tcPr>
            <w:tcW w:w="1438" w:type="dxa"/>
            <w:tcBorders>
              <w:top w:val="nil"/>
              <w:left w:val="nil"/>
              <w:bottom w:val="single" w:sz="8" w:space="0" w:color="auto"/>
              <w:right w:val="single" w:sz="8" w:space="0" w:color="auto"/>
            </w:tcBorders>
            <w:hideMark/>
          </w:tcPr>
          <w:p w14:paraId="3D60D087"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1.4718</w:t>
            </w:r>
          </w:p>
        </w:tc>
        <w:tc>
          <w:tcPr>
            <w:tcW w:w="1548" w:type="dxa"/>
            <w:tcBorders>
              <w:top w:val="nil"/>
              <w:left w:val="nil"/>
              <w:bottom w:val="single" w:sz="8" w:space="0" w:color="auto"/>
              <w:right w:val="single" w:sz="8" w:space="0" w:color="auto"/>
            </w:tcBorders>
            <w:hideMark/>
          </w:tcPr>
          <w:p w14:paraId="462CA1A9"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1.1599</w:t>
            </w:r>
          </w:p>
        </w:tc>
        <w:tc>
          <w:tcPr>
            <w:tcW w:w="1561" w:type="dxa"/>
            <w:tcBorders>
              <w:top w:val="nil"/>
              <w:left w:val="nil"/>
              <w:bottom w:val="single" w:sz="8" w:space="0" w:color="auto"/>
              <w:right w:val="single" w:sz="8" w:space="0" w:color="auto"/>
            </w:tcBorders>
            <w:hideMark/>
          </w:tcPr>
          <w:p w14:paraId="3942A956"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8.5926</w:t>
            </w:r>
          </w:p>
        </w:tc>
        <w:tc>
          <w:tcPr>
            <w:tcW w:w="1632" w:type="dxa"/>
            <w:tcBorders>
              <w:top w:val="nil"/>
              <w:left w:val="nil"/>
              <w:bottom w:val="single" w:sz="8" w:space="0" w:color="auto"/>
              <w:right w:val="single" w:sz="8" w:space="0" w:color="auto"/>
            </w:tcBorders>
            <w:hideMark/>
          </w:tcPr>
          <w:p w14:paraId="4D671305"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8.5926</w:t>
            </w:r>
          </w:p>
        </w:tc>
        <w:tc>
          <w:tcPr>
            <w:tcW w:w="1592" w:type="dxa"/>
            <w:tcBorders>
              <w:top w:val="nil"/>
              <w:left w:val="nil"/>
              <w:bottom w:val="single" w:sz="8" w:space="0" w:color="auto"/>
              <w:right w:val="single" w:sz="8" w:space="0" w:color="auto"/>
            </w:tcBorders>
            <w:vAlign w:val="bottom"/>
            <w:hideMark/>
          </w:tcPr>
          <w:p w14:paraId="06518B4D"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13.437</w:t>
            </w:r>
          </w:p>
        </w:tc>
      </w:tr>
      <w:tr w:rsidR="002905BE" w:rsidRPr="004A4296" w14:paraId="2A0EB4D4" w14:textId="77777777" w:rsidTr="00AB219B">
        <w:trPr>
          <w:trHeight w:val="248"/>
        </w:trPr>
        <w:tc>
          <w:tcPr>
            <w:tcW w:w="809" w:type="dxa"/>
            <w:tcBorders>
              <w:top w:val="nil"/>
              <w:left w:val="single" w:sz="8" w:space="0" w:color="auto"/>
              <w:bottom w:val="single" w:sz="8" w:space="0" w:color="auto"/>
              <w:right w:val="single" w:sz="8" w:space="0" w:color="auto"/>
            </w:tcBorders>
            <w:vAlign w:val="center"/>
            <w:hideMark/>
          </w:tcPr>
          <w:p w14:paraId="68355541" w14:textId="77777777" w:rsidR="002905BE" w:rsidRPr="004A4296" w:rsidRDefault="002905BE" w:rsidP="00302468">
            <w:pPr>
              <w:spacing w:after="0" w:line="360" w:lineRule="auto"/>
              <w:jc w:val="center"/>
              <w:rPr>
                <w:rFonts w:eastAsia="Times New Roman"/>
                <w:bCs w:val="0"/>
                <w:color w:val="000000"/>
                <w:lang w:eastAsia="en-IN"/>
              </w:rPr>
            </w:pPr>
          </w:p>
        </w:tc>
        <w:tc>
          <w:tcPr>
            <w:tcW w:w="1356" w:type="dxa"/>
            <w:tcBorders>
              <w:top w:val="nil"/>
              <w:left w:val="nil"/>
              <w:bottom w:val="single" w:sz="8" w:space="0" w:color="auto"/>
              <w:right w:val="single" w:sz="8" w:space="0" w:color="auto"/>
            </w:tcBorders>
            <w:vAlign w:val="center"/>
            <w:hideMark/>
          </w:tcPr>
          <w:p w14:paraId="61147BAC" w14:textId="77777777" w:rsidR="002905BE" w:rsidRPr="004A4296" w:rsidRDefault="002905BE" w:rsidP="00302468">
            <w:pPr>
              <w:spacing w:after="0" w:line="360" w:lineRule="auto"/>
              <w:jc w:val="center"/>
              <w:rPr>
                <w:rFonts w:eastAsia="Times New Roman"/>
                <w:bCs w:val="0"/>
                <w:color w:val="000000"/>
                <w:lang w:eastAsia="en-IN"/>
              </w:rPr>
            </w:pPr>
            <w:r w:rsidRPr="004A4296">
              <w:rPr>
                <w:rFonts w:eastAsia="Times New Roman"/>
                <w:color w:val="000000"/>
                <w:lang w:eastAsia="en-IN"/>
              </w:rPr>
              <w:t>P</w:t>
            </w:r>
          </w:p>
        </w:tc>
        <w:tc>
          <w:tcPr>
            <w:tcW w:w="1599" w:type="dxa"/>
            <w:tcBorders>
              <w:top w:val="nil"/>
              <w:left w:val="nil"/>
              <w:bottom w:val="single" w:sz="8" w:space="0" w:color="auto"/>
              <w:right w:val="single" w:sz="8" w:space="0" w:color="auto"/>
            </w:tcBorders>
            <w:hideMark/>
          </w:tcPr>
          <w:p w14:paraId="69D971B7"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&lt;.0001</w:t>
            </w:r>
          </w:p>
        </w:tc>
        <w:tc>
          <w:tcPr>
            <w:tcW w:w="1561" w:type="dxa"/>
            <w:tcBorders>
              <w:top w:val="nil"/>
              <w:left w:val="nil"/>
              <w:bottom w:val="single" w:sz="8" w:space="0" w:color="auto"/>
              <w:right w:val="single" w:sz="8" w:space="0" w:color="auto"/>
            </w:tcBorders>
            <w:hideMark/>
          </w:tcPr>
          <w:p w14:paraId="55EC5976"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0.0137</w:t>
            </w:r>
          </w:p>
        </w:tc>
        <w:tc>
          <w:tcPr>
            <w:tcW w:w="1627" w:type="dxa"/>
            <w:tcBorders>
              <w:top w:val="nil"/>
              <w:left w:val="nil"/>
              <w:bottom w:val="single" w:sz="8" w:space="0" w:color="auto"/>
              <w:right w:val="single" w:sz="8" w:space="0" w:color="auto"/>
            </w:tcBorders>
            <w:hideMark/>
          </w:tcPr>
          <w:p w14:paraId="6730F7DB"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&lt;.0001</w:t>
            </w:r>
          </w:p>
        </w:tc>
        <w:tc>
          <w:tcPr>
            <w:tcW w:w="1438" w:type="dxa"/>
            <w:tcBorders>
              <w:top w:val="nil"/>
              <w:left w:val="nil"/>
              <w:bottom w:val="single" w:sz="8" w:space="0" w:color="auto"/>
              <w:right w:val="single" w:sz="8" w:space="0" w:color="auto"/>
            </w:tcBorders>
            <w:hideMark/>
          </w:tcPr>
          <w:p w14:paraId="5CA16D4A"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0.0038</w:t>
            </w:r>
          </w:p>
        </w:tc>
        <w:tc>
          <w:tcPr>
            <w:tcW w:w="1548" w:type="dxa"/>
            <w:tcBorders>
              <w:top w:val="nil"/>
              <w:left w:val="nil"/>
              <w:bottom w:val="single" w:sz="8" w:space="0" w:color="auto"/>
              <w:right w:val="single" w:sz="8" w:space="0" w:color="auto"/>
            </w:tcBorders>
            <w:hideMark/>
          </w:tcPr>
          <w:p w14:paraId="37EA9CD4"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&lt;.0001</w:t>
            </w:r>
          </w:p>
        </w:tc>
        <w:tc>
          <w:tcPr>
            <w:tcW w:w="1561" w:type="dxa"/>
            <w:tcBorders>
              <w:top w:val="nil"/>
              <w:left w:val="nil"/>
              <w:bottom w:val="single" w:sz="8" w:space="0" w:color="auto"/>
              <w:right w:val="single" w:sz="8" w:space="0" w:color="auto"/>
            </w:tcBorders>
            <w:vAlign w:val="bottom"/>
            <w:hideMark/>
          </w:tcPr>
          <w:p w14:paraId="3E8F4EE7"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&lt;.0001</w:t>
            </w:r>
          </w:p>
        </w:tc>
        <w:tc>
          <w:tcPr>
            <w:tcW w:w="1632" w:type="dxa"/>
            <w:tcBorders>
              <w:top w:val="nil"/>
              <w:left w:val="nil"/>
              <w:bottom w:val="single" w:sz="8" w:space="0" w:color="auto"/>
              <w:right w:val="single" w:sz="8" w:space="0" w:color="auto"/>
            </w:tcBorders>
            <w:vAlign w:val="bottom"/>
            <w:hideMark/>
          </w:tcPr>
          <w:p w14:paraId="1AD2BE40"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&lt;.0001</w:t>
            </w:r>
          </w:p>
        </w:tc>
        <w:tc>
          <w:tcPr>
            <w:tcW w:w="1592" w:type="dxa"/>
            <w:tcBorders>
              <w:top w:val="nil"/>
              <w:left w:val="nil"/>
              <w:bottom w:val="single" w:sz="8" w:space="0" w:color="auto"/>
              <w:right w:val="single" w:sz="8" w:space="0" w:color="auto"/>
            </w:tcBorders>
            <w:vAlign w:val="bottom"/>
            <w:hideMark/>
          </w:tcPr>
          <w:p w14:paraId="21D957EC" w14:textId="77777777" w:rsidR="002905BE" w:rsidRPr="004A4296" w:rsidRDefault="002905BE" w:rsidP="00302468">
            <w:pPr>
              <w:spacing w:after="0" w:line="360" w:lineRule="auto"/>
              <w:jc w:val="center"/>
              <w:rPr>
                <w:rFonts w:eastAsia="Times New Roman"/>
                <w:bCs w:val="0"/>
                <w:color w:val="000000"/>
                <w:lang w:eastAsia="en-IN"/>
              </w:rPr>
            </w:pPr>
            <w:r w:rsidRPr="004A4296">
              <w:rPr>
                <w:color w:val="000000"/>
              </w:rPr>
              <w:t>&lt;.0001</w:t>
            </w:r>
          </w:p>
        </w:tc>
      </w:tr>
    </w:tbl>
    <w:p w14:paraId="113BF66B" w14:textId="77777777" w:rsidR="002905BE" w:rsidRPr="004A4296" w:rsidRDefault="002905BE" w:rsidP="00302468">
      <w:pPr>
        <w:pStyle w:val="NoSpacing"/>
        <w:spacing w:line="360" w:lineRule="auto"/>
      </w:pPr>
    </w:p>
    <w:p w14:paraId="446932B3" w14:textId="77777777" w:rsidR="002905BE" w:rsidRPr="004A4296" w:rsidRDefault="002905BE" w:rsidP="00302468">
      <w:pPr>
        <w:spacing w:line="360" w:lineRule="auto"/>
      </w:pPr>
      <w:r w:rsidRPr="004A4296">
        <w:rPr>
          <w:b/>
        </w:rPr>
        <w:tab/>
      </w:r>
      <w:r w:rsidRPr="004A4296">
        <w:t>Means within a column followed by different letters are significantly different. Each value represents the mean of five replications.</w:t>
      </w:r>
    </w:p>
    <w:p w14:paraId="5C0D193C" w14:textId="77777777" w:rsidR="002905BE" w:rsidRPr="004A4296" w:rsidRDefault="002905BE" w:rsidP="00302468">
      <w:pPr>
        <w:spacing w:line="360" w:lineRule="auto"/>
      </w:pPr>
    </w:p>
    <w:p w14:paraId="1D13DD37" w14:textId="77777777" w:rsidR="002905BE" w:rsidRPr="004A4296" w:rsidRDefault="002905BE" w:rsidP="00302468">
      <w:pPr>
        <w:spacing w:line="360" w:lineRule="auto"/>
        <w:sectPr w:rsidR="002905BE" w:rsidRPr="004A4296" w:rsidSect="002905BE">
          <w:pgSz w:w="16838" w:h="11906" w:orient="landscape"/>
          <w:pgMar w:top="1152" w:right="1440" w:bottom="2304" w:left="1440" w:header="706" w:footer="706" w:gutter="0"/>
          <w:cols w:space="708"/>
          <w:docGrid w:linePitch="360"/>
        </w:sectPr>
      </w:pPr>
    </w:p>
    <w:p w14:paraId="63066C0B" w14:textId="77777777" w:rsidR="0091079A" w:rsidRDefault="0091079A" w:rsidP="0091079A">
      <w:pPr>
        <w:rPr>
          <w:rFonts w:ascii="Calibri" w:eastAsia="Calibri" w:hAnsi="Calibri"/>
          <w:lang w:val="en-US"/>
        </w:rPr>
      </w:pPr>
      <w:bookmarkStart w:id="1" w:name="_Hlk192511329"/>
      <w:bookmarkStart w:id="2" w:name="_Hlk187485061"/>
      <w:bookmarkStart w:id="3" w:name="_Hlk194655630"/>
      <w:bookmarkStart w:id="4" w:name="_Hlk209008097"/>
      <w:bookmarkStart w:id="5" w:name="_Hlk213163655"/>
    </w:p>
    <w:p w14:paraId="086BC8F4" w14:textId="77777777" w:rsidR="0091079A" w:rsidRPr="0085045B" w:rsidRDefault="0091079A" w:rsidP="0091079A">
      <w:pPr>
        <w:rPr>
          <w:rFonts w:eastAsia="Calibri"/>
          <w:lang w:val="en-US"/>
        </w:rPr>
      </w:pPr>
      <w:bookmarkStart w:id="6" w:name="_Hlk204003461"/>
      <w:bookmarkStart w:id="7" w:name="_Hlk213070710"/>
      <w:bookmarkEnd w:id="1"/>
      <w:bookmarkEnd w:id="2"/>
      <w:bookmarkEnd w:id="3"/>
      <w:bookmarkEnd w:id="4"/>
      <w:r w:rsidRPr="0085045B">
        <w:rPr>
          <w:rFonts w:eastAsia="Calibri"/>
          <w:lang w:val="en-US"/>
        </w:rPr>
        <w:t>Disclaimer (Artificial intelligence)</w:t>
      </w:r>
    </w:p>
    <w:p w14:paraId="334B18E2" w14:textId="3C941B31" w:rsidR="0091079A" w:rsidRPr="0085045B" w:rsidRDefault="0091079A" w:rsidP="0031105F">
      <w:pPr>
        <w:rPr>
          <w:rFonts w:eastAsia="Calibri"/>
          <w:lang w:val="en-US"/>
        </w:rPr>
      </w:pPr>
      <w:r w:rsidRPr="0085045B">
        <w:rPr>
          <w:rFonts w:eastAsia="Calibri"/>
          <w:lang w:val="en-US"/>
        </w:rPr>
        <w:t xml:space="preserve">Author(s) hereby </w:t>
      </w:r>
      <w:proofErr w:type="gramStart"/>
      <w:r w:rsidRPr="0085045B">
        <w:rPr>
          <w:rFonts w:eastAsia="Calibri"/>
          <w:lang w:val="en-US"/>
        </w:rPr>
        <w:t>declare</w:t>
      </w:r>
      <w:proofErr w:type="gramEnd"/>
      <w:r w:rsidRPr="0085045B">
        <w:rPr>
          <w:rFonts w:eastAsia="Calibri"/>
          <w:lang w:val="en-US"/>
        </w:rPr>
        <w:t xml:space="preserve"> that NO generative AI technologies such as Large Language Models (ChatGPT, COPILOT, etc.) and text-to-image generators have been used during the writing or editing of this manuscript. </w:t>
      </w:r>
      <w:bookmarkEnd w:id="5"/>
      <w:bookmarkEnd w:id="6"/>
      <w:bookmarkEnd w:id="7"/>
    </w:p>
    <w:p w14:paraId="4D53A5FE" w14:textId="3E0079BD" w:rsidR="002905BE" w:rsidRPr="004A4296" w:rsidRDefault="002905BE" w:rsidP="00302468">
      <w:pPr>
        <w:spacing w:line="360" w:lineRule="auto"/>
      </w:pPr>
      <w:r w:rsidRPr="004A4296">
        <w:t>References:</w:t>
      </w:r>
    </w:p>
    <w:p w14:paraId="1346CC24" w14:textId="77777777" w:rsidR="00B43D3B" w:rsidRDefault="00B43D3B" w:rsidP="00B43D3B">
      <w:pPr>
        <w:pStyle w:val="ListParagraph"/>
        <w:numPr>
          <w:ilvl w:val="0"/>
          <w:numId w:val="3"/>
        </w:numPr>
        <w:spacing w:line="360" w:lineRule="auto"/>
        <w:jc w:val="both"/>
      </w:pPr>
      <w:r w:rsidRPr="00374A26">
        <w:rPr>
          <w:color w:val="000000" w:themeColor="text1"/>
        </w:rPr>
        <w:t xml:space="preserve">APEDA. (2024). *Maize*. </w:t>
      </w:r>
      <w:r>
        <w:fldChar w:fldCharType="begin"/>
      </w:r>
      <w:r>
        <w:instrText>HYPERLINK "https://apeda.gov.in/Maize"</w:instrText>
      </w:r>
      <w:r>
        <w:fldChar w:fldCharType="separate"/>
      </w:r>
      <w:r w:rsidRPr="00374A26">
        <w:rPr>
          <w:rStyle w:val="Hyperlink"/>
        </w:rPr>
        <w:t>https://apeda.gov.in/Maize</w:t>
      </w:r>
      <w:r>
        <w:fldChar w:fldCharType="end"/>
      </w:r>
      <w:r>
        <w:t>.</w:t>
      </w:r>
    </w:p>
    <w:p w14:paraId="1E123C46" w14:textId="77777777" w:rsidR="00B43D3B" w:rsidRPr="00246D64" w:rsidRDefault="00B43D3B" w:rsidP="00B43D3B">
      <w:pPr>
        <w:pStyle w:val="ListParagraph"/>
        <w:numPr>
          <w:ilvl w:val="0"/>
          <w:numId w:val="3"/>
        </w:numPr>
        <w:spacing w:line="360" w:lineRule="auto"/>
        <w:jc w:val="both"/>
        <w:rPr>
          <w:color w:val="000000" w:themeColor="text1"/>
        </w:rPr>
      </w:pPr>
      <w:r w:rsidRPr="00246D64">
        <w:rPr>
          <w:color w:val="000000" w:themeColor="text1"/>
          <w:lang w:val="en-IN"/>
        </w:rPr>
        <w:t xml:space="preserve">De Carvalho, R. L., Costa, J. G. M., Coutinho, H. D. M., &amp; Menezes, I. R. A. (2019). Chemical profile and antibacterial activity of the </w:t>
      </w:r>
      <w:proofErr w:type="spellStart"/>
      <w:r w:rsidRPr="00246D64">
        <w:rPr>
          <w:color w:val="000000" w:themeColor="text1"/>
          <w:lang w:val="en-IN"/>
        </w:rPr>
        <w:t>hexanic</w:t>
      </w:r>
      <w:proofErr w:type="spellEnd"/>
      <w:r w:rsidRPr="00246D64">
        <w:rPr>
          <w:color w:val="000000" w:themeColor="text1"/>
          <w:lang w:val="en-IN"/>
        </w:rPr>
        <w:t xml:space="preserve"> extract of Zea mays silk and its antibiotic-modulating effects. </w:t>
      </w:r>
      <w:r w:rsidRPr="00246D64">
        <w:rPr>
          <w:color w:val="000000" w:themeColor="text1"/>
        </w:rPr>
        <w:t>Antibiotics, 8(1), 22. https://doi.org/10.3390/antibiotics8010022</w:t>
      </w:r>
    </w:p>
    <w:p w14:paraId="3C9F0FF0" w14:textId="77777777" w:rsidR="00B43D3B" w:rsidRPr="00763123" w:rsidRDefault="00B43D3B" w:rsidP="00B43D3B">
      <w:pPr>
        <w:pStyle w:val="ListParagraph"/>
        <w:numPr>
          <w:ilvl w:val="0"/>
          <w:numId w:val="3"/>
        </w:numPr>
        <w:spacing w:line="480" w:lineRule="auto"/>
        <w:jc w:val="both"/>
        <w:rPr>
          <w:color w:val="000000" w:themeColor="text1"/>
        </w:rPr>
      </w:pPr>
      <w:r w:rsidRPr="00374A26">
        <w:rPr>
          <w:color w:val="000000" w:themeColor="text1"/>
          <w:lang w:val="en-IN"/>
        </w:rPr>
        <w:t>FAO. (202</w:t>
      </w:r>
      <w:r>
        <w:rPr>
          <w:color w:val="000000" w:themeColor="text1"/>
          <w:lang w:val="en-IN"/>
        </w:rPr>
        <w:t>3</w:t>
      </w:r>
      <w:r w:rsidRPr="00374A26">
        <w:rPr>
          <w:color w:val="000000" w:themeColor="text1"/>
          <w:lang w:val="en-IN"/>
        </w:rPr>
        <w:t xml:space="preserve">). Agricultural production statistics 2010–2023. Food and Agriculture Organization of the United Nations. </w:t>
      </w:r>
      <w:hyperlink r:id="rId16" w:history="1">
        <w:r w:rsidRPr="00763123">
          <w:rPr>
            <w:rStyle w:val="Hyperlink"/>
          </w:rPr>
          <w:t>https://www.fao.org/statistics/highlights-archive/highlights-detail/agricultural-production-statistics-2010-2023/en</w:t>
        </w:r>
      </w:hyperlink>
    </w:p>
    <w:p w14:paraId="3D33411B" w14:textId="77777777" w:rsidR="00B43D3B" w:rsidRPr="00246D64" w:rsidRDefault="00B43D3B" w:rsidP="00B43D3B">
      <w:pPr>
        <w:pStyle w:val="ListParagraph"/>
        <w:numPr>
          <w:ilvl w:val="0"/>
          <w:numId w:val="3"/>
        </w:numPr>
        <w:spacing w:line="360" w:lineRule="auto"/>
        <w:jc w:val="both"/>
        <w:rPr>
          <w:color w:val="000000" w:themeColor="text1"/>
        </w:rPr>
      </w:pPr>
      <w:r w:rsidRPr="00246D64">
        <w:rPr>
          <w:color w:val="000000" w:themeColor="text1"/>
          <w:lang w:val="en-IN"/>
        </w:rPr>
        <w:t xml:space="preserve">Gueldner, R. C., Snook, M. E., Wiseman, B. R., Widstrom, N. W., &amp; Himmelsbach, D. S. (1992). Maysin and related flavonoids from corn silks with antibiosis activity toward corn earworm larvae. </w:t>
      </w:r>
      <w:r w:rsidRPr="00246D64">
        <w:rPr>
          <w:color w:val="000000" w:themeColor="text1"/>
        </w:rPr>
        <w:t>Journal of Agricultural and Food Chemistry, 40(10), 2101–2106.</w:t>
      </w:r>
    </w:p>
    <w:p w14:paraId="72557741" w14:textId="77777777" w:rsidR="00B43D3B" w:rsidRPr="00246D64" w:rsidRDefault="00B43D3B" w:rsidP="00B43D3B">
      <w:pPr>
        <w:pStyle w:val="ListParagraph"/>
        <w:numPr>
          <w:ilvl w:val="0"/>
          <w:numId w:val="3"/>
        </w:numPr>
        <w:spacing w:line="360" w:lineRule="auto"/>
        <w:jc w:val="both"/>
        <w:rPr>
          <w:color w:val="000000" w:themeColor="text1"/>
        </w:rPr>
      </w:pPr>
      <w:r w:rsidRPr="00246D64">
        <w:rPr>
          <w:color w:val="000000" w:themeColor="text1"/>
        </w:rPr>
        <w:t xml:space="preserve">Muzaffar, S., Ahmad, I., &amp; Khan, M. A. (2025). </w:t>
      </w:r>
      <w:r w:rsidRPr="00246D64">
        <w:rPr>
          <w:color w:val="000000" w:themeColor="text1"/>
          <w:lang w:val="en-IN"/>
        </w:rPr>
        <w:t xml:space="preserve">Phytochemical screening and antimicrobial activity of maize (Zea mays L.) silk extracts. </w:t>
      </w:r>
      <w:r w:rsidRPr="00246D64">
        <w:rPr>
          <w:color w:val="000000" w:themeColor="text1"/>
        </w:rPr>
        <w:t>Open Access Plant Research, 3(1), 1–9.</w:t>
      </w:r>
    </w:p>
    <w:p w14:paraId="53CCFFA2" w14:textId="77777777" w:rsidR="00B43D3B" w:rsidRPr="00246D64" w:rsidRDefault="00B43D3B" w:rsidP="00B43D3B">
      <w:pPr>
        <w:pStyle w:val="ListParagraph"/>
        <w:numPr>
          <w:ilvl w:val="0"/>
          <w:numId w:val="3"/>
        </w:numPr>
        <w:spacing w:line="360" w:lineRule="auto"/>
        <w:jc w:val="both"/>
        <w:rPr>
          <w:color w:val="000000" w:themeColor="text1"/>
        </w:rPr>
      </w:pPr>
      <w:r w:rsidRPr="00246D64">
        <w:rPr>
          <w:color w:val="000000" w:themeColor="text1"/>
          <w:lang w:val="en-IN"/>
        </w:rPr>
        <w:t xml:space="preserve">Nessa, F., Ismail, Z., &amp; Mohamed, N. (2012). Antimicrobial activities of extracts and flavonoid glycosides of corn silk (Zea mays L.). </w:t>
      </w:r>
      <w:r w:rsidRPr="00246D64">
        <w:rPr>
          <w:color w:val="000000" w:themeColor="text1"/>
        </w:rPr>
        <w:t>International Journal of Biotechnology for Wellness Industries, 1(2), 115–121.</w:t>
      </w:r>
    </w:p>
    <w:p w14:paraId="7A77CFFA" w14:textId="77777777" w:rsidR="00B43D3B" w:rsidRDefault="00B43D3B" w:rsidP="00B43D3B">
      <w:pPr>
        <w:pStyle w:val="ListParagraph"/>
        <w:numPr>
          <w:ilvl w:val="0"/>
          <w:numId w:val="3"/>
        </w:numPr>
        <w:spacing w:line="360" w:lineRule="auto"/>
        <w:jc w:val="both"/>
        <w:rPr>
          <w:lang w:val="en-IN"/>
        </w:rPr>
      </w:pPr>
      <w:r w:rsidRPr="0031105F">
        <w:t xml:space="preserve">Nuambote-Yobila, M., Osei, K., Sallah, P.Y.K., Manu-Aduening, J.A., Adzawla, W., Offei, S.K., &amp; Obeng-Antwi, K. (2023). </w:t>
      </w:r>
      <w:r w:rsidRPr="00A26ECA">
        <w:rPr>
          <w:lang w:val="en-IN"/>
        </w:rPr>
        <w:t xml:space="preserve">Screening maize genotypes for resistance to </w:t>
      </w:r>
      <w:proofErr w:type="gramStart"/>
      <w:r w:rsidRPr="00A26ECA">
        <w:rPr>
          <w:lang w:val="en-IN"/>
        </w:rPr>
        <w:t>FAW(</w:t>
      </w:r>
      <w:proofErr w:type="gramEnd"/>
      <w:r w:rsidRPr="007615C9">
        <w:rPr>
          <w:i/>
          <w:iCs/>
          <w:lang w:val="en-IN"/>
        </w:rPr>
        <w:t xml:space="preserve">Spodoptera </w:t>
      </w:r>
      <w:proofErr w:type="spellStart"/>
      <w:r w:rsidRPr="007615C9">
        <w:rPr>
          <w:i/>
          <w:iCs/>
          <w:lang w:val="en-IN"/>
        </w:rPr>
        <w:t>frugiperda</w:t>
      </w:r>
      <w:proofErr w:type="spellEnd"/>
      <w:r w:rsidRPr="00A26ECA">
        <w:rPr>
          <w:lang w:val="en-IN"/>
        </w:rPr>
        <w:t xml:space="preserve">): Comparative performance of leaves, silks and grains. Agronomy, 13(2), 488. </w:t>
      </w:r>
      <w:hyperlink r:id="rId17" w:history="1">
        <w:r w:rsidRPr="00AB6936">
          <w:rPr>
            <w:rStyle w:val="Hyperlink"/>
            <w:lang w:val="en-IN"/>
          </w:rPr>
          <w:t>https://doi.org/10.3390/agronomy13020488</w:t>
        </w:r>
      </w:hyperlink>
      <w:r>
        <w:rPr>
          <w:lang w:val="en-IN"/>
        </w:rPr>
        <w:t>.</w:t>
      </w:r>
    </w:p>
    <w:p w14:paraId="617299C3" w14:textId="77777777" w:rsidR="00B43D3B" w:rsidRPr="00B43D3B" w:rsidRDefault="00B43D3B" w:rsidP="00B43D3B">
      <w:pPr>
        <w:pStyle w:val="ListParagraph"/>
        <w:numPr>
          <w:ilvl w:val="0"/>
          <w:numId w:val="3"/>
        </w:numPr>
        <w:spacing w:line="360" w:lineRule="auto"/>
        <w:jc w:val="both"/>
        <w:rPr>
          <w:lang w:val="en-IN"/>
        </w:rPr>
      </w:pPr>
      <w:r w:rsidRPr="00B43D3B">
        <w:rPr>
          <w:lang w:val="en-IN"/>
        </w:rPr>
        <w:t>Ritchie, S. W., Hanway, J. J., &amp; Benson, G. O. (1993). How a corn plant develops. Iowa State University of Science and Technology, Cooperative Extension Service.</w:t>
      </w:r>
    </w:p>
    <w:p w14:paraId="0481B612" w14:textId="77777777" w:rsidR="00B43D3B" w:rsidRPr="00246D64" w:rsidRDefault="00B43D3B" w:rsidP="00B43D3B">
      <w:pPr>
        <w:pStyle w:val="ListParagraph"/>
        <w:numPr>
          <w:ilvl w:val="0"/>
          <w:numId w:val="3"/>
        </w:numPr>
        <w:spacing w:line="360" w:lineRule="auto"/>
        <w:jc w:val="both"/>
        <w:rPr>
          <w:color w:val="000000" w:themeColor="text1"/>
        </w:rPr>
      </w:pPr>
      <w:r w:rsidRPr="00246D64">
        <w:rPr>
          <w:color w:val="000000" w:themeColor="text1"/>
          <w:lang w:val="en-IN"/>
        </w:rPr>
        <w:lastRenderedPageBreak/>
        <w:t xml:space="preserve">Snook, M. E., Gueldner, R. C., Widstrom, N. W., Wiseman, B. R., &amp; Himmelsbach, D. S. (1989). Quantitative changes in </w:t>
      </w:r>
      <w:proofErr w:type="spellStart"/>
      <w:r w:rsidRPr="00246D64">
        <w:rPr>
          <w:color w:val="000000" w:themeColor="text1"/>
          <w:lang w:val="en-IN"/>
        </w:rPr>
        <w:t>maysin</w:t>
      </w:r>
      <w:proofErr w:type="spellEnd"/>
      <w:r w:rsidRPr="00246D64">
        <w:rPr>
          <w:color w:val="000000" w:themeColor="text1"/>
          <w:lang w:val="en-IN"/>
        </w:rPr>
        <w:t xml:space="preserve"> and other flavonoids during silk development in maize. </w:t>
      </w:r>
      <w:r w:rsidRPr="00246D64">
        <w:rPr>
          <w:color w:val="000000" w:themeColor="text1"/>
        </w:rPr>
        <w:t>Journal of Agricultural and Food Chemistry, 37(3), 595–598.</w:t>
      </w:r>
    </w:p>
    <w:p w14:paraId="7F32770C" w14:textId="77777777" w:rsidR="00B43D3B" w:rsidRPr="00246D64" w:rsidRDefault="00B43D3B" w:rsidP="00B43D3B">
      <w:pPr>
        <w:pStyle w:val="ListParagraph"/>
        <w:numPr>
          <w:ilvl w:val="0"/>
          <w:numId w:val="3"/>
        </w:numPr>
        <w:spacing w:line="360" w:lineRule="auto"/>
        <w:jc w:val="both"/>
        <w:rPr>
          <w:color w:val="000000" w:themeColor="text1"/>
        </w:rPr>
      </w:pPr>
      <w:r w:rsidRPr="00246D64">
        <w:rPr>
          <w:color w:val="000000" w:themeColor="text1"/>
          <w:lang w:val="en-IN"/>
        </w:rPr>
        <w:t xml:space="preserve">Snook, M. E., Widstrom, N. W., Wiseman, B. R., Gueldner, R. C., &amp; Himmelsbach, D. S. (1993). New </w:t>
      </w:r>
      <w:proofErr w:type="spellStart"/>
      <w:r w:rsidRPr="00246D64">
        <w:rPr>
          <w:color w:val="000000" w:themeColor="text1"/>
          <w:lang w:val="en-IN"/>
        </w:rPr>
        <w:t>maysin</w:t>
      </w:r>
      <w:proofErr w:type="spellEnd"/>
      <w:r w:rsidRPr="00246D64">
        <w:rPr>
          <w:color w:val="000000" w:themeColor="text1"/>
          <w:lang w:val="en-IN"/>
        </w:rPr>
        <w:t xml:space="preserve"> derivatives in corn silks and their antibiosis to corn earworm. </w:t>
      </w:r>
      <w:r w:rsidRPr="00246D64">
        <w:rPr>
          <w:color w:val="000000" w:themeColor="text1"/>
        </w:rPr>
        <w:t>Journal of Agricultural and Food Chemistry, 41(9), 1481–1485.</w:t>
      </w:r>
    </w:p>
    <w:p w14:paraId="4E0E157F" w14:textId="77777777" w:rsidR="00B43D3B" w:rsidRPr="00374A26" w:rsidRDefault="00B43D3B" w:rsidP="00B43D3B">
      <w:pPr>
        <w:pStyle w:val="ListParagraph"/>
        <w:numPr>
          <w:ilvl w:val="0"/>
          <w:numId w:val="3"/>
        </w:numPr>
        <w:spacing w:line="360" w:lineRule="auto"/>
        <w:jc w:val="both"/>
      </w:pPr>
      <w:r w:rsidRPr="0031105F">
        <w:t xml:space="preserve">Waiss, A. C., Chan, B. G., Elliger, C. A., Wiseman, B. R., McMillian, W. W., Widstrom, N. W., Zuber, M. S., &amp; Keaster, A. J. (1979). </w:t>
      </w:r>
      <w:r w:rsidRPr="00374A26">
        <w:rPr>
          <w:lang w:val="en-IN"/>
        </w:rPr>
        <w:t xml:space="preserve">Maysin, a flavone glycoside from corn silks with antibiotic activity toward corn earworm. Journal of Economic Entomology, 72(2), 256–258. </w:t>
      </w:r>
      <w:hyperlink r:id="rId18" w:history="1">
        <w:r w:rsidRPr="007D41FD">
          <w:rPr>
            <w:rStyle w:val="Hyperlink"/>
            <w:lang w:val="en-IN"/>
          </w:rPr>
          <w:t>https://doi.org/10.1093/jee/72.2.256</w:t>
        </w:r>
      </w:hyperlink>
    </w:p>
    <w:p w14:paraId="0D5B9902" w14:textId="77777777" w:rsidR="00B43D3B" w:rsidRDefault="00B43D3B" w:rsidP="00B43D3B">
      <w:pPr>
        <w:pStyle w:val="ListParagraph"/>
        <w:numPr>
          <w:ilvl w:val="0"/>
          <w:numId w:val="3"/>
        </w:numPr>
        <w:spacing w:line="360" w:lineRule="auto"/>
        <w:jc w:val="both"/>
      </w:pPr>
      <w:r w:rsidRPr="00B43D3B">
        <w:t xml:space="preserve">Waiss, A. C., Chan, B. G., Elliger, C. A., Wiseman, B. R., McMillian, W. W., Widstrom, N. W., Zuber, M. S., &amp; Keaster, A. J. (1979). </w:t>
      </w:r>
      <w:r w:rsidRPr="00B43D3B">
        <w:rPr>
          <w:lang w:val="en-IN"/>
        </w:rPr>
        <w:t xml:space="preserve">Maysin, a flavone glycoside from corn silks with antibiotic activity toward corn earworm. </w:t>
      </w:r>
      <w:r>
        <w:t>Journal of Economic Entomology, 72(2), 256–258.</w:t>
      </w:r>
    </w:p>
    <w:p w14:paraId="0E099C79" w14:textId="77777777" w:rsidR="00B43D3B" w:rsidRPr="00246D64" w:rsidRDefault="00B43D3B" w:rsidP="00B43D3B">
      <w:pPr>
        <w:pStyle w:val="ListParagraph"/>
        <w:numPr>
          <w:ilvl w:val="0"/>
          <w:numId w:val="3"/>
        </w:numPr>
        <w:spacing w:line="360" w:lineRule="auto"/>
        <w:jc w:val="both"/>
        <w:rPr>
          <w:color w:val="000000" w:themeColor="text1"/>
        </w:rPr>
      </w:pPr>
      <w:r w:rsidRPr="00246D64">
        <w:rPr>
          <w:color w:val="000000" w:themeColor="text1"/>
          <w:lang w:val="en-IN"/>
        </w:rPr>
        <w:t xml:space="preserve">Widstrom, N. W., &amp; Snook, M. E. (1998). Resistance of maize silks to insect feeding: Chemical and physical factors. </w:t>
      </w:r>
      <w:r w:rsidRPr="00246D64">
        <w:rPr>
          <w:color w:val="000000" w:themeColor="text1"/>
        </w:rPr>
        <w:t>Maydica, 43, 93–100.</w:t>
      </w:r>
    </w:p>
    <w:p w14:paraId="21C49105" w14:textId="77777777" w:rsidR="00B43D3B" w:rsidRDefault="00B43D3B" w:rsidP="00B43D3B">
      <w:pPr>
        <w:pStyle w:val="ListParagraph"/>
        <w:numPr>
          <w:ilvl w:val="0"/>
          <w:numId w:val="3"/>
        </w:numPr>
        <w:spacing w:line="360" w:lineRule="auto"/>
        <w:jc w:val="both"/>
      </w:pPr>
      <w:r w:rsidRPr="00B43D3B">
        <w:rPr>
          <w:lang w:val="en-IN"/>
        </w:rPr>
        <w:t xml:space="preserve">Widstrom, N. W., &amp; Snook, M. E. (1998). Resistance of maize silks to insect feeding: Chemical and physical factors. </w:t>
      </w:r>
      <w:r>
        <w:t>Maydica, 43, 93–100.</w:t>
      </w:r>
    </w:p>
    <w:p w14:paraId="0CFC361A" w14:textId="77777777" w:rsidR="00B43D3B" w:rsidRDefault="00B43D3B" w:rsidP="00B43D3B">
      <w:pPr>
        <w:pStyle w:val="ListParagraph"/>
        <w:numPr>
          <w:ilvl w:val="0"/>
          <w:numId w:val="3"/>
        </w:numPr>
        <w:spacing w:line="360" w:lineRule="auto"/>
        <w:jc w:val="both"/>
        <w:rPr>
          <w:lang w:val="en-IN"/>
        </w:rPr>
      </w:pPr>
      <w:r w:rsidRPr="00374A26">
        <w:rPr>
          <w:lang w:val="en-IN"/>
        </w:rPr>
        <w:t>Wiseman, B. R., &amp; Widstrom, N. W. (1986). Mechanisms of Resistance in '</w:t>
      </w:r>
      <w:proofErr w:type="spellStart"/>
      <w:r w:rsidRPr="00374A26">
        <w:rPr>
          <w:lang w:val="en-IN"/>
        </w:rPr>
        <w:t>Zapalote</w:t>
      </w:r>
      <w:proofErr w:type="spellEnd"/>
      <w:r w:rsidRPr="00374A26">
        <w:rPr>
          <w:lang w:val="en-IN"/>
        </w:rPr>
        <w:t xml:space="preserve"> Chico' Corn Silks to Fall Armyworm (Lepidoptera: </w:t>
      </w:r>
      <w:proofErr w:type="spellStart"/>
      <w:r w:rsidRPr="00374A26">
        <w:rPr>
          <w:lang w:val="en-IN"/>
        </w:rPr>
        <w:t>Noctuidae</w:t>
      </w:r>
      <w:proofErr w:type="spellEnd"/>
      <w:r w:rsidRPr="00374A26">
        <w:rPr>
          <w:lang w:val="en-IN"/>
        </w:rPr>
        <w:t xml:space="preserve">) Larvae. Journal of Economic Entomology, 79(5), 1390–1393. </w:t>
      </w:r>
      <w:hyperlink r:id="rId19" w:history="1">
        <w:r w:rsidRPr="007D41FD">
          <w:rPr>
            <w:rStyle w:val="Hyperlink"/>
            <w:lang w:val="en-IN"/>
          </w:rPr>
          <w:t>https://doi.org/10.1093/jee/79.5.1390</w:t>
        </w:r>
      </w:hyperlink>
    </w:p>
    <w:p w14:paraId="42B42949" w14:textId="77777777" w:rsidR="00B43D3B" w:rsidRPr="004A4296" w:rsidRDefault="00B43D3B" w:rsidP="00B43D3B">
      <w:pPr>
        <w:pStyle w:val="ListParagraph"/>
        <w:numPr>
          <w:ilvl w:val="0"/>
          <w:numId w:val="3"/>
        </w:numPr>
        <w:spacing w:line="360" w:lineRule="auto"/>
        <w:jc w:val="both"/>
      </w:pPr>
      <w:r w:rsidRPr="00246D64">
        <w:rPr>
          <w:color w:val="000000" w:themeColor="text1"/>
          <w:lang w:val="en-IN"/>
        </w:rPr>
        <w:t xml:space="preserve">Wiseman, B. R., &amp; Widstrom, N. W. (1986). Preference and performance of ear-feeding insects on corn silks of resistant and susceptible genotypes. </w:t>
      </w:r>
      <w:r w:rsidRPr="00246D64">
        <w:rPr>
          <w:color w:val="000000" w:themeColor="text1"/>
        </w:rPr>
        <w:t>Journal of Agricultural Entomology, 3(2), 115–122.</w:t>
      </w:r>
      <w:r w:rsidRPr="00374A26">
        <w:rPr>
          <w:color w:val="000000" w:themeColor="text1"/>
        </w:rPr>
        <w:tab/>
      </w:r>
    </w:p>
    <w:p w14:paraId="14A0A4F2" w14:textId="77777777" w:rsidR="00B43D3B" w:rsidRPr="00374A26" w:rsidRDefault="00B43D3B" w:rsidP="00B43D3B">
      <w:pPr>
        <w:pStyle w:val="ListParagraph"/>
        <w:numPr>
          <w:ilvl w:val="0"/>
          <w:numId w:val="3"/>
        </w:numPr>
        <w:spacing w:line="360" w:lineRule="auto"/>
        <w:jc w:val="both"/>
      </w:pPr>
      <w:r w:rsidRPr="00374A26">
        <w:rPr>
          <w:lang w:val="en-IN"/>
        </w:rPr>
        <w:t xml:space="preserve">Wiseman, B. R., Widstrom, N. W., &amp; McMillian, W. W. (1977). Ear characteristics and mechanisms of resistance among selected corns to corn earworm. Florida Entomologist, 60(2). </w:t>
      </w:r>
      <w:hyperlink r:id="rId20" w:history="1">
        <w:r w:rsidRPr="007D41FD">
          <w:rPr>
            <w:rStyle w:val="Hyperlink"/>
            <w:lang w:val="en-IN"/>
          </w:rPr>
          <w:t>https://journals.flvc.org/flaent/article/view/57477/55150</w:t>
        </w:r>
      </w:hyperlink>
    </w:p>
    <w:p w14:paraId="71E4A011" w14:textId="77777777" w:rsidR="00B43D3B" w:rsidRPr="00246D64" w:rsidRDefault="00B43D3B" w:rsidP="00B43D3B">
      <w:pPr>
        <w:pStyle w:val="ListParagraph"/>
        <w:numPr>
          <w:ilvl w:val="0"/>
          <w:numId w:val="3"/>
        </w:numPr>
        <w:spacing w:line="360" w:lineRule="auto"/>
        <w:jc w:val="both"/>
        <w:rPr>
          <w:color w:val="000000" w:themeColor="text1"/>
        </w:rPr>
      </w:pPr>
      <w:r w:rsidRPr="00246D64">
        <w:rPr>
          <w:color w:val="000000" w:themeColor="text1"/>
          <w:lang w:val="en-IN"/>
        </w:rPr>
        <w:t xml:space="preserve">Wiseman, B. R., Widstrom, N. W., &amp; McMillian, W. W. (1977). Influence of corn husk and silk characteristics on infestation by the corn earworm. </w:t>
      </w:r>
      <w:r w:rsidRPr="00246D64">
        <w:rPr>
          <w:color w:val="000000" w:themeColor="text1"/>
        </w:rPr>
        <w:t>Journal of Economic Entomology, 70(3), 379–382.</w:t>
      </w:r>
    </w:p>
    <w:p w14:paraId="6ADDA94E" w14:textId="77777777" w:rsidR="00B43D3B" w:rsidRPr="00246D64" w:rsidRDefault="00B43D3B" w:rsidP="00B43D3B">
      <w:pPr>
        <w:pStyle w:val="ListParagraph"/>
        <w:numPr>
          <w:ilvl w:val="0"/>
          <w:numId w:val="3"/>
        </w:numPr>
        <w:spacing w:line="360" w:lineRule="auto"/>
        <w:jc w:val="both"/>
        <w:rPr>
          <w:color w:val="000000" w:themeColor="text1"/>
        </w:rPr>
      </w:pPr>
      <w:r w:rsidRPr="00246D64">
        <w:rPr>
          <w:color w:val="000000" w:themeColor="text1"/>
          <w:lang w:val="en-IN"/>
        </w:rPr>
        <w:lastRenderedPageBreak/>
        <w:t xml:space="preserve">Wiseman, B. R., Widstrom, N. W., &amp; McMillian, W. W. (1981). Resistance mechanisms in corn silks affecting larval growth of Heliothis </w:t>
      </w:r>
      <w:proofErr w:type="spellStart"/>
      <w:r w:rsidRPr="00246D64">
        <w:rPr>
          <w:color w:val="000000" w:themeColor="text1"/>
          <w:lang w:val="en-IN"/>
        </w:rPr>
        <w:t>zea</w:t>
      </w:r>
      <w:proofErr w:type="spellEnd"/>
      <w:r w:rsidRPr="00246D64">
        <w:rPr>
          <w:color w:val="000000" w:themeColor="text1"/>
          <w:lang w:val="en-IN"/>
        </w:rPr>
        <w:t xml:space="preserve">. </w:t>
      </w:r>
      <w:r w:rsidRPr="00246D64">
        <w:rPr>
          <w:color w:val="000000" w:themeColor="text1"/>
        </w:rPr>
        <w:t>Environmental Entomology, 10(1), 35–39.</w:t>
      </w:r>
    </w:p>
    <w:p w14:paraId="54B4FC5D" w14:textId="77777777" w:rsidR="00B43D3B" w:rsidRDefault="00B43D3B" w:rsidP="00B43D3B">
      <w:pPr>
        <w:pStyle w:val="ListParagraph"/>
        <w:numPr>
          <w:ilvl w:val="0"/>
          <w:numId w:val="3"/>
        </w:numPr>
        <w:spacing w:line="360" w:lineRule="auto"/>
        <w:jc w:val="both"/>
      </w:pPr>
      <w:r w:rsidRPr="00E82328">
        <w:rPr>
          <w:lang w:val="en-IN"/>
        </w:rPr>
        <w:t xml:space="preserve">Wiseman, B.R., Widstrom, N.W., McMillian, W.W. (1981). </w:t>
      </w:r>
      <w:r w:rsidRPr="00B70FC6">
        <w:rPr>
          <w:lang w:val="en-IN"/>
        </w:rPr>
        <w:t xml:space="preserve">Resistance of maize silks to corn earworm feeding. </w:t>
      </w:r>
      <w:r>
        <w:t xml:space="preserve">Journal of Economic Entomology, 74(5), 645–648. </w:t>
      </w:r>
      <w:hyperlink r:id="rId21" w:history="1">
        <w:r w:rsidRPr="00AE5734">
          <w:rPr>
            <w:rStyle w:val="Hyperlink"/>
          </w:rPr>
          <w:t>https://doi.org/10.1093/jee/74.5.645</w:t>
        </w:r>
      </w:hyperlink>
      <w:r>
        <w:t>.</w:t>
      </w:r>
    </w:p>
    <w:p w14:paraId="37C60621" w14:textId="30C9A222" w:rsidR="00B43D3B" w:rsidRDefault="00B43D3B" w:rsidP="00B43D3B">
      <w:pPr>
        <w:spacing w:line="360" w:lineRule="auto"/>
        <w:ind w:left="360"/>
      </w:pPr>
    </w:p>
    <w:sectPr w:rsidR="00B43D3B" w:rsidSect="002905BE">
      <w:pgSz w:w="11906" w:h="16838"/>
      <w:pgMar w:top="1440" w:right="1152" w:bottom="1440" w:left="230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45A5" w14:textId="77777777" w:rsidR="00C62EB5" w:rsidRDefault="00C62EB5" w:rsidP="009A620E">
      <w:pPr>
        <w:spacing w:after="0" w:line="240" w:lineRule="auto"/>
      </w:pPr>
      <w:r>
        <w:separator/>
      </w:r>
    </w:p>
  </w:endnote>
  <w:endnote w:type="continuationSeparator" w:id="0">
    <w:p w14:paraId="5F3732D1" w14:textId="77777777" w:rsidR="00C62EB5" w:rsidRDefault="00C62EB5" w:rsidP="009A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9F64" w14:textId="77777777" w:rsidR="009A620E" w:rsidRDefault="009A6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4B5C" w14:textId="77777777" w:rsidR="009A620E" w:rsidRDefault="009A62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7875" w14:textId="77777777" w:rsidR="009A620E" w:rsidRDefault="009A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29CC6" w14:textId="77777777" w:rsidR="00C62EB5" w:rsidRDefault="00C62EB5" w:rsidP="009A620E">
      <w:pPr>
        <w:spacing w:after="0" w:line="240" w:lineRule="auto"/>
      </w:pPr>
      <w:r>
        <w:separator/>
      </w:r>
    </w:p>
  </w:footnote>
  <w:footnote w:type="continuationSeparator" w:id="0">
    <w:p w14:paraId="58C1C5CE" w14:textId="77777777" w:rsidR="00C62EB5" w:rsidRDefault="00C62EB5" w:rsidP="009A6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CB93" w14:textId="241DFF95" w:rsidR="009A620E" w:rsidRDefault="00000000">
    <w:pPr>
      <w:pStyle w:val="Header"/>
    </w:pPr>
    <w:r>
      <w:rPr>
        <w:noProof/>
      </w:rPr>
      <w:pict w14:anchorId="5936B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23657"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592B" w14:textId="364E15A2" w:rsidR="009A620E" w:rsidRDefault="00000000">
    <w:pPr>
      <w:pStyle w:val="Header"/>
    </w:pPr>
    <w:r>
      <w:rPr>
        <w:noProof/>
      </w:rPr>
      <w:pict w14:anchorId="3A6E5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23658"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25B8" w14:textId="3A5556FE" w:rsidR="009A620E" w:rsidRDefault="00000000">
    <w:pPr>
      <w:pStyle w:val="Header"/>
    </w:pPr>
    <w:r>
      <w:rPr>
        <w:noProof/>
      </w:rPr>
      <w:pict w14:anchorId="13B8F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23656"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70CD9"/>
    <w:multiLevelType w:val="multilevel"/>
    <w:tmpl w:val="19BC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A5228"/>
    <w:multiLevelType w:val="multilevel"/>
    <w:tmpl w:val="2752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63E60"/>
    <w:multiLevelType w:val="hybridMultilevel"/>
    <w:tmpl w:val="45A41C20"/>
    <w:lvl w:ilvl="0" w:tplc="4009000F">
      <w:start w:val="1"/>
      <w:numFmt w:val="decimal"/>
      <w:lvlText w:val="%1."/>
      <w:lvlJc w:val="left"/>
      <w:pPr>
        <w:ind w:left="36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DEE6FC9"/>
    <w:multiLevelType w:val="hybridMultilevel"/>
    <w:tmpl w:val="E2DA88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91994765">
    <w:abstractNumId w:val="0"/>
  </w:num>
  <w:num w:numId="2" w16cid:durableId="1073968547">
    <w:abstractNumId w:val="1"/>
  </w:num>
  <w:num w:numId="3" w16cid:durableId="123617978">
    <w:abstractNumId w:val="3"/>
  </w:num>
  <w:num w:numId="4" w16cid:durableId="1590625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E4A"/>
    <w:rsid w:val="0004308F"/>
    <w:rsid w:val="000A0B48"/>
    <w:rsid w:val="000D69E8"/>
    <w:rsid w:val="00124656"/>
    <w:rsid w:val="0015004B"/>
    <w:rsid w:val="00177A95"/>
    <w:rsid w:val="00180EAB"/>
    <w:rsid w:val="00202425"/>
    <w:rsid w:val="00222C3D"/>
    <w:rsid w:val="00246D64"/>
    <w:rsid w:val="00261AA9"/>
    <w:rsid w:val="0028113C"/>
    <w:rsid w:val="002905BE"/>
    <w:rsid w:val="00291C7C"/>
    <w:rsid w:val="002D0366"/>
    <w:rsid w:val="002F250C"/>
    <w:rsid w:val="00302468"/>
    <w:rsid w:val="0031105F"/>
    <w:rsid w:val="00311F3F"/>
    <w:rsid w:val="00327BA9"/>
    <w:rsid w:val="00374A26"/>
    <w:rsid w:val="003B7767"/>
    <w:rsid w:val="003C01A4"/>
    <w:rsid w:val="003D252C"/>
    <w:rsid w:val="003E565B"/>
    <w:rsid w:val="0042071E"/>
    <w:rsid w:val="00424EEB"/>
    <w:rsid w:val="00453D5E"/>
    <w:rsid w:val="00457122"/>
    <w:rsid w:val="004659EE"/>
    <w:rsid w:val="004A4296"/>
    <w:rsid w:val="004A4A5A"/>
    <w:rsid w:val="004C0C93"/>
    <w:rsid w:val="004E5D8F"/>
    <w:rsid w:val="005060AD"/>
    <w:rsid w:val="0051437A"/>
    <w:rsid w:val="00514B7F"/>
    <w:rsid w:val="00515E4A"/>
    <w:rsid w:val="006116EE"/>
    <w:rsid w:val="00680BEE"/>
    <w:rsid w:val="006A3D83"/>
    <w:rsid w:val="006F2C86"/>
    <w:rsid w:val="00743022"/>
    <w:rsid w:val="00744806"/>
    <w:rsid w:val="007568FE"/>
    <w:rsid w:val="007615C9"/>
    <w:rsid w:val="00763123"/>
    <w:rsid w:val="00787040"/>
    <w:rsid w:val="00792D99"/>
    <w:rsid w:val="00801FBF"/>
    <w:rsid w:val="00823FB2"/>
    <w:rsid w:val="0085045B"/>
    <w:rsid w:val="00853B4F"/>
    <w:rsid w:val="0087387D"/>
    <w:rsid w:val="008A407E"/>
    <w:rsid w:val="008E78E2"/>
    <w:rsid w:val="008F2B70"/>
    <w:rsid w:val="0091079A"/>
    <w:rsid w:val="009A620E"/>
    <w:rsid w:val="009E1CB1"/>
    <w:rsid w:val="009F29B3"/>
    <w:rsid w:val="009F2FD7"/>
    <w:rsid w:val="00A04B2F"/>
    <w:rsid w:val="00A26ECA"/>
    <w:rsid w:val="00AD0E92"/>
    <w:rsid w:val="00AD6554"/>
    <w:rsid w:val="00AE2B39"/>
    <w:rsid w:val="00B353EB"/>
    <w:rsid w:val="00B376A0"/>
    <w:rsid w:val="00B43D3B"/>
    <w:rsid w:val="00B51E3C"/>
    <w:rsid w:val="00B70FC6"/>
    <w:rsid w:val="00BA788E"/>
    <w:rsid w:val="00BC1DA9"/>
    <w:rsid w:val="00C1202F"/>
    <w:rsid w:val="00C25D94"/>
    <w:rsid w:val="00C53223"/>
    <w:rsid w:val="00C62EB5"/>
    <w:rsid w:val="00C74DE6"/>
    <w:rsid w:val="00C93C1F"/>
    <w:rsid w:val="00C94F18"/>
    <w:rsid w:val="00CE2747"/>
    <w:rsid w:val="00CE554D"/>
    <w:rsid w:val="00D10140"/>
    <w:rsid w:val="00DA08F3"/>
    <w:rsid w:val="00DB6019"/>
    <w:rsid w:val="00DD26EB"/>
    <w:rsid w:val="00E00727"/>
    <w:rsid w:val="00E1188F"/>
    <w:rsid w:val="00E615BA"/>
    <w:rsid w:val="00E82328"/>
    <w:rsid w:val="00E87211"/>
    <w:rsid w:val="00E95E89"/>
    <w:rsid w:val="00EB24A4"/>
    <w:rsid w:val="00F04F61"/>
    <w:rsid w:val="00F42EE7"/>
    <w:rsid w:val="00F6105D"/>
    <w:rsid w:val="00F96341"/>
    <w:rsid w:val="00FA14BC"/>
    <w:rsid w:val="00FB3A7D"/>
    <w:rsid w:val="00FD5C69"/>
    <w:rsid w:val="00FF3A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7857B"/>
  <w15:chartTrackingRefBased/>
  <w15:docId w15:val="{704F7887-BE39-46C3-B6A3-B02BA27D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47"/>
    <w:rPr>
      <w:bCs/>
    </w:rPr>
  </w:style>
  <w:style w:type="paragraph" w:styleId="Heading1">
    <w:name w:val="heading 1"/>
    <w:basedOn w:val="Normal"/>
    <w:next w:val="Normal"/>
    <w:link w:val="Heading1Char"/>
    <w:uiPriority w:val="9"/>
    <w:qFormat/>
    <w:rsid w:val="00515E4A"/>
    <w:pPr>
      <w:keepNext/>
      <w:keepLines/>
      <w:spacing w:before="360" w:after="80"/>
      <w:outlineLvl w:val="0"/>
    </w:pPr>
    <w:rPr>
      <w:rFonts w:asciiTheme="majorHAnsi" w:eastAsiaTheme="majorEastAsia" w:hAnsiTheme="majorHAnsi" w:cstheme="majorBidi"/>
      <w:bCs w:val="0"/>
      <w:color w:val="2F5496" w:themeColor="accent1" w:themeShade="BF"/>
      <w:sz w:val="40"/>
      <w:szCs w:val="40"/>
      <w:lang w:val="sv-SE"/>
    </w:rPr>
  </w:style>
  <w:style w:type="paragraph" w:styleId="Heading2">
    <w:name w:val="heading 2"/>
    <w:basedOn w:val="Normal"/>
    <w:next w:val="Normal"/>
    <w:link w:val="Heading2Char"/>
    <w:uiPriority w:val="9"/>
    <w:semiHidden/>
    <w:unhideWhenUsed/>
    <w:qFormat/>
    <w:rsid w:val="00515E4A"/>
    <w:pPr>
      <w:keepNext/>
      <w:keepLines/>
      <w:spacing w:before="160" w:after="80"/>
      <w:outlineLvl w:val="1"/>
    </w:pPr>
    <w:rPr>
      <w:rFonts w:asciiTheme="majorHAnsi" w:eastAsiaTheme="majorEastAsia" w:hAnsiTheme="majorHAnsi" w:cstheme="majorBidi"/>
      <w:bCs w:val="0"/>
      <w:color w:val="2F5496" w:themeColor="accent1" w:themeShade="BF"/>
      <w:sz w:val="32"/>
      <w:szCs w:val="32"/>
      <w:lang w:val="sv-SE"/>
    </w:rPr>
  </w:style>
  <w:style w:type="paragraph" w:styleId="Heading3">
    <w:name w:val="heading 3"/>
    <w:basedOn w:val="Normal"/>
    <w:next w:val="Normal"/>
    <w:link w:val="Heading3Char"/>
    <w:uiPriority w:val="9"/>
    <w:semiHidden/>
    <w:unhideWhenUsed/>
    <w:qFormat/>
    <w:rsid w:val="00515E4A"/>
    <w:pPr>
      <w:keepNext/>
      <w:keepLines/>
      <w:spacing w:before="160" w:after="80"/>
      <w:outlineLvl w:val="2"/>
    </w:pPr>
    <w:rPr>
      <w:rFonts w:asciiTheme="minorHAnsi" w:eastAsiaTheme="majorEastAsia" w:hAnsiTheme="minorHAnsi" w:cstheme="majorBidi"/>
      <w:bCs w:val="0"/>
      <w:color w:val="2F5496" w:themeColor="accent1" w:themeShade="BF"/>
      <w:sz w:val="28"/>
      <w:szCs w:val="28"/>
      <w:lang w:val="sv-SE"/>
    </w:rPr>
  </w:style>
  <w:style w:type="paragraph" w:styleId="Heading4">
    <w:name w:val="heading 4"/>
    <w:basedOn w:val="Normal"/>
    <w:next w:val="Normal"/>
    <w:link w:val="Heading4Char"/>
    <w:uiPriority w:val="9"/>
    <w:semiHidden/>
    <w:unhideWhenUsed/>
    <w:qFormat/>
    <w:rsid w:val="00515E4A"/>
    <w:pPr>
      <w:keepNext/>
      <w:keepLines/>
      <w:spacing w:before="80" w:after="40"/>
      <w:outlineLvl w:val="3"/>
    </w:pPr>
    <w:rPr>
      <w:rFonts w:asciiTheme="minorHAnsi" w:eastAsiaTheme="majorEastAsia" w:hAnsiTheme="minorHAnsi" w:cstheme="majorBidi"/>
      <w:bCs w:val="0"/>
      <w:i/>
      <w:iCs/>
      <w:color w:val="2F5496" w:themeColor="accent1" w:themeShade="BF"/>
      <w:lang w:val="sv-SE"/>
    </w:rPr>
  </w:style>
  <w:style w:type="paragraph" w:styleId="Heading5">
    <w:name w:val="heading 5"/>
    <w:basedOn w:val="Normal"/>
    <w:next w:val="Normal"/>
    <w:link w:val="Heading5Char"/>
    <w:uiPriority w:val="9"/>
    <w:semiHidden/>
    <w:unhideWhenUsed/>
    <w:qFormat/>
    <w:rsid w:val="00515E4A"/>
    <w:pPr>
      <w:keepNext/>
      <w:keepLines/>
      <w:spacing w:before="80" w:after="40"/>
      <w:outlineLvl w:val="4"/>
    </w:pPr>
    <w:rPr>
      <w:rFonts w:asciiTheme="minorHAnsi" w:eastAsiaTheme="majorEastAsia" w:hAnsiTheme="minorHAnsi" w:cstheme="majorBidi"/>
      <w:bCs w:val="0"/>
      <w:color w:val="2F5496" w:themeColor="accent1" w:themeShade="BF"/>
      <w:lang w:val="sv-SE"/>
    </w:rPr>
  </w:style>
  <w:style w:type="paragraph" w:styleId="Heading6">
    <w:name w:val="heading 6"/>
    <w:basedOn w:val="Normal"/>
    <w:next w:val="Normal"/>
    <w:link w:val="Heading6Char"/>
    <w:uiPriority w:val="9"/>
    <w:semiHidden/>
    <w:unhideWhenUsed/>
    <w:qFormat/>
    <w:rsid w:val="00515E4A"/>
    <w:pPr>
      <w:keepNext/>
      <w:keepLines/>
      <w:spacing w:before="40" w:after="0"/>
      <w:outlineLvl w:val="5"/>
    </w:pPr>
    <w:rPr>
      <w:rFonts w:asciiTheme="minorHAnsi" w:eastAsiaTheme="majorEastAsia" w:hAnsiTheme="minorHAnsi" w:cstheme="majorBidi"/>
      <w:bCs w:val="0"/>
      <w:i/>
      <w:iCs/>
      <w:color w:val="595959" w:themeColor="text1" w:themeTint="A6"/>
      <w:lang w:val="sv-SE"/>
    </w:rPr>
  </w:style>
  <w:style w:type="paragraph" w:styleId="Heading7">
    <w:name w:val="heading 7"/>
    <w:basedOn w:val="Normal"/>
    <w:next w:val="Normal"/>
    <w:link w:val="Heading7Char"/>
    <w:uiPriority w:val="9"/>
    <w:semiHidden/>
    <w:unhideWhenUsed/>
    <w:qFormat/>
    <w:rsid w:val="00515E4A"/>
    <w:pPr>
      <w:keepNext/>
      <w:keepLines/>
      <w:spacing w:before="40" w:after="0"/>
      <w:outlineLvl w:val="6"/>
    </w:pPr>
    <w:rPr>
      <w:rFonts w:asciiTheme="minorHAnsi" w:eastAsiaTheme="majorEastAsia" w:hAnsiTheme="minorHAnsi" w:cstheme="majorBidi"/>
      <w:bCs w:val="0"/>
      <w:color w:val="595959" w:themeColor="text1" w:themeTint="A6"/>
      <w:lang w:val="sv-SE"/>
    </w:rPr>
  </w:style>
  <w:style w:type="paragraph" w:styleId="Heading8">
    <w:name w:val="heading 8"/>
    <w:basedOn w:val="Normal"/>
    <w:next w:val="Normal"/>
    <w:link w:val="Heading8Char"/>
    <w:uiPriority w:val="9"/>
    <w:semiHidden/>
    <w:unhideWhenUsed/>
    <w:qFormat/>
    <w:rsid w:val="00515E4A"/>
    <w:pPr>
      <w:keepNext/>
      <w:keepLines/>
      <w:spacing w:after="0"/>
      <w:outlineLvl w:val="7"/>
    </w:pPr>
    <w:rPr>
      <w:rFonts w:asciiTheme="minorHAnsi" w:eastAsiaTheme="majorEastAsia" w:hAnsiTheme="minorHAnsi" w:cstheme="majorBidi"/>
      <w:bCs w:val="0"/>
      <w:i/>
      <w:iCs/>
      <w:color w:val="272727" w:themeColor="text1" w:themeTint="D8"/>
      <w:lang w:val="sv-SE"/>
    </w:rPr>
  </w:style>
  <w:style w:type="paragraph" w:styleId="Heading9">
    <w:name w:val="heading 9"/>
    <w:basedOn w:val="Normal"/>
    <w:next w:val="Normal"/>
    <w:link w:val="Heading9Char"/>
    <w:uiPriority w:val="9"/>
    <w:semiHidden/>
    <w:unhideWhenUsed/>
    <w:qFormat/>
    <w:rsid w:val="00515E4A"/>
    <w:pPr>
      <w:keepNext/>
      <w:keepLines/>
      <w:spacing w:after="0"/>
      <w:outlineLvl w:val="8"/>
    </w:pPr>
    <w:rPr>
      <w:rFonts w:asciiTheme="minorHAnsi" w:eastAsiaTheme="majorEastAsia" w:hAnsiTheme="minorHAnsi" w:cstheme="majorBidi"/>
      <w:bCs w:val="0"/>
      <w:color w:val="272727" w:themeColor="text1" w:themeTint="D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E4A"/>
    <w:rPr>
      <w:rFonts w:asciiTheme="majorHAnsi" w:eastAsiaTheme="majorEastAsia" w:hAnsiTheme="majorHAnsi" w:cstheme="majorBidi"/>
      <w:color w:val="2F5496" w:themeColor="accent1" w:themeShade="BF"/>
      <w:sz w:val="40"/>
      <w:szCs w:val="40"/>
      <w:lang w:val="sv-SE"/>
    </w:rPr>
  </w:style>
  <w:style w:type="character" w:customStyle="1" w:styleId="Heading2Char">
    <w:name w:val="Heading 2 Char"/>
    <w:basedOn w:val="DefaultParagraphFont"/>
    <w:link w:val="Heading2"/>
    <w:uiPriority w:val="9"/>
    <w:semiHidden/>
    <w:rsid w:val="00515E4A"/>
    <w:rPr>
      <w:rFonts w:asciiTheme="majorHAnsi" w:eastAsiaTheme="majorEastAsia" w:hAnsiTheme="majorHAnsi" w:cstheme="majorBidi"/>
      <w:color w:val="2F5496" w:themeColor="accent1" w:themeShade="BF"/>
      <w:sz w:val="32"/>
      <w:szCs w:val="32"/>
      <w:lang w:val="sv-SE"/>
    </w:rPr>
  </w:style>
  <w:style w:type="character" w:customStyle="1" w:styleId="Heading3Char">
    <w:name w:val="Heading 3 Char"/>
    <w:basedOn w:val="DefaultParagraphFont"/>
    <w:link w:val="Heading3"/>
    <w:uiPriority w:val="9"/>
    <w:semiHidden/>
    <w:rsid w:val="00515E4A"/>
    <w:rPr>
      <w:rFonts w:asciiTheme="minorHAnsi" w:eastAsiaTheme="majorEastAsia" w:hAnsiTheme="minorHAnsi" w:cstheme="majorBidi"/>
      <w:color w:val="2F5496" w:themeColor="accent1" w:themeShade="BF"/>
      <w:sz w:val="28"/>
      <w:szCs w:val="28"/>
      <w:lang w:val="sv-SE"/>
    </w:rPr>
  </w:style>
  <w:style w:type="character" w:customStyle="1" w:styleId="Heading4Char">
    <w:name w:val="Heading 4 Char"/>
    <w:basedOn w:val="DefaultParagraphFont"/>
    <w:link w:val="Heading4"/>
    <w:uiPriority w:val="9"/>
    <w:semiHidden/>
    <w:rsid w:val="00515E4A"/>
    <w:rPr>
      <w:rFonts w:asciiTheme="minorHAnsi" w:eastAsiaTheme="majorEastAsia" w:hAnsiTheme="minorHAnsi" w:cstheme="majorBidi"/>
      <w:i/>
      <w:iCs/>
      <w:color w:val="2F5496" w:themeColor="accent1" w:themeShade="BF"/>
      <w:lang w:val="sv-SE"/>
    </w:rPr>
  </w:style>
  <w:style w:type="character" w:customStyle="1" w:styleId="Heading5Char">
    <w:name w:val="Heading 5 Char"/>
    <w:basedOn w:val="DefaultParagraphFont"/>
    <w:link w:val="Heading5"/>
    <w:uiPriority w:val="9"/>
    <w:semiHidden/>
    <w:rsid w:val="00515E4A"/>
    <w:rPr>
      <w:rFonts w:asciiTheme="minorHAnsi" w:eastAsiaTheme="majorEastAsia" w:hAnsiTheme="minorHAnsi" w:cstheme="majorBidi"/>
      <w:color w:val="2F5496" w:themeColor="accent1" w:themeShade="BF"/>
      <w:lang w:val="sv-SE"/>
    </w:rPr>
  </w:style>
  <w:style w:type="character" w:customStyle="1" w:styleId="Heading6Char">
    <w:name w:val="Heading 6 Char"/>
    <w:basedOn w:val="DefaultParagraphFont"/>
    <w:link w:val="Heading6"/>
    <w:uiPriority w:val="9"/>
    <w:semiHidden/>
    <w:rsid w:val="00515E4A"/>
    <w:rPr>
      <w:rFonts w:asciiTheme="minorHAnsi" w:eastAsiaTheme="majorEastAsia" w:hAnsiTheme="minorHAnsi" w:cstheme="majorBidi"/>
      <w:i/>
      <w:iCs/>
      <w:color w:val="595959" w:themeColor="text1" w:themeTint="A6"/>
      <w:lang w:val="sv-SE"/>
    </w:rPr>
  </w:style>
  <w:style w:type="character" w:customStyle="1" w:styleId="Heading7Char">
    <w:name w:val="Heading 7 Char"/>
    <w:basedOn w:val="DefaultParagraphFont"/>
    <w:link w:val="Heading7"/>
    <w:uiPriority w:val="9"/>
    <w:semiHidden/>
    <w:rsid w:val="00515E4A"/>
    <w:rPr>
      <w:rFonts w:asciiTheme="minorHAnsi" w:eastAsiaTheme="majorEastAsia" w:hAnsiTheme="minorHAnsi" w:cstheme="majorBidi"/>
      <w:color w:val="595959" w:themeColor="text1" w:themeTint="A6"/>
      <w:lang w:val="sv-SE"/>
    </w:rPr>
  </w:style>
  <w:style w:type="character" w:customStyle="1" w:styleId="Heading8Char">
    <w:name w:val="Heading 8 Char"/>
    <w:basedOn w:val="DefaultParagraphFont"/>
    <w:link w:val="Heading8"/>
    <w:uiPriority w:val="9"/>
    <w:semiHidden/>
    <w:rsid w:val="00515E4A"/>
    <w:rPr>
      <w:rFonts w:asciiTheme="minorHAnsi" w:eastAsiaTheme="majorEastAsia" w:hAnsiTheme="minorHAnsi" w:cstheme="majorBidi"/>
      <w:i/>
      <w:iCs/>
      <w:color w:val="272727" w:themeColor="text1" w:themeTint="D8"/>
      <w:lang w:val="sv-SE"/>
    </w:rPr>
  </w:style>
  <w:style w:type="character" w:customStyle="1" w:styleId="Heading9Char">
    <w:name w:val="Heading 9 Char"/>
    <w:basedOn w:val="DefaultParagraphFont"/>
    <w:link w:val="Heading9"/>
    <w:uiPriority w:val="9"/>
    <w:semiHidden/>
    <w:rsid w:val="00515E4A"/>
    <w:rPr>
      <w:rFonts w:asciiTheme="minorHAnsi" w:eastAsiaTheme="majorEastAsia" w:hAnsiTheme="minorHAnsi" w:cstheme="majorBidi"/>
      <w:color w:val="272727" w:themeColor="text1" w:themeTint="D8"/>
      <w:lang w:val="sv-SE"/>
    </w:rPr>
  </w:style>
  <w:style w:type="paragraph" w:styleId="Title">
    <w:name w:val="Title"/>
    <w:basedOn w:val="Normal"/>
    <w:next w:val="Normal"/>
    <w:link w:val="TitleChar"/>
    <w:uiPriority w:val="10"/>
    <w:qFormat/>
    <w:rsid w:val="00515E4A"/>
    <w:pPr>
      <w:spacing w:after="80" w:line="240" w:lineRule="auto"/>
      <w:contextualSpacing/>
    </w:pPr>
    <w:rPr>
      <w:rFonts w:asciiTheme="majorHAnsi" w:eastAsiaTheme="majorEastAsia" w:hAnsiTheme="majorHAnsi" w:cstheme="majorBidi"/>
      <w:bCs w:val="0"/>
      <w:spacing w:val="-10"/>
      <w:kern w:val="28"/>
      <w:sz w:val="56"/>
      <w:szCs w:val="56"/>
      <w:lang w:val="sv-SE"/>
    </w:rPr>
  </w:style>
  <w:style w:type="character" w:customStyle="1" w:styleId="TitleChar">
    <w:name w:val="Title Char"/>
    <w:basedOn w:val="DefaultParagraphFont"/>
    <w:link w:val="Title"/>
    <w:uiPriority w:val="10"/>
    <w:rsid w:val="00515E4A"/>
    <w:rPr>
      <w:rFonts w:asciiTheme="majorHAnsi" w:eastAsiaTheme="majorEastAsia" w:hAnsiTheme="majorHAnsi" w:cstheme="majorBidi"/>
      <w:spacing w:val="-10"/>
      <w:kern w:val="28"/>
      <w:sz w:val="56"/>
      <w:szCs w:val="56"/>
      <w:lang w:val="sv-SE"/>
    </w:rPr>
  </w:style>
  <w:style w:type="paragraph" w:styleId="Subtitle">
    <w:name w:val="Subtitle"/>
    <w:basedOn w:val="Normal"/>
    <w:next w:val="Normal"/>
    <w:link w:val="SubtitleChar"/>
    <w:uiPriority w:val="11"/>
    <w:qFormat/>
    <w:rsid w:val="00515E4A"/>
    <w:pPr>
      <w:numPr>
        <w:ilvl w:val="1"/>
      </w:numPr>
    </w:pPr>
    <w:rPr>
      <w:rFonts w:asciiTheme="minorHAnsi" w:eastAsiaTheme="majorEastAsia" w:hAnsiTheme="minorHAnsi" w:cstheme="majorBidi"/>
      <w:bCs w:val="0"/>
      <w:color w:val="595959" w:themeColor="text1" w:themeTint="A6"/>
      <w:spacing w:val="15"/>
      <w:sz w:val="28"/>
      <w:szCs w:val="28"/>
      <w:lang w:val="sv-SE"/>
    </w:rPr>
  </w:style>
  <w:style w:type="character" w:customStyle="1" w:styleId="SubtitleChar">
    <w:name w:val="Subtitle Char"/>
    <w:basedOn w:val="DefaultParagraphFont"/>
    <w:link w:val="Subtitle"/>
    <w:uiPriority w:val="11"/>
    <w:rsid w:val="00515E4A"/>
    <w:rPr>
      <w:rFonts w:asciiTheme="minorHAnsi" w:eastAsiaTheme="majorEastAsia" w:hAnsiTheme="minorHAnsi" w:cstheme="majorBidi"/>
      <w:color w:val="595959" w:themeColor="text1" w:themeTint="A6"/>
      <w:spacing w:val="15"/>
      <w:sz w:val="28"/>
      <w:szCs w:val="28"/>
      <w:lang w:val="sv-SE"/>
    </w:rPr>
  </w:style>
  <w:style w:type="paragraph" w:styleId="Quote">
    <w:name w:val="Quote"/>
    <w:basedOn w:val="Normal"/>
    <w:next w:val="Normal"/>
    <w:link w:val="QuoteChar"/>
    <w:uiPriority w:val="29"/>
    <w:qFormat/>
    <w:rsid w:val="00515E4A"/>
    <w:pPr>
      <w:spacing w:before="160"/>
      <w:jc w:val="center"/>
    </w:pPr>
    <w:rPr>
      <w:bCs w:val="0"/>
      <w:i/>
      <w:iCs/>
      <w:color w:val="404040" w:themeColor="text1" w:themeTint="BF"/>
      <w:lang w:val="sv-SE"/>
    </w:rPr>
  </w:style>
  <w:style w:type="character" w:customStyle="1" w:styleId="QuoteChar">
    <w:name w:val="Quote Char"/>
    <w:basedOn w:val="DefaultParagraphFont"/>
    <w:link w:val="Quote"/>
    <w:uiPriority w:val="29"/>
    <w:rsid w:val="00515E4A"/>
    <w:rPr>
      <w:i/>
      <w:iCs/>
      <w:color w:val="404040" w:themeColor="text1" w:themeTint="BF"/>
      <w:lang w:val="sv-SE"/>
    </w:rPr>
  </w:style>
  <w:style w:type="paragraph" w:styleId="ListParagraph">
    <w:name w:val="List Paragraph"/>
    <w:aliases w:val="1.1.1_List Paragraph,List_Paragraph,Multilevel para_II,1.1.1_List Paragraph Char,List_Paragraph Char,Multilevel para_II Char,List Paragraph Char Char Char Char,Citation List,Bullets,Bullet List,FooterText,List Paragraph1"/>
    <w:basedOn w:val="Normal"/>
    <w:link w:val="ListParagraphChar"/>
    <w:uiPriority w:val="34"/>
    <w:qFormat/>
    <w:rsid w:val="00515E4A"/>
    <w:pPr>
      <w:ind w:left="720"/>
      <w:contextualSpacing/>
    </w:pPr>
    <w:rPr>
      <w:bCs w:val="0"/>
      <w:lang w:val="sv-SE"/>
    </w:rPr>
  </w:style>
  <w:style w:type="character" w:styleId="IntenseEmphasis">
    <w:name w:val="Intense Emphasis"/>
    <w:basedOn w:val="DefaultParagraphFont"/>
    <w:uiPriority w:val="21"/>
    <w:qFormat/>
    <w:rsid w:val="00515E4A"/>
    <w:rPr>
      <w:i/>
      <w:iCs/>
      <w:color w:val="2F5496" w:themeColor="accent1" w:themeShade="BF"/>
    </w:rPr>
  </w:style>
  <w:style w:type="paragraph" w:styleId="IntenseQuote">
    <w:name w:val="Intense Quote"/>
    <w:basedOn w:val="Normal"/>
    <w:next w:val="Normal"/>
    <w:link w:val="IntenseQuoteChar"/>
    <w:uiPriority w:val="30"/>
    <w:qFormat/>
    <w:rsid w:val="00515E4A"/>
    <w:pPr>
      <w:pBdr>
        <w:top w:val="single" w:sz="4" w:space="10" w:color="2F5496" w:themeColor="accent1" w:themeShade="BF"/>
        <w:bottom w:val="single" w:sz="4" w:space="10" w:color="2F5496" w:themeColor="accent1" w:themeShade="BF"/>
      </w:pBdr>
      <w:spacing w:before="360" w:after="360"/>
      <w:ind w:left="864" w:right="864"/>
      <w:jc w:val="center"/>
    </w:pPr>
    <w:rPr>
      <w:bCs w:val="0"/>
      <w:i/>
      <w:iCs/>
      <w:color w:val="2F5496" w:themeColor="accent1" w:themeShade="BF"/>
      <w:lang w:val="sv-SE"/>
    </w:rPr>
  </w:style>
  <w:style w:type="character" w:customStyle="1" w:styleId="IntenseQuoteChar">
    <w:name w:val="Intense Quote Char"/>
    <w:basedOn w:val="DefaultParagraphFont"/>
    <w:link w:val="IntenseQuote"/>
    <w:uiPriority w:val="30"/>
    <w:rsid w:val="00515E4A"/>
    <w:rPr>
      <w:i/>
      <w:iCs/>
      <w:color w:val="2F5496" w:themeColor="accent1" w:themeShade="BF"/>
      <w:lang w:val="sv-SE"/>
    </w:rPr>
  </w:style>
  <w:style w:type="character" w:styleId="IntenseReference">
    <w:name w:val="Intense Reference"/>
    <w:basedOn w:val="DefaultParagraphFont"/>
    <w:uiPriority w:val="32"/>
    <w:qFormat/>
    <w:rsid w:val="00515E4A"/>
    <w:rPr>
      <w:b/>
      <w:bCs/>
      <w:smallCaps/>
      <w:color w:val="2F5496" w:themeColor="accent1" w:themeShade="BF"/>
      <w:spacing w:val="5"/>
    </w:rPr>
  </w:style>
  <w:style w:type="character" w:styleId="Hyperlink">
    <w:name w:val="Hyperlink"/>
    <w:basedOn w:val="DefaultParagraphFont"/>
    <w:uiPriority w:val="99"/>
    <w:unhideWhenUsed/>
    <w:rsid w:val="00CE2747"/>
    <w:rPr>
      <w:color w:val="0563C1" w:themeColor="hyperlink"/>
      <w:u w:val="single"/>
    </w:rPr>
  </w:style>
  <w:style w:type="paragraph" w:styleId="NoSpacing">
    <w:name w:val="No Spacing"/>
    <w:uiPriority w:val="1"/>
    <w:qFormat/>
    <w:rsid w:val="002905BE"/>
    <w:pPr>
      <w:spacing w:after="0" w:line="240" w:lineRule="auto"/>
    </w:pPr>
    <w:rPr>
      <w:bCs/>
    </w:rPr>
  </w:style>
  <w:style w:type="character" w:customStyle="1" w:styleId="UnresolvedMention1">
    <w:name w:val="Unresolved Mention1"/>
    <w:basedOn w:val="DefaultParagraphFont"/>
    <w:uiPriority w:val="99"/>
    <w:semiHidden/>
    <w:unhideWhenUsed/>
    <w:rsid w:val="00E82328"/>
    <w:rPr>
      <w:color w:val="605E5C"/>
      <w:shd w:val="clear" w:color="auto" w:fill="E1DFDD"/>
    </w:rPr>
  </w:style>
  <w:style w:type="paragraph" w:styleId="Caption">
    <w:name w:val="caption"/>
    <w:basedOn w:val="Normal"/>
    <w:next w:val="Normal"/>
    <w:uiPriority w:val="35"/>
    <w:unhideWhenUsed/>
    <w:qFormat/>
    <w:rsid w:val="00744806"/>
    <w:pPr>
      <w:spacing w:after="200" w:line="240" w:lineRule="auto"/>
    </w:pPr>
    <w:rPr>
      <w:i/>
      <w:iCs/>
      <w:color w:val="44546A" w:themeColor="text2"/>
      <w:sz w:val="18"/>
      <w:szCs w:val="18"/>
    </w:rPr>
  </w:style>
  <w:style w:type="character" w:customStyle="1" w:styleId="ListParagraphChar">
    <w:name w:val="List Paragraph Char"/>
    <w:aliases w:val="1.1.1_List Paragraph Char1,List_Paragraph Char1,Multilevel para_II Char1,1.1.1_List Paragraph Char Char,List_Paragraph Char Char,Multilevel para_II Char Char,List Paragraph Char Char Char Char Char,Citation List Char,Bullets Char"/>
    <w:link w:val="ListParagraph"/>
    <w:uiPriority w:val="34"/>
    <w:qFormat/>
    <w:locked/>
    <w:rsid w:val="00F96341"/>
    <w:rPr>
      <w:lang w:val="sv-SE"/>
    </w:rPr>
  </w:style>
  <w:style w:type="paragraph" w:styleId="BalloonText">
    <w:name w:val="Balloon Text"/>
    <w:basedOn w:val="Normal"/>
    <w:link w:val="BalloonTextChar"/>
    <w:uiPriority w:val="99"/>
    <w:semiHidden/>
    <w:unhideWhenUsed/>
    <w:rsid w:val="00BA7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E"/>
    <w:rPr>
      <w:rFonts w:ascii="Segoe UI" w:hAnsi="Segoe UI" w:cs="Segoe UI"/>
      <w:bCs/>
      <w:sz w:val="18"/>
      <w:szCs w:val="18"/>
    </w:rPr>
  </w:style>
  <w:style w:type="character" w:styleId="CommentReference">
    <w:name w:val="annotation reference"/>
    <w:basedOn w:val="DefaultParagraphFont"/>
    <w:uiPriority w:val="99"/>
    <w:semiHidden/>
    <w:unhideWhenUsed/>
    <w:rsid w:val="00BA788E"/>
    <w:rPr>
      <w:sz w:val="16"/>
      <w:szCs w:val="16"/>
    </w:rPr>
  </w:style>
  <w:style w:type="paragraph" w:styleId="CommentText">
    <w:name w:val="annotation text"/>
    <w:basedOn w:val="Normal"/>
    <w:link w:val="CommentTextChar"/>
    <w:uiPriority w:val="99"/>
    <w:semiHidden/>
    <w:unhideWhenUsed/>
    <w:rsid w:val="00BA788E"/>
    <w:pPr>
      <w:spacing w:line="240" w:lineRule="auto"/>
    </w:pPr>
    <w:rPr>
      <w:sz w:val="20"/>
      <w:szCs w:val="20"/>
    </w:rPr>
  </w:style>
  <w:style w:type="character" w:customStyle="1" w:styleId="CommentTextChar">
    <w:name w:val="Comment Text Char"/>
    <w:basedOn w:val="DefaultParagraphFont"/>
    <w:link w:val="CommentText"/>
    <w:uiPriority w:val="99"/>
    <w:semiHidden/>
    <w:rsid w:val="00BA788E"/>
    <w:rPr>
      <w:bCs/>
      <w:sz w:val="20"/>
      <w:szCs w:val="20"/>
    </w:rPr>
  </w:style>
  <w:style w:type="paragraph" w:styleId="CommentSubject">
    <w:name w:val="annotation subject"/>
    <w:basedOn w:val="CommentText"/>
    <w:next w:val="CommentText"/>
    <w:link w:val="CommentSubjectChar"/>
    <w:uiPriority w:val="99"/>
    <w:semiHidden/>
    <w:unhideWhenUsed/>
    <w:rsid w:val="00BA788E"/>
    <w:rPr>
      <w:b/>
      <w:bCs w:val="0"/>
    </w:rPr>
  </w:style>
  <w:style w:type="character" w:customStyle="1" w:styleId="CommentSubjectChar">
    <w:name w:val="Comment Subject Char"/>
    <w:basedOn w:val="CommentTextChar"/>
    <w:link w:val="CommentSubject"/>
    <w:uiPriority w:val="99"/>
    <w:semiHidden/>
    <w:rsid w:val="00BA788E"/>
    <w:rPr>
      <w:b/>
      <w:bCs w:val="0"/>
      <w:sz w:val="20"/>
      <w:szCs w:val="20"/>
    </w:rPr>
  </w:style>
  <w:style w:type="paragraph" w:styleId="Revision">
    <w:name w:val="Revision"/>
    <w:hidden/>
    <w:uiPriority w:val="99"/>
    <w:semiHidden/>
    <w:rsid w:val="00457122"/>
    <w:pPr>
      <w:spacing w:after="0" w:line="240" w:lineRule="auto"/>
    </w:pPr>
    <w:rPr>
      <w:bCs/>
    </w:rPr>
  </w:style>
  <w:style w:type="table" w:styleId="TableGrid">
    <w:name w:val="Table Grid"/>
    <w:basedOn w:val="TableNormal"/>
    <w:uiPriority w:val="39"/>
    <w:rsid w:val="004659EE"/>
    <w:pPr>
      <w:spacing w:after="0" w:line="240" w:lineRule="auto"/>
    </w:pPr>
    <w:rPr>
      <w:rFonts w:asciiTheme="minorHAnsi" w:hAnsiTheme="minorHAnsi" w:cstheme="minorBidi"/>
      <w:bCs/>
      <w:kern w:val="0"/>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4A26"/>
    <w:rPr>
      <w:color w:val="605E5C"/>
      <w:shd w:val="clear" w:color="auto" w:fill="E1DFDD"/>
    </w:rPr>
  </w:style>
  <w:style w:type="paragraph" w:styleId="Header">
    <w:name w:val="header"/>
    <w:basedOn w:val="Normal"/>
    <w:link w:val="HeaderChar"/>
    <w:uiPriority w:val="99"/>
    <w:unhideWhenUsed/>
    <w:rsid w:val="009A6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0E"/>
    <w:rPr>
      <w:bCs/>
    </w:rPr>
  </w:style>
  <w:style w:type="paragraph" w:styleId="Footer">
    <w:name w:val="footer"/>
    <w:basedOn w:val="Normal"/>
    <w:link w:val="FooterChar"/>
    <w:uiPriority w:val="99"/>
    <w:unhideWhenUsed/>
    <w:rsid w:val="009A6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0E"/>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3/jee/72.2.256" TargetMode="External"/><Relationship Id="rId3" Type="http://schemas.openxmlformats.org/officeDocument/2006/relationships/settings" Target="settings.xml"/><Relationship Id="rId21" Type="http://schemas.openxmlformats.org/officeDocument/2006/relationships/hyperlink" Target="https://doi.org/10.1093/jee/74.5.645"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doi.org/10.3390/agronomy13020488" TargetMode="External"/><Relationship Id="rId2" Type="http://schemas.openxmlformats.org/officeDocument/2006/relationships/styles" Target="styles.xml"/><Relationship Id="rId16" Type="http://schemas.openxmlformats.org/officeDocument/2006/relationships/hyperlink" Target="https://www.fao.org/statistics/highlights-archive/highlights-detail/agricultural-production-statistics-2010-2023/en" TargetMode="External"/><Relationship Id="rId20" Type="http://schemas.openxmlformats.org/officeDocument/2006/relationships/hyperlink" Target="https://journals.flvc.org/flaent/article/view/57477/55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93/jee/79.5.139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15</Pages>
  <Words>4255</Words>
  <Characters>24256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nikitha reddy</dc:creator>
  <cp:keywords/>
  <dc:description/>
  <cp:lastModifiedBy>nikitha reddy</cp:lastModifiedBy>
  <cp:revision>30</cp:revision>
  <dcterms:created xsi:type="dcterms:W3CDTF">2026-01-01T09:53:00Z</dcterms:created>
  <dcterms:modified xsi:type="dcterms:W3CDTF">2026-01-07T04:11:00Z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5fa710f5-b866-4cbf-bbae-3ff6e2d72e3d</vt:lpwstr>
  </property>
</Properties>
</file>