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B5E3E" w:rsidRPr="00DB5E3E" w:rsidRDefault="00DB5E3E" w:rsidP="00DB5E3E">
      <w:pPr>
        <w:pStyle w:val="Title"/>
        <w:spacing w:line="240" w:lineRule="auto"/>
        <w:jc w:val="right"/>
        <w:rPr>
          <w:rFonts w:eastAsia="Times New Roman"/>
          <w:b/>
          <w:i/>
          <w:sz w:val="32"/>
          <w:szCs w:val="20"/>
          <w:highlight w:val="yellow"/>
          <w:u w:val="single"/>
        </w:rPr>
      </w:pPr>
      <w:r w:rsidRPr="00DB5E3E">
        <w:rPr>
          <w:rFonts w:eastAsia="Times New Roman"/>
          <w:b/>
          <w:i/>
          <w:sz w:val="32"/>
          <w:szCs w:val="20"/>
          <w:highlight w:val="yellow"/>
          <w:u w:val="single"/>
        </w:rPr>
        <w:t>Original Research Article</w:t>
      </w:r>
    </w:p>
    <w:p w:rsidR="00067649" w:rsidRPr="00DB5E3E" w:rsidRDefault="00F72453" w:rsidP="00DB5E3E">
      <w:pPr>
        <w:pStyle w:val="Title"/>
        <w:spacing w:line="240" w:lineRule="auto"/>
        <w:jc w:val="right"/>
        <w:rPr>
          <w:rFonts w:eastAsia="Times New Roman"/>
          <w:b/>
          <w:sz w:val="32"/>
          <w:szCs w:val="20"/>
          <w:highlight w:val="yellow"/>
        </w:rPr>
      </w:pPr>
      <w:r w:rsidRPr="00DB5E3E">
        <w:rPr>
          <w:rFonts w:eastAsia="Times New Roman"/>
          <w:b/>
          <w:sz w:val="32"/>
          <w:szCs w:val="20"/>
          <w:highlight w:val="yellow"/>
        </w:rPr>
        <w:t>Effect of Integrated Nutrient Management on Growth, Yield</w:t>
      </w:r>
      <w:r w:rsidR="00DB5E3E" w:rsidRPr="00DB5E3E">
        <w:rPr>
          <w:rFonts w:eastAsia="Times New Roman"/>
          <w:b/>
          <w:sz w:val="32"/>
          <w:szCs w:val="20"/>
          <w:highlight w:val="yellow"/>
        </w:rPr>
        <w:t xml:space="preserve"> </w:t>
      </w:r>
      <w:r w:rsidRPr="00DB5E3E">
        <w:rPr>
          <w:rFonts w:eastAsia="Times New Roman"/>
          <w:b/>
          <w:sz w:val="32"/>
          <w:szCs w:val="20"/>
          <w:highlight w:val="yellow"/>
        </w:rPr>
        <w:t>and Quality of Papaya (</w:t>
      </w:r>
      <w:proofErr w:type="spellStart"/>
      <w:r w:rsidRPr="00DB5E3E">
        <w:rPr>
          <w:rFonts w:eastAsia="Times New Roman"/>
          <w:b/>
          <w:i/>
          <w:iCs/>
          <w:sz w:val="32"/>
          <w:szCs w:val="20"/>
          <w:highlight w:val="yellow"/>
        </w:rPr>
        <w:t>Carica</w:t>
      </w:r>
      <w:proofErr w:type="spellEnd"/>
      <w:r w:rsidRPr="00DB5E3E">
        <w:rPr>
          <w:rFonts w:eastAsia="Times New Roman"/>
          <w:b/>
          <w:i/>
          <w:iCs/>
          <w:sz w:val="32"/>
          <w:szCs w:val="20"/>
          <w:highlight w:val="yellow"/>
        </w:rPr>
        <w:t xml:space="preserve"> papaya</w:t>
      </w:r>
      <w:r w:rsidRPr="00DB5E3E">
        <w:rPr>
          <w:rFonts w:eastAsia="Times New Roman"/>
          <w:b/>
          <w:sz w:val="32"/>
          <w:szCs w:val="20"/>
          <w:highlight w:val="yellow"/>
        </w:rPr>
        <w:t xml:space="preserve"> L.) cv. Red Lady </w:t>
      </w:r>
      <w:r w:rsidR="00DB5E3E" w:rsidRPr="00DB5E3E">
        <w:rPr>
          <w:rFonts w:eastAsia="Times New Roman"/>
          <w:b/>
          <w:sz w:val="32"/>
          <w:szCs w:val="20"/>
          <w:highlight w:val="yellow"/>
        </w:rPr>
        <w:t>under Semi</w:t>
      </w:r>
      <w:r w:rsidRPr="00DB5E3E">
        <w:rPr>
          <w:rFonts w:eastAsia="Times New Roman"/>
          <w:b/>
          <w:sz w:val="32"/>
          <w:szCs w:val="20"/>
          <w:highlight w:val="yellow"/>
        </w:rPr>
        <w:t xml:space="preserve">-Arid </w:t>
      </w:r>
      <w:proofErr w:type="spellStart"/>
      <w:r w:rsidRPr="00DB5E3E">
        <w:rPr>
          <w:rFonts w:eastAsia="Times New Roman"/>
          <w:b/>
          <w:sz w:val="32"/>
          <w:szCs w:val="20"/>
          <w:highlight w:val="yellow"/>
        </w:rPr>
        <w:t>Agro</w:t>
      </w:r>
      <w:proofErr w:type="spellEnd"/>
      <w:r w:rsidRPr="00DB5E3E">
        <w:rPr>
          <w:rFonts w:eastAsia="Times New Roman"/>
          <w:b/>
          <w:sz w:val="32"/>
          <w:szCs w:val="20"/>
          <w:highlight w:val="yellow"/>
        </w:rPr>
        <w:t>-Climatic Conditions of Central</w:t>
      </w:r>
      <w:r w:rsidR="005F4160" w:rsidRPr="00DB5E3E">
        <w:rPr>
          <w:rFonts w:eastAsia="Times New Roman"/>
          <w:b/>
          <w:sz w:val="32"/>
          <w:szCs w:val="20"/>
          <w:highlight w:val="yellow"/>
        </w:rPr>
        <w:t xml:space="preserve"> </w:t>
      </w:r>
      <w:proofErr w:type="spellStart"/>
      <w:proofErr w:type="gramStart"/>
      <w:r w:rsidRPr="00DB5E3E">
        <w:rPr>
          <w:rFonts w:eastAsia="Times New Roman"/>
          <w:b/>
          <w:sz w:val="32"/>
          <w:szCs w:val="20"/>
          <w:highlight w:val="yellow"/>
        </w:rPr>
        <w:t>Telangana</w:t>
      </w:r>
      <w:r w:rsidR="00DD00FD">
        <w:rPr>
          <w:rFonts w:eastAsia="Times New Roman"/>
          <w:b/>
          <w:sz w:val="32"/>
          <w:szCs w:val="20"/>
          <w:highlight w:val="yellow"/>
        </w:rPr>
        <w:t>,India</w:t>
      </w:r>
      <w:proofErr w:type="spellEnd"/>
      <w:proofErr w:type="gramEnd"/>
    </w:p>
    <w:p w:rsidR="00DB5E3E" w:rsidRPr="00DB5E3E" w:rsidRDefault="00DB5E3E" w:rsidP="00DB5E3E">
      <w:pPr>
        <w:spacing w:line="240" w:lineRule="auto"/>
        <w:jc w:val="right"/>
        <w:rPr>
          <w:rFonts w:eastAsia="Times New Roman"/>
          <w:i/>
          <w:sz w:val="20"/>
          <w:szCs w:val="20"/>
        </w:rPr>
      </w:pPr>
      <w:bookmarkStart w:id="0" w:name="_bs6jvuba44sj" w:colFirst="0" w:colLast="0"/>
      <w:bookmarkEnd w:id="0"/>
      <w:r w:rsidRPr="00DB5E3E">
        <w:rPr>
          <w:rFonts w:eastAsia="Times New Roman"/>
          <w:i/>
          <w:sz w:val="20"/>
          <w:szCs w:val="20"/>
        </w:rPr>
        <w:t xml:space="preserve"> </w:t>
      </w:r>
    </w:p>
    <w:p w:rsidR="00DB5E3E" w:rsidRDefault="00DB5E3E" w:rsidP="00DB5E3E">
      <w:pPr>
        <w:pStyle w:val="NoSpacing"/>
        <w:jc w:val="center"/>
        <w:rPr>
          <w:b/>
        </w:rPr>
      </w:pPr>
    </w:p>
    <w:p w:rsidR="00067649" w:rsidRPr="00DB5E3E" w:rsidRDefault="00DB5E3E" w:rsidP="00DB5E3E">
      <w:pPr>
        <w:pStyle w:val="NoSpacing"/>
        <w:jc w:val="center"/>
        <w:rPr>
          <w:b/>
          <w:sz w:val="24"/>
        </w:rPr>
      </w:pPr>
      <w:r w:rsidRPr="00DB5E3E">
        <w:rPr>
          <w:b/>
          <w:sz w:val="24"/>
        </w:rPr>
        <w:t>ABSTRACT</w:t>
      </w:r>
    </w:p>
    <w:p w:rsidR="00766058" w:rsidRPr="00766058" w:rsidRDefault="00766058" w:rsidP="00766058">
      <w:pPr>
        <w:pStyle w:val="NoSpacing"/>
        <w:jc w:val="both"/>
        <w:rPr>
          <w:sz w:val="20"/>
          <w:lang w:val="en-IN"/>
        </w:rPr>
      </w:pPr>
      <w:bookmarkStart w:id="1" w:name="_we8eluejgc8j" w:colFirst="0" w:colLast="0"/>
      <w:bookmarkEnd w:id="1"/>
      <w:r w:rsidRPr="00766058">
        <w:rPr>
          <w:sz w:val="20"/>
          <w:highlight w:val="yellow"/>
          <w:lang w:val="en-IN"/>
        </w:rPr>
        <w:t xml:space="preserve">A field experiment was conducted during 2022–2024 at DDS Krishi Vigyan Kendra, </w:t>
      </w:r>
      <w:proofErr w:type="spellStart"/>
      <w:r w:rsidRPr="00766058">
        <w:rPr>
          <w:sz w:val="20"/>
          <w:highlight w:val="yellow"/>
          <w:lang w:val="en-IN"/>
        </w:rPr>
        <w:t>Zaheerabad</w:t>
      </w:r>
      <w:proofErr w:type="spellEnd"/>
      <w:r w:rsidRPr="00766058">
        <w:rPr>
          <w:sz w:val="20"/>
          <w:highlight w:val="yellow"/>
          <w:lang w:val="en-IN"/>
        </w:rPr>
        <w:t>, Telangana, to evaluate the effect of integrated nutrient management (INM) on growth, yield, fruit quality, and soil fertility of papaya (</w:t>
      </w:r>
      <w:proofErr w:type="spellStart"/>
      <w:r w:rsidRPr="00766058">
        <w:rPr>
          <w:i/>
          <w:iCs/>
          <w:sz w:val="20"/>
          <w:highlight w:val="yellow"/>
          <w:lang w:val="en-IN"/>
        </w:rPr>
        <w:t>Carica</w:t>
      </w:r>
      <w:proofErr w:type="spellEnd"/>
      <w:r w:rsidRPr="00766058">
        <w:rPr>
          <w:i/>
          <w:iCs/>
          <w:sz w:val="20"/>
          <w:highlight w:val="yellow"/>
          <w:lang w:val="en-IN"/>
        </w:rPr>
        <w:t xml:space="preserve"> papaya</w:t>
      </w:r>
      <w:r w:rsidRPr="00766058">
        <w:rPr>
          <w:sz w:val="20"/>
          <w:highlight w:val="yellow"/>
          <w:lang w:val="en-IN"/>
        </w:rPr>
        <w:t xml:space="preserve"> L.) cv. Red Lady under lateritic soil conditions. The experiment was laid out in a randomized block design with ten treatments comprising different combinations of recommended chemical fertilizers and bio-enriched </w:t>
      </w:r>
      <w:proofErr w:type="spellStart"/>
      <w:r w:rsidRPr="00766058">
        <w:rPr>
          <w:sz w:val="20"/>
          <w:highlight w:val="yellow"/>
          <w:lang w:val="en-IN"/>
        </w:rPr>
        <w:t>vermicomposts</w:t>
      </w:r>
      <w:proofErr w:type="spellEnd"/>
      <w:r w:rsidRPr="00766058">
        <w:rPr>
          <w:sz w:val="20"/>
          <w:highlight w:val="yellow"/>
          <w:lang w:val="en-IN"/>
        </w:rPr>
        <w:t xml:space="preserve"> prepared using poultry manure, neem cake, </w:t>
      </w:r>
      <w:proofErr w:type="spellStart"/>
      <w:r w:rsidRPr="00766058">
        <w:rPr>
          <w:i/>
          <w:iCs/>
          <w:sz w:val="20"/>
          <w:highlight w:val="yellow"/>
          <w:lang w:val="en-IN"/>
        </w:rPr>
        <w:t>Azospirillum</w:t>
      </w:r>
      <w:proofErr w:type="spellEnd"/>
      <w:r w:rsidRPr="00766058">
        <w:rPr>
          <w:sz w:val="20"/>
          <w:highlight w:val="yellow"/>
          <w:lang w:val="en-IN"/>
        </w:rPr>
        <w:t>, and PGPR mix-1, with three replications. Results revealed that INM treatments significantly influenced vegetative growth, yield attributes, fruit quality parameters, and post-harvest soil nutrient status. Among the treatments, application of 25% NPK through PGPR mix-1 enriched vermicompost combined with 75% of the recommended dose of fertilizers (T</w:t>
      </w:r>
      <w:r w:rsidRPr="00766058">
        <w:rPr>
          <w:rFonts w:ascii="Cambria Math" w:hAnsi="Cambria Math" w:cs="Cambria Math"/>
          <w:sz w:val="20"/>
          <w:highlight w:val="yellow"/>
          <w:lang w:val="en-IN"/>
        </w:rPr>
        <w:t>₄</w:t>
      </w:r>
      <w:r w:rsidRPr="00766058">
        <w:rPr>
          <w:sz w:val="20"/>
          <w:highlight w:val="yellow"/>
          <w:lang w:val="en-IN"/>
        </w:rPr>
        <w:t>) recorded the highest plant height, number of fruits per plant, average fruit weight, and total yield (52.93 kg plant</w:t>
      </w:r>
      <w:r w:rsidRPr="00766058">
        <w:rPr>
          <w:rFonts w:ascii="Cambria Math" w:hAnsi="Cambria Math" w:cs="Cambria Math"/>
          <w:sz w:val="20"/>
          <w:highlight w:val="yellow"/>
          <w:lang w:val="en-IN"/>
        </w:rPr>
        <w:t>⁻</w:t>
      </w:r>
      <w:r w:rsidRPr="00766058">
        <w:rPr>
          <w:sz w:val="20"/>
          <w:highlight w:val="yellow"/>
          <w:lang w:val="en-IN"/>
        </w:rPr>
        <w:t xml:space="preserve">¹). The same treatment also produced superior fruit quality, registering maximum total soluble solids (15.64°Brix), pulp percentage (90.28%), and ascorbic acid content, along with the lowest titratable acidity (0.10%). Post-harvest soil analysis indicated improved organic carbon content and higher availability of nitrogen, phosphorus, and potassium under INM treatments compared to sole chemical fertilization and control. The integration of organic and microbial inputs enhanced nutrient-use efficiency and contributed to improved soil fertility. The study demonstrates that partial substitution of chemical fertilizers with bio-enriched vermicompost is an effective, eco-friendly, and sustainable nutrient management strategy for improving papaya productivity and soil health under semi-arid conditions of Telangana, with potential applicability to similar tropical </w:t>
      </w:r>
      <w:proofErr w:type="spellStart"/>
      <w:r w:rsidRPr="00766058">
        <w:rPr>
          <w:sz w:val="20"/>
          <w:highlight w:val="yellow"/>
          <w:lang w:val="en-IN"/>
        </w:rPr>
        <w:t>agro</w:t>
      </w:r>
      <w:proofErr w:type="spellEnd"/>
      <w:r w:rsidRPr="00766058">
        <w:rPr>
          <w:sz w:val="20"/>
          <w:highlight w:val="yellow"/>
          <w:lang w:val="en-IN"/>
        </w:rPr>
        <w:t>-ecological regions.</w:t>
      </w:r>
    </w:p>
    <w:p w:rsidR="00DB5E3E" w:rsidRDefault="00DB5E3E" w:rsidP="00DB5E3E">
      <w:pPr>
        <w:pStyle w:val="NoSpacing"/>
      </w:pPr>
    </w:p>
    <w:p w:rsidR="00067649" w:rsidRPr="00DB5E3E" w:rsidRDefault="00F72453" w:rsidP="00DB5E3E">
      <w:pPr>
        <w:pStyle w:val="NoSpacing"/>
        <w:jc w:val="both"/>
        <w:rPr>
          <w:sz w:val="20"/>
        </w:rPr>
      </w:pPr>
      <w:r w:rsidRPr="00DB5E3E">
        <w:rPr>
          <w:b/>
          <w:sz w:val="20"/>
          <w:highlight w:val="yellow"/>
        </w:rPr>
        <w:t>Keywords</w:t>
      </w:r>
      <w:r w:rsidR="00DB5E3E" w:rsidRPr="00DB5E3E">
        <w:rPr>
          <w:b/>
          <w:sz w:val="20"/>
          <w:highlight w:val="yellow"/>
        </w:rPr>
        <w:t>:</w:t>
      </w:r>
      <w:r w:rsidRPr="00DB5E3E">
        <w:rPr>
          <w:sz w:val="20"/>
          <w:highlight w:val="yellow"/>
        </w:rPr>
        <w:t xml:space="preserve"> </w:t>
      </w:r>
      <w:r w:rsidRPr="00DB5E3E">
        <w:rPr>
          <w:i/>
          <w:sz w:val="20"/>
          <w:highlight w:val="yellow"/>
        </w:rPr>
        <w:t>Integrated Nutrient Management (INM); Vermicompost; PGPR; Biofertilizers; Sustainable agriculture; Fruit yield; Soil fertility</w:t>
      </w:r>
    </w:p>
    <w:p w:rsidR="00127D32" w:rsidRDefault="00127D32" w:rsidP="00127D32">
      <w:pPr>
        <w:pStyle w:val="NoSpacing"/>
        <w:jc w:val="both"/>
        <w:rPr>
          <w:sz w:val="20"/>
        </w:rPr>
      </w:pPr>
      <w:bookmarkStart w:id="2" w:name="_ejyvr5p28ba" w:colFirst="0" w:colLast="0"/>
      <w:bookmarkEnd w:id="2"/>
    </w:p>
    <w:p w:rsidR="00067649" w:rsidRPr="00127D32" w:rsidRDefault="00127D32" w:rsidP="00127D32">
      <w:pPr>
        <w:pStyle w:val="NoSpacing"/>
        <w:numPr>
          <w:ilvl w:val="0"/>
          <w:numId w:val="7"/>
        </w:numPr>
        <w:jc w:val="both"/>
        <w:rPr>
          <w:b/>
          <w:sz w:val="20"/>
        </w:rPr>
      </w:pPr>
      <w:r w:rsidRPr="00127D32">
        <w:rPr>
          <w:b/>
          <w:sz w:val="24"/>
        </w:rPr>
        <w:t>INTRODUCTION</w:t>
      </w:r>
    </w:p>
    <w:p w:rsidR="00D5611B" w:rsidRDefault="00F72453" w:rsidP="00127D32">
      <w:pPr>
        <w:pStyle w:val="NoSpacing"/>
        <w:jc w:val="both"/>
        <w:rPr>
          <w:sz w:val="20"/>
          <w:szCs w:val="20"/>
        </w:rPr>
      </w:pPr>
      <w:r w:rsidRPr="008B6B33">
        <w:rPr>
          <w:sz w:val="20"/>
          <w:szCs w:val="20"/>
        </w:rPr>
        <w:t>Papaya (</w:t>
      </w:r>
      <w:proofErr w:type="spellStart"/>
      <w:r w:rsidRPr="008B6B33">
        <w:rPr>
          <w:i/>
          <w:iCs/>
          <w:sz w:val="20"/>
          <w:szCs w:val="20"/>
        </w:rPr>
        <w:t>Carica</w:t>
      </w:r>
      <w:proofErr w:type="spellEnd"/>
      <w:r w:rsidRPr="008B6B33">
        <w:rPr>
          <w:i/>
          <w:iCs/>
          <w:sz w:val="20"/>
          <w:szCs w:val="20"/>
        </w:rPr>
        <w:t xml:space="preserve"> papaya</w:t>
      </w:r>
      <w:r w:rsidRPr="008B6B33">
        <w:rPr>
          <w:sz w:val="20"/>
          <w:szCs w:val="20"/>
        </w:rPr>
        <w:t xml:space="preserve"> L.) is one of the most economically and nutritionally important fruit crops cultivated across tropical and subtropical regions of the world. </w:t>
      </w:r>
      <w:r w:rsidRPr="00D5611B">
        <w:rPr>
          <w:sz w:val="20"/>
          <w:szCs w:val="20"/>
          <w:highlight w:val="yellow"/>
        </w:rPr>
        <w:t>Globally, India</w:t>
      </w:r>
      <w:r w:rsidRPr="008B6B33">
        <w:rPr>
          <w:sz w:val="20"/>
          <w:szCs w:val="20"/>
        </w:rPr>
        <w:t xml:space="preserve"> ranks among the largest producers, contributing nearly 40% of the world’s papaya production. The fruit’s high nutritive value</w:t>
      </w:r>
      <w:r w:rsidR="00B660AC">
        <w:rPr>
          <w:sz w:val="20"/>
          <w:szCs w:val="20"/>
        </w:rPr>
        <w:t xml:space="preserve"> </w:t>
      </w:r>
      <w:r w:rsidRPr="008B6B33">
        <w:rPr>
          <w:sz w:val="20"/>
          <w:szCs w:val="20"/>
        </w:rPr>
        <w:t>rich in vitamin A, vitamin C, carbohydrates, minerals, and digestive enzyme papain</w:t>
      </w:r>
      <w:r w:rsidR="00CB7A40">
        <w:rPr>
          <w:sz w:val="20"/>
          <w:szCs w:val="20"/>
        </w:rPr>
        <w:t xml:space="preserve"> </w:t>
      </w:r>
      <w:r w:rsidRPr="008B6B33">
        <w:rPr>
          <w:sz w:val="20"/>
          <w:szCs w:val="20"/>
        </w:rPr>
        <w:t xml:space="preserve">makes it valuable for human health, medicine, and </w:t>
      </w:r>
      <w:r w:rsidRPr="00A55A7F">
        <w:rPr>
          <w:sz w:val="20"/>
          <w:szCs w:val="20"/>
          <w:highlight w:val="yellow"/>
        </w:rPr>
        <w:t>industry</w:t>
      </w:r>
      <w:r w:rsidR="00A55A7F" w:rsidRPr="00A55A7F">
        <w:rPr>
          <w:sz w:val="20"/>
          <w:szCs w:val="20"/>
          <w:highlight w:val="yellow"/>
        </w:rPr>
        <w:t xml:space="preserve"> (</w:t>
      </w:r>
      <w:r w:rsidR="00A55A7F" w:rsidRPr="00A55A7F">
        <w:rPr>
          <w:color w:val="222222"/>
          <w:sz w:val="20"/>
          <w:szCs w:val="20"/>
          <w:highlight w:val="yellow"/>
          <w:shd w:val="clear" w:color="auto" w:fill="FFFFFF"/>
        </w:rPr>
        <w:t>Babalola et al., 2024</w:t>
      </w:r>
      <w:r w:rsidR="00A55A7F" w:rsidRPr="00A55A7F">
        <w:rPr>
          <w:sz w:val="20"/>
          <w:szCs w:val="20"/>
          <w:highlight w:val="yellow"/>
        </w:rPr>
        <w:t>)</w:t>
      </w:r>
      <w:r w:rsidRPr="00A55A7F">
        <w:rPr>
          <w:sz w:val="20"/>
          <w:szCs w:val="20"/>
          <w:highlight w:val="yellow"/>
        </w:rPr>
        <w:t>.</w:t>
      </w:r>
      <w:r w:rsidRPr="008B6B33">
        <w:rPr>
          <w:sz w:val="20"/>
          <w:szCs w:val="20"/>
        </w:rPr>
        <w:t xml:space="preserve"> In Telangana, particularly in the semi-arid districts such as </w:t>
      </w:r>
      <w:proofErr w:type="spellStart"/>
      <w:r w:rsidRPr="008B6B33">
        <w:rPr>
          <w:sz w:val="20"/>
          <w:szCs w:val="20"/>
        </w:rPr>
        <w:t>Sangareddy</w:t>
      </w:r>
      <w:proofErr w:type="spellEnd"/>
      <w:r w:rsidRPr="008B6B33">
        <w:rPr>
          <w:sz w:val="20"/>
          <w:szCs w:val="20"/>
        </w:rPr>
        <w:t xml:space="preserve"> and Medak, papaya cultivation has gained prominence due to its short gestation period and adaptability to diverse soils and climatic conditions. However, productivity is often limited by poor nutrient management practices and soil degradation resulting from the excessive use of chemical fertilizers. Papaya is a heavy feeder of nutrients owing to its continuous vegetative and reproductive growth cycles. The crop requires a balanced and sustained supply of macronutrients (N, P, K) and micronutrients throughout its growing period. In India, the recommended dose of fertilizers for papaya (240:240:480 g NPK plant</w:t>
      </w:r>
      <w:r w:rsidRPr="008B6B33">
        <w:rPr>
          <w:rFonts w:ascii="Cambria Math" w:hAnsi="Cambria Math" w:cs="Cambria Math"/>
          <w:sz w:val="20"/>
          <w:szCs w:val="20"/>
        </w:rPr>
        <w:t>⁻</w:t>
      </w:r>
      <w:r w:rsidRPr="008B6B33">
        <w:rPr>
          <w:sz w:val="20"/>
          <w:szCs w:val="20"/>
        </w:rPr>
        <w:t>¹ year</w:t>
      </w:r>
      <w:r w:rsidRPr="008B6B33">
        <w:rPr>
          <w:rFonts w:ascii="Cambria Math" w:hAnsi="Cambria Math" w:cs="Cambria Math"/>
          <w:sz w:val="20"/>
          <w:szCs w:val="20"/>
        </w:rPr>
        <w:t>⁻</w:t>
      </w:r>
      <w:r w:rsidRPr="008B6B33">
        <w:rPr>
          <w:sz w:val="20"/>
          <w:szCs w:val="20"/>
        </w:rPr>
        <w:t xml:space="preserve">¹) is often applied in an unbalanced or excessive manner, leading to problems such as nutrient leaching, soil acidification, reduced microbial activity, and contamination of groundwater resources. Integrated Nutrient Management (INM) is an ecologically balanced approach that combines organic, inorganic, and biological sources of nutrients to </w:t>
      </w:r>
      <w:r w:rsidRPr="00A55A7F">
        <w:rPr>
          <w:sz w:val="20"/>
          <w:szCs w:val="20"/>
          <w:highlight w:val="yellow"/>
        </w:rPr>
        <w:t>maintain soil fertility, enhance nutrient use efficiency, and sustain long-term productivity</w:t>
      </w:r>
      <w:r w:rsidR="00A55A7F" w:rsidRPr="00A55A7F">
        <w:rPr>
          <w:sz w:val="20"/>
          <w:szCs w:val="20"/>
          <w:highlight w:val="yellow"/>
        </w:rPr>
        <w:t xml:space="preserve"> (Kumari et al., 2023)</w:t>
      </w:r>
      <w:r w:rsidRPr="00A55A7F">
        <w:rPr>
          <w:sz w:val="20"/>
          <w:szCs w:val="20"/>
          <w:highlight w:val="yellow"/>
        </w:rPr>
        <w:t>.</w:t>
      </w:r>
      <w:r w:rsidRPr="008B6B33">
        <w:rPr>
          <w:sz w:val="20"/>
          <w:szCs w:val="20"/>
        </w:rPr>
        <w:t xml:space="preserve"> </w:t>
      </w:r>
    </w:p>
    <w:p w:rsidR="00067649" w:rsidRPr="008B6B33" w:rsidRDefault="00F72453" w:rsidP="00D5611B">
      <w:pPr>
        <w:pStyle w:val="NoSpacing"/>
        <w:ind w:firstLine="720"/>
        <w:jc w:val="both"/>
        <w:rPr>
          <w:sz w:val="20"/>
          <w:szCs w:val="20"/>
        </w:rPr>
      </w:pPr>
      <w:r w:rsidRPr="008B6B33">
        <w:rPr>
          <w:sz w:val="20"/>
          <w:szCs w:val="20"/>
        </w:rPr>
        <w:t>INM seeks to minimize the dependence on chemical fertilizers by integrating locally available organic resources</w:t>
      </w:r>
      <w:r w:rsidR="00CB7A40">
        <w:rPr>
          <w:sz w:val="20"/>
          <w:szCs w:val="20"/>
        </w:rPr>
        <w:t xml:space="preserve"> </w:t>
      </w:r>
      <w:r w:rsidRPr="008B6B33">
        <w:rPr>
          <w:sz w:val="20"/>
          <w:szCs w:val="20"/>
        </w:rPr>
        <w:t xml:space="preserve">such as FYM, vermicompost, poultry manure, neem cake, and </w:t>
      </w:r>
      <w:r w:rsidR="00CB7A40" w:rsidRPr="008B6B33">
        <w:rPr>
          <w:sz w:val="20"/>
          <w:szCs w:val="20"/>
        </w:rPr>
        <w:t>biofertilizers with</w:t>
      </w:r>
      <w:r w:rsidRPr="008B6B33">
        <w:rPr>
          <w:sz w:val="20"/>
          <w:szCs w:val="20"/>
        </w:rPr>
        <w:t xml:space="preserve"> recommended doses of inorganic nutrients. This approach not only improves crop yield and quality but also enhances soil microbial activity, structure, and nutrient cycling, thereby supporting sustainable agriculture. According to </w:t>
      </w:r>
      <w:r w:rsidRPr="00A55A7F">
        <w:rPr>
          <w:sz w:val="20"/>
          <w:szCs w:val="20"/>
          <w:highlight w:val="yellow"/>
        </w:rPr>
        <w:t xml:space="preserve">Bindu &amp; </w:t>
      </w:r>
      <w:proofErr w:type="spellStart"/>
      <w:r w:rsidRPr="00A55A7F">
        <w:rPr>
          <w:sz w:val="20"/>
          <w:szCs w:val="20"/>
          <w:highlight w:val="yellow"/>
        </w:rPr>
        <w:t>Renjan</w:t>
      </w:r>
      <w:proofErr w:type="spellEnd"/>
      <w:r w:rsidRPr="00A55A7F">
        <w:rPr>
          <w:sz w:val="20"/>
          <w:szCs w:val="20"/>
          <w:highlight w:val="yellow"/>
        </w:rPr>
        <w:t xml:space="preserve"> (2024),</w:t>
      </w:r>
      <w:r w:rsidRPr="008B6B33">
        <w:rPr>
          <w:sz w:val="20"/>
          <w:szCs w:val="20"/>
        </w:rPr>
        <w:t xml:space="preserve"> the application of microbial consortium-enriched organic manures in papaya resulted in significant improvements in fruit number, fruit weight, </w:t>
      </w:r>
      <w:r w:rsidRPr="008B6B33">
        <w:rPr>
          <w:sz w:val="20"/>
          <w:szCs w:val="20"/>
        </w:rPr>
        <w:lastRenderedPageBreak/>
        <w:t>and pulp quality, compared to conventional fertilizer use. Their study highlighted that enriching vermicompost with plant growth-promoting rhizobacteria (PGPR) and using 75% of the recommended chemical fertilizer dose produced superior results in yield and biochemical characteristics, including higher total soluble solids (TSS) and carotenoid content. This demonstrates that a judicious combination of bio-enriched composts and mineral fertilizers can enhance both productivity and quality in papaya cultivation systems.</w:t>
      </w:r>
    </w:p>
    <w:p w:rsidR="00067649" w:rsidRPr="008B6B33" w:rsidRDefault="00F72453" w:rsidP="00CB7A40">
      <w:pPr>
        <w:pStyle w:val="NoSpacing"/>
        <w:ind w:firstLine="720"/>
        <w:jc w:val="both"/>
        <w:rPr>
          <w:color w:val="000000"/>
          <w:sz w:val="20"/>
          <w:szCs w:val="20"/>
        </w:rPr>
      </w:pPr>
      <w:bookmarkStart w:id="3" w:name="_wzkjs3ka0aev" w:colFirst="0" w:colLast="0"/>
      <w:bookmarkEnd w:id="3"/>
      <w:r w:rsidRPr="008B6B33">
        <w:rPr>
          <w:sz w:val="20"/>
          <w:szCs w:val="20"/>
        </w:rPr>
        <w:t xml:space="preserve">Organic manures play an indispensable role in INM systems by improving soil organic carbon, enhancing water retention, and supplying slow-release </w:t>
      </w:r>
      <w:r w:rsidRPr="00A55A7F">
        <w:rPr>
          <w:sz w:val="20"/>
          <w:szCs w:val="20"/>
          <w:highlight w:val="yellow"/>
        </w:rPr>
        <w:t>nutrients</w:t>
      </w:r>
      <w:r w:rsidR="00A55A7F" w:rsidRPr="00A55A7F">
        <w:rPr>
          <w:sz w:val="20"/>
          <w:szCs w:val="20"/>
          <w:highlight w:val="yellow"/>
        </w:rPr>
        <w:t xml:space="preserve"> (</w:t>
      </w:r>
      <w:r w:rsidR="00106106">
        <w:rPr>
          <w:sz w:val="20"/>
          <w:szCs w:val="20"/>
          <w:highlight w:val="yellow"/>
        </w:rPr>
        <w:t>Smita</w:t>
      </w:r>
      <w:r w:rsidR="00A55A7F" w:rsidRPr="00A55A7F">
        <w:rPr>
          <w:sz w:val="20"/>
          <w:szCs w:val="20"/>
          <w:highlight w:val="yellow"/>
        </w:rPr>
        <w:t xml:space="preserve"> et al., 2025)</w:t>
      </w:r>
      <w:r w:rsidRPr="00A55A7F">
        <w:rPr>
          <w:sz w:val="20"/>
          <w:szCs w:val="20"/>
          <w:highlight w:val="yellow"/>
        </w:rPr>
        <w:t>.</w:t>
      </w:r>
      <w:r w:rsidRPr="008B6B33">
        <w:rPr>
          <w:sz w:val="20"/>
          <w:szCs w:val="20"/>
        </w:rPr>
        <w:t xml:space="preserve"> Vermicompost, produced through the decomposition of organic matter by earthworms, has been shown to enhance the availability of essential nutrients like nitrogen, phosphorus, potassium, calcium, and magnesium, while simultaneously promoting beneficial soil microbes. Studies have indicated that vermicompost enriched with bioinoculants such as </w:t>
      </w:r>
      <w:proofErr w:type="spellStart"/>
      <w:r w:rsidRPr="008B6B33">
        <w:rPr>
          <w:i/>
          <w:iCs/>
          <w:sz w:val="20"/>
          <w:szCs w:val="20"/>
        </w:rPr>
        <w:t>Azospirillum</w:t>
      </w:r>
      <w:proofErr w:type="spellEnd"/>
      <w:r w:rsidRPr="008B6B33">
        <w:rPr>
          <w:sz w:val="20"/>
          <w:szCs w:val="20"/>
        </w:rPr>
        <w:t xml:space="preserve">, </w:t>
      </w:r>
      <w:proofErr w:type="spellStart"/>
      <w:r w:rsidRPr="008B6B33">
        <w:rPr>
          <w:i/>
          <w:iCs/>
          <w:sz w:val="20"/>
          <w:szCs w:val="20"/>
        </w:rPr>
        <w:t>Azotobacter</w:t>
      </w:r>
      <w:proofErr w:type="spellEnd"/>
      <w:r w:rsidRPr="008B6B33">
        <w:rPr>
          <w:sz w:val="20"/>
          <w:szCs w:val="20"/>
        </w:rPr>
        <w:t xml:space="preserve">, </w:t>
      </w:r>
      <w:r w:rsidRPr="008B6B33">
        <w:rPr>
          <w:i/>
          <w:iCs/>
          <w:sz w:val="20"/>
          <w:szCs w:val="20"/>
        </w:rPr>
        <w:t>Phosphate Solubilizing Bacteria (PSB)</w:t>
      </w:r>
      <w:r w:rsidRPr="008B6B33">
        <w:rPr>
          <w:sz w:val="20"/>
          <w:szCs w:val="20"/>
        </w:rPr>
        <w:t xml:space="preserve">, and PGPR can substantially improve nutrient uptake and fruit quality parameters in papaya (Singh &amp; Tripathi, 2020). In papaya cv. ‘Red Lady’, the combination of 50% NPK with 20 kg FYM, 100 g </w:t>
      </w:r>
      <w:proofErr w:type="spellStart"/>
      <w:r w:rsidRPr="008B6B33">
        <w:rPr>
          <w:i/>
          <w:iCs/>
          <w:sz w:val="20"/>
          <w:szCs w:val="20"/>
        </w:rPr>
        <w:t>Azospirillum</w:t>
      </w:r>
      <w:proofErr w:type="spellEnd"/>
      <w:r w:rsidRPr="008B6B33">
        <w:rPr>
          <w:sz w:val="20"/>
          <w:szCs w:val="20"/>
        </w:rPr>
        <w:t xml:space="preserve">, and 100 g PSB achieved the maximum fruit yield and improved physicochemical properties such as TSS, firmness, and sugar content. These results validate that partial substitution of chemical fertilizers with organic and biological inputs ensures sustained nutrient supply while improving soil biological activity. Similarly, </w:t>
      </w:r>
      <w:proofErr w:type="spellStart"/>
      <w:r w:rsidRPr="00A210B9">
        <w:rPr>
          <w:sz w:val="20"/>
          <w:szCs w:val="20"/>
          <w:highlight w:val="yellow"/>
        </w:rPr>
        <w:t>Sethy</w:t>
      </w:r>
      <w:proofErr w:type="spellEnd"/>
      <w:r w:rsidRPr="00A210B9">
        <w:rPr>
          <w:sz w:val="20"/>
          <w:szCs w:val="20"/>
          <w:highlight w:val="yellow"/>
        </w:rPr>
        <w:t xml:space="preserve"> </w:t>
      </w:r>
      <w:r w:rsidR="00A55A7F" w:rsidRPr="00A210B9">
        <w:rPr>
          <w:sz w:val="20"/>
          <w:szCs w:val="20"/>
          <w:highlight w:val="yellow"/>
        </w:rPr>
        <w:t>et al.</w:t>
      </w:r>
      <w:r w:rsidRPr="00A210B9">
        <w:rPr>
          <w:sz w:val="20"/>
          <w:szCs w:val="20"/>
          <w:highlight w:val="yellow"/>
        </w:rPr>
        <w:t xml:space="preserve"> (2025) observed that the</w:t>
      </w:r>
      <w:r w:rsidRPr="008B6B33">
        <w:rPr>
          <w:sz w:val="20"/>
          <w:szCs w:val="20"/>
        </w:rPr>
        <w:t xml:space="preserve"> integrated application of 100% recommended fertilizer dose (RDF) along with PSB, </w:t>
      </w:r>
      <w:proofErr w:type="spellStart"/>
      <w:r w:rsidRPr="008B6B33">
        <w:rPr>
          <w:i/>
          <w:iCs/>
          <w:sz w:val="20"/>
          <w:szCs w:val="20"/>
        </w:rPr>
        <w:t>Azospirillum</w:t>
      </w:r>
      <w:proofErr w:type="spellEnd"/>
      <w:r w:rsidRPr="008B6B33">
        <w:rPr>
          <w:sz w:val="20"/>
          <w:szCs w:val="20"/>
        </w:rPr>
        <w:t xml:space="preserve">, and </w:t>
      </w:r>
      <w:proofErr w:type="spellStart"/>
      <w:r w:rsidRPr="008B6B33">
        <w:rPr>
          <w:i/>
          <w:iCs/>
          <w:sz w:val="20"/>
          <w:szCs w:val="20"/>
        </w:rPr>
        <w:t>Azotobacter</w:t>
      </w:r>
      <w:proofErr w:type="spellEnd"/>
      <w:r w:rsidRPr="008B6B33">
        <w:rPr>
          <w:sz w:val="20"/>
          <w:szCs w:val="20"/>
        </w:rPr>
        <w:t xml:space="preserve"> enhanced foliar nutrient content, soil microbial population, and fruit yield in papaya cv. ‘Coorg Honey Dew’. They recorded the highest benefit-cost ratio (3.3) with a 75% RDF treatment integrated with biofertilizers, illustrating that balanced nutrient application through INM is both agronomically and economically advantageous.</w:t>
      </w:r>
    </w:p>
    <w:p w:rsidR="00067649" w:rsidRPr="008B6B33" w:rsidRDefault="00F72453" w:rsidP="00CB7A40">
      <w:pPr>
        <w:pStyle w:val="NoSpacing"/>
        <w:ind w:firstLine="720"/>
        <w:jc w:val="both"/>
        <w:rPr>
          <w:sz w:val="20"/>
          <w:szCs w:val="20"/>
        </w:rPr>
      </w:pPr>
      <w:r w:rsidRPr="008B6B33">
        <w:rPr>
          <w:sz w:val="20"/>
          <w:szCs w:val="20"/>
        </w:rPr>
        <w:t xml:space="preserve">Microbial inoculants, such as PGPR and PSB, enhance nutrient availability by solubilizing phosphorus, fixing atmospheric nitrogen, and releasing growth-promoting hormones. For instance, </w:t>
      </w:r>
      <w:r w:rsidRPr="00A210B9">
        <w:rPr>
          <w:sz w:val="20"/>
          <w:szCs w:val="20"/>
          <w:highlight w:val="yellow"/>
        </w:rPr>
        <w:t>Singh &amp; Tripathi (2020) demonstrated</w:t>
      </w:r>
      <w:r w:rsidRPr="008B6B33">
        <w:rPr>
          <w:sz w:val="20"/>
          <w:szCs w:val="20"/>
        </w:rPr>
        <w:t xml:space="preserve"> that applying 75% RDF with </w:t>
      </w:r>
      <w:proofErr w:type="spellStart"/>
      <w:r w:rsidRPr="008B6B33">
        <w:rPr>
          <w:i/>
          <w:iCs/>
          <w:sz w:val="20"/>
          <w:szCs w:val="20"/>
        </w:rPr>
        <w:t>Azotobacter</w:t>
      </w:r>
      <w:proofErr w:type="spellEnd"/>
      <w:r w:rsidRPr="008B6B33">
        <w:rPr>
          <w:sz w:val="20"/>
          <w:szCs w:val="20"/>
        </w:rPr>
        <w:t xml:space="preserve">, PSB, and vermicompost increased plant biomass, leaf number, fruit set, and yield, while improving soil organic carbon, nitrogen, and potassium availability. These interactions not only enhance nutrient efficiency but also restore degraded soils. In addition, microbial enrichment of vermicompost with PGPR strains has been shown to induce systemic resistance against certain diseases and enhance enzyme activity in the rhizosphere, leading to healthier root systems and better nutrient uptake (Bindu &amp; </w:t>
      </w:r>
      <w:proofErr w:type="spellStart"/>
      <w:r w:rsidRPr="008B6B33">
        <w:rPr>
          <w:sz w:val="20"/>
          <w:szCs w:val="20"/>
        </w:rPr>
        <w:t>Renjan</w:t>
      </w:r>
      <w:proofErr w:type="spellEnd"/>
      <w:r w:rsidRPr="008B6B33">
        <w:rPr>
          <w:sz w:val="20"/>
          <w:szCs w:val="20"/>
        </w:rPr>
        <w:t xml:space="preserve">, 2024). The adoption of INM practices has been reported to reduce fertilizer application by 25–50% without compromising yield. In papaya, integrating 75% RDF with biofertilizers and vermicompost yielded 31% higher fruit production compared to conventional fertilization methods, while maintaining superior fruit </w:t>
      </w:r>
      <w:r w:rsidRPr="00A210B9">
        <w:rPr>
          <w:sz w:val="20"/>
          <w:szCs w:val="20"/>
          <w:highlight w:val="yellow"/>
        </w:rPr>
        <w:t xml:space="preserve">quality (Manjunath </w:t>
      </w:r>
      <w:r w:rsidR="00A210B9" w:rsidRPr="00A210B9">
        <w:rPr>
          <w:sz w:val="20"/>
          <w:szCs w:val="20"/>
          <w:highlight w:val="yellow"/>
        </w:rPr>
        <w:t>et al.,</w:t>
      </w:r>
      <w:r w:rsidRPr="00A210B9">
        <w:rPr>
          <w:sz w:val="20"/>
          <w:szCs w:val="20"/>
          <w:highlight w:val="yellow"/>
        </w:rPr>
        <w:t xml:space="preserve"> 2023).</w:t>
      </w:r>
      <w:r w:rsidRPr="008B6B33">
        <w:rPr>
          <w:sz w:val="20"/>
          <w:szCs w:val="20"/>
        </w:rPr>
        <w:t xml:space="preserve"> This reduction in chemical input not only lowers production costs but also minimizes the carbon footprint of papaya cultivation, making it more sustainable in the long run. Moreover, </w:t>
      </w:r>
      <w:r w:rsidRPr="00A210B9">
        <w:rPr>
          <w:sz w:val="20"/>
          <w:szCs w:val="20"/>
          <w:highlight w:val="yellow"/>
        </w:rPr>
        <w:t xml:space="preserve">Silva </w:t>
      </w:r>
      <w:r w:rsidR="00A210B9" w:rsidRPr="00A210B9">
        <w:rPr>
          <w:sz w:val="20"/>
          <w:szCs w:val="20"/>
          <w:highlight w:val="yellow"/>
        </w:rPr>
        <w:t>et al.</w:t>
      </w:r>
      <w:r w:rsidRPr="00A210B9">
        <w:rPr>
          <w:sz w:val="20"/>
          <w:szCs w:val="20"/>
          <w:highlight w:val="yellow"/>
        </w:rPr>
        <w:t xml:space="preserve"> (2019) found</w:t>
      </w:r>
      <w:r w:rsidRPr="008B6B33">
        <w:rPr>
          <w:sz w:val="20"/>
          <w:szCs w:val="20"/>
        </w:rPr>
        <w:t xml:space="preserve"> that combining organic amendments such as biochar and green manure with papaya cultivation improved soil fertility and nutrient retention, contributing to higher biomass accumulation and healthier plants. Such practices align with the principles of regenerative agriculture, promoting long-term soil productivity and ecological balance.</w:t>
      </w:r>
    </w:p>
    <w:p w:rsidR="00CB7A40" w:rsidRPr="00CB7A40" w:rsidRDefault="00F72453" w:rsidP="00CB7A40">
      <w:pPr>
        <w:pStyle w:val="NoSpacing"/>
        <w:ind w:firstLine="720"/>
        <w:jc w:val="both"/>
        <w:rPr>
          <w:sz w:val="20"/>
        </w:rPr>
      </w:pPr>
      <w:r w:rsidRPr="008B6B33">
        <w:rPr>
          <w:sz w:val="20"/>
          <w:szCs w:val="20"/>
        </w:rPr>
        <w:t xml:space="preserve">Telangana’s lateritic soils are typically acidic and deficient in major nutrients, particularly nitrogen and phosphorus. The declining organic matter content due to continuous cropping and poor residue management further exacerbates the issue. The adoption of integrated nutrient management is particularly relevant for this region, as it addresses soil fertility constraints while maintaining economic viability for small and marginal farmers. The use of locally available organic sources such as poultry manure, neem cake, and FYM enriched with microbial consortia offers a feasible and low-cost alternative to sole reliance on synthetic fertilizers. In this context, the present study was conducted at DDS Krishi Vigyan Kendra, </w:t>
      </w:r>
      <w:proofErr w:type="spellStart"/>
      <w:r w:rsidRPr="008B6B33">
        <w:rPr>
          <w:sz w:val="20"/>
          <w:szCs w:val="20"/>
        </w:rPr>
        <w:t>Zaheerabad</w:t>
      </w:r>
      <w:proofErr w:type="spellEnd"/>
      <w:r w:rsidRPr="008B6B33">
        <w:rPr>
          <w:sz w:val="20"/>
          <w:szCs w:val="20"/>
        </w:rPr>
        <w:t xml:space="preserve"> (</w:t>
      </w:r>
      <w:proofErr w:type="spellStart"/>
      <w:r w:rsidRPr="008B6B33">
        <w:rPr>
          <w:sz w:val="20"/>
          <w:szCs w:val="20"/>
        </w:rPr>
        <w:t>Sangareddy</w:t>
      </w:r>
      <w:proofErr w:type="spellEnd"/>
      <w:r w:rsidRPr="008B6B33">
        <w:rPr>
          <w:sz w:val="20"/>
          <w:szCs w:val="20"/>
        </w:rPr>
        <w:t xml:space="preserve"> District, Telangana) to evaluate the comparative effects of different INM combinations on the growth, yield, and quality of papaya cv. </w:t>
      </w:r>
      <w:r w:rsidRPr="008B6B33">
        <w:rPr>
          <w:i/>
          <w:iCs/>
          <w:sz w:val="20"/>
          <w:szCs w:val="20"/>
        </w:rPr>
        <w:t>Red Lady</w:t>
      </w:r>
      <w:r w:rsidRPr="008B6B33">
        <w:rPr>
          <w:sz w:val="20"/>
          <w:szCs w:val="20"/>
        </w:rPr>
        <w:t xml:space="preserve">. This variety, being high-yielding and gynodioecious, is suitable for intensive cultivation systems but also requires precise nutrient management for optimal performance. The experiment sought to identify the most effective integration of chemical fertilizers with bio-enriched </w:t>
      </w:r>
      <w:proofErr w:type="spellStart"/>
      <w:r w:rsidRPr="008B6B33">
        <w:rPr>
          <w:sz w:val="20"/>
          <w:szCs w:val="20"/>
        </w:rPr>
        <w:t>vermicomposts</w:t>
      </w:r>
      <w:proofErr w:type="spellEnd"/>
      <w:r w:rsidRPr="008B6B33">
        <w:rPr>
          <w:sz w:val="20"/>
          <w:szCs w:val="20"/>
        </w:rPr>
        <w:t xml:space="preserve"> using microbial inoculants such as </w:t>
      </w:r>
      <w:proofErr w:type="spellStart"/>
      <w:r w:rsidRPr="008B6B33">
        <w:rPr>
          <w:i/>
          <w:iCs/>
          <w:sz w:val="20"/>
          <w:szCs w:val="20"/>
        </w:rPr>
        <w:t>Azospirillum</w:t>
      </w:r>
      <w:proofErr w:type="spellEnd"/>
      <w:r w:rsidRPr="008B6B33">
        <w:rPr>
          <w:sz w:val="20"/>
          <w:szCs w:val="20"/>
        </w:rPr>
        <w:t>, PGPR mix, and neem cake.</w:t>
      </w:r>
      <w:bookmarkStart w:id="4" w:name="_g92ujfbfsgmt" w:colFirst="0" w:colLast="0"/>
      <w:bookmarkEnd w:id="4"/>
      <w:r w:rsidR="002215CB">
        <w:rPr>
          <w:sz w:val="20"/>
          <w:szCs w:val="20"/>
        </w:rPr>
        <w:t xml:space="preserve"> </w:t>
      </w:r>
      <w:r w:rsidR="00CB7A40" w:rsidRPr="00CB7A40">
        <w:rPr>
          <w:sz w:val="20"/>
          <w:highlight w:val="yellow"/>
        </w:rPr>
        <w:t>The objective of this study was to evaluate the effectiveness of integrated nutrient management involving bio-enriched vermicompost and reduced chemical fertilizers on growth, yield, fruit quality, and soil fertility of papaya (</w:t>
      </w:r>
      <w:proofErr w:type="spellStart"/>
      <w:r w:rsidR="00CB7A40" w:rsidRPr="00CB7A40">
        <w:rPr>
          <w:rStyle w:val="Emphasis"/>
          <w:sz w:val="20"/>
          <w:highlight w:val="yellow"/>
        </w:rPr>
        <w:t>Carica</w:t>
      </w:r>
      <w:proofErr w:type="spellEnd"/>
      <w:r w:rsidR="00CB7A40" w:rsidRPr="00CB7A40">
        <w:rPr>
          <w:rStyle w:val="Emphasis"/>
          <w:sz w:val="20"/>
          <w:highlight w:val="yellow"/>
        </w:rPr>
        <w:t xml:space="preserve"> papaya</w:t>
      </w:r>
      <w:r w:rsidR="00CB7A40" w:rsidRPr="00CB7A40">
        <w:rPr>
          <w:sz w:val="20"/>
          <w:highlight w:val="yellow"/>
        </w:rPr>
        <w:t xml:space="preserve"> L.) cv. Red Lady under lateritic soil conditions of Central Telangana, with the aim of developing a sustainable, eco-friendly, and productivity-oriented nutrient management strategy.</w:t>
      </w:r>
    </w:p>
    <w:p w:rsidR="00127D32" w:rsidRPr="008B6B33" w:rsidRDefault="00127D32" w:rsidP="00127D32">
      <w:pPr>
        <w:pStyle w:val="NoSpacing"/>
        <w:jc w:val="both"/>
        <w:rPr>
          <w:color w:val="18181B"/>
          <w:sz w:val="20"/>
          <w:szCs w:val="20"/>
          <w:highlight w:val="white"/>
        </w:rPr>
      </w:pPr>
      <w:bookmarkStart w:id="5" w:name="_ws0rb3gaydkv" w:colFirst="0" w:colLast="0"/>
      <w:bookmarkEnd w:id="5"/>
    </w:p>
    <w:p w:rsidR="00067649" w:rsidRPr="002316B2" w:rsidRDefault="00127D32" w:rsidP="00127D32">
      <w:pPr>
        <w:pStyle w:val="NoSpacing"/>
        <w:ind w:firstLine="720"/>
        <w:jc w:val="both"/>
        <w:rPr>
          <w:b/>
          <w:color w:val="18181B"/>
          <w:sz w:val="24"/>
          <w:szCs w:val="20"/>
          <w:highlight w:val="white"/>
        </w:rPr>
      </w:pPr>
      <w:r w:rsidRPr="002316B2">
        <w:rPr>
          <w:b/>
          <w:color w:val="18181B"/>
          <w:sz w:val="24"/>
          <w:szCs w:val="20"/>
          <w:highlight w:val="white"/>
        </w:rPr>
        <w:t>2. MATERIALS AND METHODS</w:t>
      </w:r>
    </w:p>
    <w:p w:rsidR="00067649" w:rsidRPr="008B6B33" w:rsidRDefault="00F72453" w:rsidP="00127D32">
      <w:pPr>
        <w:pStyle w:val="NoSpacing"/>
        <w:jc w:val="both"/>
        <w:rPr>
          <w:b/>
          <w:color w:val="18181B"/>
          <w:sz w:val="20"/>
          <w:szCs w:val="20"/>
          <w:highlight w:val="white"/>
        </w:rPr>
      </w:pPr>
      <w:bookmarkStart w:id="6" w:name="_8u7dy7ewa738" w:colFirst="0" w:colLast="0"/>
      <w:bookmarkEnd w:id="6"/>
      <w:r w:rsidRPr="008B6B33">
        <w:rPr>
          <w:b/>
          <w:color w:val="18181B"/>
          <w:sz w:val="20"/>
          <w:szCs w:val="20"/>
          <w:highlight w:val="white"/>
        </w:rPr>
        <w:lastRenderedPageBreak/>
        <w:t>2.1 Experimental Site</w:t>
      </w:r>
    </w:p>
    <w:p w:rsidR="00127D32" w:rsidRDefault="00F72453" w:rsidP="00127D32">
      <w:pPr>
        <w:pStyle w:val="NoSpacing"/>
        <w:jc w:val="both"/>
        <w:rPr>
          <w:color w:val="18181B"/>
          <w:sz w:val="20"/>
          <w:szCs w:val="20"/>
          <w:highlight w:val="white"/>
        </w:rPr>
      </w:pPr>
      <w:r w:rsidRPr="008B6B33">
        <w:rPr>
          <w:color w:val="18181B"/>
          <w:sz w:val="20"/>
          <w:szCs w:val="20"/>
          <w:highlight w:val="white"/>
        </w:rPr>
        <w:t xml:space="preserve">The field experiment on Integrated Nutrient Management (INM) in papaya was conducted during 2022–24 at DDS Krishi Vigyan Kendra (KVK), </w:t>
      </w:r>
      <w:proofErr w:type="spellStart"/>
      <w:r w:rsidRPr="008B6B33">
        <w:rPr>
          <w:color w:val="18181B"/>
          <w:sz w:val="20"/>
          <w:szCs w:val="20"/>
          <w:highlight w:val="white"/>
        </w:rPr>
        <w:t>Zaheerabad</w:t>
      </w:r>
      <w:proofErr w:type="spellEnd"/>
      <w:r w:rsidRPr="008B6B33">
        <w:rPr>
          <w:color w:val="18181B"/>
          <w:sz w:val="20"/>
          <w:szCs w:val="20"/>
          <w:highlight w:val="white"/>
        </w:rPr>
        <w:t xml:space="preserve">, located in </w:t>
      </w:r>
      <w:proofErr w:type="spellStart"/>
      <w:r w:rsidRPr="008B6B33">
        <w:rPr>
          <w:color w:val="18181B"/>
          <w:sz w:val="20"/>
          <w:szCs w:val="20"/>
          <w:highlight w:val="white"/>
        </w:rPr>
        <w:t>Sangareddy</w:t>
      </w:r>
      <w:proofErr w:type="spellEnd"/>
      <w:r w:rsidRPr="008B6B33">
        <w:rPr>
          <w:color w:val="18181B"/>
          <w:sz w:val="20"/>
          <w:szCs w:val="20"/>
          <w:highlight w:val="white"/>
        </w:rPr>
        <w:t xml:space="preserve"> district, Telangana, India. The region lies at latitude 17°38'47'' N and longitude 77°38'47'' E, with an altitude of 622 m above mean sea level, and experiences a semi-arid tropical climate characterized by hot summers, mild winters, and an average annual rainfall of 680 mm. The soil at the experimental site was lateritic, acidic (pH 4.92), and low in available nitrogen (275 kg ha</w:t>
      </w:r>
      <w:r w:rsidRPr="008B6B33">
        <w:rPr>
          <w:rFonts w:ascii="Cambria Math" w:hAnsi="Cambria Math" w:cs="Cambria Math"/>
          <w:color w:val="18181B"/>
          <w:sz w:val="20"/>
          <w:szCs w:val="20"/>
          <w:highlight w:val="white"/>
        </w:rPr>
        <w:t>⁻</w:t>
      </w:r>
      <w:r w:rsidRPr="008B6B33">
        <w:rPr>
          <w:color w:val="18181B"/>
          <w:sz w:val="20"/>
          <w:szCs w:val="20"/>
          <w:highlight w:val="white"/>
        </w:rPr>
        <w:t>¹), phosphorus (15 kg ha</w:t>
      </w:r>
      <w:r w:rsidRPr="008B6B33">
        <w:rPr>
          <w:rFonts w:ascii="Cambria Math" w:hAnsi="Cambria Math" w:cs="Cambria Math"/>
          <w:color w:val="18181B"/>
          <w:sz w:val="20"/>
          <w:szCs w:val="20"/>
          <w:highlight w:val="white"/>
        </w:rPr>
        <w:t>⁻</w:t>
      </w:r>
      <w:r w:rsidRPr="008B6B33">
        <w:rPr>
          <w:color w:val="18181B"/>
          <w:sz w:val="20"/>
          <w:szCs w:val="20"/>
          <w:highlight w:val="white"/>
        </w:rPr>
        <w:t>¹), and potassium (165 kg ha</w:t>
      </w:r>
      <w:r w:rsidRPr="008B6B33">
        <w:rPr>
          <w:rFonts w:ascii="Cambria Math" w:hAnsi="Cambria Math" w:cs="Cambria Math"/>
          <w:color w:val="18181B"/>
          <w:sz w:val="20"/>
          <w:szCs w:val="20"/>
          <w:highlight w:val="white"/>
        </w:rPr>
        <w:t>⁻</w:t>
      </w:r>
      <w:r w:rsidRPr="008B6B33">
        <w:rPr>
          <w:color w:val="18181B"/>
          <w:sz w:val="20"/>
          <w:szCs w:val="20"/>
          <w:highlight w:val="white"/>
        </w:rPr>
        <w:t xml:space="preserve">¹). The low organic carbon content (0.36%) indicated the need for organic and microbial interventions to sustain productivity. </w:t>
      </w:r>
    </w:p>
    <w:p w:rsidR="00D5611B" w:rsidRPr="008B6B33" w:rsidRDefault="00D5611B" w:rsidP="00127D32">
      <w:pPr>
        <w:pStyle w:val="NoSpacing"/>
        <w:jc w:val="both"/>
        <w:rPr>
          <w:color w:val="18181B"/>
          <w:sz w:val="20"/>
          <w:szCs w:val="20"/>
          <w:highlight w:val="white"/>
        </w:rPr>
      </w:pPr>
    </w:p>
    <w:p w:rsidR="00067649" w:rsidRPr="008B6B33" w:rsidRDefault="00F72453" w:rsidP="00127D32">
      <w:pPr>
        <w:pStyle w:val="NoSpacing"/>
        <w:jc w:val="both"/>
        <w:rPr>
          <w:b/>
          <w:color w:val="18181B"/>
          <w:sz w:val="20"/>
          <w:szCs w:val="20"/>
          <w:highlight w:val="white"/>
        </w:rPr>
      </w:pPr>
      <w:bookmarkStart w:id="7" w:name="_8o4eqb805q93" w:colFirst="0" w:colLast="0"/>
      <w:bookmarkEnd w:id="7"/>
      <w:r w:rsidRPr="008B6B33">
        <w:rPr>
          <w:b/>
          <w:color w:val="18181B"/>
          <w:sz w:val="20"/>
          <w:szCs w:val="20"/>
          <w:highlight w:val="white"/>
        </w:rPr>
        <w:t>2.2 Experimental Design and Treatments</w:t>
      </w:r>
    </w:p>
    <w:p w:rsidR="00067649" w:rsidRPr="008B6B33" w:rsidRDefault="00F72453" w:rsidP="00127D32">
      <w:pPr>
        <w:pStyle w:val="NoSpacing"/>
        <w:jc w:val="both"/>
        <w:rPr>
          <w:color w:val="18181B"/>
          <w:sz w:val="20"/>
          <w:szCs w:val="20"/>
          <w:highlight w:val="white"/>
        </w:rPr>
      </w:pPr>
      <w:r w:rsidRPr="008B6B33">
        <w:rPr>
          <w:color w:val="18181B"/>
          <w:sz w:val="20"/>
          <w:szCs w:val="20"/>
          <w:highlight w:val="white"/>
        </w:rPr>
        <w:t>The experiment was conducted using a Randomized Block Design (RBD) with ten treatments and three replications. Each plot contained six plants, spaced at 2 m × 2 m, ensuring sufficient sunlight, aeration, and root expansion. The papaya cultivar ‘Red Lady’ (</w:t>
      </w:r>
      <w:proofErr w:type="spellStart"/>
      <w:r w:rsidRPr="008B6B33">
        <w:rPr>
          <w:i/>
          <w:iCs/>
          <w:color w:val="18181B"/>
          <w:sz w:val="20"/>
          <w:szCs w:val="20"/>
          <w:highlight w:val="white"/>
        </w:rPr>
        <w:t>Carica</w:t>
      </w:r>
      <w:proofErr w:type="spellEnd"/>
      <w:r w:rsidRPr="008B6B33">
        <w:rPr>
          <w:i/>
          <w:iCs/>
          <w:color w:val="18181B"/>
          <w:sz w:val="20"/>
          <w:szCs w:val="20"/>
          <w:highlight w:val="white"/>
        </w:rPr>
        <w:t xml:space="preserve"> papaya</w:t>
      </w:r>
      <w:r w:rsidRPr="008B6B33">
        <w:rPr>
          <w:color w:val="18181B"/>
          <w:sz w:val="20"/>
          <w:szCs w:val="20"/>
          <w:highlight w:val="white"/>
        </w:rPr>
        <w:t xml:space="preserve"> L.) was chosen due to its high yield potential, red-orange pulp, and adaptability to semi-arid climates. The treatments were formulated to study the impact of integrating organic manures, microbial inoculants, and inorganic fertilizers on papaya performance. </w:t>
      </w:r>
      <w:r w:rsidRPr="00D5611B">
        <w:rPr>
          <w:color w:val="18181B"/>
          <w:sz w:val="20"/>
          <w:szCs w:val="20"/>
          <w:highlight w:val="yellow"/>
        </w:rPr>
        <w:t xml:space="preserve">The detailed treatment structure is presented </w:t>
      </w:r>
      <w:r w:rsidR="00D5611B" w:rsidRPr="00D5611B">
        <w:rPr>
          <w:color w:val="18181B"/>
          <w:sz w:val="20"/>
          <w:szCs w:val="20"/>
          <w:highlight w:val="yellow"/>
        </w:rPr>
        <w:t>in chart 1.</w:t>
      </w:r>
    </w:p>
    <w:p w:rsidR="003F1565" w:rsidRPr="008B6B33" w:rsidRDefault="003F1565" w:rsidP="00127D32">
      <w:pPr>
        <w:pStyle w:val="NoSpacing"/>
        <w:jc w:val="both"/>
        <w:rPr>
          <w:color w:val="18181B"/>
          <w:sz w:val="20"/>
          <w:szCs w:val="20"/>
          <w:highlight w:val="white"/>
        </w:rPr>
      </w:pPr>
    </w:p>
    <w:p w:rsidR="003F1565" w:rsidRPr="002316B2" w:rsidRDefault="003F1565" w:rsidP="002316B2">
      <w:pPr>
        <w:pStyle w:val="NoSpacing"/>
        <w:jc w:val="center"/>
        <w:rPr>
          <w:b/>
          <w:color w:val="18181B"/>
          <w:sz w:val="20"/>
          <w:szCs w:val="20"/>
          <w:highlight w:val="white"/>
        </w:rPr>
      </w:pPr>
      <w:r w:rsidRPr="002316B2">
        <w:rPr>
          <w:b/>
          <w:color w:val="18181B"/>
          <w:sz w:val="20"/>
          <w:szCs w:val="20"/>
          <w:highlight w:val="white"/>
        </w:rPr>
        <w:t xml:space="preserve">Chart 1: </w:t>
      </w:r>
      <w:r w:rsidRPr="002316B2">
        <w:rPr>
          <w:b/>
          <w:color w:val="18181B"/>
          <w:sz w:val="20"/>
          <w:szCs w:val="20"/>
        </w:rPr>
        <w:t>The detailed treatment structure</w:t>
      </w:r>
    </w:p>
    <w:tbl>
      <w:tblPr>
        <w:tblStyle w:val="a"/>
        <w:tblW w:w="94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37"/>
        <w:gridCol w:w="7462"/>
      </w:tblGrid>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2316B2" w:rsidRDefault="00F72453" w:rsidP="002316B2">
            <w:pPr>
              <w:spacing w:line="240" w:lineRule="auto"/>
              <w:jc w:val="center"/>
              <w:rPr>
                <w:rFonts w:eastAsia="Times New Roman"/>
                <w:b/>
                <w:color w:val="18181B"/>
                <w:sz w:val="20"/>
                <w:szCs w:val="20"/>
                <w:highlight w:val="white"/>
              </w:rPr>
            </w:pPr>
            <w:r w:rsidRPr="002316B2">
              <w:rPr>
                <w:rFonts w:eastAsia="Times New Roman"/>
                <w:b/>
                <w:color w:val="18181B"/>
                <w:sz w:val="20"/>
                <w:szCs w:val="20"/>
                <w:highlight w:val="white"/>
              </w:rPr>
              <w:t>Treatment Code</w:t>
            </w:r>
          </w:p>
        </w:tc>
        <w:tc>
          <w:tcPr>
            <w:tcW w:w="7462" w:type="dxa"/>
            <w:tcMar>
              <w:top w:w="100" w:type="dxa"/>
              <w:left w:w="100" w:type="dxa"/>
              <w:bottom w:w="100" w:type="dxa"/>
              <w:right w:w="100" w:type="dxa"/>
            </w:tcMar>
            <w:vAlign w:val="center"/>
          </w:tcPr>
          <w:p w:rsidR="00067649" w:rsidRPr="002316B2" w:rsidRDefault="00F72453" w:rsidP="002316B2">
            <w:pPr>
              <w:spacing w:line="240" w:lineRule="auto"/>
              <w:jc w:val="center"/>
              <w:rPr>
                <w:rFonts w:eastAsia="Times New Roman"/>
                <w:b/>
                <w:color w:val="18181B"/>
                <w:sz w:val="20"/>
                <w:szCs w:val="20"/>
                <w:highlight w:val="white"/>
              </w:rPr>
            </w:pPr>
            <w:r w:rsidRPr="002316B2">
              <w:rPr>
                <w:rFonts w:eastAsia="Times New Roman"/>
                <w:b/>
                <w:color w:val="18181B"/>
                <w:sz w:val="20"/>
                <w:szCs w:val="20"/>
                <w:highlight w:val="white"/>
              </w:rPr>
              <w:t>Description</w:t>
            </w:r>
          </w:p>
        </w:tc>
      </w:tr>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₁</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100% Recommended Dose of Fertilizers (RDF): 240 </w:t>
            </w:r>
            <w:r w:rsidR="00D5611B" w:rsidRPr="008B6B33">
              <w:rPr>
                <w:rFonts w:eastAsia="Times New Roman"/>
                <w:color w:val="18181B"/>
                <w:sz w:val="20"/>
                <w:szCs w:val="20"/>
                <w:highlight w:val="white"/>
              </w:rPr>
              <w:t>N:</w:t>
            </w:r>
            <w:r w:rsidRPr="008B6B33">
              <w:rPr>
                <w:rFonts w:eastAsia="Times New Roman"/>
                <w:color w:val="18181B"/>
                <w:sz w:val="20"/>
                <w:szCs w:val="20"/>
                <w:highlight w:val="white"/>
              </w:rPr>
              <w:t xml:space="preserve"> 240 P</w:t>
            </w:r>
            <w:r w:rsidRPr="008B6B33">
              <w:rPr>
                <w:rFonts w:ascii="Cambria Math" w:eastAsia="Times New Roman" w:hAnsi="Cambria Math" w:cs="Cambria Math"/>
                <w:color w:val="18181B"/>
                <w:sz w:val="20"/>
                <w:szCs w:val="20"/>
                <w:highlight w:val="white"/>
              </w:rPr>
              <w:t>₂</w:t>
            </w:r>
            <w:r w:rsidRPr="008B6B33">
              <w:rPr>
                <w:rFonts w:eastAsia="Times New Roman"/>
                <w:color w:val="18181B"/>
                <w:sz w:val="20"/>
                <w:szCs w:val="20"/>
                <w:highlight w:val="white"/>
              </w:rPr>
              <w:t>O</w:t>
            </w:r>
            <w:r w:rsidR="00D5611B" w:rsidRPr="008B6B33">
              <w:rPr>
                <w:rFonts w:ascii="Cambria Math" w:eastAsia="Times New Roman" w:hAnsi="Cambria Math" w:cs="Cambria Math"/>
                <w:color w:val="18181B"/>
                <w:sz w:val="20"/>
                <w:szCs w:val="20"/>
                <w:highlight w:val="white"/>
              </w:rPr>
              <w:t>₅</w:t>
            </w:r>
            <w:r w:rsidR="00D5611B" w:rsidRPr="008B6B33">
              <w:rPr>
                <w:rFonts w:eastAsia="Times New Roman"/>
                <w:color w:val="18181B"/>
                <w:sz w:val="20"/>
                <w:szCs w:val="20"/>
                <w:highlight w:val="white"/>
              </w:rPr>
              <w:t>:</w:t>
            </w:r>
            <w:r w:rsidRPr="008B6B33">
              <w:rPr>
                <w:rFonts w:eastAsia="Times New Roman"/>
                <w:color w:val="18181B"/>
                <w:sz w:val="20"/>
                <w:szCs w:val="20"/>
                <w:highlight w:val="white"/>
              </w:rPr>
              <w:t xml:space="preserve"> 480 K</w:t>
            </w:r>
            <w:r w:rsidRPr="008B6B33">
              <w:rPr>
                <w:rFonts w:ascii="Cambria Math" w:eastAsia="Times New Roman" w:hAnsi="Cambria Math" w:cs="Cambria Math"/>
                <w:color w:val="18181B"/>
                <w:sz w:val="20"/>
                <w:szCs w:val="20"/>
                <w:highlight w:val="white"/>
              </w:rPr>
              <w:t>₂</w:t>
            </w:r>
            <w:r w:rsidRPr="008B6B33">
              <w:rPr>
                <w:rFonts w:eastAsia="Times New Roman"/>
                <w:color w:val="18181B"/>
                <w:sz w:val="20"/>
                <w:szCs w:val="20"/>
                <w:highlight w:val="white"/>
              </w:rPr>
              <w:t>O g plant</w:t>
            </w:r>
            <w:r w:rsidRPr="008B6B33">
              <w:rPr>
                <w:rFonts w:ascii="Cambria Math" w:eastAsia="Times New Roman" w:hAnsi="Cambria Math" w:cs="Cambria Math"/>
                <w:color w:val="18181B"/>
                <w:sz w:val="20"/>
                <w:szCs w:val="20"/>
                <w:highlight w:val="white"/>
              </w:rPr>
              <w:t>⁻</w:t>
            </w:r>
            <w:r w:rsidRPr="008B6B33">
              <w:rPr>
                <w:rFonts w:eastAsia="Times New Roman"/>
                <w:color w:val="18181B"/>
                <w:sz w:val="20"/>
                <w:szCs w:val="20"/>
                <w:highlight w:val="white"/>
              </w:rPr>
              <w:t>¹ + 10 kg FYM</w:t>
            </w:r>
          </w:p>
        </w:tc>
      </w:tr>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₂</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 (25%) as </w:t>
            </w:r>
            <w:r w:rsidRPr="008B6B33">
              <w:rPr>
                <w:rFonts w:eastAsia="Times New Roman"/>
                <w:i/>
                <w:iCs/>
                <w:color w:val="18181B"/>
                <w:sz w:val="20"/>
                <w:szCs w:val="20"/>
                <w:highlight w:val="white"/>
              </w:rPr>
              <w:t>Poultry Manure-enriched Vermicompost</w:t>
            </w:r>
            <w:r w:rsidRPr="008B6B33">
              <w:rPr>
                <w:rFonts w:eastAsia="Times New Roman"/>
                <w:color w:val="18181B"/>
                <w:sz w:val="20"/>
                <w:szCs w:val="20"/>
                <w:highlight w:val="white"/>
              </w:rPr>
              <w:t xml:space="preserve"> + N (75%), P, and K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86"/>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₃</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 (25%) as </w:t>
            </w:r>
            <w:r w:rsidRPr="008B6B33">
              <w:rPr>
                <w:rFonts w:eastAsia="Times New Roman"/>
                <w:i/>
                <w:iCs/>
                <w:color w:val="18181B"/>
                <w:sz w:val="20"/>
                <w:szCs w:val="20"/>
                <w:highlight w:val="white"/>
              </w:rPr>
              <w:t>Neem Cake-enriched Vermicompost</w:t>
            </w:r>
            <w:r w:rsidRPr="008B6B33">
              <w:rPr>
                <w:rFonts w:eastAsia="Times New Roman"/>
                <w:color w:val="18181B"/>
                <w:sz w:val="20"/>
                <w:szCs w:val="20"/>
                <w:highlight w:val="white"/>
              </w:rPr>
              <w:t xml:space="preserve"> + N (75%), P, and K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₄</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NPK (25%) as </w:t>
            </w:r>
            <w:r w:rsidRPr="008B6B33">
              <w:rPr>
                <w:rFonts w:eastAsia="Times New Roman"/>
                <w:i/>
                <w:iCs/>
                <w:color w:val="18181B"/>
                <w:sz w:val="20"/>
                <w:szCs w:val="20"/>
                <w:highlight w:val="white"/>
              </w:rPr>
              <w:t>PGPR Mix-1-enriched Vermicompost</w:t>
            </w:r>
            <w:r w:rsidRPr="008B6B33">
              <w:rPr>
                <w:rFonts w:eastAsia="Times New Roman"/>
                <w:color w:val="18181B"/>
                <w:sz w:val="20"/>
                <w:szCs w:val="20"/>
                <w:highlight w:val="white"/>
              </w:rPr>
              <w:t xml:space="preserve"> + N, P, and K (75%)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₅</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 (25%) as </w:t>
            </w:r>
            <w:proofErr w:type="spellStart"/>
            <w:r w:rsidRPr="008B6B33">
              <w:rPr>
                <w:rFonts w:eastAsia="Times New Roman"/>
                <w:i/>
                <w:iCs/>
                <w:color w:val="18181B"/>
                <w:sz w:val="20"/>
                <w:szCs w:val="20"/>
                <w:highlight w:val="white"/>
              </w:rPr>
              <w:t>Azospirillum</w:t>
            </w:r>
            <w:proofErr w:type="spellEnd"/>
            <w:r w:rsidRPr="008B6B33">
              <w:rPr>
                <w:rFonts w:eastAsia="Times New Roman"/>
                <w:i/>
                <w:iCs/>
                <w:color w:val="18181B"/>
                <w:sz w:val="20"/>
                <w:szCs w:val="20"/>
                <w:highlight w:val="white"/>
              </w:rPr>
              <w:t>-enriched Vermicompost</w:t>
            </w:r>
            <w:r w:rsidRPr="008B6B33">
              <w:rPr>
                <w:rFonts w:eastAsia="Times New Roman"/>
                <w:color w:val="18181B"/>
                <w:sz w:val="20"/>
                <w:szCs w:val="20"/>
                <w:highlight w:val="white"/>
              </w:rPr>
              <w:t xml:space="preserve"> + N (75%), P, and K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₆</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 (50%) as </w:t>
            </w:r>
            <w:r w:rsidRPr="008B6B33">
              <w:rPr>
                <w:rFonts w:eastAsia="Times New Roman"/>
                <w:i/>
                <w:iCs/>
                <w:color w:val="18181B"/>
                <w:sz w:val="20"/>
                <w:szCs w:val="20"/>
                <w:highlight w:val="white"/>
              </w:rPr>
              <w:t>Poultry Manure-enriched Vermicompost</w:t>
            </w:r>
            <w:r w:rsidRPr="008B6B33">
              <w:rPr>
                <w:rFonts w:eastAsia="Times New Roman"/>
                <w:color w:val="18181B"/>
                <w:sz w:val="20"/>
                <w:szCs w:val="20"/>
                <w:highlight w:val="white"/>
              </w:rPr>
              <w:t xml:space="preserve"> + N (50%), P, and K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86"/>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₇</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 (50%) as </w:t>
            </w:r>
            <w:r w:rsidRPr="008B6B33">
              <w:rPr>
                <w:rFonts w:eastAsia="Times New Roman"/>
                <w:i/>
                <w:iCs/>
                <w:color w:val="18181B"/>
                <w:sz w:val="20"/>
                <w:szCs w:val="20"/>
                <w:highlight w:val="white"/>
              </w:rPr>
              <w:t>Neem Cake-enriched Vermicompost</w:t>
            </w:r>
            <w:r w:rsidRPr="008B6B33">
              <w:rPr>
                <w:rFonts w:eastAsia="Times New Roman"/>
                <w:color w:val="18181B"/>
                <w:sz w:val="20"/>
                <w:szCs w:val="20"/>
                <w:highlight w:val="white"/>
              </w:rPr>
              <w:t xml:space="preserve"> + N (50%), P, and K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₈</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NPK (50%) as </w:t>
            </w:r>
            <w:r w:rsidRPr="008B6B33">
              <w:rPr>
                <w:rFonts w:eastAsia="Times New Roman"/>
                <w:i/>
                <w:iCs/>
                <w:color w:val="18181B"/>
                <w:sz w:val="20"/>
                <w:szCs w:val="20"/>
                <w:highlight w:val="white"/>
              </w:rPr>
              <w:t>PGPR Mix-1-enriched Vermicompost</w:t>
            </w:r>
            <w:r w:rsidRPr="008B6B33">
              <w:rPr>
                <w:rFonts w:eastAsia="Times New Roman"/>
                <w:color w:val="18181B"/>
                <w:sz w:val="20"/>
                <w:szCs w:val="20"/>
                <w:highlight w:val="white"/>
              </w:rPr>
              <w:t xml:space="preserve"> + N, P, and K (50%)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132"/>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₉</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 xml:space="preserve">N (50%) as </w:t>
            </w:r>
            <w:proofErr w:type="spellStart"/>
            <w:r w:rsidRPr="008B6B33">
              <w:rPr>
                <w:rFonts w:eastAsia="Times New Roman"/>
                <w:i/>
                <w:iCs/>
                <w:color w:val="18181B"/>
                <w:sz w:val="20"/>
                <w:szCs w:val="20"/>
                <w:highlight w:val="white"/>
              </w:rPr>
              <w:t>Azospirillum</w:t>
            </w:r>
            <w:proofErr w:type="spellEnd"/>
            <w:r w:rsidRPr="008B6B33">
              <w:rPr>
                <w:rFonts w:eastAsia="Times New Roman"/>
                <w:i/>
                <w:iCs/>
                <w:color w:val="18181B"/>
                <w:sz w:val="20"/>
                <w:szCs w:val="20"/>
                <w:highlight w:val="white"/>
              </w:rPr>
              <w:t>-enriched Vermicompost</w:t>
            </w:r>
            <w:r w:rsidRPr="008B6B33">
              <w:rPr>
                <w:rFonts w:eastAsia="Times New Roman"/>
                <w:color w:val="18181B"/>
                <w:sz w:val="20"/>
                <w:szCs w:val="20"/>
                <w:highlight w:val="white"/>
              </w:rPr>
              <w:t xml:space="preserve"> + N (50%), P, and K of T</w:t>
            </w:r>
            <w:r w:rsidRPr="008B6B33">
              <w:rPr>
                <w:rFonts w:ascii="Cambria Math" w:eastAsia="Times New Roman" w:hAnsi="Cambria Math" w:cs="Cambria Math"/>
                <w:color w:val="18181B"/>
                <w:sz w:val="20"/>
                <w:szCs w:val="20"/>
                <w:highlight w:val="white"/>
              </w:rPr>
              <w:t>₁</w:t>
            </w:r>
          </w:p>
        </w:tc>
      </w:tr>
      <w:tr w:rsidR="00067649" w:rsidRPr="008B6B33" w:rsidTr="002316B2">
        <w:trPr>
          <w:trHeight w:val="86"/>
          <w:jc w:val="center"/>
        </w:trPr>
        <w:tc>
          <w:tcPr>
            <w:tcW w:w="2037" w:type="dxa"/>
            <w:tcMar>
              <w:top w:w="100" w:type="dxa"/>
              <w:left w:w="100" w:type="dxa"/>
              <w:bottom w:w="100" w:type="dxa"/>
              <w:right w:w="100" w:type="dxa"/>
            </w:tcMar>
            <w:vAlign w:val="center"/>
          </w:tcPr>
          <w:p w:rsidR="00067649" w:rsidRPr="00D5611B" w:rsidRDefault="00F72453" w:rsidP="002316B2">
            <w:pPr>
              <w:spacing w:line="240" w:lineRule="auto"/>
              <w:jc w:val="center"/>
              <w:rPr>
                <w:rFonts w:eastAsia="Times New Roman"/>
                <w:b/>
                <w:color w:val="18181B"/>
                <w:sz w:val="20"/>
                <w:szCs w:val="20"/>
                <w:highlight w:val="white"/>
              </w:rPr>
            </w:pPr>
            <w:r w:rsidRPr="00D5611B">
              <w:rPr>
                <w:rFonts w:eastAsia="Times New Roman"/>
                <w:b/>
                <w:color w:val="18181B"/>
                <w:sz w:val="20"/>
                <w:szCs w:val="20"/>
                <w:highlight w:val="white"/>
              </w:rPr>
              <w:t>T</w:t>
            </w:r>
            <w:r w:rsidRPr="00D5611B">
              <w:rPr>
                <w:rFonts w:ascii="Cambria Math" w:eastAsia="Times New Roman" w:hAnsi="Cambria Math" w:cs="Cambria Math"/>
                <w:b/>
                <w:color w:val="18181B"/>
                <w:sz w:val="20"/>
                <w:szCs w:val="20"/>
                <w:highlight w:val="white"/>
              </w:rPr>
              <w:t>₁₀</w:t>
            </w:r>
          </w:p>
        </w:tc>
        <w:tc>
          <w:tcPr>
            <w:tcW w:w="7462" w:type="dxa"/>
            <w:tcMar>
              <w:top w:w="100" w:type="dxa"/>
              <w:left w:w="100" w:type="dxa"/>
              <w:bottom w:w="100" w:type="dxa"/>
              <w:right w:w="100" w:type="dxa"/>
            </w:tcMar>
            <w:vAlign w:val="center"/>
          </w:tcPr>
          <w:p w:rsidR="00067649" w:rsidRPr="008B6B33" w:rsidRDefault="00F72453" w:rsidP="002316B2">
            <w:pPr>
              <w:spacing w:line="240" w:lineRule="auto"/>
              <w:jc w:val="center"/>
              <w:rPr>
                <w:rFonts w:eastAsia="Times New Roman"/>
                <w:color w:val="18181B"/>
                <w:sz w:val="20"/>
                <w:szCs w:val="20"/>
                <w:highlight w:val="white"/>
              </w:rPr>
            </w:pPr>
            <w:r w:rsidRPr="008B6B33">
              <w:rPr>
                <w:rFonts w:eastAsia="Times New Roman"/>
                <w:color w:val="18181B"/>
                <w:sz w:val="20"/>
                <w:szCs w:val="20"/>
                <w:highlight w:val="white"/>
              </w:rPr>
              <w:t>Absolute Control (no fertilizers or manures applied)</w:t>
            </w:r>
          </w:p>
        </w:tc>
      </w:tr>
    </w:tbl>
    <w:p w:rsidR="002316B2" w:rsidRDefault="002316B2" w:rsidP="00127D32">
      <w:pPr>
        <w:pStyle w:val="NoSpacing"/>
        <w:jc w:val="both"/>
        <w:rPr>
          <w:sz w:val="20"/>
          <w:szCs w:val="20"/>
          <w:highlight w:val="white"/>
        </w:rPr>
      </w:pPr>
      <w:bookmarkStart w:id="8" w:name="_88b5j9pdizfk" w:colFirst="0" w:colLast="0"/>
      <w:bookmarkEnd w:id="8"/>
    </w:p>
    <w:p w:rsidR="00067649" w:rsidRPr="002316B2" w:rsidRDefault="00F72453" w:rsidP="00127D32">
      <w:pPr>
        <w:pStyle w:val="NoSpacing"/>
        <w:jc w:val="both"/>
        <w:rPr>
          <w:b/>
          <w:sz w:val="20"/>
          <w:szCs w:val="20"/>
          <w:highlight w:val="white"/>
        </w:rPr>
      </w:pPr>
      <w:r w:rsidRPr="002316B2">
        <w:rPr>
          <w:b/>
          <w:sz w:val="20"/>
          <w:szCs w:val="20"/>
          <w:highlight w:val="white"/>
        </w:rPr>
        <w:t>2.3 Nutrient Sources and Application</w:t>
      </w:r>
    </w:p>
    <w:p w:rsidR="00067649" w:rsidRPr="008B6B33" w:rsidRDefault="00F72453" w:rsidP="00127D32">
      <w:pPr>
        <w:pStyle w:val="NoSpacing"/>
        <w:jc w:val="both"/>
        <w:rPr>
          <w:sz w:val="20"/>
          <w:szCs w:val="20"/>
          <w:highlight w:val="white"/>
        </w:rPr>
      </w:pPr>
      <w:r w:rsidRPr="008B6B33">
        <w:rPr>
          <w:sz w:val="20"/>
          <w:szCs w:val="20"/>
          <w:highlight w:val="white"/>
        </w:rPr>
        <w:t>The Recommended Dose of Fertilizers (RDF) applied was 240 g N, 240 g P</w:t>
      </w:r>
      <w:r w:rsidRPr="008B6B33">
        <w:rPr>
          <w:rFonts w:ascii="Cambria Math" w:hAnsi="Cambria Math" w:cs="Cambria Math"/>
          <w:sz w:val="20"/>
          <w:szCs w:val="20"/>
          <w:highlight w:val="white"/>
        </w:rPr>
        <w:t>₂</w:t>
      </w:r>
      <w:r w:rsidRPr="008B6B33">
        <w:rPr>
          <w:sz w:val="20"/>
          <w:szCs w:val="20"/>
          <w:highlight w:val="white"/>
        </w:rPr>
        <w:t>O</w:t>
      </w:r>
      <w:r w:rsidRPr="008B6B33">
        <w:rPr>
          <w:rFonts w:ascii="Cambria Math" w:hAnsi="Cambria Math" w:cs="Cambria Math"/>
          <w:sz w:val="20"/>
          <w:szCs w:val="20"/>
          <w:highlight w:val="white"/>
        </w:rPr>
        <w:t>₅</w:t>
      </w:r>
      <w:r w:rsidRPr="008B6B33">
        <w:rPr>
          <w:sz w:val="20"/>
          <w:szCs w:val="20"/>
          <w:highlight w:val="white"/>
        </w:rPr>
        <w:t>, and 480 g K</w:t>
      </w:r>
      <w:r w:rsidRPr="008B6B33">
        <w:rPr>
          <w:rFonts w:ascii="Cambria Math" w:hAnsi="Cambria Math" w:cs="Cambria Math"/>
          <w:sz w:val="20"/>
          <w:szCs w:val="20"/>
          <w:highlight w:val="white"/>
        </w:rPr>
        <w:t>₂</w:t>
      </w:r>
      <w:r w:rsidRPr="008B6B33">
        <w:rPr>
          <w:sz w:val="20"/>
          <w:szCs w:val="20"/>
          <w:highlight w:val="white"/>
        </w:rPr>
        <w:t xml:space="preserve">O per plant per year, split into four equal applications at 60-day intervals starting from 30 days after planting (DAP). </w:t>
      </w:r>
      <w:r w:rsidR="00D5611B">
        <w:rPr>
          <w:sz w:val="20"/>
          <w:szCs w:val="20"/>
          <w:highlight w:val="white"/>
        </w:rPr>
        <w:t>NPK</w:t>
      </w:r>
      <w:r w:rsidRPr="008B6B33">
        <w:rPr>
          <w:sz w:val="20"/>
          <w:szCs w:val="20"/>
          <w:highlight w:val="white"/>
        </w:rPr>
        <w:t xml:space="preserve"> were supplied through urea, single superphosphate, and </w:t>
      </w:r>
      <w:proofErr w:type="spellStart"/>
      <w:r w:rsidRPr="008B6B33">
        <w:rPr>
          <w:sz w:val="20"/>
          <w:szCs w:val="20"/>
          <w:highlight w:val="white"/>
        </w:rPr>
        <w:t>muriate</w:t>
      </w:r>
      <w:proofErr w:type="spellEnd"/>
      <w:r w:rsidRPr="008B6B33">
        <w:rPr>
          <w:sz w:val="20"/>
          <w:szCs w:val="20"/>
          <w:highlight w:val="white"/>
        </w:rPr>
        <w:t xml:space="preserve"> of potash, respectively. Organic inputs FYM, poultry manure, neem cake, and vermicompost were </w:t>
      </w:r>
      <w:proofErr w:type="spellStart"/>
      <w:r w:rsidRPr="008B6B33">
        <w:rPr>
          <w:sz w:val="20"/>
          <w:szCs w:val="20"/>
          <w:highlight w:val="white"/>
        </w:rPr>
        <w:t>analyzed</w:t>
      </w:r>
      <w:proofErr w:type="spellEnd"/>
      <w:r w:rsidRPr="008B6B33">
        <w:rPr>
          <w:sz w:val="20"/>
          <w:szCs w:val="20"/>
          <w:highlight w:val="white"/>
        </w:rPr>
        <w:t xml:space="preserve"> for NPK content prior to application. The bio-enriched </w:t>
      </w:r>
      <w:proofErr w:type="spellStart"/>
      <w:r w:rsidRPr="008B6B33">
        <w:rPr>
          <w:sz w:val="20"/>
          <w:szCs w:val="20"/>
          <w:highlight w:val="white"/>
        </w:rPr>
        <w:t>vermicomposts</w:t>
      </w:r>
      <w:proofErr w:type="spellEnd"/>
      <w:r w:rsidRPr="008B6B33">
        <w:rPr>
          <w:sz w:val="20"/>
          <w:szCs w:val="20"/>
          <w:highlight w:val="white"/>
        </w:rPr>
        <w:t xml:space="preserve"> were prepared by inoculating vermicompost with </w:t>
      </w:r>
      <w:proofErr w:type="spellStart"/>
      <w:r w:rsidRPr="008B6B33">
        <w:rPr>
          <w:i/>
          <w:iCs/>
          <w:sz w:val="20"/>
          <w:szCs w:val="20"/>
          <w:highlight w:val="white"/>
        </w:rPr>
        <w:t>Azospirillum</w:t>
      </w:r>
      <w:proofErr w:type="spellEnd"/>
      <w:r w:rsidRPr="008B6B33">
        <w:rPr>
          <w:i/>
          <w:iCs/>
          <w:sz w:val="20"/>
          <w:szCs w:val="20"/>
          <w:highlight w:val="white"/>
        </w:rPr>
        <w:t xml:space="preserve"> </w:t>
      </w:r>
      <w:proofErr w:type="spellStart"/>
      <w:r w:rsidRPr="008B6B33">
        <w:rPr>
          <w:i/>
          <w:iCs/>
          <w:sz w:val="20"/>
          <w:szCs w:val="20"/>
          <w:highlight w:val="white"/>
        </w:rPr>
        <w:t>lipoferum</w:t>
      </w:r>
      <w:proofErr w:type="spellEnd"/>
      <w:r w:rsidRPr="008B6B33">
        <w:rPr>
          <w:sz w:val="20"/>
          <w:szCs w:val="20"/>
          <w:highlight w:val="white"/>
        </w:rPr>
        <w:t xml:space="preserve">, </w:t>
      </w:r>
      <w:r w:rsidRPr="008B6B33">
        <w:rPr>
          <w:i/>
          <w:iCs/>
          <w:sz w:val="20"/>
          <w:szCs w:val="20"/>
          <w:highlight w:val="white"/>
        </w:rPr>
        <w:t>Phosphate Solubilizing Bacteria (Bacillus megaterium)</w:t>
      </w:r>
      <w:r w:rsidRPr="008B6B33">
        <w:rPr>
          <w:sz w:val="20"/>
          <w:szCs w:val="20"/>
          <w:highlight w:val="white"/>
        </w:rPr>
        <w:t xml:space="preserve">, </w:t>
      </w:r>
      <w:r w:rsidRPr="008B6B33">
        <w:rPr>
          <w:i/>
          <w:iCs/>
          <w:sz w:val="20"/>
          <w:szCs w:val="20"/>
          <w:highlight w:val="white"/>
        </w:rPr>
        <w:t>Pseudomonas fluorescens</w:t>
      </w:r>
      <w:r w:rsidRPr="008B6B33">
        <w:rPr>
          <w:sz w:val="20"/>
          <w:szCs w:val="20"/>
          <w:highlight w:val="white"/>
        </w:rPr>
        <w:t xml:space="preserve">, and </w:t>
      </w:r>
      <w:r w:rsidRPr="008B6B33">
        <w:rPr>
          <w:i/>
          <w:iCs/>
          <w:sz w:val="20"/>
          <w:szCs w:val="20"/>
          <w:highlight w:val="white"/>
        </w:rPr>
        <w:t>Bacillus subtilis</w:t>
      </w:r>
      <w:r w:rsidRPr="008B6B33">
        <w:rPr>
          <w:sz w:val="20"/>
          <w:szCs w:val="20"/>
          <w:highlight w:val="white"/>
        </w:rPr>
        <w:t xml:space="preserve"> (PGPR mix). Each microbial inoculant was applied at the rate of 1 kg culture per 100 kg compost and incubated for 15 days before use. Manures were incorporated into the top 15 cm of soil during pit preparation, while chemical fertilizers were applied as per treatment schedule. Drip irrigation was employed for efficient water and nutrient delivery.</w:t>
      </w:r>
    </w:p>
    <w:p w:rsidR="002316B2" w:rsidRDefault="002316B2" w:rsidP="00127D32">
      <w:pPr>
        <w:pStyle w:val="NoSpacing"/>
        <w:jc w:val="both"/>
        <w:rPr>
          <w:sz w:val="20"/>
          <w:szCs w:val="20"/>
          <w:highlight w:val="white"/>
        </w:rPr>
      </w:pPr>
      <w:bookmarkStart w:id="9" w:name="_ap801lw4c0nd" w:colFirst="0" w:colLast="0"/>
      <w:bookmarkStart w:id="10" w:name="_7rah5wrvmtl9" w:colFirst="0" w:colLast="0"/>
      <w:bookmarkEnd w:id="9"/>
      <w:bookmarkEnd w:id="10"/>
    </w:p>
    <w:p w:rsidR="00067649" w:rsidRPr="00680417" w:rsidRDefault="00680417" w:rsidP="00127D32">
      <w:pPr>
        <w:pStyle w:val="NoSpacing"/>
        <w:jc w:val="both"/>
        <w:rPr>
          <w:b/>
          <w:sz w:val="20"/>
          <w:szCs w:val="20"/>
          <w:highlight w:val="yellow"/>
        </w:rPr>
      </w:pPr>
      <w:r w:rsidRPr="00680417">
        <w:rPr>
          <w:b/>
          <w:sz w:val="20"/>
          <w:szCs w:val="20"/>
          <w:highlight w:val="yellow"/>
        </w:rPr>
        <w:t>2.4</w:t>
      </w:r>
      <w:r w:rsidR="00F72453" w:rsidRPr="00680417">
        <w:rPr>
          <w:b/>
          <w:sz w:val="20"/>
          <w:szCs w:val="20"/>
          <w:highlight w:val="yellow"/>
        </w:rPr>
        <w:t xml:space="preserve"> Observations and Characters Studied</w:t>
      </w:r>
    </w:p>
    <w:p w:rsidR="00680417" w:rsidRPr="00680417" w:rsidRDefault="00680417" w:rsidP="00680417">
      <w:pPr>
        <w:pStyle w:val="NoSpacing"/>
        <w:jc w:val="both"/>
        <w:rPr>
          <w:sz w:val="20"/>
          <w:highlight w:val="yellow"/>
          <w:lang w:val="en-IN"/>
        </w:rPr>
      </w:pPr>
      <w:bookmarkStart w:id="11" w:name="_6fcch4kbnrq9" w:colFirst="0" w:colLast="0"/>
      <w:bookmarkStart w:id="12" w:name="_h58pua1d1656" w:colFirst="0" w:colLast="0"/>
      <w:bookmarkEnd w:id="11"/>
      <w:bookmarkEnd w:id="12"/>
      <w:r w:rsidRPr="00680417">
        <w:rPr>
          <w:b/>
          <w:bCs/>
          <w:sz w:val="20"/>
          <w:highlight w:val="yellow"/>
          <w:lang w:val="en-IN"/>
        </w:rPr>
        <w:t>Growth attributes:</w:t>
      </w:r>
      <w:r w:rsidRPr="00680417">
        <w:rPr>
          <w:sz w:val="20"/>
          <w:highlight w:val="yellow"/>
          <w:lang w:val="en-IN"/>
        </w:rPr>
        <w:t xml:space="preserve"> Plant height, stem girth, number of functional leaves, and leaf area.</w:t>
      </w:r>
    </w:p>
    <w:p w:rsidR="00680417" w:rsidRPr="00680417" w:rsidRDefault="00680417" w:rsidP="00680417">
      <w:pPr>
        <w:pStyle w:val="NoSpacing"/>
        <w:jc w:val="both"/>
        <w:rPr>
          <w:sz w:val="20"/>
          <w:highlight w:val="yellow"/>
          <w:lang w:val="en-IN"/>
        </w:rPr>
      </w:pPr>
      <w:bookmarkStart w:id="13" w:name="_c2u8qcub1uh1" w:colFirst="0" w:colLast="0"/>
      <w:bookmarkEnd w:id="13"/>
      <w:r w:rsidRPr="00680417">
        <w:rPr>
          <w:b/>
          <w:bCs/>
          <w:sz w:val="20"/>
          <w:highlight w:val="yellow"/>
          <w:lang w:val="en-IN"/>
        </w:rPr>
        <w:t>Yield and fruit attributes:</w:t>
      </w:r>
      <w:r w:rsidRPr="00680417">
        <w:rPr>
          <w:sz w:val="20"/>
          <w:highlight w:val="yellow"/>
          <w:lang w:val="en-IN"/>
        </w:rPr>
        <w:t xml:space="preserve"> Number of fruits per plant, average fruit weight, fruit length, fruit girth, fruit volume and total yield per plant.</w:t>
      </w:r>
    </w:p>
    <w:p w:rsidR="00680417" w:rsidRPr="00680417" w:rsidRDefault="00680417" w:rsidP="00680417">
      <w:pPr>
        <w:pStyle w:val="NoSpacing"/>
        <w:jc w:val="both"/>
        <w:rPr>
          <w:sz w:val="20"/>
          <w:highlight w:val="yellow"/>
          <w:lang w:val="en-IN"/>
        </w:rPr>
      </w:pPr>
      <w:bookmarkStart w:id="14" w:name="_4hca9cysm09i" w:colFirst="0" w:colLast="0"/>
      <w:bookmarkEnd w:id="14"/>
      <w:r w:rsidRPr="00680417">
        <w:rPr>
          <w:b/>
          <w:bCs/>
          <w:sz w:val="20"/>
          <w:highlight w:val="yellow"/>
          <w:lang w:val="en-IN"/>
        </w:rPr>
        <w:t>Fruit quality parameters:</w:t>
      </w:r>
      <w:r w:rsidRPr="00680417">
        <w:rPr>
          <w:sz w:val="20"/>
          <w:highlight w:val="yellow"/>
          <w:lang w:val="en-IN"/>
        </w:rPr>
        <w:t xml:space="preserve"> Total soluble solids, titratable acidity, ascorbic acid, pulp percentage, flesh thickness, reducing sugars, and total sugars.</w:t>
      </w:r>
    </w:p>
    <w:p w:rsidR="00680417" w:rsidRPr="00680417" w:rsidRDefault="00680417" w:rsidP="00680417">
      <w:pPr>
        <w:pStyle w:val="NoSpacing"/>
        <w:jc w:val="both"/>
        <w:rPr>
          <w:sz w:val="20"/>
          <w:highlight w:val="yellow"/>
          <w:lang w:val="en-IN"/>
        </w:rPr>
      </w:pPr>
      <w:r w:rsidRPr="00680417">
        <w:rPr>
          <w:b/>
          <w:bCs/>
          <w:sz w:val="20"/>
          <w:highlight w:val="yellow"/>
          <w:lang w:val="en-IN"/>
        </w:rPr>
        <w:lastRenderedPageBreak/>
        <w:t>Soil and microbial parameters:</w:t>
      </w:r>
      <w:r w:rsidRPr="00680417">
        <w:rPr>
          <w:sz w:val="20"/>
          <w:highlight w:val="yellow"/>
          <w:lang w:val="en-IN"/>
        </w:rPr>
        <w:t xml:space="preserve"> Available nitrogen, available phosphorus, available potassium, organic carbon, soil pH, electrical conductivity, and microbial population.</w:t>
      </w:r>
    </w:p>
    <w:p w:rsidR="00680417" w:rsidRPr="00680417" w:rsidRDefault="00680417" w:rsidP="00127D32">
      <w:pPr>
        <w:pStyle w:val="NoSpacing"/>
        <w:jc w:val="both"/>
        <w:rPr>
          <w:b/>
          <w:sz w:val="20"/>
          <w:szCs w:val="20"/>
          <w:highlight w:val="yellow"/>
        </w:rPr>
      </w:pPr>
      <w:bookmarkStart w:id="15" w:name="_27c5206vn050" w:colFirst="0" w:colLast="0"/>
      <w:bookmarkEnd w:id="15"/>
    </w:p>
    <w:p w:rsidR="00067649" w:rsidRPr="00680417" w:rsidRDefault="00680417" w:rsidP="00127D32">
      <w:pPr>
        <w:pStyle w:val="NoSpacing"/>
        <w:jc w:val="both"/>
        <w:rPr>
          <w:b/>
          <w:sz w:val="20"/>
          <w:szCs w:val="20"/>
          <w:highlight w:val="yellow"/>
        </w:rPr>
      </w:pPr>
      <w:r w:rsidRPr="00680417">
        <w:rPr>
          <w:b/>
          <w:sz w:val="20"/>
          <w:szCs w:val="20"/>
          <w:highlight w:val="yellow"/>
        </w:rPr>
        <w:t xml:space="preserve">2.5 </w:t>
      </w:r>
      <w:r w:rsidR="00F72453" w:rsidRPr="00680417">
        <w:rPr>
          <w:b/>
          <w:sz w:val="20"/>
          <w:szCs w:val="20"/>
          <w:highlight w:val="yellow"/>
        </w:rPr>
        <w:t>Statistical Analysis</w:t>
      </w:r>
    </w:p>
    <w:p w:rsidR="00BF7AC5" w:rsidRPr="00680417" w:rsidRDefault="00F72453" w:rsidP="00127D32">
      <w:pPr>
        <w:pStyle w:val="NoSpacing"/>
        <w:jc w:val="both"/>
        <w:rPr>
          <w:rFonts w:eastAsia="Gungsuh"/>
          <w:sz w:val="20"/>
          <w:szCs w:val="20"/>
          <w:highlight w:val="yellow"/>
        </w:rPr>
      </w:pPr>
      <w:r w:rsidRPr="00680417">
        <w:rPr>
          <w:rFonts w:eastAsia="Gungsuh"/>
          <w:sz w:val="20"/>
          <w:szCs w:val="20"/>
          <w:highlight w:val="yellow"/>
        </w:rPr>
        <w:t xml:space="preserve">Data were </w:t>
      </w:r>
      <w:proofErr w:type="spellStart"/>
      <w:r w:rsidRPr="00680417">
        <w:rPr>
          <w:rFonts w:eastAsia="Gungsuh"/>
          <w:sz w:val="20"/>
          <w:szCs w:val="20"/>
          <w:highlight w:val="yellow"/>
        </w:rPr>
        <w:t>analyzed</w:t>
      </w:r>
      <w:proofErr w:type="spellEnd"/>
      <w:r w:rsidRPr="00680417">
        <w:rPr>
          <w:rFonts w:eastAsia="Gungsuh"/>
          <w:sz w:val="20"/>
          <w:szCs w:val="20"/>
          <w:highlight w:val="yellow"/>
        </w:rPr>
        <w:t xml:space="preserve"> using </w:t>
      </w:r>
      <w:proofErr w:type="spellStart"/>
      <w:r w:rsidR="00BF7AC5" w:rsidRPr="00680417">
        <w:rPr>
          <w:rFonts w:eastAsia="Gungsuh"/>
          <w:sz w:val="20"/>
          <w:szCs w:val="20"/>
          <w:highlight w:val="yellow"/>
        </w:rPr>
        <w:t>using</w:t>
      </w:r>
      <w:proofErr w:type="spellEnd"/>
      <w:r w:rsidR="00BF7AC5" w:rsidRPr="00680417">
        <w:rPr>
          <w:rFonts w:eastAsia="Gungsuh"/>
          <w:sz w:val="20"/>
          <w:szCs w:val="20"/>
          <w:highlight w:val="yellow"/>
        </w:rPr>
        <w:t xml:space="preserve"> OPSTAT and SPSS (Version 26). </w:t>
      </w:r>
      <w:r w:rsidRPr="00680417">
        <w:rPr>
          <w:rFonts w:eastAsia="Gungsuh"/>
          <w:sz w:val="20"/>
          <w:szCs w:val="20"/>
          <w:highlight w:val="yellow"/>
        </w:rPr>
        <w:t xml:space="preserve">Treatment means were compared using the Critical Difference (CD) at the 5% significance level (p ≤ 0.05). </w:t>
      </w:r>
      <w:bookmarkStart w:id="16" w:name="_ljxkykydu3gh" w:colFirst="0" w:colLast="0"/>
      <w:bookmarkStart w:id="17" w:name="_30tt1xvnbcaz" w:colFirst="0" w:colLast="0"/>
      <w:bookmarkEnd w:id="16"/>
      <w:bookmarkEnd w:id="17"/>
    </w:p>
    <w:p w:rsidR="00BF7AC5" w:rsidRDefault="00BF7AC5" w:rsidP="00127D32">
      <w:pPr>
        <w:pStyle w:val="NoSpacing"/>
        <w:jc w:val="both"/>
        <w:rPr>
          <w:sz w:val="20"/>
          <w:szCs w:val="20"/>
          <w:highlight w:val="white"/>
        </w:rPr>
      </w:pPr>
    </w:p>
    <w:p w:rsidR="00067649" w:rsidRPr="00BF7AC5" w:rsidRDefault="00BF7AC5" w:rsidP="00BF7AC5">
      <w:pPr>
        <w:pStyle w:val="NoSpacing"/>
        <w:ind w:firstLine="720"/>
        <w:jc w:val="both"/>
        <w:rPr>
          <w:b/>
          <w:sz w:val="24"/>
          <w:szCs w:val="20"/>
          <w:highlight w:val="white"/>
        </w:rPr>
      </w:pPr>
      <w:r w:rsidRPr="00BF7AC5">
        <w:rPr>
          <w:b/>
          <w:sz w:val="24"/>
          <w:szCs w:val="20"/>
          <w:highlight w:val="white"/>
        </w:rPr>
        <w:t>3. RESULTS AND DISCUSSION</w:t>
      </w:r>
    </w:p>
    <w:p w:rsidR="00067649" w:rsidRPr="00BF7AC5" w:rsidRDefault="00F72453" w:rsidP="00127D32">
      <w:pPr>
        <w:pStyle w:val="NoSpacing"/>
        <w:jc w:val="both"/>
        <w:rPr>
          <w:b/>
          <w:sz w:val="20"/>
          <w:szCs w:val="20"/>
          <w:highlight w:val="white"/>
        </w:rPr>
      </w:pPr>
      <w:bookmarkStart w:id="18" w:name="_9vfiofirnqpq" w:colFirst="0" w:colLast="0"/>
      <w:bookmarkEnd w:id="18"/>
      <w:r w:rsidRPr="00BF7AC5">
        <w:rPr>
          <w:b/>
          <w:sz w:val="20"/>
          <w:szCs w:val="20"/>
          <w:highlight w:val="white"/>
        </w:rPr>
        <w:t>3.1 Effect of Integrated Nutrient Management on Growth Parameters</w:t>
      </w:r>
    </w:p>
    <w:p w:rsidR="00067649" w:rsidRPr="008B6B33" w:rsidRDefault="00F72453" w:rsidP="00127D32">
      <w:pPr>
        <w:pStyle w:val="NoSpacing"/>
        <w:jc w:val="both"/>
        <w:rPr>
          <w:sz w:val="20"/>
          <w:szCs w:val="20"/>
          <w:highlight w:val="white"/>
        </w:rPr>
      </w:pPr>
      <w:r w:rsidRPr="008B6B33">
        <w:rPr>
          <w:sz w:val="20"/>
          <w:szCs w:val="20"/>
          <w:highlight w:val="white"/>
        </w:rPr>
        <w:t xml:space="preserve">The data revealed that the application of integrated nutrient management significantly influenced the vegetative growth of papaya plants, indicating that the balanced supply of nutrients from both organic and inorganic </w:t>
      </w:r>
      <w:r w:rsidRPr="00E171D3">
        <w:rPr>
          <w:sz w:val="20"/>
          <w:szCs w:val="20"/>
          <w:highlight w:val="white"/>
        </w:rPr>
        <w:t>sourc</w:t>
      </w:r>
      <w:r w:rsidRPr="00E171D3">
        <w:rPr>
          <w:sz w:val="20"/>
          <w:szCs w:val="20"/>
          <w:highlight w:val="yellow"/>
        </w:rPr>
        <w:t xml:space="preserve">es is critical for achieving optimal plant </w:t>
      </w:r>
      <w:proofErr w:type="spellStart"/>
      <w:r w:rsidRPr="00E171D3">
        <w:rPr>
          <w:sz w:val="20"/>
          <w:szCs w:val="20"/>
          <w:highlight w:val="yellow"/>
        </w:rPr>
        <w:t>vigor</w:t>
      </w:r>
      <w:proofErr w:type="spellEnd"/>
      <w:r w:rsidRPr="00E171D3">
        <w:rPr>
          <w:sz w:val="20"/>
          <w:szCs w:val="20"/>
          <w:highlight w:val="yellow"/>
        </w:rPr>
        <w:t xml:space="preserve"> (Table 1). Among the ten treatments, T</w:t>
      </w:r>
      <w:r w:rsidRPr="00E171D3">
        <w:rPr>
          <w:rFonts w:ascii="Cambria Math" w:hAnsi="Cambria Math" w:cs="Cambria Math"/>
          <w:sz w:val="20"/>
          <w:szCs w:val="20"/>
          <w:highlight w:val="yellow"/>
        </w:rPr>
        <w:t>₄</w:t>
      </w:r>
      <w:r w:rsidRPr="00E171D3">
        <w:rPr>
          <w:sz w:val="20"/>
          <w:szCs w:val="20"/>
          <w:highlight w:val="yellow"/>
        </w:rPr>
        <w:t xml:space="preserve"> (25% NPK as PGPR mix-1 enriched vermicompost + 75% RDF) recorded the maximum plant height (246.75 cm)</w:t>
      </w:r>
      <w:r w:rsidR="00E171D3" w:rsidRPr="00E171D3">
        <w:rPr>
          <w:sz w:val="20"/>
          <w:szCs w:val="20"/>
          <w:highlight w:val="yellow"/>
        </w:rPr>
        <w:t xml:space="preserve"> (Fig. 1)</w:t>
      </w:r>
      <w:r w:rsidRPr="00E171D3">
        <w:rPr>
          <w:sz w:val="20"/>
          <w:szCs w:val="20"/>
          <w:highlight w:val="yellow"/>
        </w:rPr>
        <w:t xml:space="preserve">, </w:t>
      </w:r>
      <w:r w:rsidRPr="008B6B33">
        <w:rPr>
          <w:sz w:val="20"/>
          <w:szCs w:val="20"/>
          <w:highlight w:val="white"/>
        </w:rPr>
        <w:t>stem girth (42.8 cm), and number of functional leaves (50.6) at 24 months after planting. Treatments T</w:t>
      </w:r>
      <w:r w:rsidRPr="008B6B33">
        <w:rPr>
          <w:rFonts w:ascii="Cambria Math" w:hAnsi="Cambria Math" w:cs="Cambria Math"/>
          <w:sz w:val="20"/>
          <w:szCs w:val="20"/>
          <w:highlight w:val="white"/>
        </w:rPr>
        <w:t>₆</w:t>
      </w:r>
      <w:r w:rsidRPr="008B6B33">
        <w:rPr>
          <w:sz w:val="20"/>
          <w:szCs w:val="20"/>
          <w:highlight w:val="white"/>
        </w:rPr>
        <w:t xml:space="preserve"> (50% poultry manure-enriched vermicompost + 50% RDF) and T</w:t>
      </w:r>
      <w:r w:rsidRPr="008B6B33">
        <w:rPr>
          <w:rFonts w:ascii="Cambria Math" w:hAnsi="Cambria Math" w:cs="Cambria Math"/>
          <w:sz w:val="20"/>
          <w:szCs w:val="20"/>
          <w:highlight w:val="white"/>
        </w:rPr>
        <w:t>₈</w:t>
      </w:r>
      <w:r w:rsidRPr="008B6B33">
        <w:rPr>
          <w:sz w:val="20"/>
          <w:szCs w:val="20"/>
          <w:highlight w:val="white"/>
        </w:rPr>
        <w:t xml:space="preserve"> (50% PGPR-enriched vermicompost + 50% RDF) were statistically at par with T</w:t>
      </w:r>
      <w:r w:rsidRPr="008B6B33">
        <w:rPr>
          <w:rFonts w:ascii="Cambria Math" w:hAnsi="Cambria Math" w:cs="Cambria Math"/>
          <w:sz w:val="20"/>
          <w:szCs w:val="20"/>
          <w:highlight w:val="white"/>
        </w:rPr>
        <w:t>₄</w:t>
      </w:r>
      <w:r w:rsidRPr="008B6B33">
        <w:rPr>
          <w:sz w:val="20"/>
          <w:szCs w:val="20"/>
          <w:highlight w:val="white"/>
        </w:rPr>
        <w:t>, whereas the absolute control (T</w:t>
      </w:r>
      <w:r w:rsidRPr="008B6B33">
        <w:rPr>
          <w:rFonts w:ascii="Cambria Math" w:hAnsi="Cambria Math" w:cs="Cambria Math"/>
          <w:sz w:val="20"/>
          <w:szCs w:val="20"/>
          <w:highlight w:val="white"/>
        </w:rPr>
        <w:t>₁₀</w:t>
      </w:r>
      <w:r w:rsidRPr="008B6B33">
        <w:rPr>
          <w:sz w:val="20"/>
          <w:szCs w:val="20"/>
          <w:highlight w:val="white"/>
        </w:rPr>
        <w:t>) recorded the minimum growth performance.</w:t>
      </w:r>
    </w:p>
    <w:p w:rsidR="00067649" w:rsidRDefault="00F72453" w:rsidP="00BF7AC5">
      <w:pPr>
        <w:pStyle w:val="NoSpacing"/>
        <w:ind w:firstLine="720"/>
        <w:jc w:val="both"/>
        <w:rPr>
          <w:sz w:val="20"/>
          <w:szCs w:val="20"/>
          <w:highlight w:val="white"/>
        </w:rPr>
      </w:pPr>
      <w:r w:rsidRPr="008B6B33">
        <w:rPr>
          <w:sz w:val="20"/>
          <w:szCs w:val="20"/>
          <w:highlight w:val="white"/>
        </w:rPr>
        <w:t>The superior vegetative growth under T</w:t>
      </w:r>
      <w:r w:rsidRPr="008B6B33">
        <w:rPr>
          <w:rFonts w:ascii="Cambria Math" w:hAnsi="Cambria Math" w:cs="Cambria Math"/>
          <w:sz w:val="20"/>
          <w:szCs w:val="20"/>
          <w:highlight w:val="white"/>
        </w:rPr>
        <w:t>₄</w:t>
      </w:r>
      <w:r w:rsidRPr="008B6B33">
        <w:rPr>
          <w:sz w:val="20"/>
          <w:szCs w:val="20"/>
          <w:highlight w:val="white"/>
        </w:rPr>
        <w:t xml:space="preserve"> may be attributed to the synergistic effects of </w:t>
      </w:r>
      <w:r w:rsidRPr="008B6B33">
        <w:rPr>
          <w:i/>
          <w:iCs/>
          <w:sz w:val="20"/>
          <w:szCs w:val="20"/>
          <w:highlight w:val="white"/>
        </w:rPr>
        <w:t>PGPR</w:t>
      </w:r>
      <w:r w:rsidRPr="008B6B33">
        <w:rPr>
          <w:sz w:val="20"/>
          <w:szCs w:val="20"/>
          <w:highlight w:val="white"/>
        </w:rPr>
        <w:t xml:space="preserve"> (Plant Growth-Promoting Rhizobacteria), which enhance root architecture, nutrient solubilization, and hormone production such as auxins and gibberellins (Bindu &amp; </w:t>
      </w:r>
      <w:proofErr w:type="spellStart"/>
      <w:r w:rsidRPr="008B6B33">
        <w:rPr>
          <w:sz w:val="20"/>
          <w:szCs w:val="20"/>
          <w:highlight w:val="white"/>
        </w:rPr>
        <w:t>Renjan</w:t>
      </w:r>
      <w:proofErr w:type="spellEnd"/>
      <w:r w:rsidRPr="008B6B33">
        <w:rPr>
          <w:sz w:val="20"/>
          <w:szCs w:val="20"/>
          <w:highlight w:val="white"/>
        </w:rPr>
        <w:t xml:space="preserve">, 2024). The microbial enrichment in vermicompost increases nitrogen mineralization and microbial biomass, contributing to higher nutrient uptake efficiency and enhanced chlorophyll </w:t>
      </w:r>
      <w:r w:rsidRPr="00A55A7F">
        <w:rPr>
          <w:sz w:val="20"/>
          <w:szCs w:val="20"/>
          <w:highlight w:val="yellow"/>
        </w:rPr>
        <w:t xml:space="preserve">content. </w:t>
      </w:r>
      <w:r w:rsidRPr="008B6B33">
        <w:rPr>
          <w:sz w:val="20"/>
          <w:szCs w:val="20"/>
          <w:highlight w:val="white"/>
        </w:rPr>
        <w:t>Furthermore, partial substitution of chemical fertilizers by organic and biofertilizer sources creates a more stable nutrient release pattern, ensuring continuous nutrient supply throughout the crop growth cycle.</w:t>
      </w:r>
      <w:r w:rsidR="00BF7AC5">
        <w:rPr>
          <w:sz w:val="20"/>
          <w:szCs w:val="20"/>
          <w:highlight w:val="white"/>
        </w:rPr>
        <w:t xml:space="preserve">  </w:t>
      </w:r>
      <w:r w:rsidRPr="008B6B33">
        <w:rPr>
          <w:sz w:val="20"/>
          <w:szCs w:val="20"/>
          <w:highlight w:val="white"/>
        </w:rPr>
        <w:t xml:space="preserve">Similar observations were reported by Singh and Tripathi (2020), who found that the combined application of 75% RDF with </w:t>
      </w:r>
      <w:proofErr w:type="spellStart"/>
      <w:r w:rsidRPr="008B6B33">
        <w:rPr>
          <w:i/>
          <w:iCs/>
          <w:sz w:val="20"/>
          <w:szCs w:val="20"/>
          <w:highlight w:val="white"/>
        </w:rPr>
        <w:t>Azotobacter</w:t>
      </w:r>
      <w:proofErr w:type="spellEnd"/>
      <w:r w:rsidRPr="008B6B33">
        <w:rPr>
          <w:sz w:val="20"/>
          <w:szCs w:val="20"/>
          <w:highlight w:val="white"/>
        </w:rPr>
        <w:t xml:space="preserve">, </w:t>
      </w:r>
      <w:r w:rsidRPr="008B6B33">
        <w:rPr>
          <w:i/>
          <w:iCs/>
          <w:sz w:val="20"/>
          <w:szCs w:val="20"/>
          <w:highlight w:val="white"/>
        </w:rPr>
        <w:t>PSB</w:t>
      </w:r>
      <w:r w:rsidRPr="008B6B33">
        <w:rPr>
          <w:sz w:val="20"/>
          <w:szCs w:val="20"/>
          <w:highlight w:val="white"/>
        </w:rPr>
        <w:t xml:space="preserve">, and vermicompost significantly improved papaya plant height, girth, and number of leaves compared to full RDF or unfertilized control. Chawla and </w:t>
      </w:r>
      <w:proofErr w:type="spellStart"/>
      <w:r w:rsidRPr="008B6B33">
        <w:rPr>
          <w:sz w:val="20"/>
          <w:szCs w:val="20"/>
          <w:highlight w:val="white"/>
        </w:rPr>
        <w:t>Sadawarti</w:t>
      </w:r>
      <w:proofErr w:type="spellEnd"/>
      <w:r w:rsidRPr="008B6B33">
        <w:rPr>
          <w:sz w:val="20"/>
          <w:szCs w:val="20"/>
          <w:highlight w:val="white"/>
        </w:rPr>
        <w:t xml:space="preserve"> (2020) also concluded that integrated nutrient management enhances microbial proliferation and improves soil structure, promoting better vegetative growth. The lowest growth under control (T</w:t>
      </w:r>
      <w:r w:rsidRPr="008B6B33">
        <w:rPr>
          <w:rFonts w:ascii="Cambria Math" w:hAnsi="Cambria Math" w:cs="Cambria Math"/>
          <w:sz w:val="20"/>
          <w:szCs w:val="20"/>
          <w:highlight w:val="white"/>
        </w:rPr>
        <w:t>₁₀</w:t>
      </w:r>
      <w:r w:rsidRPr="008B6B33">
        <w:rPr>
          <w:sz w:val="20"/>
          <w:szCs w:val="20"/>
          <w:highlight w:val="white"/>
        </w:rPr>
        <w:t>) was expected due to nutrient deficiency and reduced microbial activity, confirming the heavy nutrient requirement of papaya (</w:t>
      </w:r>
      <w:proofErr w:type="spellStart"/>
      <w:r w:rsidRPr="008B6B33">
        <w:rPr>
          <w:sz w:val="20"/>
          <w:szCs w:val="20"/>
          <w:highlight w:val="white"/>
        </w:rPr>
        <w:t>Kirad</w:t>
      </w:r>
      <w:proofErr w:type="spellEnd"/>
      <w:r w:rsidRPr="008B6B33">
        <w:rPr>
          <w:sz w:val="20"/>
          <w:szCs w:val="20"/>
          <w:highlight w:val="white"/>
        </w:rPr>
        <w:t xml:space="preserve"> &amp; </w:t>
      </w:r>
      <w:proofErr w:type="spellStart"/>
      <w:r w:rsidRPr="008B6B33">
        <w:rPr>
          <w:sz w:val="20"/>
          <w:szCs w:val="20"/>
          <w:highlight w:val="white"/>
        </w:rPr>
        <w:t>Barche</w:t>
      </w:r>
      <w:proofErr w:type="spellEnd"/>
      <w:r w:rsidRPr="008B6B33">
        <w:rPr>
          <w:sz w:val="20"/>
          <w:szCs w:val="20"/>
          <w:highlight w:val="white"/>
        </w:rPr>
        <w:t>, 2010).</w:t>
      </w:r>
    </w:p>
    <w:p w:rsidR="00BF7AC5" w:rsidRPr="008B6B33" w:rsidRDefault="00BF7AC5" w:rsidP="00127D32">
      <w:pPr>
        <w:pStyle w:val="NoSpacing"/>
        <w:jc w:val="both"/>
        <w:rPr>
          <w:sz w:val="20"/>
          <w:szCs w:val="20"/>
          <w:highlight w:val="white"/>
        </w:rPr>
      </w:pPr>
    </w:p>
    <w:p w:rsidR="00067649" w:rsidRPr="00BF7AC5" w:rsidRDefault="00F72453" w:rsidP="00BF7AC5">
      <w:pPr>
        <w:pStyle w:val="NoSpacing"/>
        <w:jc w:val="center"/>
        <w:rPr>
          <w:b/>
          <w:sz w:val="20"/>
          <w:szCs w:val="20"/>
          <w:highlight w:val="white"/>
        </w:rPr>
      </w:pPr>
      <w:bookmarkStart w:id="19" w:name="_y43lccz2poby" w:colFirst="0" w:colLast="0"/>
      <w:bookmarkEnd w:id="19"/>
      <w:r w:rsidRPr="00BF7AC5">
        <w:rPr>
          <w:b/>
          <w:sz w:val="20"/>
          <w:szCs w:val="20"/>
          <w:highlight w:val="white"/>
        </w:rPr>
        <w:t>Table 1. Effect of Integrated Nutrient Management on Growth Parameters of Papaya cv. Red Lady</w:t>
      </w:r>
    </w:p>
    <w:tbl>
      <w:tblPr>
        <w:tblStyle w:val="a0"/>
        <w:tblW w:w="863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44"/>
        <w:gridCol w:w="1765"/>
        <w:gridCol w:w="1646"/>
        <w:gridCol w:w="2396"/>
        <w:gridCol w:w="1581"/>
      </w:tblGrid>
      <w:tr w:rsidR="00067649" w:rsidRPr="008B6B33" w:rsidTr="00E171D3">
        <w:trPr>
          <w:trHeight w:val="273"/>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Treatment</w:t>
            </w:r>
          </w:p>
        </w:tc>
        <w:tc>
          <w:tcPr>
            <w:tcW w:w="1765"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Plant Height (cm)</w:t>
            </w:r>
          </w:p>
        </w:tc>
        <w:tc>
          <w:tcPr>
            <w:tcW w:w="164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Stem Girth (cm)</w:t>
            </w:r>
          </w:p>
        </w:tc>
        <w:tc>
          <w:tcPr>
            <w:tcW w:w="239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No. of Functional Leaves</w:t>
            </w:r>
          </w:p>
        </w:tc>
        <w:tc>
          <w:tcPr>
            <w:tcW w:w="1581"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Leaf Area (cm²)</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₁</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210.45</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35.25</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43.4</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6,200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₂</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223.50</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37.18</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45.6</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6,880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₃</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229.60</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38.24</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46.8</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7,040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₄</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246.75</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42.80</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50.6</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7,890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₅</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235.22</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39.76</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48.1</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7,320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₆</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238.42</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40.25</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48.8</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7,480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₇</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232.48</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39.18</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47.6</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7,210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₈</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241.72</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41.65</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49.2</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7,650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₉</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236.44</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39.88</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47.9</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7,310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₁₀</w:t>
            </w:r>
          </w:p>
        </w:tc>
        <w:tc>
          <w:tcPr>
            <w:tcW w:w="1765"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189.85</w:t>
            </w:r>
          </w:p>
        </w:tc>
        <w:tc>
          <w:tcPr>
            <w:tcW w:w="164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32.42</w:t>
            </w:r>
          </w:p>
        </w:tc>
        <w:tc>
          <w:tcPr>
            <w:tcW w:w="239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38.6</w:t>
            </w:r>
          </w:p>
        </w:tc>
        <w:tc>
          <w:tcPr>
            <w:tcW w:w="158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5,980</w:t>
            </w:r>
          </w:p>
        </w:tc>
      </w:tr>
      <w:tr w:rsidR="00067649" w:rsidRPr="008B6B33" w:rsidTr="00E171D3">
        <w:trPr>
          <w:trHeight w:val="179"/>
          <w:jc w:val="center"/>
        </w:trPr>
        <w:tc>
          <w:tcPr>
            <w:tcW w:w="1244"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proofErr w:type="spellStart"/>
            <w:r w:rsidRPr="00390E8A">
              <w:rPr>
                <w:b/>
                <w:sz w:val="20"/>
                <w:szCs w:val="20"/>
                <w:highlight w:val="yellow"/>
              </w:rPr>
              <w:t>SEm</w:t>
            </w:r>
            <w:proofErr w:type="spellEnd"/>
            <w:r w:rsidRPr="00390E8A">
              <w:rPr>
                <w:b/>
                <w:sz w:val="20"/>
                <w:szCs w:val="20"/>
                <w:highlight w:val="yellow"/>
              </w:rPr>
              <w:t>±</w:t>
            </w:r>
          </w:p>
        </w:tc>
        <w:tc>
          <w:tcPr>
            <w:tcW w:w="1765"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4.31</w:t>
            </w:r>
          </w:p>
        </w:tc>
        <w:tc>
          <w:tcPr>
            <w:tcW w:w="1646"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0.72</w:t>
            </w:r>
          </w:p>
        </w:tc>
        <w:tc>
          <w:tcPr>
            <w:tcW w:w="2396"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0.84</w:t>
            </w:r>
          </w:p>
        </w:tc>
        <w:tc>
          <w:tcPr>
            <w:tcW w:w="1581"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122.4</w:t>
            </w:r>
          </w:p>
        </w:tc>
      </w:tr>
      <w:tr w:rsidR="00067649" w:rsidRPr="008B6B33" w:rsidTr="00E171D3">
        <w:trPr>
          <w:trHeight w:val="179"/>
          <w:jc w:val="center"/>
        </w:trPr>
        <w:tc>
          <w:tcPr>
            <w:tcW w:w="1244"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CD (5%)</w:t>
            </w:r>
          </w:p>
        </w:tc>
        <w:tc>
          <w:tcPr>
            <w:tcW w:w="1765"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8.57</w:t>
            </w:r>
          </w:p>
        </w:tc>
        <w:tc>
          <w:tcPr>
            <w:tcW w:w="1646"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1.45</w:t>
            </w:r>
          </w:p>
        </w:tc>
        <w:tc>
          <w:tcPr>
            <w:tcW w:w="2396"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1.68</w:t>
            </w:r>
          </w:p>
        </w:tc>
        <w:tc>
          <w:tcPr>
            <w:tcW w:w="1581" w:type="dxa"/>
            <w:tcMar>
              <w:top w:w="100" w:type="dxa"/>
              <w:left w:w="100" w:type="dxa"/>
              <w:bottom w:w="100" w:type="dxa"/>
              <w:right w:w="100" w:type="dxa"/>
            </w:tcMar>
          </w:tcPr>
          <w:p w:rsidR="00067649" w:rsidRPr="00390E8A" w:rsidRDefault="00F72453" w:rsidP="00BF7AC5">
            <w:pPr>
              <w:pStyle w:val="NoSpacing"/>
              <w:jc w:val="center"/>
              <w:rPr>
                <w:b/>
                <w:sz w:val="20"/>
                <w:szCs w:val="20"/>
                <w:highlight w:val="yellow"/>
              </w:rPr>
            </w:pPr>
            <w:r w:rsidRPr="00390E8A">
              <w:rPr>
                <w:b/>
                <w:sz w:val="20"/>
                <w:szCs w:val="20"/>
                <w:highlight w:val="yellow"/>
              </w:rPr>
              <w:t>245.8</w:t>
            </w:r>
          </w:p>
        </w:tc>
      </w:tr>
    </w:tbl>
    <w:p w:rsidR="00067649" w:rsidRPr="008B6B33" w:rsidRDefault="00067649" w:rsidP="00127D32">
      <w:pPr>
        <w:pStyle w:val="NoSpacing"/>
        <w:jc w:val="both"/>
        <w:rPr>
          <w:sz w:val="20"/>
          <w:szCs w:val="20"/>
          <w:highlight w:val="white"/>
        </w:rPr>
      </w:pPr>
    </w:p>
    <w:p w:rsidR="00E171D3" w:rsidRPr="00E171D3" w:rsidRDefault="00E171D3" w:rsidP="00E171D3">
      <w:pPr>
        <w:pStyle w:val="NoSpacing"/>
        <w:jc w:val="center"/>
        <w:rPr>
          <w:b/>
          <w:sz w:val="20"/>
          <w:szCs w:val="20"/>
          <w:highlight w:val="yellow"/>
        </w:rPr>
      </w:pPr>
      <w:bookmarkStart w:id="20" w:name="_qfvu4u80miz6" w:colFirst="0" w:colLast="0"/>
      <w:bookmarkEnd w:id="20"/>
      <w:r w:rsidRPr="00E171D3">
        <w:rPr>
          <w:b/>
          <w:noProof/>
          <w:sz w:val="20"/>
          <w:szCs w:val="20"/>
          <w:highlight w:val="yellow"/>
        </w:rPr>
        <w:drawing>
          <wp:inline distT="0" distB="0" distL="0" distR="0">
            <wp:extent cx="4000500" cy="28194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819400"/>
                    </a:xfrm>
                    <a:prstGeom prst="rect">
                      <a:avLst/>
                    </a:prstGeom>
                    <a:noFill/>
                    <a:ln w="3175">
                      <a:solidFill>
                        <a:schemeClr val="tx1"/>
                      </a:solidFill>
                    </a:ln>
                  </pic:spPr>
                </pic:pic>
              </a:graphicData>
            </a:graphic>
          </wp:inline>
        </w:drawing>
      </w:r>
    </w:p>
    <w:p w:rsidR="00E171D3" w:rsidRPr="00E171D3" w:rsidRDefault="00E171D3" w:rsidP="00E171D3">
      <w:pPr>
        <w:pStyle w:val="NoSpacing"/>
        <w:jc w:val="center"/>
        <w:rPr>
          <w:b/>
          <w:sz w:val="20"/>
          <w:szCs w:val="20"/>
          <w:highlight w:val="yellow"/>
        </w:rPr>
      </w:pPr>
      <w:r w:rsidRPr="00E171D3">
        <w:rPr>
          <w:b/>
          <w:sz w:val="20"/>
          <w:szCs w:val="20"/>
          <w:highlight w:val="yellow"/>
        </w:rPr>
        <w:t>Fig. 1: Effect of Integrated Nutrient Management on plant height of Papaya cv. Red Lady</w:t>
      </w:r>
    </w:p>
    <w:p w:rsidR="00E171D3" w:rsidRDefault="00E171D3" w:rsidP="00E171D3">
      <w:pPr>
        <w:pStyle w:val="NoSpacing"/>
        <w:jc w:val="center"/>
        <w:rPr>
          <w:b/>
          <w:sz w:val="20"/>
          <w:szCs w:val="20"/>
          <w:highlight w:val="white"/>
        </w:rPr>
      </w:pPr>
    </w:p>
    <w:p w:rsidR="00067649" w:rsidRPr="00BF7AC5" w:rsidRDefault="00F72453" w:rsidP="00127D32">
      <w:pPr>
        <w:pStyle w:val="NoSpacing"/>
        <w:jc w:val="both"/>
        <w:rPr>
          <w:b/>
          <w:sz w:val="20"/>
          <w:szCs w:val="20"/>
          <w:highlight w:val="white"/>
        </w:rPr>
      </w:pPr>
      <w:r w:rsidRPr="00BF7AC5">
        <w:rPr>
          <w:b/>
          <w:sz w:val="20"/>
          <w:szCs w:val="20"/>
          <w:highlight w:val="white"/>
        </w:rPr>
        <w:t>3.2 Effect on Yield and Yield Attributes</w:t>
      </w:r>
    </w:p>
    <w:p w:rsidR="00067649" w:rsidRPr="008B6B33" w:rsidRDefault="00F72453" w:rsidP="00127D32">
      <w:pPr>
        <w:pStyle w:val="NoSpacing"/>
        <w:jc w:val="both"/>
        <w:rPr>
          <w:sz w:val="20"/>
          <w:szCs w:val="20"/>
          <w:highlight w:val="white"/>
        </w:rPr>
      </w:pPr>
      <w:r w:rsidRPr="008B6B33">
        <w:rPr>
          <w:sz w:val="20"/>
          <w:szCs w:val="20"/>
          <w:highlight w:val="white"/>
        </w:rPr>
        <w:t xml:space="preserve">Integrated nutrient management exhibited a significant impact on yield parameters such as number of fruits per plant, average fruit weight, and total yield per </w:t>
      </w:r>
      <w:r w:rsidRPr="002215CB">
        <w:rPr>
          <w:sz w:val="20"/>
          <w:szCs w:val="20"/>
          <w:highlight w:val="yellow"/>
        </w:rPr>
        <w:t xml:space="preserve">plant (Table 2). </w:t>
      </w:r>
      <w:r w:rsidRPr="008B6B33">
        <w:rPr>
          <w:sz w:val="20"/>
          <w:szCs w:val="20"/>
          <w:highlight w:val="white"/>
        </w:rPr>
        <w:t>The highest fruit yield (52.93 kg plant</w:t>
      </w:r>
      <w:r w:rsidRPr="008B6B33">
        <w:rPr>
          <w:rFonts w:ascii="Cambria Math" w:hAnsi="Cambria Math" w:cs="Cambria Math"/>
          <w:sz w:val="20"/>
          <w:szCs w:val="20"/>
          <w:highlight w:val="white"/>
        </w:rPr>
        <w:t>⁻</w:t>
      </w:r>
      <w:r w:rsidRPr="008B6B33">
        <w:rPr>
          <w:sz w:val="20"/>
          <w:szCs w:val="20"/>
          <w:highlight w:val="white"/>
        </w:rPr>
        <w:t>¹) was recorded under T</w:t>
      </w:r>
      <w:r w:rsidRPr="008B6B33">
        <w:rPr>
          <w:rFonts w:ascii="Cambria Math" w:hAnsi="Cambria Math" w:cs="Cambria Math"/>
          <w:sz w:val="20"/>
          <w:szCs w:val="20"/>
          <w:highlight w:val="white"/>
        </w:rPr>
        <w:t>₄</w:t>
      </w:r>
      <w:r w:rsidRPr="008B6B33">
        <w:rPr>
          <w:sz w:val="20"/>
          <w:szCs w:val="20"/>
          <w:highlight w:val="white"/>
        </w:rPr>
        <w:t>, followed by T</w:t>
      </w:r>
      <w:r w:rsidRPr="008B6B33">
        <w:rPr>
          <w:rFonts w:ascii="Cambria Math" w:hAnsi="Cambria Math" w:cs="Cambria Math"/>
          <w:sz w:val="20"/>
          <w:szCs w:val="20"/>
          <w:highlight w:val="white"/>
        </w:rPr>
        <w:t>₆</w:t>
      </w:r>
      <w:r w:rsidRPr="008B6B33">
        <w:rPr>
          <w:sz w:val="20"/>
          <w:szCs w:val="20"/>
          <w:highlight w:val="white"/>
        </w:rPr>
        <w:t xml:space="preserve"> (48.</w:t>
      </w:r>
      <w:r w:rsidRPr="002215CB">
        <w:rPr>
          <w:sz w:val="20"/>
          <w:szCs w:val="20"/>
          <w:highlight w:val="yellow"/>
        </w:rPr>
        <w:t>76 kg plant</w:t>
      </w:r>
      <w:r w:rsidRPr="002215CB">
        <w:rPr>
          <w:rFonts w:ascii="Cambria Math" w:hAnsi="Cambria Math" w:cs="Cambria Math"/>
          <w:sz w:val="20"/>
          <w:szCs w:val="20"/>
          <w:highlight w:val="yellow"/>
        </w:rPr>
        <w:t>⁻</w:t>
      </w:r>
      <w:r w:rsidRPr="002215CB">
        <w:rPr>
          <w:sz w:val="20"/>
          <w:szCs w:val="20"/>
          <w:highlight w:val="yellow"/>
        </w:rPr>
        <w:t>¹) and T</w:t>
      </w:r>
      <w:r w:rsidRPr="002215CB">
        <w:rPr>
          <w:rFonts w:ascii="Cambria Math" w:hAnsi="Cambria Math" w:cs="Cambria Math"/>
          <w:sz w:val="20"/>
          <w:szCs w:val="20"/>
          <w:highlight w:val="yellow"/>
        </w:rPr>
        <w:t>₈</w:t>
      </w:r>
      <w:r w:rsidRPr="002215CB">
        <w:rPr>
          <w:sz w:val="20"/>
          <w:szCs w:val="20"/>
          <w:highlight w:val="yellow"/>
        </w:rPr>
        <w:t xml:space="preserve"> (47.85 kg plant</w:t>
      </w:r>
      <w:r w:rsidRPr="002215CB">
        <w:rPr>
          <w:rFonts w:ascii="Cambria Math" w:hAnsi="Cambria Math" w:cs="Cambria Math"/>
          <w:sz w:val="20"/>
          <w:szCs w:val="20"/>
          <w:highlight w:val="yellow"/>
        </w:rPr>
        <w:t>⁻</w:t>
      </w:r>
      <w:r w:rsidRPr="002215CB">
        <w:rPr>
          <w:sz w:val="20"/>
          <w:szCs w:val="20"/>
          <w:highlight w:val="yellow"/>
        </w:rPr>
        <w:t>¹). The lowest yield was recorded in the absolute control (T</w:t>
      </w:r>
      <w:r w:rsidRPr="002215CB">
        <w:rPr>
          <w:rFonts w:ascii="Cambria Math" w:hAnsi="Cambria Math" w:cs="Cambria Math"/>
          <w:sz w:val="20"/>
          <w:szCs w:val="20"/>
          <w:highlight w:val="yellow"/>
        </w:rPr>
        <w:t>₁₀</w:t>
      </w:r>
      <w:r w:rsidRPr="002215CB">
        <w:rPr>
          <w:sz w:val="20"/>
          <w:szCs w:val="20"/>
          <w:highlight w:val="yellow"/>
        </w:rPr>
        <w:t>) with only 21.34 kg plant</w:t>
      </w:r>
      <w:r w:rsidRPr="002215CB">
        <w:rPr>
          <w:rFonts w:ascii="Cambria Math" w:hAnsi="Cambria Math" w:cs="Cambria Math"/>
          <w:sz w:val="20"/>
          <w:szCs w:val="20"/>
          <w:highlight w:val="yellow"/>
        </w:rPr>
        <w:t>⁻</w:t>
      </w:r>
      <w:r w:rsidRPr="002215CB">
        <w:rPr>
          <w:sz w:val="20"/>
          <w:szCs w:val="20"/>
          <w:highlight w:val="yellow"/>
        </w:rPr>
        <w:t>¹</w:t>
      </w:r>
      <w:r w:rsidR="002215CB" w:rsidRPr="002215CB">
        <w:rPr>
          <w:sz w:val="20"/>
          <w:szCs w:val="20"/>
          <w:highlight w:val="yellow"/>
        </w:rPr>
        <w:t xml:space="preserve"> (Fig.2)</w:t>
      </w:r>
      <w:r w:rsidRPr="002215CB">
        <w:rPr>
          <w:sz w:val="20"/>
          <w:szCs w:val="20"/>
          <w:highlight w:val="yellow"/>
        </w:rPr>
        <w:t>.</w:t>
      </w:r>
    </w:p>
    <w:p w:rsidR="00067649" w:rsidRPr="008B6B33" w:rsidRDefault="00F72453" w:rsidP="00BF7AC5">
      <w:pPr>
        <w:pStyle w:val="NoSpacing"/>
        <w:ind w:firstLine="720"/>
        <w:jc w:val="both"/>
        <w:rPr>
          <w:sz w:val="20"/>
          <w:szCs w:val="20"/>
          <w:highlight w:val="white"/>
        </w:rPr>
      </w:pPr>
      <w:r w:rsidRPr="008B6B33">
        <w:rPr>
          <w:sz w:val="20"/>
          <w:szCs w:val="20"/>
          <w:highlight w:val="white"/>
        </w:rPr>
        <w:t>The improved yield in T</w:t>
      </w:r>
      <w:r w:rsidRPr="008B6B33">
        <w:rPr>
          <w:rFonts w:ascii="Cambria Math" w:hAnsi="Cambria Math" w:cs="Cambria Math"/>
          <w:sz w:val="20"/>
          <w:szCs w:val="20"/>
          <w:highlight w:val="white"/>
        </w:rPr>
        <w:t>₄</w:t>
      </w:r>
      <w:r w:rsidRPr="008B6B33">
        <w:rPr>
          <w:sz w:val="20"/>
          <w:szCs w:val="20"/>
          <w:highlight w:val="white"/>
        </w:rPr>
        <w:t xml:space="preserve"> may be attributed to the enhanced nutrient uptake and reproductive physiology mediated by PGPR inoculants, which promote efficient conversion of photosynthates into reproductive growth and fruit setting (Singh &amp; Tripathi, 202</w:t>
      </w:r>
      <w:r w:rsidR="00A210B9">
        <w:rPr>
          <w:sz w:val="20"/>
          <w:szCs w:val="20"/>
          <w:highlight w:val="white"/>
        </w:rPr>
        <w:t>0</w:t>
      </w:r>
      <w:r w:rsidRPr="008B6B33">
        <w:rPr>
          <w:sz w:val="20"/>
          <w:szCs w:val="20"/>
          <w:highlight w:val="white"/>
        </w:rPr>
        <w:t xml:space="preserve">). PGPR species such as </w:t>
      </w:r>
      <w:r w:rsidRPr="008B6B33">
        <w:rPr>
          <w:i/>
          <w:iCs/>
          <w:sz w:val="20"/>
          <w:szCs w:val="20"/>
          <w:highlight w:val="white"/>
        </w:rPr>
        <w:t>Pseudomonas fluorescens</w:t>
      </w:r>
      <w:r w:rsidRPr="008B6B33">
        <w:rPr>
          <w:sz w:val="20"/>
          <w:szCs w:val="20"/>
          <w:highlight w:val="white"/>
        </w:rPr>
        <w:t xml:space="preserve"> and </w:t>
      </w:r>
      <w:r w:rsidRPr="008B6B33">
        <w:rPr>
          <w:i/>
          <w:iCs/>
          <w:sz w:val="20"/>
          <w:szCs w:val="20"/>
          <w:highlight w:val="white"/>
        </w:rPr>
        <w:t>Bacillus subtilis</w:t>
      </w:r>
      <w:r w:rsidRPr="008B6B33">
        <w:rPr>
          <w:sz w:val="20"/>
          <w:szCs w:val="20"/>
          <w:highlight w:val="white"/>
        </w:rPr>
        <w:t xml:space="preserve"> enhance nutrient cycling and produce siderophores that improve iron and phosphorus uptake, thereby enhancing fruit number and size (Bindu &amp; </w:t>
      </w:r>
      <w:proofErr w:type="spellStart"/>
      <w:r w:rsidRPr="008B6B33">
        <w:rPr>
          <w:sz w:val="20"/>
          <w:szCs w:val="20"/>
          <w:highlight w:val="white"/>
        </w:rPr>
        <w:t>Renjan</w:t>
      </w:r>
      <w:proofErr w:type="spellEnd"/>
      <w:r w:rsidRPr="008B6B33">
        <w:rPr>
          <w:sz w:val="20"/>
          <w:szCs w:val="20"/>
          <w:highlight w:val="white"/>
        </w:rPr>
        <w:t>, 2024).</w:t>
      </w:r>
      <w:r w:rsidR="00BF7AC5">
        <w:rPr>
          <w:sz w:val="20"/>
          <w:szCs w:val="20"/>
          <w:highlight w:val="white"/>
        </w:rPr>
        <w:t xml:space="preserve"> </w:t>
      </w:r>
      <w:r w:rsidRPr="008B6B33">
        <w:rPr>
          <w:sz w:val="20"/>
          <w:szCs w:val="20"/>
          <w:highlight w:val="white"/>
        </w:rPr>
        <w:t xml:space="preserve">Similar findings were </w:t>
      </w:r>
      <w:r w:rsidRPr="00A55A7F">
        <w:rPr>
          <w:sz w:val="20"/>
          <w:szCs w:val="20"/>
          <w:highlight w:val="yellow"/>
        </w:rPr>
        <w:t xml:space="preserve">reported by </w:t>
      </w:r>
      <w:r w:rsidR="008C67DD">
        <w:rPr>
          <w:sz w:val="20"/>
          <w:szCs w:val="20"/>
          <w:highlight w:val="yellow"/>
        </w:rPr>
        <w:t>several researchers</w:t>
      </w:r>
      <w:r w:rsidRPr="00A55A7F">
        <w:rPr>
          <w:sz w:val="20"/>
          <w:szCs w:val="20"/>
          <w:highlight w:val="yellow"/>
        </w:rPr>
        <w:t xml:space="preserve"> who </w:t>
      </w:r>
      <w:r w:rsidRPr="008B6B33">
        <w:rPr>
          <w:sz w:val="20"/>
          <w:szCs w:val="20"/>
          <w:highlight w:val="white"/>
        </w:rPr>
        <w:t xml:space="preserve">observed that integrating 75% RDF with microbial inoculants like </w:t>
      </w:r>
      <w:proofErr w:type="spellStart"/>
      <w:r w:rsidRPr="008B6B33">
        <w:rPr>
          <w:i/>
          <w:iCs/>
          <w:sz w:val="20"/>
          <w:szCs w:val="20"/>
          <w:highlight w:val="white"/>
        </w:rPr>
        <w:t>Azospirillum</w:t>
      </w:r>
      <w:proofErr w:type="spellEnd"/>
      <w:r w:rsidRPr="008B6B33">
        <w:rPr>
          <w:sz w:val="20"/>
          <w:szCs w:val="20"/>
          <w:highlight w:val="white"/>
        </w:rPr>
        <w:t xml:space="preserve"> and </w:t>
      </w:r>
      <w:r w:rsidRPr="008B6B33">
        <w:rPr>
          <w:i/>
          <w:iCs/>
          <w:sz w:val="20"/>
          <w:szCs w:val="20"/>
          <w:highlight w:val="white"/>
        </w:rPr>
        <w:t>PSB</w:t>
      </w:r>
      <w:r w:rsidRPr="008B6B33">
        <w:rPr>
          <w:sz w:val="20"/>
          <w:szCs w:val="20"/>
          <w:highlight w:val="white"/>
        </w:rPr>
        <w:t xml:space="preserve"> enhanced papaya fruit yield and nutrient content. </w:t>
      </w:r>
      <w:proofErr w:type="spellStart"/>
      <w:r w:rsidRPr="008B6B33">
        <w:rPr>
          <w:sz w:val="20"/>
          <w:szCs w:val="20"/>
          <w:highlight w:val="white"/>
        </w:rPr>
        <w:t>Kirad</w:t>
      </w:r>
      <w:proofErr w:type="spellEnd"/>
      <w:r w:rsidRPr="008B6B33">
        <w:rPr>
          <w:sz w:val="20"/>
          <w:szCs w:val="20"/>
          <w:highlight w:val="white"/>
        </w:rPr>
        <w:t xml:space="preserve"> and </w:t>
      </w:r>
      <w:proofErr w:type="spellStart"/>
      <w:r w:rsidRPr="008B6B33">
        <w:rPr>
          <w:sz w:val="20"/>
          <w:szCs w:val="20"/>
          <w:highlight w:val="white"/>
        </w:rPr>
        <w:t>Barche</w:t>
      </w:r>
      <w:proofErr w:type="spellEnd"/>
      <w:r w:rsidRPr="008B6B33">
        <w:rPr>
          <w:sz w:val="20"/>
          <w:szCs w:val="20"/>
          <w:highlight w:val="white"/>
        </w:rPr>
        <w:t xml:space="preserve"> (2010) also confirmed that 75% RDF + 25% vermicompost + rhizosphere bacteria culture yielded higher fruit numbers and weights than full RDF alone, indicating improved nutrient use efficiency. The significant decline in yield under T</w:t>
      </w:r>
      <w:r w:rsidRPr="008B6B33">
        <w:rPr>
          <w:rFonts w:ascii="Cambria Math" w:hAnsi="Cambria Math" w:cs="Cambria Math"/>
          <w:sz w:val="20"/>
          <w:szCs w:val="20"/>
          <w:highlight w:val="white"/>
        </w:rPr>
        <w:t>₁₀</w:t>
      </w:r>
      <w:r w:rsidRPr="008B6B33">
        <w:rPr>
          <w:sz w:val="20"/>
          <w:szCs w:val="20"/>
          <w:highlight w:val="white"/>
        </w:rPr>
        <w:t xml:space="preserve"> highlights the critical need for external nutrient supplementation in papaya cultivation.</w:t>
      </w:r>
    </w:p>
    <w:p w:rsidR="00067649" w:rsidRPr="008B6B33" w:rsidRDefault="00067649" w:rsidP="00127D32">
      <w:pPr>
        <w:pStyle w:val="NoSpacing"/>
        <w:jc w:val="both"/>
        <w:rPr>
          <w:sz w:val="20"/>
          <w:szCs w:val="20"/>
          <w:highlight w:val="white"/>
        </w:rPr>
      </w:pPr>
    </w:p>
    <w:p w:rsidR="00067649" w:rsidRPr="00BF7AC5" w:rsidRDefault="00F72453" w:rsidP="00BF7AC5">
      <w:pPr>
        <w:pStyle w:val="NoSpacing"/>
        <w:jc w:val="center"/>
        <w:rPr>
          <w:b/>
          <w:sz w:val="20"/>
          <w:szCs w:val="20"/>
          <w:highlight w:val="white"/>
        </w:rPr>
      </w:pPr>
      <w:bookmarkStart w:id="21" w:name="_596st7ozqcle" w:colFirst="0" w:colLast="0"/>
      <w:bookmarkEnd w:id="21"/>
      <w:r w:rsidRPr="00BF7AC5">
        <w:rPr>
          <w:b/>
          <w:sz w:val="20"/>
          <w:szCs w:val="20"/>
          <w:highlight w:val="white"/>
        </w:rPr>
        <w:t>Table 2. Effect of INM on Yield Attributes of Papaya cv. Red Lady</w:t>
      </w:r>
    </w:p>
    <w:tbl>
      <w:tblPr>
        <w:tblStyle w:val="a1"/>
        <w:tblW w:w="819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80"/>
        <w:gridCol w:w="2126"/>
        <w:gridCol w:w="2378"/>
        <w:gridCol w:w="2408"/>
      </w:tblGrid>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Treatment</w:t>
            </w:r>
          </w:p>
        </w:tc>
        <w:tc>
          <w:tcPr>
            <w:tcW w:w="212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No. of Fruits/Plant</w:t>
            </w:r>
          </w:p>
        </w:tc>
        <w:tc>
          <w:tcPr>
            <w:tcW w:w="2378"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Avg. Fruit Weight (g)</w:t>
            </w:r>
          </w:p>
        </w:tc>
        <w:tc>
          <w:tcPr>
            <w:tcW w:w="2408"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Total Yield (kg/Plant)</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₁</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47.6</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910.2</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43.31</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₂</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49.2</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932.4</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45.88</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₃</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50.1</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950.8</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47.63</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₄</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54.3</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975.5</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52.93</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₅</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52.0</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945.7</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49.17</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₆</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53.2</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958.2</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48.76</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₇</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51.6</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940.1</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46.97</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₈</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53.8</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962.1</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47.85</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₉</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52.1</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949.3</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47.06</w:t>
            </w:r>
          </w:p>
        </w:tc>
      </w:tr>
      <w:tr w:rsidR="00067649" w:rsidRPr="008B6B33" w:rsidTr="00BF7AC5">
        <w:trPr>
          <w:trHeight w:val="184"/>
          <w:jc w:val="center"/>
        </w:trPr>
        <w:tc>
          <w:tcPr>
            <w:tcW w:w="128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lastRenderedPageBreak/>
              <w:t>T</w:t>
            </w:r>
            <w:r w:rsidRPr="00BF7AC5">
              <w:rPr>
                <w:rFonts w:ascii="Cambria Math" w:hAnsi="Cambria Math" w:cs="Cambria Math"/>
                <w:b/>
                <w:sz w:val="20"/>
                <w:szCs w:val="20"/>
                <w:highlight w:val="white"/>
              </w:rPr>
              <w:t>₁₀</w:t>
            </w:r>
          </w:p>
        </w:tc>
        <w:tc>
          <w:tcPr>
            <w:tcW w:w="2126"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38.2</w:t>
            </w:r>
          </w:p>
        </w:tc>
        <w:tc>
          <w:tcPr>
            <w:tcW w:w="237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754.3</w:t>
            </w:r>
          </w:p>
        </w:tc>
        <w:tc>
          <w:tcPr>
            <w:tcW w:w="240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21.34</w:t>
            </w:r>
          </w:p>
        </w:tc>
      </w:tr>
      <w:tr w:rsidR="00390E8A" w:rsidRPr="008B6B33" w:rsidTr="0038324A">
        <w:trPr>
          <w:trHeight w:val="184"/>
          <w:jc w:val="center"/>
        </w:trPr>
        <w:tc>
          <w:tcPr>
            <w:tcW w:w="1280"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proofErr w:type="spellStart"/>
            <w:r w:rsidRPr="00390E8A">
              <w:rPr>
                <w:rFonts w:eastAsia="Times New Roman"/>
                <w:b/>
                <w:bCs/>
                <w:sz w:val="20"/>
                <w:szCs w:val="24"/>
                <w:highlight w:val="yellow"/>
                <w:lang w:val="en-IN"/>
              </w:rPr>
              <w:t>SEm</w:t>
            </w:r>
            <w:proofErr w:type="spellEnd"/>
            <w:r w:rsidRPr="00390E8A">
              <w:rPr>
                <w:rFonts w:eastAsia="Times New Roman"/>
                <w:b/>
                <w:bCs/>
                <w:sz w:val="20"/>
                <w:szCs w:val="24"/>
                <w:highlight w:val="yellow"/>
                <w:lang w:val="en-IN"/>
              </w:rPr>
              <w:t xml:space="preserve"> ±</w:t>
            </w:r>
          </w:p>
        </w:tc>
        <w:tc>
          <w:tcPr>
            <w:tcW w:w="2126"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0.88</w:t>
            </w:r>
          </w:p>
        </w:tc>
        <w:tc>
          <w:tcPr>
            <w:tcW w:w="2378"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11.45</w:t>
            </w:r>
          </w:p>
        </w:tc>
        <w:tc>
          <w:tcPr>
            <w:tcW w:w="2408"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0.92</w:t>
            </w:r>
          </w:p>
        </w:tc>
      </w:tr>
      <w:tr w:rsidR="00390E8A" w:rsidRPr="008B6B33" w:rsidTr="00DD04EC">
        <w:trPr>
          <w:trHeight w:val="184"/>
          <w:jc w:val="center"/>
        </w:trPr>
        <w:tc>
          <w:tcPr>
            <w:tcW w:w="1280"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CD (5%)</w:t>
            </w:r>
          </w:p>
        </w:tc>
        <w:tc>
          <w:tcPr>
            <w:tcW w:w="2126"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1.76</w:t>
            </w:r>
          </w:p>
        </w:tc>
        <w:tc>
          <w:tcPr>
            <w:tcW w:w="2378"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23.10</w:t>
            </w:r>
          </w:p>
        </w:tc>
        <w:tc>
          <w:tcPr>
            <w:tcW w:w="2408"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1.84</w:t>
            </w:r>
          </w:p>
        </w:tc>
      </w:tr>
    </w:tbl>
    <w:p w:rsidR="00390E8A" w:rsidRPr="00390E8A" w:rsidRDefault="00390E8A" w:rsidP="00390E8A">
      <w:pPr>
        <w:spacing w:line="240" w:lineRule="auto"/>
        <w:rPr>
          <w:rFonts w:ascii="Times New Roman" w:eastAsia="Times New Roman" w:hAnsi="Times New Roman" w:cs="Times New Roman"/>
          <w:vanish/>
          <w:sz w:val="24"/>
          <w:szCs w:val="24"/>
          <w:lang w:val="en-IN"/>
        </w:rPr>
      </w:pPr>
    </w:p>
    <w:p w:rsidR="00BF7AC5" w:rsidRDefault="00BF7AC5" w:rsidP="00127D32">
      <w:pPr>
        <w:pStyle w:val="NoSpacing"/>
        <w:jc w:val="both"/>
        <w:rPr>
          <w:sz w:val="20"/>
          <w:szCs w:val="20"/>
          <w:highlight w:val="white"/>
        </w:rPr>
      </w:pPr>
    </w:p>
    <w:p w:rsidR="00E171D3" w:rsidRPr="00E171D3" w:rsidRDefault="00E171D3" w:rsidP="00E171D3">
      <w:pPr>
        <w:pStyle w:val="NoSpacing"/>
        <w:jc w:val="center"/>
        <w:rPr>
          <w:sz w:val="20"/>
          <w:szCs w:val="20"/>
          <w:highlight w:val="yellow"/>
        </w:rPr>
      </w:pPr>
      <w:r w:rsidRPr="00E171D3">
        <w:rPr>
          <w:noProof/>
          <w:sz w:val="20"/>
          <w:szCs w:val="20"/>
          <w:highlight w:val="yellow"/>
        </w:rPr>
        <w:drawing>
          <wp:inline distT="0" distB="0" distL="0" distR="0">
            <wp:extent cx="4000500" cy="27241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724150"/>
                    </a:xfrm>
                    <a:prstGeom prst="rect">
                      <a:avLst/>
                    </a:prstGeom>
                    <a:noFill/>
                    <a:ln w="3175">
                      <a:solidFill>
                        <a:schemeClr val="tx1"/>
                      </a:solidFill>
                    </a:ln>
                  </pic:spPr>
                </pic:pic>
              </a:graphicData>
            </a:graphic>
          </wp:inline>
        </w:drawing>
      </w:r>
    </w:p>
    <w:p w:rsidR="00E171D3" w:rsidRPr="00E171D3" w:rsidRDefault="00E171D3" w:rsidP="00E171D3">
      <w:pPr>
        <w:pStyle w:val="NoSpacing"/>
        <w:jc w:val="center"/>
        <w:rPr>
          <w:b/>
          <w:sz w:val="20"/>
          <w:szCs w:val="20"/>
          <w:highlight w:val="yellow"/>
        </w:rPr>
      </w:pPr>
      <w:r w:rsidRPr="00E171D3">
        <w:rPr>
          <w:b/>
          <w:sz w:val="20"/>
          <w:szCs w:val="20"/>
          <w:highlight w:val="yellow"/>
        </w:rPr>
        <w:t xml:space="preserve">Fig. </w:t>
      </w:r>
      <w:r w:rsidR="002215CB">
        <w:rPr>
          <w:b/>
          <w:sz w:val="20"/>
          <w:szCs w:val="20"/>
          <w:highlight w:val="yellow"/>
        </w:rPr>
        <w:t>2</w:t>
      </w:r>
      <w:r w:rsidRPr="00E171D3">
        <w:rPr>
          <w:b/>
          <w:sz w:val="20"/>
          <w:szCs w:val="20"/>
          <w:highlight w:val="yellow"/>
        </w:rPr>
        <w:t>: Effect of INM on Yield A of Papaya cv. Red Lady</w:t>
      </w:r>
    </w:p>
    <w:p w:rsidR="00E171D3" w:rsidRDefault="00E171D3" w:rsidP="00E171D3">
      <w:pPr>
        <w:pStyle w:val="NoSpacing"/>
        <w:jc w:val="center"/>
        <w:rPr>
          <w:sz w:val="20"/>
          <w:szCs w:val="20"/>
          <w:highlight w:val="white"/>
        </w:rPr>
      </w:pPr>
    </w:p>
    <w:p w:rsidR="00067649" w:rsidRPr="008B6B33" w:rsidRDefault="00F72453" w:rsidP="00127D32">
      <w:pPr>
        <w:pStyle w:val="NoSpacing"/>
        <w:jc w:val="both"/>
        <w:rPr>
          <w:sz w:val="20"/>
          <w:szCs w:val="20"/>
          <w:highlight w:val="white"/>
        </w:rPr>
      </w:pPr>
      <w:r w:rsidRPr="008B6B33">
        <w:rPr>
          <w:sz w:val="20"/>
          <w:szCs w:val="20"/>
          <w:highlight w:val="white"/>
        </w:rPr>
        <w:t xml:space="preserve">The higher yields under integrated nutrient systems suggest that microbial-enriched organics not only improve nutrient availability but also enhance soil microflora, leading to better pollination, fruit retention, and nutrient partitioning (Agrawal &amp; </w:t>
      </w:r>
      <w:proofErr w:type="spellStart"/>
      <w:r w:rsidRPr="008B6B33">
        <w:rPr>
          <w:sz w:val="20"/>
          <w:szCs w:val="20"/>
          <w:highlight w:val="white"/>
        </w:rPr>
        <w:t>Sahu</w:t>
      </w:r>
      <w:proofErr w:type="spellEnd"/>
      <w:r w:rsidRPr="008B6B33">
        <w:rPr>
          <w:sz w:val="20"/>
          <w:szCs w:val="20"/>
          <w:highlight w:val="white"/>
        </w:rPr>
        <w:t xml:space="preserve">, 2021). The improved organic matter under INM also enhances soil aggregation and moisture retention, which are critical for sustaining papaya yield under </w:t>
      </w:r>
      <w:r w:rsidRPr="00A210B9">
        <w:rPr>
          <w:sz w:val="20"/>
          <w:szCs w:val="20"/>
          <w:highlight w:val="yellow"/>
        </w:rPr>
        <w:t xml:space="preserve">tropical conditions (Srivastava </w:t>
      </w:r>
      <w:r w:rsidR="00A210B9" w:rsidRPr="00A210B9">
        <w:rPr>
          <w:sz w:val="20"/>
          <w:szCs w:val="20"/>
          <w:highlight w:val="yellow"/>
        </w:rPr>
        <w:t>et al.,</w:t>
      </w:r>
      <w:r w:rsidRPr="00A210B9">
        <w:rPr>
          <w:sz w:val="20"/>
          <w:szCs w:val="20"/>
          <w:highlight w:val="yellow"/>
        </w:rPr>
        <w:t xml:space="preserve"> 2019).</w:t>
      </w:r>
    </w:p>
    <w:p w:rsidR="00BF7AC5" w:rsidRDefault="00BF7AC5" w:rsidP="00127D32">
      <w:pPr>
        <w:pStyle w:val="NoSpacing"/>
        <w:jc w:val="both"/>
        <w:rPr>
          <w:sz w:val="20"/>
          <w:szCs w:val="20"/>
          <w:highlight w:val="white"/>
        </w:rPr>
      </w:pPr>
      <w:bookmarkStart w:id="22" w:name="_vq35vwjv9lpt" w:colFirst="0" w:colLast="0"/>
      <w:bookmarkEnd w:id="22"/>
    </w:p>
    <w:p w:rsidR="00067649" w:rsidRPr="00BF7AC5" w:rsidRDefault="00F72453" w:rsidP="00127D32">
      <w:pPr>
        <w:pStyle w:val="NoSpacing"/>
        <w:jc w:val="both"/>
        <w:rPr>
          <w:b/>
          <w:sz w:val="20"/>
          <w:szCs w:val="20"/>
          <w:highlight w:val="white"/>
        </w:rPr>
      </w:pPr>
      <w:r w:rsidRPr="00BF7AC5">
        <w:rPr>
          <w:b/>
          <w:sz w:val="20"/>
          <w:szCs w:val="20"/>
          <w:highlight w:val="white"/>
        </w:rPr>
        <w:t>3.3 Effect on Fruit Quality Parameters</w:t>
      </w:r>
    </w:p>
    <w:p w:rsidR="00067649" w:rsidRPr="008B6B33" w:rsidRDefault="00F72453" w:rsidP="00127D32">
      <w:pPr>
        <w:pStyle w:val="NoSpacing"/>
        <w:jc w:val="both"/>
        <w:rPr>
          <w:sz w:val="20"/>
          <w:szCs w:val="20"/>
          <w:highlight w:val="white"/>
        </w:rPr>
      </w:pPr>
      <w:r w:rsidRPr="008B6B33">
        <w:rPr>
          <w:sz w:val="20"/>
          <w:szCs w:val="20"/>
          <w:highlight w:val="white"/>
        </w:rPr>
        <w:t xml:space="preserve">The quality of papaya fruits, expressed in terms of TSS, pulp percentage, ascorbic acid content, and titratable acidity, was significantly improved by integrated nutrient </w:t>
      </w:r>
      <w:r w:rsidRPr="002215CB">
        <w:rPr>
          <w:sz w:val="20"/>
          <w:szCs w:val="20"/>
          <w:highlight w:val="yellow"/>
        </w:rPr>
        <w:t>management (Table 3</w:t>
      </w:r>
      <w:r w:rsidR="002215CB" w:rsidRPr="002215CB">
        <w:rPr>
          <w:sz w:val="20"/>
          <w:szCs w:val="20"/>
          <w:highlight w:val="yellow"/>
        </w:rPr>
        <w:t xml:space="preserve"> and Fig. 3</w:t>
      </w:r>
      <w:r w:rsidRPr="002215CB">
        <w:rPr>
          <w:sz w:val="20"/>
          <w:szCs w:val="20"/>
          <w:highlight w:val="yellow"/>
        </w:rPr>
        <w:t xml:space="preserve">). </w:t>
      </w:r>
      <w:r w:rsidRPr="008B6B33">
        <w:rPr>
          <w:sz w:val="20"/>
          <w:szCs w:val="20"/>
          <w:highlight w:val="white"/>
        </w:rPr>
        <w:t>The highest TSS (15.64° Brix) and pulp content (90.28%) were recorded in T</w:t>
      </w:r>
      <w:r w:rsidRPr="008B6B33">
        <w:rPr>
          <w:rFonts w:ascii="Cambria Math" w:hAnsi="Cambria Math" w:cs="Cambria Math"/>
          <w:sz w:val="20"/>
          <w:szCs w:val="20"/>
          <w:highlight w:val="white"/>
        </w:rPr>
        <w:t>₄</w:t>
      </w:r>
      <w:r w:rsidRPr="008B6B33">
        <w:rPr>
          <w:sz w:val="20"/>
          <w:szCs w:val="20"/>
          <w:highlight w:val="white"/>
        </w:rPr>
        <w:t>, followed by T</w:t>
      </w:r>
      <w:r w:rsidRPr="008B6B33">
        <w:rPr>
          <w:rFonts w:ascii="Cambria Math" w:hAnsi="Cambria Math" w:cs="Cambria Math"/>
          <w:sz w:val="20"/>
          <w:szCs w:val="20"/>
          <w:highlight w:val="white"/>
        </w:rPr>
        <w:t>₆</w:t>
      </w:r>
      <w:r w:rsidRPr="008B6B33">
        <w:rPr>
          <w:sz w:val="20"/>
          <w:szCs w:val="20"/>
          <w:highlight w:val="white"/>
        </w:rPr>
        <w:t xml:space="preserve"> and T</w:t>
      </w:r>
      <w:r w:rsidRPr="008B6B33">
        <w:rPr>
          <w:rFonts w:ascii="Cambria Math" w:hAnsi="Cambria Math" w:cs="Cambria Math"/>
          <w:sz w:val="20"/>
          <w:szCs w:val="20"/>
          <w:highlight w:val="white"/>
        </w:rPr>
        <w:t>₈</w:t>
      </w:r>
      <w:r w:rsidRPr="008B6B33">
        <w:rPr>
          <w:sz w:val="20"/>
          <w:szCs w:val="20"/>
          <w:highlight w:val="white"/>
        </w:rPr>
        <w:t>. Titratable acidity was lowest (0.10%) in T</w:t>
      </w:r>
      <w:r w:rsidRPr="008B6B33">
        <w:rPr>
          <w:rFonts w:ascii="Cambria Math" w:hAnsi="Cambria Math" w:cs="Cambria Math"/>
          <w:sz w:val="20"/>
          <w:szCs w:val="20"/>
          <w:highlight w:val="white"/>
        </w:rPr>
        <w:t>₄</w:t>
      </w:r>
      <w:r w:rsidRPr="008B6B33">
        <w:rPr>
          <w:sz w:val="20"/>
          <w:szCs w:val="20"/>
          <w:highlight w:val="white"/>
        </w:rPr>
        <w:t>, indicating improved sugar-acid balance, which directly contributes to consumer preference and marketability.</w:t>
      </w:r>
    </w:p>
    <w:p w:rsidR="00067649" w:rsidRPr="008B6B33" w:rsidRDefault="00F72453" w:rsidP="002215CB">
      <w:pPr>
        <w:pStyle w:val="NoSpacing"/>
        <w:ind w:firstLine="720"/>
        <w:jc w:val="both"/>
        <w:rPr>
          <w:sz w:val="20"/>
          <w:szCs w:val="20"/>
          <w:highlight w:val="white"/>
        </w:rPr>
      </w:pPr>
      <w:r w:rsidRPr="008B6B33">
        <w:rPr>
          <w:sz w:val="20"/>
          <w:szCs w:val="20"/>
          <w:highlight w:val="white"/>
        </w:rPr>
        <w:t xml:space="preserve">Enhanced fruit quality under INM is primarily due to improved nutrient balance and microbial activity, which promote better carbohydrate metabolism and accumulation of soluble solids in the fruit (Thomas, 2025). Organic amendments also provide secondary and micronutrients, improving vitamin and sugar synthesis. Similar improvements in quality traits have been reported by Agrawal and </w:t>
      </w:r>
      <w:proofErr w:type="spellStart"/>
      <w:r w:rsidRPr="008B6B33">
        <w:rPr>
          <w:sz w:val="20"/>
          <w:szCs w:val="20"/>
          <w:highlight w:val="white"/>
        </w:rPr>
        <w:t>Sahu</w:t>
      </w:r>
      <w:proofErr w:type="spellEnd"/>
      <w:r w:rsidRPr="008B6B33">
        <w:rPr>
          <w:sz w:val="20"/>
          <w:szCs w:val="20"/>
          <w:highlight w:val="white"/>
        </w:rPr>
        <w:t xml:space="preserve"> (2021) in papaya, where integrated systems improved sweetness, firmness, and shelf life.</w:t>
      </w:r>
    </w:p>
    <w:p w:rsidR="00D21727" w:rsidRPr="008B6B33" w:rsidRDefault="00F72453" w:rsidP="00D21727">
      <w:pPr>
        <w:pStyle w:val="NoSpacing"/>
        <w:jc w:val="both"/>
        <w:rPr>
          <w:sz w:val="20"/>
          <w:szCs w:val="20"/>
          <w:highlight w:val="white"/>
        </w:rPr>
      </w:pPr>
      <w:r w:rsidRPr="008B6B33">
        <w:rPr>
          <w:sz w:val="20"/>
          <w:szCs w:val="20"/>
          <w:highlight w:val="white"/>
        </w:rPr>
        <w:t xml:space="preserve">These findings also agree with Chawla and </w:t>
      </w:r>
      <w:proofErr w:type="spellStart"/>
      <w:r w:rsidRPr="008B6B33">
        <w:rPr>
          <w:sz w:val="20"/>
          <w:szCs w:val="20"/>
          <w:highlight w:val="white"/>
        </w:rPr>
        <w:t>Sadawarti</w:t>
      </w:r>
      <w:proofErr w:type="spellEnd"/>
      <w:r w:rsidRPr="008B6B33">
        <w:rPr>
          <w:sz w:val="20"/>
          <w:szCs w:val="20"/>
          <w:highlight w:val="white"/>
        </w:rPr>
        <w:t xml:space="preserve"> (2020), who found that INM enhances enzymatic activities involved in sugar and ascorbic acid synthesis, improving fruit palatability and nutritional quality.</w:t>
      </w:r>
      <w:r w:rsidR="00D21727" w:rsidRPr="00D21727">
        <w:rPr>
          <w:sz w:val="20"/>
          <w:szCs w:val="20"/>
          <w:highlight w:val="white"/>
        </w:rPr>
        <w:t xml:space="preserve"> </w:t>
      </w:r>
      <w:r w:rsidR="00D21727" w:rsidRPr="008B6B33">
        <w:rPr>
          <w:sz w:val="20"/>
          <w:szCs w:val="20"/>
          <w:highlight w:val="white"/>
        </w:rPr>
        <w:t xml:space="preserve">The present findings align with the results of Singh and Tripathi (2022), who reported that RDF 75% + </w:t>
      </w:r>
      <w:proofErr w:type="spellStart"/>
      <w:r w:rsidR="00D21727" w:rsidRPr="008B6B33">
        <w:rPr>
          <w:i/>
          <w:iCs/>
          <w:sz w:val="20"/>
          <w:szCs w:val="20"/>
          <w:highlight w:val="white"/>
        </w:rPr>
        <w:t>Azotobacter</w:t>
      </w:r>
      <w:proofErr w:type="spellEnd"/>
      <w:r w:rsidR="00D21727" w:rsidRPr="008B6B33">
        <w:rPr>
          <w:sz w:val="20"/>
          <w:szCs w:val="20"/>
          <w:highlight w:val="white"/>
        </w:rPr>
        <w:t xml:space="preserve"> + </w:t>
      </w:r>
      <w:r w:rsidR="00D21727" w:rsidRPr="008B6B33">
        <w:rPr>
          <w:i/>
          <w:iCs/>
          <w:sz w:val="20"/>
          <w:szCs w:val="20"/>
          <w:highlight w:val="white"/>
        </w:rPr>
        <w:t>PSB</w:t>
      </w:r>
      <w:r w:rsidR="00D21727" w:rsidRPr="008B6B33">
        <w:rPr>
          <w:sz w:val="20"/>
          <w:szCs w:val="20"/>
          <w:highlight w:val="white"/>
        </w:rPr>
        <w:t xml:space="preserve"> + vermicompost enhanced sugar accumulation and reduced fruit acidity in papaya. </w:t>
      </w:r>
    </w:p>
    <w:p w:rsidR="00067649" w:rsidRDefault="00067649" w:rsidP="00127D32">
      <w:pPr>
        <w:pStyle w:val="NoSpacing"/>
        <w:jc w:val="both"/>
        <w:rPr>
          <w:sz w:val="20"/>
          <w:szCs w:val="20"/>
          <w:highlight w:val="white"/>
        </w:rPr>
      </w:pPr>
    </w:p>
    <w:p w:rsidR="00BF7AC5" w:rsidRPr="008B6B33" w:rsidRDefault="00BF7AC5" w:rsidP="00127D32">
      <w:pPr>
        <w:pStyle w:val="NoSpacing"/>
        <w:jc w:val="both"/>
        <w:rPr>
          <w:sz w:val="20"/>
          <w:szCs w:val="20"/>
          <w:highlight w:val="white"/>
        </w:rPr>
      </w:pPr>
    </w:p>
    <w:p w:rsidR="00067649" w:rsidRPr="00BF7AC5" w:rsidRDefault="00F72453" w:rsidP="00BF7AC5">
      <w:pPr>
        <w:pStyle w:val="NoSpacing"/>
        <w:jc w:val="center"/>
        <w:rPr>
          <w:b/>
          <w:sz w:val="20"/>
          <w:szCs w:val="20"/>
          <w:highlight w:val="white"/>
        </w:rPr>
      </w:pPr>
      <w:bookmarkStart w:id="23" w:name="_b1ur4tb2igdc" w:colFirst="0" w:colLast="0"/>
      <w:bookmarkEnd w:id="23"/>
      <w:r w:rsidRPr="00BF7AC5">
        <w:rPr>
          <w:b/>
          <w:sz w:val="20"/>
          <w:szCs w:val="20"/>
          <w:highlight w:val="white"/>
        </w:rPr>
        <w:t>Table 3. Effect of INM on Fruit Quality of Papaya cv. Red Lady</w:t>
      </w:r>
    </w:p>
    <w:tbl>
      <w:tblPr>
        <w:tblStyle w:val="a2"/>
        <w:tblW w:w="86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14"/>
        <w:gridCol w:w="1340"/>
        <w:gridCol w:w="1101"/>
        <w:gridCol w:w="2637"/>
        <w:gridCol w:w="2368"/>
      </w:tblGrid>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Treatment</w:t>
            </w:r>
          </w:p>
        </w:tc>
        <w:tc>
          <w:tcPr>
            <w:tcW w:w="134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TSS (°Brix)</w:t>
            </w:r>
          </w:p>
        </w:tc>
        <w:tc>
          <w:tcPr>
            <w:tcW w:w="1101"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Pulp (%)</w:t>
            </w:r>
          </w:p>
        </w:tc>
        <w:tc>
          <w:tcPr>
            <w:tcW w:w="2637"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Ascorbic Acid (mg/100 g)</w:t>
            </w:r>
          </w:p>
        </w:tc>
        <w:tc>
          <w:tcPr>
            <w:tcW w:w="2368"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Titratable Acidity (%)</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₁</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13.42</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86.42</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61.2</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0.15</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₂</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14.15</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88.10</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65.4</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0.13</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₃</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14.36</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88.64</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66.1</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0.12</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lastRenderedPageBreak/>
              <w:t>T</w:t>
            </w:r>
            <w:r w:rsidRPr="00BF7AC5">
              <w:rPr>
                <w:rFonts w:ascii="Cambria Math" w:hAnsi="Cambria Math" w:cs="Cambria Math"/>
                <w:b/>
                <w:sz w:val="20"/>
                <w:szCs w:val="20"/>
                <w:highlight w:val="white"/>
              </w:rPr>
              <w:t>₄</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15.64</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90.28</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69.8</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0.10</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₅</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14.72</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89.35</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68.2</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0.11</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₆</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15.10</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89.60</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68.5</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0.11</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₇</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14.48</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88.83</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67.2</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0.12</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₈</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15.22</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89.84</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68.8</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0.11</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₉</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14.91</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89.22</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67.7</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0.12</w:t>
            </w:r>
          </w:p>
        </w:tc>
      </w:tr>
      <w:tr w:rsidR="00067649" w:rsidRPr="008B6B33" w:rsidTr="00BF7AC5">
        <w:trPr>
          <w:trHeight w:val="166"/>
          <w:jc w:val="center"/>
        </w:trPr>
        <w:tc>
          <w:tcPr>
            <w:tcW w:w="1214"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₁₀</w:t>
            </w:r>
          </w:p>
        </w:tc>
        <w:tc>
          <w:tcPr>
            <w:tcW w:w="1340"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11.35</w:t>
            </w:r>
          </w:p>
        </w:tc>
        <w:tc>
          <w:tcPr>
            <w:tcW w:w="1101"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84.11</w:t>
            </w:r>
          </w:p>
        </w:tc>
        <w:tc>
          <w:tcPr>
            <w:tcW w:w="2637"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58.3</w:t>
            </w:r>
          </w:p>
        </w:tc>
        <w:tc>
          <w:tcPr>
            <w:tcW w:w="2368" w:type="dxa"/>
            <w:tcMar>
              <w:top w:w="100" w:type="dxa"/>
              <w:left w:w="100" w:type="dxa"/>
              <w:bottom w:w="100" w:type="dxa"/>
              <w:right w:w="100" w:type="dxa"/>
            </w:tcMar>
          </w:tcPr>
          <w:p w:rsidR="00067649" w:rsidRPr="008B6B33" w:rsidRDefault="00F72453" w:rsidP="00BF7AC5">
            <w:pPr>
              <w:pStyle w:val="NoSpacing"/>
              <w:jc w:val="center"/>
              <w:rPr>
                <w:sz w:val="20"/>
                <w:szCs w:val="20"/>
                <w:highlight w:val="white"/>
              </w:rPr>
            </w:pPr>
            <w:r w:rsidRPr="008B6B33">
              <w:rPr>
                <w:sz w:val="20"/>
                <w:szCs w:val="20"/>
                <w:highlight w:val="white"/>
              </w:rPr>
              <w:t>0.18</w:t>
            </w:r>
          </w:p>
        </w:tc>
      </w:tr>
      <w:tr w:rsidR="00390E8A" w:rsidRPr="008B6B33" w:rsidTr="00262D25">
        <w:trPr>
          <w:trHeight w:val="166"/>
          <w:jc w:val="center"/>
        </w:trPr>
        <w:tc>
          <w:tcPr>
            <w:tcW w:w="1214"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proofErr w:type="spellStart"/>
            <w:r w:rsidRPr="00390E8A">
              <w:rPr>
                <w:rFonts w:eastAsia="Times New Roman"/>
                <w:b/>
                <w:bCs/>
                <w:sz w:val="20"/>
                <w:szCs w:val="24"/>
                <w:highlight w:val="yellow"/>
                <w:lang w:val="en-IN"/>
              </w:rPr>
              <w:t>SEm</w:t>
            </w:r>
            <w:proofErr w:type="spellEnd"/>
            <w:r w:rsidRPr="00390E8A">
              <w:rPr>
                <w:rFonts w:eastAsia="Times New Roman"/>
                <w:b/>
                <w:bCs/>
                <w:sz w:val="20"/>
                <w:szCs w:val="24"/>
                <w:highlight w:val="yellow"/>
                <w:lang w:val="en-IN"/>
              </w:rPr>
              <w:t xml:space="preserve"> ±</w:t>
            </w:r>
          </w:p>
        </w:tc>
        <w:tc>
          <w:tcPr>
            <w:tcW w:w="1340"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0.21</w:t>
            </w:r>
          </w:p>
        </w:tc>
        <w:tc>
          <w:tcPr>
            <w:tcW w:w="1101"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0.64</w:t>
            </w:r>
          </w:p>
        </w:tc>
        <w:tc>
          <w:tcPr>
            <w:tcW w:w="2637"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0.92</w:t>
            </w:r>
          </w:p>
        </w:tc>
        <w:tc>
          <w:tcPr>
            <w:tcW w:w="2368"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0.006</w:t>
            </w:r>
          </w:p>
        </w:tc>
      </w:tr>
      <w:tr w:rsidR="00390E8A" w:rsidRPr="008B6B33" w:rsidTr="00ED373D">
        <w:trPr>
          <w:trHeight w:val="166"/>
          <w:jc w:val="center"/>
        </w:trPr>
        <w:tc>
          <w:tcPr>
            <w:tcW w:w="1214"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CD (5%)</w:t>
            </w:r>
          </w:p>
        </w:tc>
        <w:tc>
          <w:tcPr>
            <w:tcW w:w="1340"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0.42</w:t>
            </w:r>
          </w:p>
        </w:tc>
        <w:tc>
          <w:tcPr>
            <w:tcW w:w="1101"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1.28</w:t>
            </w:r>
          </w:p>
        </w:tc>
        <w:tc>
          <w:tcPr>
            <w:tcW w:w="2637"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1.85</w:t>
            </w:r>
          </w:p>
        </w:tc>
        <w:tc>
          <w:tcPr>
            <w:tcW w:w="2368" w:type="dxa"/>
            <w:tcMar>
              <w:top w:w="100" w:type="dxa"/>
              <w:left w:w="100" w:type="dxa"/>
              <w:bottom w:w="100" w:type="dxa"/>
              <w:right w:w="100" w:type="dxa"/>
            </w:tcMar>
            <w:vAlign w:val="center"/>
          </w:tcPr>
          <w:p w:rsidR="00390E8A" w:rsidRPr="00390E8A" w:rsidRDefault="00390E8A" w:rsidP="00390E8A">
            <w:pPr>
              <w:spacing w:line="240" w:lineRule="auto"/>
              <w:jc w:val="center"/>
              <w:rPr>
                <w:rFonts w:eastAsia="Times New Roman"/>
                <w:sz w:val="20"/>
                <w:szCs w:val="24"/>
                <w:highlight w:val="yellow"/>
                <w:lang w:val="en-IN"/>
              </w:rPr>
            </w:pPr>
            <w:r w:rsidRPr="00390E8A">
              <w:rPr>
                <w:rFonts w:eastAsia="Times New Roman"/>
                <w:b/>
                <w:bCs/>
                <w:sz w:val="20"/>
                <w:szCs w:val="24"/>
                <w:highlight w:val="yellow"/>
                <w:lang w:val="en-IN"/>
              </w:rPr>
              <w:t>0.012</w:t>
            </w:r>
          </w:p>
        </w:tc>
      </w:tr>
    </w:tbl>
    <w:p w:rsidR="00BF7AC5" w:rsidRDefault="00BF7AC5" w:rsidP="00127D32">
      <w:pPr>
        <w:pStyle w:val="NoSpacing"/>
        <w:jc w:val="both"/>
        <w:rPr>
          <w:sz w:val="20"/>
          <w:szCs w:val="20"/>
          <w:highlight w:val="white"/>
        </w:rPr>
      </w:pPr>
    </w:p>
    <w:p w:rsidR="00390E8A" w:rsidRPr="00E171D3" w:rsidRDefault="00E171D3" w:rsidP="00E171D3">
      <w:pPr>
        <w:pStyle w:val="NoSpacing"/>
        <w:jc w:val="center"/>
        <w:rPr>
          <w:sz w:val="20"/>
          <w:szCs w:val="20"/>
          <w:highlight w:val="yellow"/>
        </w:rPr>
      </w:pPr>
      <w:r w:rsidRPr="00E171D3">
        <w:rPr>
          <w:noProof/>
          <w:sz w:val="20"/>
          <w:szCs w:val="20"/>
          <w:highlight w:val="yellow"/>
        </w:rPr>
        <w:drawing>
          <wp:inline distT="0" distB="0" distL="0" distR="0">
            <wp:extent cx="4000500" cy="26479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647950"/>
                    </a:xfrm>
                    <a:prstGeom prst="rect">
                      <a:avLst/>
                    </a:prstGeom>
                    <a:noFill/>
                    <a:ln w="3175">
                      <a:solidFill>
                        <a:schemeClr val="tx1"/>
                      </a:solidFill>
                    </a:ln>
                  </pic:spPr>
                </pic:pic>
              </a:graphicData>
            </a:graphic>
          </wp:inline>
        </w:drawing>
      </w:r>
    </w:p>
    <w:p w:rsidR="00E171D3" w:rsidRPr="00E171D3" w:rsidRDefault="00E171D3" w:rsidP="00E171D3">
      <w:pPr>
        <w:pStyle w:val="NoSpacing"/>
        <w:jc w:val="center"/>
        <w:rPr>
          <w:b/>
          <w:sz w:val="20"/>
          <w:szCs w:val="20"/>
          <w:highlight w:val="yellow"/>
        </w:rPr>
      </w:pPr>
      <w:r w:rsidRPr="00E171D3">
        <w:rPr>
          <w:b/>
          <w:sz w:val="20"/>
          <w:szCs w:val="20"/>
          <w:highlight w:val="yellow"/>
        </w:rPr>
        <w:t xml:space="preserve">Fig. </w:t>
      </w:r>
      <w:r w:rsidR="00FF7846">
        <w:rPr>
          <w:b/>
          <w:sz w:val="20"/>
          <w:szCs w:val="20"/>
          <w:highlight w:val="yellow"/>
        </w:rPr>
        <w:t>3</w:t>
      </w:r>
      <w:r>
        <w:rPr>
          <w:b/>
          <w:sz w:val="20"/>
          <w:szCs w:val="20"/>
          <w:highlight w:val="yellow"/>
        </w:rPr>
        <w:t>:</w:t>
      </w:r>
      <w:r w:rsidRPr="00E171D3">
        <w:rPr>
          <w:b/>
          <w:sz w:val="20"/>
          <w:szCs w:val="20"/>
          <w:highlight w:val="yellow"/>
        </w:rPr>
        <w:t xml:space="preserve"> Effect of INM on Fruit Quality of Papaya cv. Red Lady</w:t>
      </w:r>
    </w:p>
    <w:p w:rsidR="00E171D3" w:rsidRPr="00E171D3" w:rsidRDefault="00E171D3" w:rsidP="00E171D3">
      <w:pPr>
        <w:pStyle w:val="NoSpacing"/>
        <w:jc w:val="center"/>
        <w:rPr>
          <w:b/>
          <w:sz w:val="20"/>
          <w:szCs w:val="20"/>
          <w:highlight w:val="white"/>
        </w:rPr>
      </w:pPr>
    </w:p>
    <w:p w:rsidR="00390E8A" w:rsidRPr="00390E8A" w:rsidRDefault="00390E8A" w:rsidP="00390E8A">
      <w:pPr>
        <w:spacing w:line="240" w:lineRule="auto"/>
        <w:rPr>
          <w:rFonts w:ascii="Times New Roman" w:eastAsia="Times New Roman" w:hAnsi="Times New Roman" w:cs="Times New Roman"/>
          <w:vanish/>
          <w:sz w:val="24"/>
          <w:szCs w:val="24"/>
          <w:lang w:val="en-IN"/>
        </w:rPr>
      </w:pPr>
    </w:p>
    <w:p w:rsidR="00067649" w:rsidRPr="00BF7AC5" w:rsidRDefault="00F72453" w:rsidP="00127D32">
      <w:pPr>
        <w:pStyle w:val="NoSpacing"/>
        <w:jc w:val="both"/>
        <w:rPr>
          <w:b/>
          <w:sz w:val="20"/>
          <w:szCs w:val="20"/>
          <w:highlight w:val="white"/>
        </w:rPr>
      </w:pPr>
      <w:bookmarkStart w:id="24" w:name="_52br31j09vdd" w:colFirst="0" w:colLast="0"/>
      <w:bookmarkEnd w:id="24"/>
      <w:r w:rsidRPr="00BF7AC5">
        <w:rPr>
          <w:b/>
          <w:sz w:val="20"/>
          <w:szCs w:val="20"/>
          <w:highlight w:val="white"/>
        </w:rPr>
        <w:t>3.4 Post-Harvest Soil Fertility and Sustainability</w:t>
      </w:r>
    </w:p>
    <w:p w:rsidR="00067649" w:rsidRPr="008B6B33" w:rsidRDefault="00F72453" w:rsidP="00127D32">
      <w:pPr>
        <w:pStyle w:val="NoSpacing"/>
        <w:jc w:val="both"/>
        <w:rPr>
          <w:sz w:val="20"/>
          <w:szCs w:val="20"/>
          <w:highlight w:val="white"/>
        </w:rPr>
      </w:pPr>
      <w:r w:rsidRPr="008B6B33">
        <w:rPr>
          <w:sz w:val="20"/>
          <w:szCs w:val="20"/>
          <w:highlight w:val="white"/>
        </w:rPr>
        <w:t xml:space="preserve">Post-harvest soil </w:t>
      </w:r>
      <w:r w:rsidRPr="002215CB">
        <w:rPr>
          <w:sz w:val="20"/>
          <w:szCs w:val="20"/>
          <w:highlight w:val="yellow"/>
        </w:rPr>
        <w:t>analysis indicated that the integrated nutrient management practices markedly improved soil fertility status (Table 4</w:t>
      </w:r>
      <w:r w:rsidR="002215CB" w:rsidRPr="002215CB">
        <w:rPr>
          <w:sz w:val="20"/>
          <w:szCs w:val="20"/>
          <w:highlight w:val="yellow"/>
        </w:rPr>
        <w:t xml:space="preserve"> and Fig. 4</w:t>
      </w:r>
      <w:r w:rsidRPr="002215CB">
        <w:rPr>
          <w:sz w:val="20"/>
          <w:szCs w:val="20"/>
          <w:highlight w:val="yellow"/>
        </w:rPr>
        <w:t xml:space="preserve">). </w:t>
      </w:r>
      <w:r w:rsidRPr="008B6B33">
        <w:rPr>
          <w:sz w:val="20"/>
          <w:szCs w:val="20"/>
          <w:highlight w:val="white"/>
        </w:rPr>
        <w:t>Organic carbon, available nitrogen, phosphorus, and potassium increased significantly under INM treatments compared to full RDF and the control. The maximum organic carbon (0.57%) and available N (298 kg ha</w:t>
      </w:r>
      <w:r w:rsidRPr="008B6B33">
        <w:rPr>
          <w:rFonts w:ascii="Cambria Math" w:hAnsi="Cambria Math" w:cs="Cambria Math"/>
          <w:sz w:val="20"/>
          <w:szCs w:val="20"/>
          <w:highlight w:val="white"/>
        </w:rPr>
        <w:t>⁻</w:t>
      </w:r>
      <w:r w:rsidRPr="008B6B33">
        <w:rPr>
          <w:sz w:val="20"/>
          <w:szCs w:val="20"/>
          <w:highlight w:val="white"/>
        </w:rPr>
        <w:t>¹) were recorded under T</w:t>
      </w:r>
      <w:r w:rsidRPr="008B6B33">
        <w:rPr>
          <w:rFonts w:ascii="Cambria Math" w:hAnsi="Cambria Math" w:cs="Cambria Math"/>
          <w:sz w:val="20"/>
          <w:szCs w:val="20"/>
          <w:highlight w:val="white"/>
        </w:rPr>
        <w:t>₈</w:t>
      </w:r>
      <w:r w:rsidRPr="008B6B33">
        <w:rPr>
          <w:sz w:val="20"/>
          <w:szCs w:val="20"/>
          <w:highlight w:val="white"/>
        </w:rPr>
        <w:t>, while T</w:t>
      </w:r>
      <w:r w:rsidRPr="008B6B33">
        <w:rPr>
          <w:rFonts w:ascii="Cambria Math" w:hAnsi="Cambria Math" w:cs="Cambria Math"/>
          <w:sz w:val="20"/>
          <w:szCs w:val="20"/>
          <w:highlight w:val="white"/>
        </w:rPr>
        <w:t>₆</w:t>
      </w:r>
      <w:r w:rsidRPr="008B6B33">
        <w:rPr>
          <w:sz w:val="20"/>
          <w:szCs w:val="20"/>
          <w:highlight w:val="white"/>
        </w:rPr>
        <w:t xml:space="preserve"> and T</w:t>
      </w:r>
      <w:r w:rsidRPr="008B6B33">
        <w:rPr>
          <w:rFonts w:ascii="Cambria Math" w:hAnsi="Cambria Math" w:cs="Cambria Math"/>
          <w:sz w:val="20"/>
          <w:szCs w:val="20"/>
          <w:highlight w:val="white"/>
        </w:rPr>
        <w:t>₄</w:t>
      </w:r>
      <w:r w:rsidRPr="008B6B33">
        <w:rPr>
          <w:sz w:val="20"/>
          <w:szCs w:val="20"/>
          <w:highlight w:val="white"/>
        </w:rPr>
        <w:t xml:space="preserve"> followed closely.</w:t>
      </w:r>
    </w:p>
    <w:p w:rsidR="00067649" w:rsidRDefault="00F72453" w:rsidP="00BF7AC5">
      <w:pPr>
        <w:pStyle w:val="NoSpacing"/>
        <w:ind w:firstLine="720"/>
        <w:jc w:val="both"/>
        <w:rPr>
          <w:sz w:val="20"/>
          <w:szCs w:val="20"/>
          <w:highlight w:val="white"/>
        </w:rPr>
      </w:pPr>
      <w:r w:rsidRPr="008B6B33">
        <w:rPr>
          <w:sz w:val="20"/>
          <w:szCs w:val="20"/>
          <w:highlight w:val="white"/>
        </w:rPr>
        <w:t>This improvement may be attributed to the cumulative effect of organic inputs and microbial inoculants that facilitate mineralization, humus formation, and nutrient retention. The presence of organic residues enhances cation exchange capacity (CEC), improving nutrient holding and reducing losses (</w:t>
      </w:r>
      <w:r w:rsidRPr="00A210B9">
        <w:rPr>
          <w:sz w:val="20"/>
          <w:szCs w:val="20"/>
          <w:highlight w:val="yellow"/>
        </w:rPr>
        <w:t xml:space="preserve">Srivastava </w:t>
      </w:r>
      <w:r w:rsidR="00A210B9" w:rsidRPr="00A210B9">
        <w:rPr>
          <w:sz w:val="20"/>
          <w:szCs w:val="20"/>
          <w:highlight w:val="yellow"/>
        </w:rPr>
        <w:t>et al.,</w:t>
      </w:r>
      <w:r w:rsidRPr="00A210B9">
        <w:rPr>
          <w:sz w:val="20"/>
          <w:szCs w:val="20"/>
          <w:highlight w:val="yellow"/>
        </w:rPr>
        <w:t xml:space="preserve"> 2019).</w:t>
      </w:r>
      <w:r w:rsidR="00BF7AC5" w:rsidRPr="00A210B9">
        <w:rPr>
          <w:sz w:val="20"/>
          <w:szCs w:val="20"/>
          <w:highlight w:val="yellow"/>
        </w:rPr>
        <w:t xml:space="preserve"> </w:t>
      </w:r>
      <w:r w:rsidR="00BF7AC5" w:rsidRPr="00A210B9">
        <w:rPr>
          <w:sz w:val="20"/>
          <w:szCs w:val="20"/>
          <w:highlight w:val="yellow"/>
        </w:rPr>
        <w:tab/>
      </w:r>
      <w:r w:rsidRPr="00A210B9">
        <w:rPr>
          <w:sz w:val="20"/>
          <w:szCs w:val="20"/>
          <w:highlight w:val="yellow"/>
        </w:rPr>
        <w:t xml:space="preserve">According </w:t>
      </w:r>
      <w:r w:rsidRPr="00A55A7F">
        <w:rPr>
          <w:sz w:val="20"/>
          <w:szCs w:val="20"/>
          <w:highlight w:val="yellow"/>
        </w:rPr>
        <w:t xml:space="preserve">to </w:t>
      </w:r>
      <w:r w:rsidR="008C67DD">
        <w:rPr>
          <w:sz w:val="20"/>
          <w:szCs w:val="20"/>
          <w:highlight w:val="yellow"/>
        </w:rPr>
        <w:t>recent study</w:t>
      </w:r>
      <w:r w:rsidRPr="00A55A7F">
        <w:rPr>
          <w:sz w:val="20"/>
          <w:szCs w:val="20"/>
          <w:highlight w:val="yellow"/>
        </w:rPr>
        <w:t xml:space="preserve"> INM </w:t>
      </w:r>
      <w:r w:rsidRPr="008B6B33">
        <w:rPr>
          <w:sz w:val="20"/>
          <w:szCs w:val="20"/>
          <w:highlight w:val="white"/>
        </w:rPr>
        <w:t xml:space="preserve">treatments involving PSB, </w:t>
      </w:r>
      <w:proofErr w:type="spellStart"/>
      <w:r w:rsidRPr="008B6B33">
        <w:rPr>
          <w:i/>
          <w:iCs/>
          <w:sz w:val="20"/>
          <w:szCs w:val="20"/>
          <w:highlight w:val="white"/>
        </w:rPr>
        <w:t>Azotobacter</w:t>
      </w:r>
      <w:proofErr w:type="spellEnd"/>
      <w:r w:rsidRPr="008B6B33">
        <w:rPr>
          <w:sz w:val="20"/>
          <w:szCs w:val="20"/>
          <w:highlight w:val="white"/>
        </w:rPr>
        <w:t xml:space="preserve">, and </w:t>
      </w:r>
      <w:proofErr w:type="spellStart"/>
      <w:r w:rsidRPr="008B6B33">
        <w:rPr>
          <w:i/>
          <w:iCs/>
          <w:sz w:val="20"/>
          <w:szCs w:val="20"/>
          <w:highlight w:val="white"/>
        </w:rPr>
        <w:t>Azospirillum</w:t>
      </w:r>
      <w:proofErr w:type="spellEnd"/>
      <w:r w:rsidRPr="008B6B33">
        <w:rPr>
          <w:sz w:val="20"/>
          <w:szCs w:val="20"/>
          <w:highlight w:val="white"/>
        </w:rPr>
        <w:t xml:space="preserve"> improved soil microbial activity and nutrient availability while maintaining soil pH within the optimal range. Similar improvements in soil organic matter and nutrient status have been reported in other fruit crops such as mango and citrus under INM regimes </w:t>
      </w:r>
      <w:r w:rsidRPr="00A210B9">
        <w:rPr>
          <w:sz w:val="20"/>
          <w:szCs w:val="20"/>
          <w:highlight w:val="yellow"/>
        </w:rPr>
        <w:t>(</w:t>
      </w:r>
      <w:proofErr w:type="spellStart"/>
      <w:r w:rsidRPr="00A210B9">
        <w:rPr>
          <w:sz w:val="20"/>
          <w:szCs w:val="20"/>
          <w:highlight w:val="yellow"/>
        </w:rPr>
        <w:t>Chaurasia</w:t>
      </w:r>
      <w:proofErr w:type="spellEnd"/>
      <w:r w:rsidRPr="00A210B9">
        <w:rPr>
          <w:sz w:val="20"/>
          <w:szCs w:val="20"/>
          <w:highlight w:val="yellow"/>
        </w:rPr>
        <w:t xml:space="preserve"> </w:t>
      </w:r>
      <w:r w:rsidR="00A210B9" w:rsidRPr="00A210B9">
        <w:rPr>
          <w:sz w:val="20"/>
          <w:szCs w:val="20"/>
          <w:highlight w:val="yellow"/>
        </w:rPr>
        <w:t>et al.,</w:t>
      </w:r>
      <w:r w:rsidRPr="00A210B9">
        <w:rPr>
          <w:sz w:val="20"/>
          <w:szCs w:val="20"/>
          <w:highlight w:val="yellow"/>
        </w:rPr>
        <w:t xml:space="preserve"> 2025).</w:t>
      </w:r>
    </w:p>
    <w:p w:rsidR="00BF7AC5" w:rsidRPr="008B6B33" w:rsidRDefault="00BF7AC5" w:rsidP="00127D32">
      <w:pPr>
        <w:pStyle w:val="NoSpacing"/>
        <w:jc w:val="both"/>
        <w:rPr>
          <w:sz w:val="20"/>
          <w:szCs w:val="20"/>
          <w:highlight w:val="white"/>
        </w:rPr>
      </w:pPr>
    </w:p>
    <w:p w:rsidR="00067649" w:rsidRPr="00BF7AC5" w:rsidRDefault="00F72453" w:rsidP="00BF7AC5">
      <w:pPr>
        <w:pStyle w:val="NoSpacing"/>
        <w:jc w:val="center"/>
        <w:rPr>
          <w:b/>
          <w:sz w:val="20"/>
          <w:szCs w:val="20"/>
          <w:highlight w:val="white"/>
        </w:rPr>
      </w:pPr>
      <w:bookmarkStart w:id="25" w:name="_nu90xr7ms7hd" w:colFirst="0" w:colLast="0"/>
      <w:bookmarkEnd w:id="25"/>
      <w:r w:rsidRPr="00BF7AC5">
        <w:rPr>
          <w:b/>
          <w:sz w:val="20"/>
          <w:szCs w:val="20"/>
          <w:highlight w:val="white"/>
        </w:rPr>
        <w:t>Table 4</w:t>
      </w:r>
      <w:r w:rsidR="002215CB">
        <w:rPr>
          <w:b/>
          <w:sz w:val="20"/>
          <w:szCs w:val="20"/>
          <w:highlight w:val="white"/>
        </w:rPr>
        <w:t>:</w:t>
      </w:r>
      <w:r w:rsidRPr="00BF7AC5">
        <w:rPr>
          <w:b/>
          <w:sz w:val="20"/>
          <w:szCs w:val="20"/>
          <w:highlight w:val="white"/>
        </w:rPr>
        <w:t xml:space="preserve"> Effect of INM on Post-Harvest Soil Fertility of Papaya cv. Red Lady</w:t>
      </w:r>
    </w:p>
    <w:tbl>
      <w:tblPr>
        <w:tblStyle w:val="a3"/>
        <w:tblW w:w="90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06"/>
        <w:gridCol w:w="2060"/>
        <w:gridCol w:w="1948"/>
        <w:gridCol w:w="1906"/>
        <w:gridCol w:w="1948"/>
      </w:tblGrid>
      <w:tr w:rsidR="00067649" w:rsidRPr="008B6B33" w:rsidTr="00BF7AC5">
        <w:trPr>
          <w:trHeight w:val="14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Treatment</w:t>
            </w:r>
          </w:p>
        </w:tc>
        <w:tc>
          <w:tcPr>
            <w:tcW w:w="2060"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Organic Carbon (%)</w:t>
            </w:r>
          </w:p>
        </w:tc>
        <w:tc>
          <w:tcPr>
            <w:tcW w:w="1948"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Available N (kg/ha)</w:t>
            </w:r>
          </w:p>
        </w:tc>
        <w:tc>
          <w:tcPr>
            <w:tcW w:w="19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Available P (kg/ha)</w:t>
            </w:r>
          </w:p>
        </w:tc>
        <w:tc>
          <w:tcPr>
            <w:tcW w:w="1948"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Available K (kg/ha)</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₁</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0.41</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260</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19</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185</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lastRenderedPageBreak/>
              <w:t>T</w:t>
            </w:r>
            <w:r w:rsidRPr="00BF7AC5">
              <w:rPr>
                <w:rFonts w:ascii="Cambria Math" w:hAnsi="Cambria Math" w:cs="Cambria Math"/>
                <w:b/>
                <w:sz w:val="20"/>
                <w:szCs w:val="20"/>
                <w:highlight w:val="white"/>
              </w:rPr>
              <w:t>₂</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0.46</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273</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22</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198</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₃</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0.48</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276</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23</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201</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₄</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0.53</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291</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27</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218</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₅</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0.49</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279</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24</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204</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₆</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0.55</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294</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26</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213</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₇</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0.51</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281</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25</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208</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₈</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0.57</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298</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28</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220</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₉</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0.52</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282</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25</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209</w:t>
            </w:r>
          </w:p>
        </w:tc>
      </w:tr>
      <w:tr w:rsidR="00067649" w:rsidRPr="008B6B33" w:rsidTr="00BF7AC5">
        <w:trPr>
          <w:trHeight w:val="92"/>
        </w:trPr>
        <w:tc>
          <w:tcPr>
            <w:tcW w:w="1206" w:type="dxa"/>
            <w:tcMar>
              <w:top w:w="100" w:type="dxa"/>
              <w:left w:w="100" w:type="dxa"/>
              <w:bottom w:w="100" w:type="dxa"/>
              <w:right w:w="100" w:type="dxa"/>
            </w:tcMar>
          </w:tcPr>
          <w:p w:rsidR="00067649" w:rsidRPr="00BF7AC5" w:rsidRDefault="00F72453" w:rsidP="00BF7AC5">
            <w:pPr>
              <w:pStyle w:val="NoSpacing"/>
              <w:jc w:val="center"/>
              <w:rPr>
                <w:b/>
                <w:sz w:val="20"/>
                <w:szCs w:val="20"/>
                <w:highlight w:val="white"/>
              </w:rPr>
            </w:pPr>
            <w:r w:rsidRPr="00BF7AC5">
              <w:rPr>
                <w:b/>
                <w:sz w:val="20"/>
                <w:szCs w:val="20"/>
                <w:highlight w:val="white"/>
              </w:rPr>
              <w:t>T</w:t>
            </w:r>
            <w:r w:rsidRPr="00BF7AC5">
              <w:rPr>
                <w:rFonts w:ascii="Cambria Math" w:hAnsi="Cambria Math" w:cs="Cambria Math"/>
                <w:b/>
                <w:sz w:val="20"/>
                <w:szCs w:val="20"/>
                <w:highlight w:val="white"/>
              </w:rPr>
              <w:t>₁₀</w:t>
            </w:r>
          </w:p>
        </w:tc>
        <w:tc>
          <w:tcPr>
            <w:tcW w:w="2060"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0.36</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241</w:t>
            </w:r>
          </w:p>
        </w:tc>
        <w:tc>
          <w:tcPr>
            <w:tcW w:w="1906"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16</w:t>
            </w:r>
          </w:p>
        </w:tc>
        <w:tc>
          <w:tcPr>
            <w:tcW w:w="1948" w:type="dxa"/>
            <w:tcMar>
              <w:top w:w="100" w:type="dxa"/>
              <w:left w:w="100" w:type="dxa"/>
              <w:bottom w:w="100" w:type="dxa"/>
              <w:right w:w="100" w:type="dxa"/>
            </w:tcMar>
          </w:tcPr>
          <w:p w:rsidR="00067649" w:rsidRPr="00BF7AC5" w:rsidRDefault="00F72453" w:rsidP="00BF7AC5">
            <w:pPr>
              <w:pStyle w:val="NoSpacing"/>
              <w:jc w:val="center"/>
              <w:rPr>
                <w:sz w:val="20"/>
                <w:szCs w:val="20"/>
                <w:highlight w:val="white"/>
              </w:rPr>
            </w:pPr>
            <w:r w:rsidRPr="00BF7AC5">
              <w:rPr>
                <w:sz w:val="20"/>
                <w:szCs w:val="20"/>
                <w:highlight w:val="white"/>
              </w:rPr>
              <w:t>170</w:t>
            </w:r>
          </w:p>
        </w:tc>
      </w:tr>
      <w:tr w:rsidR="00F60E26" w:rsidRPr="008B6B33" w:rsidTr="00F87E22">
        <w:trPr>
          <w:trHeight w:val="92"/>
        </w:trPr>
        <w:tc>
          <w:tcPr>
            <w:tcW w:w="1206"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proofErr w:type="spellStart"/>
            <w:r w:rsidRPr="00F60E26">
              <w:rPr>
                <w:rFonts w:ascii="Times New Roman" w:eastAsia="Times New Roman" w:hAnsi="Times New Roman" w:cs="Times New Roman"/>
                <w:b/>
                <w:bCs/>
                <w:sz w:val="20"/>
                <w:szCs w:val="24"/>
                <w:highlight w:val="yellow"/>
                <w:lang w:val="en-IN"/>
              </w:rPr>
              <w:t>SEm</w:t>
            </w:r>
            <w:proofErr w:type="spellEnd"/>
            <w:r w:rsidRPr="00F60E26">
              <w:rPr>
                <w:rFonts w:ascii="Times New Roman" w:eastAsia="Times New Roman" w:hAnsi="Times New Roman" w:cs="Times New Roman"/>
                <w:b/>
                <w:bCs/>
                <w:sz w:val="20"/>
                <w:szCs w:val="24"/>
                <w:highlight w:val="yellow"/>
                <w:lang w:val="en-IN"/>
              </w:rPr>
              <w:t xml:space="preserve"> ±</w:t>
            </w:r>
          </w:p>
        </w:tc>
        <w:tc>
          <w:tcPr>
            <w:tcW w:w="2060"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0.015</w:t>
            </w:r>
          </w:p>
        </w:tc>
        <w:tc>
          <w:tcPr>
            <w:tcW w:w="1948"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3.85</w:t>
            </w:r>
          </w:p>
        </w:tc>
        <w:tc>
          <w:tcPr>
            <w:tcW w:w="1906"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0.72</w:t>
            </w:r>
          </w:p>
        </w:tc>
        <w:tc>
          <w:tcPr>
            <w:tcW w:w="1948"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4.65</w:t>
            </w:r>
          </w:p>
        </w:tc>
      </w:tr>
      <w:tr w:rsidR="00F60E26" w:rsidRPr="008B6B33" w:rsidTr="003468C0">
        <w:trPr>
          <w:trHeight w:val="92"/>
        </w:trPr>
        <w:tc>
          <w:tcPr>
            <w:tcW w:w="1206"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CD (5%)</w:t>
            </w:r>
          </w:p>
        </w:tc>
        <w:tc>
          <w:tcPr>
            <w:tcW w:w="2060"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0.031</w:t>
            </w:r>
          </w:p>
        </w:tc>
        <w:tc>
          <w:tcPr>
            <w:tcW w:w="1948"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7.70</w:t>
            </w:r>
          </w:p>
        </w:tc>
        <w:tc>
          <w:tcPr>
            <w:tcW w:w="1906"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1.45</w:t>
            </w:r>
          </w:p>
        </w:tc>
        <w:tc>
          <w:tcPr>
            <w:tcW w:w="1948" w:type="dxa"/>
            <w:tcMar>
              <w:top w:w="100" w:type="dxa"/>
              <w:left w:w="100" w:type="dxa"/>
              <w:bottom w:w="100" w:type="dxa"/>
              <w:right w:w="100" w:type="dxa"/>
            </w:tcMar>
            <w:vAlign w:val="center"/>
          </w:tcPr>
          <w:p w:rsidR="00F60E26" w:rsidRPr="00390E8A" w:rsidRDefault="00F60E26" w:rsidP="00F60E26">
            <w:pPr>
              <w:spacing w:line="240" w:lineRule="auto"/>
              <w:jc w:val="center"/>
              <w:rPr>
                <w:rFonts w:ascii="Times New Roman" w:eastAsia="Times New Roman" w:hAnsi="Times New Roman" w:cs="Times New Roman"/>
                <w:sz w:val="20"/>
                <w:szCs w:val="24"/>
                <w:highlight w:val="yellow"/>
                <w:lang w:val="en-IN"/>
              </w:rPr>
            </w:pPr>
            <w:r w:rsidRPr="00F60E26">
              <w:rPr>
                <w:rFonts w:ascii="Times New Roman" w:eastAsia="Times New Roman" w:hAnsi="Times New Roman" w:cs="Times New Roman"/>
                <w:b/>
                <w:bCs/>
                <w:sz w:val="20"/>
                <w:szCs w:val="24"/>
                <w:highlight w:val="yellow"/>
                <w:lang w:val="en-IN"/>
              </w:rPr>
              <w:t>9.30</w:t>
            </w:r>
          </w:p>
        </w:tc>
      </w:tr>
    </w:tbl>
    <w:p w:rsidR="00BF7AC5" w:rsidRDefault="00BF7AC5" w:rsidP="00127D32">
      <w:pPr>
        <w:pStyle w:val="NoSpacing"/>
        <w:jc w:val="both"/>
        <w:rPr>
          <w:sz w:val="20"/>
          <w:szCs w:val="20"/>
          <w:highlight w:val="white"/>
        </w:rPr>
      </w:pPr>
    </w:p>
    <w:p w:rsidR="00390E8A" w:rsidRPr="00E171D3" w:rsidRDefault="00E171D3" w:rsidP="00E171D3">
      <w:pPr>
        <w:spacing w:line="240" w:lineRule="auto"/>
        <w:jc w:val="center"/>
        <w:rPr>
          <w:rFonts w:ascii="Times New Roman" w:eastAsia="Times New Roman" w:hAnsi="Times New Roman" w:cs="Times New Roman"/>
          <w:sz w:val="24"/>
          <w:szCs w:val="24"/>
          <w:highlight w:val="yellow"/>
          <w:lang w:val="en-IN"/>
        </w:rPr>
      </w:pPr>
      <w:r w:rsidRPr="00E171D3">
        <w:rPr>
          <w:rFonts w:ascii="Times New Roman" w:eastAsia="Times New Roman" w:hAnsi="Times New Roman" w:cs="Times New Roman"/>
          <w:noProof/>
          <w:sz w:val="24"/>
          <w:szCs w:val="24"/>
          <w:highlight w:val="yellow"/>
          <w:lang w:val="en-IN"/>
        </w:rPr>
        <w:drawing>
          <wp:inline distT="0" distB="0" distL="0" distR="0">
            <wp:extent cx="4000500" cy="269240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692400"/>
                    </a:xfrm>
                    <a:prstGeom prst="rect">
                      <a:avLst/>
                    </a:prstGeom>
                    <a:noFill/>
                    <a:ln w="3175">
                      <a:solidFill>
                        <a:schemeClr val="tx1"/>
                      </a:solidFill>
                    </a:ln>
                  </pic:spPr>
                </pic:pic>
              </a:graphicData>
            </a:graphic>
          </wp:inline>
        </w:drawing>
      </w:r>
    </w:p>
    <w:p w:rsidR="00E171D3" w:rsidRPr="00E171D3" w:rsidRDefault="00E171D3" w:rsidP="00E171D3">
      <w:pPr>
        <w:pStyle w:val="NoSpacing"/>
        <w:jc w:val="center"/>
        <w:rPr>
          <w:b/>
          <w:sz w:val="20"/>
          <w:szCs w:val="20"/>
          <w:highlight w:val="yellow"/>
        </w:rPr>
      </w:pPr>
      <w:r w:rsidRPr="00E171D3">
        <w:rPr>
          <w:b/>
          <w:sz w:val="20"/>
          <w:szCs w:val="20"/>
          <w:highlight w:val="yellow"/>
        </w:rPr>
        <w:t xml:space="preserve">Fig. </w:t>
      </w:r>
      <w:r w:rsidR="00FF7846">
        <w:rPr>
          <w:b/>
          <w:sz w:val="20"/>
          <w:szCs w:val="20"/>
          <w:highlight w:val="yellow"/>
        </w:rPr>
        <w:t>4</w:t>
      </w:r>
      <w:r w:rsidRPr="00E171D3">
        <w:rPr>
          <w:b/>
          <w:sz w:val="20"/>
          <w:szCs w:val="20"/>
          <w:highlight w:val="yellow"/>
        </w:rPr>
        <w:t>: Effect of INM on Post-Harvest Soil Fertility of Papaya cv. Red Lady</w:t>
      </w:r>
    </w:p>
    <w:p w:rsidR="00E171D3" w:rsidRDefault="00E171D3" w:rsidP="00E171D3">
      <w:pPr>
        <w:spacing w:line="240" w:lineRule="auto"/>
        <w:jc w:val="center"/>
        <w:rPr>
          <w:rFonts w:ascii="Times New Roman" w:eastAsia="Times New Roman" w:hAnsi="Times New Roman" w:cs="Times New Roman"/>
          <w:sz w:val="24"/>
          <w:szCs w:val="24"/>
          <w:lang w:val="en-IN"/>
        </w:rPr>
      </w:pPr>
    </w:p>
    <w:p w:rsidR="00E171D3" w:rsidRPr="00390E8A" w:rsidRDefault="00E171D3" w:rsidP="00390E8A">
      <w:pPr>
        <w:spacing w:line="240" w:lineRule="auto"/>
        <w:rPr>
          <w:rFonts w:ascii="Times New Roman" w:eastAsia="Times New Roman" w:hAnsi="Times New Roman" w:cs="Times New Roman"/>
          <w:vanish/>
          <w:sz w:val="24"/>
          <w:szCs w:val="24"/>
          <w:lang w:val="en-IN"/>
        </w:rPr>
      </w:pPr>
    </w:p>
    <w:p w:rsidR="00067649" w:rsidRPr="008B6B33" w:rsidRDefault="00F72453" w:rsidP="00127D32">
      <w:pPr>
        <w:pStyle w:val="NoSpacing"/>
        <w:jc w:val="both"/>
        <w:rPr>
          <w:sz w:val="20"/>
          <w:szCs w:val="20"/>
          <w:highlight w:val="white"/>
        </w:rPr>
      </w:pPr>
      <w:r w:rsidRPr="008B6B33">
        <w:rPr>
          <w:sz w:val="20"/>
          <w:szCs w:val="20"/>
          <w:highlight w:val="white"/>
        </w:rPr>
        <w:t>These results indicate that organic and microbial sources not only supply nutrients but also improve soil structure and biological health, ensuring sustainable fertility restoration (</w:t>
      </w:r>
      <w:proofErr w:type="spellStart"/>
      <w:r w:rsidR="00A210B9" w:rsidRPr="00A210B9">
        <w:rPr>
          <w:sz w:val="20"/>
          <w:szCs w:val="20"/>
          <w:highlight w:val="yellow"/>
        </w:rPr>
        <w:t>Zala</w:t>
      </w:r>
      <w:proofErr w:type="spellEnd"/>
      <w:r w:rsidR="00A210B9">
        <w:rPr>
          <w:sz w:val="20"/>
          <w:szCs w:val="20"/>
          <w:highlight w:val="yellow"/>
        </w:rPr>
        <w:t xml:space="preserve"> et al., 2024</w:t>
      </w:r>
      <w:r w:rsidRPr="008B6B33">
        <w:rPr>
          <w:sz w:val="20"/>
          <w:szCs w:val="20"/>
          <w:highlight w:val="white"/>
        </w:rPr>
        <w:t>). The combination of vermicompost and biofertilizers fosters a dynamic soil microbial ecosystem that supports long-term productivity.</w:t>
      </w:r>
    </w:p>
    <w:p w:rsidR="00067649" w:rsidRPr="008B6B33" w:rsidRDefault="00067649" w:rsidP="00127D32">
      <w:pPr>
        <w:pStyle w:val="NoSpacing"/>
        <w:jc w:val="both"/>
        <w:rPr>
          <w:sz w:val="20"/>
          <w:szCs w:val="20"/>
          <w:highlight w:val="white"/>
        </w:rPr>
      </w:pPr>
      <w:bookmarkStart w:id="26" w:name="_3ietmkip6v69" w:colFirst="0" w:colLast="0"/>
      <w:bookmarkEnd w:id="26"/>
    </w:p>
    <w:p w:rsidR="00067649" w:rsidRPr="008B6B33" w:rsidRDefault="00F72453" w:rsidP="00BF7AC5">
      <w:pPr>
        <w:pStyle w:val="NoSpacing"/>
        <w:ind w:firstLine="720"/>
        <w:jc w:val="both"/>
        <w:rPr>
          <w:sz w:val="20"/>
          <w:szCs w:val="20"/>
          <w:highlight w:val="white"/>
        </w:rPr>
      </w:pPr>
      <w:r w:rsidRPr="008B6B33">
        <w:rPr>
          <w:sz w:val="20"/>
          <w:szCs w:val="20"/>
          <w:highlight w:val="white"/>
        </w:rPr>
        <w:t>The study clearly demonstrates that the partial substitution (25–50%) of chemical fertilizers with bio-enriched vermicompost significantly improves plant growth, yield, fruit quality, and soil health. Among all treatments, T</w:t>
      </w:r>
      <w:r w:rsidRPr="008B6B33">
        <w:rPr>
          <w:rFonts w:ascii="Cambria Math" w:hAnsi="Cambria Math" w:cs="Cambria Math"/>
          <w:sz w:val="20"/>
          <w:szCs w:val="20"/>
          <w:highlight w:val="white"/>
        </w:rPr>
        <w:t>₄</w:t>
      </w:r>
      <w:r w:rsidRPr="008B6B33">
        <w:rPr>
          <w:sz w:val="20"/>
          <w:szCs w:val="20"/>
          <w:highlight w:val="white"/>
        </w:rPr>
        <w:t xml:space="preserve"> (PGPR mix-1 enriched vermicompost + 75% RDF) proved most effective, producing superior vegetative growth, fruit yield (52.93 kg/plant), and quality (15.64°Brix, 90.28% pulp). Treatments T</w:t>
      </w:r>
      <w:r w:rsidRPr="008B6B33">
        <w:rPr>
          <w:rFonts w:ascii="Cambria Math" w:hAnsi="Cambria Math" w:cs="Cambria Math"/>
          <w:sz w:val="20"/>
          <w:szCs w:val="20"/>
          <w:highlight w:val="white"/>
        </w:rPr>
        <w:t>₆</w:t>
      </w:r>
      <w:r w:rsidRPr="008B6B33">
        <w:rPr>
          <w:sz w:val="20"/>
          <w:szCs w:val="20"/>
          <w:highlight w:val="white"/>
        </w:rPr>
        <w:t xml:space="preserve"> and T</w:t>
      </w:r>
      <w:r w:rsidRPr="008B6B33">
        <w:rPr>
          <w:rFonts w:ascii="Cambria Math" w:hAnsi="Cambria Math" w:cs="Cambria Math"/>
          <w:sz w:val="20"/>
          <w:szCs w:val="20"/>
          <w:highlight w:val="white"/>
        </w:rPr>
        <w:t>₈</w:t>
      </w:r>
      <w:r w:rsidRPr="008B6B33">
        <w:rPr>
          <w:sz w:val="20"/>
          <w:szCs w:val="20"/>
          <w:highlight w:val="white"/>
        </w:rPr>
        <w:t>, with higher organic substitution levels, improved soil fertility and microbial activity, though yields were marginally lower than T</w:t>
      </w:r>
      <w:r w:rsidRPr="008B6B33">
        <w:rPr>
          <w:rFonts w:ascii="Cambria Math" w:hAnsi="Cambria Math" w:cs="Cambria Math"/>
          <w:sz w:val="20"/>
          <w:szCs w:val="20"/>
          <w:highlight w:val="white"/>
        </w:rPr>
        <w:t>₄</w:t>
      </w:r>
      <w:r w:rsidRPr="008B6B33">
        <w:rPr>
          <w:sz w:val="20"/>
          <w:szCs w:val="20"/>
          <w:highlight w:val="white"/>
        </w:rPr>
        <w:t>. The integration of organic and biofertilizer components enhances nutrient-use efficiency, reduces chemical load, and promotes sustainable production</w:t>
      </w:r>
      <w:r w:rsidR="002215CB">
        <w:rPr>
          <w:sz w:val="20"/>
          <w:szCs w:val="20"/>
          <w:highlight w:val="white"/>
        </w:rPr>
        <w:t xml:space="preserve"> </w:t>
      </w:r>
      <w:r w:rsidRPr="008B6B33">
        <w:rPr>
          <w:sz w:val="20"/>
          <w:szCs w:val="20"/>
          <w:highlight w:val="white"/>
        </w:rPr>
        <w:t xml:space="preserve">a finding consistent with long-term studies on INM across various fruit crops </w:t>
      </w:r>
      <w:r w:rsidRPr="00A210B9">
        <w:rPr>
          <w:sz w:val="20"/>
          <w:szCs w:val="20"/>
          <w:highlight w:val="yellow"/>
        </w:rPr>
        <w:t xml:space="preserve">(Srivastava </w:t>
      </w:r>
      <w:r w:rsidR="00A210B9" w:rsidRPr="00A210B9">
        <w:rPr>
          <w:sz w:val="20"/>
          <w:szCs w:val="20"/>
          <w:highlight w:val="yellow"/>
        </w:rPr>
        <w:t>et al.</w:t>
      </w:r>
      <w:r w:rsidRPr="00A210B9">
        <w:rPr>
          <w:sz w:val="20"/>
          <w:szCs w:val="20"/>
          <w:highlight w:val="yellow"/>
        </w:rPr>
        <w:t xml:space="preserve">, 2019; Bindu &amp; </w:t>
      </w:r>
      <w:proofErr w:type="spellStart"/>
      <w:r w:rsidRPr="00A210B9">
        <w:rPr>
          <w:sz w:val="20"/>
          <w:szCs w:val="20"/>
          <w:highlight w:val="yellow"/>
        </w:rPr>
        <w:t>Renjan</w:t>
      </w:r>
      <w:proofErr w:type="spellEnd"/>
      <w:r w:rsidRPr="00A210B9">
        <w:rPr>
          <w:sz w:val="20"/>
          <w:szCs w:val="20"/>
          <w:highlight w:val="yellow"/>
        </w:rPr>
        <w:t xml:space="preserve">, 2024). </w:t>
      </w:r>
      <w:r w:rsidRPr="008B6B33">
        <w:rPr>
          <w:sz w:val="20"/>
          <w:szCs w:val="20"/>
          <w:highlight w:val="white"/>
        </w:rPr>
        <w:t>The integration of microbial-enriched vermicompost with reduced chemical fertilizers significantly improved growth, yield, fruit quality, and soil fertility of papaya. Among all treatments, T</w:t>
      </w:r>
      <w:r w:rsidRPr="008B6B33">
        <w:rPr>
          <w:rFonts w:ascii="Cambria Math" w:hAnsi="Cambria Math" w:cs="Cambria Math"/>
          <w:sz w:val="20"/>
          <w:szCs w:val="20"/>
          <w:highlight w:val="white"/>
        </w:rPr>
        <w:t>₄</w:t>
      </w:r>
      <w:r w:rsidRPr="008B6B33">
        <w:rPr>
          <w:sz w:val="20"/>
          <w:szCs w:val="20"/>
          <w:highlight w:val="white"/>
        </w:rPr>
        <w:t xml:space="preserve"> emerged as the best-performing treatment, balancing high productivity with soil sustainability. Therefore, the adoption of 75% RDF + 25% bio-enriched </w:t>
      </w:r>
      <w:r w:rsidRPr="008B6B33">
        <w:rPr>
          <w:sz w:val="20"/>
          <w:szCs w:val="20"/>
          <w:highlight w:val="white"/>
        </w:rPr>
        <w:lastRenderedPageBreak/>
        <w:t>vermicompost can be recommended for papaya growers in Telangana to achieve higher yields with improved soil health and fruit quality, ensuring long-term ecological and economic sustainability.</w:t>
      </w:r>
    </w:p>
    <w:p w:rsidR="00BF7AC5" w:rsidRDefault="00BF7AC5" w:rsidP="00127D32">
      <w:pPr>
        <w:pStyle w:val="NoSpacing"/>
        <w:jc w:val="both"/>
        <w:rPr>
          <w:b/>
          <w:sz w:val="24"/>
          <w:szCs w:val="20"/>
          <w:highlight w:val="white"/>
        </w:rPr>
      </w:pPr>
      <w:bookmarkStart w:id="27" w:name="_pzu5ug6i3ycb" w:colFirst="0" w:colLast="0"/>
      <w:bookmarkEnd w:id="27"/>
    </w:p>
    <w:p w:rsidR="00067649" w:rsidRPr="00BF7AC5" w:rsidRDefault="00390E8A" w:rsidP="00390E8A">
      <w:pPr>
        <w:pStyle w:val="NoSpacing"/>
        <w:ind w:firstLine="720"/>
        <w:jc w:val="both"/>
        <w:rPr>
          <w:b/>
          <w:sz w:val="24"/>
          <w:szCs w:val="20"/>
          <w:highlight w:val="white"/>
        </w:rPr>
      </w:pPr>
      <w:r>
        <w:rPr>
          <w:b/>
          <w:sz w:val="24"/>
          <w:szCs w:val="20"/>
          <w:highlight w:val="white"/>
        </w:rPr>
        <w:t xml:space="preserve">4. </w:t>
      </w:r>
      <w:r w:rsidR="00BF7AC5" w:rsidRPr="00BF7AC5">
        <w:rPr>
          <w:b/>
          <w:sz w:val="24"/>
          <w:szCs w:val="20"/>
          <w:highlight w:val="white"/>
        </w:rPr>
        <w:t>CONCLUSION</w:t>
      </w:r>
    </w:p>
    <w:p w:rsidR="00766058" w:rsidRPr="00766058" w:rsidRDefault="00766058" w:rsidP="00766058">
      <w:pPr>
        <w:pStyle w:val="NoSpacing"/>
        <w:jc w:val="both"/>
        <w:rPr>
          <w:sz w:val="20"/>
          <w:lang w:val="en-IN"/>
        </w:rPr>
      </w:pPr>
      <w:r w:rsidRPr="00766058">
        <w:rPr>
          <w:sz w:val="20"/>
          <w:highlight w:val="yellow"/>
          <w:lang w:val="en-IN"/>
        </w:rPr>
        <w:t>The present study conclusively demonstrated that integrated nutrient management (INM) significantly enhances growth, yield, fruit quality, and soil fertility of papaya (</w:t>
      </w:r>
      <w:proofErr w:type="spellStart"/>
      <w:r w:rsidRPr="00766058">
        <w:rPr>
          <w:i/>
          <w:iCs/>
          <w:sz w:val="20"/>
          <w:highlight w:val="yellow"/>
          <w:lang w:val="en-IN"/>
        </w:rPr>
        <w:t>Carica</w:t>
      </w:r>
      <w:proofErr w:type="spellEnd"/>
      <w:r w:rsidRPr="00766058">
        <w:rPr>
          <w:i/>
          <w:iCs/>
          <w:sz w:val="20"/>
          <w:highlight w:val="yellow"/>
          <w:lang w:val="en-IN"/>
        </w:rPr>
        <w:t xml:space="preserve"> papaya</w:t>
      </w:r>
      <w:r w:rsidRPr="00766058">
        <w:rPr>
          <w:sz w:val="20"/>
          <w:highlight w:val="yellow"/>
          <w:lang w:val="en-IN"/>
        </w:rPr>
        <w:t xml:space="preserve"> L.) cv. Red Lady under lateritic soil conditions of Central Telangana. Among the evaluated treatments, the application of 25% NPK through PGPR mix-1 enriched vermicompost combined with 75% of the recommended dose of fertilizers (T</w:t>
      </w:r>
      <w:r w:rsidRPr="00766058">
        <w:rPr>
          <w:rFonts w:ascii="Cambria Math" w:hAnsi="Cambria Math" w:cs="Cambria Math"/>
          <w:sz w:val="20"/>
          <w:highlight w:val="yellow"/>
          <w:lang w:val="en-IN"/>
        </w:rPr>
        <w:t>₄</w:t>
      </w:r>
      <w:r w:rsidRPr="00766058">
        <w:rPr>
          <w:sz w:val="20"/>
          <w:highlight w:val="yellow"/>
          <w:lang w:val="en-IN"/>
        </w:rPr>
        <w:t xml:space="preserve">) proved most effective, resulting in superior vegetative growth, maximum fruit yield, improved fruit quality attributes such as higher total soluble solids, pulp percentage, and ascorbic acid content, along with reduced acidity. This treatment also maintained </w:t>
      </w:r>
      <w:proofErr w:type="spellStart"/>
      <w:r w:rsidRPr="00766058">
        <w:rPr>
          <w:sz w:val="20"/>
          <w:highlight w:val="yellow"/>
          <w:lang w:val="en-IN"/>
        </w:rPr>
        <w:t>favorable</w:t>
      </w:r>
      <w:proofErr w:type="spellEnd"/>
      <w:r w:rsidRPr="00766058">
        <w:rPr>
          <w:sz w:val="20"/>
          <w:highlight w:val="yellow"/>
          <w:lang w:val="en-IN"/>
        </w:rPr>
        <w:t xml:space="preserve"> soil nutrient status, indicating improved nutrient-use efficiency and sustainability. Treatments involving higher substitution of chemical fertilizers with organic sources further enhanced soil organic carbon and nutrient availability, highlighting the long-term benefits of organic and microbial inputs for soil health restoration. The findings emphasize that partial replacement of chemical fertilizers with bio-enriched organic amendments can reduce dependence on synthetic inputs without compromising productivity. From a future perspective, the adoption of INM practices offers a viable pathway for sustainable papaya cultivation in semi-arid and nutrient-deficient regions. Long-term studies focusing on soil biological dynamics, carbon sequestration, and economic analysis across multiple cropping cycles are recommended to further validate and refine INM-based nutrient strategies for tropical fruit production systems.</w:t>
      </w:r>
    </w:p>
    <w:p w:rsidR="00067649" w:rsidRPr="008B6B33" w:rsidRDefault="00F72453" w:rsidP="00127D32">
      <w:pPr>
        <w:pStyle w:val="NoSpacing"/>
        <w:jc w:val="both"/>
        <w:rPr>
          <w:sz w:val="20"/>
          <w:szCs w:val="20"/>
          <w:highlight w:val="white"/>
        </w:rPr>
      </w:pPr>
      <w:r w:rsidRPr="008B6B33">
        <w:rPr>
          <w:sz w:val="20"/>
          <w:szCs w:val="20"/>
          <w:highlight w:val="white"/>
        </w:rPr>
        <w:t>.</w:t>
      </w:r>
    </w:p>
    <w:p w:rsidR="00882E4F" w:rsidRPr="00DB5E3E" w:rsidRDefault="00882E4F" w:rsidP="00127D32">
      <w:pPr>
        <w:pStyle w:val="NoSpacing"/>
        <w:jc w:val="both"/>
        <w:rPr>
          <w:highlight w:val="white"/>
        </w:rPr>
      </w:pPr>
    </w:p>
    <w:p w:rsidR="00882E4F" w:rsidRPr="008B6B33" w:rsidRDefault="008B6B33" w:rsidP="00127D32">
      <w:pPr>
        <w:pStyle w:val="NoSpacing"/>
        <w:jc w:val="both"/>
        <w:rPr>
          <w:rFonts w:eastAsia="Calibri"/>
          <w:b/>
          <w:kern w:val="2"/>
          <w:sz w:val="24"/>
          <w:highlight w:val="yellow"/>
          <w:lang w:val="en-US"/>
        </w:rPr>
      </w:pPr>
      <w:bookmarkStart w:id="28" w:name="_Hlk213163655"/>
      <w:bookmarkStart w:id="29" w:name="_Hlk204003461"/>
      <w:bookmarkStart w:id="30" w:name="_Hlk213070710"/>
      <w:r w:rsidRPr="008B6B33">
        <w:rPr>
          <w:rFonts w:eastAsia="Calibri"/>
          <w:b/>
          <w:kern w:val="2"/>
          <w:sz w:val="24"/>
          <w:highlight w:val="yellow"/>
          <w:lang w:val="en-US"/>
        </w:rPr>
        <w:t>DISCLAIMER (ARTIFICIAL INTELLIGENCE)</w:t>
      </w:r>
    </w:p>
    <w:p w:rsidR="00882E4F" w:rsidRPr="008B6B33" w:rsidRDefault="00882E4F" w:rsidP="00127D32">
      <w:pPr>
        <w:pStyle w:val="NoSpacing"/>
        <w:jc w:val="both"/>
        <w:rPr>
          <w:rFonts w:eastAsia="Calibri"/>
          <w:kern w:val="2"/>
          <w:sz w:val="20"/>
          <w:highlight w:val="yellow"/>
          <w:lang w:val="en-US"/>
        </w:rPr>
      </w:pPr>
      <w:r w:rsidRPr="008B6B33">
        <w:rPr>
          <w:rFonts w:eastAsia="Calibri"/>
          <w:kern w:val="2"/>
          <w:sz w:val="20"/>
          <w:highlight w:val="yellow"/>
          <w:lang w:val="en-US"/>
        </w:rPr>
        <w:t>Author(s) hereby declare that NO generative AI technologies such as Large Language Models (</w:t>
      </w:r>
      <w:proofErr w:type="spellStart"/>
      <w:r w:rsidRPr="008B6B33">
        <w:rPr>
          <w:rFonts w:eastAsia="Calibri"/>
          <w:kern w:val="2"/>
          <w:sz w:val="20"/>
          <w:highlight w:val="yellow"/>
          <w:lang w:val="en-US"/>
        </w:rPr>
        <w:t>ChatGPT</w:t>
      </w:r>
      <w:proofErr w:type="spellEnd"/>
      <w:r w:rsidRPr="008B6B33">
        <w:rPr>
          <w:rFonts w:eastAsia="Calibri"/>
          <w:kern w:val="2"/>
          <w:sz w:val="20"/>
          <w:highlight w:val="yellow"/>
          <w:lang w:val="en-US"/>
        </w:rPr>
        <w:t xml:space="preserve">, COPILOT, etc.) and text-to-image generators have been used during the writing or editing of this manuscript. </w:t>
      </w:r>
    </w:p>
    <w:bookmarkEnd w:id="28"/>
    <w:bookmarkEnd w:id="29"/>
    <w:bookmarkEnd w:id="30"/>
    <w:p w:rsidR="00882E4F" w:rsidRPr="00DB5E3E" w:rsidRDefault="00882E4F" w:rsidP="00127D32">
      <w:pPr>
        <w:pStyle w:val="NoSpacing"/>
        <w:jc w:val="both"/>
        <w:rPr>
          <w:highlight w:val="white"/>
        </w:rPr>
      </w:pPr>
    </w:p>
    <w:p w:rsidR="00067649" w:rsidRPr="00127D32" w:rsidRDefault="00127D32" w:rsidP="00127D32">
      <w:pPr>
        <w:pStyle w:val="NoSpacing"/>
        <w:jc w:val="both"/>
        <w:rPr>
          <w:b/>
          <w:sz w:val="24"/>
          <w:highlight w:val="white"/>
        </w:rPr>
      </w:pPr>
      <w:bookmarkStart w:id="31" w:name="_fbvf7srx8lid" w:colFirst="0" w:colLast="0"/>
      <w:bookmarkEnd w:id="31"/>
      <w:r w:rsidRPr="00127D32">
        <w:rPr>
          <w:b/>
          <w:sz w:val="24"/>
          <w:highlight w:val="white"/>
        </w:rPr>
        <w:t xml:space="preserve">REFERENCES </w:t>
      </w:r>
    </w:p>
    <w:p w:rsidR="00BF7AC5" w:rsidRPr="00106106" w:rsidRDefault="00106106" w:rsidP="006560C9">
      <w:pPr>
        <w:pStyle w:val="NoSpacing"/>
        <w:numPr>
          <w:ilvl w:val="0"/>
          <w:numId w:val="8"/>
        </w:numPr>
        <w:jc w:val="both"/>
        <w:rPr>
          <w:color w:val="18181B"/>
          <w:sz w:val="20"/>
          <w:szCs w:val="20"/>
          <w:highlight w:val="yellow"/>
        </w:rPr>
      </w:pPr>
      <w:r w:rsidRPr="00106106">
        <w:rPr>
          <w:color w:val="222222"/>
          <w:sz w:val="20"/>
          <w:szCs w:val="20"/>
          <w:highlight w:val="yellow"/>
          <w:shd w:val="clear" w:color="auto" w:fill="FFFFFF"/>
        </w:rPr>
        <w:t xml:space="preserve">Agrawal, B., &amp; </w:t>
      </w:r>
      <w:proofErr w:type="spellStart"/>
      <w:r w:rsidRPr="00106106">
        <w:rPr>
          <w:color w:val="222222"/>
          <w:sz w:val="20"/>
          <w:szCs w:val="20"/>
          <w:highlight w:val="yellow"/>
          <w:shd w:val="clear" w:color="auto" w:fill="FFFFFF"/>
        </w:rPr>
        <w:t>Sahu</w:t>
      </w:r>
      <w:proofErr w:type="spellEnd"/>
      <w:r w:rsidRPr="00106106">
        <w:rPr>
          <w:color w:val="222222"/>
          <w:sz w:val="20"/>
          <w:szCs w:val="20"/>
          <w:highlight w:val="yellow"/>
          <w:shd w:val="clear" w:color="auto" w:fill="FFFFFF"/>
        </w:rPr>
        <w:t>, G. D. (2021). Effect of organic manure and bio-fertilizer on growth and yield of papaya (</w:t>
      </w:r>
      <w:proofErr w:type="spellStart"/>
      <w:r w:rsidRPr="00106106">
        <w:rPr>
          <w:i/>
          <w:color w:val="222222"/>
          <w:sz w:val="20"/>
          <w:szCs w:val="20"/>
          <w:highlight w:val="yellow"/>
          <w:shd w:val="clear" w:color="auto" w:fill="FFFFFF"/>
        </w:rPr>
        <w:t>Carica</w:t>
      </w:r>
      <w:proofErr w:type="spellEnd"/>
      <w:r w:rsidRPr="00106106">
        <w:rPr>
          <w:i/>
          <w:color w:val="222222"/>
          <w:sz w:val="20"/>
          <w:szCs w:val="20"/>
          <w:highlight w:val="yellow"/>
          <w:shd w:val="clear" w:color="auto" w:fill="FFFFFF"/>
        </w:rPr>
        <w:t xml:space="preserve"> papaya</w:t>
      </w:r>
      <w:r w:rsidRPr="00106106">
        <w:rPr>
          <w:color w:val="222222"/>
          <w:sz w:val="20"/>
          <w:szCs w:val="20"/>
          <w:highlight w:val="yellow"/>
          <w:shd w:val="clear" w:color="auto" w:fill="FFFFFF"/>
        </w:rPr>
        <w:t xml:space="preserve"> L.) cv. red lady. </w:t>
      </w:r>
      <w:r w:rsidRPr="00106106">
        <w:rPr>
          <w:i/>
          <w:iCs/>
          <w:color w:val="222222"/>
          <w:sz w:val="20"/>
          <w:szCs w:val="20"/>
          <w:highlight w:val="yellow"/>
          <w:shd w:val="clear" w:color="auto" w:fill="FFFFFF"/>
        </w:rPr>
        <w:t>Int. J. Fauna Biol. Stud</w:t>
      </w:r>
      <w:r w:rsidRPr="00106106">
        <w:rPr>
          <w:color w:val="222222"/>
          <w:sz w:val="20"/>
          <w:szCs w:val="20"/>
          <w:highlight w:val="yellow"/>
          <w:shd w:val="clear" w:color="auto" w:fill="FFFFFF"/>
        </w:rPr>
        <w:t>, </w:t>
      </w:r>
      <w:r w:rsidRPr="00106106">
        <w:rPr>
          <w:i/>
          <w:iCs/>
          <w:color w:val="222222"/>
          <w:sz w:val="20"/>
          <w:szCs w:val="20"/>
          <w:highlight w:val="yellow"/>
          <w:shd w:val="clear" w:color="auto" w:fill="FFFFFF"/>
        </w:rPr>
        <w:t>8</w:t>
      </w:r>
      <w:r w:rsidRPr="00106106">
        <w:rPr>
          <w:color w:val="222222"/>
          <w:sz w:val="20"/>
          <w:szCs w:val="20"/>
          <w:highlight w:val="yellow"/>
          <w:shd w:val="clear" w:color="auto" w:fill="FFFFFF"/>
        </w:rPr>
        <w:t xml:space="preserve">, 91-93. </w:t>
      </w:r>
      <w:hyperlink r:id="rId11" w:history="1">
        <w:r w:rsidR="00BF7AC5" w:rsidRPr="00106106">
          <w:rPr>
            <w:rStyle w:val="Hyperlink"/>
            <w:iCs/>
            <w:sz w:val="20"/>
            <w:szCs w:val="20"/>
            <w:highlight w:val="yellow"/>
          </w:rPr>
          <w:t>https://doi.org/10.22271/23940522.2021.v8.i1b.798</w:t>
        </w:r>
      </w:hyperlink>
      <w:r w:rsidR="00BF7AC5" w:rsidRPr="00106106">
        <w:rPr>
          <w:sz w:val="20"/>
          <w:szCs w:val="20"/>
          <w:highlight w:val="yellow"/>
        </w:rPr>
        <w:t xml:space="preserve"> </w:t>
      </w:r>
    </w:p>
    <w:p w:rsidR="00BF7AC5" w:rsidRPr="00106106" w:rsidRDefault="00BF7AC5" w:rsidP="006560C9">
      <w:pPr>
        <w:pStyle w:val="NoSpacing"/>
        <w:numPr>
          <w:ilvl w:val="0"/>
          <w:numId w:val="8"/>
        </w:numPr>
        <w:jc w:val="both"/>
        <w:rPr>
          <w:color w:val="18181B"/>
          <w:sz w:val="20"/>
          <w:szCs w:val="20"/>
          <w:highlight w:val="yellow"/>
        </w:rPr>
      </w:pPr>
      <w:r w:rsidRPr="00106106">
        <w:rPr>
          <w:sz w:val="20"/>
          <w:szCs w:val="20"/>
          <w:highlight w:val="yellow"/>
        </w:rPr>
        <w:t xml:space="preserve">Bindu, B., &amp; </w:t>
      </w:r>
      <w:proofErr w:type="spellStart"/>
      <w:r w:rsidRPr="00106106">
        <w:rPr>
          <w:sz w:val="20"/>
          <w:szCs w:val="20"/>
          <w:highlight w:val="yellow"/>
        </w:rPr>
        <w:t>Renjan</w:t>
      </w:r>
      <w:proofErr w:type="spellEnd"/>
      <w:r w:rsidRPr="00106106">
        <w:rPr>
          <w:sz w:val="20"/>
          <w:szCs w:val="20"/>
          <w:highlight w:val="yellow"/>
        </w:rPr>
        <w:t>, B. (2024). Integrated nutrient management of papaya (</w:t>
      </w:r>
      <w:proofErr w:type="spellStart"/>
      <w:r w:rsidRPr="00106106">
        <w:rPr>
          <w:i/>
          <w:sz w:val="20"/>
          <w:szCs w:val="20"/>
          <w:highlight w:val="yellow"/>
        </w:rPr>
        <w:t>Carica</w:t>
      </w:r>
      <w:proofErr w:type="spellEnd"/>
      <w:r w:rsidRPr="00106106">
        <w:rPr>
          <w:i/>
          <w:sz w:val="20"/>
          <w:szCs w:val="20"/>
          <w:highlight w:val="yellow"/>
        </w:rPr>
        <w:t xml:space="preserve"> papaya</w:t>
      </w:r>
      <w:r w:rsidRPr="00106106">
        <w:rPr>
          <w:sz w:val="20"/>
          <w:szCs w:val="20"/>
          <w:highlight w:val="yellow"/>
        </w:rPr>
        <w:t xml:space="preserve"> L.): Application of microbial consortium enriched organic manures for yield and fruit quality enhancement. </w:t>
      </w:r>
      <w:r w:rsidRPr="00106106">
        <w:rPr>
          <w:i/>
          <w:sz w:val="20"/>
          <w:szCs w:val="20"/>
          <w:highlight w:val="yellow"/>
        </w:rPr>
        <w:t>International Journal of Plant &amp; Soil Science, 36</w:t>
      </w:r>
      <w:r w:rsidRPr="00106106">
        <w:rPr>
          <w:sz w:val="20"/>
          <w:szCs w:val="20"/>
          <w:highlight w:val="yellow"/>
        </w:rPr>
        <w:t xml:space="preserve">(8), 187-195. </w:t>
      </w:r>
      <w:hyperlink r:id="rId12" w:history="1">
        <w:r w:rsidRPr="00106106">
          <w:rPr>
            <w:rStyle w:val="Hyperlink"/>
            <w:iCs/>
            <w:sz w:val="20"/>
            <w:szCs w:val="20"/>
            <w:highlight w:val="yellow"/>
          </w:rPr>
          <w:t>https://doi.org/10.9734/ijpss/2024/v36i84849</w:t>
        </w:r>
      </w:hyperlink>
      <w:r w:rsidRPr="00106106">
        <w:rPr>
          <w:sz w:val="20"/>
          <w:szCs w:val="20"/>
          <w:highlight w:val="yellow"/>
        </w:rPr>
        <w:t xml:space="preserve"> </w:t>
      </w:r>
    </w:p>
    <w:p w:rsidR="00BF7AC5" w:rsidRPr="00106106" w:rsidRDefault="00BF7AC5" w:rsidP="006560C9">
      <w:pPr>
        <w:pStyle w:val="NoSpacing"/>
        <w:numPr>
          <w:ilvl w:val="0"/>
          <w:numId w:val="8"/>
        </w:numPr>
        <w:jc w:val="both"/>
        <w:rPr>
          <w:color w:val="18181B"/>
          <w:sz w:val="20"/>
          <w:szCs w:val="20"/>
          <w:highlight w:val="yellow"/>
        </w:rPr>
      </w:pPr>
      <w:proofErr w:type="spellStart"/>
      <w:r w:rsidRPr="00106106">
        <w:rPr>
          <w:sz w:val="20"/>
          <w:szCs w:val="20"/>
          <w:highlight w:val="yellow"/>
        </w:rPr>
        <w:t>Chaurasia</w:t>
      </w:r>
      <w:proofErr w:type="spellEnd"/>
      <w:r w:rsidRPr="00106106">
        <w:rPr>
          <w:sz w:val="20"/>
          <w:szCs w:val="20"/>
          <w:highlight w:val="yellow"/>
        </w:rPr>
        <w:t xml:space="preserve">, J., Tripathi, V. K., Pandey, S., Kumar, A., &amp; Tripathi, R. (2025). Examining the Impact of Integrated Fertility Management in Fruit Crops: A Literature Review. </w:t>
      </w:r>
      <w:r w:rsidRPr="00106106">
        <w:rPr>
          <w:i/>
          <w:sz w:val="20"/>
          <w:szCs w:val="20"/>
          <w:highlight w:val="yellow"/>
        </w:rPr>
        <w:t>Journal of Scientific Research and Reports, 31(</w:t>
      </w:r>
      <w:r w:rsidRPr="00106106">
        <w:rPr>
          <w:sz w:val="20"/>
          <w:szCs w:val="20"/>
          <w:highlight w:val="yellow"/>
        </w:rPr>
        <w:t xml:space="preserve">1), 260-278. </w:t>
      </w:r>
      <w:hyperlink r:id="rId13" w:history="1">
        <w:r w:rsidRPr="00106106">
          <w:rPr>
            <w:rStyle w:val="Hyperlink"/>
            <w:iCs/>
            <w:sz w:val="20"/>
            <w:szCs w:val="20"/>
            <w:highlight w:val="yellow"/>
          </w:rPr>
          <w:t>https://doi.org/10.9734/jsrr/2025/v31i12766</w:t>
        </w:r>
      </w:hyperlink>
      <w:r w:rsidRPr="00106106">
        <w:rPr>
          <w:sz w:val="20"/>
          <w:szCs w:val="20"/>
          <w:highlight w:val="yellow"/>
        </w:rPr>
        <w:t xml:space="preserve"> </w:t>
      </w:r>
    </w:p>
    <w:p w:rsidR="00BF7AC5" w:rsidRPr="00106106" w:rsidRDefault="00A210B9" w:rsidP="006560C9">
      <w:pPr>
        <w:pStyle w:val="NoSpacing"/>
        <w:numPr>
          <w:ilvl w:val="0"/>
          <w:numId w:val="8"/>
        </w:numPr>
        <w:jc w:val="both"/>
        <w:rPr>
          <w:color w:val="18181B"/>
          <w:sz w:val="20"/>
          <w:szCs w:val="20"/>
          <w:highlight w:val="yellow"/>
        </w:rPr>
      </w:pPr>
      <w:r w:rsidRPr="00106106">
        <w:rPr>
          <w:color w:val="222222"/>
          <w:sz w:val="20"/>
          <w:szCs w:val="20"/>
          <w:highlight w:val="yellow"/>
          <w:shd w:val="clear" w:color="auto" w:fill="FFFFFF"/>
        </w:rPr>
        <w:t xml:space="preserve">Chawla, R., &amp; </w:t>
      </w:r>
      <w:proofErr w:type="spellStart"/>
      <w:r w:rsidRPr="00106106">
        <w:rPr>
          <w:color w:val="222222"/>
          <w:sz w:val="20"/>
          <w:szCs w:val="20"/>
          <w:highlight w:val="yellow"/>
          <w:shd w:val="clear" w:color="auto" w:fill="FFFFFF"/>
        </w:rPr>
        <w:t>Sadawarti</w:t>
      </w:r>
      <w:proofErr w:type="spellEnd"/>
      <w:r w:rsidRPr="00106106">
        <w:rPr>
          <w:color w:val="222222"/>
          <w:sz w:val="20"/>
          <w:szCs w:val="20"/>
          <w:highlight w:val="yellow"/>
          <w:shd w:val="clear" w:color="auto" w:fill="FFFFFF"/>
        </w:rPr>
        <w:t>, R. K. (2020). Effect of Integrated Nutrient Management on Vegetative Growth, Fruit Yield and Quality of Fruit Crops. </w:t>
      </w:r>
      <w:r w:rsidRPr="00106106">
        <w:rPr>
          <w:i/>
          <w:iCs/>
          <w:color w:val="222222"/>
          <w:sz w:val="20"/>
          <w:szCs w:val="20"/>
          <w:highlight w:val="yellow"/>
          <w:shd w:val="clear" w:color="auto" w:fill="FFFFFF"/>
        </w:rPr>
        <w:t xml:space="preserve">Int. J. </w:t>
      </w:r>
      <w:proofErr w:type="spellStart"/>
      <w:r w:rsidRPr="00106106">
        <w:rPr>
          <w:i/>
          <w:iCs/>
          <w:color w:val="222222"/>
          <w:sz w:val="20"/>
          <w:szCs w:val="20"/>
          <w:highlight w:val="yellow"/>
          <w:shd w:val="clear" w:color="auto" w:fill="FFFFFF"/>
        </w:rPr>
        <w:t>Curr</w:t>
      </w:r>
      <w:proofErr w:type="spellEnd"/>
      <w:r w:rsidRPr="00106106">
        <w:rPr>
          <w:i/>
          <w:iCs/>
          <w:color w:val="222222"/>
          <w:sz w:val="20"/>
          <w:szCs w:val="20"/>
          <w:highlight w:val="yellow"/>
          <w:shd w:val="clear" w:color="auto" w:fill="FFFFFF"/>
        </w:rPr>
        <w:t xml:space="preserve">. </w:t>
      </w:r>
      <w:proofErr w:type="spellStart"/>
      <w:r w:rsidRPr="00106106">
        <w:rPr>
          <w:i/>
          <w:iCs/>
          <w:color w:val="222222"/>
          <w:sz w:val="20"/>
          <w:szCs w:val="20"/>
          <w:highlight w:val="yellow"/>
          <w:shd w:val="clear" w:color="auto" w:fill="FFFFFF"/>
        </w:rPr>
        <w:t>Microbiol</w:t>
      </w:r>
      <w:proofErr w:type="spellEnd"/>
      <w:r w:rsidRPr="00106106">
        <w:rPr>
          <w:i/>
          <w:iCs/>
          <w:color w:val="222222"/>
          <w:sz w:val="20"/>
          <w:szCs w:val="20"/>
          <w:highlight w:val="yellow"/>
          <w:shd w:val="clear" w:color="auto" w:fill="FFFFFF"/>
        </w:rPr>
        <w:t>. App. Sci</w:t>
      </w:r>
      <w:r w:rsidRPr="00106106">
        <w:rPr>
          <w:color w:val="222222"/>
          <w:sz w:val="20"/>
          <w:szCs w:val="20"/>
          <w:highlight w:val="yellow"/>
          <w:shd w:val="clear" w:color="auto" w:fill="FFFFFF"/>
        </w:rPr>
        <w:t>, </w:t>
      </w:r>
      <w:r w:rsidRPr="00106106">
        <w:rPr>
          <w:i/>
          <w:iCs/>
          <w:color w:val="222222"/>
          <w:sz w:val="20"/>
          <w:szCs w:val="20"/>
          <w:highlight w:val="yellow"/>
          <w:shd w:val="clear" w:color="auto" w:fill="FFFFFF"/>
        </w:rPr>
        <w:t>9</w:t>
      </w:r>
      <w:r w:rsidRPr="00106106">
        <w:rPr>
          <w:color w:val="222222"/>
          <w:sz w:val="20"/>
          <w:szCs w:val="20"/>
          <w:highlight w:val="yellow"/>
          <w:shd w:val="clear" w:color="auto" w:fill="FFFFFF"/>
        </w:rPr>
        <w:t xml:space="preserve">(10), 2222-2235. </w:t>
      </w:r>
      <w:hyperlink r:id="rId14" w:history="1">
        <w:r w:rsidR="00BF7AC5" w:rsidRPr="00106106">
          <w:rPr>
            <w:rStyle w:val="Hyperlink"/>
            <w:sz w:val="20"/>
            <w:szCs w:val="20"/>
            <w:highlight w:val="yellow"/>
          </w:rPr>
          <w:t>https://doi.org/10.20546/ijcmas.2020.910.269</w:t>
        </w:r>
      </w:hyperlink>
      <w:r w:rsidR="00BF7AC5" w:rsidRPr="00106106">
        <w:rPr>
          <w:sz w:val="20"/>
          <w:szCs w:val="20"/>
          <w:highlight w:val="yellow"/>
        </w:rPr>
        <w:t xml:space="preserve"> </w:t>
      </w:r>
    </w:p>
    <w:p w:rsidR="00BF7AC5" w:rsidRPr="00106106" w:rsidRDefault="00BF7AC5" w:rsidP="006560C9">
      <w:pPr>
        <w:pStyle w:val="NoSpacing"/>
        <w:numPr>
          <w:ilvl w:val="0"/>
          <w:numId w:val="8"/>
        </w:numPr>
        <w:jc w:val="both"/>
        <w:rPr>
          <w:sz w:val="20"/>
          <w:szCs w:val="20"/>
          <w:highlight w:val="yellow"/>
        </w:rPr>
      </w:pPr>
      <w:r w:rsidRPr="00106106">
        <w:rPr>
          <w:sz w:val="20"/>
          <w:szCs w:val="20"/>
          <w:highlight w:val="yellow"/>
        </w:rPr>
        <w:t>Dwivedi, V., &amp; Agnihotri, S. (2018). Effect of integrated nutrient management on growth, yield and economics of guava (</w:t>
      </w:r>
      <w:r w:rsidRPr="00106106">
        <w:rPr>
          <w:i/>
          <w:sz w:val="20"/>
          <w:szCs w:val="20"/>
          <w:highlight w:val="yellow"/>
        </w:rPr>
        <w:t xml:space="preserve">Psidium </w:t>
      </w:r>
      <w:proofErr w:type="spellStart"/>
      <w:r w:rsidRPr="00106106">
        <w:rPr>
          <w:i/>
          <w:sz w:val="20"/>
          <w:szCs w:val="20"/>
          <w:highlight w:val="yellow"/>
        </w:rPr>
        <w:t>guajava</w:t>
      </w:r>
      <w:proofErr w:type="spellEnd"/>
      <w:r w:rsidRPr="00106106">
        <w:rPr>
          <w:sz w:val="20"/>
          <w:szCs w:val="20"/>
          <w:highlight w:val="yellow"/>
        </w:rPr>
        <w:t xml:space="preserve"> L.) cv. Allahabad </w:t>
      </w:r>
      <w:proofErr w:type="spellStart"/>
      <w:r w:rsidRPr="00106106">
        <w:rPr>
          <w:sz w:val="20"/>
          <w:szCs w:val="20"/>
          <w:highlight w:val="yellow"/>
        </w:rPr>
        <w:t>Safeda</w:t>
      </w:r>
      <w:proofErr w:type="spellEnd"/>
      <w:r w:rsidRPr="00106106">
        <w:rPr>
          <w:sz w:val="20"/>
          <w:szCs w:val="20"/>
          <w:highlight w:val="yellow"/>
        </w:rPr>
        <w:t xml:space="preserve">. </w:t>
      </w:r>
      <w:r w:rsidRPr="00106106">
        <w:rPr>
          <w:i/>
          <w:sz w:val="20"/>
          <w:szCs w:val="20"/>
          <w:highlight w:val="yellow"/>
        </w:rPr>
        <w:t>International Journal of Current Microbiology and Applied Sciences, 7</w:t>
      </w:r>
      <w:r w:rsidRPr="00106106">
        <w:rPr>
          <w:sz w:val="20"/>
          <w:szCs w:val="20"/>
          <w:highlight w:val="yellow"/>
        </w:rPr>
        <w:t xml:space="preserve">(6), 3449-3453. </w:t>
      </w:r>
      <w:hyperlink r:id="rId15" w:history="1">
        <w:r w:rsidRPr="00106106">
          <w:rPr>
            <w:rStyle w:val="Hyperlink"/>
            <w:sz w:val="20"/>
            <w:szCs w:val="20"/>
            <w:highlight w:val="yellow"/>
          </w:rPr>
          <w:t>https://doi.org/10.20546/ijcmas.2018.706.404</w:t>
        </w:r>
      </w:hyperlink>
      <w:r w:rsidRPr="00106106">
        <w:rPr>
          <w:sz w:val="20"/>
          <w:szCs w:val="20"/>
          <w:highlight w:val="yellow"/>
        </w:rPr>
        <w:t xml:space="preserve"> </w:t>
      </w:r>
    </w:p>
    <w:p w:rsidR="00BF7AC5" w:rsidRPr="00106106" w:rsidRDefault="00BF7AC5" w:rsidP="006560C9">
      <w:pPr>
        <w:pStyle w:val="NoSpacing"/>
        <w:numPr>
          <w:ilvl w:val="0"/>
          <w:numId w:val="8"/>
        </w:numPr>
        <w:jc w:val="both"/>
        <w:rPr>
          <w:sz w:val="20"/>
          <w:szCs w:val="20"/>
          <w:highlight w:val="yellow"/>
        </w:rPr>
      </w:pPr>
      <w:r w:rsidRPr="00106106">
        <w:rPr>
          <w:sz w:val="20"/>
          <w:szCs w:val="20"/>
          <w:highlight w:val="yellow"/>
        </w:rPr>
        <w:t xml:space="preserve">Manjunath, B. L., </w:t>
      </w:r>
      <w:proofErr w:type="spellStart"/>
      <w:r w:rsidRPr="00106106">
        <w:rPr>
          <w:sz w:val="20"/>
          <w:szCs w:val="20"/>
          <w:highlight w:val="yellow"/>
        </w:rPr>
        <w:t>Gutam</w:t>
      </w:r>
      <w:proofErr w:type="spellEnd"/>
      <w:r w:rsidRPr="00106106">
        <w:rPr>
          <w:sz w:val="20"/>
          <w:szCs w:val="20"/>
          <w:highlight w:val="yellow"/>
        </w:rPr>
        <w:t xml:space="preserve">, S., &amp; </w:t>
      </w:r>
      <w:proofErr w:type="spellStart"/>
      <w:r w:rsidRPr="00106106">
        <w:rPr>
          <w:sz w:val="20"/>
          <w:szCs w:val="20"/>
          <w:highlight w:val="yellow"/>
        </w:rPr>
        <w:t>Raghupathi</w:t>
      </w:r>
      <w:proofErr w:type="spellEnd"/>
      <w:r w:rsidRPr="00106106">
        <w:rPr>
          <w:sz w:val="20"/>
          <w:szCs w:val="20"/>
          <w:highlight w:val="yellow"/>
        </w:rPr>
        <w:t xml:space="preserve">, H. B. (2023). Standardisation of fertigation in papaya for higher productivity and profitability. </w:t>
      </w:r>
      <w:r w:rsidRPr="00106106">
        <w:rPr>
          <w:i/>
          <w:sz w:val="20"/>
          <w:szCs w:val="20"/>
          <w:highlight w:val="yellow"/>
        </w:rPr>
        <w:t>Journal of Horticultural Sciences, 18</w:t>
      </w:r>
      <w:r w:rsidRPr="00106106">
        <w:rPr>
          <w:sz w:val="20"/>
          <w:szCs w:val="20"/>
          <w:highlight w:val="yellow"/>
        </w:rPr>
        <w:t xml:space="preserve">(1), 104-112. </w:t>
      </w:r>
      <w:hyperlink r:id="rId16" w:history="1">
        <w:r w:rsidRPr="00106106">
          <w:rPr>
            <w:rStyle w:val="Hyperlink"/>
            <w:sz w:val="20"/>
            <w:szCs w:val="20"/>
            <w:highlight w:val="yellow"/>
          </w:rPr>
          <w:t>https://doi.org/10.24154/jhs.v18i1.2133</w:t>
        </w:r>
      </w:hyperlink>
      <w:r w:rsidRPr="00106106">
        <w:rPr>
          <w:sz w:val="20"/>
          <w:szCs w:val="20"/>
          <w:highlight w:val="yellow"/>
        </w:rPr>
        <w:t xml:space="preserve"> </w:t>
      </w:r>
    </w:p>
    <w:p w:rsidR="00BF7AC5" w:rsidRPr="00106106" w:rsidRDefault="00BF7AC5" w:rsidP="006560C9">
      <w:pPr>
        <w:pStyle w:val="NoSpacing"/>
        <w:numPr>
          <w:ilvl w:val="0"/>
          <w:numId w:val="8"/>
        </w:numPr>
        <w:jc w:val="both"/>
        <w:rPr>
          <w:sz w:val="20"/>
          <w:szCs w:val="20"/>
          <w:highlight w:val="yellow"/>
        </w:rPr>
      </w:pPr>
      <w:r w:rsidRPr="00106106">
        <w:rPr>
          <w:sz w:val="20"/>
          <w:szCs w:val="20"/>
          <w:highlight w:val="yellow"/>
        </w:rPr>
        <w:t>Mukherjee, A. K., Tripathi, S., Mukherjee, S., Mallick, R. B., &amp; Banerjee, A. (2019). Effect of integrated nutrient management in sunflower (</w:t>
      </w:r>
      <w:r w:rsidRPr="00106106">
        <w:rPr>
          <w:i/>
          <w:sz w:val="20"/>
          <w:szCs w:val="20"/>
          <w:highlight w:val="yellow"/>
        </w:rPr>
        <w:t xml:space="preserve">Helianthus </w:t>
      </w:r>
      <w:proofErr w:type="spellStart"/>
      <w:r w:rsidRPr="00106106">
        <w:rPr>
          <w:i/>
          <w:sz w:val="20"/>
          <w:szCs w:val="20"/>
          <w:highlight w:val="yellow"/>
        </w:rPr>
        <w:t>annuus</w:t>
      </w:r>
      <w:proofErr w:type="spellEnd"/>
      <w:r w:rsidRPr="00106106">
        <w:rPr>
          <w:sz w:val="20"/>
          <w:szCs w:val="20"/>
          <w:highlight w:val="yellow"/>
        </w:rPr>
        <w:t xml:space="preserve"> L.) on alluvial soil. </w:t>
      </w:r>
      <w:r w:rsidRPr="00106106">
        <w:rPr>
          <w:i/>
          <w:sz w:val="20"/>
          <w:szCs w:val="20"/>
          <w:highlight w:val="yellow"/>
        </w:rPr>
        <w:t>Current Science, 117</w:t>
      </w:r>
      <w:r w:rsidRPr="00106106">
        <w:rPr>
          <w:sz w:val="20"/>
          <w:szCs w:val="20"/>
          <w:highlight w:val="yellow"/>
        </w:rPr>
        <w:t xml:space="preserve">(8), 1364-1368. </w:t>
      </w:r>
      <w:hyperlink r:id="rId17" w:history="1">
        <w:r w:rsidRPr="00106106">
          <w:rPr>
            <w:rStyle w:val="Hyperlink"/>
            <w:sz w:val="20"/>
            <w:szCs w:val="20"/>
            <w:highlight w:val="yellow"/>
          </w:rPr>
          <w:t>https://doi.org/10.18520/cs/v117/i8/1364-1368</w:t>
        </w:r>
      </w:hyperlink>
      <w:r w:rsidRPr="00106106">
        <w:rPr>
          <w:sz w:val="20"/>
          <w:szCs w:val="20"/>
          <w:highlight w:val="yellow"/>
        </w:rPr>
        <w:t xml:space="preserve"> </w:t>
      </w:r>
    </w:p>
    <w:p w:rsidR="008C67DD" w:rsidRDefault="00A210B9" w:rsidP="008C67DD">
      <w:pPr>
        <w:pStyle w:val="NoSpacing"/>
        <w:numPr>
          <w:ilvl w:val="0"/>
          <w:numId w:val="8"/>
        </w:numPr>
        <w:jc w:val="both"/>
        <w:rPr>
          <w:sz w:val="20"/>
          <w:szCs w:val="20"/>
          <w:highlight w:val="yellow"/>
        </w:rPr>
      </w:pPr>
      <w:bookmarkStart w:id="32" w:name="_GoBack"/>
      <w:bookmarkEnd w:id="32"/>
      <w:r w:rsidRPr="00106106">
        <w:rPr>
          <w:color w:val="222222"/>
          <w:sz w:val="20"/>
          <w:szCs w:val="20"/>
          <w:highlight w:val="yellow"/>
          <w:shd w:val="clear" w:color="auto" w:fill="FFFFFF"/>
        </w:rPr>
        <w:t xml:space="preserve">Silva, R. V. D., Rodrigues, L. A., Silva, M. G. D., Silva, B. G. D., &amp; Martins, M. A. (2019). Biochar and </w:t>
      </w:r>
      <w:proofErr w:type="spellStart"/>
      <w:r w:rsidRPr="00106106">
        <w:rPr>
          <w:color w:val="222222"/>
          <w:sz w:val="20"/>
          <w:szCs w:val="20"/>
          <w:highlight w:val="yellow"/>
          <w:shd w:val="clear" w:color="auto" w:fill="FFFFFF"/>
        </w:rPr>
        <w:t>mucuna</w:t>
      </w:r>
      <w:proofErr w:type="spellEnd"/>
      <w:r w:rsidRPr="00106106">
        <w:rPr>
          <w:color w:val="222222"/>
          <w:sz w:val="20"/>
          <w:szCs w:val="20"/>
          <w:highlight w:val="yellow"/>
          <w:shd w:val="clear" w:color="auto" w:fill="FFFFFF"/>
        </w:rPr>
        <w:t xml:space="preserve"> increase papaya plant growth and nutrition, as well as soil fertility. </w:t>
      </w:r>
      <w:proofErr w:type="spellStart"/>
      <w:r w:rsidRPr="00106106">
        <w:rPr>
          <w:i/>
          <w:iCs/>
          <w:color w:val="222222"/>
          <w:sz w:val="20"/>
          <w:szCs w:val="20"/>
          <w:highlight w:val="yellow"/>
          <w:shd w:val="clear" w:color="auto" w:fill="FFFFFF"/>
        </w:rPr>
        <w:t>Pesquisa</w:t>
      </w:r>
      <w:proofErr w:type="spellEnd"/>
      <w:r w:rsidRPr="00106106">
        <w:rPr>
          <w:i/>
          <w:iCs/>
          <w:color w:val="222222"/>
          <w:sz w:val="20"/>
          <w:szCs w:val="20"/>
          <w:highlight w:val="yellow"/>
          <w:shd w:val="clear" w:color="auto" w:fill="FFFFFF"/>
        </w:rPr>
        <w:t xml:space="preserve"> </w:t>
      </w:r>
      <w:proofErr w:type="spellStart"/>
      <w:r w:rsidRPr="00106106">
        <w:rPr>
          <w:i/>
          <w:iCs/>
          <w:color w:val="222222"/>
          <w:sz w:val="20"/>
          <w:szCs w:val="20"/>
          <w:highlight w:val="yellow"/>
          <w:shd w:val="clear" w:color="auto" w:fill="FFFFFF"/>
        </w:rPr>
        <w:t>Agropecuária</w:t>
      </w:r>
      <w:proofErr w:type="spellEnd"/>
      <w:r w:rsidRPr="00106106">
        <w:rPr>
          <w:i/>
          <w:iCs/>
          <w:color w:val="222222"/>
          <w:sz w:val="20"/>
          <w:szCs w:val="20"/>
          <w:highlight w:val="yellow"/>
          <w:shd w:val="clear" w:color="auto" w:fill="FFFFFF"/>
        </w:rPr>
        <w:t xml:space="preserve"> Tropical</w:t>
      </w:r>
      <w:r w:rsidRPr="00106106">
        <w:rPr>
          <w:color w:val="222222"/>
          <w:sz w:val="20"/>
          <w:szCs w:val="20"/>
          <w:highlight w:val="yellow"/>
          <w:shd w:val="clear" w:color="auto" w:fill="FFFFFF"/>
        </w:rPr>
        <w:t>, </w:t>
      </w:r>
      <w:r w:rsidRPr="00106106">
        <w:rPr>
          <w:i/>
          <w:iCs/>
          <w:color w:val="222222"/>
          <w:sz w:val="20"/>
          <w:szCs w:val="20"/>
          <w:highlight w:val="yellow"/>
          <w:shd w:val="clear" w:color="auto" w:fill="FFFFFF"/>
        </w:rPr>
        <w:t>49</w:t>
      </w:r>
      <w:r w:rsidRPr="00106106">
        <w:rPr>
          <w:color w:val="222222"/>
          <w:sz w:val="20"/>
          <w:szCs w:val="20"/>
          <w:highlight w:val="yellow"/>
          <w:shd w:val="clear" w:color="auto" w:fill="FFFFFF"/>
        </w:rPr>
        <w:t xml:space="preserve">, e55210. </w:t>
      </w:r>
      <w:hyperlink r:id="rId18" w:history="1">
        <w:r w:rsidR="00BF7AC5" w:rsidRPr="00106106">
          <w:rPr>
            <w:rStyle w:val="Hyperlink"/>
            <w:sz w:val="20"/>
            <w:szCs w:val="20"/>
            <w:highlight w:val="yellow"/>
          </w:rPr>
          <w:t>https://doi.org/10.1590/1983-40632019v4955210</w:t>
        </w:r>
      </w:hyperlink>
      <w:r w:rsidR="00BF7AC5" w:rsidRPr="00106106">
        <w:rPr>
          <w:sz w:val="20"/>
          <w:szCs w:val="20"/>
          <w:highlight w:val="yellow"/>
        </w:rPr>
        <w:t xml:space="preserve"> </w:t>
      </w:r>
    </w:p>
    <w:p w:rsidR="008C67DD" w:rsidRPr="008C67DD" w:rsidRDefault="008C67DD" w:rsidP="008C67DD">
      <w:pPr>
        <w:pStyle w:val="NoSpacing"/>
        <w:numPr>
          <w:ilvl w:val="0"/>
          <w:numId w:val="8"/>
        </w:numPr>
        <w:jc w:val="both"/>
        <w:rPr>
          <w:sz w:val="20"/>
          <w:szCs w:val="20"/>
          <w:highlight w:val="yellow"/>
        </w:rPr>
      </w:pPr>
      <w:r w:rsidRPr="008C67DD">
        <w:rPr>
          <w:rFonts w:eastAsia="Times New Roman"/>
          <w:sz w:val="18"/>
          <w:szCs w:val="18"/>
        </w:rPr>
        <w:t>Singh, A., &amp; Tripathi, V. K. (2020). Influence of integrated nutrient management on growth, yield and quality parameters of papaya (</w:t>
      </w:r>
      <w:proofErr w:type="spellStart"/>
      <w:r w:rsidRPr="008C67DD">
        <w:rPr>
          <w:rFonts w:eastAsia="Times New Roman"/>
          <w:sz w:val="18"/>
          <w:szCs w:val="18"/>
        </w:rPr>
        <w:t>Carica</w:t>
      </w:r>
      <w:proofErr w:type="spellEnd"/>
      <w:r w:rsidRPr="008C67DD">
        <w:rPr>
          <w:rFonts w:eastAsia="Times New Roman"/>
          <w:sz w:val="18"/>
          <w:szCs w:val="18"/>
        </w:rPr>
        <w:t xml:space="preserve"> papaya L.). Journal of Pharmacognosy and Phytochemistry, 9(5), 2022–2026. https://doi.org/10.22271/phyto.2020.v9.i5ab.12639</w:t>
      </w:r>
    </w:p>
    <w:p w:rsidR="00BF7AC5" w:rsidRPr="00106106" w:rsidRDefault="00BF7AC5" w:rsidP="006560C9">
      <w:pPr>
        <w:pStyle w:val="NoSpacing"/>
        <w:numPr>
          <w:ilvl w:val="0"/>
          <w:numId w:val="8"/>
        </w:numPr>
        <w:jc w:val="both"/>
        <w:rPr>
          <w:sz w:val="20"/>
          <w:szCs w:val="20"/>
          <w:highlight w:val="yellow"/>
        </w:rPr>
      </w:pPr>
      <w:r w:rsidRPr="00106106">
        <w:rPr>
          <w:sz w:val="20"/>
          <w:szCs w:val="20"/>
          <w:highlight w:val="yellow"/>
        </w:rPr>
        <w:lastRenderedPageBreak/>
        <w:t xml:space="preserve">Srivastava, A. K., </w:t>
      </w:r>
      <w:proofErr w:type="spellStart"/>
      <w:r w:rsidRPr="00106106">
        <w:rPr>
          <w:sz w:val="20"/>
          <w:szCs w:val="20"/>
          <w:highlight w:val="yellow"/>
        </w:rPr>
        <w:t>Paithankar</w:t>
      </w:r>
      <w:proofErr w:type="spellEnd"/>
      <w:r w:rsidRPr="00106106">
        <w:rPr>
          <w:sz w:val="20"/>
          <w:szCs w:val="20"/>
          <w:highlight w:val="yellow"/>
        </w:rPr>
        <w:t xml:space="preserve">, D. H., </w:t>
      </w:r>
      <w:proofErr w:type="spellStart"/>
      <w:r w:rsidRPr="00106106">
        <w:rPr>
          <w:sz w:val="20"/>
          <w:szCs w:val="20"/>
          <w:highlight w:val="yellow"/>
        </w:rPr>
        <w:t>Venkataramana</w:t>
      </w:r>
      <w:proofErr w:type="spellEnd"/>
      <w:r w:rsidRPr="00106106">
        <w:rPr>
          <w:sz w:val="20"/>
          <w:szCs w:val="20"/>
          <w:highlight w:val="yellow"/>
        </w:rPr>
        <w:t xml:space="preserve">, K. T., Hazarika, B., &amp; Patil, P. (2019). INM in fruit crops: Sustaining quality production and soil health. </w:t>
      </w:r>
      <w:r w:rsidRPr="00106106">
        <w:rPr>
          <w:i/>
          <w:sz w:val="20"/>
          <w:szCs w:val="20"/>
          <w:highlight w:val="yellow"/>
        </w:rPr>
        <w:t>The Indian Journal of Agricultural Sciences, 89(</w:t>
      </w:r>
      <w:r w:rsidRPr="00106106">
        <w:rPr>
          <w:sz w:val="20"/>
          <w:szCs w:val="20"/>
          <w:highlight w:val="yellow"/>
        </w:rPr>
        <w:t xml:space="preserve">3), 379-395. </w:t>
      </w:r>
      <w:hyperlink r:id="rId19" w:history="1">
        <w:r w:rsidRPr="00106106">
          <w:rPr>
            <w:rStyle w:val="Hyperlink"/>
            <w:iCs/>
            <w:sz w:val="20"/>
            <w:szCs w:val="20"/>
            <w:highlight w:val="yellow"/>
          </w:rPr>
          <w:t>https://doi.org/10.56093/ijas.v89i3.87577</w:t>
        </w:r>
      </w:hyperlink>
      <w:r w:rsidRPr="00106106">
        <w:rPr>
          <w:sz w:val="20"/>
          <w:szCs w:val="20"/>
          <w:highlight w:val="yellow"/>
        </w:rPr>
        <w:t xml:space="preserve"> </w:t>
      </w:r>
    </w:p>
    <w:p w:rsidR="00106106" w:rsidRPr="00106106" w:rsidRDefault="00BF7AC5" w:rsidP="006560C9">
      <w:pPr>
        <w:pStyle w:val="NoSpacing"/>
        <w:numPr>
          <w:ilvl w:val="0"/>
          <w:numId w:val="8"/>
        </w:numPr>
        <w:jc w:val="both"/>
        <w:rPr>
          <w:sz w:val="20"/>
          <w:szCs w:val="20"/>
          <w:highlight w:val="yellow"/>
        </w:rPr>
      </w:pPr>
      <w:proofErr w:type="spellStart"/>
      <w:r w:rsidRPr="00106106">
        <w:rPr>
          <w:sz w:val="20"/>
          <w:szCs w:val="20"/>
          <w:highlight w:val="yellow"/>
        </w:rPr>
        <w:t>Zala</w:t>
      </w:r>
      <w:proofErr w:type="spellEnd"/>
      <w:r w:rsidRPr="00106106">
        <w:rPr>
          <w:sz w:val="20"/>
          <w:szCs w:val="20"/>
          <w:highlight w:val="yellow"/>
        </w:rPr>
        <w:t xml:space="preserve">, D. A., </w:t>
      </w:r>
      <w:proofErr w:type="spellStart"/>
      <w:r w:rsidRPr="00106106">
        <w:rPr>
          <w:sz w:val="20"/>
          <w:szCs w:val="20"/>
          <w:highlight w:val="yellow"/>
        </w:rPr>
        <w:t>Dadarwal</w:t>
      </w:r>
      <w:proofErr w:type="spellEnd"/>
      <w:r w:rsidRPr="00106106">
        <w:rPr>
          <w:sz w:val="20"/>
          <w:szCs w:val="20"/>
          <w:highlight w:val="yellow"/>
        </w:rPr>
        <w:t xml:space="preserve">, R. S., </w:t>
      </w:r>
      <w:proofErr w:type="spellStart"/>
      <w:r w:rsidRPr="00106106">
        <w:rPr>
          <w:sz w:val="20"/>
          <w:szCs w:val="20"/>
          <w:highlight w:val="yellow"/>
        </w:rPr>
        <w:t>Jat</w:t>
      </w:r>
      <w:proofErr w:type="spellEnd"/>
      <w:r w:rsidRPr="00106106">
        <w:rPr>
          <w:sz w:val="20"/>
          <w:szCs w:val="20"/>
          <w:highlight w:val="yellow"/>
        </w:rPr>
        <w:t>, R. D., Prakash, R., &amp; Asif, M. (2024). Optimizing Integrated Nutrient Management (INM) for Enhanced Growth and Yield of Chickpea (</w:t>
      </w:r>
      <w:proofErr w:type="spellStart"/>
      <w:r w:rsidRPr="00106106">
        <w:rPr>
          <w:i/>
          <w:sz w:val="20"/>
          <w:szCs w:val="20"/>
          <w:highlight w:val="yellow"/>
        </w:rPr>
        <w:t>Cicer</w:t>
      </w:r>
      <w:proofErr w:type="spellEnd"/>
      <w:r w:rsidRPr="00106106">
        <w:rPr>
          <w:i/>
          <w:sz w:val="20"/>
          <w:szCs w:val="20"/>
          <w:highlight w:val="yellow"/>
        </w:rPr>
        <w:t xml:space="preserve"> arietinum</w:t>
      </w:r>
      <w:r w:rsidRPr="00106106">
        <w:rPr>
          <w:sz w:val="20"/>
          <w:szCs w:val="20"/>
          <w:highlight w:val="yellow"/>
        </w:rPr>
        <w:t xml:space="preserve"> L.) Under Irrigated Conditions. </w:t>
      </w:r>
      <w:r w:rsidRPr="00106106">
        <w:rPr>
          <w:i/>
          <w:sz w:val="20"/>
          <w:szCs w:val="20"/>
          <w:highlight w:val="yellow"/>
        </w:rPr>
        <w:t>Journal of Experimental Agriculture International, 46</w:t>
      </w:r>
      <w:r w:rsidRPr="00106106">
        <w:rPr>
          <w:sz w:val="20"/>
          <w:szCs w:val="20"/>
          <w:highlight w:val="yellow"/>
        </w:rPr>
        <w:t xml:space="preserve">(12), 872-881. </w:t>
      </w:r>
      <w:hyperlink r:id="rId20" w:history="1">
        <w:r w:rsidRPr="00106106">
          <w:rPr>
            <w:rStyle w:val="Hyperlink"/>
            <w:sz w:val="20"/>
            <w:szCs w:val="20"/>
            <w:highlight w:val="yellow"/>
          </w:rPr>
          <w:t>https://doi.org/10.9734/jeai/2024/v46i123196</w:t>
        </w:r>
      </w:hyperlink>
      <w:r w:rsidRPr="00106106">
        <w:rPr>
          <w:sz w:val="20"/>
          <w:szCs w:val="20"/>
          <w:highlight w:val="yellow"/>
        </w:rPr>
        <w:t xml:space="preserve"> </w:t>
      </w:r>
    </w:p>
    <w:p w:rsidR="00106106" w:rsidRPr="00106106" w:rsidRDefault="00106106" w:rsidP="006560C9">
      <w:pPr>
        <w:pStyle w:val="NoSpacing"/>
        <w:numPr>
          <w:ilvl w:val="0"/>
          <w:numId w:val="8"/>
        </w:numPr>
        <w:jc w:val="both"/>
        <w:rPr>
          <w:color w:val="222222"/>
          <w:sz w:val="20"/>
          <w:szCs w:val="20"/>
          <w:highlight w:val="yellow"/>
          <w:shd w:val="clear" w:color="auto" w:fill="FFFFFF"/>
        </w:rPr>
      </w:pPr>
      <w:r w:rsidRPr="00106106">
        <w:rPr>
          <w:color w:val="222222"/>
          <w:sz w:val="20"/>
          <w:szCs w:val="20"/>
          <w:highlight w:val="yellow"/>
          <w:shd w:val="clear" w:color="auto" w:fill="FFFFFF"/>
        </w:rPr>
        <w:t xml:space="preserve">Babalola, B. A., Akinwande, A. I., </w:t>
      </w:r>
      <w:proofErr w:type="spellStart"/>
      <w:r w:rsidRPr="00106106">
        <w:rPr>
          <w:color w:val="222222"/>
          <w:sz w:val="20"/>
          <w:szCs w:val="20"/>
          <w:highlight w:val="yellow"/>
          <w:shd w:val="clear" w:color="auto" w:fill="FFFFFF"/>
        </w:rPr>
        <w:t>Otunba</w:t>
      </w:r>
      <w:proofErr w:type="spellEnd"/>
      <w:r w:rsidRPr="00106106">
        <w:rPr>
          <w:color w:val="222222"/>
          <w:sz w:val="20"/>
          <w:szCs w:val="20"/>
          <w:highlight w:val="yellow"/>
          <w:shd w:val="clear" w:color="auto" w:fill="FFFFFF"/>
        </w:rPr>
        <w:t xml:space="preserve">, A. A., </w:t>
      </w:r>
      <w:proofErr w:type="spellStart"/>
      <w:r w:rsidRPr="00106106">
        <w:rPr>
          <w:color w:val="222222"/>
          <w:sz w:val="20"/>
          <w:szCs w:val="20"/>
          <w:highlight w:val="yellow"/>
          <w:shd w:val="clear" w:color="auto" w:fill="FFFFFF"/>
        </w:rPr>
        <w:t>Adebami</w:t>
      </w:r>
      <w:proofErr w:type="spellEnd"/>
      <w:r w:rsidRPr="00106106">
        <w:rPr>
          <w:color w:val="222222"/>
          <w:sz w:val="20"/>
          <w:szCs w:val="20"/>
          <w:highlight w:val="yellow"/>
          <w:shd w:val="clear" w:color="auto" w:fill="FFFFFF"/>
        </w:rPr>
        <w:t xml:space="preserve">, G. E., Babalola, O., &amp; </w:t>
      </w:r>
      <w:proofErr w:type="spellStart"/>
      <w:r w:rsidRPr="00106106">
        <w:rPr>
          <w:color w:val="222222"/>
          <w:sz w:val="20"/>
          <w:szCs w:val="20"/>
          <w:highlight w:val="yellow"/>
          <w:shd w:val="clear" w:color="auto" w:fill="FFFFFF"/>
        </w:rPr>
        <w:t>Nwufo</w:t>
      </w:r>
      <w:proofErr w:type="spellEnd"/>
      <w:r w:rsidRPr="00106106">
        <w:rPr>
          <w:color w:val="222222"/>
          <w:sz w:val="20"/>
          <w:szCs w:val="20"/>
          <w:highlight w:val="yellow"/>
          <w:shd w:val="clear" w:color="auto" w:fill="FFFFFF"/>
        </w:rPr>
        <w:t xml:space="preserve">, C. (2024). Therapeutic benefits of </w:t>
      </w:r>
      <w:proofErr w:type="spellStart"/>
      <w:r w:rsidRPr="00106106">
        <w:rPr>
          <w:color w:val="222222"/>
          <w:sz w:val="20"/>
          <w:szCs w:val="20"/>
          <w:highlight w:val="yellow"/>
          <w:shd w:val="clear" w:color="auto" w:fill="FFFFFF"/>
        </w:rPr>
        <w:t>Carica</w:t>
      </w:r>
      <w:proofErr w:type="spellEnd"/>
      <w:r w:rsidRPr="00106106">
        <w:rPr>
          <w:color w:val="222222"/>
          <w:sz w:val="20"/>
          <w:szCs w:val="20"/>
          <w:highlight w:val="yellow"/>
          <w:shd w:val="clear" w:color="auto" w:fill="FFFFFF"/>
        </w:rPr>
        <w:t xml:space="preserve"> papaya: A review on its pharmacological activities and characterization of papain. </w:t>
      </w:r>
      <w:r w:rsidRPr="00106106">
        <w:rPr>
          <w:i/>
          <w:iCs/>
          <w:color w:val="222222"/>
          <w:sz w:val="20"/>
          <w:szCs w:val="20"/>
          <w:highlight w:val="yellow"/>
          <w:shd w:val="clear" w:color="auto" w:fill="FFFFFF"/>
        </w:rPr>
        <w:t>Arabian Journal of Chemistry</w:t>
      </w:r>
      <w:r w:rsidRPr="00106106">
        <w:rPr>
          <w:color w:val="222222"/>
          <w:sz w:val="20"/>
          <w:szCs w:val="20"/>
          <w:highlight w:val="yellow"/>
          <w:shd w:val="clear" w:color="auto" w:fill="FFFFFF"/>
        </w:rPr>
        <w:t>, </w:t>
      </w:r>
      <w:r w:rsidRPr="00106106">
        <w:rPr>
          <w:i/>
          <w:iCs/>
          <w:color w:val="222222"/>
          <w:sz w:val="20"/>
          <w:szCs w:val="20"/>
          <w:highlight w:val="yellow"/>
          <w:shd w:val="clear" w:color="auto" w:fill="FFFFFF"/>
        </w:rPr>
        <w:t>17</w:t>
      </w:r>
      <w:r w:rsidRPr="00106106">
        <w:rPr>
          <w:color w:val="222222"/>
          <w:sz w:val="20"/>
          <w:szCs w:val="20"/>
          <w:highlight w:val="yellow"/>
          <w:shd w:val="clear" w:color="auto" w:fill="FFFFFF"/>
        </w:rPr>
        <w:t>(1), 105369.</w:t>
      </w:r>
      <w:r w:rsidRPr="00106106">
        <w:rPr>
          <w:sz w:val="20"/>
          <w:szCs w:val="20"/>
          <w:highlight w:val="yellow"/>
        </w:rPr>
        <w:t xml:space="preserve"> </w:t>
      </w:r>
      <w:hyperlink r:id="rId21" w:history="1">
        <w:r w:rsidRPr="00106106">
          <w:rPr>
            <w:rStyle w:val="Hyperlink"/>
            <w:sz w:val="20"/>
            <w:szCs w:val="20"/>
            <w:highlight w:val="yellow"/>
            <w:shd w:val="clear" w:color="auto" w:fill="FFFFFF"/>
          </w:rPr>
          <w:t>https://doi.org/10.1016/j.arabjc.2023.105369</w:t>
        </w:r>
      </w:hyperlink>
      <w:r w:rsidRPr="00106106">
        <w:rPr>
          <w:color w:val="222222"/>
          <w:sz w:val="20"/>
          <w:szCs w:val="20"/>
          <w:highlight w:val="yellow"/>
          <w:shd w:val="clear" w:color="auto" w:fill="FFFFFF"/>
        </w:rPr>
        <w:t xml:space="preserve"> </w:t>
      </w:r>
    </w:p>
    <w:p w:rsidR="00106106" w:rsidRPr="00106106" w:rsidRDefault="00106106" w:rsidP="006560C9">
      <w:pPr>
        <w:pStyle w:val="NoSpacing"/>
        <w:numPr>
          <w:ilvl w:val="0"/>
          <w:numId w:val="8"/>
        </w:numPr>
        <w:jc w:val="both"/>
        <w:rPr>
          <w:sz w:val="20"/>
          <w:szCs w:val="20"/>
          <w:highlight w:val="yellow"/>
        </w:rPr>
      </w:pPr>
      <w:r w:rsidRPr="00106106">
        <w:rPr>
          <w:color w:val="222222"/>
          <w:sz w:val="20"/>
          <w:szCs w:val="20"/>
          <w:highlight w:val="yellow"/>
          <w:shd w:val="clear" w:color="auto" w:fill="FFFFFF"/>
        </w:rPr>
        <w:t>Kumari, S., Kumar, R., Chouhan, S., &amp; Chaudhary, P. L. (2023). Influence of various organic amendments on growth and yield attributes of mung bean (</w:t>
      </w:r>
      <w:r w:rsidRPr="00106106">
        <w:rPr>
          <w:i/>
          <w:color w:val="222222"/>
          <w:sz w:val="20"/>
          <w:szCs w:val="20"/>
          <w:highlight w:val="yellow"/>
          <w:shd w:val="clear" w:color="auto" w:fill="FFFFFF"/>
        </w:rPr>
        <w:t>Vigna radiata</w:t>
      </w:r>
      <w:r w:rsidRPr="00106106">
        <w:rPr>
          <w:color w:val="222222"/>
          <w:sz w:val="20"/>
          <w:szCs w:val="20"/>
          <w:highlight w:val="yellow"/>
          <w:shd w:val="clear" w:color="auto" w:fill="FFFFFF"/>
        </w:rPr>
        <w:t xml:space="preserve"> L.). </w:t>
      </w:r>
      <w:r w:rsidRPr="00106106">
        <w:rPr>
          <w:i/>
          <w:iCs/>
          <w:color w:val="222222"/>
          <w:sz w:val="20"/>
          <w:szCs w:val="20"/>
          <w:highlight w:val="yellow"/>
          <w:shd w:val="clear" w:color="auto" w:fill="FFFFFF"/>
        </w:rPr>
        <w:t>International Journal of Plant &amp; Soil Science</w:t>
      </w:r>
      <w:r w:rsidRPr="00106106">
        <w:rPr>
          <w:color w:val="222222"/>
          <w:sz w:val="20"/>
          <w:szCs w:val="20"/>
          <w:highlight w:val="yellow"/>
          <w:shd w:val="clear" w:color="auto" w:fill="FFFFFF"/>
        </w:rPr>
        <w:t>, </w:t>
      </w:r>
      <w:r w:rsidRPr="00106106">
        <w:rPr>
          <w:i/>
          <w:iCs/>
          <w:color w:val="222222"/>
          <w:sz w:val="20"/>
          <w:szCs w:val="20"/>
          <w:highlight w:val="yellow"/>
          <w:shd w:val="clear" w:color="auto" w:fill="FFFFFF"/>
        </w:rPr>
        <w:t>35</w:t>
      </w:r>
      <w:r w:rsidRPr="00106106">
        <w:rPr>
          <w:color w:val="222222"/>
          <w:sz w:val="20"/>
          <w:szCs w:val="20"/>
          <w:highlight w:val="yellow"/>
          <w:shd w:val="clear" w:color="auto" w:fill="FFFFFF"/>
        </w:rPr>
        <w:t>(12), 124-30.</w:t>
      </w:r>
      <w:r w:rsidRPr="00106106">
        <w:rPr>
          <w:sz w:val="20"/>
          <w:szCs w:val="20"/>
          <w:highlight w:val="yellow"/>
        </w:rPr>
        <w:t xml:space="preserve"> </w:t>
      </w:r>
      <w:hyperlink r:id="rId22" w:history="1">
        <w:r w:rsidRPr="00106106">
          <w:rPr>
            <w:rStyle w:val="Hyperlink"/>
            <w:sz w:val="20"/>
            <w:szCs w:val="20"/>
            <w:highlight w:val="yellow"/>
          </w:rPr>
          <w:t>https://doi.org/10.9734/IJPSS/2023/v35i122975</w:t>
        </w:r>
      </w:hyperlink>
      <w:r w:rsidRPr="00106106">
        <w:rPr>
          <w:sz w:val="20"/>
          <w:szCs w:val="20"/>
          <w:highlight w:val="yellow"/>
        </w:rPr>
        <w:t xml:space="preserve"> </w:t>
      </w:r>
    </w:p>
    <w:p w:rsidR="00106106" w:rsidRPr="00896F41" w:rsidRDefault="00106106" w:rsidP="006560C9">
      <w:pPr>
        <w:pStyle w:val="NoSpacing"/>
        <w:numPr>
          <w:ilvl w:val="0"/>
          <w:numId w:val="8"/>
        </w:numPr>
        <w:jc w:val="both"/>
        <w:rPr>
          <w:color w:val="222222"/>
          <w:sz w:val="14"/>
          <w:szCs w:val="20"/>
          <w:shd w:val="clear" w:color="auto" w:fill="FFFFFF"/>
        </w:rPr>
      </w:pPr>
      <w:proofErr w:type="spellStart"/>
      <w:r w:rsidRPr="00106106">
        <w:rPr>
          <w:color w:val="000000"/>
          <w:sz w:val="20"/>
          <w:szCs w:val="27"/>
          <w:highlight w:val="yellow"/>
          <w:shd w:val="clear" w:color="auto" w:fill="FFFFFF"/>
        </w:rPr>
        <w:t>Smita</w:t>
      </w:r>
      <w:proofErr w:type="spellEnd"/>
      <w:r w:rsidRPr="00106106">
        <w:rPr>
          <w:color w:val="000000"/>
          <w:sz w:val="20"/>
          <w:szCs w:val="27"/>
          <w:highlight w:val="yellow"/>
          <w:shd w:val="clear" w:color="auto" w:fill="FFFFFF"/>
        </w:rPr>
        <w:t xml:space="preserve">, K., </w:t>
      </w:r>
      <w:proofErr w:type="spellStart"/>
      <w:r w:rsidRPr="00106106">
        <w:rPr>
          <w:color w:val="000000"/>
          <w:sz w:val="20"/>
          <w:szCs w:val="27"/>
          <w:highlight w:val="yellow"/>
          <w:shd w:val="clear" w:color="auto" w:fill="FFFFFF"/>
        </w:rPr>
        <w:t>Dhamni</w:t>
      </w:r>
      <w:proofErr w:type="spellEnd"/>
      <w:r w:rsidRPr="00106106">
        <w:rPr>
          <w:color w:val="000000"/>
          <w:sz w:val="20"/>
          <w:szCs w:val="27"/>
          <w:highlight w:val="yellow"/>
          <w:shd w:val="clear" w:color="auto" w:fill="FFFFFF"/>
        </w:rPr>
        <w:t xml:space="preserve">, P., Shivani, Khushboo, S., Chandan, K. P., Rama, D. B., … </w:t>
      </w:r>
      <w:proofErr w:type="spellStart"/>
      <w:r w:rsidRPr="00106106">
        <w:rPr>
          <w:color w:val="000000"/>
          <w:sz w:val="20"/>
          <w:szCs w:val="27"/>
          <w:highlight w:val="yellow"/>
          <w:shd w:val="clear" w:color="auto" w:fill="FFFFFF"/>
        </w:rPr>
        <w:t>Ajaz</w:t>
      </w:r>
      <w:proofErr w:type="spellEnd"/>
      <w:r w:rsidRPr="00106106">
        <w:rPr>
          <w:color w:val="000000"/>
          <w:sz w:val="20"/>
          <w:szCs w:val="27"/>
          <w:highlight w:val="yellow"/>
          <w:shd w:val="clear" w:color="auto" w:fill="FFFFFF"/>
        </w:rPr>
        <w:t>, A. L. (2025). Influence of various organic amendments on yield, nutrient uptake and protein content of mung bean (</w:t>
      </w:r>
      <w:r w:rsidRPr="00106106">
        <w:rPr>
          <w:i/>
          <w:color w:val="000000"/>
          <w:sz w:val="20"/>
          <w:szCs w:val="27"/>
          <w:highlight w:val="yellow"/>
          <w:shd w:val="clear" w:color="auto" w:fill="FFFFFF"/>
        </w:rPr>
        <w:t>Vigna radiata</w:t>
      </w:r>
      <w:r w:rsidRPr="00106106">
        <w:rPr>
          <w:color w:val="000000"/>
          <w:sz w:val="20"/>
          <w:szCs w:val="27"/>
          <w:highlight w:val="yellow"/>
          <w:shd w:val="clear" w:color="auto" w:fill="FFFFFF"/>
        </w:rPr>
        <w:t xml:space="preserve"> L.). </w:t>
      </w:r>
      <w:r w:rsidRPr="00106106">
        <w:rPr>
          <w:i/>
          <w:iCs/>
          <w:color w:val="000000"/>
          <w:sz w:val="20"/>
          <w:szCs w:val="27"/>
          <w:highlight w:val="yellow"/>
          <w:shd w:val="clear" w:color="auto" w:fill="FFFFFF"/>
        </w:rPr>
        <w:t>Plant Science Today</w:t>
      </w:r>
      <w:r w:rsidRPr="00106106">
        <w:rPr>
          <w:color w:val="000000"/>
          <w:sz w:val="20"/>
          <w:szCs w:val="27"/>
          <w:highlight w:val="yellow"/>
          <w:shd w:val="clear" w:color="auto" w:fill="FFFFFF"/>
        </w:rPr>
        <w:t>, </w:t>
      </w:r>
      <w:r w:rsidRPr="00106106">
        <w:rPr>
          <w:i/>
          <w:iCs/>
          <w:color w:val="000000"/>
          <w:sz w:val="20"/>
          <w:szCs w:val="27"/>
          <w:highlight w:val="yellow"/>
          <w:shd w:val="clear" w:color="auto" w:fill="FFFFFF"/>
        </w:rPr>
        <w:t>12</w:t>
      </w:r>
      <w:r w:rsidRPr="00106106">
        <w:rPr>
          <w:color w:val="000000"/>
          <w:sz w:val="20"/>
          <w:szCs w:val="27"/>
          <w:highlight w:val="yellow"/>
          <w:shd w:val="clear" w:color="auto" w:fill="FFFFFF"/>
        </w:rPr>
        <w:t xml:space="preserve">(sp4), 01-16. </w:t>
      </w:r>
      <w:hyperlink r:id="rId23" w:history="1">
        <w:r w:rsidRPr="00106106">
          <w:rPr>
            <w:rStyle w:val="Hyperlink"/>
            <w:sz w:val="20"/>
            <w:szCs w:val="27"/>
            <w:highlight w:val="yellow"/>
            <w:shd w:val="clear" w:color="auto" w:fill="FFFFFF"/>
          </w:rPr>
          <w:t>https://doi.org/10.14719/pst.10607</w:t>
        </w:r>
      </w:hyperlink>
      <w:r w:rsidRPr="00896F41">
        <w:rPr>
          <w:color w:val="000000"/>
          <w:sz w:val="20"/>
          <w:szCs w:val="27"/>
          <w:shd w:val="clear" w:color="auto" w:fill="FFFFFF"/>
        </w:rPr>
        <w:t xml:space="preserve"> </w:t>
      </w:r>
    </w:p>
    <w:p w:rsidR="00106106" w:rsidRDefault="00106106" w:rsidP="00106106"/>
    <w:p w:rsidR="00067649" w:rsidRPr="00DB5E3E" w:rsidRDefault="00067649" w:rsidP="00DB5E3E">
      <w:pPr>
        <w:spacing w:before="240" w:after="240" w:line="240" w:lineRule="auto"/>
        <w:rPr>
          <w:i/>
          <w:iCs/>
          <w:color w:val="222222"/>
          <w:sz w:val="20"/>
          <w:szCs w:val="20"/>
          <w:highlight w:val="white"/>
        </w:rPr>
      </w:pPr>
    </w:p>
    <w:p w:rsidR="00067649" w:rsidRPr="00DB5E3E" w:rsidRDefault="00067649" w:rsidP="00DB5E3E">
      <w:pPr>
        <w:spacing w:line="240" w:lineRule="auto"/>
        <w:jc w:val="both"/>
        <w:rPr>
          <w:color w:val="18181B"/>
          <w:sz w:val="20"/>
          <w:szCs w:val="20"/>
          <w:highlight w:val="white"/>
        </w:rPr>
      </w:pPr>
    </w:p>
    <w:sectPr w:rsidR="00067649" w:rsidRPr="00DB5E3E">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2CF4" w:rsidRDefault="00252CF4" w:rsidP="00072712">
      <w:pPr>
        <w:spacing w:line="240" w:lineRule="auto"/>
      </w:pPr>
      <w:r>
        <w:separator/>
      </w:r>
    </w:p>
  </w:endnote>
  <w:endnote w:type="continuationSeparator" w:id="0">
    <w:p w:rsidR="00252CF4" w:rsidRDefault="00252CF4" w:rsidP="000727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3471004B-BEEA-4A05-B6B4-B4B36CC68EF7}"/>
    <w:embedBold r:id="rId2" w:fontKey="{4DA013AC-F626-4911-8717-7154EA8E0FEC}"/>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0301E9C3-6874-49F8-9758-90E6502D5AF4}"/>
    <w:embedBold r:id="rId4" w:fontKey="{5DE29042-616A-48D4-8225-3316ADAF78F5}"/>
  </w:font>
  <w:font w:name="Vrinda">
    <w:panose1 w:val="00000400000000000000"/>
    <w:charset w:val="00"/>
    <w:family w:val="swiss"/>
    <w:pitch w:val="variable"/>
    <w:sig w:usb0="00010003" w:usb1="00000000" w:usb2="00000000" w:usb3="00000000" w:csb0="00000001" w:csb1="00000000"/>
    <w:embedRegular r:id="rId5" w:fontKey="{FEFE5EBB-900C-4EB6-924C-036F03079AEF}"/>
  </w:font>
  <w:font w:name="Cambria">
    <w:panose1 w:val="02040503050406030204"/>
    <w:charset w:val="00"/>
    <w:family w:val="roman"/>
    <w:pitch w:val="variable"/>
    <w:sig w:usb0="E00006FF" w:usb1="420024FF" w:usb2="02000000" w:usb3="00000000" w:csb0="0000019F" w:csb1="00000000"/>
    <w:embedRegular r:id="rId6" w:fontKey="{69D5A340-BE9A-4846-9710-5629F0A19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32" w:rsidRDefault="00127D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32" w:rsidRDefault="00127D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32" w:rsidRDefault="00127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2CF4" w:rsidRDefault="00252CF4" w:rsidP="00072712">
      <w:pPr>
        <w:spacing w:line="240" w:lineRule="auto"/>
      </w:pPr>
      <w:r>
        <w:separator/>
      </w:r>
    </w:p>
  </w:footnote>
  <w:footnote w:type="continuationSeparator" w:id="0">
    <w:p w:rsidR="00252CF4" w:rsidRDefault="00252CF4" w:rsidP="000727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32" w:rsidRDefault="00252C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089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32" w:rsidRDefault="00252C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089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32" w:rsidRDefault="00252C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089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0F75"/>
    <w:multiLevelType w:val="hybridMultilevel"/>
    <w:tmpl w:val="899487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1F3533"/>
    <w:multiLevelType w:val="multilevel"/>
    <w:tmpl w:val="56DCC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66332E"/>
    <w:multiLevelType w:val="multilevel"/>
    <w:tmpl w:val="4EAEE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D129A6"/>
    <w:multiLevelType w:val="multilevel"/>
    <w:tmpl w:val="6D220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5B7767"/>
    <w:multiLevelType w:val="multilevel"/>
    <w:tmpl w:val="F9CEE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6F63549"/>
    <w:multiLevelType w:val="hybridMultilevel"/>
    <w:tmpl w:val="D7D25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B80D52"/>
    <w:multiLevelType w:val="multilevel"/>
    <w:tmpl w:val="4F2CB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D920146"/>
    <w:multiLevelType w:val="multilevel"/>
    <w:tmpl w:val="F1609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7"/>
  </w:num>
  <w:num w:numId="4">
    <w:abstractNumId w:val="4"/>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649"/>
    <w:rsid w:val="00067649"/>
    <w:rsid w:val="00072712"/>
    <w:rsid w:val="000B0ADB"/>
    <w:rsid w:val="00101071"/>
    <w:rsid w:val="00106106"/>
    <w:rsid w:val="00127D32"/>
    <w:rsid w:val="00182F48"/>
    <w:rsid w:val="002215CB"/>
    <w:rsid w:val="002316B2"/>
    <w:rsid w:val="00252CF4"/>
    <w:rsid w:val="00355CDB"/>
    <w:rsid w:val="00375C16"/>
    <w:rsid w:val="003833DD"/>
    <w:rsid w:val="00390E8A"/>
    <w:rsid w:val="003B5FEC"/>
    <w:rsid w:val="003F1565"/>
    <w:rsid w:val="004F6A68"/>
    <w:rsid w:val="00572916"/>
    <w:rsid w:val="005B47C1"/>
    <w:rsid w:val="005F4160"/>
    <w:rsid w:val="006560C9"/>
    <w:rsid w:val="00680417"/>
    <w:rsid w:val="00766058"/>
    <w:rsid w:val="00882E4F"/>
    <w:rsid w:val="008952CF"/>
    <w:rsid w:val="008B6B33"/>
    <w:rsid w:val="008C67DD"/>
    <w:rsid w:val="009436B0"/>
    <w:rsid w:val="009F21F6"/>
    <w:rsid w:val="00A06B43"/>
    <w:rsid w:val="00A210B9"/>
    <w:rsid w:val="00A55A7F"/>
    <w:rsid w:val="00AB6633"/>
    <w:rsid w:val="00AE294B"/>
    <w:rsid w:val="00B660AC"/>
    <w:rsid w:val="00BA24FD"/>
    <w:rsid w:val="00BF7AC5"/>
    <w:rsid w:val="00CB7A40"/>
    <w:rsid w:val="00CE30CD"/>
    <w:rsid w:val="00D21727"/>
    <w:rsid w:val="00D5611B"/>
    <w:rsid w:val="00D95B37"/>
    <w:rsid w:val="00DB5E3E"/>
    <w:rsid w:val="00DC263A"/>
    <w:rsid w:val="00DD00FD"/>
    <w:rsid w:val="00E171D3"/>
    <w:rsid w:val="00E74DF4"/>
    <w:rsid w:val="00EA0EB6"/>
    <w:rsid w:val="00ED7B3A"/>
    <w:rsid w:val="00F027B1"/>
    <w:rsid w:val="00F245E7"/>
    <w:rsid w:val="00F60E26"/>
    <w:rsid w:val="00F72453"/>
    <w:rsid w:val="00FE123D"/>
    <w:rsid w:val="00FF7846"/>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1716FF"/>
  <w15:docId w15:val="{D675950B-6D13-4432-AD68-7B629931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rsid w:val="00F72453"/>
    <w:rPr>
      <w:color w:val="0000FF" w:themeColor="hyperlink"/>
      <w:u w:val="single"/>
    </w:rPr>
  </w:style>
  <w:style w:type="character" w:styleId="UnresolvedMention">
    <w:name w:val="Unresolved Mention"/>
    <w:basedOn w:val="DefaultParagraphFont"/>
    <w:uiPriority w:val="99"/>
    <w:semiHidden/>
    <w:unhideWhenUsed/>
    <w:rsid w:val="009436B0"/>
    <w:rPr>
      <w:color w:val="605E5C"/>
      <w:shd w:val="clear" w:color="auto" w:fill="E1DFDD"/>
    </w:rPr>
  </w:style>
  <w:style w:type="paragraph" w:styleId="Header">
    <w:name w:val="header"/>
    <w:basedOn w:val="Normal"/>
    <w:link w:val="HeaderChar"/>
    <w:uiPriority w:val="99"/>
    <w:unhideWhenUsed/>
    <w:rsid w:val="00072712"/>
    <w:pPr>
      <w:tabs>
        <w:tab w:val="center" w:pos="4680"/>
        <w:tab w:val="right" w:pos="9360"/>
      </w:tabs>
      <w:spacing w:line="240" w:lineRule="auto"/>
    </w:pPr>
  </w:style>
  <w:style w:type="character" w:customStyle="1" w:styleId="HeaderChar">
    <w:name w:val="Header Char"/>
    <w:basedOn w:val="DefaultParagraphFont"/>
    <w:link w:val="Header"/>
    <w:uiPriority w:val="99"/>
    <w:rsid w:val="00072712"/>
  </w:style>
  <w:style w:type="paragraph" w:styleId="Footer">
    <w:name w:val="footer"/>
    <w:basedOn w:val="Normal"/>
    <w:link w:val="FooterChar"/>
    <w:uiPriority w:val="99"/>
    <w:unhideWhenUsed/>
    <w:rsid w:val="00072712"/>
    <w:pPr>
      <w:tabs>
        <w:tab w:val="center" w:pos="4680"/>
        <w:tab w:val="right" w:pos="9360"/>
      </w:tabs>
      <w:spacing w:line="240" w:lineRule="auto"/>
    </w:pPr>
  </w:style>
  <w:style w:type="character" w:customStyle="1" w:styleId="FooterChar">
    <w:name w:val="Footer Char"/>
    <w:basedOn w:val="DefaultParagraphFont"/>
    <w:link w:val="Footer"/>
    <w:uiPriority w:val="99"/>
    <w:rsid w:val="00072712"/>
  </w:style>
  <w:style w:type="paragraph" w:styleId="NoSpacing">
    <w:name w:val="No Spacing"/>
    <w:uiPriority w:val="1"/>
    <w:qFormat/>
    <w:rsid w:val="00DB5E3E"/>
    <w:pPr>
      <w:spacing w:line="240" w:lineRule="auto"/>
    </w:pPr>
  </w:style>
  <w:style w:type="paragraph" w:styleId="NormalWeb">
    <w:name w:val="Normal (Web)"/>
    <w:basedOn w:val="Normal"/>
    <w:uiPriority w:val="99"/>
    <w:semiHidden/>
    <w:unhideWhenUsed/>
    <w:rsid w:val="00CB7A40"/>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sid w:val="00CB7A40"/>
    <w:rPr>
      <w:b/>
      <w:bCs/>
    </w:rPr>
  </w:style>
  <w:style w:type="character" w:styleId="Emphasis">
    <w:name w:val="Emphasis"/>
    <w:basedOn w:val="DefaultParagraphFont"/>
    <w:uiPriority w:val="20"/>
    <w:qFormat/>
    <w:rsid w:val="00CB7A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3451">
      <w:bodyDiv w:val="1"/>
      <w:marLeft w:val="0"/>
      <w:marRight w:val="0"/>
      <w:marTop w:val="0"/>
      <w:marBottom w:val="0"/>
      <w:divBdr>
        <w:top w:val="none" w:sz="0" w:space="0" w:color="auto"/>
        <w:left w:val="none" w:sz="0" w:space="0" w:color="auto"/>
        <w:bottom w:val="none" w:sz="0" w:space="0" w:color="auto"/>
        <w:right w:val="none" w:sz="0" w:space="0" w:color="auto"/>
      </w:divBdr>
    </w:div>
    <w:div w:id="714893617">
      <w:bodyDiv w:val="1"/>
      <w:marLeft w:val="0"/>
      <w:marRight w:val="0"/>
      <w:marTop w:val="0"/>
      <w:marBottom w:val="0"/>
      <w:divBdr>
        <w:top w:val="none" w:sz="0" w:space="0" w:color="auto"/>
        <w:left w:val="none" w:sz="0" w:space="0" w:color="auto"/>
        <w:bottom w:val="none" w:sz="0" w:space="0" w:color="auto"/>
        <w:right w:val="none" w:sz="0" w:space="0" w:color="auto"/>
      </w:divBdr>
    </w:div>
    <w:div w:id="1017125232">
      <w:bodyDiv w:val="1"/>
      <w:marLeft w:val="0"/>
      <w:marRight w:val="0"/>
      <w:marTop w:val="0"/>
      <w:marBottom w:val="0"/>
      <w:divBdr>
        <w:top w:val="none" w:sz="0" w:space="0" w:color="auto"/>
        <w:left w:val="none" w:sz="0" w:space="0" w:color="auto"/>
        <w:bottom w:val="none" w:sz="0" w:space="0" w:color="auto"/>
        <w:right w:val="none" w:sz="0" w:space="0" w:color="auto"/>
      </w:divBdr>
    </w:div>
    <w:div w:id="1083379469">
      <w:bodyDiv w:val="1"/>
      <w:marLeft w:val="0"/>
      <w:marRight w:val="0"/>
      <w:marTop w:val="0"/>
      <w:marBottom w:val="0"/>
      <w:divBdr>
        <w:top w:val="none" w:sz="0" w:space="0" w:color="auto"/>
        <w:left w:val="none" w:sz="0" w:space="0" w:color="auto"/>
        <w:bottom w:val="none" w:sz="0" w:space="0" w:color="auto"/>
        <w:right w:val="none" w:sz="0" w:space="0" w:color="auto"/>
      </w:divBdr>
    </w:div>
    <w:div w:id="1135298994">
      <w:bodyDiv w:val="1"/>
      <w:marLeft w:val="0"/>
      <w:marRight w:val="0"/>
      <w:marTop w:val="0"/>
      <w:marBottom w:val="0"/>
      <w:divBdr>
        <w:top w:val="none" w:sz="0" w:space="0" w:color="auto"/>
        <w:left w:val="none" w:sz="0" w:space="0" w:color="auto"/>
        <w:bottom w:val="none" w:sz="0" w:space="0" w:color="auto"/>
        <w:right w:val="none" w:sz="0" w:space="0" w:color="auto"/>
      </w:divBdr>
    </w:div>
    <w:div w:id="1164934236">
      <w:bodyDiv w:val="1"/>
      <w:marLeft w:val="0"/>
      <w:marRight w:val="0"/>
      <w:marTop w:val="0"/>
      <w:marBottom w:val="0"/>
      <w:divBdr>
        <w:top w:val="none" w:sz="0" w:space="0" w:color="auto"/>
        <w:left w:val="none" w:sz="0" w:space="0" w:color="auto"/>
        <w:bottom w:val="none" w:sz="0" w:space="0" w:color="auto"/>
        <w:right w:val="none" w:sz="0" w:space="0" w:color="auto"/>
      </w:divBdr>
    </w:div>
    <w:div w:id="1279096954">
      <w:bodyDiv w:val="1"/>
      <w:marLeft w:val="0"/>
      <w:marRight w:val="0"/>
      <w:marTop w:val="0"/>
      <w:marBottom w:val="0"/>
      <w:divBdr>
        <w:top w:val="none" w:sz="0" w:space="0" w:color="auto"/>
        <w:left w:val="none" w:sz="0" w:space="0" w:color="auto"/>
        <w:bottom w:val="none" w:sz="0" w:space="0" w:color="auto"/>
        <w:right w:val="none" w:sz="0" w:space="0" w:color="auto"/>
      </w:divBdr>
    </w:div>
    <w:div w:id="1297566168">
      <w:bodyDiv w:val="1"/>
      <w:marLeft w:val="0"/>
      <w:marRight w:val="0"/>
      <w:marTop w:val="0"/>
      <w:marBottom w:val="0"/>
      <w:divBdr>
        <w:top w:val="none" w:sz="0" w:space="0" w:color="auto"/>
        <w:left w:val="none" w:sz="0" w:space="0" w:color="auto"/>
        <w:bottom w:val="none" w:sz="0" w:space="0" w:color="auto"/>
        <w:right w:val="none" w:sz="0" w:space="0" w:color="auto"/>
      </w:divBdr>
    </w:div>
    <w:div w:id="1472749874">
      <w:bodyDiv w:val="1"/>
      <w:marLeft w:val="0"/>
      <w:marRight w:val="0"/>
      <w:marTop w:val="0"/>
      <w:marBottom w:val="0"/>
      <w:divBdr>
        <w:top w:val="none" w:sz="0" w:space="0" w:color="auto"/>
        <w:left w:val="none" w:sz="0" w:space="0" w:color="auto"/>
        <w:bottom w:val="none" w:sz="0" w:space="0" w:color="auto"/>
        <w:right w:val="none" w:sz="0" w:space="0" w:color="auto"/>
      </w:divBdr>
    </w:div>
    <w:div w:id="1711497228">
      <w:bodyDiv w:val="1"/>
      <w:marLeft w:val="0"/>
      <w:marRight w:val="0"/>
      <w:marTop w:val="0"/>
      <w:marBottom w:val="0"/>
      <w:divBdr>
        <w:top w:val="none" w:sz="0" w:space="0" w:color="auto"/>
        <w:left w:val="none" w:sz="0" w:space="0" w:color="auto"/>
        <w:bottom w:val="none" w:sz="0" w:space="0" w:color="auto"/>
        <w:right w:val="none" w:sz="0" w:space="0" w:color="auto"/>
      </w:divBdr>
    </w:div>
    <w:div w:id="1964264194">
      <w:bodyDiv w:val="1"/>
      <w:marLeft w:val="0"/>
      <w:marRight w:val="0"/>
      <w:marTop w:val="0"/>
      <w:marBottom w:val="0"/>
      <w:divBdr>
        <w:top w:val="none" w:sz="0" w:space="0" w:color="auto"/>
        <w:left w:val="none" w:sz="0" w:space="0" w:color="auto"/>
        <w:bottom w:val="none" w:sz="0" w:space="0" w:color="auto"/>
        <w:right w:val="none" w:sz="0" w:space="0" w:color="auto"/>
      </w:divBdr>
    </w:div>
    <w:div w:id="1998726943">
      <w:bodyDiv w:val="1"/>
      <w:marLeft w:val="0"/>
      <w:marRight w:val="0"/>
      <w:marTop w:val="0"/>
      <w:marBottom w:val="0"/>
      <w:divBdr>
        <w:top w:val="none" w:sz="0" w:space="0" w:color="auto"/>
        <w:left w:val="none" w:sz="0" w:space="0" w:color="auto"/>
        <w:bottom w:val="none" w:sz="0" w:space="0" w:color="auto"/>
        <w:right w:val="none" w:sz="0" w:space="0" w:color="auto"/>
      </w:divBdr>
    </w:div>
    <w:div w:id="2114979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jsrr/2025/v31i12766" TargetMode="External"/><Relationship Id="rId18" Type="http://schemas.openxmlformats.org/officeDocument/2006/relationships/hyperlink" Target="https://doi.org/10.1590/1983-40632019v495521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16/j.arabjc.2023.105369" TargetMode="External"/><Relationship Id="rId7" Type="http://schemas.openxmlformats.org/officeDocument/2006/relationships/image" Target="media/image1.png"/><Relationship Id="rId12" Type="http://schemas.openxmlformats.org/officeDocument/2006/relationships/hyperlink" Target="https://doi.org/10.9734/ijpss/2024/v36i84849" TargetMode="External"/><Relationship Id="rId17" Type="http://schemas.openxmlformats.org/officeDocument/2006/relationships/hyperlink" Target="https://doi.org/10.18520/cs/v117/i8/1364-1368"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24154/jhs.v18i1.2133" TargetMode="External"/><Relationship Id="rId20" Type="http://schemas.openxmlformats.org/officeDocument/2006/relationships/hyperlink" Target="https://doi.org/10.9734/jeai/2024/v46i12319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2271/23940522.2021.v8.i1b.798"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20546/ijcmas.2018.706.404" TargetMode="External"/><Relationship Id="rId23" Type="http://schemas.openxmlformats.org/officeDocument/2006/relationships/hyperlink" Target="https://doi.org/10.14719/pst.10607"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56093/ijas.v89i3.8757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20546/ijcmas.2020.910.269" TargetMode="External"/><Relationship Id="rId22" Type="http://schemas.openxmlformats.org/officeDocument/2006/relationships/hyperlink" Target="https://doi.org/10.9734/IJPSS/2023/v35i122975"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4615</Words>
  <Characters>26308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34</cp:revision>
  <dcterms:created xsi:type="dcterms:W3CDTF">2026-01-02T13:15:00Z</dcterms:created>
  <dcterms:modified xsi:type="dcterms:W3CDTF">2026-01-09T08:33:00Z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0d266533-357f-4c91-a068-3c3f6425ddce</vt:lpwstr>
  </property>
</Properties>
</file>