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D45" w:rsidRDefault="005572AF">
      <w:pPr>
        <w:spacing w:after="0" w:line="276" w:lineRule="auto"/>
        <w:jc w:val="center"/>
        <w:rPr>
          <w:rFonts w:cs="Times New Roman"/>
          <w:b/>
          <w:bCs/>
          <w:szCs w:val="24"/>
        </w:rPr>
      </w:pPr>
      <w:r>
        <w:rPr>
          <w:rFonts w:cs="Times New Roman"/>
          <w:b/>
          <w:bCs/>
          <w:szCs w:val="24"/>
        </w:rPr>
        <w:t xml:space="preserve">Effects of </w:t>
      </w:r>
      <w:r>
        <w:rPr>
          <w:rFonts w:cs="Times New Roman"/>
          <w:b/>
          <w:bCs/>
          <w:i/>
          <w:iCs/>
          <w:szCs w:val="24"/>
        </w:rPr>
        <w:t>spirulina platensis</w:t>
      </w:r>
      <w:r>
        <w:rPr>
          <w:rFonts w:cs="Times New Roman"/>
          <w:b/>
          <w:bCs/>
          <w:szCs w:val="24"/>
        </w:rPr>
        <w:t xml:space="preserve"> supplementation on growth, hematological indices, biochemical responses, digestive enzymes, carcass composition, antioxidant defense and pigmentation in blue gourami (</w:t>
      </w:r>
      <w:r>
        <w:rPr>
          <w:rFonts w:cs="Times New Roman"/>
          <w:b/>
          <w:bCs/>
          <w:i/>
          <w:iCs/>
          <w:szCs w:val="24"/>
        </w:rPr>
        <w:t>Trichogaster trichopterus</w:t>
      </w:r>
      <w:r>
        <w:rPr>
          <w:rFonts w:cs="Times New Roman"/>
          <w:b/>
          <w:bCs/>
          <w:szCs w:val="24"/>
        </w:rPr>
        <w:t>)</w:t>
      </w:r>
    </w:p>
    <w:p w:rsidR="00E94D45" w:rsidRDefault="00E94D45">
      <w:pPr>
        <w:spacing w:after="0" w:line="276" w:lineRule="auto"/>
        <w:jc w:val="center"/>
        <w:rPr>
          <w:rFonts w:cs="Times New Roman"/>
          <w:szCs w:val="24"/>
        </w:rPr>
      </w:pPr>
    </w:p>
    <w:p w:rsidR="00E94D45" w:rsidRDefault="00E94D45">
      <w:pPr>
        <w:spacing w:after="0" w:line="276" w:lineRule="auto"/>
        <w:jc w:val="center"/>
        <w:rPr>
          <w:rFonts w:cs="Times New Roman"/>
          <w:b/>
          <w:bCs/>
          <w:sz w:val="22"/>
        </w:rPr>
      </w:pPr>
    </w:p>
    <w:p w:rsidR="00E94D45" w:rsidRDefault="005572AF">
      <w:pPr>
        <w:spacing w:after="0" w:line="276" w:lineRule="auto"/>
        <w:jc w:val="center"/>
        <w:rPr>
          <w:rFonts w:cs="Times New Roman"/>
          <w:b/>
          <w:bCs/>
          <w:sz w:val="22"/>
        </w:rPr>
      </w:pPr>
      <w:r>
        <w:rPr>
          <w:rFonts w:cs="Times New Roman"/>
          <w:b/>
          <w:bCs/>
          <w:sz w:val="22"/>
        </w:rPr>
        <w:t>Abstract</w:t>
      </w:r>
    </w:p>
    <w:p w:rsidR="00E94D45" w:rsidRDefault="005572AF">
      <w:pPr>
        <w:spacing w:after="0" w:line="276" w:lineRule="auto"/>
        <w:rPr>
          <w:rFonts w:cs="Times New Roman"/>
          <w:sz w:val="22"/>
        </w:rPr>
      </w:pPr>
      <w:r>
        <w:rPr>
          <w:rFonts w:cs="Times New Roman"/>
          <w:sz w:val="22"/>
        </w:rPr>
        <w:t>Market value in the</w:t>
      </w:r>
      <w:r>
        <w:rPr>
          <w:rFonts w:cs="Times New Roman"/>
          <w:sz w:val="22"/>
        </w:rPr>
        <w:t xml:space="preserve"> ornamental fish industry is primarily determined by pigmentation quality, growth performance and overall physiological health. Blue Gourami (</w:t>
      </w:r>
      <w:r>
        <w:rPr>
          <w:rFonts w:cs="Times New Roman"/>
          <w:i/>
          <w:iCs/>
          <w:sz w:val="22"/>
        </w:rPr>
        <w:t>Trichogaster trichopterus</w:t>
      </w:r>
      <w:r>
        <w:rPr>
          <w:rFonts w:cs="Times New Roman"/>
          <w:sz w:val="22"/>
        </w:rPr>
        <w:t>) is a popular ornamental species, yet information on natural dietary additives to enhanc</w:t>
      </w:r>
      <w:r>
        <w:rPr>
          <w:rFonts w:cs="Times New Roman"/>
          <w:sz w:val="22"/>
        </w:rPr>
        <w:t>e its commercial traits remains limited. Spirulina platensis, a nutrient-rich microalga containing proteins, vitamins, minerals and carotenoids, represents a promising natural alternative to synthetic pigments and chemotherapeutics. This study evaluated th</w:t>
      </w:r>
      <w:r>
        <w:rPr>
          <w:rFonts w:cs="Times New Roman"/>
          <w:sz w:val="22"/>
        </w:rPr>
        <w:t>e effects of graded dietary Spirulina supplementation on growth, hematological and serum biochemical parameters, digestive enzyme activity, immune response, antioxidant status and pigmentation in Blue Gourami.</w:t>
      </w:r>
    </w:p>
    <w:p w:rsidR="00E94D45" w:rsidRDefault="005572AF">
      <w:pPr>
        <w:spacing w:after="0" w:line="276" w:lineRule="auto"/>
        <w:rPr>
          <w:rFonts w:cs="Times New Roman"/>
          <w:sz w:val="22"/>
        </w:rPr>
      </w:pPr>
      <w:r>
        <w:rPr>
          <w:rFonts w:cs="Times New Roman"/>
          <w:sz w:val="22"/>
        </w:rPr>
        <w:t>A 90-day feeding trial was conducted using 480</w:t>
      </w:r>
      <w:r>
        <w:rPr>
          <w:rFonts w:cs="Times New Roman"/>
          <w:sz w:val="22"/>
        </w:rPr>
        <w:t xml:space="preserve"> male fingerlings (1.09–1.16 g), distributed into six dietary treatments containing 0% (T0), 2% (T1), 4% (T2), 6% (T3), 8% (T4) and 10% (T5) </w:t>
      </w:r>
      <w:r>
        <w:rPr>
          <w:rFonts w:cs="Times New Roman"/>
          <w:i/>
          <w:iCs/>
          <w:sz w:val="22"/>
        </w:rPr>
        <w:t>Spirulina platensis</w:t>
      </w:r>
      <w:r>
        <w:rPr>
          <w:rFonts w:cs="Times New Roman"/>
          <w:sz w:val="22"/>
        </w:rPr>
        <w:t xml:space="preserve">. Fish were fed twice daily to satiation. Growth indices, blood parameters, serum biochemistry, </w:t>
      </w:r>
      <w:r>
        <w:rPr>
          <w:rFonts w:cs="Times New Roman"/>
          <w:sz w:val="22"/>
        </w:rPr>
        <w:t>digestive enzymes, immune markers, colour attributes and tissue carotenoid content were analyzed.</w:t>
      </w:r>
    </w:p>
    <w:p w:rsidR="00E94D45" w:rsidRDefault="005572AF">
      <w:pPr>
        <w:spacing w:after="0" w:line="276" w:lineRule="auto"/>
        <w:rPr>
          <w:rFonts w:cs="Times New Roman"/>
          <w:sz w:val="22"/>
        </w:rPr>
      </w:pPr>
      <w:r>
        <w:rPr>
          <w:rFonts w:cs="Times New Roman"/>
          <w:sz w:val="22"/>
        </w:rPr>
        <w:t>Results demonstrated significant dose-dependent improvements with increasing Spirulina levels. Fish fed 10% Spirulina (T5) exhibited the highest growth perfor</w:t>
      </w:r>
      <w:r>
        <w:rPr>
          <w:rFonts w:cs="Times New Roman"/>
          <w:sz w:val="22"/>
        </w:rPr>
        <w:t xml:space="preserve">mance and feed efficiency (FCR 1.47), improved hematological and serum biochemical profiles, enhanced digestive enzyme activities and improve immune responses. Pigmentation intensity and carotenoid deposition in skin and caudal fins were also maximized in </w:t>
      </w:r>
      <w:r>
        <w:rPr>
          <w:rFonts w:cs="Times New Roman"/>
          <w:sz w:val="22"/>
        </w:rPr>
        <w:t>T5.</w:t>
      </w:r>
    </w:p>
    <w:p w:rsidR="00E94D45" w:rsidRDefault="005572AF">
      <w:pPr>
        <w:spacing w:after="0" w:line="276" w:lineRule="auto"/>
        <w:rPr>
          <w:rFonts w:cs="Times New Roman"/>
          <w:sz w:val="22"/>
        </w:rPr>
      </w:pPr>
      <w:r>
        <w:rPr>
          <w:rFonts w:cs="Times New Roman"/>
          <w:sz w:val="22"/>
        </w:rPr>
        <w:t>Overall, dietary supplementation with 10% Spirulina platensis significantly enhanced growth, health, immunity and coloration in Blue Gourami, supporting its application as an effective natural feed additive for improving ornamental fish quality. Furthe</w:t>
      </w:r>
      <w:r>
        <w:rPr>
          <w:rFonts w:cs="Times New Roman"/>
          <w:sz w:val="22"/>
        </w:rPr>
        <w:t>r studies should explore long-term reproductive performance, disease resistance under pathogen challenge and costbenefit analysis of Spirulina inclusion at commercial scale.</w:t>
      </w:r>
    </w:p>
    <w:p w:rsidR="00E94D45" w:rsidRDefault="00E94D45">
      <w:pPr>
        <w:spacing w:after="0" w:line="240" w:lineRule="auto"/>
        <w:rPr>
          <w:rFonts w:cs="Times New Roman"/>
          <w:sz w:val="20"/>
          <w:szCs w:val="20"/>
        </w:rPr>
      </w:pPr>
    </w:p>
    <w:p w:rsidR="00E94D45" w:rsidRDefault="005572AF">
      <w:pPr>
        <w:spacing w:after="0" w:line="240" w:lineRule="auto"/>
        <w:rPr>
          <w:rFonts w:cs="Times New Roman"/>
          <w:b/>
          <w:bCs/>
          <w:sz w:val="20"/>
          <w:szCs w:val="20"/>
        </w:rPr>
      </w:pPr>
      <w:r>
        <w:rPr>
          <w:rFonts w:cs="Times New Roman"/>
          <w:b/>
          <w:bCs/>
          <w:sz w:val="20"/>
          <w:szCs w:val="20"/>
        </w:rPr>
        <w:t xml:space="preserve">Keywords: </w:t>
      </w:r>
      <w:r>
        <w:rPr>
          <w:rFonts w:cs="Times New Roman"/>
          <w:sz w:val="20"/>
          <w:szCs w:val="20"/>
        </w:rPr>
        <w:t xml:space="preserve">Blue Gourami, </w:t>
      </w:r>
      <w:r>
        <w:rPr>
          <w:rFonts w:cs="Times New Roman"/>
          <w:i/>
          <w:iCs/>
          <w:sz w:val="20"/>
          <w:szCs w:val="20"/>
        </w:rPr>
        <w:t xml:space="preserve">Trichogaster trichopterus, </w:t>
      </w:r>
      <w:r>
        <w:rPr>
          <w:rFonts w:cs="Times New Roman"/>
          <w:sz w:val="20"/>
          <w:szCs w:val="20"/>
        </w:rPr>
        <w:t xml:space="preserve">Pigmentation, </w:t>
      </w:r>
      <w:r>
        <w:rPr>
          <w:rFonts w:cs="Times New Roman"/>
          <w:i/>
          <w:iCs/>
          <w:sz w:val="20"/>
          <w:szCs w:val="20"/>
        </w:rPr>
        <w:t>Spirulina platen</w:t>
      </w:r>
      <w:r>
        <w:rPr>
          <w:rFonts w:cs="Times New Roman"/>
          <w:i/>
          <w:iCs/>
          <w:sz w:val="20"/>
          <w:szCs w:val="20"/>
        </w:rPr>
        <w:t>sis</w:t>
      </w:r>
    </w:p>
    <w:p w:rsidR="00E94D45" w:rsidRDefault="005572AF">
      <w:pPr>
        <w:pStyle w:val="ListParagraph"/>
        <w:numPr>
          <w:ilvl w:val="0"/>
          <w:numId w:val="9"/>
        </w:numPr>
        <w:spacing w:line="276" w:lineRule="auto"/>
        <w:ind w:left="426"/>
        <w:rPr>
          <w:rFonts w:cs="Times New Roman"/>
          <w:sz w:val="28"/>
          <w:szCs w:val="28"/>
        </w:rPr>
      </w:pPr>
      <w:r>
        <w:rPr>
          <w:rFonts w:cs="Times New Roman"/>
          <w:sz w:val="28"/>
          <w:szCs w:val="28"/>
        </w:rPr>
        <w:t>Introduction</w:t>
      </w:r>
    </w:p>
    <w:p w:rsidR="00E94D45" w:rsidRDefault="005572AF">
      <w:pPr>
        <w:spacing w:line="276" w:lineRule="auto"/>
        <w:rPr>
          <w:rFonts w:cs="Times New Roman"/>
          <w:sz w:val="20"/>
          <w:szCs w:val="20"/>
        </w:rPr>
      </w:pPr>
      <w:r>
        <w:rPr>
          <w:rFonts w:cs="Times New Roman"/>
          <w:sz w:val="20"/>
          <w:szCs w:val="20"/>
        </w:rPr>
        <w:t>Ornamental fish rearing has emerged as the second most popular hobby next to photography due to its aesthetic beauty (Aly et al. 2008). Besides this, it also provides employment and revenue generation for the country. The major problem fac</w:t>
      </w:r>
      <w:r>
        <w:rPr>
          <w:rFonts w:cs="Times New Roman"/>
          <w:sz w:val="20"/>
          <w:szCs w:val="20"/>
        </w:rPr>
        <w:t>ing aqua culturists is the uncontrollable mortalities associated with disease and related disorders. Since the economic importance of aquarium fish is not less than that of the food fish. Ornamental fishes are susceptible to bacteria, viral, fungi, protozo</w:t>
      </w:r>
      <w:r>
        <w:rPr>
          <w:rFonts w:cs="Times New Roman"/>
          <w:sz w:val="20"/>
          <w:szCs w:val="20"/>
        </w:rPr>
        <w:t>a and parasitic organisms and cause loss to the produce. Control of the bacterial disease is made possible by using drugs and antibiotics. The traditional use of antibiotics as growth promoters in aquaculture has been challenged because of the potential de</w:t>
      </w:r>
      <w:r>
        <w:rPr>
          <w:rFonts w:cs="Times New Roman"/>
          <w:sz w:val="20"/>
          <w:szCs w:val="20"/>
        </w:rPr>
        <w:t>velopment of antibiotic-resistant bacteria (Deepika et al. 2019). Furthermore, Ornamental fish come in a wide range of colors and patterns, and its vibrant color is vital to its success in the ornamental fish market. Color is a significant factor in determ</w:t>
      </w:r>
      <w:r>
        <w:rPr>
          <w:rFonts w:cs="Times New Roman"/>
          <w:sz w:val="20"/>
          <w:szCs w:val="20"/>
        </w:rPr>
        <w:t>ining aquarium fish prices globally (Saxena 1994; Torrissen 1989). Like other animals, fish cannot synthesize carotenoids on their own and must obtain them through diet. The principal source of color in the skin of ornamental fish is carotenoids (Sinha &amp; A</w:t>
      </w:r>
      <w:r>
        <w:rPr>
          <w:rFonts w:cs="Times New Roman"/>
          <w:sz w:val="20"/>
          <w:szCs w:val="20"/>
        </w:rPr>
        <w:t xml:space="preserve">simi 2007). Since synthetic additives are expensive, recent research has focused on natural substances. Different natural carotenoid sources such as plant petals, bacteria, microalgae and flower extract are often used as color enhancers and influence fish </w:t>
      </w:r>
      <w:r>
        <w:rPr>
          <w:rFonts w:cs="Times New Roman"/>
          <w:sz w:val="20"/>
          <w:szCs w:val="20"/>
        </w:rPr>
        <w:t xml:space="preserve">growth (Maiti 2017). </w:t>
      </w:r>
    </w:p>
    <w:p w:rsidR="00E94D45" w:rsidRDefault="005572AF">
      <w:pPr>
        <w:spacing w:line="276" w:lineRule="auto"/>
        <w:rPr>
          <w:rFonts w:cs="Times New Roman"/>
          <w:sz w:val="20"/>
          <w:szCs w:val="20"/>
        </w:rPr>
      </w:pPr>
      <w:r>
        <w:rPr>
          <w:rFonts w:cs="Times New Roman"/>
          <w:sz w:val="20"/>
          <w:szCs w:val="20"/>
        </w:rPr>
        <w:t>Spirulina (</w:t>
      </w:r>
      <w:r>
        <w:rPr>
          <w:rFonts w:cs="Times New Roman"/>
          <w:i/>
          <w:iCs/>
          <w:sz w:val="20"/>
          <w:szCs w:val="20"/>
        </w:rPr>
        <w:t>Spirulina platensis</w:t>
      </w:r>
      <w:r>
        <w:rPr>
          <w:rFonts w:cs="Times New Roman"/>
          <w:sz w:val="20"/>
          <w:szCs w:val="20"/>
        </w:rPr>
        <w:t xml:space="preserve">) as a source of plant, capable of producing dense and value of proper food can play a promising trend in future years (Lu &amp; Takeuchi 2004; Choonawala 2007). Spirulina is a blue-green algae, spiral shape </w:t>
      </w:r>
      <w:r>
        <w:rPr>
          <w:rFonts w:cs="Times New Roman"/>
          <w:sz w:val="20"/>
          <w:szCs w:val="20"/>
        </w:rPr>
        <w:t xml:space="preserve">with a diameter of 12 microns and a rich source of protein, vitamins, amino acids and essential fatty, mineral </w:t>
      </w:r>
      <w:r>
        <w:rPr>
          <w:rFonts w:cs="Times New Roman"/>
          <w:sz w:val="20"/>
          <w:szCs w:val="20"/>
        </w:rPr>
        <w:lastRenderedPageBreak/>
        <w:t>and antioxidant pigments (Diraman et al. 2009). Positive results in many aquatic species of Spirulina were reported over the determinants of grow</w:t>
      </w:r>
      <w:r>
        <w:rPr>
          <w:rFonts w:cs="Times New Roman"/>
          <w:sz w:val="20"/>
          <w:szCs w:val="20"/>
        </w:rPr>
        <w:t>th, increased food intake, pigmentation, increased immunity and improved reproductive parameters (Regunthan &amp; Wesley 2007; Güroy et al. 2012.). However, very limited data there are on the use of Spirulina on the characteristics of ornamental fish (Güroy et</w:t>
      </w:r>
      <w:r>
        <w:rPr>
          <w:rFonts w:cs="Times New Roman"/>
          <w:sz w:val="20"/>
          <w:szCs w:val="20"/>
        </w:rPr>
        <w:t xml:space="preserve"> al. 2012; Lu &amp; Takeuchi 2004). Blue gourami (</w:t>
      </w:r>
      <w:r>
        <w:rPr>
          <w:rFonts w:cs="Times New Roman"/>
          <w:i/>
          <w:iCs/>
          <w:sz w:val="20"/>
          <w:szCs w:val="20"/>
        </w:rPr>
        <w:t>Trichogaster trichopterus</w:t>
      </w:r>
      <w:r>
        <w:rPr>
          <w:rFonts w:cs="Times New Roman"/>
          <w:sz w:val="20"/>
          <w:szCs w:val="20"/>
        </w:rPr>
        <w:t xml:space="preserve">) is an attractive colored fish in the ornamental fish industry and has potential market demand worldwide (Degani 2013). </w:t>
      </w:r>
      <w:r>
        <w:rPr>
          <w:rFonts w:cs="Times New Roman"/>
          <w:i/>
          <w:iCs/>
          <w:sz w:val="20"/>
          <w:szCs w:val="20"/>
        </w:rPr>
        <w:t>Trichogaster trichopterus</w:t>
      </w:r>
      <w:r>
        <w:rPr>
          <w:rFonts w:cs="Times New Roman"/>
          <w:sz w:val="20"/>
          <w:szCs w:val="20"/>
        </w:rPr>
        <w:t xml:space="preserve"> is an important air-breathing freshwat</w:t>
      </w:r>
      <w:r>
        <w:rPr>
          <w:rFonts w:cs="Times New Roman"/>
          <w:sz w:val="20"/>
          <w:szCs w:val="20"/>
        </w:rPr>
        <w:t xml:space="preserve">er ornamental fish with a lot of commercial value. Blue gourami is a very hardy fish that can tolerate wide fluctuations of water quality parameters and is hence preferred by aquarists around the globe (Jorjani et al. 2019). </w:t>
      </w:r>
    </w:p>
    <w:p w:rsidR="00E94D45" w:rsidRDefault="005572AF">
      <w:pPr>
        <w:spacing w:line="276" w:lineRule="auto"/>
        <w:rPr>
          <w:rFonts w:cs="Times New Roman"/>
          <w:sz w:val="20"/>
          <w:szCs w:val="20"/>
        </w:rPr>
      </w:pPr>
      <w:r>
        <w:rPr>
          <w:rFonts w:cs="Times New Roman"/>
          <w:sz w:val="20"/>
          <w:szCs w:val="20"/>
        </w:rPr>
        <w:t>The study on the effects of Sp</w:t>
      </w:r>
      <w:r>
        <w:rPr>
          <w:rFonts w:cs="Times New Roman"/>
          <w:sz w:val="20"/>
          <w:szCs w:val="20"/>
        </w:rPr>
        <w:t>irulina on Blue Gourami is crucial due to the fish's significant commercial value and popularity in the ornamental fish industry. Blue Gourami, known for its vibrant color and hardiness, is highly sought after, making its growth and pigmentation key factor</w:t>
      </w:r>
      <w:r>
        <w:rPr>
          <w:rFonts w:cs="Times New Roman"/>
          <w:sz w:val="20"/>
          <w:szCs w:val="20"/>
        </w:rPr>
        <w:t>s in its market success. Spirulina, a nutrient-rich blue-green algae, offers a natural and sustainable dietary option that can enhance these qualities. With its high content of proteins, vitamins and carotenoids, Spirulina has the potential to improve both</w:t>
      </w:r>
      <w:r>
        <w:rPr>
          <w:rFonts w:cs="Times New Roman"/>
          <w:sz w:val="20"/>
          <w:szCs w:val="20"/>
        </w:rPr>
        <w:t xml:space="preserve"> the growth and color intensity of Blue Gourami, which are critical for consumer appeal. Despite its known benefits in other species, limited research has explored Spirulina's specific effects on Blue Gourami, making this study vital for advancing knowledg</w:t>
      </w:r>
      <w:r>
        <w:rPr>
          <w:rFonts w:cs="Times New Roman"/>
          <w:sz w:val="20"/>
          <w:szCs w:val="20"/>
        </w:rPr>
        <w:t>e and improving ornamental fish-rearing practices.</w:t>
      </w:r>
    </w:p>
    <w:p w:rsidR="00E94D45" w:rsidRDefault="005572AF">
      <w:pPr>
        <w:pStyle w:val="ListParagraph"/>
        <w:numPr>
          <w:ilvl w:val="0"/>
          <w:numId w:val="9"/>
        </w:numPr>
        <w:spacing w:line="276" w:lineRule="auto"/>
        <w:ind w:left="426" w:hanging="426"/>
        <w:rPr>
          <w:rFonts w:cs="Times New Roman"/>
          <w:sz w:val="28"/>
          <w:szCs w:val="28"/>
        </w:rPr>
      </w:pPr>
      <w:r>
        <w:rPr>
          <w:rFonts w:cs="Times New Roman"/>
          <w:sz w:val="28"/>
          <w:szCs w:val="28"/>
        </w:rPr>
        <w:t>Material and Method</w:t>
      </w:r>
    </w:p>
    <w:p w:rsidR="00E94D45" w:rsidRDefault="005572AF">
      <w:pPr>
        <w:pStyle w:val="ListParagraph"/>
        <w:numPr>
          <w:ilvl w:val="1"/>
          <w:numId w:val="9"/>
        </w:numPr>
        <w:spacing w:line="276" w:lineRule="auto"/>
        <w:ind w:left="426" w:hanging="426"/>
        <w:rPr>
          <w:rFonts w:cs="Times New Roman"/>
          <w:szCs w:val="24"/>
        </w:rPr>
      </w:pPr>
      <w:r>
        <w:rPr>
          <w:rFonts w:cs="Times New Roman"/>
          <w:szCs w:val="24"/>
        </w:rPr>
        <w:t>Experimental design and feeding trial</w:t>
      </w:r>
    </w:p>
    <w:p w:rsidR="00E94D45" w:rsidRDefault="005572AF">
      <w:pPr>
        <w:spacing w:line="276" w:lineRule="auto"/>
        <w:rPr>
          <w:rFonts w:cs="Times New Roman"/>
          <w:sz w:val="20"/>
          <w:szCs w:val="20"/>
        </w:rPr>
      </w:pPr>
      <w:r>
        <w:rPr>
          <w:rFonts w:cs="Times New Roman"/>
          <w:sz w:val="20"/>
          <w:szCs w:val="20"/>
        </w:rPr>
        <w:t>Following their acclimation, 480 fish (fingerlings with an average starting weight of 1.09 to 1.16 ± 0.008) were stocked at random into 24 aquariums, with four replicate tanks for each of the six nutritional treatments, at a density of 20 fish per tank (60</w:t>
      </w:r>
      <w:r>
        <w:rPr>
          <w:rFonts w:cs="Times New Roman"/>
          <w:sz w:val="20"/>
          <w:szCs w:val="20"/>
        </w:rPr>
        <w:t>L). Aerated fresh water was added to each tank daily to replace one-third of the water volume accumulated by excrement. The blue gourami was hand-fed to satiation twice a day, at 9:00 am and 3:00 pm, throughout the 90-day trial. This amounted to about 3% o</w:t>
      </w:r>
      <w:r>
        <w:rPr>
          <w:rFonts w:cs="Times New Roman"/>
          <w:sz w:val="20"/>
          <w:szCs w:val="20"/>
        </w:rPr>
        <w:t>f the biomass. Throughout the trial, fish were weighed every two weeks and the amount of feed was adjusted to their average body weight (derived from the intermediate samplings).</w:t>
      </w:r>
    </w:p>
    <w:p w:rsidR="00E94D45" w:rsidRDefault="005572AF">
      <w:pPr>
        <w:spacing w:after="160"/>
        <w:jc w:val="left"/>
        <w:rPr>
          <w:rFonts w:cs="Times New Roman"/>
          <w:sz w:val="20"/>
          <w:szCs w:val="20"/>
        </w:rPr>
      </w:pPr>
      <w:r>
        <w:rPr>
          <w:rFonts w:cs="Times New Roman"/>
          <w:sz w:val="20"/>
          <w:szCs w:val="20"/>
        </w:rPr>
        <w:br w:type="page"/>
      </w:r>
    </w:p>
    <w:p w:rsidR="00E94D45" w:rsidRDefault="005572AF">
      <w:pPr>
        <w:pStyle w:val="ListParagraph"/>
        <w:numPr>
          <w:ilvl w:val="1"/>
          <w:numId w:val="9"/>
        </w:numPr>
        <w:spacing w:line="276" w:lineRule="auto"/>
        <w:ind w:left="426" w:hanging="426"/>
        <w:rPr>
          <w:rFonts w:cs="Times New Roman"/>
          <w:szCs w:val="24"/>
        </w:rPr>
      </w:pPr>
      <w:r>
        <w:rPr>
          <w:rFonts w:cs="Times New Roman"/>
          <w:szCs w:val="24"/>
        </w:rPr>
        <w:lastRenderedPageBreak/>
        <w:t>Preparation of experimental diets</w:t>
      </w:r>
    </w:p>
    <w:p w:rsidR="00E94D45" w:rsidRDefault="005572AF">
      <w:pPr>
        <w:spacing w:line="276" w:lineRule="auto"/>
        <w:rPr>
          <w:rFonts w:cs="Times New Roman"/>
          <w:sz w:val="20"/>
          <w:szCs w:val="20"/>
        </w:rPr>
      </w:pPr>
      <w:r>
        <w:rPr>
          <w:rFonts w:cs="Times New Roman"/>
          <w:sz w:val="20"/>
          <w:szCs w:val="20"/>
        </w:rPr>
        <w:t>Table 1 shows the formulation of six dist</w:t>
      </w:r>
      <w:r>
        <w:rPr>
          <w:rFonts w:cs="Times New Roman"/>
          <w:sz w:val="20"/>
          <w:szCs w:val="20"/>
        </w:rPr>
        <w:t>inct diets with varying amounts of spirulina supplementation (0%, 2%, 4%, 6%, 8% and 10%). A study on the proximate content of feed was conducted; Table 2 presents the findings.</w:t>
      </w:r>
    </w:p>
    <w:p w:rsidR="00E94D45" w:rsidRDefault="005572AF">
      <w:pPr>
        <w:spacing w:after="0"/>
        <w:rPr>
          <w:rFonts w:cs="Times New Roman"/>
          <w:b/>
          <w:bCs/>
          <w:sz w:val="20"/>
          <w:szCs w:val="20"/>
        </w:rPr>
      </w:pPr>
      <w:r>
        <w:rPr>
          <w:rFonts w:cs="Times New Roman"/>
          <w:b/>
          <w:bCs/>
          <w:sz w:val="20"/>
          <w:szCs w:val="20"/>
        </w:rPr>
        <w:t xml:space="preserve">Table </w:t>
      </w:r>
      <w:r>
        <w:rPr>
          <w:rFonts w:cs="Times New Roman"/>
          <w:b/>
          <w:bCs/>
          <w:sz w:val="20"/>
          <w:szCs w:val="20"/>
        </w:rPr>
        <w:fldChar w:fldCharType="begin"/>
      </w:r>
      <w:r>
        <w:rPr>
          <w:rFonts w:cs="Times New Roman"/>
          <w:b/>
          <w:bCs/>
          <w:sz w:val="20"/>
          <w:szCs w:val="20"/>
        </w:rPr>
        <w:instrText xml:space="preserve"> SEQ Table \* ARABIC </w:instrText>
      </w:r>
      <w:r>
        <w:rPr>
          <w:rFonts w:cs="Times New Roman"/>
          <w:b/>
          <w:bCs/>
          <w:sz w:val="20"/>
          <w:szCs w:val="20"/>
        </w:rPr>
        <w:fldChar w:fldCharType="separate"/>
      </w:r>
      <w:r>
        <w:rPr>
          <w:rFonts w:cs="Times New Roman"/>
          <w:b/>
          <w:bCs/>
          <w:noProof/>
          <w:sz w:val="20"/>
          <w:szCs w:val="20"/>
        </w:rPr>
        <w:t>1</w:t>
      </w:r>
      <w:r>
        <w:rPr>
          <w:rFonts w:cs="Times New Roman"/>
          <w:b/>
          <w:bCs/>
          <w:sz w:val="20"/>
          <w:szCs w:val="20"/>
        </w:rPr>
        <w:fldChar w:fldCharType="end"/>
      </w:r>
      <w:r>
        <w:rPr>
          <w:rFonts w:cs="Times New Roman"/>
          <w:b/>
          <w:bCs/>
          <w:sz w:val="20"/>
          <w:szCs w:val="20"/>
        </w:rPr>
        <w:t xml:space="preserve"> Feed ingredients and nutrient composition (% </w:t>
      </w:r>
      <w:r>
        <w:rPr>
          <w:rFonts w:cs="Times New Roman"/>
          <w:b/>
          <w:bCs/>
          <w:sz w:val="20"/>
          <w:szCs w:val="20"/>
        </w:rPr>
        <w:t>dry weight) of the experimental diet.</w:t>
      </w:r>
    </w:p>
    <w:tbl>
      <w:tblPr>
        <w:tblStyle w:val="TableGrid"/>
        <w:tblW w:w="5000" w:type="pct"/>
        <w:tblLook w:val="04A0" w:firstRow="1" w:lastRow="0" w:firstColumn="1" w:lastColumn="0" w:noHBand="0" w:noVBand="1"/>
      </w:tblPr>
      <w:tblGrid>
        <w:gridCol w:w="2242"/>
        <w:gridCol w:w="1131"/>
        <w:gridCol w:w="1128"/>
        <w:gridCol w:w="1128"/>
        <w:gridCol w:w="1128"/>
        <w:gridCol w:w="1128"/>
        <w:gridCol w:w="1131"/>
      </w:tblGrid>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Treatments</w:t>
            </w:r>
          </w:p>
          <w:p w:rsidR="00E94D45" w:rsidRDefault="00E94D45">
            <w:pPr>
              <w:spacing w:after="0" w:line="276" w:lineRule="auto"/>
              <w:jc w:val="center"/>
              <w:rPr>
                <w:rFonts w:cs="Times New Roman"/>
                <w:b/>
                <w:bCs/>
                <w:sz w:val="20"/>
                <w:szCs w:val="20"/>
              </w:rPr>
            </w:pPr>
          </w:p>
        </w:tc>
        <w:tc>
          <w:tcPr>
            <w:tcW w:w="614"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T0 (0% Spirulina)</w:t>
            </w:r>
          </w:p>
        </w:tc>
        <w:tc>
          <w:tcPr>
            <w:tcW w:w="613"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T1 (2%)</w:t>
            </w:r>
          </w:p>
        </w:tc>
        <w:tc>
          <w:tcPr>
            <w:tcW w:w="613"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T2 (4%)</w:t>
            </w:r>
          </w:p>
        </w:tc>
        <w:tc>
          <w:tcPr>
            <w:tcW w:w="613"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T3 (6%)</w:t>
            </w:r>
          </w:p>
        </w:tc>
        <w:tc>
          <w:tcPr>
            <w:tcW w:w="613"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T4 (8%)</w:t>
            </w:r>
          </w:p>
        </w:tc>
        <w:tc>
          <w:tcPr>
            <w:tcW w:w="613"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T5 (10%)</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Spirulina</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0.00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4.00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6.00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8.00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10.00</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Fish meal (60.1%)</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39.92</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39.92</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39.92</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39.92</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39.92</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39.92</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Groundnut oil cake (45%)</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17.74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17.74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17.74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17.74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17.74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17.74</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Soybean meal (46%)</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17.34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17.34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17.34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17.34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17.34</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17.34</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Rice bran</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9.50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8.50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7.50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6.50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6.00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4.50</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Wheat flour</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9.50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8.50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7.50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6.50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5.00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4.50</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Plant oil</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Fish oil</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 xml:space="preserve">Vitamin and mineral </w:t>
            </w:r>
            <w:r>
              <w:rPr>
                <w:rFonts w:cs="Times New Roman"/>
                <w:b/>
                <w:bCs/>
                <w:sz w:val="20"/>
                <w:szCs w:val="20"/>
              </w:rPr>
              <w:t>mix</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2.00</w:t>
            </w:r>
          </w:p>
        </w:tc>
      </w:tr>
      <w:tr w:rsidR="00E94D45">
        <w:trPr>
          <w:trHeight w:val="290"/>
        </w:trPr>
        <w:tc>
          <w:tcPr>
            <w:tcW w:w="1319" w:type="pct"/>
            <w:noWrap/>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Total</w:t>
            </w:r>
          </w:p>
        </w:tc>
        <w:tc>
          <w:tcPr>
            <w:tcW w:w="614"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100.1</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100.1</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100.1</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100.1</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100.1</w:t>
            </w:r>
          </w:p>
        </w:tc>
        <w:tc>
          <w:tcPr>
            <w:tcW w:w="613" w:type="pct"/>
            <w:noWrap/>
            <w:vAlign w:val="center"/>
            <w:hideMark/>
          </w:tcPr>
          <w:p w:rsidR="00E94D45" w:rsidRDefault="005572AF">
            <w:pPr>
              <w:spacing w:after="0" w:line="276" w:lineRule="auto"/>
              <w:jc w:val="center"/>
              <w:rPr>
                <w:rFonts w:cs="Times New Roman"/>
                <w:sz w:val="20"/>
                <w:szCs w:val="20"/>
              </w:rPr>
            </w:pPr>
            <w:r>
              <w:rPr>
                <w:rFonts w:cs="Times New Roman"/>
                <w:sz w:val="20"/>
                <w:szCs w:val="20"/>
              </w:rPr>
              <w:t>100.1</w:t>
            </w:r>
          </w:p>
        </w:tc>
      </w:tr>
      <w:tr w:rsidR="00E94D45">
        <w:trPr>
          <w:trHeight w:val="290"/>
        </w:trPr>
        <w:tc>
          <w:tcPr>
            <w:tcW w:w="5000" w:type="pct"/>
            <w:gridSpan w:val="7"/>
            <w:noWrap/>
            <w:vAlign w:val="center"/>
          </w:tcPr>
          <w:p w:rsidR="00E94D45" w:rsidRDefault="005572AF">
            <w:pPr>
              <w:spacing w:after="0" w:line="276" w:lineRule="auto"/>
              <w:jc w:val="left"/>
              <w:rPr>
                <w:rFonts w:cs="Times New Roman"/>
                <w:i/>
                <w:iCs/>
                <w:sz w:val="20"/>
                <w:szCs w:val="20"/>
              </w:rPr>
            </w:pPr>
            <w:r>
              <w:rPr>
                <w:rFonts w:cs="Times New Roman"/>
                <w:b/>
                <w:bCs/>
                <w:sz w:val="20"/>
                <w:szCs w:val="20"/>
              </w:rPr>
              <w:t>Vitamin and Mineral mix</w:t>
            </w:r>
            <w:r>
              <w:rPr>
                <w:rFonts w:cs="Times New Roman"/>
                <w:sz w:val="20"/>
                <w:szCs w:val="20"/>
              </w:rPr>
              <w:t xml:space="preserve"> (Emix</w:t>
            </w:r>
            <w:r>
              <w:rPr>
                <w:rFonts w:cs="Times New Roman"/>
                <w:sz w:val="20"/>
                <w:szCs w:val="20"/>
              </w:rPr>
              <w:t xml:space="preserve"> Plus) (Quantity/kg): Vitamin A: 22 00 000 IU; Vitamin D3: 4 40 000 IU; Vitamin B2: 800 mg; Vitamin C: 200 mg; Vitamin E: 300 mg; Vitamin K: 400 mg; Vitamin B6: 400 mg; Vitamin B12: 2.4 mg; Calcium Pantothenate: 1000 mg; Nicotinamide: 4 g; Choline Chloride</w:t>
            </w:r>
            <w:r>
              <w:rPr>
                <w:rFonts w:cs="Times New Roman"/>
                <w:sz w:val="20"/>
                <w:szCs w:val="20"/>
              </w:rPr>
              <w:t>: 60 g; Mn: 10 800 mg; I: 400 mg; Fe: 3000 mg; Zn: 2000 mg; Cu: 800 mg; Co: 180 mg; Ca: 200 g; P: 120 g; L-lysine: 4 g; DL-Methionine: 4 g; Selenium: 20 ppm.</w:t>
            </w:r>
          </w:p>
        </w:tc>
      </w:tr>
    </w:tbl>
    <w:p w:rsidR="00E94D45" w:rsidRDefault="00E94D45">
      <w:pPr>
        <w:spacing w:after="0"/>
        <w:rPr>
          <w:rFonts w:cs="Times New Roman"/>
          <w:sz w:val="20"/>
          <w:szCs w:val="20"/>
        </w:rPr>
      </w:pPr>
    </w:p>
    <w:p w:rsidR="00E94D45" w:rsidRDefault="005572AF">
      <w:pPr>
        <w:spacing w:after="0"/>
        <w:rPr>
          <w:rFonts w:cs="Times New Roman"/>
          <w:b/>
          <w:bCs/>
          <w:sz w:val="20"/>
          <w:szCs w:val="20"/>
        </w:rPr>
      </w:pPr>
      <w:r>
        <w:rPr>
          <w:rFonts w:cs="Times New Roman"/>
          <w:b/>
          <w:bCs/>
          <w:sz w:val="20"/>
          <w:szCs w:val="20"/>
        </w:rPr>
        <w:t xml:space="preserve">Table </w:t>
      </w:r>
      <w:r>
        <w:rPr>
          <w:rFonts w:cs="Times New Roman"/>
          <w:b/>
          <w:bCs/>
          <w:sz w:val="20"/>
          <w:szCs w:val="20"/>
        </w:rPr>
        <w:fldChar w:fldCharType="begin"/>
      </w:r>
      <w:r>
        <w:rPr>
          <w:rFonts w:cs="Times New Roman"/>
          <w:b/>
          <w:bCs/>
          <w:sz w:val="20"/>
          <w:szCs w:val="20"/>
        </w:rPr>
        <w:instrText xml:space="preserve"> SEQ Table \* ARABIC </w:instrText>
      </w:r>
      <w:r>
        <w:rPr>
          <w:rFonts w:cs="Times New Roman"/>
          <w:b/>
          <w:bCs/>
          <w:sz w:val="20"/>
          <w:szCs w:val="20"/>
        </w:rPr>
        <w:fldChar w:fldCharType="separate"/>
      </w:r>
      <w:r>
        <w:rPr>
          <w:rFonts w:cs="Times New Roman"/>
          <w:b/>
          <w:bCs/>
          <w:noProof/>
          <w:sz w:val="20"/>
          <w:szCs w:val="20"/>
        </w:rPr>
        <w:t>2</w:t>
      </w:r>
      <w:r>
        <w:rPr>
          <w:rFonts w:cs="Times New Roman"/>
          <w:b/>
          <w:bCs/>
          <w:sz w:val="20"/>
          <w:szCs w:val="20"/>
        </w:rPr>
        <w:fldChar w:fldCharType="end"/>
      </w:r>
      <w:r>
        <w:rPr>
          <w:rFonts w:cs="Times New Roman"/>
          <w:b/>
          <w:bCs/>
          <w:sz w:val="20"/>
          <w:szCs w:val="20"/>
        </w:rPr>
        <w:t xml:space="preserve"> The Proximate composition of diets (%)</w:t>
      </w:r>
    </w:p>
    <w:tbl>
      <w:tblPr>
        <w:tblStyle w:val="TableGrid"/>
        <w:tblW w:w="5000" w:type="pct"/>
        <w:jc w:val="center"/>
        <w:tblLook w:val="04A0" w:firstRow="1" w:lastRow="0" w:firstColumn="1" w:lastColumn="0" w:noHBand="0" w:noVBand="1"/>
      </w:tblPr>
      <w:tblGrid>
        <w:gridCol w:w="2493"/>
        <w:gridCol w:w="1083"/>
        <w:gridCol w:w="1075"/>
        <w:gridCol w:w="1077"/>
        <w:gridCol w:w="1077"/>
        <w:gridCol w:w="1140"/>
        <w:gridCol w:w="1071"/>
      </w:tblGrid>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Treatment</w:t>
            </w:r>
          </w:p>
        </w:tc>
        <w:tc>
          <w:tcPr>
            <w:tcW w:w="601"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T0 (0%</w:t>
            </w:r>
            <w:r>
              <w:rPr>
                <w:rFonts w:cs="Times New Roman"/>
                <w:b/>
                <w:bCs/>
                <w:sz w:val="20"/>
                <w:szCs w:val="20"/>
              </w:rPr>
              <w:t xml:space="preserve"> Spirulina)</w:t>
            </w:r>
          </w:p>
        </w:tc>
        <w:tc>
          <w:tcPr>
            <w:tcW w:w="596"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T1 (2%)</w:t>
            </w:r>
          </w:p>
        </w:tc>
        <w:tc>
          <w:tcPr>
            <w:tcW w:w="597"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T2 (4%)</w:t>
            </w:r>
          </w:p>
        </w:tc>
        <w:tc>
          <w:tcPr>
            <w:tcW w:w="597"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T3 (6%)</w:t>
            </w:r>
          </w:p>
        </w:tc>
        <w:tc>
          <w:tcPr>
            <w:tcW w:w="632"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T4 (8%)</w:t>
            </w:r>
          </w:p>
        </w:tc>
        <w:tc>
          <w:tcPr>
            <w:tcW w:w="594"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T5 (10%)</w:t>
            </w:r>
          </w:p>
        </w:tc>
      </w:tr>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Moisture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9.20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9.10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8.90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8.97</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9.22</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8.70</w:t>
            </w:r>
          </w:p>
        </w:tc>
      </w:tr>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Dry matter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90.80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90.90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91.10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91.03</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90.78</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91.3</w:t>
            </w:r>
          </w:p>
        </w:tc>
      </w:tr>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Protein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40.00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40.00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40.00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40.00</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40.00</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40.00</w:t>
            </w:r>
          </w:p>
        </w:tc>
      </w:tr>
      <w:tr w:rsidR="00E94D45">
        <w:trPr>
          <w:trHeight w:val="264"/>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Ether extract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6.20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6.14</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6.18</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6.17</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6.80</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6.50</w:t>
            </w:r>
          </w:p>
        </w:tc>
      </w:tr>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Ash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4.20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4.50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4.60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4.30</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4.20</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4.70</w:t>
            </w:r>
          </w:p>
        </w:tc>
      </w:tr>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Fiber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4.20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4.26</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4.24</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4.23</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4.36</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4.30</w:t>
            </w:r>
          </w:p>
        </w:tc>
      </w:tr>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Carbohydrates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40.40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40.26</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40.32</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40.56</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39.78</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40.10</w:t>
            </w:r>
          </w:p>
        </w:tc>
      </w:tr>
      <w:tr w:rsidR="00E94D45">
        <w:trPr>
          <w:trHeight w:val="366"/>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Nitrogen-free extract (NFE) (%)*</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36.20</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36.00</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36.08</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36.33</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35.42</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35.8</w:t>
            </w:r>
          </w:p>
        </w:tc>
      </w:tr>
      <w:tr w:rsidR="00E94D45">
        <w:trPr>
          <w:trHeight w:val="379"/>
          <w:jc w:val="center"/>
        </w:trPr>
        <w:tc>
          <w:tcPr>
            <w:tcW w:w="1383" w:type="pct"/>
            <w:vAlign w:val="center"/>
            <w:hideMark/>
          </w:tcPr>
          <w:p w:rsidR="00E94D45" w:rsidRDefault="005572AF">
            <w:pPr>
              <w:spacing w:after="0" w:line="276" w:lineRule="auto"/>
              <w:jc w:val="center"/>
              <w:rPr>
                <w:rFonts w:cs="Times New Roman"/>
                <w:b/>
                <w:bCs/>
                <w:sz w:val="20"/>
                <w:szCs w:val="20"/>
              </w:rPr>
            </w:pPr>
            <w:r>
              <w:rPr>
                <w:rFonts w:cs="Times New Roman"/>
                <w:b/>
                <w:bCs/>
                <w:sz w:val="20"/>
                <w:szCs w:val="20"/>
              </w:rPr>
              <w:t>Gross energy (kcal/kg)</w:t>
            </w:r>
          </w:p>
        </w:tc>
        <w:tc>
          <w:tcPr>
            <w:tcW w:w="601" w:type="pct"/>
            <w:vAlign w:val="center"/>
            <w:hideMark/>
          </w:tcPr>
          <w:p w:rsidR="00E94D45" w:rsidRDefault="005572AF">
            <w:pPr>
              <w:spacing w:after="0" w:line="276" w:lineRule="auto"/>
              <w:jc w:val="center"/>
              <w:rPr>
                <w:rFonts w:cs="Times New Roman"/>
                <w:sz w:val="20"/>
                <w:szCs w:val="20"/>
              </w:rPr>
            </w:pPr>
            <w:r>
              <w:rPr>
                <w:rFonts w:cs="Times New Roman"/>
                <w:sz w:val="20"/>
                <w:szCs w:val="20"/>
              </w:rPr>
              <w:t>4565</w:t>
            </w:r>
          </w:p>
        </w:tc>
        <w:tc>
          <w:tcPr>
            <w:tcW w:w="596" w:type="pct"/>
            <w:vAlign w:val="center"/>
            <w:hideMark/>
          </w:tcPr>
          <w:p w:rsidR="00E94D45" w:rsidRDefault="005572AF">
            <w:pPr>
              <w:spacing w:after="0" w:line="276" w:lineRule="auto"/>
              <w:jc w:val="center"/>
              <w:rPr>
                <w:rFonts w:cs="Times New Roman"/>
                <w:sz w:val="20"/>
                <w:szCs w:val="20"/>
              </w:rPr>
            </w:pPr>
            <w:r>
              <w:rPr>
                <w:rFonts w:cs="Times New Roman"/>
                <w:sz w:val="20"/>
                <w:szCs w:val="20"/>
              </w:rPr>
              <w:t>4575</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4582</w:t>
            </w:r>
          </w:p>
        </w:tc>
        <w:tc>
          <w:tcPr>
            <w:tcW w:w="597" w:type="pct"/>
            <w:vAlign w:val="center"/>
            <w:hideMark/>
          </w:tcPr>
          <w:p w:rsidR="00E94D45" w:rsidRDefault="005572AF">
            <w:pPr>
              <w:spacing w:after="0" w:line="276" w:lineRule="auto"/>
              <w:jc w:val="center"/>
              <w:rPr>
                <w:rFonts w:cs="Times New Roman"/>
                <w:sz w:val="20"/>
                <w:szCs w:val="20"/>
              </w:rPr>
            </w:pPr>
            <w:r>
              <w:rPr>
                <w:rFonts w:cs="Times New Roman"/>
                <w:sz w:val="20"/>
                <w:szCs w:val="20"/>
              </w:rPr>
              <w:t>4580</w:t>
            </w:r>
          </w:p>
        </w:tc>
        <w:tc>
          <w:tcPr>
            <w:tcW w:w="632" w:type="pct"/>
            <w:vAlign w:val="center"/>
            <w:hideMark/>
          </w:tcPr>
          <w:p w:rsidR="00E94D45" w:rsidRDefault="005572AF">
            <w:pPr>
              <w:spacing w:after="0" w:line="276" w:lineRule="auto"/>
              <w:jc w:val="center"/>
              <w:rPr>
                <w:rFonts w:cs="Times New Roman"/>
                <w:sz w:val="20"/>
                <w:szCs w:val="20"/>
              </w:rPr>
            </w:pPr>
            <w:r>
              <w:rPr>
                <w:rFonts w:cs="Times New Roman"/>
                <w:sz w:val="20"/>
                <w:szCs w:val="20"/>
              </w:rPr>
              <w:t>4578</w:t>
            </w:r>
          </w:p>
        </w:tc>
        <w:tc>
          <w:tcPr>
            <w:tcW w:w="594" w:type="pct"/>
            <w:vAlign w:val="center"/>
            <w:hideMark/>
          </w:tcPr>
          <w:p w:rsidR="00E94D45" w:rsidRDefault="005572AF">
            <w:pPr>
              <w:spacing w:after="0" w:line="276" w:lineRule="auto"/>
              <w:jc w:val="center"/>
              <w:rPr>
                <w:rFonts w:cs="Times New Roman"/>
                <w:sz w:val="20"/>
                <w:szCs w:val="20"/>
              </w:rPr>
            </w:pPr>
            <w:r>
              <w:rPr>
                <w:rFonts w:cs="Times New Roman"/>
                <w:sz w:val="20"/>
                <w:szCs w:val="20"/>
              </w:rPr>
              <w:t>4598</w:t>
            </w:r>
          </w:p>
        </w:tc>
      </w:tr>
      <w:tr w:rsidR="00E94D45">
        <w:trPr>
          <w:trHeight w:val="575"/>
          <w:jc w:val="center"/>
        </w:trPr>
        <w:tc>
          <w:tcPr>
            <w:tcW w:w="5000" w:type="pct"/>
            <w:gridSpan w:val="7"/>
            <w:vAlign w:val="center"/>
          </w:tcPr>
          <w:p w:rsidR="00E94D45" w:rsidRDefault="005572AF">
            <w:pPr>
              <w:spacing w:after="0" w:line="276" w:lineRule="auto"/>
              <w:jc w:val="left"/>
              <w:rPr>
                <w:rFonts w:cs="Times New Roman"/>
                <w:sz w:val="20"/>
                <w:szCs w:val="20"/>
                <w:lang w:val="en-IN"/>
              </w:rPr>
            </w:pPr>
            <w:r>
              <w:rPr>
                <w:rFonts w:cs="Times New Roman"/>
                <w:sz w:val="20"/>
                <w:szCs w:val="20"/>
                <w:lang w:val="en-IN"/>
              </w:rPr>
              <w:t>Carbohydrates (%) were calculated on dry‑matter basis as: Carbohydrates =100 - (Protein + Ether extract + Ash + Fiber), Nitrogen‑free extract (NFE, %) was derived as: NFE = Carbohydrates - Fiber.</w:t>
            </w:r>
          </w:p>
        </w:tc>
      </w:tr>
    </w:tbl>
    <w:p w:rsidR="00E94D45" w:rsidRDefault="005572AF">
      <w:pPr>
        <w:pStyle w:val="ListParagraph"/>
        <w:numPr>
          <w:ilvl w:val="1"/>
          <w:numId w:val="9"/>
        </w:numPr>
        <w:spacing w:before="240" w:after="0"/>
        <w:ind w:left="426" w:hanging="426"/>
        <w:rPr>
          <w:rFonts w:cs="Times New Roman"/>
          <w:sz w:val="22"/>
        </w:rPr>
      </w:pPr>
      <w:r>
        <w:rPr>
          <w:rFonts w:cs="Times New Roman"/>
          <w:sz w:val="22"/>
        </w:rPr>
        <w:t>Growth parameters</w:t>
      </w:r>
    </w:p>
    <w:p w:rsidR="00E94D45" w:rsidRDefault="005572AF">
      <w:pPr>
        <w:spacing w:line="276" w:lineRule="auto"/>
        <w:rPr>
          <w:rFonts w:cs="Times New Roman"/>
          <w:sz w:val="20"/>
          <w:szCs w:val="20"/>
        </w:rPr>
      </w:pPr>
      <w:r>
        <w:rPr>
          <w:rFonts w:cs="Times New Roman"/>
          <w:sz w:val="20"/>
          <w:szCs w:val="20"/>
        </w:rPr>
        <w:t>The following equations were used to dete</w:t>
      </w:r>
      <w:r>
        <w:rPr>
          <w:rFonts w:cs="Times New Roman"/>
          <w:sz w:val="20"/>
          <w:szCs w:val="20"/>
        </w:rPr>
        <w:t>rmine the growth performance of the fish-fed diets with varying protein levels as a function of weight gain:</w:t>
      </w:r>
    </w:p>
    <w:p w:rsidR="00E94D45" w:rsidRDefault="005572AF">
      <w:pPr>
        <w:numPr>
          <w:ilvl w:val="2"/>
          <w:numId w:val="7"/>
        </w:numPr>
        <w:spacing w:line="276" w:lineRule="auto"/>
        <w:ind w:left="709"/>
        <w:rPr>
          <w:rFonts w:cs="Times New Roman"/>
          <w:b/>
          <w:bCs/>
          <w:sz w:val="22"/>
        </w:rPr>
      </w:pPr>
      <w:r>
        <w:rPr>
          <w:rFonts w:cs="Times New Roman"/>
          <w:b/>
          <w:bCs/>
          <w:sz w:val="22"/>
        </w:rPr>
        <w:t>Weight gain (%)</w:t>
      </w:r>
    </w:p>
    <w:p w:rsidR="00E94D45" w:rsidRDefault="005572AF">
      <w:pPr>
        <w:spacing w:line="276" w:lineRule="auto"/>
        <w:rPr>
          <w:rFonts w:cs="Times New Roman"/>
          <w:sz w:val="20"/>
          <w:szCs w:val="20"/>
        </w:rPr>
      </w:pPr>
      <w:r>
        <w:rPr>
          <w:rFonts w:cs="Times New Roman"/>
          <w:sz w:val="20"/>
          <w:szCs w:val="20"/>
        </w:rPr>
        <w:t>Weight gain (%) = Final body weight‐initial body weight/Initial weight x 100</w:t>
      </w:r>
    </w:p>
    <w:p w:rsidR="00E94D45" w:rsidRDefault="005572AF">
      <w:pPr>
        <w:numPr>
          <w:ilvl w:val="2"/>
          <w:numId w:val="18"/>
        </w:numPr>
        <w:spacing w:line="276" w:lineRule="auto"/>
        <w:ind w:left="709"/>
        <w:rPr>
          <w:rFonts w:cs="Times New Roman"/>
          <w:b/>
          <w:bCs/>
          <w:sz w:val="22"/>
        </w:rPr>
      </w:pPr>
      <w:r>
        <w:rPr>
          <w:rFonts w:cs="Times New Roman"/>
          <w:b/>
          <w:bCs/>
          <w:sz w:val="22"/>
        </w:rPr>
        <w:lastRenderedPageBreak/>
        <w:t xml:space="preserve">Feed conversion ratio (FCR) </w:t>
      </w:r>
    </w:p>
    <w:p w:rsidR="00E94D45" w:rsidRDefault="005572AF">
      <w:pPr>
        <w:spacing w:line="276" w:lineRule="auto"/>
        <w:rPr>
          <w:rFonts w:cs="Times New Roman"/>
          <w:sz w:val="20"/>
          <w:szCs w:val="20"/>
        </w:rPr>
      </w:pPr>
      <w:r>
        <w:rPr>
          <w:rFonts w:cs="Times New Roman"/>
          <w:sz w:val="20"/>
          <w:szCs w:val="20"/>
        </w:rPr>
        <w:t xml:space="preserve">Feed conversion ratio (FCR) = Feed given (dry weight) (g) / Weight gain (wet weight) (g) </w:t>
      </w:r>
    </w:p>
    <w:p w:rsidR="00E94D45" w:rsidRDefault="005572AF">
      <w:pPr>
        <w:numPr>
          <w:ilvl w:val="2"/>
          <w:numId w:val="18"/>
        </w:numPr>
        <w:spacing w:line="276" w:lineRule="auto"/>
        <w:ind w:left="709"/>
        <w:rPr>
          <w:rFonts w:cs="Times New Roman"/>
          <w:b/>
          <w:bCs/>
          <w:sz w:val="22"/>
        </w:rPr>
      </w:pPr>
      <w:r>
        <w:rPr>
          <w:rFonts w:cs="Times New Roman"/>
          <w:b/>
          <w:bCs/>
          <w:sz w:val="22"/>
        </w:rPr>
        <w:t xml:space="preserve">Protein efficiency ratio (PER) </w:t>
      </w:r>
    </w:p>
    <w:p w:rsidR="00E94D45" w:rsidRDefault="005572AF">
      <w:pPr>
        <w:spacing w:line="276" w:lineRule="auto"/>
        <w:rPr>
          <w:rFonts w:cs="Times New Roman"/>
          <w:sz w:val="20"/>
          <w:szCs w:val="20"/>
        </w:rPr>
      </w:pPr>
      <w:r>
        <w:rPr>
          <w:rFonts w:cs="Times New Roman"/>
          <w:sz w:val="20"/>
          <w:szCs w:val="20"/>
        </w:rPr>
        <w:t>Protein efficiency ratio (PER) = Wet weight gain (g) / Protein consumed (g, dry weight basis)</w:t>
      </w:r>
    </w:p>
    <w:p w:rsidR="00E94D45" w:rsidRDefault="005572AF">
      <w:pPr>
        <w:numPr>
          <w:ilvl w:val="2"/>
          <w:numId w:val="18"/>
        </w:numPr>
        <w:spacing w:line="276" w:lineRule="auto"/>
        <w:ind w:left="709"/>
        <w:rPr>
          <w:rFonts w:cs="Times New Roman"/>
          <w:b/>
          <w:bCs/>
          <w:sz w:val="22"/>
        </w:rPr>
      </w:pPr>
      <w:r>
        <w:rPr>
          <w:rFonts w:cs="Times New Roman"/>
          <w:b/>
          <w:bCs/>
          <w:sz w:val="22"/>
        </w:rPr>
        <w:t xml:space="preserve">Specific growth rate (SGR %) </w:t>
      </w:r>
    </w:p>
    <w:p w:rsidR="00E94D45" w:rsidRDefault="005572AF">
      <w:pPr>
        <w:spacing w:line="276" w:lineRule="auto"/>
        <w:rPr>
          <w:rFonts w:cs="Times New Roman"/>
          <w:sz w:val="20"/>
          <w:szCs w:val="20"/>
        </w:rPr>
      </w:pPr>
      <w:r>
        <w:rPr>
          <w:rFonts w:cs="Times New Roman"/>
          <w:sz w:val="20"/>
          <w:szCs w:val="20"/>
        </w:rPr>
        <w:t>Specific g</w:t>
      </w:r>
      <w:r>
        <w:rPr>
          <w:rFonts w:cs="Times New Roman"/>
          <w:sz w:val="20"/>
          <w:szCs w:val="20"/>
        </w:rPr>
        <w:t>rowth rate (SGR %) = 100 x (In final wet weight (g)In initial wet weight g)/Duration (days)</w:t>
      </w:r>
    </w:p>
    <w:p w:rsidR="00E94D45" w:rsidRDefault="005572AF">
      <w:pPr>
        <w:numPr>
          <w:ilvl w:val="2"/>
          <w:numId w:val="18"/>
        </w:numPr>
        <w:spacing w:line="276" w:lineRule="auto"/>
        <w:ind w:left="709"/>
        <w:rPr>
          <w:rFonts w:cs="Times New Roman"/>
          <w:b/>
          <w:bCs/>
          <w:sz w:val="22"/>
        </w:rPr>
      </w:pPr>
      <w:r>
        <w:rPr>
          <w:rFonts w:cs="Times New Roman"/>
          <w:b/>
          <w:bCs/>
          <w:sz w:val="22"/>
        </w:rPr>
        <w:t xml:space="preserve">Survival rate (SR) </w:t>
      </w:r>
    </w:p>
    <w:p w:rsidR="00E94D45" w:rsidRDefault="005572AF">
      <w:pPr>
        <w:spacing w:line="276" w:lineRule="auto"/>
        <w:rPr>
          <w:rFonts w:cs="Times New Roman"/>
          <w:sz w:val="20"/>
          <w:szCs w:val="20"/>
        </w:rPr>
      </w:pPr>
      <w:r>
        <w:rPr>
          <w:rFonts w:cs="Times New Roman"/>
          <w:sz w:val="20"/>
          <w:szCs w:val="20"/>
        </w:rPr>
        <w:t>Survival rate (SR)</w:t>
      </w:r>
      <w:r>
        <w:rPr>
          <w:rFonts w:cs="Times New Roman"/>
          <w:b/>
          <w:bCs/>
          <w:sz w:val="20"/>
          <w:szCs w:val="20"/>
        </w:rPr>
        <w:t xml:space="preserve"> </w:t>
      </w:r>
      <w:r>
        <w:rPr>
          <w:rFonts w:cs="Times New Roman"/>
          <w:sz w:val="20"/>
          <w:szCs w:val="20"/>
        </w:rPr>
        <w:t>= Initial fish number- number of dead fish/Initial fish number x 100</w:t>
      </w:r>
    </w:p>
    <w:p w:rsidR="00E94D45" w:rsidRDefault="005572AF">
      <w:pPr>
        <w:numPr>
          <w:ilvl w:val="2"/>
          <w:numId w:val="18"/>
        </w:numPr>
        <w:spacing w:line="276" w:lineRule="auto"/>
        <w:ind w:left="709"/>
        <w:rPr>
          <w:rFonts w:cs="Times New Roman"/>
          <w:b/>
          <w:bCs/>
          <w:sz w:val="22"/>
        </w:rPr>
      </w:pPr>
      <w:r>
        <w:rPr>
          <w:rFonts w:cs="Times New Roman"/>
          <w:b/>
          <w:bCs/>
          <w:sz w:val="22"/>
        </w:rPr>
        <w:t xml:space="preserve">Feed efficiency ratio (FER) </w:t>
      </w:r>
    </w:p>
    <w:p w:rsidR="00E94D45" w:rsidRDefault="005572AF">
      <w:pPr>
        <w:spacing w:line="276" w:lineRule="auto"/>
        <w:rPr>
          <w:rFonts w:cs="Times New Roman"/>
          <w:sz w:val="20"/>
          <w:szCs w:val="20"/>
        </w:rPr>
      </w:pPr>
      <w:r>
        <w:rPr>
          <w:rFonts w:cs="Times New Roman"/>
          <w:sz w:val="20"/>
          <w:szCs w:val="20"/>
        </w:rPr>
        <w:t>Feed efficiency ratio (FER)</w:t>
      </w:r>
      <w:r>
        <w:rPr>
          <w:rFonts w:cs="Times New Roman"/>
          <w:b/>
          <w:bCs/>
          <w:sz w:val="20"/>
          <w:szCs w:val="20"/>
        </w:rPr>
        <w:t xml:space="preserve"> </w:t>
      </w:r>
      <w:r>
        <w:rPr>
          <w:rFonts w:cs="Times New Roman"/>
          <w:sz w:val="20"/>
          <w:szCs w:val="20"/>
        </w:rPr>
        <w:t>= Weight gain of fish/ Feed supply,</w:t>
      </w:r>
    </w:p>
    <w:p w:rsidR="00E94D45" w:rsidRDefault="005572AF">
      <w:pPr>
        <w:numPr>
          <w:ilvl w:val="2"/>
          <w:numId w:val="18"/>
        </w:numPr>
        <w:spacing w:line="276" w:lineRule="auto"/>
        <w:ind w:left="709"/>
        <w:rPr>
          <w:rFonts w:cs="Times New Roman"/>
          <w:b/>
          <w:bCs/>
          <w:sz w:val="22"/>
        </w:rPr>
      </w:pPr>
      <w:r>
        <w:rPr>
          <w:rFonts w:cs="Times New Roman"/>
          <w:b/>
          <w:bCs/>
          <w:sz w:val="22"/>
        </w:rPr>
        <w:t>Daily growth rate (DGR)</w:t>
      </w:r>
    </w:p>
    <w:p w:rsidR="00E94D45" w:rsidRDefault="005572AF">
      <w:pPr>
        <w:spacing w:line="276" w:lineRule="auto"/>
        <w:rPr>
          <w:rFonts w:cs="Times New Roman"/>
          <w:sz w:val="20"/>
          <w:szCs w:val="20"/>
        </w:rPr>
      </w:pPr>
      <w:r>
        <w:rPr>
          <w:rFonts w:cs="Times New Roman"/>
          <w:sz w:val="20"/>
          <w:szCs w:val="20"/>
        </w:rPr>
        <w:t>Daily growth rate (DGR) = (Wf - Wi)/T</w:t>
      </w:r>
    </w:p>
    <w:p w:rsidR="00E94D45" w:rsidRDefault="005572AF">
      <w:pPr>
        <w:spacing w:line="276" w:lineRule="auto"/>
        <w:rPr>
          <w:rFonts w:cs="Times New Roman"/>
          <w:b/>
          <w:bCs/>
          <w:sz w:val="20"/>
          <w:szCs w:val="20"/>
        </w:rPr>
      </w:pPr>
      <w:r>
        <w:rPr>
          <w:rFonts w:cs="Times New Roman"/>
          <w:b/>
          <w:bCs/>
          <w:sz w:val="20"/>
          <w:szCs w:val="20"/>
        </w:rPr>
        <w:t>Where:</w:t>
      </w:r>
    </w:p>
    <w:p w:rsidR="00E94D45" w:rsidRDefault="005572AF">
      <w:pPr>
        <w:spacing w:line="276" w:lineRule="auto"/>
        <w:rPr>
          <w:rFonts w:cs="Times New Roman"/>
          <w:sz w:val="20"/>
          <w:szCs w:val="20"/>
        </w:rPr>
      </w:pPr>
      <w:r>
        <w:rPr>
          <w:rFonts w:cs="Times New Roman"/>
          <w:sz w:val="20"/>
          <w:szCs w:val="20"/>
        </w:rPr>
        <w:t>Wf = final body weight of fish (g)</w:t>
      </w:r>
    </w:p>
    <w:p w:rsidR="00E94D45" w:rsidRDefault="005572AF">
      <w:pPr>
        <w:spacing w:line="276" w:lineRule="auto"/>
        <w:rPr>
          <w:rFonts w:cs="Times New Roman"/>
          <w:sz w:val="20"/>
          <w:szCs w:val="20"/>
        </w:rPr>
      </w:pPr>
      <w:r>
        <w:rPr>
          <w:rFonts w:cs="Times New Roman"/>
          <w:sz w:val="20"/>
          <w:szCs w:val="20"/>
        </w:rPr>
        <w:t>Wi= Initial body weight of fish (g)</w:t>
      </w:r>
    </w:p>
    <w:p w:rsidR="00E94D45" w:rsidRDefault="005572AF">
      <w:pPr>
        <w:spacing w:line="276" w:lineRule="auto"/>
        <w:rPr>
          <w:rFonts w:cs="Times New Roman"/>
          <w:sz w:val="20"/>
          <w:szCs w:val="20"/>
        </w:rPr>
      </w:pPr>
      <w:r>
        <w:rPr>
          <w:rFonts w:cs="Times New Roman"/>
          <w:sz w:val="20"/>
          <w:szCs w:val="20"/>
        </w:rPr>
        <w:t>T is the duration of the experimental period that is equal to 90 days</w:t>
      </w:r>
    </w:p>
    <w:p w:rsidR="00E94D45" w:rsidRDefault="005572AF">
      <w:pPr>
        <w:pStyle w:val="AAA"/>
        <w:numPr>
          <w:ilvl w:val="1"/>
          <w:numId w:val="18"/>
        </w:numPr>
        <w:spacing w:after="120" w:line="276" w:lineRule="auto"/>
        <w:ind w:left="567" w:hanging="567"/>
      </w:pPr>
      <w:r>
        <w:t>Body indi</w:t>
      </w:r>
      <w:r>
        <w:t>ces analysis</w:t>
      </w:r>
    </w:p>
    <w:p w:rsidR="00E94D45" w:rsidRDefault="00E94D45">
      <w:pPr>
        <w:pStyle w:val="ListParagraph"/>
        <w:numPr>
          <w:ilvl w:val="0"/>
          <w:numId w:val="20"/>
        </w:numPr>
        <w:spacing w:line="276" w:lineRule="auto"/>
        <w:contextualSpacing w:val="0"/>
        <w:rPr>
          <w:rFonts w:cs="Times New Roman"/>
          <w:vanish/>
          <w:sz w:val="20"/>
          <w:szCs w:val="20"/>
        </w:rPr>
      </w:pPr>
    </w:p>
    <w:p w:rsidR="00E94D45" w:rsidRDefault="00E94D45">
      <w:pPr>
        <w:pStyle w:val="ListParagraph"/>
        <w:numPr>
          <w:ilvl w:val="1"/>
          <w:numId w:val="20"/>
        </w:numPr>
        <w:spacing w:line="276" w:lineRule="auto"/>
        <w:contextualSpacing w:val="0"/>
        <w:rPr>
          <w:rFonts w:cs="Times New Roman"/>
          <w:vanish/>
          <w:sz w:val="20"/>
          <w:szCs w:val="20"/>
        </w:rPr>
      </w:pPr>
    </w:p>
    <w:p w:rsidR="00E94D45" w:rsidRDefault="005572AF">
      <w:pPr>
        <w:pStyle w:val="AAA"/>
        <w:numPr>
          <w:ilvl w:val="2"/>
          <w:numId w:val="21"/>
        </w:numPr>
        <w:spacing w:after="120" w:line="276" w:lineRule="auto"/>
        <w:ind w:left="709"/>
        <w:rPr>
          <w:sz w:val="22"/>
          <w:szCs w:val="22"/>
        </w:rPr>
      </w:pPr>
      <w:r>
        <w:rPr>
          <w:sz w:val="22"/>
          <w:szCs w:val="22"/>
        </w:rPr>
        <w:t xml:space="preserve">Hepatosomatic index (HSI %) </w:t>
      </w:r>
    </w:p>
    <w:p w:rsidR="00E94D45" w:rsidRDefault="005572AF">
      <w:pPr>
        <w:spacing w:line="276" w:lineRule="auto"/>
        <w:rPr>
          <w:rFonts w:cs="Times New Roman"/>
          <w:sz w:val="20"/>
          <w:szCs w:val="20"/>
        </w:rPr>
      </w:pPr>
      <w:r>
        <w:rPr>
          <w:sz w:val="20"/>
          <w:szCs w:val="20"/>
        </w:rPr>
        <w:t xml:space="preserve">Hepatosomatic index (HSI %) </w:t>
      </w:r>
      <w:r>
        <w:rPr>
          <w:rFonts w:cs="Times New Roman"/>
          <w:sz w:val="20"/>
          <w:szCs w:val="20"/>
        </w:rPr>
        <w:t>= Liver weight (g) Body weight (g) × 100</w:t>
      </w:r>
    </w:p>
    <w:p w:rsidR="00E94D45" w:rsidRDefault="005572AF">
      <w:pPr>
        <w:pStyle w:val="AAA"/>
        <w:numPr>
          <w:ilvl w:val="2"/>
          <w:numId w:val="21"/>
        </w:numPr>
        <w:spacing w:after="120" w:line="276" w:lineRule="auto"/>
        <w:ind w:left="709"/>
        <w:rPr>
          <w:sz w:val="22"/>
          <w:szCs w:val="22"/>
        </w:rPr>
      </w:pPr>
      <w:r>
        <w:rPr>
          <w:sz w:val="22"/>
          <w:szCs w:val="22"/>
        </w:rPr>
        <w:t xml:space="preserve">Visceral fat-somatic indexes VFSI (%) </w:t>
      </w:r>
    </w:p>
    <w:p w:rsidR="00E94D45" w:rsidRDefault="005572AF">
      <w:pPr>
        <w:spacing w:line="276" w:lineRule="auto"/>
        <w:rPr>
          <w:rFonts w:cs="Times New Roman"/>
          <w:sz w:val="20"/>
          <w:szCs w:val="20"/>
        </w:rPr>
      </w:pPr>
      <w:r>
        <w:rPr>
          <w:sz w:val="22"/>
        </w:rPr>
        <w:t xml:space="preserve">Visceral fat-somatic indexes VFSI (%) </w:t>
      </w:r>
      <w:r>
        <w:rPr>
          <w:rFonts w:cs="Times New Roman"/>
          <w:sz w:val="20"/>
          <w:szCs w:val="20"/>
        </w:rPr>
        <w:t xml:space="preserve">= 100 × visceral fat weight/body weight </w:t>
      </w:r>
    </w:p>
    <w:p w:rsidR="00E94D45" w:rsidRDefault="005572AF">
      <w:pPr>
        <w:numPr>
          <w:ilvl w:val="2"/>
          <w:numId w:val="21"/>
        </w:numPr>
        <w:spacing w:line="276" w:lineRule="auto"/>
        <w:ind w:left="709"/>
        <w:rPr>
          <w:rFonts w:cs="Times New Roman"/>
          <w:b/>
          <w:bCs/>
          <w:sz w:val="22"/>
        </w:rPr>
      </w:pPr>
      <w:r>
        <w:rPr>
          <w:rFonts w:cs="Times New Roman"/>
          <w:b/>
          <w:bCs/>
          <w:sz w:val="22"/>
        </w:rPr>
        <w:t>Condition factor (CF)</w:t>
      </w:r>
    </w:p>
    <w:p w:rsidR="00E94D45" w:rsidRDefault="005572AF">
      <w:pPr>
        <w:spacing w:line="276" w:lineRule="auto"/>
        <w:rPr>
          <w:rFonts w:cs="Times New Roman"/>
          <w:sz w:val="20"/>
          <w:szCs w:val="20"/>
        </w:rPr>
      </w:pPr>
      <w:r>
        <w:rPr>
          <w:rFonts w:cs="Times New Roman"/>
          <w:sz w:val="20"/>
          <w:szCs w:val="20"/>
        </w:rPr>
        <w:t>Condition factor (CF) = Wf/L</w:t>
      </w:r>
      <w:r>
        <w:rPr>
          <w:rFonts w:cs="Times New Roman"/>
          <w:sz w:val="20"/>
          <w:szCs w:val="20"/>
          <w:vertAlign w:val="superscript"/>
        </w:rPr>
        <w:t>3</w:t>
      </w:r>
      <w:r>
        <w:rPr>
          <w:rFonts w:cs="Times New Roman"/>
          <w:sz w:val="20"/>
          <w:szCs w:val="20"/>
        </w:rPr>
        <w:t>f x 100</w:t>
      </w:r>
    </w:p>
    <w:p w:rsidR="00E94D45" w:rsidRDefault="005572AF">
      <w:pPr>
        <w:spacing w:line="276" w:lineRule="auto"/>
        <w:rPr>
          <w:rFonts w:cs="Times New Roman"/>
          <w:b/>
          <w:bCs/>
          <w:sz w:val="20"/>
          <w:szCs w:val="20"/>
        </w:rPr>
      </w:pPr>
      <w:r>
        <w:rPr>
          <w:rFonts w:cs="Times New Roman"/>
          <w:b/>
          <w:bCs/>
          <w:sz w:val="20"/>
          <w:szCs w:val="20"/>
        </w:rPr>
        <w:t>Where:</w:t>
      </w:r>
    </w:p>
    <w:p w:rsidR="00E94D45" w:rsidRDefault="005572AF">
      <w:pPr>
        <w:spacing w:line="276" w:lineRule="auto"/>
        <w:rPr>
          <w:rFonts w:cs="Times New Roman"/>
          <w:sz w:val="20"/>
          <w:szCs w:val="20"/>
        </w:rPr>
      </w:pPr>
      <w:r>
        <w:rPr>
          <w:rFonts w:ascii="Cambria Math" w:hAnsi="Cambria Math" w:cs="Cambria Math"/>
          <w:sz w:val="20"/>
          <w:szCs w:val="20"/>
        </w:rPr>
        <w:t>𝑊𝑓</w:t>
      </w:r>
      <w:r>
        <w:rPr>
          <w:rFonts w:cs="Times New Roman"/>
          <w:sz w:val="20"/>
          <w:szCs w:val="20"/>
        </w:rPr>
        <w:t xml:space="preserve"> = final body weight of fish (g)</w:t>
      </w:r>
    </w:p>
    <w:p w:rsidR="00E94D45" w:rsidRDefault="005572AF">
      <w:pPr>
        <w:spacing w:line="276" w:lineRule="auto"/>
        <w:rPr>
          <w:rFonts w:cs="Times New Roman"/>
          <w:sz w:val="20"/>
          <w:szCs w:val="20"/>
        </w:rPr>
      </w:pPr>
      <w:r>
        <w:rPr>
          <w:rFonts w:cs="Times New Roman"/>
          <w:sz w:val="20"/>
          <w:szCs w:val="20"/>
        </w:rPr>
        <w:t>Lf = final total length of fish (cm)</w:t>
      </w:r>
    </w:p>
    <w:p w:rsidR="00E94D45" w:rsidRDefault="005572AF">
      <w:pPr>
        <w:spacing w:line="276" w:lineRule="auto"/>
        <w:rPr>
          <w:rFonts w:cs="Times New Roman"/>
          <w:sz w:val="20"/>
          <w:szCs w:val="20"/>
        </w:rPr>
      </w:pPr>
      <w:r>
        <w:rPr>
          <w:rFonts w:cs="Times New Roman"/>
          <w:sz w:val="20"/>
          <w:szCs w:val="20"/>
        </w:rPr>
        <w:t>100 = constantly used to bring CF values close to unity (commonly used when weight is in grams and length in centimeters)</w:t>
      </w:r>
    </w:p>
    <w:p w:rsidR="00E94D45" w:rsidRDefault="005572AF">
      <w:pPr>
        <w:numPr>
          <w:ilvl w:val="2"/>
          <w:numId w:val="21"/>
        </w:numPr>
        <w:spacing w:line="276" w:lineRule="auto"/>
        <w:ind w:left="709"/>
        <w:rPr>
          <w:rFonts w:cs="Times New Roman"/>
          <w:b/>
          <w:bCs/>
          <w:sz w:val="22"/>
        </w:rPr>
      </w:pPr>
      <w:r>
        <w:rPr>
          <w:rFonts w:cs="Times New Roman"/>
          <w:b/>
          <w:bCs/>
          <w:sz w:val="22"/>
        </w:rPr>
        <w:t>Viscerosomatic i</w:t>
      </w:r>
      <w:r>
        <w:rPr>
          <w:rFonts w:cs="Times New Roman"/>
          <w:b/>
          <w:bCs/>
          <w:sz w:val="22"/>
        </w:rPr>
        <w:t>ndex (VSI, %/GSI)</w:t>
      </w:r>
    </w:p>
    <w:p w:rsidR="00E94D45" w:rsidRDefault="005572AF">
      <w:pPr>
        <w:spacing w:line="276" w:lineRule="auto"/>
        <w:rPr>
          <w:rFonts w:cs="Times New Roman"/>
          <w:sz w:val="20"/>
          <w:szCs w:val="20"/>
        </w:rPr>
      </w:pPr>
      <w:r>
        <w:rPr>
          <w:rFonts w:cs="Times New Roman"/>
          <w:sz w:val="20"/>
          <w:szCs w:val="20"/>
        </w:rPr>
        <w:t>Viscerosomatic index (VSI % /GSI) =100 × (viscera weight, g)/ (whole body weight, g)</w:t>
      </w:r>
    </w:p>
    <w:p w:rsidR="00E94D45" w:rsidRDefault="005572AF">
      <w:pPr>
        <w:numPr>
          <w:ilvl w:val="2"/>
          <w:numId w:val="21"/>
        </w:numPr>
        <w:spacing w:line="276" w:lineRule="auto"/>
        <w:ind w:left="709"/>
        <w:rPr>
          <w:rFonts w:cs="Times New Roman"/>
          <w:b/>
          <w:bCs/>
          <w:sz w:val="22"/>
        </w:rPr>
      </w:pPr>
      <w:r>
        <w:rPr>
          <w:rFonts w:cs="Times New Roman"/>
          <w:b/>
          <w:bCs/>
          <w:sz w:val="22"/>
        </w:rPr>
        <w:t>Bile somatic index (BSI)</w:t>
      </w:r>
    </w:p>
    <w:p w:rsidR="00E94D45" w:rsidRDefault="005572AF">
      <w:pPr>
        <w:spacing w:line="276" w:lineRule="auto"/>
        <w:rPr>
          <w:rFonts w:cs="Times New Roman"/>
          <w:sz w:val="20"/>
          <w:szCs w:val="20"/>
        </w:rPr>
      </w:pPr>
      <w:r>
        <w:rPr>
          <w:rFonts w:cs="Times New Roman"/>
          <w:sz w:val="20"/>
          <w:szCs w:val="20"/>
        </w:rPr>
        <w:t>Bile somatic index (BSI) = 100 [Bile weight (g) / Weight of liver (g)]</w:t>
      </w:r>
    </w:p>
    <w:p w:rsidR="00E94D45" w:rsidRDefault="005572AF">
      <w:pPr>
        <w:pStyle w:val="AAA"/>
        <w:numPr>
          <w:ilvl w:val="1"/>
          <w:numId w:val="21"/>
        </w:numPr>
        <w:spacing w:after="120" w:line="276" w:lineRule="auto"/>
        <w:ind w:left="426"/>
      </w:pPr>
      <w:r>
        <w:t>Hematological parameters</w:t>
      </w:r>
    </w:p>
    <w:p w:rsidR="00E94D45" w:rsidRDefault="005572AF">
      <w:pPr>
        <w:spacing w:line="276" w:lineRule="auto"/>
        <w:rPr>
          <w:rFonts w:cs="Times New Roman"/>
          <w:sz w:val="20"/>
          <w:szCs w:val="20"/>
        </w:rPr>
      </w:pPr>
      <w:r>
        <w:rPr>
          <w:rFonts w:cs="Times New Roman"/>
          <w:sz w:val="20"/>
          <w:szCs w:val="20"/>
        </w:rPr>
        <w:t>At the end of</w:t>
      </w:r>
      <w:r>
        <w:rPr>
          <w:rFonts w:cs="Times New Roman"/>
          <w:sz w:val="20"/>
          <w:szCs w:val="20"/>
        </w:rPr>
        <w:t xml:space="preserve"> 90‑day feeding trial, blood was collected from 10 fish per treatment (randomly selected from the 60 fish per treatment) via caudal puncture. From each fish, two blood samples were drawn: approximately 0.5-1.0 mL was collected into EDTA coated Blood collec</w:t>
      </w:r>
      <w:r>
        <w:rPr>
          <w:rFonts w:cs="Times New Roman"/>
          <w:sz w:val="20"/>
          <w:szCs w:val="20"/>
        </w:rPr>
        <w:t xml:space="preserve">tion for haematological and immune assays, and an equivalent </w:t>
      </w:r>
      <w:r>
        <w:rPr>
          <w:rFonts w:cs="Times New Roman"/>
          <w:sz w:val="20"/>
          <w:szCs w:val="20"/>
        </w:rPr>
        <w:lastRenderedPageBreak/>
        <w:t>volume was collected into blank microtubes without anticoagulant for serum preparation. The plain blood samples were allowed to clot at 4 °C for 2 h, then centrifuged at 3000 × g for 15 min at 4 </w:t>
      </w:r>
      <w:r>
        <w:rPr>
          <w:rFonts w:cs="Times New Roman"/>
          <w:sz w:val="20"/>
          <w:szCs w:val="20"/>
        </w:rPr>
        <w:t>°C. Serum was carefully separated and stored at -20 °C until analysis for biochemical parameters and humoral immune markers.</w:t>
      </w:r>
    </w:p>
    <w:p w:rsidR="00E94D45" w:rsidRDefault="005572AF">
      <w:pPr>
        <w:spacing w:line="276" w:lineRule="auto"/>
        <w:rPr>
          <w:rFonts w:cs="Times New Roman"/>
          <w:sz w:val="20"/>
          <w:szCs w:val="20"/>
        </w:rPr>
      </w:pPr>
      <w:r>
        <w:rPr>
          <w:rFonts w:cs="Times New Roman"/>
          <w:sz w:val="20"/>
          <w:szCs w:val="20"/>
        </w:rPr>
        <w:t>Hematological parameters such as red blood cells (RBCs), hemoglobin, hematocrit (HCT) and total and differential leucocyte count (n</w:t>
      </w:r>
      <w:r>
        <w:rPr>
          <w:rFonts w:cs="Times New Roman"/>
          <w:sz w:val="20"/>
          <w:szCs w:val="20"/>
        </w:rPr>
        <w:t>eutrophils, lymphocytes, monocytes and eosinophils) were measured using an automatic blood cell counter (</w:t>
      </w:r>
      <w:r>
        <w:rPr>
          <w:rFonts w:cs="Times New Roman"/>
          <w:sz w:val="20"/>
          <w:szCs w:val="20"/>
          <w:lang w:val="en-IN"/>
        </w:rPr>
        <w:t>NIHON KOHDEN, India</w:t>
      </w:r>
      <w:r>
        <w:rPr>
          <w:rFonts w:cs="Times New Roman"/>
          <w:sz w:val="20"/>
          <w:szCs w:val="20"/>
        </w:rPr>
        <w:t>). Standard formulae were used to calculate erythrocyte indices like mean corpuscular volume (MCV), mean corpuscular hemoglobin (MCH</w:t>
      </w:r>
      <w:r>
        <w:rPr>
          <w:rFonts w:cs="Times New Roman"/>
          <w:sz w:val="20"/>
          <w:szCs w:val="20"/>
        </w:rPr>
        <w:t>) and mean corpuscular hemoglobin concentration (MCHC) (Bain et al. 2006).</w:t>
      </w:r>
    </w:p>
    <w:p w:rsidR="00E94D45" w:rsidRDefault="005572AF">
      <w:pPr>
        <w:pStyle w:val="AAA"/>
        <w:numPr>
          <w:ilvl w:val="1"/>
          <w:numId w:val="21"/>
        </w:numPr>
        <w:spacing w:after="120" w:line="276" w:lineRule="auto"/>
        <w:ind w:left="567" w:hanging="567"/>
      </w:pPr>
      <w:r>
        <w:t>Haemato - biochemical parameter</w:t>
      </w:r>
    </w:p>
    <w:p w:rsidR="00E94D45" w:rsidRDefault="005572AF">
      <w:pPr>
        <w:spacing w:line="276" w:lineRule="auto"/>
        <w:rPr>
          <w:rFonts w:cs="Times New Roman"/>
          <w:sz w:val="20"/>
          <w:szCs w:val="20"/>
        </w:rPr>
      </w:pPr>
      <w:r>
        <w:rPr>
          <w:rFonts w:cs="Times New Roman"/>
          <w:sz w:val="20"/>
          <w:szCs w:val="20"/>
        </w:rPr>
        <w:t>Serum albumin, globulin and total protein, the activity of metabolic enzymes like alkaline phosphatase (ALP), alanine aminotransferase (ALT) and aspa</w:t>
      </w:r>
      <w:r>
        <w:rPr>
          <w:rFonts w:cs="Times New Roman"/>
          <w:sz w:val="20"/>
          <w:szCs w:val="20"/>
        </w:rPr>
        <w:t>rtate aminotransferase (AST) as well as serum metabolites like cholesterol and triglycerides were measured using an automated serum biochemical analyzer LANDWIND.</w:t>
      </w:r>
    </w:p>
    <w:p w:rsidR="00E94D45" w:rsidRDefault="005572AF">
      <w:pPr>
        <w:pStyle w:val="AAA"/>
        <w:numPr>
          <w:ilvl w:val="1"/>
          <w:numId w:val="21"/>
        </w:numPr>
        <w:spacing w:after="120" w:line="276" w:lineRule="auto"/>
        <w:ind w:left="567" w:hanging="567"/>
      </w:pPr>
      <w:r>
        <w:t>Immunological parameters:</w:t>
      </w:r>
    </w:p>
    <w:p w:rsidR="00E94D45" w:rsidRDefault="005572AF">
      <w:pPr>
        <w:spacing w:line="276" w:lineRule="auto"/>
        <w:rPr>
          <w:rFonts w:cs="Times New Roman"/>
          <w:sz w:val="20"/>
          <w:szCs w:val="20"/>
        </w:rPr>
      </w:pPr>
      <w:r>
        <w:rPr>
          <w:rFonts w:cs="Times New Roman"/>
          <w:sz w:val="20"/>
          <w:szCs w:val="20"/>
        </w:rPr>
        <w:t>The method described by (Siwicki 1993) was used to measure the seru</w:t>
      </w:r>
      <w:r>
        <w:rPr>
          <w:rFonts w:cs="Times New Roman"/>
          <w:sz w:val="20"/>
          <w:szCs w:val="20"/>
        </w:rPr>
        <w:t xml:space="preserve">m total immunoglobulin (IgM) levels. Skin mucus lysozyme activity was determined using the selected methodology (Subramanian et al. 2007). Furthermore, </w:t>
      </w:r>
      <w:r>
        <w:rPr>
          <w:rFonts w:cs="Times New Roman"/>
          <w:i/>
          <w:iCs/>
          <w:sz w:val="20"/>
          <w:szCs w:val="20"/>
        </w:rPr>
        <w:t>E. coli</w:t>
      </w:r>
      <w:r>
        <w:rPr>
          <w:rFonts w:cs="Times New Roman"/>
          <w:sz w:val="20"/>
          <w:szCs w:val="20"/>
        </w:rPr>
        <w:t xml:space="preserve"> was used as foreign bodies to measure the phagocytic activity, as Bedasso (2017) reported.</w:t>
      </w:r>
    </w:p>
    <w:p w:rsidR="00E94D45" w:rsidRDefault="005572AF">
      <w:pPr>
        <w:pStyle w:val="AAA"/>
        <w:numPr>
          <w:ilvl w:val="1"/>
          <w:numId w:val="21"/>
        </w:numPr>
        <w:spacing w:after="120" w:line="276" w:lineRule="auto"/>
        <w:ind w:left="567" w:hanging="567"/>
      </w:pPr>
      <w:r>
        <w:t>Diges</w:t>
      </w:r>
      <w:r>
        <w:t>tive enzyme</w:t>
      </w:r>
    </w:p>
    <w:p w:rsidR="00E94D45" w:rsidRDefault="005572AF">
      <w:pPr>
        <w:spacing w:line="276" w:lineRule="auto"/>
        <w:rPr>
          <w:rFonts w:cs="Times New Roman"/>
          <w:sz w:val="20"/>
          <w:szCs w:val="20"/>
        </w:rPr>
      </w:pPr>
      <w:r>
        <w:rPr>
          <w:rFonts w:cs="Times New Roman"/>
          <w:sz w:val="20"/>
          <w:szCs w:val="20"/>
        </w:rPr>
        <w:t>According to Ahmadifar et al. (2019b), measurements were made of lipase and amylase activity. The protease activity was measured using trichloroacetic acid (TCA) and trisphosphate buffer (pH 7.8), using the casein digestion method (Drapeau 1976</w:t>
      </w:r>
      <w:r>
        <w:rPr>
          <w:rFonts w:cs="Times New Roman"/>
          <w:sz w:val="20"/>
          <w:szCs w:val="20"/>
        </w:rPr>
        <w:t>).</w:t>
      </w:r>
    </w:p>
    <w:p w:rsidR="00E94D45" w:rsidRDefault="005572AF">
      <w:pPr>
        <w:pStyle w:val="AAA"/>
        <w:numPr>
          <w:ilvl w:val="1"/>
          <w:numId w:val="21"/>
        </w:numPr>
        <w:spacing w:after="120" w:line="276" w:lineRule="auto"/>
        <w:ind w:left="567" w:hanging="567"/>
      </w:pPr>
      <w:r>
        <w:t>Color measurement</w:t>
      </w:r>
    </w:p>
    <w:p w:rsidR="00E94D45" w:rsidRDefault="005572AF">
      <w:pPr>
        <w:spacing w:line="276" w:lineRule="auto"/>
        <w:rPr>
          <w:rFonts w:cs="Times New Roman"/>
          <w:sz w:val="20"/>
          <w:szCs w:val="20"/>
        </w:rPr>
      </w:pPr>
      <w:r>
        <w:rPr>
          <w:rFonts w:cs="Times New Roman"/>
          <w:sz w:val="20"/>
          <w:szCs w:val="20"/>
        </w:rPr>
        <w:t>Skin color was measured using a Minolta CR-300 Chroma Meter (Minolta Camera Co. Ltd., Asaka, Japan) to take absolute measurements in the L* a* b* measuring mode (CIE 1976) using D65 illuminant. L* is the lightness variable (where white</w:t>
      </w:r>
      <w:r>
        <w:rPr>
          <w:rFonts w:cs="Times New Roman"/>
          <w:sz w:val="20"/>
          <w:szCs w:val="20"/>
        </w:rPr>
        <w:t xml:space="preserve"> = 100 L* and black = 0 L*), a* is the red chromaticity coordinates where + a* stands for red, -a* stands for green and +b* is the yellow chromaticity coordinates where +b* stands for yellow and -b* stands for blue.</w:t>
      </w:r>
    </w:p>
    <w:p w:rsidR="00E94D45" w:rsidRDefault="005572AF">
      <w:pPr>
        <w:pStyle w:val="AAA"/>
        <w:numPr>
          <w:ilvl w:val="1"/>
          <w:numId w:val="21"/>
        </w:numPr>
        <w:spacing w:after="120" w:line="276" w:lineRule="auto"/>
        <w:ind w:left="567" w:hanging="567"/>
      </w:pPr>
      <w:r>
        <w:t>Skin, muscle and caudal fin total carote</w:t>
      </w:r>
      <w:r>
        <w:t>noid analysis</w:t>
      </w:r>
    </w:p>
    <w:p w:rsidR="00E94D45" w:rsidRDefault="005572AF">
      <w:pPr>
        <w:spacing w:line="276" w:lineRule="auto"/>
        <w:rPr>
          <w:rFonts w:cs="Times New Roman"/>
          <w:sz w:val="20"/>
          <w:szCs w:val="20"/>
        </w:rPr>
      </w:pPr>
      <w:r>
        <w:rPr>
          <w:rFonts w:cs="Times New Roman"/>
          <w:sz w:val="20"/>
          <w:szCs w:val="20"/>
        </w:rPr>
        <w:t>We measured the amounts of carotenoids in various fish tissues. The fish skin, muscle and caudal fin were utilized to extract the carotenoids using the technique suggested by Torrissen and Naevdal (1984). A spectrophotometer (Model: WPA) oper</w:t>
      </w:r>
      <w:r>
        <w:rPr>
          <w:rFonts w:cs="Times New Roman"/>
          <w:sz w:val="20"/>
          <w:szCs w:val="20"/>
        </w:rPr>
        <w:t>ating at 474 nm was used to measure the extra optical density.</w:t>
      </w:r>
    </w:p>
    <w:p w:rsidR="00E94D45" w:rsidRDefault="005572AF">
      <w:pPr>
        <w:spacing w:line="276" w:lineRule="auto"/>
        <w:rPr>
          <w:rFonts w:cs="Times New Roman"/>
          <w:sz w:val="20"/>
          <w:szCs w:val="20"/>
        </w:rPr>
      </w:pPr>
      <w:r>
        <w:rPr>
          <w:rFonts w:cs="Times New Roman"/>
          <w:sz w:val="20"/>
          <w:szCs w:val="20"/>
        </w:rPr>
        <w:t>Total carotenoids ¼ Absorbance × V/210/W × 100</w:t>
      </w:r>
    </w:p>
    <w:p w:rsidR="00E94D45" w:rsidRDefault="005572AF">
      <w:pPr>
        <w:spacing w:line="276" w:lineRule="auto"/>
        <w:rPr>
          <w:rFonts w:cs="Times New Roman"/>
          <w:sz w:val="20"/>
          <w:szCs w:val="20"/>
        </w:rPr>
      </w:pPr>
      <w:r>
        <w:rPr>
          <w:rFonts w:cs="Times New Roman"/>
          <w:sz w:val="20"/>
          <w:szCs w:val="20"/>
        </w:rPr>
        <w:t>V = volume of acetone (4 mL).</w:t>
      </w:r>
    </w:p>
    <w:p w:rsidR="00E94D45" w:rsidRDefault="005572AF">
      <w:pPr>
        <w:spacing w:line="276" w:lineRule="auto"/>
        <w:rPr>
          <w:rFonts w:cs="Times New Roman"/>
          <w:sz w:val="20"/>
          <w:szCs w:val="20"/>
        </w:rPr>
      </w:pPr>
      <w:r>
        <w:rPr>
          <w:rFonts w:cs="Times New Roman"/>
          <w:sz w:val="20"/>
          <w:szCs w:val="20"/>
        </w:rPr>
        <w:t>210 = absorbance of 1 mg/mL carotenoid solution in acetone.</w:t>
      </w:r>
    </w:p>
    <w:p w:rsidR="00E94D45" w:rsidRDefault="005572AF">
      <w:pPr>
        <w:spacing w:line="276" w:lineRule="auto"/>
        <w:rPr>
          <w:rFonts w:cs="Times New Roman"/>
          <w:sz w:val="20"/>
          <w:szCs w:val="20"/>
        </w:rPr>
      </w:pPr>
      <w:r>
        <w:rPr>
          <w:rFonts w:cs="Times New Roman"/>
          <w:sz w:val="20"/>
          <w:szCs w:val="20"/>
        </w:rPr>
        <w:t>W = sample weight (mg).</w:t>
      </w:r>
    </w:p>
    <w:p w:rsidR="00E94D45" w:rsidRDefault="005572AF">
      <w:pPr>
        <w:pStyle w:val="AAA"/>
        <w:numPr>
          <w:ilvl w:val="1"/>
          <w:numId w:val="21"/>
        </w:numPr>
        <w:spacing w:after="120" w:line="276" w:lineRule="auto"/>
        <w:ind w:left="567" w:hanging="567"/>
      </w:pPr>
      <w:r>
        <w:t>Astaxanthin, canthaxanthin</w:t>
      </w:r>
      <w:r>
        <w:t xml:space="preserve"> and β-carotene analysis</w:t>
      </w:r>
    </w:p>
    <w:p w:rsidR="00E94D45" w:rsidRDefault="005572AF">
      <w:pPr>
        <w:spacing w:line="276" w:lineRule="auto"/>
        <w:rPr>
          <w:rFonts w:cs="Times New Roman"/>
          <w:sz w:val="20"/>
          <w:szCs w:val="20"/>
        </w:rPr>
      </w:pPr>
      <w:r>
        <w:rPr>
          <w:rFonts w:cs="Times New Roman"/>
          <w:sz w:val="20"/>
          <w:szCs w:val="20"/>
        </w:rPr>
        <w:t>Astaxanthin, canthaxanthin and β-carotene concentrations were measured using reference materials as standards. These were run on high-performance liquid chromatography (HPLC) and retention times and extinction coefficients were obt</w:t>
      </w:r>
      <w:r>
        <w:rPr>
          <w:rFonts w:cs="Times New Roman"/>
          <w:sz w:val="20"/>
          <w:szCs w:val="20"/>
        </w:rPr>
        <w:t>ained. (Suhnel et al. 2009).</w:t>
      </w:r>
    </w:p>
    <w:p w:rsidR="00E94D45" w:rsidRDefault="005572AF">
      <w:pPr>
        <w:pStyle w:val="AAA"/>
        <w:numPr>
          <w:ilvl w:val="1"/>
          <w:numId w:val="21"/>
        </w:numPr>
        <w:spacing w:after="120" w:line="276" w:lineRule="auto"/>
        <w:ind w:left="567" w:hanging="567"/>
      </w:pPr>
      <w:r>
        <w:t>Water quality analysis</w:t>
      </w:r>
    </w:p>
    <w:p w:rsidR="00E94D45" w:rsidRDefault="005572AF">
      <w:pPr>
        <w:spacing w:line="276" w:lineRule="auto"/>
        <w:rPr>
          <w:rFonts w:cs="Times New Roman"/>
          <w:sz w:val="20"/>
          <w:szCs w:val="20"/>
        </w:rPr>
      </w:pPr>
      <w:r>
        <w:rPr>
          <w:rFonts w:cs="Times New Roman"/>
          <w:sz w:val="20"/>
          <w:szCs w:val="20"/>
        </w:rPr>
        <w:t xml:space="preserve">The physicochemical parameters of water (temperature, dissolved oxygen, total alkalinity, total hardness, total ammonia nitrogen (NH3-N), nitrate nitrogen; nitrite nitrogen and pH) were recorded </w:t>
      </w:r>
      <w:r>
        <w:rPr>
          <w:rFonts w:cs="Times New Roman"/>
          <w:sz w:val="20"/>
          <w:szCs w:val="20"/>
        </w:rPr>
        <w:t>week</w:t>
      </w:r>
      <w:r>
        <w:rPr>
          <w:rFonts w:cs="Times New Roman"/>
          <w:sz w:val="20"/>
          <w:szCs w:val="20"/>
        </w:rPr>
        <w:t>ly, f</w:t>
      </w:r>
      <w:r>
        <w:rPr>
          <w:rFonts w:cs="Times New Roman"/>
          <w:sz w:val="20"/>
          <w:szCs w:val="20"/>
        </w:rPr>
        <w:t xml:space="preserve">ollowing the </w:t>
      </w:r>
      <w:r>
        <w:rPr>
          <w:rFonts w:cs="Times New Roman"/>
          <w:sz w:val="20"/>
          <w:szCs w:val="20"/>
        </w:rPr>
        <w:lastRenderedPageBreak/>
        <w:t>standard methods (APHA 1992). While pH (7.2-7.6) was measured by using a digital pH meter (pH ep-HI 98107 USA).</w:t>
      </w:r>
    </w:p>
    <w:p w:rsidR="00E94D45" w:rsidRDefault="005572AF">
      <w:pPr>
        <w:pStyle w:val="AAA"/>
        <w:numPr>
          <w:ilvl w:val="1"/>
          <w:numId w:val="21"/>
        </w:numPr>
        <w:spacing w:after="120" w:line="276" w:lineRule="auto"/>
        <w:ind w:left="567" w:hanging="567"/>
      </w:pPr>
      <w:r>
        <w:t>Biochemical analysis</w:t>
      </w:r>
    </w:p>
    <w:p w:rsidR="00E94D45" w:rsidRDefault="005572AF">
      <w:pPr>
        <w:spacing w:line="276" w:lineRule="auto"/>
        <w:rPr>
          <w:rFonts w:cs="Times New Roman"/>
          <w:sz w:val="20"/>
          <w:szCs w:val="20"/>
        </w:rPr>
      </w:pPr>
      <w:r>
        <w:rPr>
          <w:rFonts w:cs="Times New Roman"/>
          <w:sz w:val="20"/>
          <w:szCs w:val="20"/>
        </w:rPr>
        <w:t>The approximate composition of the initial and final carcass, the experimental diet and spirulina were estimat</w:t>
      </w:r>
      <w:r>
        <w:rPr>
          <w:rFonts w:cs="Times New Roman"/>
          <w:sz w:val="20"/>
          <w:szCs w:val="20"/>
        </w:rPr>
        <w:t>ed using standard methods (AOAC 1995) for the following: crude protein (N-Kjeldhal X 6.25), crude lipid by using the Soxtec extraction technique (FOSS Avanti automatic 2050, Sweden), ash (oven incineration at 650°C for 2-4 h) and dry matter (oven drying at</w:t>
      </w:r>
      <w:r>
        <w:rPr>
          <w:rFonts w:cs="Times New Roman"/>
          <w:sz w:val="20"/>
          <w:szCs w:val="20"/>
        </w:rPr>
        <w:t xml:space="preserve"> 105 ± 1°C for 22 h). By drying the samples to a constant weight in a hot air oven (Behr, Germany) set at 105°C, the moisture content was ascertained. The fritted glass crucible method was used to analyze the crude fiber using an automatic analyzer (ANKOM </w:t>
      </w:r>
      <w:r>
        <w:rPr>
          <w:rFonts w:cs="Times New Roman"/>
          <w:sz w:val="20"/>
          <w:szCs w:val="20"/>
        </w:rPr>
        <w:t>A2000i, Macedon and New York, NY, United States). CHO is used for the total carbohydrate fraction, the dry matter minus the sum of the crude protein, fat and ash.</w:t>
      </w:r>
    </w:p>
    <w:p w:rsidR="00E94D45" w:rsidRDefault="005572AF">
      <w:pPr>
        <w:pStyle w:val="AAA"/>
        <w:numPr>
          <w:ilvl w:val="1"/>
          <w:numId w:val="21"/>
        </w:numPr>
        <w:spacing w:after="120" w:line="276" w:lineRule="auto"/>
        <w:ind w:left="567" w:hanging="567"/>
      </w:pPr>
      <w:r>
        <w:t>Statistical analysis</w:t>
      </w:r>
    </w:p>
    <w:p w:rsidR="00E94D45" w:rsidRDefault="005572AF">
      <w:pPr>
        <w:spacing w:line="276" w:lineRule="auto"/>
        <w:rPr>
          <w:rFonts w:cs="Times New Roman"/>
          <w:sz w:val="20"/>
          <w:szCs w:val="20"/>
        </w:rPr>
      </w:pPr>
      <w:r>
        <w:rPr>
          <w:rFonts w:cs="Times New Roman"/>
          <w:sz w:val="20"/>
          <w:szCs w:val="20"/>
        </w:rPr>
        <w:t>These response variables were subjected to a one-way analysis of varianc</w:t>
      </w:r>
      <w:r>
        <w:rPr>
          <w:rFonts w:cs="Times New Roman"/>
          <w:sz w:val="20"/>
          <w:szCs w:val="20"/>
        </w:rPr>
        <w:t>e (ANOVA) (snedecor &amp; chochra 1967; Sokal &amp; Rohlf 1981). Duncan’s Multiple Range Test (Duncan 1955) was employed to determine the significant differences among the treatments. Statistical analysis was done using SPSS 22 (SPSS Inc., Chicago, IL, USA).</w:t>
      </w:r>
    </w:p>
    <w:p w:rsidR="00E94D45" w:rsidRDefault="005572AF">
      <w:pPr>
        <w:pStyle w:val="AAA"/>
        <w:numPr>
          <w:ilvl w:val="0"/>
          <w:numId w:val="9"/>
        </w:numPr>
        <w:spacing w:after="120" w:line="276" w:lineRule="auto"/>
        <w:ind w:left="426" w:hanging="426"/>
        <w:rPr>
          <w:sz w:val="28"/>
          <w:szCs w:val="28"/>
        </w:rPr>
      </w:pPr>
      <w:r>
        <w:rPr>
          <w:sz w:val="28"/>
          <w:szCs w:val="28"/>
        </w:rPr>
        <w:t>Resul</w:t>
      </w:r>
      <w:r>
        <w:rPr>
          <w:sz w:val="28"/>
          <w:szCs w:val="28"/>
        </w:rPr>
        <w:t>ts and Discussions</w:t>
      </w:r>
    </w:p>
    <w:p w:rsidR="00E94D45" w:rsidRDefault="005572AF">
      <w:pPr>
        <w:pStyle w:val="AAA"/>
        <w:numPr>
          <w:ilvl w:val="1"/>
          <w:numId w:val="22"/>
        </w:numPr>
        <w:spacing w:after="120" w:line="276" w:lineRule="auto"/>
        <w:ind w:left="426" w:hanging="426"/>
      </w:pPr>
      <w:r>
        <w:t>Growth parameters</w:t>
      </w:r>
    </w:p>
    <w:p w:rsidR="00E94D45" w:rsidRDefault="005572AF">
      <w:pPr>
        <w:spacing w:line="276" w:lineRule="auto"/>
        <w:rPr>
          <w:rFonts w:cs="Times New Roman"/>
          <w:b/>
          <w:bCs/>
          <w:sz w:val="20"/>
          <w:szCs w:val="20"/>
        </w:rPr>
      </w:pPr>
      <w:r>
        <w:rPr>
          <w:rFonts w:cs="Times New Roman"/>
          <w:sz w:val="20"/>
          <w:szCs w:val="20"/>
        </w:rPr>
        <w:t>Treatments T0, T1, T2, T3, T4 and T5 had average final weights of 7.5±0.008gm, 7.56±0.005gm, 7.61±0.005gm, 7.7±0.014gm, 7.78±0.011gm</w:t>
      </w:r>
      <w:r>
        <w:rPr>
          <w:rFonts w:cs="Times New Roman"/>
          <w:sz w:val="20"/>
          <w:szCs w:val="20"/>
        </w:rPr>
        <w:t xml:space="preserve"> and 7.91±0.008gm respectively (Table 3). The growth factors, such as WG, DGR, FCR, FER and PER, did not significantly differ between T0 and T1 compared to other treatments (p&gt;0.05). Comparably, there is no significant difference between the T4 and T5 trea</w:t>
      </w:r>
      <w:r>
        <w:rPr>
          <w:rFonts w:cs="Times New Roman"/>
          <w:sz w:val="20"/>
          <w:szCs w:val="20"/>
        </w:rPr>
        <w:t>tments in terms of WG% and SGR. Considerably higher (p&lt;0.05) WG, DGR, FER, PER, SGR and best FCR observed in treatment T5. In comparison to other treatments, T1 exhibits considerably lower values of SGR (2.08±0.007b) and WG% (553.67±4.514a) (p&lt;0.05). The l</w:t>
      </w:r>
      <w:r>
        <w:rPr>
          <w:rFonts w:cs="Times New Roman"/>
          <w:sz w:val="20"/>
          <w:szCs w:val="20"/>
        </w:rPr>
        <w:t xml:space="preserve">owest value of nearly all growth metrics is displayed throughout T0. The findings showed that the growth metrics (apart from FCR) increased (p&lt;0.05) when the spirulina level was raised by 0%, 2%, 4%, 6%, 8% and 10%. The growth parameters in T5 (0.075 ± 0) </w:t>
      </w:r>
      <w:r>
        <w:rPr>
          <w:rFonts w:cs="Times New Roman"/>
          <w:sz w:val="20"/>
          <w:szCs w:val="20"/>
        </w:rPr>
        <w:t>are significantly higher (p&lt;0.05) than those for T4 and so on, all the way down to T0. Result indicates that there was no significant variation in the survival rate (SR), which stayed constant at 100% across all treatments.</w:t>
      </w:r>
    </w:p>
    <w:p w:rsidR="00E94D45" w:rsidRDefault="005572AF">
      <w:pPr>
        <w:pStyle w:val="Caption"/>
        <w:ind w:left="709" w:hanging="709"/>
        <w:rPr>
          <w:rFonts w:cs="Times New Roman"/>
          <w:b/>
          <w:bCs/>
          <w:i w:val="0"/>
          <w:iCs w:val="0"/>
          <w:color w:val="auto"/>
          <w:sz w:val="20"/>
          <w:szCs w:val="20"/>
        </w:rPr>
      </w:pPr>
      <w:r>
        <w:rPr>
          <w:rFonts w:cs="Times New Roman"/>
          <w:b/>
          <w:bCs/>
          <w:i w:val="0"/>
          <w:iCs w:val="0"/>
          <w:color w:val="auto"/>
          <w:sz w:val="20"/>
          <w:szCs w:val="20"/>
        </w:rPr>
        <w:t xml:space="preserve">Table </w:t>
      </w:r>
      <w:r>
        <w:rPr>
          <w:rFonts w:cs="Times New Roman"/>
          <w:b/>
          <w:bCs/>
          <w:i w:val="0"/>
          <w:iCs w:val="0"/>
          <w:color w:val="auto"/>
          <w:sz w:val="20"/>
          <w:szCs w:val="20"/>
        </w:rPr>
        <w:fldChar w:fldCharType="begin"/>
      </w:r>
      <w:r>
        <w:rPr>
          <w:rFonts w:cs="Times New Roman"/>
          <w:b/>
          <w:bCs/>
          <w:i w:val="0"/>
          <w:iCs w:val="0"/>
          <w:color w:val="auto"/>
          <w:sz w:val="20"/>
          <w:szCs w:val="20"/>
        </w:rPr>
        <w:instrText xml:space="preserve"> SEQ Table \* ARABIC </w:instrText>
      </w:r>
      <w:r>
        <w:rPr>
          <w:rFonts w:cs="Times New Roman"/>
          <w:b/>
          <w:bCs/>
          <w:i w:val="0"/>
          <w:iCs w:val="0"/>
          <w:color w:val="auto"/>
          <w:sz w:val="20"/>
          <w:szCs w:val="20"/>
        </w:rPr>
        <w:fldChar w:fldCharType="separate"/>
      </w:r>
      <w:r>
        <w:rPr>
          <w:rFonts w:cs="Times New Roman"/>
          <w:b/>
          <w:bCs/>
          <w:i w:val="0"/>
          <w:iCs w:val="0"/>
          <w:noProof/>
          <w:color w:val="auto"/>
          <w:sz w:val="20"/>
          <w:szCs w:val="20"/>
        </w:rPr>
        <w:t>3</w:t>
      </w:r>
      <w:r>
        <w:rPr>
          <w:rFonts w:cs="Times New Roman"/>
          <w:b/>
          <w:bCs/>
          <w:i w:val="0"/>
          <w:iCs w:val="0"/>
          <w:color w:val="auto"/>
          <w:sz w:val="20"/>
          <w:szCs w:val="20"/>
        </w:rPr>
        <w:fldChar w:fldCharType="end"/>
      </w:r>
      <w:r>
        <w:rPr>
          <w:rFonts w:cs="Times New Roman"/>
          <w:b/>
          <w:bCs/>
          <w:i w:val="0"/>
          <w:iCs w:val="0"/>
          <w:color w:val="auto"/>
          <w:sz w:val="20"/>
          <w:szCs w:val="20"/>
          <w:lang w:val="en-IN"/>
        </w:rPr>
        <w:t xml:space="preserve"> </w:t>
      </w:r>
      <w:r>
        <w:rPr>
          <w:rFonts w:cs="Times New Roman"/>
          <w:b/>
          <w:bCs/>
          <w:i w:val="0"/>
          <w:iCs w:val="0"/>
          <w:color w:val="auto"/>
          <w:sz w:val="20"/>
          <w:szCs w:val="20"/>
          <w:lang w:val="en-IN"/>
        </w:rPr>
        <w:t xml:space="preserve">Growth parameter analysis of blue gourami, </w:t>
      </w:r>
      <w:r>
        <w:rPr>
          <w:rFonts w:cs="Times New Roman"/>
          <w:b/>
          <w:bCs/>
          <w:color w:val="auto"/>
          <w:sz w:val="20"/>
          <w:szCs w:val="20"/>
          <w:lang w:val="en-IN"/>
        </w:rPr>
        <w:t>Trichogaster trichopterus</w:t>
      </w:r>
      <w:r>
        <w:rPr>
          <w:rFonts w:cs="Times New Roman"/>
          <w:b/>
          <w:bCs/>
          <w:i w:val="0"/>
          <w:iCs w:val="0"/>
          <w:color w:val="auto"/>
          <w:sz w:val="20"/>
          <w:szCs w:val="20"/>
          <w:lang w:val="en-IN"/>
        </w:rPr>
        <w:t xml:space="preserve">, fed with different levels of </w:t>
      </w:r>
      <w:r>
        <w:rPr>
          <w:b/>
          <w:bCs/>
          <w:color w:val="auto"/>
          <w:sz w:val="20"/>
          <w:szCs w:val="20"/>
          <w:lang w:val="en-IN"/>
        </w:rPr>
        <w:t>spirulina platensis</w:t>
      </w:r>
      <w:r>
        <w:rPr>
          <w:rFonts w:cs="Times New Roman"/>
          <w:b/>
          <w:bCs/>
          <w:i w:val="0"/>
          <w:iCs w:val="0"/>
          <w:color w:val="auto"/>
          <w:sz w:val="20"/>
          <w:szCs w:val="20"/>
          <w:lang w:val="en-IN"/>
        </w:rPr>
        <w:t>.</w:t>
      </w:r>
    </w:p>
    <w:tbl>
      <w:tblPr>
        <w:tblStyle w:val="TableGrid1"/>
        <w:tblW w:w="5006" w:type="pct"/>
        <w:tblLook w:val="04A0" w:firstRow="1" w:lastRow="0" w:firstColumn="1" w:lastColumn="0" w:noHBand="0" w:noVBand="1"/>
      </w:tblPr>
      <w:tblGrid>
        <w:gridCol w:w="1473"/>
        <w:gridCol w:w="1760"/>
        <w:gridCol w:w="1163"/>
        <w:gridCol w:w="1169"/>
        <w:gridCol w:w="1130"/>
        <w:gridCol w:w="1164"/>
        <w:gridCol w:w="1168"/>
      </w:tblGrid>
      <w:tr w:rsidR="00E94D45">
        <w:trPr>
          <w:trHeight w:val="425"/>
        </w:trPr>
        <w:tc>
          <w:tcPr>
            <w:tcW w:w="702" w:type="pct"/>
            <w:noWrap/>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Treatments</w:t>
            </w:r>
          </w:p>
        </w:tc>
        <w:tc>
          <w:tcPr>
            <w:tcW w:w="717" w:type="pct"/>
            <w:noWrap/>
            <w:vAlign w:val="center"/>
            <w:hideMark/>
          </w:tcPr>
          <w:p w:rsidR="00E94D45" w:rsidRDefault="005572AF">
            <w:pPr>
              <w:spacing w:after="0"/>
              <w:ind w:left="-113" w:right="-113"/>
              <w:jc w:val="center"/>
              <w:rPr>
                <w:rFonts w:cs="Times New Roman"/>
                <w:b/>
                <w:bCs/>
                <w:sz w:val="18"/>
                <w:szCs w:val="18"/>
                <w:lang w:eastAsia="en-IN"/>
              </w:rPr>
            </w:pPr>
            <w:r>
              <w:rPr>
                <w:rFonts w:cs="Times New Roman"/>
                <w:b/>
                <w:bCs/>
                <w:sz w:val="20"/>
                <w:szCs w:val="20"/>
              </w:rPr>
              <w:t>T0 (0% Spirulina)</w:t>
            </w:r>
          </w:p>
        </w:tc>
        <w:tc>
          <w:tcPr>
            <w:tcW w:w="719" w:type="pct"/>
            <w:noWrap/>
            <w:vAlign w:val="center"/>
            <w:hideMark/>
          </w:tcPr>
          <w:p w:rsidR="00E94D45" w:rsidRDefault="005572AF">
            <w:pPr>
              <w:spacing w:after="0"/>
              <w:ind w:left="-113" w:right="-113"/>
              <w:jc w:val="center"/>
              <w:rPr>
                <w:rFonts w:cs="Times New Roman"/>
                <w:b/>
                <w:bCs/>
                <w:sz w:val="18"/>
                <w:szCs w:val="18"/>
                <w:lang w:eastAsia="en-IN"/>
              </w:rPr>
            </w:pPr>
            <w:r>
              <w:rPr>
                <w:rFonts w:cs="Times New Roman"/>
                <w:b/>
                <w:bCs/>
                <w:sz w:val="20"/>
                <w:szCs w:val="20"/>
              </w:rPr>
              <w:t>T1 (2%)</w:t>
            </w:r>
          </w:p>
        </w:tc>
        <w:tc>
          <w:tcPr>
            <w:tcW w:w="722" w:type="pct"/>
            <w:noWrap/>
            <w:vAlign w:val="center"/>
            <w:hideMark/>
          </w:tcPr>
          <w:p w:rsidR="00E94D45" w:rsidRDefault="005572AF">
            <w:pPr>
              <w:spacing w:after="0"/>
              <w:ind w:left="-113" w:right="-113"/>
              <w:jc w:val="center"/>
              <w:rPr>
                <w:rFonts w:cs="Times New Roman"/>
                <w:b/>
                <w:bCs/>
                <w:sz w:val="18"/>
                <w:szCs w:val="18"/>
                <w:lang w:eastAsia="en-IN"/>
              </w:rPr>
            </w:pPr>
            <w:r>
              <w:rPr>
                <w:rFonts w:cs="Times New Roman"/>
                <w:b/>
                <w:bCs/>
                <w:sz w:val="20"/>
                <w:szCs w:val="20"/>
              </w:rPr>
              <w:t>T2 (4%)</w:t>
            </w:r>
          </w:p>
        </w:tc>
        <w:tc>
          <w:tcPr>
            <w:tcW w:w="700" w:type="pct"/>
            <w:noWrap/>
            <w:vAlign w:val="center"/>
            <w:hideMark/>
          </w:tcPr>
          <w:p w:rsidR="00E94D45" w:rsidRDefault="005572AF">
            <w:pPr>
              <w:spacing w:after="0"/>
              <w:ind w:left="-113" w:right="-113"/>
              <w:jc w:val="center"/>
              <w:rPr>
                <w:rFonts w:cs="Times New Roman"/>
                <w:b/>
                <w:bCs/>
                <w:sz w:val="18"/>
                <w:szCs w:val="18"/>
                <w:lang w:eastAsia="en-IN"/>
              </w:rPr>
            </w:pPr>
            <w:r>
              <w:rPr>
                <w:rFonts w:cs="Times New Roman"/>
                <w:b/>
                <w:bCs/>
                <w:sz w:val="20"/>
                <w:szCs w:val="20"/>
              </w:rPr>
              <w:t>T3 (6%)</w:t>
            </w:r>
          </w:p>
        </w:tc>
        <w:tc>
          <w:tcPr>
            <w:tcW w:w="719" w:type="pct"/>
            <w:noWrap/>
            <w:vAlign w:val="center"/>
            <w:hideMark/>
          </w:tcPr>
          <w:p w:rsidR="00E94D45" w:rsidRDefault="005572AF">
            <w:pPr>
              <w:spacing w:after="0"/>
              <w:ind w:left="-113" w:right="-113"/>
              <w:jc w:val="center"/>
              <w:rPr>
                <w:rFonts w:cs="Times New Roman"/>
                <w:b/>
                <w:bCs/>
                <w:sz w:val="18"/>
                <w:szCs w:val="18"/>
                <w:lang w:eastAsia="en-IN"/>
              </w:rPr>
            </w:pPr>
            <w:r>
              <w:rPr>
                <w:rFonts w:cs="Times New Roman"/>
                <w:b/>
                <w:bCs/>
                <w:sz w:val="20"/>
                <w:szCs w:val="20"/>
              </w:rPr>
              <w:t>T4 (8%)</w:t>
            </w:r>
          </w:p>
        </w:tc>
        <w:tc>
          <w:tcPr>
            <w:tcW w:w="721" w:type="pct"/>
            <w:noWrap/>
            <w:vAlign w:val="center"/>
            <w:hideMark/>
          </w:tcPr>
          <w:p w:rsidR="00E94D45" w:rsidRDefault="005572AF">
            <w:pPr>
              <w:spacing w:after="0"/>
              <w:ind w:left="-113" w:right="-113"/>
              <w:jc w:val="center"/>
              <w:rPr>
                <w:rFonts w:cs="Times New Roman"/>
                <w:b/>
                <w:bCs/>
                <w:sz w:val="18"/>
                <w:szCs w:val="18"/>
                <w:lang w:eastAsia="en-IN"/>
              </w:rPr>
            </w:pPr>
            <w:r>
              <w:rPr>
                <w:rFonts w:cs="Times New Roman"/>
                <w:b/>
                <w:bCs/>
                <w:sz w:val="20"/>
                <w:szCs w:val="20"/>
              </w:rPr>
              <w:t>T5 (10%)</w:t>
            </w:r>
          </w:p>
        </w:tc>
      </w:tr>
      <w:tr w:rsidR="00E94D45">
        <w:trPr>
          <w:trHeight w:val="231"/>
        </w:trPr>
        <w:tc>
          <w:tcPr>
            <w:tcW w:w="702" w:type="pct"/>
            <w:noWrap/>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Initial weight (g)</w:t>
            </w:r>
          </w:p>
        </w:tc>
        <w:tc>
          <w:tcPr>
            <w:tcW w:w="717" w:type="pct"/>
            <w:noWrap/>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1.09±0.012</w:t>
            </w:r>
            <w:r>
              <w:rPr>
                <w:rFonts w:cs="Times New Roman"/>
                <w:sz w:val="18"/>
                <w:szCs w:val="18"/>
                <w:vertAlign w:val="superscript"/>
                <w:lang w:eastAsia="en-IN"/>
              </w:rPr>
              <w:t>a</w:t>
            </w:r>
          </w:p>
        </w:tc>
        <w:tc>
          <w:tcPr>
            <w:tcW w:w="719" w:type="pct"/>
            <w:noWrap/>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1.15±0.008</w:t>
            </w:r>
            <w:r>
              <w:rPr>
                <w:rFonts w:cs="Times New Roman"/>
                <w:sz w:val="18"/>
                <w:szCs w:val="18"/>
                <w:vertAlign w:val="superscript"/>
                <w:lang w:eastAsia="en-IN"/>
              </w:rPr>
              <w:t>c</w:t>
            </w:r>
          </w:p>
        </w:tc>
        <w:tc>
          <w:tcPr>
            <w:tcW w:w="722" w:type="pct"/>
            <w:noWrap/>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1.12±0.008</w:t>
            </w:r>
            <w:r>
              <w:rPr>
                <w:rFonts w:cs="Times New Roman"/>
                <w:sz w:val="18"/>
                <w:szCs w:val="18"/>
                <w:vertAlign w:val="superscript"/>
                <w:lang w:eastAsia="en-IN"/>
              </w:rPr>
              <w:t>b</w:t>
            </w:r>
          </w:p>
        </w:tc>
        <w:tc>
          <w:tcPr>
            <w:tcW w:w="700" w:type="pct"/>
            <w:noWrap/>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1.16±0.008</w:t>
            </w:r>
            <w:r>
              <w:rPr>
                <w:rFonts w:cs="Times New Roman"/>
                <w:sz w:val="18"/>
                <w:szCs w:val="18"/>
                <w:vertAlign w:val="superscript"/>
                <w:lang w:eastAsia="en-IN"/>
              </w:rPr>
              <w:t>c</w:t>
            </w:r>
          </w:p>
        </w:tc>
        <w:tc>
          <w:tcPr>
            <w:tcW w:w="719" w:type="pct"/>
            <w:noWrap/>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1.14±0.008</w:t>
            </w:r>
            <w:r>
              <w:rPr>
                <w:rFonts w:cs="Times New Roman"/>
                <w:sz w:val="18"/>
                <w:szCs w:val="18"/>
                <w:vertAlign w:val="superscript"/>
                <w:lang w:eastAsia="en-IN"/>
              </w:rPr>
              <w:t>bc</w:t>
            </w:r>
          </w:p>
        </w:tc>
        <w:tc>
          <w:tcPr>
            <w:tcW w:w="721" w:type="pct"/>
            <w:noWrap/>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1.15±0.005</w:t>
            </w:r>
            <w:r>
              <w:rPr>
                <w:rFonts w:cs="Times New Roman"/>
                <w:sz w:val="18"/>
                <w:szCs w:val="18"/>
                <w:vertAlign w:val="superscript"/>
                <w:lang w:eastAsia="en-IN"/>
              </w:rPr>
              <w:t>bc</w:t>
            </w:r>
          </w:p>
        </w:tc>
      </w:tr>
      <w:tr w:rsidR="00E94D45">
        <w:trPr>
          <w:trHeight w:val="22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Final weight (g)</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7.50±0.008</w:t>
            </w:r>
            <w:r>
              <w:rPr>
                <w:rFonts w:cs="Times New Roman"/>
                <w:sz w:val="18"/>
                <w:szCs w:val="18"/>
                <w:vertAlign w:val="superscript"/>
                <w:lang w:eastAsia="en-IN"/>
              </w:rPr>
              <w:t>a</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7.56±0.005</w:t>
            </w:r>
            <w:r>
              <w:rPr>
                <w:rFonts w:cs="Times New Roman"/>
                <w:sz w:val="18"/>
                <w:szCs w:val="18"/>
                <w:vertAlign w:val="superscript"/>
                <w:lang w:eastAsia="en-IN"/>
              </w:rPr>
              <w:t>b</w:t>
            </w:r>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7.61±0.005</w:t>
            </w:r>
            <w:r>
              <w:rPr>
                <w:rFonts w:cs="Times New Roman"/>
                <w:sz w:val="18"/>
                <w:szCs w:val="18"/>
                <w:vertAlign w:val="superscript"/>
                <w:lang w:eastAsia="en-IN"/>
              </w:rPr>
              <w:t>c</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7.7±0.014</w:t>
            </w:r>
            <w:r>
              <w:rPr>
                <w:rFonts w:cs="Times New Roman"/>
                <w:sz w:val="18"/>
                <w:szCs w:val="18"/>
                <w:vertAlign w:val="superscript"/>
                <w:lang w:eastAsia="en-IN"/>
              </w:rPr>
              <w:t>d</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7.78±0.011</w:t>
            </w:r>
            <w:r>
              <w:rPr>
                <w:rFonts w:cs="Times New Roman"/>
                <w:sz w:val="18"/>
                <w:szCs w:val="18"/>
                <w:vertAlign w:val="superscript"/>
                <w:lang w:eastAsia="en-IN"/>
              </w:rPr>
              <w:t>e</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7.91±0.008</w:t>
            </w:r>
            <w:r>
              <w:rPr>
                <w:rFonts w:cs="Times New Roman"/>
                <w:sz w:val="18"/>
                <w:szCs w:val="18"/>
                <w:vertAlign w:val="superscript"/>
                <w:lang w:eastAsia="en-IN"/>
              </w:rPr>
              <w:t>f</w:t>
            </w:r>
          </w:p>
        </w:tc>
      </w:tr>
      <w:tr w:rsidR="00E94D45">
        <w:trPr>
          <w:trHeight w:val="23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bookmarkStart w:id="0" w:name="_Hlk175826879"/>
            <w:bookmarkStart w:id="1" w:name="_Hlk175827042"/>
            <w:r>
              <w:rPr>
                <w:rFonts w:cs="Times New Roman"/>
                <w:b/>
                <w:bCs/>
                <w:sz w:val="18"/>
                <w:szCs w:val="18"/>
                <w:lang w:eastAsia="en-IN"/>
              </w:rPr>
              <w:t>WG (g)</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6.40±0.003</w:t>
            </w:r>
            <w:r>
              <w:rPr>
                <w:rFonts w:cs="Times New Roman"/>
                <w:sz w:val="18"/>
                <w:szCs w:val="18"/>
                <w:vertAlign w:val="superscript"/>
                <w:lang w:eastAsia="en-IN"/>
              </w:rPr>
              <w:t>a</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6.40±0.003</w:t>
            </w:r>
            <w:r>
              <w:rPr>
                <w:rFonts w:cs="Times New Roman"/>
                <w:sz w:val="18"/>
                <w:szCs w:val="18"/>
                <w:vertAlign w:val="superscript"/>
                <w:lang w:eastAsia="en-IN"/>
              </w:rPr>
              <w:t>a</w:t>
            </w:r>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6.48±0.003</w:t>
            </w:r>
            <w:r>
              <w:rPr>
                <w:rFonts w:cs="Times New Roman"/>
                <w:sz w:val="18"/>
                <w:szCs w:val="18"/>
                <w:vertAlign w:val="superscript"/>
                <w:lang w:eastAsia="en-IN"/>
              </w:rPr>
              <w:t>b</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6.54±0.015</w:t>
            </w:r>
            <w:r>
              <w:rPr>
                <w:rFonts w:cs="Times New Roman"/>
                <w:sz w:val="18"/>
                <w:szCs w:val="18"/>
                <w:vertAlign w:val="superscript"/>
                <w:lang w:eastAsia="en-IN"/>
              </w:rPr>
              <w:t>c</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6.63±0.003</w:t>
            </w:r>
            <w:r>
              <w:rPr>
                <w:rFonts w:cs="Times New Roman"/>
                <w:sz w:val="18"/>
                <w:szCs w:val="18"/>
                <w:vertAlign w:val="superscript"/>
                <w:lang w:eastAsia="en-IN"/>
              </w:rPr>
              <w:t>d</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6.76±0.013</w:t>
            </w:r>
            <w:r>
              <w:rPr>
                <w:rFonts w:cs="Times New Roman"/>
                <w:sz w:val="18"/>
                <w:szCs w:val="18"/>
                <w:vertAlign w:val="superscript"/>
                <w:lang w:eastAsia="en-IN"/>
              </w:rPr>
              <w:t>e</w:t>
            </w:r>
          </w:p>
        </w:tc>
      </w:tr>
      <w:tr w:rsidR="00E94D45">
        <w:trPr>
          <w:trHeight w:val="23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DGR (g/day)</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0.071±0.002</w:t>
            </w:r>
            <w:r>
              <w:rPr>
                <w:rFonts w:cs="Times New Roman"/>
                <w:sz w:val="18"/>
                <w:szCs w:val="18"/>
                <w:vertAlign w:val="superscript"/>
                <w:lang w:eastAsia="en-IN"/>
              </w:rPr>
              <w:t>a</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0.071±0.001</w:t>
            </w:r>
            <w:r>
              <w:rPr>
                <w:rFonts w:cs="Times New Roman"/>
                <w:sz w:val="18"/>
                <w:szCs w:val="18"/>
                <w:vertAlign w:val="superscript"/>
                <w:lang w:eastAsia="en-IN"/>
              </w:rPr>
              <w:t>a</w:t>
            </w:r>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0.072±0.003</w:t>
            </w:r>
            <w:r>
              <w:rPr>
                <w:rFonts w:cs="Times New Roman"/>
                <w:sz w:val="18"/>
                <w:szCs w:val="18"/>
                <w:vertAlign w:val="superscript"/>
                <w:lang w:eastAsia="en-IN"/>
              </w:rPr>
              <w:t>b</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0.072±0</w:t>
            </w:r>
            <w:r>
              <w:rPr>
                <w:rFonts w:cs="Times New Roman"/>
                <w:sz w:val="18"/>
                <w:szCs w:val="18"/>
                <w:lang w:eastAsia="en-IN"/>
              </w:rPr>
              <w:t>.001</w:t>
            </w:r>
            <w:r>
              <w:rPr>
                <w:rFonts w:cs="Times New Roman"/>
                <w:sz w:val="18"/>
                <w:szCs w:val="18"/>
                <w:vertAlign w:val="superscript"/>
                <w:lang w:eastAsia="en-IN"/>
              </w:rPr>
              <w:t>c</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0.073±0.002</w:t>
            </w:r>
            <w:r>
              <w:rPr>
                <w:rFonts w:cs="Times New Roman"/>
                <w:sz w:val="18"/>
                <w:szCs w:val="18"/>
                <w:vertAlign w:val="superscript"/>
                <w:lang w:eastAsia="en-IN"/>
              </w:rPr>
              <w:t>d</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0.075±0.004</w:t>
            </w:r>
            <w:r>
              <w:rPr>
                <w:rFonts w:cs="Times New Roman"/>
                <w:sz w:val="18"/>
                <w:szCs w:val="18"/>
                <w:vertAlign w:val="superscript"/>
                <w:lang w:eastAsia="en-IN"/>
              </w:rPr>
              <w:t>e</w:t>
            </w:r>
          </w:p>
        </w:tc>
      </w:tr>
      <w:tr w:rsidR="00E94D45">
        <w:trPr>
          <w:trHeight w:val="23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bookmarkStart w:id="2" w:name="_Hlk175825393"/>
            <w:bookmarkEnd w:id="0"/>
            <w:r>
              <w:rPr>
                <w:rFonts w:cs="Times New Roman"/>
                <w:b/>
                <w:bCs/>
                <w:sz w:val="18"/>
                <w:szCs w:val="18"/>
                <w:lang w:eastAsia="en-IN"/>
              </w:rPr>
              <w:t>WG</w:t>
            </w:r>
            <w:bookmarkEnd w:id="2"/>
            <w:r>
              <w:rPr>
                <w:rFonts w:cs="Times New Roman"/>
                <w:b/>
                <w:bCs/>
                <w:sz w:val="18"/>
                <w:szCs w:val="18"/>
                <w:lang w:eastAsia="en-IN"/>
              </w:rPr>
              <w:t xml:space="preserve"> (%)</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584.34±6.644</w:t>
            </w:r>
            <w:r>
              <w:rPr>
                <w:rFonts w:cs="Times New Roman"/>
                <w:sz w:val="18"/>
                <w:szCs w:val="18"/>
                <w:vertAlign w:val="superscript"/>
                <w:lang w:eastAsia="en-IN"/>
              </w:rPr>
              <w:t>c</w:t>
            </w:r>
          </w:p>
        </w:tc>
        <w:tc>
          <w:tcPr>
            <w:tcW w:w="719" w:type="pct"/>
            <w:vAlign w:val="center"/>
            <w:hideMark/>
          </w:tcPr>
          <w:p w:rsidR="00E94D45" w:rsidRDefault="005572AF">
            <w:pPr>
              <w:spacing w:after="0"/>
              <w:ind w:left="-113" w:right="-113"/>
              <w:jc w:val="center"/>
              <w:rPr>
                <w:rFonts w:cs="Times New Roman"/>
                <w:sz w:val="18"/>
                <w:szCs w:val="18"/>
                <w:lang w:eastAsia="en-IN"/>
              </w:rPr>
            </w:pPr>
            <w:bookmarkStart w:id="3" w:name="_Hlk175827302"/>
            <w:r>
              <w:rPr>
                <w:rFonts w:cs="Times New Roman"/>
                <w:sz w:val="18"/>
                <w:szCs w:val="18"/>
                <w:lang w:eastAsia="en-IN"/>
              </w:rPr>
              <w:t>553.67±4.514</w:t>
            </w:r>
            <w:r>
              <w:rPr>
                <w:rFonts w:cs="Times New Roman"/>
                <w:sz w:val="18"/>
                <w:szCs w:val="18"/>
                <w:vertAlign w:val="superscript"/>
                <w:lang w:eastAsia="en-IN"/>
              </w:rPr>
              <w:t>a</w:t>
            </w:r>
            <w:bookmarkEnd w:id="3"/>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575.51±4.807</w:t>
            </w:r>
            <w:r>
              <w:rPr>
                <w:rFonts w:cs="Times New Roman"/>
                <w:sz w:val="18"/>
                <w:szCs w:val="18"/>
                <w:vertAlign w:val="superscript"/>
                <w:lang w:eastAsia="en-IN"/>
              </w:rPr>
              <w:t>b</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560.64±4.91</w:t>
            </w:r>
            <w:r>
              <w:rPr>
                <w:rFonts w:cs="Times New Roman"/>
                <w:sz w:val="18"/>
                <w:szCs w:val="18"/>
                <w:vertAlign w:val="superscript"/>
                <w:lang w:eastAsia="en-IN"/>
              </w:rPr>
              <w:t>ab</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578.55±4.254</w:t>
            </w:r>
            <w:r>
              <w:rPr>
                <w:rFonts w:cs="Times New Roman"/>
                <w:sz w:val="18"/>
                <w:szCs w:val="18"/>
                <w:vertAlign w:val="superscript"/>
                <w:lang w:eastAsia="en-IN"/>
              </w:rPr>
              <w:t>c</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588.44±3.994</w:t>
            </w:r>
            <w:r>
              <w:rPr>
                <w:rFonts w:cs="Times New Roman"/>
                <w:sz w:val="18"/>
                <w:szCs w:val="18"/>
                <w:vertAlign w:val="superscript"/>
                <w:lang w:eastAsia="en-IN"/>
              </w:rPr>
              <w:t>c</w:t>
            </w:r>
          </w:p>
        </w:tc>
      </w:tr>
      <w:tr w:rsidR="00E94D45">
        <w:trPr>
          <w:trHeight w:val="23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FCR</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1.56±0.001</w:t>
            </w:r>
            <w:r>
              <w:rPr>
                <w:rFonts w:cs="Times New Roman"/>
                <w:sz w:val="18"/>
                <w:szCs w:val="18"/>
                <w:vertAlign w:val="superscript"/>
                <w:lang w:eastAsia="en-IN"/>
              </w:rPr>
              <w:t>e</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1.56±0.004</w:t>
            </w:r>
            <w:r>
              <w:rPr>
                <w:rFonts w:cs="Times New Roman"/>
                <w:sz w:val="18"/>
                <w:szCs w:val="18"/>
                <w:vertAlign w:val="superscript"/>
                <w:lang w:eastAsia="en-IN"/>
              </w:rPr>
              <w:t>e</w:t>
            </w:r>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1.54±0.003</w:t>
            </w:r>
            <w:r>
              <w:rPr>
                <w:rFonts w:cs="Times New Roman"/>
                <w:sz w:val="18"/>
                <w:szCs w:val="18"/>
                <w:vertAlign w:val="superscript"/>
                <w:lang w:eastAsia="en-IN"/>
              </w:rPr>
              <w:t>d</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1.52±0.003</w:t>
            </w:r>
            <w:r>
              <w:rPr>
                <w:rFonts w:cs="Times New Roman"/>
                <w:sz w:val="18"/>
                <w:szCs w:val="18"/>
                <w:vertAlign w:val="superscript"/>
                <w:lang w:eastAsia="en-IN"/>
              </w:rPr>
              <w:t>c</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1.5±0.002</w:t>
            </w:r>
            <w:r>
              <w:rPr>
                <w:rFonts w:cs="Times New Roman"/>
                <w:sz w:val="18"/>
                <w:szCs w:val="18"/>
                <w:vertAlign w:val="superscript"/>
                <w:lang w:eastAsia="en-IN"/>
              </w:rPr>
              <w:t>b</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1.47±0.001</w:t>
            </w:r>
            <w:r>
              <w:rPr>
                <w:rFonts w:cs="Times New Roman"/>
                <w:sz w:val="18"/>
                <w:szCs w:val="18"/>
                <w:vertAlign w:val="superscript"/>
                <w:lang w:eastAsia="en-IN"/>
              </w:rPr>
              <w:t>a</w:t>
            </w:r>
          </w:p>
        </w:tc>
      </w:tr>
      <w:tr w:rsidR="00E94D45">
        <w:trPr>
          <w:trHeight w:val="22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bookmarkStart w:id="4" w:name="_Hlk175826903"/>
            <w:r>
              <w:rPr>
                <w:rFonts w:cs="Times New Roman"/>
                <w:b/>
                <w:bCs/>
                <w:sz w:val="18"/>
                <w:szCs w:val="18"/>
                <w:lang w:eastAsia="en-IN"/>
              </w:rPr>
              <w:t>FER</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0.64±0.002</w:t>
            </w:r>
            <w:r>
              <w:rPr>
                <w:rFonts w:cs="Times New Roman"/>
                <w:sz w:val="18"/>
                <w:szCs w:val="18"/>
                <w:vertAlign w:val="superscript"/>
                <w:lang w:eastAsia="en-IN"/>
              </w:rPr>
              <w:t>a</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0.64±0.001</w:t>
            </w:r>
            <w:r>
              <w:rPr>
                <w:rFonts w:cs="Times New Roman"/>
                <w:sz w:val="18"/>
                <w:szCs w:val="18"/>
                <w:vertAlign w:val="superscript"/>
                <w:lang w:eastAsia="en-IN"/>
              </w:rPr>
              <w:t>a</w:t>
            </w:r>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0.64±0.004</w:t>
            </w:r>
            <w:r>
              <w:rPr>
                <w:rFonts w:cs="Times New Roman"/>
                <w:sz w:val="18"/>
                <w:szCs w:val="18"/>
                <w:vertAlign w:val="superscript"/>
                <w:lang w:eastAsia="en-IN"/>
              </w:rPr>
              <w:t>b</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0.65±0.001</w:t>
            </w:r>
            <w:r>
              <w:rPr>
                <w:rFonts w:cs="Times New Roman"/>
                <w:sz w:val="18"/>
                <w:szCs w:val="18"/>
                <w:vertAlign w:val="superscript"/>
                <w:lang w:eastAsia="en-IN"/>
              </w:rPr>
              <w:t>c</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0.66±0.002</w:t>
            </w:r>
            <w:r>
              <w:rPr>
                <w:rFonts w:cs="Times New Roman"/>
                <w:sz w:val="18"/>
                <w:szCs w:val="18"/>
                <w:vertAlign w:val="superscript"/>
                <w:lang w:eastAsia="en-IN"/>
              </w:rPr>
              <w:t>d</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0.67±0.001</w:t>
            </w:r>
            <w:r>
              <w:rPr>
                <w:rFonts w:cs="Times New Roman"/>
                <w:sz w:val="18"/>
                <w:szCs w:val="18"/>
                <w:vertAlign w:val="superscript"/>
                <w:lang w:eastAsia="en-IN"/>
              </w:rPr>
              <w:t>e</w:t>
            </w:r>
          </w:p>
        </w:tc>
      </w:tr>
      <w:tr w:rsidR="00E94D45">
        <w:trPr>
          <w:trHeight w:val="23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PER</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1.60±0.001</w:t>
            </w:r>
            <w:r>
              <w:rPr>
                <w:rFonts w:cs="Times New Roman"/>
                <w:sz w:val="18"/>
                <w:szCs w:val="18"/>
                <w:vertAlign w:val="superscript"/>
                <w:lang w:eastAsia="en-IN"/>
              </w:rPr>
              <w:t>a</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1.60±0.001</w:t>
            </w:r>
            <w:r>
              <w:rPr>
                <w:rFonts w:cs="Times New Roman"/>
                <w:sz w:val="18"/>
                <w:szCs w:val="18"/>
                <w:vertAlign w:val="superscript"/>
                <w:lang w:eastAsia="en-IN"/>
              </w:rPr>
              <w:t>a</w:t>
            </w:r>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1.62±0.001</w:t>
            </w:r>
            <w:r>
              <w:rPr>
                <w:rFonts w:cs="Times New Roman"/>
                <w:sz w:val="18"/>
                <w:szCs w:val="18"/>
                <w:vertAlign w:val="superscript"/>
                <w:lang w:eastAsia="en-IN"/>
              </w:rPr>
              <w:t>b</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1.63±0.003</w:t>
            </w:r>
            <w:r>
              <w:rPr>
                <w:rFonts w:cs="Times New Roman"/>
                <w:sz w:val="18"/>
                <w:szCs w:val="18"/>
                <w:vertAlign w:val="superscript"/>
                <w:lang w:eastAsia="en-IN"/>
              </w:rPr>
              <w:t>c</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1.65±0.003</w:t>
            </w:r>
            <w:r>
              <w:rPr>
                <w:rFonts w:cs="Times New Roman"/>
                <w:sz w:val="18"/>
                <w:szCs w:val="18"/>
                <w:vertAlign w:val="superscript"/>
                <w:lang w:eastAsia="en-IN"/>
              </w:rPr>
              <w:t>d</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1.69±0.003</w:t>
            </w:r>
            <w:r>
              <w:rPr>
                <w:rFonts w:cs="Times New Roman"/>
                <w:sz w:val="18"/>
                <w:szCs w:val="18"/>
                <w:vertAlign w:val="superscript"/>
                <w:lang w:eastAsia="en-IN"/>
              </w:rPr>
              <w:t>e</w:t>
            </w:r>
          </w:p>
        </w:tc>
      </w:tr>
      <w:bookmarkEnd w:id="4"/>
      <w:tr w:rsidR="00E94D45">
        <w:trPr>
          <w:trHeight w:val="231"/>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SGR (%/day)</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2.13±0.001</w:t>
            </w:r>
            <w:r>
              <w:rPr>
                <w:rFonts w:cs="Times New Roman"/>
                <w:sz w:val="18"/>
                <w:szCs w:val="18"/>
                <w:vertAlign w:val="superscript"/>
                <w:lang w:eastAsia="en-IN"/>
              </w:rPr>
              <w:t>c</w:t>
            </w:r>
          </w:p>
        </w:tc>
        <w:tc>
          <w:tcPr>
            <w:tcW w:w="719" w:type="pct"/>
            <w:vAlign w:val="center"/>
            <w:hideMark/>
          </w:tcPr>
          <w:p w:rsidR="00E94D45" w:rsidRDefault="005572AF">
            <w:pPr>
              <w:spacing w:after="0"/>
              <w:ind w:left="-113" w:right="-113"/>
              <w:jc w:val="center"/>
              <w:rPr>
                <w:rFonts w:cs="Times New Roman"/>
                <w:sz w:val="18"/>
                <w:szCs w:val="18"/>
                <w:lang w:eastAsia="en-IN"/>
              </w:rPr>
            </w:pPr>
            <w:bookmarkStart w:id="5" w:name="_Hlk175827321"/>
            <w:r>
              <w:rPr>
                <w:rFonts w:cs="Times New Roman"/>
                <w:sz w:val="18"/>
                <w:szCs w:val="18"/>
                <w:lang w:eastAsia="en-IN"/>
              </w:rPr>
              <w:t>2.08±0.007</w:t>
            </w:r>
            <w:r>
              <w:rPr>
                <w:rFonts w:cs="Times New Roman"/>
                <w:sz w:val="18"/>
                <w:szCs w:val="18"/>
                <w:vertAlign w:val="superscript"/>
                <w:lang w:eastAsia="en-IN"/>
              </w:rPr>
              <w:t>b</w:t>
            </w:r>
            <w:bookmarkEnd w:id="5"/>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2.12±0.007</w:t>
            </w:r>
            <w:r>
              <w:rPr>
                <w:rFonts w:cs="Times New Roman"/>
                <w:sz w:val="18"/>
                <w:szCs w:val="18"/>
                <w:vertAlign w:val="superscript"/>
                <w:lang w:eastAsia="en-IN"/>
              </w:rPr>
              <w:t>bc</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2.09±0.008</w:t>
            </w:r>
            <w:r>
              <w:rPr>
                <w:rFonts w:cs="Times New Roman"/>
                <w:sz w:val="18"/>
                <w:szCs w:val="18"/>
                <w:vertAlign w:val="superscript"/>
                <w:lang w:eastAsia="en-IN"/>
              </w:rPr>
              <w:t>ab</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2.12±0.006</w:t>
            </w:r>
            <w:r>
              <w:rPr>
                <w:rFonts w:cs="Times New Roman"/>
                <w:sz w:val="18"/>
                <w:szCs w:val="18"/>
                <w:vertAlign w:val="superscript"/>
                <w:lang w:eastAsia="en-IN"/>
              </w:rPr>
              <w:t>c</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2.14±0.006</w:t>
            </w:r>
            <w:r>
              <w:rPr>
                <w:rFonts w:cs="Times New Roman"/>
                <w:sz w:val="18"/>
                <w:szCs w:val="18"/>
                <w:vertAlign w:val="superscript"/>
                <w:lang w:eastAsia="en-IN"/>
              </w:rPr>
              <w:t>c</w:t>
            </w:r>
          </w:p>
        </w:tc>
      </w:tr>
      <w:bookmarkEnd w:id="1"/>
      <w:tr w:rsidR="00E94D45">
        <w:trPr>
          <w:trHeight w:val="265"/>
        </w:trPr>
        <w:tc>
          <w:tcPr>
            <w:tcW w:w="702" w:type="pct"/>
            <w:vAlign w:val="center"/>
            <w:hideMark/>
          </w:tcPr>
          <w:p w:rsidR="00E94D45" w:rsidRDefault="005572AF">
            <w:pPr>
              <w:spacing w:after="0" w:line="276" w:lineRule="auto"/>
              <w:ind w:left="-113" w:right="-113"/>
              <w:jc w:val="center"/>
              <w:rPr>
                <w:rFonts w:cs="Times New Roman"/>
                <w:b/>
                <w:bCs/>
                <w:sz w:val="18"/>
                <w:szCs w:val="18"/>
                <w:lang w:eastAsia="en-IN"/>
              </w:rPr>
            </w:pPr>
            <w:r>
              <w:rPr>
                <w:rFonts w:cs="Times New Roman"/>
                <w:b/>
                <w:bCs/>
                <w:sz w:val="18"/>
                <w:szCs w:val="18"/>
                <w:lang w:eastAsia="en-IN"/>
              </w:rPr>
              <w:t>Survival Rate %</w:t>
            </w:r>
          </w:p>
        </w:tc>
        <w:tc>
          <w:tcPr>
            <w:tcW w:w="717"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100</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100</w:t>
            </w:r>
          </w:p>
        </w:tc>
        <w:tc>
          <w:tcPr>
            <w:tcW w:w="722"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100</w:t>
            </w:r>
          </w:p>
        </w:tc>
        <w:tc>
          <w:tcPr>
            <w:tcW w:w="700"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100</w:t>
            </w:r>
          </w:p>
        </w:tc>
        <w:tc>
          <w:tcPr>
            <w:tcW w:w="719"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100</w:t>
            </w:r>
          </w:p>
        </w:tc>
        <w:tc>
          <w:tcPr>
            <w:tcW w:w="721" w:type="pct"/>
            <w:vAlign w:val="center"/>
            <w:hideMark/>
          </w:tcPr>
          <w:p w:rsidR="00E94D45" w:rsidRDefault="005572AF">
            <w:pPr>
              <w:spacing w:after="0"/>
              <w:ind w:left="-113" w:right="-113"/>
              <w:jc w:val="center"/>
              <w:rPr>
                <w:rFonts w:cs="Times New Roman"/>
                <w:sz w:val="18"/>
                <w:szCs w:val="18"/>
                <w:lang w:eastAsia="en-IN"/>
              </w:rPr>
            </w:pPr>
            <w:r>
              <w:rPr>
                <w:rFonts w:cs="Times New Roman"/>
                <w:sz w:val="18"/>
                <w:szCs w:val="18"/>
                <w:lang w:eastAsia="en-IN"/>
              </w:rPr>
              <w:t>100</w:t>
            </w:r>
          </w:p>
        </w:tc>
      </w:tr>
      <w:tr w:rsidR="00E94D45">
        <w:trPr>
          <w:trHeight w:val="1303"/>
        </w:trPr>
        <w:tc>
          <w:tcPr>
            <w:tcW w:w="5000" w:type="pct"/>
            <w:gridSpan w:val="7"/>
            <w:vAlign w:val="center"/>
          </w:tcPr>
          <w:p w:rsidR="00E94D45" w:rsidRDefault="005572AF">
            <w:pPr>
              <w:spacing w:after="0"/>
              <w:rPr>
                <w:rFonts w:cs="Times New Roman"/>
                <w:sz w:val="16"/>
                <w:szCs w:val="16"/>
                <w:lang w:eastAsia="en-IN"/>
              </w:rPr>
            </w:pPr>
            <w:r>
              <w:rPr>
                <w:rFonts w:cs="Times New Roman"/>
                <w:b/>
                <w:bCs/>
                <w:sz w:val="16"/>
                <w:szCs w:val="16"/>
                <w:lang w:eastAsia="en-IN"/>
              </w:rPr>
              <w:t>Treatments</w:t>
            </w:r>
            <w:r>
              <w:rPr>
                <w:rFonts w:cs="Times New Roman"/>
                <w:sz w:val="16"/>
                <w:szCs w:val="16"/>
                <w:lang w:eastAsia="en-IN"/>
              </w:rPr>
              <w:t xml:space="preserve">: T0 (Control, </w:t>
            </w:r>
            <w:r>
              <w:rPr>
                <w:rFonts w:cs="Times New Roman"/>
                <w:sz w:val="16"/>
                <w:szCs w:val="16"/>
                <w:lang w:eastAsia="en-IN"/>
              </w:rPr>
              <w:t>0% Spirulina), T1 (2.5%), T2 (5%), T3 (7.5%), T4 (10%), T5 (12.5%).</w:t>
            </w:r>
          </w:p>
          <w:p w:rsidR="00E94D45" w:rsidRDefault="005572AF">
            <w:pPr>
              <w:spacing w:after="0"/>
              <w:rPr>
                <w:rFonts w:cs="Times New Roman"/>
                <w:sz w:val="16"/>
                <w:szCs w:val="16"/>
                <w:lang w:eastAsia="en-IN"/>
              </w:rPr>
            </w:pPr>
            <w:r>
              <w:rPr>
                <w:rFonts w:cs="Times New Roman"/>
                <w:b/>
                <w:bCs/>
                <w:sz w:val="16"/>
                <w:szCs w:val="16"/>
                <w:lang w:eastAsia="en-IN"/>
              </w:rPr>
              <w:t>Sample size</w:t>
            </w:r>
            <w:r>
              <w:rPr>
                <w:rFonts w:cs="Times New Roman"/>
                <w:b/>
                <w:bCs/>
                <w:color w:val="auto"/>
                <w:sz w:val="16"/>
                <w:szCs w:val="16"/>
                <w:lang w:eastAsia="en-IN"/>
              </w:rPr>
              <w:t>:</w:t>
            </w:r>
            <w:r>
              <w:rPr>
                <w:rFonts w:cs="Times New Roman"/>
                <w:color w:val="auto"/>
                <w:sz w:val="16"/>
                <w:szCs w:val="16"/>
                <w:lang w:eastAsia="en-IN"/>
              </w:rPr>
              <w:t xml:space="preserve"> n = 60 </w:t>
            </w:r>
            <w:r>
              <w:rPr>
                <w:rFonts w:cs="Times New Roman"/>
                <w:sz w:val="16"/>
                <w:szCs w:val="16"/>
                <w:lang w:eastAsia="en-IN"/>
              </w:rPr>
              <w:t>fish per treatment (3 replicates, 20 fish per replicate). Values represent mean ± standard error (SE).</w:t>
            </w:r>
          </w:p>
          <w:p w:rsidR="00E94D45" w:rsidRDefault="005572AF">
            <w:pPr>
              <w:spacing w:after="0"/>
              <w:rPr>
                <w:rFonts w:cs="Times New Roman"/>
                <w:sz w:val="16"/>
                <w:szCs w:val="16"/>
                <w:lang w:eastAsia="en-IN"/>
              </w:rPr>
            </w:pPr>
            <w:r>
              <w:rPr>
                <w:rFonts w:cs="Times New Roman"/>
                <w:b/>
                <w:bCs/>
                <w:sz w:val="16"/>
                <w:szCs w:val="16"/>
                <w:lang w:eastAsia="en-IN"/>
              </w:rPr>
              <w:t>Statistical significance:</w:t>
            </w:r>
            <w:r>
              <w:rPr>
                <w:rFonts w:cs="Times New Roman"/>
                <w:sz w:val="16"/>
                <w:szCs w:val="16"/>
                <w:lang w:eastAsia="en-IN"/>
              </w:rPr>
              <w:t xml:space="preserve"> Within each row, means with different superscript letters (a, b, c, d, e, f) differ significantly (P&lt;0.05) as determined by one-way ANOVA followed by Tukey’s post-hoc test.</w:t>
            </w:r>
          </w:p>
          <w:p w:rsidR="00E94D45" w:rsidRDefault="005572AF">
            <w:pPr>
              <w:spacing w:after="0"/>
              <w:rPr>
                <w:rFonts w:cs="Times New Roman"/>
                <w:sz w:val="16"/>
                <w:szCs w:val="16"/>
                <w:lang w:eastAsia="en-IN"/>
              </w:rPr>
            </w:pPr>
            <w:r>
              <w:rPr>
                <w:rFonts w:cs="Times New Roman"/>
                <w:b/>
                <w:bCs/>
                <w:sz w:val="16"/>
                <w:szCs w:val="16"/>
                <w:lang w:eastAsia="en-IN"/>
              </w:rPr>
              <w:t>Survival Rate:</w:t>
            </w:r>
            <w:r>
              <w:rPr>
                <w:rFonts w:cs="Times New Roman"/>
                <w:sz w:val="16"/>
                <w:szCs w:val="16"/>
                <w:lang w:eastAsia="en-IN"/>
              </w:rPr>
              <w:t xml:space="preserve"> 100% survival across all treatments; no statistical comparison perf</w:t>
            </w:r>
            <w:r>
              <w:rPr>
                <w:rFonts w:cs="Times New Roman"/>
                <w:sz w:val="16"/>
                <w:szCs w:val="16"/>
                <w:lang w:eastAsia="en-IN"/>
              </w:rPr>
              <w:t>ormed.</w:t>
            </w:r>
          </w:p>
          <w:p w:rsidR="00E94D45" w:rsidRDefault="005572AF">
            <w:pPr>
              <w:spacing w:after="0"/>
              <w:rPr>
                <w:rFonts w:cs="Times New Roman"/>
                <w:sz w:val="16"/>
                <w:szCs w:val="16"/>
                <w:lang w:eastAsia="en-IN"/>
              </w:rPr>
            </w:pPr>
            <w:r>
              <w:rPr>
                <w:rFonts w:cs="Times New Roman"/>
                <w:b/>
                <w:bCs/>
                <w:sz w:val="16"/>
                <w:szCs w:val="16"/>
                <w:lang w:eastAsia="en-IN"/>
              </w:rPr>
              <w:t>Abbreviations:</w:t>
            </w:r>
            <w:r>
              <w:rPr>
                <w:rFonts w:cs="Times New Roman"/>
                <w:sz w:val="16"/>
                <w:szCs w:val="16"/>
                <w:lang w:eastAsia="en-IN"/>
              </w:rPr>
              <w:t xml:space="preserve"> WG = Weight Gain, DGR = Daily Growth Rate, WG% = Weight Gain Percentage, FCR = Feed Conversion Ratio, FER =</w:t>
            </w:r>
          </w:p>
          <w:p w:rsidR="00E94D45" w:rsidRDefault="005572AF">
            <w:pPr>
              <w:spacing w:after="0"/>
              <w:rPr>
                <w:rFonts w:cs="Times New Roman"/>
                <w:sz w:val="16"/>
                <w:szCs w:val="16"/>
                <w:lang w:eastAsia="en-IN"/>
              </w:rPr>
            </w:pPr>
            <w:r>
              <w:rPr>
                <w:rFonts w:cs="Times New Roman"/>
                <w:sz w:val="16"/>
                <w:szCs w:val="16"/>
                <w:lang w:eastAsia="en-IN"/>
              </w:rPr>
              <w:t>Feed Efficiency Ratio, PER = Protein Efficiency Ratio, SGR = Specific Growth Rate.</w:t>
            </w:r>
          </w:p>
          <w:p w:rsidR="00E94D45" w:rsidRDefault="00E94D45">
            <w:pPr>
              <w:spacing w:after="0"/>
              <w:ind w:left="-113" w:right="-113"/>
              <w:jc w:val="left"/>
              <w:rPr>
                <w:rFonts w:cs="Times New Roman"/>
                <w:sz w:val="18"/>
                <w:szCs w:val="18"/>
                <w:lang w:eastAsia="en-IN"/>
              </w:rPr>
            </w:pPr>
          </w:p>
        </w:tc>
      </w:tr>
    </w:tbl>
    <w:p w:rsidR="00E94D45" w:rsidRDefault="00E94D45">
      <w:pPr>
        <w:spacing w:after="0"/>
        <w:ind w:left="357" w:hanging="357"/>
        <w:rPr>
          <w:rFonts w:cs="Times New Roman"/>
          <w:b/>
          <w:bCs/>
          <w:sz w:val="20"/>
          <w:szCs w:val="20"/>
        </w:rPr>
      </w:pPr>
    </w:p>
    <w:p w:rsidR="00E94D45" w:rsidRDefault="00E94D45">
      <w:pPr>
        <w:spacing w:after="0"/>
        <w:ind w:left="357" w:hanging="357"/>
        <w:rPr>
          <w:rFonts w:cs="Times New Roman"/>
          <w:b/>
          <w:bCs/>
          <w:sz w:val="20"/>
          <w:szCs w:val="20"/>
        </w:rPr>
      </w:pPr>
    </w:p>
    <w:p w:rsidR="00E94D45" w:rsidRDefault="00E94D45">
      <w:pPr>
        <w:spacing w:after="0"/>
        <w:ind w:left="357" w:hanging="357"/>
        <w:rPr>
          <w:rFonts w:cs="Times New Roman"/>
          <w:b/>
          <w:bCs/>
          <w:sz w:val="20"/>
          <w:szCs w:val="20"/>
        </w:rPr>
      </w:pPr>
    </w:p>
    <w:p w:rsidR="00E94D45" w:rsidRDefault="005572AF">
      <w:pPr>
        <w:pStyle w:val="AAA"/>
        <w:numPr>
          <w:ilvl w:val="1"/>
          <w:numId w:val="22"/>
        </w:numPr>
        <w:spacing w:after="0"/>
        <w:ind w:left="426" w:hanging="426"/>
      </w:pPr>
      <w:r>
        <w:t xml:space="preserve">Body indices analysis </w:t>
      </w:r>
    </w:p>
    <w:p w:rsidR="00E94D45" w:rsidRDefault="005572AF">
      <w:pPr>
        <w:spacing w:after="0"/>
        <w:rPr>
          <w:rFonts w:cs="Times New Roman"/>
          <w:sz w:val="20"/>
          <w:szCs w:val="20"/>
        </w:rPr>
      </w:pPr>
      <w:r>
        <w:rPr>
          <w:rFonts w:cs="Times New Roman"/>
          <w:sz w:val="20"/>
          <w:szCs w:val="20"/>
        </w:rPr>
        <w:t>Significant variations between treatments (T0 to T5) are shown by the body indices (Table 4). All indicators, including the Bilesomatic index (BSI %), Visceral fat-somatic indexes (VFSI %), hepatosomatic index (HSI %), Viscerosomatic index (GSI %) and cond</w:t>
      </w:r>
      <w:r>
        <w:rPr>
          <w:rFonts w:cs="Times New Roman"/>
          <w:sz w:val="20"/>
          <w:szCs w:val="20"/>
        </w:rPr>
        <w:t>ition factor (CF %), had their lowest values in T0, indicating baseline levels. Significant increases in HIS%, GSI% and VFSI% were observed in T1 and T2, accompanied by a moderate increase in BSI and CF% (p&lt;0.05), indicating slight improvements. All indice</w:t>
      </w:r>
      <w:r>
        <w:rPr>
          <w:rFonts w:cs="Times New Roman"/>
          <w:sz w:val="20"/>
          <w:szCs w:val="20"/>
        </w:rPr>
        <w:t>s showed further improvements in T3, especially GSI% and CF%, which were considerably higher in T3 than in T0 to T2 (p&lt;0.05). T4 carried on with this pattern, significantly raising all indexes, especially BSI% and HIS%. All body indices showed progressivel</w:t>
      </w:r>
      <w:r>
        <w:rPr>
          <w:rFonts w:cs="Times New Roman"/>
          <w:sz w:val="20"/>
          <w:szCs w:val="20"/>
        </w:rPr>
        <w:t>y higher values in T5, with the greatest improvements in HSI%, GSI%, VFSI%, BSI% and CF%, indicating that the highest spirulina level had the greatest positive effect on the fish's body condition (p&lt;0.05). Significant differences were seen between treatmen</w:t>
      </w:r>
      <w:r>
        <w:rPr>
          <w:rFonts w:cs="Times New Roman"/>
          <w:sz w:val="20"/>
          <w:szCs w:val="20"/>
        </w:rPr>
        <w:t>ts, particularly between the lower (T0 and T1) and higher spirulina levels (T4 and T5) (Table 4).</w:t>
      </w:r>
    </w:p>
    <w:p w:rsidR="00E94D45" w:rsidRDefault="005572AF">
      <w:pPr>
        <w:pStyle w:val="Caption"/>
        <w:keepNext/>
        <w:spacing w:before="240"/>
        <w:ind w:left="851" w:hanging="851"/>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4</w:t>
      </w:r>
      <w:r>
        <w:rPr>
          <w:b/>
          <w:bCs/>
          <w:i w:val="0"/>
          <w:iCs w:val="0"/>
          <w:color w:val="auto"/>
          <w:sz w:val="20"/>
          <w:szCs w:val="20"/>
        </w:rPr>
        <w:fldChar w:fldCharType="end"/>
      </w:r>
      <w:r>
        <w:rPr>
          <w:b/>
          <w:bCs/>
          <w:i w:val="0"/>
          <w:iCs w:val="0"/>
          <w:color w:val="auto"/>
          <w:sz w:val="20"/>
          <w:szCs w:val="20"/>
          <w:lang w:val="en-IN"/>
        </w:rPr>
        <w:t xml:space="preserve"> Body indices analysis of blue gourami, </w:t>
      </w:r>
      <w:r>
        <w:rPr>
          <w:b/>
          <w:bCs/>
          <w:color w:val="auto"/>
          <w:sz w:val="20"/>
          <w:szCs w:val="20"/>
          <w:lang w:val="en-IN"/>
        </w:rPr>
        <w:t>Trichogaster trichopterus</w:t>
      </w:r>
      <w:r>
        <w:rPr>
          <w:b/>
          <w:bCs/>
          <w:i w:val="0"/>
          <w:iCs w:val="0"/>
          <w:color w:val="auto"/>
          <w:sz w:val="20"/>
          <w:szCs w:val="20"/>
          <w:lang w:val="en-IN"/>
        </w:rPr>
        <w:t xml:space="preserve">, fed with different levels of </w:t>
      </w:r>
      <w:r>
        <w:rPr>
          <w:b/>
          <w:bCs/>
          <w:color w:val="auto"/>
          <w:sz w:val="20"/>
          <w:szCs w:val="20"/>
          <w:lang w:val="en-IN"/>
        </w:rPr>
        <w:t>spirulina platensis.</w:t>
      </w:r>
    </w:p>
    <w:tbl>
      <w:tblPr>
        <w:tblStyle w:val="TableGrid"/>
        <w:tblW w:w="5000" w:type="pct"/>
        <w:jc w:val="center"/>
        <w:tblLook w:val="04A0" w:firstRow="1" w:lastRow="0" w:firstColumn="1" w:lastColumn="0" w:noHBand="0" w:noVBand="1"/>
      </w:tblPr>
      <w:tblGrid>
        <w:gridCol w:w="1757"/>
        <w:gridCol w:w="1509"/>
        <w:gridCol w:w="1388"/>
        <w:gridCol w:w="1461"/>
        <w:gridCol w:w="1510"/>
        <w:gridCol w:w="1391"/>
      </w:tblGrid>
      <w:tr w:rsidR="00E94D45">
        <w:trPr>
          <w:trHeight w:val="435"/>
          <w:jc w:val="center"/>
        </w:trPr>
        <w:tc>
          <w:tcPr>
            <w:tcW w:w="982" w:type="pct"/>
            <w:noWrap/>
            <w:vAlign w:val="center"/>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Treatments</w:t>
            </w:r>
          </w:p>
        </w:tc>
        <w:tc>
          <w:tcPr>
            <w:tcW w:w="837" w:type="pct"/>
            <w:noWrap/>
            <w:vAlign w:val="center"/>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HIS%</w:t>
            </w:r>
          </w:p>
        </w:tc>
        <w:tc>
          <w:tcPr>
            <w:tcW w:w="766"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GSI%</w:t>
            </w:r>
          </w:p>
        </w:tc>
        <w:tc>
          <w:tcPr>
            <w:tcW w:w="809"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VFSI%</w:t>
            </w:r>
          </w:p>
        </w:tc>
        <w:tc>
          <w:tcPr>
            <w:tcW w:w="83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BSI%</w:t>
            </w:r>
          </w:p>
        </w:tc>
        <w:tc>
          <w:tcPr>
            <w:tcW w:w="76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CF%</w:t>
            </w:r>
          </w:p>
        </w:tc>
      </w:tr>
      <w:tr w:rsidR="00E94D45">
        <w:trPr>
          <w:jc w:val="center"/>
        </w:trPr>
        <w:tc>
          <w:tcPr>
            <w:tcW w:w="982"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T0 (0% Spirulina)</w:t>
            </w:r>
          </w:p>
        </w:tc>
        <w:tc>
          <w:tcPr>
            <w:tcW w:w="837"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1.92±0.008</w:t>
            </w:r>
            <w:r>
              <w:rPr>
                <w:rFonts w:cs="Times New Roman"/>
                <w:sz w:val="20"/>
                <w:szCs w:val="20"/>
                <w:vertAlign w:val="superscript"/>
              </w:rPr>
              <w:t>a</w:t>
            </w:r>
          </w:p>
        </w:tc>
        <w:tc>
          <w:tcPr>
            <w:tcW w:w="766"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6.92±0.008</w:t>
            </w:r>
            <w:r>
              <w:rPr>
                <w:rFonts w:cs="Times New Roman"/>
                <w:sz w:val="20"/>
                <w:szCs w:val="20"/>
                <w:vertAlign w:val="superscript"/>
              </w:rPr>
              <w:t>a</w:t>
            </w:r>
          </w:p>
        </w:tc>
        <w:tc>
          <w:tcPr>
            <w:tcW w:w="809"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2.12±0.017</w:t>
            </w:r>
            <w:r>
              <w:rPr>
                <w:rFonts w:cs="Times New Roman"/>
                <w:sz w:val="20"/>
                <w:szCs w:val="20"/>
                <w:vertAlign w:val="superscript"/>
              </w:rPr>
              <w:t>a</w:t>
            </w:r>
          </w:p>
        </w:tc>
        <w:tc>
          <w:tcPr>
            <w:tcW w:w="83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9.88±0.017</w:t>
            </w:r>
            <w:r>
              <w:rPr>
                <w:rFonts w:cs="Times New Roman"/>
                <w:sz w:val="20"/>
                <w:szCs w:val="20"/>
                <w:vertAlign w:val="superscript"/>
              </w:rPr>
              <w:t>a</w:t>
            </w:r>
          </w:p>
        </w:tc>
        <w:tc>
          <w:tcPr>
            <w:tcW w:w="76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1.26±0.012</w:t>
            </w:r>
            <w:r>
              <w:rPr>
                <w:rFonts w:cs="Times New Roman"/>
                <w:sz w:val="20"/>
                <w:szCs w:val="20"/>
                <w:vertAlign w:val="superscript"/>
              </w:rPr>
              <w:t>a</w:t>
            </w:r>
          </w:p>
        </w:tc>
      </w:tr>
      <w:tr w:rsidR="00E94D45">
        <w:trPr>
          <w:jc w:val="center"/>
        </w:trPr>
        <w:tc>
          <w:tcPr>
            <w:tcW w:w="982"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T1 (2%)</w:t>
            </w:r>
          </w:p>
        </w:tc>
        <w:tc>
          <w:tcPr>
            <w:tcW w:w="837"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1.96±0.008</w:t>
            </w:r>
            <w:r>
              <w:rPr>
                <w:rFonts w:cs="Times New Roman"/>
                <w:sz w:val="20"/>
                <w:szCs w:val="20"/>
                <w:vertAlign w:val="superscript"/>
              </w:rPr>
              <w:t>b</w:t>
            </w:r>
          </w:p>
        </w:tc>
        <w:tc>
          <w:tcPr>
            <w:tcW w:w="766"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6.97±0.005</w:t>
            </w:r>
            <w:r>
              <w:rPr>
                <w:rFonts w:cs="Times New Roman"/>
                <w:sz w:val="20"/>
                <w:szCs w:val="20"/>
                <w:vertAlign w:val="superscript"/>
              </w:rPr>
              <w:t>b</w:t>
            </w:r>
          </w:p>
        </w:tc>
        <w:tc>
          <w:tcPr>
            <w:tcW w:w="809"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2.15±0.014</w:t>
            </w:r>
            <w:r>
              <w:rPr>
                <w:rFonts w:cs="Times New Roman"/>
                <w:sz w:val="20"/>
                <w:szCs w:val="20"/>
                <w:vertAlign w:val="superscript"/>
              </w:rPr>
              <w:t>ab</w:t>
            </w:r>
          </w:p>
        </w:tc>
        <w:tc>
          <w:tcPr>
            <w:tcW w:w="83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10.00±0.015</w:t>
            </w:r>
            <w:r>
              <w:rPr>
                <w:rFonts w:cs="Times New Roman"/>
                <w:sz w:val="20"/>
                <w:szCs w:val="20"/>
                <w:vertAlign w:val="superscript"/>
              </w:rPr>
              <w:t>b</w:t>
            </w:r>
          </w:p>
        </w:tc>
        <w:tc>
          <w:tcPr>
            <w:tcW w:w="76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1.29±0.008</w:t>
            </w:r>
            <w:r>
              <w:rPr>
                <w:rFonts w:cs="Times New Roman"/>
                <w:sz w:val="20"/>
                <w:szCs w:val="20"/>
                <w:vertAlign w:val="superscript"/>
              </w:rPr>
              <w:t>a</w:t>
            </w:r>
          </w:p>
        </w:tc>
      </w:tr>
      <w:tr w:rsidR="00E94D45">
        <w:trPr>
          <w:jc w:val="center"/>
        </w:trPr>
        <w:tc>
          <w:tcPr>
            <w:tcW w:w="982"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T2 (4%)</w:t>
            </w:r>
          </w:p>
        </w:tc>
        <w:tc>
          <w:tcPr>
            <w:tcW w:w="837"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1.98±0.012</w:t>
            </w:r>
            <w:r>
              <w:rPr>
                <w:rFonts w:cs="Times New Roman"/>
                <w:sz w:val="20"/>
                <w:szCs w:val="20"/>
                <w:vertAlign w:val="superscript"/>
              </w:rPr>
              <w:t>b</w:t>
            </w:r>
          </w:p>
        </w:tc>
        <w:tc>
          <w:tcPr>
            <w:tcW w:w="766"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7.01±0.008</w:t>
            </w:r>
            <w:r>
              <w:rPr>
                <w:rFonts w:cs="Times New Roman"/>
                <w:sz w:val="20"/>
                <w:szCs w:val="20"/>
                <w:vertAlign w:val="superscript"/>
              </w:rPr>
              <w:t>c</w:t>
            </w:r>
          </w:p>
        </w:tc>
        <w:tc>
          <w:tcPr>
            <w:tcW w:w="809"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2.19±0.008</w:t>
            </w:r>
            <w:r>
              <w:rPr>
                <w:rFonts w:cs="Times New Roman"/>
                <w:sz w:val="20"/>
                <w:szCs w:val="20"/>
                <w:vertAlign w:val="superscript"/>
              </w:rPr>
              <w:t>b</w:t>
            </w:r>
          </w:p>
        </w:tc>
        <w:tc>
          <w:tcPr>
            <w:tcW w:w="83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10.18±0.014</w:t>
            </w:r>
            <w:r>
              <w:rPr>
                <w:rFonts w:cs="Times New Roman"/>
                <w:sz w:val="20"/>
                <w:szCs w:val="20"/>
                <w:vertAlign w:val="superscript"/>
              </w:rPr>
              <w:t>c</w:t>
            </w:r>
          </w:p>
        </w:tc>
        <w:tc>
          <w:tcPr>
            <w:tcW w:w="76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1.35±0.011</w:t>
            </w:r>
            <w:r>
              <w:rPr>
                <w:rFonts w:cs="Times New Roman"/>
                <w:sz w:val="20"/>
                <w:szCs w:val="20"/>
                <w:vertAlign w:val="superscript"/>
              </w:rPr>
              <w:t>b</w:t>
            </w:r>
          </w:p>
        </w:tc>
      </w:tr>
      <w:tr w:rsidR="00E94D45">
        <w:trPr>
          <w:jc w:val="center"/>
        </w:trPr>
        <w:tc>
          <w:tcPr>
            <w:tcW w:w="982"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T3 (6%)</w:t>
            </w:r>
          </w:p>
        </w:tc>
        <w:tc>
          <w:tcPr>
            <w:tcW w:w="837"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2.2±0.012</w:t>
            </w:r>
            <w:r>
              <w:rPr>
                <w:rFonts w:cs="Times New Roman"/>
                <w:sz w:val="20"/>
                <w:szCs w:val="20"/>
                <w:vertAlign w:val="superscript"/>
              </w:rPr>
              <w:t>c</w:t>
            </w:r>
          </w:p>
        </w:tc>
        <w:tc>
          <w:tcPr>
            <w:tcW w:w="766"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7.32±0.008</w:t>
            </w:r>
            <w:r>
              <w:rPr>
                <w:rFonts w:cs="Times New Roman"/>
                <w:sz w:val="20"/>
                <w:szCs w:val="20"/>
                <w:vertAlign w:val="superscript"/>
              </w:rPr>
              <w:t>d</w:t>
            </w:r>
          </w:p>
        </w:tc>
        <w:tc>
          <w:tcPr>
            <w:tcW w:w="809"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2.27±0.017</w:t>
            </w:r>
            <w:r>
              <w:rPr>
                <w:rFonts w:cs="Times New Roman"/>
                <w:sz w:val="20"/>
                <w:szCs w:val="20"/>
                <w:vertAlign w:val="superscript"/>
              </w:rPr>
              <w:t>c</w:t>
            </w:r>
          </w:p>
        </w:tc>
        <w:tc>
          <w:tcPr>
            <w:tcW w:w="83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10.25±0.017</w:t>
            </w:r>
            <w:r>
              <w:rPr>
                <w:rFonts w:cs="Times New Roman"/>
                <w:sz w:val="20"/>
                <w:szCs w:val="20"/>
                <w:vertAlign w:val="superscript"/>
              </w:rPr>
              <w:t>d</w:t>
            </w:r>
          </w:p>
        </w:tc>
        <w:tc>
          <w:tcPr>
            <w:tcW w:w="76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1.40±0.011</w:t>
            </w:r>
            <w:r>
              <w:rPr>
                <w:rFonts w:cs="Times New Roman"/>
                <w:sz w:val="20"/>
                <w:szCs w:val="20"/>
                <w:vertAlign w:val="superscript"/>
              </w:rPr>
              <w:t>c</w:t>
            </w:r>
          </w:p>
        </w:tc>
      </w:tr>
      <w:tr w:rsidR="00E94D45">
        <w:trPr>
          <w:jc w:val="center"/>
        </w:trPr>
        <w:tc>
          <w:tcPr>
            <w:tcW w:w="982"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T4 (8%)</w:t>
            </w:r>
          </w:p>
        </w:tc>
        <w:tc>
          <w:tcPr>
            <w:tcW w:w="837"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2.32±0.012</w:t>
            </w:r>
            <w:r>
              <w:rPr>
                <w:rFonts w:cs="Times New Roman"/>
                <w:sz w:val="20"/>
                <w:szCs w:val="20"/>
                <w:vertAlign w:val="superscript"/>
              </w:rPr>
              <w:t>d</w:t>
            </w:r>
          </w:p>
        </w:tc>
        <w:tc>
          <w:tcPr>
            <w:tcW w:w="766"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7.47±0.005</w:t>
            </w:r>
            <w:r>
              <w:rPr>
                <w:rFonts w:cs="Times New Roman"/>
                <w:sz w:val="20"/>
                <w:szCs w:val="20"/>
                <w:vertAlign w:val="superscript"/>
              </w:rPr>
              <w:t>e</w:t>
            </w:r>
          </w:p>
        </w:tc>
        <w:tc>
          <w:tcPr>
            <w:tcW w:w="809"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2.36±0.008</w:t>
            </w:r>
            <w:r>
              <w:rPr>
                <w:rFonts w:cs="Times New Roman"/>
                <w:sz w:val="20"/>
                <w:szCs w:val="20"/>
                <w:vertAlign w:val="superscript"/>
              </w:rPr>
              <w:t>d</w:t>
            </w:r>
          </w:p>
        </w:tc>
        <w:tc>
          <w:tcPr>
            <w:tcW w:w="83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10.31±0.011</w:t>
            </w:r>
            <w:r>
              <w:rPr>
                <w:rFonts w:cs="Times New Roman"/>
                <w:sz w:val="20"/>
                <w:szCs w:val="20"/>
                <w:vertAlign w:val="superscript"/>
              </w:rPr>
              <w:t>e</w:t>
            </w:r>
          </w:p>
        </w:tc>
        <w:tc>
          <w:tcPr>
            <w:tcW w:w="76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1.44±0.014</w:t>
            </w:r>
            <w:r>
              <w:rPr>
                <w:rFonts w:cs="Times New Roman"/>
                <w:sz w:val="20"/>
                <w:szCs w:val="20"/>
                <w:vertAlign w:val="superscript"/>
              </w:rPr>
              <w:t>d</w:t>
            </w:r>
          </w:p>
        </w:tc>
      </w:tr>
      <w:tr w:rsidR="00E94D45">
        <w:trPr>
          <w:jc w:val="center"/>
        </w:trPr>
        <w:tc>
          <w:tcPr>
            <w:tcW w:w="982"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b/>
                <w:bCs/>
                <w:sz w:val="20"/>
                <w:szCs w:val="20"/>
              </w:rPr>
              <w:t>T5 (10%)</w:t>
            </w:r>
          </w:p>
        </w:tc>
        <w:tc>
          <w:tcPr>
            <w:tcW w:w="837" w:type="pct"/>
            <w:noWrap/>
            <w:vAlign w:val="center"/>
            <w:hideMark/>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2.61±0.014</w:t>
            </w:r>
            <w:r>
              <w:rPr>
                <w:rFonts w:cs="Times New Roman"/>
                <w:sz w:val="20"/>
                <w:szCs w:val="20"/>
                <w:vertAlign w:val="superscript"/>
              </w:rPr>
              <w:t>e</w:t>
            </w:r>
          </w:p>
        </w:tc>
        <w:tc>
          <w:tcPr>
            <w:tcW w:w="766"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7.57±0.005</w:t>
            </w:r>
            <w:r>
              <w:rPr>
                <w:rFonts w:cs="Times New Roman"/>
                <w:sz w:val="20"/>
                <w:szCs w:val="20"/>
                <w:vertAlign w:val="superscript"/>
              </w:rPr>
              <w:t>f</w:t>
            </w:r>
          </w:p>
        </w:tc>
        <w:tc>
          <w:tcPr>
            <w:tcW w:w="809"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2.43±0.011</w:t>
            </w:r>
            <w:r>
              <w:rPr>
                <w:rFonts w:cs="Times New Roman"/>
                <w:sz w:val="20"/>
                <w:szCs w:val="20"/>
                <w:vertAlign w:val="superscript"/>
              </w:rPr>
              <w:t>e</w:t>
            </w:r>
          </w:p>
        </w:tc>
        <w:tc>
          <w:tcPr>
            <w:tcW w:w="83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10.42±0.014</w:t>
            </w:r>
            <w:r>
              <w:rPr>
                <w:rFonts w:cs="Times New Roman"/>
                <w:sz w:val="20"/>
                <w:szCs w:val="20"/>
                <w:vertAlign w:val="superscript"/>
              </w:rPr>
              <w:t>f</w:t>
            </w:r>
          </w:p>
        </w:tc>
        <w:tc>
          <w:tcPr>
            <w:tcW w:w="768" w:type="pct"/>
            <w:vAlign w:val="center"/>
          </w:tcPr>
          <w:p w:rsidR="00E94D45" w:rsidRDefault="005572AF">
            <w:pPr>
              <w:spacing w:after="0" w:line="259" w:lineRule="auto"/>
              <w:ind w:left="244" w:right="-113" w:hanging="357"/>
              <w:jc w:val="center"/>
              <w:rPr>
                <w:rFonts w:cs="Times New Roman"/>
                <w:b/>
                <w:bCs/>
                <w:sz w:val="20"/>
                <w:szCs w:val="20"/>
              </w:rPr>
            </w:pPr>
            <w:r>
              <w:rPr>
                <w:rFonts w:cs="Times New Roman"/>
                <w:sz w:val="20"/>
                <w:szCs w:val="20"/>
              </w:rPr>
              <w:t>1.55±0.011</w:t>
            </w:r>
            <w:r>
              <w:rPr>
                <w:rFonts w:cs="Times New Roman"/>
                <w:sz w:val="20"/>
                <w:szCs w:val="20"/>
                <w:vertAlign w:val="superscript"/>
              </w:rPr>
              <w:t>e</w:t>
            </w:r>
          </w:p>
        </w:tc>
      </w:tr>
      <w:tr w:rsidR="00E94D45">
        <w:trPr>
          <w:trHeight w:val="1112"/>
          <w:jc w:val="center"/>
        </w:trPr>
        <w:tc>
          <w:tcPr>
            <w:tcW w:w="5000" w:type="pct"/>
            <w:gridSpan w:val="6"/>
            <w:noWrap/>
            <w:vAlign w:val="center"/>
          </w:tcPr>
          <w:p w:rsidR="00E94D45" w:rsidRDefault="005572AF">
            <w:pPr>
              <w:spacing w:after="0"/>
              <w:ind w:left="28" w:right="-113" w:hanging="29"/>
              <w:jc w:val="left"/>
              <w:rPr>
                <w:rFonts w:cs="Times New Roman"/>
                <w:sz w:val="18"/>
                <w:szCs w:val="18"/>
              </w:rPr>
            </w:pPr>
            <w:r>
              <w:rPr>
                <w:rFonts w:cs="Times New Roman"/>
                <w:sz w:val="18"/>
                <w:szCs w:val="18"/>
              </w:rPr>
              <w:t xml:space="preserve">Abbreviations: HSI = Hepatosomatic index GSI = </w:t>
            </w:r>
            <w:r>
              <w:rPr>
                <w:rFonts w:cs="Times New Roman"/>
                <w:sz w:val="18"/>
                <w:szCs w:val="18"/>
              </w:rPr>
              <w:t>Gonadosomatic index; VFSI = Visceral fat-somatic index; BSI = Bile somatic index; CF = Condition factor.</w:t>
            </w:r>
          </w:p>
          <w:p w:rsidR="00E94D45" w:rsidRDefault="005572AF">
            <w:pPr>
              <w:spacing w:after="0"/>
              <w:ind w:left="28" w:right="-113"/>
              <w:jc w:val="left"/>
              <w:rPr>
                <w:rFonts w:cs="Times New Roman"/>
                <w:sz w:val="18"/>
                <w:szCs w:val="18"/>
              </w:rPr>
            </w:pPr>
            <w:r>
              <w:rPr>
                <w:rFonts w:cs="Times New Roman"/>
                <w:sz w:val="18"/>
                <w:szCs w:val="18"/>
              </w:rPr>
              <w:t xml:space="preserve">Sample size: </w:t>
            </w:r>
            <w:r>
              <w:rPr>
                <w:rFonts w:cs="Times New Roman"/>
                <w:color w:val="auto"/>
                <w:sz w:val="18"/>
                <w:szCs w:val="18"/>
              </w:rPr>
              <w:t>n = 10 fi</w:t>
            </w:r>
            <w:r>
              <w:rPr>
                <w:rFonts w:cs="Times New Roman"/>
                <w:sz w:val="18"/>
                <w:szCs w:val="18"/>
              </w:rPr>
              <w:t>sh per treatment (sampled at the end of 90 days). Values are mean ± standard error (SE).</w:t>
            </w:r>
          </w:p>
          <w:p w:rsidR="00E94D45" w:rsidRDefault="005572AF">
            <w:pPr>
              <w:spacing w:after="0"/>
              <w:ind w:left="28" w:right="-113"/>
              <w:jc w:val="left"/>
              <w:rPr>
                <w:rFonts w:cs="Times New Roman"/>
                <w:sz w:val="20"/>
                <w:szCs w:val="20"/>
              </w:rPr>
            </w:pPr>
            <w:r>
              <w:rPr>
                <w:rFonts w:cs="Times New Roman"/>
                <w:sz w:val="18"/>
                <w:szCs w:val="18"/>
              </w:rPr>
              <w:t>Statistical analysis: Means within a col</w:t>
            </w:r>
            <w:r>
              <w:rPr>
                <w:rFonts w:cs="Times New Roman"/>
                <w:sz w:val="18"/>
                <w:szCs w:val="18"/>
              </w:rPr>
              <w:t>umn with different superscript letters (a, b, c, d, e &amp; f) differ significantly (p&lt;0.05) as determined by one-way ANOVA followed by Tukey’s HSD test.</w:t>
            </w:r>
          </w:p>
        </w:tc>
      </w:tr>
    </w:tbl>
    <w:p w:rsidR="00E94D45" w:rsidRDefault="00E94D45">
      <w:pPr>
        <w:spacing w:after="0"/>
        <w:ind w:left="357" w:hanging="357"/>
        <w:rPr>
          <w:rFonts w:cs="Times New Roman"/>
          <w:b/>
          <w:bCs/>
          <w:sz w:val="20"/>
          <w:szCs w:val="20"/>
        </w:rPr>
      </w:pPr>
    </w:p>
    <w:p w:rsidR="00E94D45" w:rsidRDefault="005572AF">
      <w:pPr>
        <w:pStyle w:val="AAA"/>
        <w:numPr>
          <w:ilvl w:val="1"/>
          <w:numId w:val="22"/>
        </w:numPr>
        <w:spacing w:line="276" w:lineRule="auto"/>
        <w:ind w:left="426" w:hanging="426"/>
      </w:pPr>
      <w:r>
        <w:t xml:space="preserve">Hematology parameter </w:t>
      </w:r>
    </w:p>
    <w:p w:rsidR="00E94D45" w:rsidRDefault="005572AF">
      <w:pPr>
        <w:spacing w:after="160" w:line="276" w:lineRule="auto"/>
        <w:rPr>
          <w:rFonts w:cs="Times New Roman"/>
          <w:b/>
          <w:bCs/>
          <w:sz w:val="20"/>
          <w:szCs w:val="20"/>
        </w:rPr>
      </w:pPr>
      <w:r>
        <w:rPr>
          <w:rFonts w:cs="Times New Roman"/>
          <w:sz w:val="20"/>
          <w:szCs w:val="20"/>
        </w:rPr>
        <w:t xml:space="preserve">When fed with different doses of spirulina (T0 = Control, T1 = 2%, T2 = 4%, T3 = </w:t>
      </w:r>
      <w:r>
        <w:rPr>
          <w:rFonts w:cs="Times New Roman"/>
          <w:sz w:val="20"/>
          <w:szCs w:val="20"/>
        </w:rPr>
        <w:t>6%, T4 = 8% and T5 = 10%), the hematological parameters of the blue gourami (</w:t>
      </w:r>
      <w:r>
        <w:rPr>
          <w:rFonts w:cs="Times New Roman"/>
          <w:i/>
          <w:iCs/>
          <w:sz w:val="20"/>
          <w:szCs w:val="20"/>
        </w:rPr>
        <w:t>Trichogaster trichopterus</w:t>
      </w:r>
      <w:r>
        <w:rPr>
          <w:rFonts w:cs="Times New Roman"/>
          <w:sz w:val="20"/>
          <w:szCs w:val="20"/>
        </w:rPr>
        <w:t xml:space="preserve">) revealed substantial (p&lt;0.05) alterations (Table 5). With T5 exhibiting the highest results (RBC: 6.41±0.011e, WBC: 6.97±0.026f) in comparison to T0 </w:t>
      </w:r>
      <w:r>
        <w:rPr>
          <w:rFonts w:cs="Times New Roman"/>
          <w:sz w:val="20"/>
          <w:szCs w:val="20"/>
        </w:rPr>
        <w:t>(RBC: 3.11±0.011d, WBC: 5.45±0.023a) (p&lt;0.05), RBC and WBC levels increased throughout treatments.</w:t>
      </w:r>
    </w:p>
    <w:p w:rsidR="00E94D45" w:rsidRDefault="005572AF">
      <w:pPr>
        <w:spacing w:after="160" w:line="276" w:lineRule="auto"/>
        <w:rPr>
          <w:rFonts w:cs="Times New Roman"/>
          <w:sz w:val="20"/>
          <w:szCs w:val="20"/>
        </w:rPr>
      </w:pPr>
      <w:r>
        <w:rPr>
          <w:rFonts w:cs="Times New Roman"/>
          <w:sz w:val="20"/>
          <w:szCs w:val="20"/>
        </w:rPr>
        <w:t>Higher levels of spirulina were accompanied by increases in hemoglobin, hematocrit, MCHC, MCH and MCV, which peaked in T5 (p&lt;0.05). Increased spirulina led t</w:t>
      </w:r>
      <w:r>
        <w:rPr>
          <w:rFonts w:cs="Times New Roman"/>
          <w:sz w:val="20"/>
          <w:szCs w:val="20"/>
        </w:rPr>
        <w:t>o a decrease in neutrophils and monocytes and an increase in lymphocyte percentages. Result shows eosinophils varied in number, being lowest in T3 and largest in T5. Spirulina often improved blood parameters, especially when it was present in larger concen</w:t>
      </w:r>
      <w:r>
        <w:rPr>
          <w:rFonts w:cs="Times New Roman"/>
          <w:sz w:val="20"/>
          <w:szCs w:val="20"/>
        </w:rPr>
        <w:t>trations.</w:t>
      </w:r>
    </w:p>
    <w:p w:rsidR="00E94D45" w:rsidRDefault="005572AF">
      <w:pPr>
        <w:pStyle w:val="Caption"/>
        <w:keepNext/>
        <w:spacing w:after="160" w:line="276" w:lineRule="auto"/>
        <w:ind w:left="709" w:hanging="709"/>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5</w:t>
      </w:r>
      <w:r>
        <w:rPr>
          <w:b/>
          <w:bCs/>
          <w:i w:val="0"/>
          <w:iCs w:val="0"/>
          <w:color w:val="auto"/>
          <w:sz w:val="20"/>
          <w:szCs w:val="20"/>
        </w:rPr>
        <w:fldChar w:fldCharType="end"/>
      </w:r>
      <w:r>
        <w:rPr>
          <w:b/>
          <w:bCs/>
          <w:i w:val="0"/>
          <w:iCs w:val="0"/>
          <w:color w:val="auto"/>
          <w:sz w:val="20"/>
          <w:szCs w:val="20"/>
        </w:rPr>
        <w:t xml:space="preserve"> </w:t>
      </w:r>
      <w:r>
        <w:rPr>
          <w:b/>
          <w:bCs/>
          <w:i w:val="0"/>
          <w:iCs w:val="0"/>
          <w:color w:val="auto"/>
          <w:sz w:val="20"/>
          <w:szCs w:val="20"/>
          <w:lang w:val="en-IN"/>
        </w:rPr>
        <w:t xml:space="preserve">Haematology parameter analysis of blue gourami, </w:t>
      </w:r>
      <w:r>
        <w:rPr>
          <w:b/>
          <w:bCs/>
          <w:color w:val="auto"/>
          <w:sz w:val="20"/>
          <w:szCs w:val="20"/>
          <w:lang w:val="en-IN"/>
        </w:rPr>
        <w:t>Trichogaster trichopterus</w:t>
      </w:r>
      <w:r>
        <w:rPr>
          <w:b/>
          <w:bCs/>
          <w:i w:val="0"/>
          <w:iCs w:val="0"/>
          <w:color w:val="auto"/>
          <w:sz w:val="20"/>
          <w:szCs w:val="20"/>
          <w:lang w:val="en-IN"/>
        </w:rPr>
        <w:t>, fed with different levels of spirulina.</w:t>
      </w:r>
    </w:p>
    <w:tbl>
      <w:tblPr>
        <w:tblStyle w:val="TableGrid"/>
        <w:tblW w:w="8937" w:type="dxa"/>
        <w:tblLook w:val="04A0" w:firstRow="1" w:lastRow="0" w:firstColumn="1" w:lastColumn="0" w:noHBand="0" w:noVBand="1"/>
      </w:tblPr>
      <w:tblGrid>
        <w:gridCol w:w="1413"/>
        <w:gridCol w:w="1134"/>
        <w:gridCol w:w="1276"/>
        <w:gridCol w:w="1275"/>
        <w:gridCol w:w="1418"/>
        <w:gridCol w:w="1134"/>
        <w:gridCol w:w="1287"/>
      </w:tblGrid>
      <w:tr w:rsidR="00E94D45">
        <w:trPr>
          <w:trHeight w:val="281"/>
        </w:trPr>
        <w:tc>
          <w:tcPr>
            <w:tcW w:w="1413" w:type="dxa"/>
            <w:noWrap/>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Treatments</w:t>
            </w:r>
          </w:p>
        </w:tc>
        <w:tc>
          <w:tcPr>
            <w:tcW w:w="1134"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b/>
                <w:bCs/>
                <w:sz w:val="20"/>
                <w:szCs w:val="20"/>
              </w:rPr>
              <w:t>T0 (0% Spirulina)</w:t>
            </w:r>
          </w:p>
        </w:tc>
        <w:tc>
          <w:tcPr>
            <w:tcW w:w="1276"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b/>
                <w:bCs/>
                <w:sz w:val="20"/>
                <w:szCs w:val="20"/>
              </w:rPr>
              <w:t>T1 (2%)</w:t>
            </w:r>
          </w:p>
        </w:tc>
        <w:tc>
          <w:tcPr>
            <w:tcW w:w="1275"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b/>
                <w:bCs/>
                <w:sz w:val="20"/>
                <w:szCs w:val="20"/>
              </w:rPr>
              <w:t>T2 (4%)</w:t>
            </w:r>
          </w:p>
        </w:tc>
        <w:tc>
          <w:tcPr>
            <w:tcW w:w="1418"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b/>
                <w:bCs/>
                <w:sz w:val="20"/>
                <w:szCs w:val="20"/>
              </w:rPr>
              <w:t>T3 (6%)</w:t>
            </w:r>
          </w:p>
        </w:tc>
        <w:tc>
          <w:tcPr>
            <w:tcW w:w="1134" w:type="dxa"/>
            <w:noWrap/>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b/>
                <w:bCs/>
                <w:sz w:val="20"/>
                <w:szCs w:val="20"/>
              </w:rPr>
              <w:t>T4 (8%)</w:t>
            </w:r>
          </w:p>
        </w:tc>
        <w:tc>
          <w:tcPr>
            <w:tcW w:w="1287" w:type="dxa"/>
            <w:noWrap/>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b/>
                <w:bCs/>
                <w:sz w:val="20"/>
                <w:szCs w:val="20"/>
              </w:rPr>
              <w:t>T5 (10%)</w:t>
            </w:r>
          </w:p>
        </w:tc>
      </w:tr>
      <w:tr w:rsidR="00E94D45">
        <w:trPr>
          <w:trHeight w:val="381"/>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RBC (mm</w:t>
            </w:r>
            <w:r>
              <w:rPr>
                <w:rFonts w:cs="Times New Roman"/>
                <w:b/>
                <w:bCs/>
                <w:sz w:val="18"/>
                <w:szCs w:val="18"/>
                <w:vertAlign w:val="superscript"/>
              </w:rPr>
              <w:t>3</w:t>
            </w:r>
            <w:r>
              <w:rPr>
                <w:rFonts w:cs="Times New Roman"/>
                <w:b/>
                <w:bCs/>
                <w:sz w:val="18"/>
                <w:szCs w:val="18"/>
              </w:rPr>
              <w:t xml:space="preserve"> 10</w:t>
            </w:r>
            <w:r>
              <w:rPr>
                <w:rFonts w:cs="Times New Roman"/>
                <w:b/>
                <w:bCs/>
                <w:sz w:val="18"/>
                <w:szCs w:val="18"/>
                <w:vertAlign w:val="superscript"/>
              </w:rPr>
              <w:t>6</w:t>
            </w:r>
            <w:r>
              <w:rPr>
                <w:rFonts w:cs="Times New Roman"/>
                <w:b/>
                <w:bCs/>
                <w:sz w:val="18"/>
                <w:szCs w:val="18"/>
              </w:rPr>
              <w:t>)</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3.11±0.010</w:t>
            </w:r>
            <w:r>
              <w:rPr>
                <w:rFonts w:cs="Times New Roman"/>
                <w:sz w:val="18"/>
                <w:szCs w:val="18"/>
                <w:vertAlign w:val="superscript"/>
              </w:rPr>
              <w:t>d</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2.3±0.018</w:t>
            </w:r>
            <w:r>
              <w:rPr>
                <w:rFonts w:cs="Times New Roman"/>
                <w:sz w:val="18"/>
                <w:szCs w:val="18"/>
                <w:vertAlign w:val="superscript"/>
              </w:rPr>
              <w:t>a</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2.6±0.002</w:t>
            </w:r>
            <w:r>
              <w:rPr>
                <w:rFonts w:cs="Times New Roman"/>
                <w:sz w:val="18"/>
                <w:szCs w:val="18"/>
                <w:vertAlign w:val="superscript"/>
              </w:rPr>
              <w:t>b</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2.62±0.017</w:t>
            </w:r>
            <w:r>
              <w:rPr>
                <w:rFonts w:cs="Times New Roman"/>
                <w:sz w:val="18"/>
                <w:szCs w:val="18"/>
                <w:vertAlign w:val="superscript"/>
              </w:rPr>
              <w:t>bc</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2.66±0.015</w:t>
            </w:r>
            <w:r>
              <w:rPr>
                <w:rFonts w:cs="Times New Roman"/>
                <w:sz w:val="18"/>
                <w:szCs w:val="18"/>
                <w:vertAlign w:val="superscript"/>
              </w:rPr>
              <w:t>c</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6.41±0.011</w:t>
            </w:r>
            <w:r>
              <w:rPr>
                <w:rFonts w:cs="Times New Roman"/>
                <w:sz w:val="18"/>
                <w:szCs w:val="18"/>
                <w:vertAlign w:val="superscript"/>
              </w:rPr>
              <w:t>e</w:t>
            </w:r>
          </w:p>
        </w:tc>
      </w:tr>
      <w:tr w:rsidR="00E94D45">
        <w:trPr>
          <w:trHeight w:val="281"/>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WBC (mm</w:t>
            </w:r>
            <w:r>
              <w:rPr>
                <w:rFonts w:cs="Times New Roman"/>
                <w:b/>
                <w:bCs/>
                <w:sz w:val="18"/>
                <w:szCs w:val="18"/>
                <w:vertAlign w:val="superscript"/>
              </w:rPr>
              <w:t>3</w:t>
            </w:r>
            <w:r>
              <w:rPr>
                <w:rFonts w:cs="Times New Roman"/>
                <w:b/>
                <w:bCs/>
                <w:sz w:val="18"/>
                <w:szCs w:val="18"/>
              </w:rPr>
              <w:t xml:space="preserve"> 10</w:t>
            </w:r>
            <w:r>
              <w:rPr>
                <w:rFonts w:cs="Times New Roman"/>
                <w:b/>
                <w:bCs/>
                <w:sz w:val="18"/>
                <w:szCs w:val="18"/>
                <w:vertAlign w:val="superscript"/>
              </w:rPr>
              <w:t>4</w:t>
            </w:r>
            <w:r>
              <w:rPr>
                <w:rFonts w:cs="Times New Roman"/>
                <w:b/>
                <w:bCs/>
                <w:sz w:val="18"/>
                <w:szCs w:val="18"/>
              </w:rPr>
              <w:t>)</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5.45±0.02</w:t>
            </w:r>
            <w:r>
              <w:rPr>
                <w:rFonts w:cs="Times New Roman"/>
                <w:sz w:val="18"/>
                <w:szCs w:val="18"/>
                <w:vertAlign w:val="superscript"/>
              </w:rPr>
              <w:t>a</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5.6±0.014</w:t>
            </w:r>
            <w:r>
              <w:rPr>
                <w:rFonts w:cs="Times New Roman"/>
                <w:sz w:val="18"/>
                <w:szCs w:val="18"/>
                <w:vertAlign w:val="superscript"/>
              </w:rPr>
              <w:t>b</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5.99±0.017</w:t>
            </w:r>
            <w:r>
              <w:rPr>
                <w:rFonts w:cs="Times New Roman"/>
                <w:sz w:val="18"/>
                <w:szCs w:val="18"/>
                <w:vertAlign w:val="superscript"/>
              </w:rPr>
              <w:t>c</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6.21±0.02</w:t>
            </w:r>
            <w:r>
              <w:rPr>
                <w:rFonts w:cs="Times New Roman"/>
                <w:sz w:val="18"/>
                <w:szCs w:val="18"/>
                <w:vertAlign w:val="superscript"/>
              </w:rPr>
              <w:t>d</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6.41±0.02</w:t>
            </w:r>
            <w:r>
              <w:rPr>
                <w:rFonts w:cs="Times New Roman"/>
                <w:sz w:val="18"/>
                <w:szCs w:val="18"/>
                <w:vertAlign w:val="superscript"/>
              </w:rPr>
              <w:t>e</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6.97±0.026</w:t>
            </w:r>
            <w:r>
              <w:rPr>
                <w:rFonts w:cs="Times New Roman"/>
                <w:sz w:val="18"/>
                <w:szCs w:val="18"/>
                <w:vertAlign w:val="superscript"/>
              </w:rPr>
              <w:t>f</w:t>
            </w:r>
          </w:p>
        </w:tc>
      </w:tr>
      <w:tr w:rsidR="00E94D45">
        <w:trPr>
          <w:trHeight w:val="281"/>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HE (g %)</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5.84±0.02</w:t>
            </w:r>
            <w:r>
              <w:rPr>
                <w:rFonts w:cs="Times New Roman"/>
                <w:sz w:val="18"/>
                <w:szCs w:val="18"/>
                <w:vertAlign w:val="superscript"/>
              </w:rPr>
              <w:t>a</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5.96±0.011</w:t>
            </w:r>
            <w:r>
              <w:rPr>
                <w:rFonts w:cs="Times New Roman"/>
                <w:sz w:val="18"/>
                <w:szCs w:val="18"/>
                <w:vertAlign w:val="superscript"/>
              </w:rPr>
              <w:t>b</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6.1±0.011</w:t>
            </w:r>
            <w:r>
              <w:rPr>
                <w:rFonts w:cs="Times New Roman"/>
                <w:sz w:val="18"/>
                <w:szCs w:val="18"/>
                <w:vertAlign w:val="superscript"/>
              </w:rPr>
              <w:t>c</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6.24±0.023</w:t>
            </w:r>
            <w:r>
              <w:rPr>
                <w:rFonts w:cs="Times New Roman"/>
                <w:sz w:val="18"/>
                <w:szCs w:val="18"/>
                <w:vertAlign w:val="superscript"/>
              </w:rPr>
              <w:t>d</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6.27±0.031</w:t>
            </w:r>
            <w:r>
              <w:rPr>
                <w:rFonts w:cs="Times New Roman"/>
                <w:sz w:val="18"/>
                <w:szCs w:val="18"/>
                <w:vertAlign w:val="superscript"/>
              </w:rPr>
              <w:t>d</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6.35±0.031</w:t>
            </w:r>
            <w:r>
              <w:rPr>
                <w:rFonts w:cs="Times New Roman"/>
                <w:sz w:val="18"/>
                <w:szCs w:val="18"/>
                <w:vertAlign w:val="superscript"/>
              </w:rPr>
              <w:t>e</w:t>
            </w:r>
          </w:p>
        </w:tc>
      </w:tr>
      <w:tr w:rsidR="00E94D45">
        <w:trPr>
          <w:trHeight w:val="281"/>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HCT (%)</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32.52±0.07</w:t>
            </w:r>
            <w:r>
              <w:rPr>
                <w:rFonts w:cs="Times New Roman"/>
                <w:sz w:val="18"/>
                <w:szCs w:val="18"/>
                <w:vertAlign w:val="superscript"/>
              </w:rPr>
              <w:t>a</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33.21±0.02</w:t>
            </w:r>
            <w:r>
              <w:rPr>
                <w:rFonts w:cs="Times New Roman"/>
                <w:sz w:val="18"/>
                <w:szCs w:val="18"/>
                <w:vertAlign w:val="superscript"/>
              </w:rPr>
              <w:t>b</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34±0.017</w:t>
            </w:r>
            <w:r>
              <w:rPr>
                <w:rFonts w:cs="Times New Roman"/>
                <w:sz w:val="18"/>
                <w:szCs w:val="18"/>
                <w:vertAlign w:val="superscript"/>
              </w:rPr>
              <w:t>c</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34.32±0.017</w:t>
            </w:r>
            <w:r>
              <w:rPr>
                <w:rFonts w:cs="Times New Roman"/>
                <w:sz w:val="18"/>
                <w:szCs w:val="18"/>
                <w:vertAlign w:val="superscript"/>
              </w:rPr>
              <w:t>d</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35.49±0.02</w:t>
            </w:r>
            <w:r>
              <w:rPr>
                <w:rFonts w:cs="Times New Roman"/>
                <w:sz w:val="18"/>
                <w:szCs w:val="18"/>
                <w:vertAlign w:val="superscript"/>
              </w:rPr>
              <w:t>e</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37.72±0.02</w:t>
            </w:r>
            <w:r>
              <w:rPr>
                <w:rFonts w:cs="Times New Roman"/>
                <w:sz w:val="18"/>
                <w:szCs w:val="18"/>
                <w:vertAlign w:val="superscript"/>
              </w:rPr>
              <w:t>f</w:t>
            </w:r>
          </w:p>
        </w:tc>
      </w:tr>
      <w:tr w:rsidR="00E94D45">
        <w:trPr>
          <w:trHeight w:val="281"/>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lastRenderedPageBreak/>
              <w:t>MCHC (gdL</w:t>
            </w:r>
            <w:r>
              <w:rPr>
                <w:rFonts w:cs="Times New Roman"/>
                <w:b/>
                <w:bCs/>
                <w:sz w:val="18"/>
                <w:szCs w:val="18"/>
                <w:vertAlign w:val="superscript"/>
              </w:rPr>
              <w:t>−</w:t>
            </w:r>
            <w:r>
              <w:rPr>
                <w:rFonts w:cs="Times New Roman"/>
                <w:b/>
                <w:bCs/>
                <w:sz w:val="18"/>
                <w:szCs w:val="18"/>
                <w:vertAlign w:val="superscript"/>
              </w:rPr>
              <w:t>1</w:t>
            </w:r>
            <w:r>
              <w:rPr>
                <w:rFonts w:cs="Times New Roman"/>
                <w:b/>
                <w:bCs/>
                <w:sz w:val="18"/>
                <w:szCs w:val="18"/>
              </w:rPr>
              <w:t>)</w:t>
            </w:r>
            <w:r>
              <w:rPr>
                <w:rFonts w:cs="Times New Roman"/>
                <w:b/>
                <w:bCs/>
                <w:sz w:val="18"/>
                <w:szCs w:val="18"/>
                <w:vertAlign w:val="superscript"/>
              </w:rPr>
              <w:t>3</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22.12±0.014</w:t>
            </w:r>
            <w:r>
              <w:rPr>
                <w:rFonts w:cs="Times New Roman"/>
                <w:sz w:val="18"/>
                <w:szCs w:val="18"/>
                <w:vertAlign w:val="superscript"/>
              </w:rPr>
              <w:t>a</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22.33±0.008</w:t>
            </w:r>
            <w:r>
              <w:rPr>
                <w:rFonts w:cs="Times New Roman"/>
                <w:sz w:val="18"/>
                <w:szCs w:val="18"/>
                <w:vertAlign w:val="superscript"/>
              </w:rPr>
              <w:t>b</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22.17±0.005</w:t>
            </w:r>
            <w:r>
              <w:rPr>
                <w:rFonts w:cs="Times New Roman"/>
                <w:sz w:val="18"/>
                <w:szCs w:val="18"/>
                <w:vertAlign w:val="superscript"/>
              </w:rPr>
              <w:t>c</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22.31±0.014</w:t>
            </w:r>
            <w:r>
              <w:rPr>
                <w:rFonts w:cs="Times New Roman"/>
                <w:sz w:val="18"/>
                <w:szCs w:val="18"/>
                <w:vertAlign w:val="superscript"/>
              </w:rPr>
              <w:t>c</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23.31±0.02</w:t>
            </w:r>
            <w:r>
              <w:rPr>
                <w:rFonts w:cs="Times New Roman"/>
                <w:sz w:val="18"/>
                <w:szCs w:val="18"/>
                <w:vertAlign w:val="superscript"/>
              </w:rPr>
              <w:t>d</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23.59±0.008</w:t>
            </w:r>
            <w:r>
              <w:rPr>
                <w:rFonts w:cs="Times New Roman"/>
                <w:sz w:val="18"/>
                <w:szCs w:val="18"/>
                <w:vertAlign w:val="superscript"/>
              </w:rPr>
              <w:t>e</w:t>
            </w:r>
          </w:p>
        </w:tc>
      </w:tr>
      <w:tr w:rsidR="00E94D45">
        <w:trPr>
          <w:trHeight w:val="264"/>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MCH (Pg)</w:t>
            </w:r>
            <w:r>
              <w:rPr>
                <w:rFonts w:cs="Times New Roman"/>
                <w:b/>
                <w:bCs/>
                <w:sz w:val="18"/>
                <w:szCs w:val="18"/>
                <w:vertAlign w:val="superscript"/>
              </w:rPr>
              <w:t>4</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26.1±0.115</w:t>
            </w:r>
            <w:r>
              <w:rPr>
                <w:rFonts w:cs="Times New Roman"/>
                <w:sz w:val="18"/>
                <w:szCs w:val="18"/>
                <w:vertAlign w:val="superscript"/>
              </w:rPr>
              <w:t>a</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26.6±0.057</w:t>
            </w:r>
            <w:r>
              <w:rPr>
                <w:rFonts w:cs="Times New Roman"/>
                <w:sz w:val="18"/>
                <w:szCs w:val="18"/>
                <w:vertAlign w:val="superscript"/>
              </w:rPr>
              <w:t>b</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27±0.057</w:t>
            </w:r>
            <w:r>
              <w:rPr>
                <w:rFonts w:cs="Times New Roman"/>
                <w:sz w:val="18"/>
                <w:szCs w:val="18"/>
                <w:vertAlign w:val="superscript"/>
              </w:rPr>
              <w:t>c</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27.3±0.057</w:t>
            </w:r>
            <w:r>
              <w:rPr>
                <w:rFonts w:cs="Times New Roman"/>
                <w:sz w:val="18"/>
                <w:szCs w:val="18"/>
                <w:vertAlign w:val="superscript"/>
              </w:rPr>
              <w:t>d</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27.8±0.057</w:t>
            </w:r>
            <w:r>
              <w:rPr>
                <w:rFonts w:cs="Times New Roman"/>
                <w:sz w:val="18"/>
                <w:szCs w:val="18"/>
                <w:vertAlign w:val="superscript"/>
              </w:rPr>
              <w:t>e</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28.1±0.057</w:t>
            </w:r>
            <w:r>
              <w:rPr>
                <w:rFonts w:cs="Times New Roman"/>
                <w:sz w:val="18"/>
                <w:szCs w:val="18"/>
                <w:vertAlign w:val="superscript"/>
              </w:rPr>
              <w:t>f</w:t>
            </w:r>
          </w:p>
        </w:tc>
      </w:tr>
      <w:tr w:rsidR="00E94D45">
        <w:trPr>
          <w:trHeight w:val="281"/>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MCV (fL)</w:t>
            </w:r>
            <w:r>
              <w:rPr>
                <w:rFonts w:cs="Times New Roman"/>
                <w:b/>
                <w:bCs/>
                <w:sz w:val="18"/>
                <w:szCs w:val="18"/>
                <w:vertAlign w:val="superscript"/>
              </w:rPr>
              <w:t>5</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115.4±0.36</w:t>
            </w:r>
            <w:r>
              <w:rPr>
                <w:rFonts w:cs="Times New Roman"/>
                <w:sz w:val="18"/>
                <w:szCs w:val="18"/>
                <w:vertAlign w:val="superscript"/>
              </w:rPr>
              <w:t>a</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117.16±0.145</w:t>
            </w:r>
            <w:r>
              <w:rPr>
                <w:rFonts w:cs="Times New Roman"/>
                <w:sz w:val="18"/>
                <w:szCs w:val="18"/>
                <w:vertAlign w:val="superscript"/>
              </w:rPr>
              <w:t>b</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120.2±0.208</w:t>
            </w:r>
            <w:r>
              <w:rPr>
                <w:rFonts w:cs="Times New Roman"/>
                <w:sz w:val="18"/>
                <w:szCs w:val="18"/>
                <w:vertAlign w:val="superscript"/>
              </w:rPr>
              <w:t>c</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118.83±0.176</w:t>
            </w:r>
            <w:r>
              <w:rPr>
                <w:rFonts w:cs="Times New Roman"/>
                <w:sz w:val="18"/>
                <w:szCs w:val="18"/>
                <w:vertAlign w:val="superscript"/>
              </w:rPr>
              <w:t>d</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123.2±0.173</w:t>
            </w:r>
            <w:r>
              <w:rPr>
                <w:rFonts w:cs="Times New Roman"/>
                <w:sz w:val="18"/>
                <w:szCs w:val="18"/>
                <w:vertAlign w:val="superscript"/>
              </w:rPr>
              <w:t>e</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125.3±0.152</w:t>
            </w:r>
            <w:r>
              <w:rPr>
                <w:rFonts w:cs="Times New Roman"/>
                <w:sz w:val="18"/>
                <w:szCs w:val="18"/>
                <w:vertAlign w:val="superscript"/>
              </w:rPr>
              <w:t>f</w:t>
            </w:r>
          </w:p>
        </w:tc>
      </w:tr>
      <w:tr w:rsidR="00E94D45">
        <w:trPr>
          <w:trHeight w:val="232"/>
        </w:trPr>
        <w:tc>
          <w:tcPr>
            <w:tcW w:w="1413" w:type="dxa"/>
            <w:noWrap/>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Lymphocyte (%)</w:t>
            </w:r>
          </w:p>
        </w:tc>
        <w:tc>
          <w:tcPr>
            <w:tcW w:w="1134"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79.26±0.12</w:t>
            </w:r>
            <w:r>
              <w:rPr>
                <w:rFonts w:cs="Times New Roman"/>
                <w:sz w:val="18"/>
                <w:szCs w:val="18"/>
                <w:vertAlign w:val="superscript"/>
              </w:rPr>
              <w:t>a</w:t>
            </w:r>
          </w:p>
        </w:tc>
        <w:tc>
          <w:tcPr>
            <w:tcW w:w="1276"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80.63±0.088</w:t>
            </w:r>
            <w:r>
              <w:rPr>
                <w:rFonts w:cs="Times New Roman"/>
                <w:sz w:val="18"/>
                <w:szCs w:val="18"/>
                <w:vertAlign w:val="superscript"/>
              </w:rPr>
              <w:t>b</w:t>
            </w:r>
          </w:p>
        </w:tc>
        <w:tc>
          <w:tcPr>
            <w:tcW w:w="1275"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81.9±0.057</w:t>
            </w:r>
            <w:r>
              <w:rPr>
                <w:rFonts w:cs="Times New Roman"/>
                <w:sz w:val="18"/>
                <w:szCs w:val="18"/>
                <w:vertAlign w:val="superscript"/>
              </w:rPr>
              <w:t>c</w:t>
            </w:r>
          </w:p>
        </w:tc>
        <w:tc>
          <w:tcPr>
            <w:tcW w:w="1418" w:type="dxa"/>
            <w:noWrap/>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84±0.057</w:t>
            </w:r>
            <w:r>
              <w:rPr>
                <w:rFonts w:cs="Times New Roman"/>
                <w:sz w:val="18"/>
                <w:szCs w:val="18"/>
                <w:vertAlign w:val="superscript"/>
              </w:rPr>
              <w:t>d</w:t>
            </w:r>
          </w:p>
        </w:tc>
        <w:tc>
          <w:tcPr>
            <w:tcW w:w="1134" w:type="dxa"/>
            <w:noWrap/>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85±0.115</w:t>
            </w:r>
            <w:r>
              <w:rPr>
                <w:rFonts w:cs="Times New Roman"/>
                <w:sz w:val="18"/>
                <w:szCs w:val="18"/>
                <w:vertAlign w:val="superscript"/>
              </w:rPr>
              <w:t>e</w:t>
            </w:r>
          </w:p>
        </w:tc>
        <w:tc>
          <w:tcPr>
            <w:tcW w:w="1287" w:type="dxa"/>
            <w:noWrap/>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86.13±0.12</w:t>
            </w:r>
            <w:r>
              <w:rPr>
                <w:rFonts w:cs="Times New Roman"/>
                <w:sz w:val="18"/>
                <w:szCs w:val="18"/>
                <w:vertAlign w:val="superscript"/>
              </w:rPr>
              <w:t>f</w:t>
            </w:r>
          </w:p>
        </w:tc>
      </w:tr>
      <w:tr w:rsidR="00E94D45">
        <w:trPr>
          <w:trHeight w:val="271"/>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Monocyte (%)</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4.2±0.011</w:t>
            </w:r>
            <w:r>
              <w:rPr>
                <w:rFonts w:cs="Times New Roman"/>
                <w:sz w:val="18"/>
                <w:szCs w:val="18"/>
                <w:vertAlign w:val="superscript"/>
              </w:rPr>
              <w:t>f</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3.81±0.011</w:t>
            </w:r>
            <w:r>
              <w:rPr>
                <w:rFonts w:cs="Times New Roman"/>
                <w:sz w:val="18"/>
                <w:szCs w:val="18"/>
                <w:vertAlign w:val="superscript"/>
              </w:rPr>
              <w:t>e</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3.33±0.011</w:t>
            </w:r>
            <w:r>
              <w:rPr>
                <w:rFonts w:cs="Times New Roman"/>
                <w:sz w:val="18"/>
                <w:szCs w:val="18"/>
                <w:vertAlign w:val="superscript"/>
              </w:rPr>
              <w:t>d</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2.91±0.008</w:t>
            </w:r>
            <w:r>
              <w:rPr>
                <w:rFonts w:cs="Times New Roman"/>
                <w:sz w:val="18"/>
                <w:szCs w:val="18"/>
                <w:vertAlign w:val="superscript"/>
              </w:rPr>
              <w:t>c</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2.78±0.008</w:t>
            </w:r>
            <w:r>
              <w:rPr>
                <w:rFonts w:cs="Times New Roman"/>
                <w:sz w:val="18"/>
                <w:szCs w:val="18"/>
                <w:vertAlign w:val="superscript"/>
              </w:rPr>
              <w:t>b</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2.52±0.012</w:t>
            </w:r>
            <w:r>
              <w:rPr>
                <w:rFonts w:cs="Times New Roman"/>
                <w:sz w:val="18"/>
                <w:szCs w:val="18"/>
                <w:vertAlign w:val="superscript"/>
              </w:rPr>
              <w:t>a</w:t>
            </w:r>
          </w:p>
        </w:tc>
      </w:tr>
      <w:tr w:rsidR="00E94D45">
        <w:trPr>
          <w:trHeight w:val="257"/>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Neutrophils (%)</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15.56±0.08</w:t>
            </w:r>
            <w:r>
              <w:rPr>
                <w:rFonts w:cs="Times New Roman"/>
                <w:sz w:val="18"/>
                <w:szCs w:val="18"/>
                <w:vertAlign w:val="superscript"/>
              </w:rPr>
              <w:t>f</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14.6±0.057</w:t>
            </w:r>
            <w:r>
              <w:rPr>
                <w:rFonts w:cs="Times New Roman"/>
                <w:sz w:val="18"/>
                <w:szCs w:val="18"/>
                <w:vertAlign w:val="superscript"/>
              </w:rPr>
              <w:t>e</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14±0.057</w:t>
            </w:r>
            <w:r>
              <w:rPr>
                <w:rFonts w:cs="Times New Roman"/>
                <w:sz w:val="18"/>
                <w:szCs w:val="18"/>
                <w:vertAlign w:val="superscript"/>
              </w:rPr>
              <w:t>d</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12.7±0.057</w:t>
            </w:r>
            <w:r>
              <w:rPr>
                <w:rFonts w:cs="Times New Roman"/>
                <w:sz w:val="18"/>
                <w:szCs w:val="18"/>
                <w:vertAlign w:val="superscript"/>
              </w:rPr>
              <w:t>c</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11.4±0.057</w:t>
            </w:r>
            <w:r>
              <w:rPr>
                <w:rFonts w:cs="Times New Roman"/>
                <w:sz w:val="18"/>
                <w:szCs w:val="18"/>
                <w:vertAlign w:val="superscript"/>
              </w:rPr>
              <w:t>b</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10.2±0.057</w:t>
            </w:r>
            <w:r>
              <w:rPr>
                <w:rFonts w:cs="Times New Roman"/>
                <w:sz w:val="18"/>
                <w:szCs w:val="18"/>
                <w:vertAlign w:val="superscript"/>
              </w:rPr>
              <w:t>a</w:t>
            </w:r>
          </w:p>
        </w:tc>
      </w:tr>
      <w:tr w:rsidR="00E94D45">
        <w:trPr>
          <w:trHeight w:val="260"/>
        </w:trPr>
        <w:tc>
          <w:tcPr>
            <w:tcW w:w="1413" w:type="dxa"/>
            <w:vAlign w:val="center"/>
            <w:hideMark/>
          </w:tcPr>
          <w:p w:rsidR="00E94D45" w:rsidRDefault="005572AF">
            <w:pPr>
              <w:spacing w:after="0" w:line="276" w:lineRule="auto"/>
              <w:ind w:left="-113" w:right="-113" w:hanging="29"/>
              <w:jc w:val="center"/>
              <w:rPr>
                <w:rFonts w:cs="Times New Roman"/>
                <w:b/>
                <w:bCs/>
                <w:sz w:val="18"/>
                <w:szCs w:val="18"/>
              </w:rPr>
            </w:pPr>
            <w:r>
              <w:rPr>
                <w:rFonts w:cs="Times New Roman"/>
                <w:b/>
                <w:bCs/>
                <w:sz w:val="18"/>
                <w:szCs w:val="18"/>
              </w:rPr>
              <w:t>Eosinophil (%)</w:t>
            </w:r>
          </w:p>
        </w:tc>
        <w:tc>
          <w:tcPr>
            <w:tcW w:w="1134"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1.19±0.008</w:t>
            </w:r>
            <w:r>
              <w:rPr>
                <w:rFonts w:cs="Times New Roman"/>
                <w:sz w:val="18"/>
                <w:szCs w:val="18"/>
                <w:vertAlign w:val="superscript"/>
              </w:rPr>
              <w:t>e</w:t>
            </w:r>
          </w:p>
        </w:tc>
        <w:tc>
          <w:tcPr>
            <w:tcW w:w="1276"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0.85±0.012</w:t>
            </w:r>
            <w:r>
              <w:rPr>
                <w:rFonts w:cs="Times New Roman"/>
                <w:sz w:val="18"/>
                <w:szCs w:val="18"/>
                <w:vertAlign w:val="superscript"/>
              </w:rPr>
              <w:t>c</w:t>
            </w:r>
          </w:p>
        </w:tc>
        <w:tc>
          <w:tcPr>
            <w:tcW w:w="1275"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0.69±0.008</w:t>
            </w:r>
            <w:r>
              <w:rPr>
                <w:rFonts w:cs="Times New Roman"/>
                <w:sz w:val="18"/>
                <w:szCs w:val="18"/>
                <w:vertAlign w:val="superscript"/>
              </w:rPr>
              <w:t>b</w:t>
            </w:r>
          </w:p>
        </w:tc>
        <w:tc>
          <w:tcPr>
            <w:tcW w:w="1418" w:type="dxa"/>
            <w:vAlign w:val="center"/>
            <w:hideMark/>
          </w:tcPr>
          <w:p w:rsidR="00E94D45" w:rsidRDefault="005572AF">
            <w:pPr>
              <w:spacing w:after="0" w:line="276" w:lineRule="auto"/>
              <w:ind w:left="-113" w:right="-113"/>
              <w:jc w:val="center"/>
              <w:rPr>
                <w:rFonts w:cs="Times New Roman"/>
                <w:b/>
                <w:bCs/>
                <w:sz w:val="18"/>
                <w:szCs w:val="18"/>
              </w:rPr>
            </w:pPr>
            <w:r>
              <w:rPr>
                <w:rFonts w:cs="Times New Roman"/>
                <w:sz w:val="18"/>
                <w:szCs w:val="18"/>
              </w:rPr>
              <w:t>0.43±0.008</w:t>
            </w:r>
            <w:r>
              <w:rPr>
                <w:rFonts w:cs="Times New Roman"/>
                <w:sz w:val="18"/>
                <w:szCs w:val="18"/>
                <w:vertAlign w:val="superscript"/>
              </w:rPr>
              <w:t>a</w:t>
            </w:r>
          </w:p>
        </w:tc>
        <w:tc>
          <w:tcPr>
            <w:tcW w:w="1134" w:type="dxa"/>
            <w:vAlign w:val="center"/>
            <w:hideMark/>
          </w:tcPr>
          <w:p w:rsidR="00E94D45" w:rsidRDefault="005572AF">
            <w:pPr>
              <w:tabs>
                <w:tab w:val="left" w:pos="1032"/>
              </w:tabs>
              <w:spacing w:after="0" w:line="276" w:lineRule="auto"/>
              <w:ind w:left="-113" w:right="-113" w:hanging="8"/>
              <w:jc w:val="center"/>
              <w:rPr>
                <w:rFonts w:cs="Times New Roman"/>
                <w:b/>
                <w:bCs/>
                <w:sz w:val="18"/>
                <w:szCs w:val="18"/>
              </w:rPr>
            </w:pPr>
            <w:r>
              <w:rPr>
                <w:rFonts w:cs="Times New Roman"/>
                <w:sz w:val="18"/>
                <w:szCs w:val="18"/>
              </w:rPr>
              <w:t>0.89±0.008</w:t>
            </w:r>
            <w:r>
              <w:rPr>
                <w:rFonts w:cs="Times New Roman"/>
                <w:sz w:val="18"/>
                <w:szCs w:val="18"/>
                <w:vertAlign w:val="superscript"/>
              </w:rPr>
              <w:t>d</w:t>
            </w:r>
          </w:p>
        </w:tc>
        <w:tc>
          <w:tcPr>
            <w:tcW w:w="1287" w:type="dxa"/>
            <w:vAlign w:val="center"/>
            <w:hideMark/>
          </w:tcPr>
          <w:p w:rsidR="00E94D45" w:rsidRDefault="005572AF">
            <w:pPr>
              <w:spacing w:after="0" w:line="276" w:lineRule="auto"/>
              <w:ind w:left="-113" w:right="-113" w:firstLine="5"/>
              <w:jc w:val="center"/>
              <w:rPr>
                <w:rFonts w:cs="Times New Roman"/>
                <w:b/>
                <w:bCs/>
                <w:sz w:val="18"/>
                <w:szCs w:val="18"/>
              </w:rPr>
            </w:pPr>
            <w:r>
              <w:rPr>
                <w:rFonts w:cs="Times New Roman"/>
                <w:sz w:val="18"/>
                <w:szCs w:val="18"/>
              </w:rPr>
              <w:t>1.25±0.008</w:t>
            </w:r>
            <w:r>
              <w:rPr>
                <w:rFonts w:cs="Times New Roman"/>
                <w:sz w:val="18"/>
                <w:szCs w:val="18"/>
                <w:vertAlign w:val="superscript"/>
              </w:rPr>
              <w:t>f</w:t>
            </w:r>
          </w:p>
        </w:tc>
      </w:tr>
      <w:tr w:rsidR="00E94D45">
        <w:trPr>
          <w:trHeight w:val="260"/>
        </w:trPr>
        <w:tc>
          <w:tcPr>
            <w:tcW w:w="8937" w:type="dxa"/>
            <w:gridSpan w:val="7"/>
            <w:vAlign w:val="center"/>
          </w:tcPr>
          <w:p w:rsidR="00E94D45" w:rsidRDefault="005572AF">
            <w:pPr>
              <w:spacing w:after="0" w:line="276" w:lineRule="auto"/>
              <w:ind w:left="29" w:firstLine="5"/>
              <w:jc w:val="left"/>
              <w:rPr>
                <w:rFonts w:cs="Times New Roman"/>
                <w:color w:val="auto"/>
                <w:sz w:val="18"/>
                <w:szCs w:val="18"/>
              </w:rPr>
            </w:pPr>
            <w:r>
              <w:rPr>
                <w:rFonts w:cs="Times New Roman"/>
                <w:b/>
                <w:bCs/>
                <w:color w:val="auto"/>
                <w:sz w:val="18"/>
                <w:szCs w:val="18"/>
              </w:rPr>
              <w:t>Abbreviations:</w:t>
            </w:r>
            <w:r>
              <w:rPr>
                <w:rFonts w:cs="Times New Roman"/>
                <w:color w:val="auto"/>
                <w:sz w:val="18"/>
                <w:szCs w:val="18"/>
              </w:rPr>
              <w:t xml:space="preserve"> RBC = Red blood cell count; WBC = White blood cell count; Hb = Hemoglobin; HCT = Hematocrit; </w:t>
            </w:r>
            <w:r>
              <w:rPr>
                <w:rFonts w:cs="Times New Roman"/>
                <w:color w:val="auto"/>
                <w:sz w:val="18"/>
                <w:szCs w:val="18"/>
              </w:rPr>
              <w:t>MCHC = Mean corpuscular hemoglobin concentration; MCH = Mean corpuscular hemoglobin; MCV = Mean corpuscular volume.</w:t>
            </w:r>
          </w:p>
          <w:p w:rsidR="00E94D45" w:rsidRDefault="005572AF">
            <w:pPr>
              <w:spacing w:after="0" w:line="276" w:lineRule="auto"/>
              <w:ind w:left="29" w:firstLine="5"/>
              <w:jc w:val="left"/>
              <w:rPr>
                <w:rFonts w:cs="Times New Roman"/>
                <w:color w:val="auto"/>
                <w:sz w:val="18"/>
                <w:szCs w:val="18"/>
              </w:rPr>
            </w:pPr>
            <w:r>
              <w:rPr>
                <w:rFonts w:cs="Times New Roman"/>
                <w:color w:val="auto"/>
                <w:sz w:val="18"/>
                <w:szCs w:val="18"/>
              </w:rPr>
              <w:t>Sample size: n = 10 fish per treatment. Blood collected via caudal puncture (0.5-1.0 mL per fish) using heparinized syringes.</w:t>
            </w:r>
          </w:p>
          <w:p w:rsidR="00E94D45" w:rsidRDefault="005572AF">
            <w:pPr>
              <w:spacing w:after="0" w:line="276" w:lineRule="auto"/>
              <w:ind w:left="29" w:firstLine="5"/>
              <w:jc w:val="left"/>
              <w:rPr>
                <w:rFonts w:cs="Times New Roman"/>
                <w:color w:val="auto"/>
                <w:sz w:val="18"/>
                <w:szCs w:val="18"/>
              </w:rPr>
            </w:pPr>
            <w:r>
              <w:rPr>
                <w:rFonts w:cs="Times New Roman"/>
                <w:color w:val="auto"/>
                <w:sz w:val="18"/>
                <w:szCs w:val="18"/>
              </w:rPr>
              <w:t>Analysis metho</w:t>
            </w:r>
            <w:r>
              <w:rPr>
                <w:rFonts w:cs="Times New Roman"/>
                <w:color w:val="auto"/>
                <w:sz w:val="18"/>
                <w:szCs w:val="18"/>
              </w:rPr>
              <w:t>d: Haematological parameters were determined using an automated haematology analyzer (NIHON KOHDEN, India).</w:t>
            </w:r>
          </w:p>
          <w:p w:rsidR="00E94D45" w:rsidRDefault="005572AF">
            <w:pPr>
              <w:spacing w:after="0" w:line="276" w:lineRule="auto"/>
              <w:ind w:left="29" w:firstLine="5"/>
              <w:jc w:val="left"/>
              <w:rPr>
                <w:rFonts w:cs="Times New Roman"/>
                <w:color w:val="auto"/>
                <w:sz w:val="18"/>
                <w:szCs w:val="18"/>
              </w:rPr>
            </w:pPr>
            <w:r>
              <w:rPr>
                <w:rFonts w:cs="Times New Roman"/>
                <w:b/>
                <w:bCs/>
                <w:color w:val="auto"/>
                <w:sz w:val="18"/>
                <w:szCs w:val="18"/>
              </w:rPr>
              <w:t>Statistical analysis:</w:t>
            </w:r>
            <w:r>
              <w:rPr>
                <w:rFonts w:cs="Times New Roman"/>
                <w:color w:val="auto"/>
                <w:sz w:val="18"/>
                <w:szCs w:val="18"/>
              </w:rPr>
              <w:t xml:space="preserve"> Values are mean ± standard error (SE). Within each row, means with different superscript letters (a-f) differ significantly (p</w:t>
            </w:r>
            <w:r>
              <w:rPr>
                <w:rFonts w:cs="Times New Roman"/>
                <w:color w:val="auto"/>
                <w:sz w:val="18"/>
                <w:szCs w:val="18"/>
              </w:rPr>
              <w:t xml:space="preserve"> &lt; 0.05; one-way ANOVA followed by Tukey’s test).</w:t>
            </w:r>
          </w:p>
        </w:tc>
      </w:tr>
    </w:tbl>
    <w:p w:rsidR="00E94D45" w:rsidRDefault="005572AF">
      <w:pPr>
        <w:pStyle w:val="ListParagraph"/>
        <w:numPr>
          <w:ilvl w:val="1"/>
          <w:numId w:val="22"/>
        </w:numPr>
        <w:spacing w:before="240" w:line="276" w:lineRule="auto"/>
        <w:ind w:left="426" w:hanging="426"/>
        <w:jc w:val="left"/>
        <w:rPr>
          <w:rFonts w:cs="Times New Roman"/>
          <w:szCs w:val="24"/>
        </w:rPr>
      </w:pPr>
      <w:r>
        <w:rPr>
          <w:rFonts w:cs="Times New Roman"/>
          <w:szCs w:val="24"/>
        </w:rPr>
        <w:t>Haemato-biochemical parameter</w:t>
      </w:r>
    </w:p>
    <w:p w:rsidR="00E94D45" w:rsidRDefault="005572AF">
      <w:pPr>
        <w:spacing w:line="276" w:lineRule="auto"/>
        <w:rPr>
          <w:rFonts w:cs="Times New Roman"/>
          <w:sz w:val="20"/>
          <w:szCs w:val="20"/>
        </w:rPr>
      </w:pPr>
      <w:r>
        <w:rPr>
          <w:rFonts w:cs="Times New Roman"/>
          <w:sz w:val="20"/>
          <w:szCs w:val="20"/>
        </w:rPr>
        <w:t>Table 6 illustrates the noteworthy variations in the haemato-biochemical analysis between treatments (T0 to T5). Over time, total protein levels rose from T0 (4.56±0.025 g/dl)</w:t>
      </w:r>
      <w:r>
        <w:rPr>
          <w:rFonts w:cs="Times New Roman"/>
          <w:sz w:val="20"/>
          <w:szCs w:val="20"/>
        </w:rPr>
        <w:t xml:space="preserve"> to T5 (5.85±0.015 g/dl), with each treatment exhibiting a statistically significant increase over the preceding one (p&lt;0.05). Moreover, albumin rose dramatically across treatments, with T5 (2.91±0.011 g/dl) exhibiting the greatest level. T0 (2.23±0.014 g/</w:t>
      </w:r>
      <w:r>
        <w:rPr>
          <w:rFonts w:cs="Times New Roman"/>
          <w:sz w:val="20"/>
          <w:szCs w:val="20"/>
        </w:rPr>
        <w:t>dl) and T5 (2.21±0.014 g/dl) exhibited the highest levels of globulin, but the intermediate treatments (T1 to T4) showed lower values. This difference was evident in the albumin-to-globulin (A: G) ratio, which was substantially greater in T3 (1.38±0.003) i</w:t>
      </w:r>
      <w:r>
        <w:rPr>
          <w:rFonts w:cs="Times New Roman"/>
          <w:sz w:val="20"/>
          <w:szCs w:val="20"/>
        </w:rPr>
        <w:t>n comparison to the other treatments (p&lt;0.05). Result indicates a steady rise in triglyceride levels throughout treatments, with a substantial increase from T0 (153.5±0.23 mg/dl) to T5 (160.26±0.145 mg/dl). In contrast, spirulina levels were inversely corr</w:t>
      </w:r>
      <w:r>
        <w:rPr>
          <w:rFonts w:cs="Times New Roman"/>
          <w:sz w:val="20"/>
          <w:szCs w:val="20"/>
        </w:rPr>
        <w:t>elated with cholesterol levels (p&lt;0.05), with T5 having the lowest cholesterol (168.6±0.152 mg/dl) compared to T0 (191.46±0.145 mg/dl). Overall treatments, there was a considerable drop in the levels of the enzymes ALT (Alanine aminotransferase) and AST (A</w:t>
      </w:r>
      <w:r>
        <w:rPr>
          <w:rFonts w:cs="Times New Roman"/>
          <w:sz w:val="20"/>
          <w:szCs w:val="20"/>
        </w:rPr>
        <w:t>spartate aminotransferase), with T5 showing the lowest levels (ALT: 38.13±0.088 U/L; AST: 57.93±0.12 U/L). In a similar vein, ALP (Alkaline phosphatase) levels dropped considerably (p&lt;0.05), with T5 (24.16±0.088 U/L) exhibiting a considerable decline in co</w:t>
      </w:r>
      <w:r>
        <w:rPr>
          <w:rFonts w:cs="Times New Roman"/>
          <w:sz w:val="20"/>
          <w:szCs w:val="20"/>
        </w:rPr>
        <w:t>mparison to T0 (30.16±0.088 U/L).</w:t>
      </w:r>
    </w:p>
    <w:p w:rsidR="00E94D45" w:rsidRDefault="005572AF">
      <w:pPr>
        <w:pStyle w:val="Caption"/>
        <w:keepNext/>
        <w:spacing w:after="120" w:line="276" w:lineRule="auto"/>
        <w:ind w:left="709" w:hanging="709"/>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6</w:t>
      </w:r>
      <w:r>
        <w:rPr>
          <w:b/>
          <w:bCs/>
          <w:i w:val="0"/>
          <w:iCs w:val="0"/>
          <w:color w:val="auto"/>
          <w:sz w:val="20"/>
          <w:szCs w:val="20"/>
        </w:rPr>
        <w:fldChar w:fldCharType="end"/>
      </w:r>
      <w:r>
        <w:rPr>
          <w:b/>
          <w:bCs/>
          <w:i w:val="0"/>
          <w:iCs w:val="0"/>
          <w:color w:val="auto"/>
          <w:sz w:val="20"/>
          <w:szCs w:val="20"/>
          <w:lang w:val="en-IN"/>
        </w:rPr>
        <w:t xml:space="preserve"> Haemato-biochemical parameter analysis of blue gourami, </w:t>
      </w:r>
      <w:r>
        <w:rPr>
          <w:b/>
          <w:bCs/>
          <w:color w:val="auto"/>
          <w:sz w:val="20"/>
          <w:szCs w:val="20"/>
          <w:lang w:val="en-IN"/>
        </w:rPr>
        <w:t>Trichogaster trichopterus</w:t>
      </w:r>
      <w:r>
        <w:rPr>
          <w:b/>
          <w:bCs/>
          <w:i w:val="0"/>
          <w:iCs w:val="0"/>
          <w:color w:val="auto"/>
          <w:sz w:val="20"/>
          <w:szCs w:val="20"/>
          <w:lang w:val="en-IN"/>
        </w:rPr>
        <w:t>, fed with different levels of spirulina.</w:t>
      </w:r>
    </w:p>
    <w:tbl>
      <w:tblPr>
        <w:tblStyle w:val="TableGrid"/>
        <w:tblW w:w="9131" w:type="dxa"/>
        <w:tblLayout w:type="fixed"/>
        <w:tblLook w:val="04A0" w:firstRow="1" w:lastRow="0" w:firstColumn="1" w:lastColumn="0" w:noHBand="0" w:noVBand="1"/>
      </w:tblPr>
      <w:tblGrid>
        <w:gridCol w:w="1555"/>
        <w:gridCol w:w="1275"/>
        <w:gridCol w:w="1276"/>
        <w:gridCol w:w="1276"/>
        <w:gridCol w:w="1276"/>
        <w:gridCol w:w="1275"/>
        <w:gridCol w:w="1198"/>
      </w:tblGrid>
      <w:tr w:rsidR="00E94D45">
        <w:tc>
          <w:tcPr>
            <w:tcW w:w="1555" w:type="dxa"/>
            <w:noWrap/>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18"/>
              </w:rPr>
              <w:t>Treatments</w:t>
            </w:r>
          </w:p>
        </w:tc>
        <w:tc>
          <w:tcPr>
            <w:tcW w:w="1275" w:type="dxa"/>
            <w:noWrap/>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20"/>
                <w:szCs w:val="20"/>
              </w:rPr>
              <w:t>T0 (0% Spirulina)</w:t>
            </w:r>
          </w:p>
        </w:tc>
        <w:tc>
          <w:tcPr>
            <w:tcW w:w="1276" w:type="dxa"/>
            <w:noWrap/>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20"/>
                <w:szCs w:val="20"/>
              </w:rPr>
              <w:t>T1 (2%)</w:t>
            </w:r>
          </w:p>
        </w:tc>
        <w:tc>
          <w:tcPr>
            <w:tcW w:w="1276" w:type="dxa"/>
            <w:noWrap/>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20"/>
                <w:szCs w:val="20"/>
              </w:rPr>
              <w:t>T2 (4%)</w:t>
            </w:r>
          </w:p>
        </w:tc>
        <w:tc>
          <w:tcPr>
            <w:tcW w:w="1276" w:type="dxa"/>
            <w:noWrap/>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20"/>
                <w:szCs w:val="20"/>
              </w:rPr>
              <w:t>T3 (6%)</w:t>
            </w:r>
          </w:p>
        </w:tc>
        <w:tc>
          <w:tcPr>
            <w:tcW w:w="1275" w:type="dxa"/>
            <w:noWrap/>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20"/>
                <w:szCs w:val="20"/>
              </w:rPr>
              <w:t>T4 (8%)</w:t>
            </w:r>
          </w:p>
        </w:tc>
        <w:tc>
          <w:tcPr>
            <w:tcW w:w="1198" w:type="dxa"/>
            <w:noWrap/>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20"/>
                <w:szCs w:val="20"/>
              </w:rPr>
              <w:t>T5</w:t>
            </w:r>
            <w:r>
              <w:rPr>
                <w:rFonts w:cs="Times New Roman"/>
                <w:b/>
                <w:bCs/>
                <w:sz w:val="20"/>
                <w:szCs w:val="20"/>
              </w:rPr>
              <w:t xml:space="preserve"> (10%)</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Total Protein (g/d</w:t>
            </w:r>
            <w:r>
              <w:rPr>
                <w:rFonts w:cs="Times New Roman"/>
                <w:sz w:val="18"/>
                <w:szCs w:val="20"/>
              </w:rPr>
              <w:t>L</w:t>
            </w:r>
            <w:r>
              <w:rPr>
                <w:rFonts w:cs="Times New Roman"/>
                <w:b/>
                <w:bCs/>
                <w:sz w:val="18"/>
                <w:szCs w:val="20"/>
              </w:rPr>
              <w:t>)</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4.56±0.025</w:t>
            </w:r>
            <w:r>
              <w:rPr>
                <w:rFonts w:cs="Times New Roman"/>
                <w:sz w:val="18"/>
                <w:szCs w:val="20"/>
                <w:vertAlign w:val="superscript"/>
              </w:rPr>
              <w:t>a</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4.95±0.011</w:t>
            </w:r>
            <w:r>
              <w:rPr>
                <w:rFonts w:cs="Times New Roman"/>
                <w:sz w:val="18"/>
                <w:szCs w:val="20"/>
                <w:vertAlign w:val="superscript"/>
              </w:rPr>
              <w:t>b</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5.18±0.011</w:t>
            </w:r>
            <w:r>
              <w:rPr>
                <w:rFonts w:cs="Times New Roman"/>
                <w:sz w:val="18"/>
                <w:szCs w:val="20"/>
                <w:vertAlign w:val="superscript"/>
              </w:rPr>
              <w:t>c</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5.35±0.012</w:t>
            </w:r>
            <w:r>
              <w:rPr>
                <w:rFonts w:cs="Times New Roman"/>
                <w:sz w:val="18"/>
                <w:szCs w:val="20"/>
                <w:vertAlign w:val="superscript"/>
              </w:rPr>
              <w:t>d</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5.67±0.012</w:t>
            </w:r>
            <w:r>
              <w:rPr>
                <w:rFonts w:cs="Times New Roman"/>
                <w:sz w:val="18"/>
                <w:szCs w:val="20"/>
                <w:vertAlign w:val="superscript"/>
              </w:rPr>
              <w:t>e</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5.85±0.015</w:t>
            </w:r>
            <w:r>
              <w:rPr>
                <w:rFonts w:cs="Times New Roman"/>
                <w:sz w:val="18"/>
                <w:szCs w:val="20"/>
                <w:vertAlign w:val="superscript"/>
              </w:rPr>
              <w:t>f</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Albumin (g/d</w:t>
            </w:r>
            <w:r>
              <w:rPr>
                <w:rFonts w:cs="Times New Roman"/>
                <w:sz w:val="18"/>
                <w:szCs w:val="20"/>
              </w:rPr>
              <w:t>L</w:t>
            </w:r>
            <w:r>
              <w:rPr>
                <w:rFonts w:cs="Times New Roman"/>
                <w:b/>
                <w:bCs/>
                <w:sz w:val="18"/>
                <w:szCs w:val="20"/>
              </w:rPr>
              <w:t>)</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2.32±0.015</w:t>
            </w:r>
            <w:r>
              <w:rPr>
                <w:rFonts w:cs="Times New Roman"/>
                <w:sz w:val="18"/>
                <w:szCs w:val="20"/>
                <w:vertAlign w:val="superscript"/>
              </w:rPr>
              <w:t>a</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2.55±0.008</w:t>
            </w:r>
            <w:r>
              <w:rPr>
                <w:rFonts w:cs="Times New Roman"/>
                <w:sz w:val="18"/>
                <w:szCs w:val="20"/>
                <w:vertAlign w:val="superscript"/>
              </w:rPr>
              <w:t>b</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2.60±0.014</w:t>
            </w:r>
            <w:r>
              <w:rPr>
                <w:rFonts w:cs="Times New Roman"/>
                <w:sz w:val="18"/>
                <w:szCs w:val="20"/>
                <w:vertAlign w:val="superscript"/>
              </w:rPr>
              <w:t>c</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2.80±0.005</w:t>
            </w:r>
            <w:r>
              <w:rPr>
                <w:rFonts w:cs="Times New Roman"/>
                <w:sz w:val="18"/>
                <w:szCs w:val="20"/>
                <w:vertAlign w:val="superscript"/>
              </w:rPr>
              <w:t>d</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2.84±0.011</w:t>
            </w:r>
            <w:r>
              <w:rPr>
                <w:rFonts w:cs="Times New Roman"/>
                <w:sz w:val="18"/>
                <w:szCs w:val="20"/>
                <w:vertAlign w:val="superscript"/>
              </w:rPr>
              <w:t>e</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2.91±0.011</w:t>
            </w:r>
            <w:r>
              <w:rPr>
                <w:rFonts w:cs="Times New Roman"/>
                <w:sz w:val="18"/>
                <w:szCs w:val="20"/>
                <w:vertAlign w:val="superscript"/>
              </w:rPr>
              <w:t>f</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Globulin (g/d</w:t>
            </w:r>
            <w:r>
              <w:rPr>
                <w:rFonts w:cs="Times New Roman"/>
                <w:sz w:val="18"/>
                <w:szCs w:val="20"/>
              </w:rPr>
              <w:t>L</w:t>
            </w:r>
            <w:r>
              <w:rPr>
                <w:rFonts w:cs="Times New Roman"/>
                <w:b/>
                <w:bCs/>
                <w:sz w:val="18"/>
                <w:szCs w:val="20"/>
              </w:rPr>
              <w:t>)</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2.23±0.014</w:t>
            </w:r>
            <w:r>
              <w:rPr>
                <w:rFonts w:cs="Times New Roman"/>
                <w:sz w:val="18"/>
                <w:szCs w:val="20"/>
                <w:vertAlign w:val="superscript"/>
              </w:rPr>
              <w:t>d</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1.94±0.014</w:t>
            </w:r>
            <w:r>
              <w:rPr>
                <w:rFonts w:cs="Times New Roman"/>
                <w:sz w:val="18"/>
                <w:szCs w:val="20"/>
                <w:vertAlign w:val="superscript"/>
              </w:rPr>
              <w:t>a</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1.97±0.014</w:t>
            </w:r>
            <w:r>
              <w:rPr>
                <w:rFonts w:cs="Times New Roman"/>
                <w:sz w:val="18"/>
                <w:szCs w:val="20"/>
                <w:vertAlign w:val="superscript"/>
              </w:rPr>
              <w:t>ab</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2.01±0.008</w:t>
            </w:r>
            <w:r>
              <w:rPr>
                <w:rFonts w:cs="Times New Roman"/>
                <w:sz w:val="18"/>
                <w:szCs w:val="20"/>
                <w:vertAlign w:val="superscript"/>
              </w:rPr>
              <w:t>b</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2.13±0.011</w:t>
            </w:r>
            <w:r>
              <w:rPr>
                <w:rFonts w:cs="Times New Roman"/>
                <w:sz w:val="18"/>
                <w:szCs w:val="20"/>
                <w:vertAlign w:val="superscript"/>
              </w:rPr>
              <w:t>c</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2.21±0.014</w:t>
            </w:r>
            <w:r>
              <w:rPr>
                <w:rFonts w:cs="Times New Roman"/>
                <w:sz w:val="18"/>
                <w:szCs w:val="20"/>
                <w:vertAlign w:val="superscript"/>
              </w:rPr>
              <w:t>d</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A:G ratio</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1.03±0.01</w:t>
            </w:r>
            <w:r>
              <w:rPr>
                <w:rFonts w:cs="Times New Roman"/>
                <w:sz w:val="18"/>
                <w:szCs w:val="20"/>
                <w:vertAlign w:val="superscript"/>
              </w:rPr>
              <w:t>a</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1.31±0.011</w:t>
            </w:r>
            <w:r>
              <w:rPr>
                <w:rFonts w:cs="Times New Roman"/>
                <w:sz w:val="18"/>
                <w:szCs w:val="20"/>
                <w:vertAlign w:val="superscript"/>
              </w:rPr>
              <w:t>b</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1.31±0.003</w:t>
            </w:r>
            <w:r>
              <w:rPr>
                <w:rFonts w:cs="Times New Roman"/>
                <w:sz w:val="18"/>
                <w:szCs w:val="20"/>
                <w:vertAlign w:val="superscript"/>
              </w:rPr>
              <w:t>b</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1.38±0.003</w:t>
            </w:r>
            <w:r>
              <w:rPr>
                <w:rFonts w:cs="Times New Roman"/>
                <w:sz w:val="18"/>
                <w:szCs w:val="20"/>
                <w:vertAlign w:val="superscript"/>
              </w:rPr>
              <w:t>c</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1.33±0.011</w:t>
            </w:r>
            <w:r>
              <w:rPr>
                <w:rFonts w:cs="Times New Roman"/>
                <w:sz w:val="18"/>
                <w:szCs w:val="20"/>
                <w:vertAlign w:val="superscript"/>
              </w:rPr>
              <w:t>b</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1.31±0.008</w:t>
            </w:r>
            <w:r>
              <w:rPr>
                <w:rFonts w:cs="Times New Roman"/>
                <w:sz w:val="18"/>
                <w:szCs w:val="20"/>
                <w:vertAlign w:val="superscript"/>
              </w:rPr>
              <w:t>b</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Triglyceride (Mg/d</w:t>
            </w:r>
            <w:r>
              <w:rPr>
                <w:rFonts w:cs="Times New Roman"/>
                <w:sz w:val="18"/>
                <w:szCs w:val="20"/>
              </w:rPr>
              <w:t>L</w:t>
            </w:r>
            <w:r>
              <w:rPr>
                <w:rFonts w:cs="Times New Roman"/>
                <w:b/>
                <w:bCs/>
                <w:sz w:val="18"/>
                <w:szCs w:val="20"/>
              </w:rPr>
              <w:t>)</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153.5±0.23</w:t>
            </w:r>
            <w:r>
              <w:rPr>
                <w:rFonts w:cs="Times New Roman"/>
                <w:sz w:val="18"/>
                <w:szCs w:val="20"/>
                <w:vertAlign w:val="superscript"/>
              </w:rPr>
              <w:t>a</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154.3±0.115</w:t>
            </w:r>
            <w:r>
              <w:rPr>
                <w:rFonts w:cs="Times New Roman"/>
                <w:sz w:val="18"/>
                <w:szCs w:val="20"/>
                <w:vertAlign w:val="superscript"/>
              </w:rPr>
              <w:t>b</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156.06±0.12</w:t>
            </w:r>
            <w:r>
              <w:rPr>
                <w:rFonts w:cs="Times New Roman"/>
                <w:sz w:val="18"/>
                <w:szCs w:val="20"/>
                <w:vertAlign w:val="superscript"/>
              </w:rPr>
              <w:t>c</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157.7±0.208</w:t>
            </w:r>
            <w:r>
              <w:rPr>
                <w:rFonts w:cs="Times New Roman"/>
                <w:sz w:val="18"/>
                <w:szCs w:val="20"/>
                <w:vertAlign w:val="superscript"/>
              </w:rPr>
              <w:t>d</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159±0.115</w:t>
            </w:r>
            <w:r>
              <w:rPr>
                <w:rFonts w:cs="Times New Roman"/>
                <w:sz w:val="18"/>
                <w:szCs w:val="20"/>
                <w:vertAlign w:val="superscript"/>
              </w:rPr>
              <w:t>e</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160.26±0.145</w:t>
            </w:r>
            <w:r>
              <w:rPr>
                <w:rFonts w:cs="Times New Roman"/>
                <w:sz w:val="18"/>
                <w:szCs w:val="20"/>
                <w:vertAlign w:val="superscript"/>
              </w:rPr>
              <w:t>f</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Cholesterol (mg/d</w:t>
            </w:r>
            <w:r>
              <w:rPr>
                <w:rFonts w:cs="Times New Roman"/>
                <w:sz w:val="18"/>
                <w:szCs w:val="20"/>
              </w:rPr>
              <w:t>L</w:t>
            </w:r>
            <w:r>
              <w:rPr>
                <w:rFonts w:cs="Times New Roman"/>
                <w:b/>
                <w:bCs/>
                <w:sz w:val="18"/>
                <w:szCs w:val="20"/>
              </w:rPr>
              <w:t>)</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191.46±0.145</w:t>
            </w:r>
            <w:r>
              <w:rPr>
                <w:rFonts w:cs="Times New Roman"/>
                <w:sz w:val="18"/>
                <w:szCs w:val="20"/>
                <w:vertAlign w:val="superscript"/>
              </w:rPr>
              <w:t>f</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188.16±0.088</w:t>
            </w:r>
            <w:r>
              <w:rPr>
                <w:rFonts w:cs="Times New Roman"/>
                <w:sz w:val="18"/>
                <w:szCs w:val="20"/>
                <w:vertAlign w:val="superscript"/>
              </w:rPr>
              <w:t>e</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181.4±0.208</w:t>
            </w:r>
            <w:r>
              <w:rPr>
                <w:rFonts w:cs="Times New Roman"/>
                <w:sz w:val="18"/>
                <w:szCs w:val="20"/>
                <w:vertAlign w:val="superscript"/>
              </w:rPr>
              <w:t>d</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178.1±0.208</w:t>
            </w:r>
            <w:r>
              <w:rPr>
                <w:rFonts w:cs="Times New Roman"/>
                <w:sz w:val="18"/>
                <w:szCs w:val="20"/>
                <w:vertAlign w:val="superscript"/>
              </w:rPr>
              <w:t>c</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173.16±0.202</w:t>
            </w:r>
            <w:r>
              <w:rPr>
                <w:rFonts w:cs="Times New Roman"/>
                <w:sz w:val="18"/>
                <w:szCs w:val="20"/>
                <w:vertAlign w:val="superscript"/>
              </w:rPr>
              <w:t>b</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168.6±0.152</w:t>
            </w:r>
            <w:r>
              <w:rPr>
                <w:rFonts w:cs="Times New Roman"/>
                <w:sz w:val="18"/>
                <w:szCs w:val="20"/>
                <w:vertAlign w:val="superscript"/>
              </w:rPr>
              <w:t>a</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ALT (U/L)</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41.56±0.088</w:t>
            </w:r>
            <w:r>
              <w:rPr>
                <w:rFonts w:cs="Times New Roman"/>
                <w:sz w:val="18"/>
                <w:szCs w:val="20"/>
                <w:vertAlign w:val="superscript"/>
              </w:rPr>
              <w:t>f</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41.13±0.088</w:t>
            </w:r>
            <w:r>
              <w:rPr>
                <w:rFonts w:cs="Times New Roman"/>
                <w:sz w:val="18"/>
                <w:szCs w:val="20"/>
                <w:vertAlign w:val="superscript"/>
              </w:rPr>
              <w:t>e</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40.16±0.088</w:t>
            </w:r>
            <w:r>
              <w:rPr>
                <w:rFonts w:cs="Times New Roman"/>
                <w:sz w:val="18"/>
                <w:szCs w:val="20"/>
                <w:vertAlign w:val="superscript"/>
              </w:rPr>
              <w:t>d</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39.36±0.088</w:t>
            </w:r>
            <w:r>
              <w:rPr>
                <w:rFonts w:cs="Times New Roman"/>
                <w:sz w:val="18"/>
                <w:szCs w:val="20"/>
                <w:vertAlign w:val="superscript"/>
              </w:rPr>
              <w:t>c</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38.76±0.088</w:t>
            </w:r>
            <w:r>
              <w:rPr>
                <w:rFonts w:cs="Times New Roman"/>
                <w:sz w:val="18"/>
                <w:szCs w:val="20"/>
                <w:vertAlign w:val="superscript"/>
              </w:rPr>
              <w:t>b</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38.13±0.088</w:t>
            </w:r>
            <w:r>
              <w:rPr>
                <w:rFonts w:cs="Times New Roman"/>
                <w:sz w:val="18"/>
                <w:szCs w:val="20"/>
                <w:vertAlign w:val="superscript"/>
              </w:rPr>
              <w:t>a</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AST (U/L)</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65.2±0.152</w:t>
            </w:r>
            <w:r>
              <w:rPr>
                <w:rFonts w:cs="Times New Roman"/>
                <w:sz w:val="18"/>
                <w:szCs w:val="20"/>
                <w:vertAlign w:val="superscript"/>
              </w:rPr>
              <w:t>f</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64.4±0.115</w:t>
            </w:r>
            <w:r>
              <w:rPr>
                <w:rFonts w:cs="Times New Roman"/>
                <w:sz w:val="18"/>
                <w:szCs w:val="20"/>
                <w:vertAlign w:val="superscript"/>
              </w:rPr>
              <w:t>e</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62.06±0.12</w:t>
            </w:r>
            <w:r>
              <w:rPr>
                <w:rFonts w:cs="Times New Roman"/>
                <w:sz w:val="18"/>
                <w:szCs w:val="20"/>
                <w:vertAlign w:val="superscript"/>
              </w:rPr>
              <w:t>d</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63.46±0.088</w:t>
            </w:r>
            <w:r>
              <w:rPr>
                <w:rFonts w:cs="Times New Roman"/>
                <w:sz w:val="18"/>
                <w:szCs w:val="20"/>
                <w:vertAlign w:val="superscript"/>
              </w:rPr>
              <w:t>c</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60.1±0.115</w:t>
            </w:r>
            <w:r>
              <w:rPr>
                <w:rFonts w:cs="Times New Roman"/>
                <w:sz w:val="18"/>
                <w:szCs w:val="20"/>
                <w:vertAlign w:val="superscript"/>
              </w:rPr>
              <w:t>b</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57.93±0.12</w:t>
            </w:r>
            <w:r>
              <w:rPr>
                <w:rFonts w:cs="Times New Roman"/>
                <w:sz w:val="18"/>
                <w:szCs w:val="20"/>
                <w:vertAlign w:val="superscript"/>
              </w:rPr>
              <w:t>a</w:t>
            </w:r>
          </w:p>
        </w:tc>
      </w:tr>
      <w:tr w:rsidR="00E94D45">
        <w:tc>
          <w:tcPr>
            <w:tcW w:w="1555" w:type="dxa"/>
            <w:vAlign w:val="center"/>
            <w:hideMark/>
          </w:tcPr>
          <w:p w:rsidR="00E94D45" w:rsidRDefault="005572AF">
            <w:pPr>
              <w:spacing w:after="0" w:line="276" w:lineRule="auto"/>
              <w:ind w:left="-113" w:right="-113"/>
              <w:jc w:val="center"/>
              <w:rPr>
                <w:rFonts w:cs="Times New Roman"/>
                <w:b/>
                <w:bCs/>
                <w:sz w:val="18"/>
                <w:szCs w:val="20"/>
              </w:rPr>
            </w:pPr>
            <w:r>
              <w:rPr>
                <w:rFonts w:cs="Times New Roman"/>
                <w:b/>
                <w:bCs/>
                <w:sz w:val="18"/>
                <w:szCs w:val="20"/>
              </w:rPr>
              <w:t>ALP (U/L)</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30.16±0.088</w:t>
            </w:r>
            <w:r>
              <w:rPr>
                <w:rFonts w:cs="Times New Roman"/>
                <w:sz w:val="18"/>
                <w:szCs w:val="20"/>
                <w:vertAlign w:val="superscript"/>
              </w:rPr>
              <w:t>f</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27.13±0.088</w:t>
            </w:r>
            <w:r>
              <w:rPr>
                <w:rFonts w:cs="Times New Roman"/>
                <w:sz w:val="18"/>
                <w:szCs w:val="20"/>
                <w:vertAlign w:val="superscript"/>
              </w:rPr>
              <w:t>e</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28.46±0.088</w:t>
            </w:r>
            <w:r>
              <w:rPr>
                <w:rFonts w:cs="Times New Roman"/>
                <w:sz w:val="18"/>
                <w:szCs w:val="20"/>
                <w:vertAlign w:val="superscript"/>
              </w:rPr>
              <w:t>d</w:t>
            </w:r>
          </w:p>
        </w:tc>
        <w:tc>
          <w:tcPr>
            <w:tcW w:w="1276"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25.33±0.12</w:t>
            </w:r>
            <w:r>
              <w:rPr>
                <w:rFonts w:cs="Times New Roman"/>
                <w:sz w:val="18"/>
                <w:szCs w:val="20"/>
                <w:vertAlign w:val="superscript"/>
              </w:rPr>
              <w:t>c</w:t>
            </w:r>
          </w:p>
        </w:tc>
        <w:tc>
          <w:tcPr>
            <w:tcW w:w="1275"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21.13±0.088</w:t>
            </w:r>
            <w:r>
              <w:rPr>
                <w:rFonts w:cs="Times New Roman"/>
                <w:sz w:val="18"/>
                <w:szCs w:val="20"/>
                <w:vertAlign w:val="superscript"/>
              </w:rPr>
              <w:t>a</w:t>
            </w:r>
          </w:p>
        </w:tc>
        <w:tc>
          <w:tcPr>
            <w:tcW w:w="1198" w:type="dxa"/>
            <w:vAlign w:val="center"/>
            <w:hideMark/>
          </w:tcPr>
          <w:p w:rsidR="00E94D45" w:rsidRDefault="005572AF">
            <w:pPr>
              <w:spacing w:after="0" w:line="276" w:lineRule="auto"/>
              <w:ind w:left="-113" w:right="-113"/>
              <w:jc w:val="center"/>
              <w:rPr>
                <w:rFonts w:cs="Times New Roman"/>
                <w:sz w:val="18"/>
                <w:szCs w:val="20"/>
              </w:rPr>
            </w:pPr>
            <w:r>
              <w:rPr>
                <w:rFonts w:cs="Times New Roman"/>
                <w:sz w:val="18"/>
                <w:szCs w:val="20"/>
              </w:rPr>
              <w:t>24.16±0.088</w:t>
            </w:r>
            <w:r>
              <w:rPr>
                <w:rFonts w:cs="Times New Roman"/>
                <w:sz w:val="18"/>
                <w:szCs w:val="20"/>
                <w:vertAlign w:val="superscript"/>
              </w:rPr>
              <w:t>b</w:t>
            </w:r>
          </w:p>
        </w:tc>
      </w:tr>
      <w:tr w:rsidR="00E94D45">
        <w:tc>
          <w:tcPr>
            <w:tcW w:w="9131" w:type="dxa"/>
            <w:gridSpan w:val="7"/>
            <w:vAlign w:val="center"/>
          </w:tcPr>
          <w:p w:rsidR="00E94D45" w:rsidRDefault="005572AF">
            <w:pPr>
              <w:spacing w:after="0" w:line="276" w:lineRule="auto"/>
              <w:jc w:val="left"/>
              <w:rPr>
                <w:rFonts w:cs="Times New Roman"/>
                <w:sz w:val="18"/>
                <w:szCs w:val="18"/>
              </w:rPr>
            </w:pPr>
            <w:r>
              <w:rPr>
                <w:rFonts w:cs="Times New Roman"/>
                <w:b/>
                <w:bCs/>
                <w:sz w:val="18"/>
                <w:szCs w:val="18"/>
              </w:rPr>
              <w:t>Abbreviations:</w:t>
            </w:r>
            <w:r>
              <w:rPr>
                <w:rFonts w:cs="Times New Roman"/>
                <w:sz w:val="18"/>
                <w:szCs w:val="18"/>
              </w:rPr>
              <w:t xml:space="preserve"> A: G Ratio = Albumin: Globulin Ratio; </w:t>
            </w:r>
            <w:r>
              <w:rPr>
                <w:rFonts w:cs="Times New Roman"/>
                <w:sz w:val="18"/>
                <w:szCs w:val="18"/>
                <w:lang w:val="en-IN"/>
              </w:rPr>
              <w:t xml:space="preserve">ALT = Alanine aminotransferase; AST = Aspartate aminotransferase; </w:t>
            </w:r>
            <w:r>
              <w:rPr>
                <w:rFonts w:cs="Times New Roman"/>
                <w:sz w:val="18"/>
                <w:szCs w:val="18"/>
              </w:rPr>
              <w:t>ALP = Alkaline phosphatase</w:t>
            </w:r>
          </w:p>
          <w:p w:rsidR="00E94D45" w:rsidRDefault="005572AF">
            <w:pPr>
              <w:spacing w:after="0" w:line="276" w:lineRule="auto"/>
              <w:jc w:val="left"/>
              <w:rPr>
                <w:rFonts w:cs="Times New Roman"/>
                <w:color w:val="auto"/>
                <w:sz w:val="18"/>
                <w:szCs w:val="18"/>
              </w:rPr>
            </w:pPr>
            <w:r>
              <w:rPr>
                <w:rFonts w:cs="Times New Roman"/>
                <w:sz w:val="18"/>
                <w:szCs w:val="18"/>
              </w:rPr>
              <w:t xml:space="preserve">Sample size: n = 10 fish per treatment. Blood serum was collected after centrifugation of whole blood (obtained via caudal puncture) </w:t>
            </w:r>
            <w:r>
              <w:rPr>
                <w:rFonts w:cs="Times New Roman"/>
                <w:color w:val="auto"/>
                <w:sz w:val="18"/>
                <w:szCs w:val="18"/>
              </w:rPr>
              <w:t>and analyzed using an automated serum biochemical analyzer (Model: LANDWIND).</w:t>
            </w:r>
          </w:p>
          <w:p w:rsidR="00E94D45" w:rsidRDefault="005572AF">
            <w:pPr>
              <w:spacing w:after="0" w:line="276" w:lineRule="auto"/>
              <w:rPr>
                <w:rFonts w:cs="Times New Roman"/>
                <w:sz w:val="18"/>
                <w:szCs w:val="20"/>
              </w:rPr>
            </w:pPr>
            <w:r>
              <w:rPr>
                <w:rFonts w:cs="Times New Roman"/>
                <w:b/>
                <w:bCs/>
                <w:color w:val="auto"/>
                <w:sz w:val="18"/>
                <w:szCs w:val="18"/>
              </w:rPr>
              <w:t>Statistical analysis:</w:t>
            </w:r>
            <w:r>
              <w:rPr>
                <w:rFonts w:cs="Times New Roman"/>
                <w:color w:val="auto"/>
                <w:sz w:val="18"/>
                <w:szCs w:val="18"/>
              </w:rPr>
              <w:t xml:space="preserve"> Values are mean ± stand</w:t>
            </w:r>
            <w:r>
              <w:rPr>
                <w:rFonts w:cs="Times New Roman"/>
                <w:color w:val="auto"/>
                <w:sz w:val="18"/>
                <w:szCs w:val="18"/>
              </w:rPr>
              <w:t xml:space="preserve">ard error (SE). Within </w:t>
            </w:r>
            <w:r>
              <w:rPr>
                <w:rFonts w:cs="Times New Roman"/>
                <w:sz w:val="18"/>
                <w:szCs w:val="18"/>
              </w:rPr>
              <w:t>each row, means with different superscript letters (a–f) differ significantly (p &lt; 0.05; one-way ANOVA followed by Tukey’s test).</w:t>
            </w:r>
          </w:p>
        </w:tc>
      </w:tr>
    </w:tbl>
    <w:p w:rsidR="00E94D45" w:rsidRDefault="005572AF">
      <w:pPr>
        <w:pStyle w:val="ListParagraph"/>
        <w:numPr>
          <w:ilvl w:val="1"/>
          <w:numId w:val="22"/>
        </w:numPr>
        <w:spacing w:before="240" w:line="276" w:lineRule="auto"/>
        <w:ind w:left="426" w:hanging="426"/>
        <w:rPr>
          <w:rFonts w:cs="Times New Roman"/>
          <w:color w:val="auto"/>
          <w:szCs w:val="24"/>
        </w:rPr>
      </w:pPr>
      <w:r>
        <w:rPr>
          <w:rFonts w:cs="Times New Roman"/>
          <w:color w:val="auto"/>
          <w:szCs w:val="24"/>
        </w:rPr>
        <w:lastRenderedPageBreak/>
        <w:t>Digestive enzyme activity</w:t>
      </w:r>
    </w:p>
    <w:p w:rsidR="00E94D45" w:rsidRDefault="005572AF">
      <w:pPr>
        <w:spacing w:line="276" w:lineRule="auto"/>
        <w:rPr>
          <w:rFonts w:cs="Times New Roman"/>
          <w:sz w:val="20"/>
          <w:szCs w:val="20"/>
        </w:rPr>
      </w:pPr>
      <w:r>
        <w:rPr>
          <w:rFonts w:cs="Times New Roman"/>
          <w:sz w:val="20"/>
          <w:szCs w:val="20"/>
        </w:rPr>
        <w:t xml:space="preserve">Significant variations (p&lt;0.05) in digestive enzyme activity are observed </w:t>
      </w:r>
      <w:r>
        <w:rPr>
          <w:rFonts w:cs="Times New Roman"/>
          <w:sz w:val="20"/>
          <w:szCs w:val="20"/>
        </w:rPr>
        <w:t>between treatments (T0 to T5), according to Table 7. From T0 (3.75±0.024 U/mg substrate) to T5 (4.29±0.011 U/mg substrate), amylase activity rose steadily with increasing spirulina levels. Each treatment showed a statistically significant increase in compa</w:t>
      </w:r>
      <w:r>
        <w:rPr>
          <w:rFonts w:cs="Times New Roman"/>
          <w:sz w:val="20"/>
          <w:szCs w:val="20"/>
        </w:rPr>
        <w:t>rison to the preceding one (p&lt;0.05). Similarly, T0 showed the lowest activity (4.21±0.014 U/mg substrate) and T5 the highest (4.62±0.017 U/mg substrate) for lipase activity. T1 (270.23±0.202 U/mg substrate) significantly increased from T0 (268.43±0.348 U/m</w:t>
      </w:r>
      <w:r>
        <w:rPr>
          <w:rFonts w:cs="Times New Roman"/>
          <w:sz w:val="20"/>
          <w:szCs w:val="20"/>
        </w:rPr>
        <w:t>g substrate) and successive treatments also showed significant increases, with T5 (312.83±0.317 U/mg substrate) demonstrating the highest protease activity (Table 7).</w:t>
      </w:r>
    </w:p>
    <w:p w:rsidR="00E94D45" w:rsidRDefault="005572AF">
      <w:pPr>
        <w:pStyle w:val="Caption"/>
        <w:keepNext/>
        <w:spacing w:after="120" w:line="276" w:lineRule="auto"/>
        <w:ind w:left="709" w:hanging="709"/>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7</w:t>
      </w:r>
      <w:r>
        <w:rPr>
          <w:b/>
          <w:bCs/>
          <w:i w:val="0"/>
          <w:iCs w:val="0"/>
          <w:color w:val="auto"/>
          <w:sz w:val="20"/>
          <w:szCs w:val="20"/>
        </w:rPr>
        <w:fldChar w:fldCharType="end"/>
      </w:r>
      <w:r>
        <w:rPr>
          <w:b/>
          <w:bCs/>
          <w:i w:val="0"/>
          <w:iCs w:val="0"/>
          <w:color w:val="auto"/>
          <w:sz w:val="20"/>
          <w:szCs w:val="20"/>
          <w:lang w:val="en-IN"/>
        </w:rPr>
        <w:t xml:space="preserve"> Digestive enzyme activity analysis of blue gourami, </w:t>
      </w:r>
      <w:r>
        <w:rPr>
          <w:b/>
          <w:bCs/>
          <w:color w:val="auto"/>
          <w:sz w:val="20"/>
          <w:szCs w:val="20"/>
          <w:lang w:val="en-IN"/>
        </w:rPr>
        <w:t>Trich</w:t>
      </w:r>
      <w:r>
        <w:rPr>
          <w:b/>
          <w:bCs/>
          <w:color w:val="auto"/>
          <w:sz w:val="20"/>
          <w:szCs w:val="20"/>
          <w:lang w:val="en-IN"/>
        </w:rPr>
        <w:t>ogaster trichopterus</w:t>
      </w:r>
      <w:r>
        <w:rPr>
          <w:b/>
          <w:bCs/>
          <w:i w:val="0"/>
          <w:iCs w:val="0"/>
          <w:color w:val="auto"/>
          <w:sz w:val="20"/>
          <w:szCs w:val="20"/>
          <w:lang w:val="en-IN"/>
        </w:rPr>
        <w:t>, fed with different levels of spirulina.</w:t>
      </w:r>
    </w:p>
    <w:tbl>
      <w:tblPr>
        <w:tblStyle w:val="TableGrid"/>
        <w:tblW w:w="5000" w:type="pct"/>
        <w:jc w:val="center"/>
        <w:tblLook w:val="04A0" w:firstRow="1" w:lastRow="0" w:firstColumn="1" w:lastColumn="0" w:noHBand="0" w:noVBand="1"/>
      </w:tblPr>
      <w:tblGrid>
        <w:gridCol w:w="1790"/>
        <w:gridCol w:w="2415"/>
        <w:gridCol w:w="2406"/>
        <w:gridCol w:w="2405"/>
      </w:tblGrid>
      <w:tr w:rsidR="00E94D45">
        <w:trPr>
          <w:jc w:val="center"/>
        </w:trPr>
        <w:tc>
          <w:tcPr>
            <w:tcW w:w="982" w:type="pct"/>
            <w:noWrap/>
            <w:vAlign w:val="center"/>
          </w:tcPr>
          <w:p w:rsidR="00E94D45" w:rsidRDefault="005572AF">
            <w:pPr>
              <w:spacing w:after="0" w:line="276" w:lineRule="auto"/>
              <w:ind w:left="-113" w:right="-113"/>
              <w:jc w:val="center"/>
              <w:rPr>
                <w:rFonts w:cs="Times New Roman"/>
                <w:b/>
                <w:bCs/>
                <w:sz w:val="20"/>
              </w:rPr>
            </w:pPr>
            <w:r>
              <w:rPr>
                <w:rFonts w:cs="Times New Roman"/>
                <w:b/>
                <w:bCs/>
                <w:sz w:val="20"/>
              </w:rPr>
              <w:t>Treatments</w:t>
            </w:r>
          </w:p>
        </w:tc>
        <w:tc>
          <w:tcPr>
            <w:tcW w:w="1343" w:type="pct"/>
            <w:vAlign w:val="center"/>
          </w:tcPr>
          <w:p w:rsidR="00E94D45" w:rsidRDefault="005572AF">
            <w:pPr>
              <w:spacing w:after="0" w:line="276" w:lineRule="auto"/>
              <w:ind w:left="-113" w:right="-113"/>
              <w:jc w:val="center"/>
              <w:rPr>
                <w:rFonts w:cs="Times New Roman"/>
                <w:b/>
                <w:bCs/>
                <w:sz w:val="20"/>
              </w:rPr>
            </w:pPr>
            <w:r>
              <w:rPr>
                <w:rFonts w:cs="Times New Roman"/>
                <w:b/>
                <w:bCs/>
                <w:sz w:val="20"/>
              </w:rPr>
              <w:t>Amylase (U/mg substrate)</w:t>
            </w:r>
          </w:p>
        </w:tc>
        <w:tc>
          <w:tcPr>
            <w:tcW w:w="1338" w:type="pct"/>
            <w:vAlign w:val="center"/>
          </w:tcPr>
          <w:p w:rsidR="00E94D45" w:rsidRDefault="005572AF">
            <w:pPr>
              <w:spacing w:after="0" w:line="276" w:lineRule="auto"/>
              <w:ind w:left="-113" w:right="-113"/>
              <w:jc w:val="center"/>
              <w:rPr>
                <w:rFonts w:cs="Times New Roman"/>
                <w:b/>
                <w:bCs/>
                <w:sz w:val="20"/>
              </w:rPr>
            </w:pPr>
            <w:r>
              <w:rPr>
                <w:rFonts w:cs="Times New Roman"/>
                <w:b/>
                <w:bCs/>
                <w:sz w:val="20"/>
              </w:rPr>
              <w:t>Lipase (U/mg substrate)</w:t>
            </w:r>
          </w:p>
        </w:tc>
        <w:tc>
          <w:tcPr>
            <w:tcW w:w="1337" w:type="pct"/>
            <w:vAlign w:val="center"/>
          </w:tcPr>
          <w:p w:rsidR="00E94D45" w:rsidRDefault="005572AF">
            <w:pPr>
              <w:spacing w:after="0" w:line="276" w:lineRule="auto"/>
              <w:ind w:left="-113" w:right="-113"/>
              <w:jc w:val="center"/>
              <w:rPr>
                <w:rFonts w:cs="Times New Roman"/>
                <w:b/>
                <w:bCs/>
                <w:sz w:val="20"/>
              </w:rPr>
            </w:pPr>
            <w:r>
              <w:rPr>
                <w:rFonts w:cs="Times New Roman"/>
                <w:b/>
                <w:bCs/>
                <w:sz w:val="20"/>
              </w:rPr>
              <w:t>Protease (U/mg substrate)</w:t>
            </w:r>
          </w:p>
        </w:tc>
      </w:tr>
      <w:tr w:rsidR="00E94D45">
        <w:trPr>
          <w:jc w:val="center"/>
        </w:trPr>
        <w:tc>
          <w:tcPr>
            <w:tcW w:w="982" w:type="pct"/>
            <w:noWrap/>
            <w:vAlign w:val="center"/>
            <w:hideMark/>
          </w:tcPr>
          <w:p w:rsidR="00E94D45" w:rsidRDefault="005572AF">
            <w:pPr>
              <w:spacing w:after="0" w:line="276" w:lineRule="auto"/>
              <w:ind w:left="-113" w:right="-113"/>
              <w:jc w:val="center"/>
              <w:rPr>
                <w:rFonts w:cs="Times New Roman"/>
                <w:b/>
                <w:bCs/>
                <w:sz w:val="20"/>
              </w:rPr>
            </w:pPr>
            <w:r>
              <w:rPr>
                <w:rFonts w:cs="Times New Roman"/>
                <w:b/>
                <w:bCs/>
                <w:sz w:val="20"/>
                <w:szCs w:val="20"/>
              </w:rPr>
              <w:t>T0 (0% Spirulina)</w:t>
            </w:r>
          </w:p>
        </w:tc>
        <w:tc>
          <w:tcPr>
            <w:tcW w:w="1343" w:type="pct"/>
            <w:vAlign w:val="center"/>
          </w:tcPr>
          <w:p w:rsidR="00E94D45" w:rsidRDefault="005572AF">
            <w:pPr>
              <w:spacing w:after="0" w:line="276" w:lineRule="auto"/>
              <w:ind w:left="-113" w:right="-113"/>
              <w:jc w:val="center"/>
              <w:rPr>
                <w:rFonts w:cs="Times New Roman"/>
                <w:sz w:val="20"/>
              </w:rPr>
            </w:pPr>
            <w:r>
              <w:rPr>
                <w:rFonts w:cs="Times New Roman"/>
                <w:sz w:val="20"/>
              </w:rPr>
              <w:t>3.75±0.024</w:t>
            </w:r>
            <w:r>
              <w:rPr>
                <w:rFonts w:cs="Times New Roman"/>
                <w:sz w:val="20"/>
                <w:vertAlign w:val="superscript"/>
              </w:rPr>
              <w:t>a</w:t>
            </w:r>
          </w:p>
        </w:tc>
        <w:tc>
          <w:tcPr>
            <w:tcW w:w="1338" w:type="pct"/>
            <w:vAlign w:val="center"/>
          </w:tcPr>
          <w:p w:rsidR="00E94D45" w:rsidRDefault="005572AF">
            <w:pPr>
              <w:spacing w:after="0" w:line="276" w:lineRule="auto"/>
              <w:ind w:left="-113" w:right="-113"/>
              <w:jc w:val="center"/>
              <w:rPr>
                <w:rFonts w:cs="Times New Roman"/>
                <w:sz w:val="20"/>
              </w:rPr>
            </w:pPr>
            <w:r>
              <w:rPr>
                <w:rFonts w:cs="Times New Roman"/>
                <w:sz w:val="20"/>
              </w:rPr>
              <w:t>4.21±0.014</w:t>
            </w:r>
            <w:r>
              <w:rPr>
                <w:rFonts w:cs="Times New Roman"/>
                <w:sz w:val="20"/>
                <w:vertAlign w:val="superscript"/>
              </w:rPr>
              <w:t>a</w:t>
            </w:r>
          </w:p>
        </w:tc>
        <w:tc>
          <w:tcPr>
            <w:tcW w:w="1337" w:type="pct"/>
            <w:vAlign w:val="center"/>
          </w:tcPr>
          <w:p w:rsidR="00E94D45" w:rsidRDefault="005572AF">
            <w:pPr>
              <w:spacing w:after="0" w:line="276" w:lineRule="auto"/>
              <w:ind w:left="-113" w:right="-113"/>
              <w:jc w:val="center"/>
              <w:rPr>
                <w:rFonts w:cs="Times New Roman"/>
                <w:sz w:val="20"/>
              </w:rPr>
            </w:pPr>
            <w:r>
              <w:rPr>
                <w:rFonts w:cs="Times New Roman"/>
                <w:sz w:val="20"/>
              </w:rPr>
              <w:t>268.43±0.348</w:t>
            </w:r>
            <w:r>
              <w:rPr>
                <w:rFonts w:cs="Times New Roman"/>
                <w:sz w:val="20"/>
                <w:vertAlign w:val="superscript"/>
              </w:rPr>
              <w:t>a</w:t>
            </w:r>
          </w:p>
        </w:tc>
      </w:tr>
      <w:tr w:rsidR="00E94D45">
        <w:trPr>
          <w:jc w:val="center"/>
        </w:trPr>
        <w:tc>
          <w:tcPr>
            <w:tcW w:w="982" w:type="pct"/>
            <w:noWrap/>
            <w:vAlign w:val="center"/>
            <w:hideMark/>
          </w:tcPr>
          <w:p w:rsidR="00E94D45" w:rsidRDefault="005572AF">
            <w:pPr>
              <w:spacing w:after="0" w:line="276" w:lineRule="auto"/>
              <w:ind w:left="-113" w:right="-113"/>
              <w:jc w:val="center"/>
              <w:rPr>
                <w:rFonts w:cs="Times New Roman"/>
                <w:b/>
                <w:bCs/>
                <w:sz w:val="20"/>
              </w:rPr>
            </w:pPr>
            <w:r>
              <w:rPr>
                <w:rFonts w:cs="Times New Roman"/>
                <w:b/>
                <w:bCs/>
                <w:sz w:val="20"/>
                <w:szCs w:val="20"/>
              </w:rPr>
              <w:t>T1 (2%)</w:t>
            </w:r>
          </w:p>
        </w:tc>
        <w:tc>
          <w:tcPr>
            <w:tcW w:w="1343" w:type="pct"/>
            <w:vAlign w:val="center"/>
          </w:tcPr>
          <w:p w:rsidR="00E94D45" w:rsidRDefault="005572AF">
            <w:pPr>
              <w:spacing w:after="0" w:line="276" w:lineRule="auto"/>
              <w:ind w:left="-113" w:right="-113"/>
              <w:jc w:val="center"/>
              <w:rPr>
                <w:rFonts w:cs="Times New Roman"/>
                <w:sz w:val="20"/>
              </w:rPr>
            </w:pPr>
            <w:r>
              <w:rPr>
                <w:rFonts w:cs="Times New Roman"/>
                <w:sz w:val="20"/>
              </w:rPr>
              <w:t>3.88±0.02</w:t>
            </w:r>
            <w:r>
              <w:rPr>
                <w:rFonts w:cs="Times New Roman"/>
                <w:sz w:val="20"/>
                <w:vertAlign w:val="superscript"/>
              </w:rPr>
              <w:t>b</w:t>
            </w:r>
          </w:p>
        </w:tc>
        <w:tc>
          <w:tcPr>
            <w:tcW w:w="1338" w:type="pct"/>
            <w:vAlign w:val="center"/>
          </w:tcPr>
          <w:p w:rsidR="00E94D45" w:rsidRDefault="005572AF">
            <w:pPr>
              <w:spacing w:after="0" w:line="276" w:lineRule="auto"/>
              <w:ind w:left="-113" w:right="-113"/>
              <w:jc w:val="center"/>
              <w:rPr>
                <w:rFonts w:cs="Times New Roman"/>
                <w:sz w:val="20"/>
              </w:rPr>
            </w:pPr>
            <w:r>
              <w:rPr>
                <w:rFonts w:cs="Times New Roman"/>
                <w:sz w:val="20"/>
              </w:rPr>
              <w:t>4.25±0.014</w:t>
            </w:r>
            <w:r>
              <w:rPr>
                <w:rFonts w:cs="Times New Roman"/>
                <w:sz w:val="20"/>
                <w:vertAlign w:val="superscript"/>
              </w:rPr>
              <w:t>a</w:t>
            </w:r>
          </w:p>
        </w:tc>
        <w:tc>
          <w:tcPr>
            <w:tcW w:w="1337" w:type="pct"/>
            <w:vAlign w:val="center"/>
          </w:tcPr>
          <w:p w:rsidR="00E94D45" w:rsidRDefault="005572AF">
            <w:pPr>
              <w:spacing w:after="0" w:line="276" w:lineRule="auto"/>
              <w:ind w:left="-113" w:right="-113"/>
              <w:jc w:val="center"/>
              <w:rPr>
                <w:rFonts w:cs="Times New Roman"/>
                <w:sz w:val="20"/>
              </w:rPr>
            </w:pPr>
            <w:r>
              <w:rPr>
                <w:rFonts w:cs="Times New Roman"/>
                <w:sz w:val="20"/>
              </w:rPr>
              <w:t>270.23±0.202</w:t>
            </w:r>
            <w:r>
              <w:rPr>
                <w:rFonts w:cs="Times New Roman"/>
                <w:sz w:val="20"/>
                <w:vertAlign w:val="superscript"/>
              </w:rPr>
              <w:t>b</w:t>
            </w:r>
          </w:p>
        </w:tc>
      </w:tr>
      <w:tr w:rsidR="00E94D45">
        <w:trPr>
          <w:jc w:val="center"/>
        </w:trPr>
        <w:tc>
          <w:tcPr>
            <w:tcW w:w="982" w:type="pct"/>
            <w:noWrap/>
            <w:vAlign w:val="center"/>
            <w:hideMark/>
          </w:tcPr>
          <w:p w:rsidR="00E94D45" w:rsidRDefault="005572AF">
            <w:pPr>
              <w:spacing w:after="0" w:line="276" w:lineRule="auto"/>
              <w:ind w:left="-113" w:right="-113"/>
              <w:jc w:val="center"/>
              <w:rPr>
                <w:rFonts w:cs="Times New Roman"/>
                <w:b/>
                <w:bCs/>
                <w:sz w:val="20"/>
              </w:rPr>
            </w:pPr>
            <w:r>
              <w:rPr>
                <w:rFonts w:cs="Times New Roman"/>
                <w:b/>
                <w:bCs/>
                <w:sz w:val="20"/>
                <w:szCs w:val="20"/>
              </w:rPr>
              <w:t>T2</w:t>
            </w:r>
            <w:r>
              <w:rPr>
                <w:rFonts w:cs="Times New Roman"/>
                <w:b/>
                <w:bCs/>
                <w:sz w:val="20"/>
                <w:szCs w:val="20"/>
              </w:rPr>
              <w:t xml:space="preserve"> (4%)</w:t>
            </w:r>
          </w:p>
        </w:tc>
        <w:tc>
          <w:tcPr>
            <w:tcW w:w="1343" w:type="pct"/>
            <w:vAlign w:val="center"/>
          </w:tcPr>
          <w:p w:rsidR="00E94D45" w:rsidRDefault="005572AF">
            <w:pPr>
              <w:spacing w:after="0" w:line="276" w:lineRule="auto"/>
              <w:ind w:left="-113" w:right="-113"/>
              <w:jc w:val="center"/>
              <w:rPr>
                <w:rFonts w:cs="Times New Roman"/>
                <w:sz w:val="20"/>
              </w:rPr>
            </w:pPr>
            <w:r>
              <w:rPr>
                <w:rFonts w:cs="Times New Roman"/>
                <w:sz w:val="20"/>
              </w:rPr>
              <w:t>3.97±0.017</w:t>
            </w:r>
            <w:r>
              <w:rPr>
                <w:rFonts w:cs="Times New Roman"/>
                <w:sz w:val="20"/>
                <w:vertAlign w:val="superscript"/>
              </w:rPr>
              <w:t>c</w:t>
            </w:r>
          </w:p>
        </w:tc>
        <w:tc>
          <w:tcPr>
            <w:tcW w:w="1338" w:type="pct"/>
            <w:vAlign w:val="center"/>
          </w:tcPr>
          <w:p w:rsidR="00E94D45" w:rsidRDefault="005572AF">
            <w:pPr>
              <w:spacing w:after="0" w:line="276" w:lineRule="auto"/>
              <w:ind w:left="-113" w:right="-113"/>
              <w:jc w:val="center"/>
              <w:rPr>
                <w:rFonts w:cs="Times New Roman"/>
                <w:sz w:val="20"/>
              </w:rPr>
            </w:pPr>
            <w:r>
              <w:rPr>
                <w:rFonts w:cs="Times New Roman"/>
                <w:sz w:val="20"/>
              </w:rPr>
              <w:t>4.33±0.011</w:t>
            </w:r>
            <w:r>
              <w:rPr>
                <w:rFonts w:cs="Times New Roman"/>
                <w:sz w:val="20"/>
                <w:vertAlign w:val="superscript"/>
              </w:rPr>
              <w:t>b</w:t>
            </w:r>
          </w:p>
        </w:tc>
        <w:tc>
          <w:tcPr>
            <w:tcW w:w="1337" w:type="pct"/>
            <w:vAlign w:val="center"/>
          </w:tcPr>
          <w:p w:rsidR="00E94D45" w:rsidRDefault="005572AF">
            <w:pPr>
              <w:spacing w:after="0" w:line="276" w:lineRule="auto"/>
              <w:ind w:left="-113" w:right="-113"/>
              <w:jc w:val="center"/>
              <w:rPr>
                <w:rFonts w:cs="Times New Roman"/>
                <w:sz w:val="20"/>
              </w:rPr>
            </w:pPr>
            <w:r>
              <w:rPr>
                <w:rFonts w:cs="Times New Roman"/>
                <w:sz w:val="20"/>
              </w:rPr>
              <w:t>284.13±0.202</w:t>
            </w:r>
            <w:r>
              <w:rPr>
                <w:rFonts w:cs="Times New Roman"/>
                <w:sz w:val="20"/>
                <w:vertAlign w:val="superscript"/>
              </w:rPr>
              <w:t>c</w:t>
            </w:r>
          </w:p>
        </w:tc>
      </w:tr>
      <w:tr w:rsidR="00E94D45">
        <w:trPr>
          <w:jc w:val="center"/>
        </w:trPr>
        <w:tc>
          <w:tcPr>
            <w:tcW w:w="982" w:type="pct"/>
            <w:noWrap/>
            <w:vAlign w:val="center"/>
            <w:hideMark/>
          </w:tcPr>
          <w:p w:rsidR="00E94D45" w:rsidRDefault="005572AF">
            <w:pPr>
              <w:spacing w:after="0" w:line="276" w:lineRule="auto"/>
              <w:ind w:left="-113" w:right="-113"/>
              <w:jc w:val="center"/>
              <w:rPr>
                <w:rFonts w:cs="Times New Roman"/>
                <w:b/>
                <w:bCs/>
                <w:sz w:val="20"/>
              </w:rPr>
            </w:pPr>
            <w:r>
              <w:rPr>
                <w:rFonts w:cs="Times New Roman"/>
                <w:b/>
                <w:bCs/>
                <w:sz w:val="20"/>
                <w:szCs w:val="20"/>
              </w:rPr>
              <w:t>T3 (6%)</w:t>
            </w:r>
          </w:p>
        </w:tc>
        <w:tc>
          <w:tcPr>
            <w:tcW w:w="1343" w:type="pct"/>
            <w:vAlign w:val="center"/>
          </w:tcPr>
          <w:p w:rsidR="00E94D45" w:rsidRDefault="005572AF">
            <w:pPr>
              <w:spacing w:after="0" w:line="276" w:lineRule="auto"/>
              <w:ind w:left="-113" w:right="-113"/>
              <w:jc w:val="center"/>
              <w:rPr>
                <w:rFonts w:cs="Times New Roman"/>
                <w:sz w:val="20"/>
              </w:rPr>
            </w:pPr>
            <w:r>
              <w:rPr>
                <w:rFonts w:cs="Times New Roman"/>
                <w:sz w:val="20"/>
              </w:rPr>
              <w:t>4.1±0.015</w:t>
            </w:r>
            <w:r>
              <w:rPr>
                <w:rFonts w:cs="Times New Roman"/>
                <w:sz w:val="20"/>
                <w:vertAlign w:val="superscript"/>
              </w:rPr>
              <w:t>d</w:t>
            </w:r>
          </w:p>
        </w:tc>
        <w:tc>
          <w:tcPr>
            <w:tcW w:w="1338" w:type="pct"/>
            <w:vAlign w:val="center"/>
          </w:tcPr>
          <w:p w:rsidR="00E94D45" w:rsidRDefault="005572AF">
            <w:pPr>
              <w:spacing w:after="0" w:line="276" w:lineRule="auto"/>
              <w:ind w:left="-113" w:right="-113"/>
              <w:jc w:val="center"/>
              <w:rPr>
                <w:rFonts w:cs="Times New Roman"/>
                <w:sz w:val="20"/>
              </w:rPr>
            </w:pPr>
            <w:r>
              <w:rPr>
                <w:rFonts w:cs="Times New Roman"/>
                <w:sz w:val="20"/>
              </w:rPr>
              <w:t>4.46±0.014</w:t>
            </w:r>
            <w:r>
              <w:rPr>
                <w:rFonts w:cs="Times New Roman"/>
                <w:sz w:val="20"/>
                <w:vertAlign w:val="superscript"/>
              </w:rPr>
              <w:t>c</w:t>
            </w:r>
          </w:p>
        </w:tc>
        <w:tc>
          <w:tcPr>
            <w:tcW w:w="1337" w:type="pct"/>
            <w:vAlign w:val="center"/>
          </w:tcPr>
          <w:p w:rsidR="00E94D45" w:rsidRDefault="005572AF">
            <w:pPr>
              <w:spacing w:after="0" w:line="276" w:lineRule="auto"/>
              <w:ind w:left="-113" w:right="-113"/>
              <w:jc w:val="center"/>
              <w:rPr>
                <w:rFonts w:cs="Times New Roman"/>
                <w:sz w:val="20"/>
              </w:rPr>
            </w:pPr>
            <w:r>
              <w:rPr>
                <w:rFonts w:cs="Times New Roman"/>
                <w:sz w:val="20"/>
              </w:rPr>
              <w:t>292.53±0.375</w:t>
            </w:r>
            <w:r>
              <w:rPr>
                <w:rFonts w:cs="Times New Roman"/>
                <w:sz w:val="20"/>
                <w:vertAlign w:val="superscript"/>
              </w:rPr>
              <w:t>d</w:t>
            </w:r>
          </w:p>
        </w:tc>
      </w:tr>
      <w:tr w:rsidR="00E94D45">
        <w:trPr>
          <w:jc w:val="center"/>
        </w:trPr>
        <w:tc>
          <w:tcPr>
            <w:tcW w:w="982" w:type="pct"/>
            <w:noWrap/>
            <w:vAlign w:val="center"/>
            <w:hideMark/>
          </w:tcPr>
          <w:p w:rsidR="00E94D45" w:rsidRDefault="005572AF">
            <w:pPr>
              <w:spacing w:after="0" w:line="276" w:lineRule="auto"/>
              <w:ind w:left="-113" w:right="-113"/>
              <w:jc w:val="center"/>
              <w:rPr>
                <w:rFonts w:cs="Times New Roman"/>
                <w:b/>
                <w:bCs/>
                <w:sz w:val="20"/>
              </w:rPr>
            </w:pPr>
            <w:r>
              <w:rPr>
                <w:rFonts w:cs="Times New Roman"/>
                <w:b/>
                <w:bCs/>
                <w:sz w:val="20"/>
                <w:szCs w:val="20"/>
              </w:rPr>
              <w:t>T4 (8%)</w:t>
            </w:r>
          </w:p>
        </w:tc>
        <w:tc>
          <w:tcPr>
            <w:tcW w:w="1343" w:type="pct"/>
            <w:vAlign w:val="center"/>
          </w:tcPr>
          <w:p w:rsidR="00E94D45" w:rsidRDefault="005572AF">
            <w:pPr>
              <w:spacing w:after="0" w:line="276" w:lineRule="auto"/>
              <w:ind w:left="-113" w:right="-113"/>
              <w:jc w:val="center"/>
              <w:rPr>
                <w:rFonts w:cs="Times New Roman"/>
                <w:sz w:val="20"/>
              </w:rPr>
            </w:pPr>
            <w:r>
              <w:rPr>
                <w:rFonts w:cs="Times New Roman"/>
                <w:sz w:val="20"/>
              </w:rPr>
              <w:t>4.2±0.017</w:t>
            </w:r>
            <w:r>
              <w:rPr>
                <w:rFonts w:cs="Times New Roman"/>
                <w:sz w:val="20"/>
                <w:vertAlign w:val="superscript"/>
              </w:rPr>
              <w:t>e</w:t>
            </w:r>
          </w:p>
        </w:tc>
        <w:tc>
          <w:tcPr>
            <w:tcW w:w="1338" w:type="pct"/>
            <w:vAlign w:val="center"/>
          </w:tcPr>
          <w:p w:rsidR="00E94D45" w:rsidRDefault="005572AF">
            <w:pPr>
              <w:spacing w:after="0" w:line="276" w:lineRule="auto"/>
              <w:ind w:left="-113" w:right="-113"/>
              <w:jc w:val="center"/>
              <w:rPr>
                <w:rFonts w:cs="Times New Roman"/>
                <w:sz w:val="20"/>
              </w:rPr>
            </w:pPr>
            <w:r>
              <w:rPr>
                <w:rFonts w:cs="Times New Roman"/>
                <w:sz w:val="20"/>
              </w:rPr>
              <w:t>4.56±0.008</w:t>
            </w:r>
            <w:r>
              <w:rPr>
                <w:rFonts w:cs="Times New Roman"/>
                <w:sz w:val="20"/>
                <w:vertAlign w:val="superscript"/>
              </w:rPr>
              <w:t>d</w:t>
            </w:r>
          </w:p>
        </w:tc>
        <w:tc>
          <w:tcPr>
            <w:tcW w:w="1337" w:type="pct"/>
            <w:vAlign w:val="center"/>
          </w:tcPr>
          <w:p w:rsidR="00E94D45" w:rsidRDefault="005572AF">
            <w:pPr>
              <w:spacing w:after="0" w:line="276" w:lineRule="auto"/>
              <w:ind w:left="-113" w:right="-113"/>
              <w:jc w:val="center"/>
              <w:rPr>
                <w:rFonts w:cs="Times New Roman"/>
                <w:sz w:val="20"/>
              </w:rPr>
            </w:pPr>
            <w:r>
              <w:rPr>
                <w:rFonts w:cs="Times New Roman"/>
                <w:sz w:val="20"/>
              </w:rPr>
              <w:t>301.3±0.264</w:t>
            </w:r>
            <w:r>
              <w:rPr>
                <w:rFonts w:cs="Times New Roman"/>
                <w:sz w:val="20"/>
                <w:vertAlign w:val="superscript"/>
              </w:rPr>
              <w:t>e</w:t>
            </w:r>
          </w:p>
        </w:tc>
      </w:tr>
      <w:tr w:rsidR="00E94D45">
        <w:trPr>
          <w:jc w:val="center"/>
        </w:trPr>
        <w:tc>
          <w:tcPr>
            <w:tcW w:w="982" w:type="pct"/>
            <w:noWrap/>
            <w:vAlign w:val="center"/>
            <w:hideMark/>
          </w:tcPr>
          <w:p w:rsidR="00E94D45" w:rsidRDefault="005572AF">
            <w:pPr>
              <w:spacing w:after="0" w:line="276" w:lineRule="auto"/>
              <w:ind w:left="-113" w:right="-113"/>
              <w:jc w:val="center"/>
              <w:rPr>
                <w:rFonts w:cs="Times New Roman"/>
                <w:b/>
                <w:bCs/>
                <w:sz w:val="20"/>
              </w:rPr>
            </w:pPr>
            <w:r>
              <w:rPr>
                <w:rFonts w:cs="Times New Roman"/>
                <w:b/>
                <w:bCs/>
                <w:sz w:val="20"/>
                <w:szCs w:val="20"/>
              </w:rPr>
              <w:t>T5 (10%)</w:t>
            </w:r>
          </w:p>
        </w:tc>
        <w:tc>
          <w:tcPr>
            <w:tcW w:w="1343" w:type="pct"/>
            <w:vAlign w:val="center"/>
          </w:tcPr>
          <w:p w:rsidR="00E94D45" w:rsidRDefault="005572AF">
            <w:pPr>
              <w:spacing w:after="0" w:line="276" w:lineRule="auto"/>
              <w:ind w:left="-113" w:right="-113"/>
              <w:jc w:val="center"/>
              <w:rPr>
                <w:rFonts w:cs="Times New Roman"/>
                <w:sz w:val="20"/>
              </w:rPr>
            </w:pPr>
            <w:r>
              <w:rPr>
                <w:rFonts w:cs="Times New Roman"/>
                <w:sz w:val="20"/>
              </w:rPr>
              <w:t>4.29±0.011</w:t>
            </w:r>
            <w:r>
              <w:rPr>
                <w:rFonts w:cs="Times New Roman"/>
                <w:sz w:val="20"/>
                <w:vertAlign w:val="superscript"/>
              </w:rPr>
              <w:t>f</w:t>
            </w:r>
          </w:p>
        </w:tc>
        <w:tc>
          <w:tcPr>
            <w:tcW w:w="1338" w:type="pct"/>
            <w:vAlign w:val="center"/>
          </w:tcPr>
          <w:p w:rsidR="00E94D45" w:rsidRDefault="005572AF">
            <w:pPr>
              <w:spacing w:after="0" w:line="276" w:lineRule="auto"/>
              <w:ind w:left="-113" w:right="-113"/>
              <w:jc w:val="center"/>
              <w:rPr>
                <w:rFonts w:cs="Times New Roman"/>
                <w:sz w:val="20"/>
              </w:rPr>
            </w:pPr>
            <w:r>
              <w:rPr>
                <w:rFonts w:cs="Times New Roman"/>
                <w:sz w:val="20"/>
              </w:rPr>
              <w:t>4.62±0.017</w:t>
            </w:r>
            <w:r>
              <w:rPr>
                <w:rFonts w:cs="Times New Roman"/>
                <w:sz w:val="20"/>
                <w:vertAlign w:val="superscript"/>
              </w:rPr>
              <w:t>e</w:t>
            </w:r>
          </w:p>
        </w:tc>
        <w:tc>
          <w:tcPr>
            <w:tcW w:w="1337" w:type="pct"/>
            <w:vAlign w:val="center"/>
          </w:tcPr>
          <w:p w:rsidR="00E94D45" w:rsidRDefault="005572AF">
            <w:pPr>
              <w:spacing w:after="0" w:line="276" w:lineRule="auto"/>
              <w:ind w:left="-113" w:right="-113"/>
              <w:jc w:val="center"/>
              <w:rPr>
                <w:rFonts w:cs="Times New Roman"/>
                <w:sz w:val="20"/>
              </w:rPr>
            </w:pPr>
            <w:r>
              <w:rPr>
                <w:rFonts w:cs="Times New Roman"/>
                <w:sz w:val="20"/>
              </w:rPr>
              <w:t>312.83±0.317</w:t>
            </w:r>
            <w:r>
              <w:rPr>
                <w:rFonts w:cs="Times New Roman"/>
                <w:sz w:val="20"/>
                <w:vertAlign w:val="superscript"/>
              </w:rPr>
              <w:t>f</w:t>
            </w:r>
          </w:p>
        </w:tc>
      </w:tr>
      <w:tr w:rsidR="00E94D45">
        <w:trPr>
          <w:jc w:val="center"/>
        </w:trPr>
        <w:tc>
          <w:tcPr>
            <w:tcW w:w="5000" w:type="pct"/>
            <w:gridSpan w:val="4"/>
            <w:noWrap/>
            <w:vAlign w:val="center"/>
          </w:tcPr>
          <w:p w:rsidR="00E94D45" w:rsidRDefault="005572AF">
            <w:pPr>
              <w:spacing w:after="0" w:line="276" w:lineRule="auto"/>
              <w:jc w:val="left"/>
              <w:rPr>
                <w:rFonts w:cs="Times New Roman"/>
                <w:sz w:val="18"/>
                <w:szCs w:val="18"/>
              </w:rPr>
            </w:pPr>
            <w:r>
              <w:rPr>
                <w:rFonts w:cs="Times New Roman"/>
                <w:b/>
                <w:bCs/>
                <w:sz w:val="18"/>
                <w:szCs w:val="18"/>
              </w:rPr>
              <w:t xml:space="preserve">Sample size: </w:t>
            </w:r>
            <w:r>
              <w:rPr>
                <w:rFonts w:cs="Times New Roman"/>
                <w:sz w:val="18"/>
                <w:szCs w:val="18"/>
              </w:rPr>
              <w:t>n = 5 fish per treatment</w:t>
            </w:r>
          </w:p>
          <w:p w:rsidR="00E94D45" w:rsidRDefault="005572AF">
            <w:pPr>
              <w:spacing w:after="0" w:line="276" w:lineRule="auto"/>
              <w:jc w:val="left"/>
              <w:rPr>
                <w:rFonts w:cs="Times New Roman"/>
                <w:sz w:val="20"/>
              </w:rPr>
            </w:pPr>
            <w:r>
              <w:rPr>
                <w:rFonts w:cs="Times New Roman"/>
                <w:b/>
                <w:bCs/>
                <w:sz w:val="18"/>
                <w:szCs w:val="18"/>
              </w:rPr>
              <w:t>Statistical analysis:</w:t>
            </w:r>
            <w:r>
              <w:rPr>
                <w:rFonts w:cs="Times New Roman"/>
                <w:sz w:val="18"/>
                <w:szCs w:val="18"/>
              </w:rPr>
              <w:t xml:space="preserve"> Values are mean ± standard error (SE). Within each column, means with different superscript letters (a-f) differ significantly (p&lt;0.05; one‑way ANOVA followed by Tukey’s test).</w:t>
            </w:r>
          </w:p>
        </w:tc>
      </w:tr>
    </w:tbl>
    <w:p w:rsidR="00E94D45" w:rsidRDefault="005572AF">
      <w:pPr>
        <w:pStyle w:val="ListParagraph"/>
        <w:numPr>
          <w:ilvl w:val="1"/>
          <w:numId w:val="22"/>
        </w:numPr>
        <w:spacing w:before="240" w:line="276" w:lineRule="auto"/>
        <w:ind w:left="426" w:hanging="426"/>
        <w:rPr>
          <w:rFonts w:cs="Times New Roman"/>
          <w:szCs w:val="24"/>
        </w:rPr>
      </w:pPr>
      <w:r>
        <w:rPr>
          <w:rFonts w:cs="Times New Roman"/>
          <w:szCs w:val="24"/>
        </w:rPr>
        <w:t>Immune response parameter</w:t>
      </w:r>
    </w:p>
    <w:p w:rsidR="00E94D45" w:rsidRDefault="005572AF">
      <w:pPr>
        <w:spacing w:line="276" w:lineRule="auto"/>
        <w:rPr>
          <w:rFonts w:cs="Times New Roman"/>
          <w:sz w:val="20"/>
          <w:szCs w:val="20"/>
        </w:rPr>
      </w:pPr>
      <w:r>
        <w:rPr>
          <w:rFonts w:cs="Times New Roman"/>
          <w:sz w:val="20"/>
          <w:szCs w:val="20"/>
        </w:rPr>
        <w:t>Improvements in the immune response are significant</w:t>
      </w:r>
      <w:r>
        <w:rPr>
          <w:rFonts w:cs="Times New Roman"/>
          <w:sz w:val="20"/>
          <w:szCs w:val="20"/>
        </w:rPr>
        <w:t xml:space="preserve"> (p&lt;0.05) in all treatments. T0 served as the baseline (p&lt;0.05) and had the lowest values for phagocytic activity (70.9±0.057%), lysozyme activity (4.8±0.015 ng/ml) and IgM (1.74±0.02 μg/ml). Table 8 shows that T5 had the highest levels of lysozyme activit</w:t>
      </w:r>
      <w:r>
        <w:rPr>
          <w:rFonts w:cs="Times New Roman"/>
          <w:sz w:val="20"/>
          <w:szCs w:val="20"/>
        </w:rPr>
        <w:t>y (4.98±0.008 ng/ml), phagocytic activity (80.12±0.011%) and IgM (2.11±0.012 μg/ml), suggesting that spirulina considerably enhances immunological function. All metrics showed a gradual increase in T1 and T2, with T2 achieving 1.84±0.017 μg/ml of IgM, 4.95</w:t>
      </w:r>
      <w:r>
        <w:rPr>
          <w:rFonts w:cs="Times New Roman"/>
          <w:sz w:val="20"/>
          <w:szCs w:val="20"/>
        </w:rPr>
        <w:t>±0.005 ng/ml of lysozyme activity and 73.2±0.057% of phagocytic activity (p&lt;0.05). T3 improved these reactions even more, phagocytic activity in particular (74.97±0.011%). T4 revealed a rise in phagocytic activity to 76.9±0.057% and IgM to 2±0.008 μg/ml (T</w:t>
      </w:r>
      <w:r>
        <w:rPr>
          <w:rFonts w:cs="Times New Roman"/>
          <w:sz w:val="20"/>
          <w:szCs w:val="20"/>
        </w:rPr>
        <w:t>able 8).</w:t>
      </w:r>
    </w:p>
    <w:p w:rsidR="00E94D45" w:rsidRDefault="005572AF">
      <w:pPr>
        <w:pStyle w:val="Caption"/>
        <w:keepNext/>
        <w:spacing w:after="120" w:line="276" w:lineRule="auto"/>
        <w:ind w:left="709" w:hanging="709"/>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8</w:t>
      </w:r>
      <w:r>
        <w:rPr>
          <w:b/>
          <w:bCs/>
          <w:i w:val="0"/>
          <w:iCs w:val="0"/>
          <w:color w:val="auto"/>
          <w:sz w:val="20"/>
          <w:szCs w:val="20"/>
        </w:rPr>
        <w:fldChar w:fldCharType="end"/>
      </w:r>
      <w:r>
        <w:rPr>
          <w:b/>
          <w:bCs/>
          <w:i w:val="0"/>
          <w:iCs w:val="0"/>
          <w:color w:val="auto"/>
          <w:sz w:val="20"/>
          <w:szCs w:val="20"/>
          <w:lang w:val="en-IN"/>
        </w:rPr>
        <w:t xml:space="preserve"> Immune response parameter analysis of blue gourami, </w:t>
      </w:r>
      <w:r>
        <w:rPr>
          <w:b/>
          <w:bCs/>
          <w:color w:val="auto"/>
          <w:sz w:val="20"/>
          <w:szCs w:val="20"/>
          <w:lang w:val="en-IN"/>
        </w:rPr>
        <w:t>Trichogaster trichopterus</w:t>
      </w:r>
      <w:r>
        <w:rPr>
          <w:b/>
          <w:bCs/>
          <w:i w:val="0"/>
          <w:iCs w:val="0"/>
          <w:color w:val="auto"/>
          <w:sz w:val="20"/>
          <w:szCs w:val="20"/>
          <w:lang w:val="en-IN"/>
        </w:rPr>
        <w:t>, fed with different levels of spirulina.</w:t>
      </w:r>
    </w:p>
    <w:tbl>
      <w:tblPr>
        <w:tblStyle w:val="TableGrid"/>
        <w:tblW w:w="5000" w:type="pct"/>
        <w:tblLook w:val="04A0" w:firstRow="1" w:lastRow="0" w:firstColumn="1" w:lastColumn="0" w:noHBand="0" w:noVBand="1"/>
      </w:tblPr>
      <w:tblGrid>
        <w:gridCol w:w="1646"/>
        <w:gridCol w:w="2474"/>
        <w:gridCol w:w="2474"/>
        <w:gridCol w:w="2422"/>
      </w:tblGrid>
      <w:tr w:rsidR="00E94D45">
        <w:tc>
          <w:tcPr>
            <w:tcW w:w="913" w:type="pct"/>
            <w:vAlign w:val="center"/>
          </w:tcPr>
          <w:p w:rsidR="00E94D45" w:rsidRDefault="005572AF">
            <w:pPr>
              <w:spacing w:line="276" w:lineRule="auto"/>
              <w:ind w:left="-113" w:right="-113"/>
              <w:jc w:val="center"/>
              <w:rPr>
                <w:rFonts w:cs="Times New Roman"/>
                <w:b/>
                <w:bCs/>
                <w:sz w:val="20"/>
                <w:szCs w:val="20"/>
              </w:rPr>
            </w:pPr>
            <w:r>
              <w:rPr>
                <w:rFonts w:cs="Times New Roman"/>
                <w:b/>
                <w:bCs/>
                <w:sz w:val="20"/>
                <w:szCs w:val="20"/>
              </w:rPr>
              <w:t>Treatments</w:t>
            </w:r>
          </w:p>
        </w:tc>
        <w:tc>
          <w:tcPr>
            <w:tcW w:w="1372" w:type="pct"/>
            <w:vAlign w:val="center"/>
          </w:tcPr>
          <w:p w:rsidR="00E94D45" w:rsidRDefault="005572AF">
            <w:pPr>
              <w:spacing w:line="276" w:lineRule="auto"/>
              <w:ind w:left="-113" w:right="-113"/>
              <w:jc w:val="center"/>
              <w:rPr>
                <w:rFonts w:cs="Times New Roman"/>
                <w:b/>
                <w:bCs/>
                <w:sz w:val="20"/>
                <w:szCs w:val="20"/>
              </w:rPr>
            </w:pPr>
            <w:r>
              <w:rPr>
                <w:rFonts w:cs="Times New Roman"/>
                <w:b/>
                <w:bCs/>
                <w:sz w:val="20"/>
                <w:szCs w:val="20"/>
              </w:rPr>
              <w:t>IgM (μg/ml)</w:t>
            </w:r>
          </w:p>
        </w:tc>
        <w:tc>
          <w:tcPr>
            <w:tcW w:w="1372" w:type="pct"/>
            <w:vAlign w:val="center"/>
          </w:tcPr>
          <w:p w:rsidR="00E94D45" w:rsidRDefault="005572AF">
            <w:pPr>
              <w:spacing w:line="276" w:lineRule="auto"/>
              <w:ind w:left="-113" w:right="-113"/>
              <w:jc w:val="center"/>
              <w:rPr>
                <w:rFonts w:cs="Times New Roman"/>
                <w:b/>
                <w:bCs/>
                <w:sz w:val="20"/>
                <w:szCs w:val="20"/>
              </w:rPr>
            </w:pPr>
            <w:r>
              <w:rPr>
                <w:rFonts w:cs="Times New Roman"/>
                <w:b/>
                <w:bCs/>
                <w:sz w:val="20"/>
                <w:szCs w:val="20"/>
              </w:rPr>
              <w:t>Lysozyme activity (ng/ml)</w:t>
            </w:r>
          </w:p>
        </w:tc>
        <w:tc>
          <w:tcPr>
            <w:tcW w:w="1343" w:type="pct"/>
            <w:vAlign w:val="center"/>
          </w:tcPr>
          <w:p w:rsidR="00E94D45" w:rsidRDefault="005572AF">
            <w:pPr>
              <w:spacing w:line="276" w:lineRule="auto"/>
              <w:ind w:left="-113" w:right="-113"/>
              <w:jc w:val="center"/>
              <w:rPr>
                <w:rFonts w:cs="Times New Roman"/>
                <w:b/>
                <w:bCs/>
                <w:sz w:val="20"/>
                <w:szCs w:val="20"/>
              </w:rPr>
            </w:pPr>
            <w:r>
              <w:rPr>
                <w:rFonts w:cs="Times New Roman"/>
                <w:b/>
                <w:bCs/>
                <w:sz w:val="20"/>
                <w:szCs w:val="20"/>
              </w:rPr>
              <w:t>Phagocytic activity (%)</w:t>
            </w:r>
          </w:p>
        </w:tc>
      </w:tr>
      <w:tr w:rsidR="00E94D45">
        <w:tc>
          <w:tcPr>
            <w:tcW w:w="913" w:type="pct"/>
            <w:vAlign w:val="center"/>
          </w:tcPr>
          <w:p w:rsidR="00E94D45" w:rsidRDefault="005572AF">
            <w:pPr>
              <w:spacing w:line="276" w:lineRule="auto"/>
              <w:ind w:left="-113" w:right="-113"/>
              <w:jc w:val="center"/>
              <w:rPr>
                <w:rFonts w:cs="Times New Roman"/>
                <w:sz w:val="20"/>
                <w:szCs w:val="20"/>
              </w:rPr>
            </w:pPr>
            <w:r>
              <w:rPr>
                <w:rFonts w:cs="Times New Roman"/>
                <w:b/>
                <w:bCs/>
                <w:sz w:val="20"/>
                <w:szCs w:val="20"/>
              </w:rPr>
              <w:t>T0 (0% Spirulina)</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1.74±0.02</w:t>
            </w:r>
            <w:r>
              <w:rPr>
                <w:rFonts w:cs="Times New Roman"/>
                <w:sz w:val="20"/>
                <w:szCs w:val="20"/>
                <w:vertAlign w:val="superscript"/>
              </w:rPr>
              <w:t>a</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4.8±0.015</w:t>
            </w:r>
            <w:r>
              <w:rPr>
                <w:rFonts w:cs="Times New Roman"/>
                <w:sz w:val="20"/>
                <w:szCs w:val="20"/>
                <w:vertAlign w:val="superscript"/>
              </w:rPr>
              <w:t>a</w:t>
            </w:r>
          </w:p>
        </w:tc>
        <w:tc>
          <w:tcPr>
            <w:tcW w:w="1343"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70.9±0.057</w:t>
            </w:r>
            <w:r>
              <w:rPr>
                <w:rFonts w:cs="Times New Roman"/>
                <w:sz w:val="20"/>
                <w:szCs w:val="20"/>
                <w:vertAlign w:val="superscript"/>
              </w:rPr>
              <w:t>a</w:t>
            </w:r>
          </w:p>
        </w:tc>
      </w:tr>
      <w:tr w:rsidR="00E94D45">
        <w:tc>
          <w:tcPr>
            <w:tcW w:w="913" w:type="pct"/>
            <w:vAlign w:val="center"/>
          </w:tcPr>
          <w:p w:rsidR="00E94D45" w:rsidRDefault="005572AF">
            <w:pPr>
              <w:spacing w:line="276" w:lineRule="auto"/>
              <w:ind w:left="-113" w:right="-113"/>
              <w:jc w:val="center"/>
              <w:rPr>
                <w:rFonts w:cs="Times New Roman"/>
                <w:sz w:val="20"/>
                <w:szCs w:val="20"/>
              </w:rPr>
            </w:pPr>
            <w:r>
              <w:rPr>
                <w:rFonts w:cs="Times New Roman"/>
                <w:b/>
                <w:bCs/>
                <w:sz w:val="20"/>
                <w:szCs w:val="20"/>
              </w:rPr>
              <w:t>T1 (2%)</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1.79±0.015</w:t>
            </w:r>
            <w:r>
              <w:rPr>
                <w:rFonts w:cs="Times New Roman"/>
                <w:sz w:val="20"/>
                <w:szCs w:val="20"/>
                <w:vertAlign w:val="superscript"/>
              </w:rPr>
              <w:t>b</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4.89±0.005</w:t>
            </w:r>
            <w:r>
              <w:rPr>
                <w:rFonts w:cs="Times New Roman"/>
                <w:sz w:val="20"/>
                <w:szCs w:val="20"/>
                <w:vertAlign w:val="superscript"/>
              </w:rPr>
              <w:t>b</w:t>
            </w:r>
          </w:p>
        </w:tc>
        <w:tc>
          <w:tcPr>
            <w:tcW w:w="1343"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71.8±0.057</w:t>
            </w:r>
            <w:r>
              <w:rPr>
                <w:rFonts w:cs="Times New Roman"/>
                <w:sz w:val="20"/>
                <w:szCs w:val="20"/>
                <w:vertAlign w:val="superscript"/>
              </w:rPr>
              <w:t>b</w:t>
            </w:r>
          </w:p>
        </w:tc>
      </w:tr>
      <w:tr w:rsidR="00E94D45">
        <w:tc>
          <w:tcPr>
            <w:tcW w:w="913" w:type="pct"/>
            <w:vAlign w:val="center"/>
          </w:tcPr>
          <w:p w:rsidR="00E94D45" w:rsidRDefault="005572AF">
            <w:pPr>
              <w:spacing w:line="276" w:lineRule="auto"/>
              <w:ind w:left="-113" w:right="-113"/>
              <w:jc w:val="center"/>
              <w:rPr>
                <w:rFonts w:cs="Times New Roman"/>
                <w:sz w:val="20"/>
                <w:szCs w:val="20"/>
              </w:rPr>
            </w:pPr>
            <w:r>
              <w:rPr>
                <w:rFonts w:cs="Times New Roman"/>
                <w:b/>
                <w:bCs/>
                <w:sz w:val="20"/>
                <w:szCs w:val="20"/>
              </w:rPr>
              <w:t>T2 (4%)</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1.84±0.017</w:t>
            </w:r>
            <w:r>
              <w:rPr>
                <w:rFonts w:cs="Times New Roman"/>
                <w:sz w:val="20"/>
                <w:szCs w:val="20"/>
                <w:vertAlign w:val="superscript"/>
              </w:rPr>
              <w:t>c</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4.95±0.005</w:t>
            </w:r>
            <w:r>
              <w:rPr>
                <w:rFonts w:cs="Times New Roman"/>
                <w:sz w:val="20"/>
                <w:szCs w:val="20"/>
                <w:vertAlign w:val="superscript"/>
              </w:rPr>
              <w:t>c</w:t>
            </w:r>
          </w:p>
        </w:tc>
        <w:tc>
          <w:tcPr>
            <w:tcW w:w="1343"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73.2±0.057</w:t>
            </w:r>
            <w:r>
              <w:rPr>
                <w:rFonts w:cs="Times New Roman"/>
                <w:sz w:val="20"/>
                <w:szCs w:val="20"/>
                <w:vertAlign w:val="superscript"/>
              </w:rPr>
              <w:t>c</w:t>
            </w:r>
          </w:p>
        </w:tc>
      </w:tr>
      <w:tr w:rsidR="00E94D45">
        <w:tc>
          <w:tcPr>
            <w:tcW w:w="913" w:type="pct"/>
            <w:vAlign w:val="center"/>
          </w:tcPr>
          <w:p w:rsidR="00E94D45" w:rsidRDefault="005572AF">
            <w:pPr>
              <w:spacing w:line="276" w:lineRule="auto"/>
              <w:ind w:left="-113" w:right="-113"/>
              <w:jc w:val="center"/>
              <w:rPr>
                <w:rFonts w:cs="Times New Roman"/>
                <w:sz w:val="20"/>
                <w:szCs w:val="20"/>
              </w:rPr>
            </w:pPr>
            <w:r>
              <w:rPr>
                <w:rFonts w:cs="Times New Roman"/>
                <w:b/>
                <w:bCs/>
                <w:sz w:val="20"/>
                <w:szCs w:val="20"/>
              </w:rPr>
              <w:t>T3 (6%)</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1.9±0.005</w:t>
            </w:r>
            <w:r>
              <w:rPr>
                <w:rFonts w:cs="Times New Roman"/>
                <w:sz w:val="20"/>
                <w:szCs w:val="20"/>
                <w:vertAlign w:val="superscript"/>
              </w:rPr>
              <w:t>d</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4.92±0.014</w:t>
            </w:r>
            <w:r>
              <w:rPr>
                <w:rFonts w:cs="Times New Roman"/>
                <w:sz w:val="20"/>
                <w:szCs w:val="20"/>
                <w:vertAlign w:val="superscript"/>
              </w:rPr>
              <w:t>bc</w:t>
            </w:r>
          </w:p>
        </w:tc>
        <w:tc>
          <w:tcPr>
            <w:tcW w:w="1343"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74.97±0.011</w:t>
            </w:r>
            <w:r>
              <w:rPr>
                <w:rFonts w:cs="Times New Roman"/>
                <w:sz w:val="20"/>
                <w:szCs w:val="20"/>
                <w:vertAlign w:val="superscript"/>
              </w:rPr>
              <w:t>d</w:t>
            </w:r>
          </w:p>
        </w:tc>
      </w:tr>
      <w:tr w:rsidR="00E94D45">
        <w:tc>
          <w:tcPr>
            <w:tcW w:w="913" w:type="pct"/>
            <w:vAlign w:val="center"/>
          </w:tcPr>
          <w:p w:rsidR="00E94D45" w:rsidRDefault="005572AF">
            <w:pPr>
              <w:spacing w:line="276" w:lineRule="auto"/>
              <w:ind w:left="-113" w:right="-113"/>
              <w:jc w:val="center"/>
              <w:rPr>
                <w:rFonts w:cs="Times New Roman"/>
                <w:sz w:val="20"/>
                <w:szCs w:val="20"/>
              </w:rPr>
            </w:pPr>
            <w:r>
              <w:rPr>
                <w:rFonts w:cs="Times New Roman"/>
                <w:b/>
                <w:bCs/>
                <w:sz w:val="20"/>
                <w:szCs w:val="20"/>
              </w:rPr>
              <w:t>T4 (8%)</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2±0.008</w:t>
            </w:r>
            <w:r>
              <w:rPr>
                <w:rFonts w:cs="Times New Roman"/>
                <w:sz w:val="20"/>
                <w:szCs w:val="20"/>
                <w:vertAlign w:val="superscript"/>
              </w:rPr>
              <w:t>e</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4.95±0.012</w:t>
            </w:r>
            <w:r>
              <w:rPr>
                <w:rFonts w:cs="Times New Roman"/>
                <w:sz w:val="20"/>
                <w:szCs w:val="20"/>
                <w:vertAlign w:val="superscript"/>
              </w:rPr>
              <w:t>cd</w:t>
            </w:r>
          </w:p>
        </w:tc>
        <w:tc>
          <w:tcPr>
            <w:tcW w:w="1343"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76.9±0.057</w:t>
            </w:r>
            <w:r>
              <w:rPr>
                <w:rFonts w:cs="Times New Roman"/>
                <w:sz w:val="20"/>
                <w:szCs w:val="20"/>
                <w:vertAlign w:val="superscript"/>
              </w:rPr>
              <w:t>e</w:t>
            </w:r>
          </w:p>
        </w:tc>
      </w:tr>
      <w:tr w:rsidR="00E94D45">
        <w:tc>
          <w:tcPr>
            <w:tcW w:w="913" w:type="pct"/>
            <w:vAlign w:val="center"/>
          </w:tcPr>
          <w:p w:rsidR="00E94D45" w:rsidRDefault="005572AF">
            <w:pPr>
              <w:spacing w:line="276" w:lineRule="auto"/>
              <w:ind w:left="-113" w:right="-113"/>
              <w:jc w:val="center"/>
              <w:rPr>
                <w:rFonts w:cs="Times New Roman"/>
                <w:sz w:val="20"/>
                <w:szCs w:val="20"/>
              </w:rPr>
            </w:pPr>
            <w:r>
              <w:rPr>
                <w:rFonts w:cs="Times New Roman"/>
                <w:b/>
                <w:bCs/>
                <w:sz w:val="20"/>
                <w:szCs w:val="20"/>
              </w:rPr>
              <w:t>T5 (10%)</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2.11±0.012</w:t>
            </w:r>
            <w:r>
              <w:rPr>
                <w:rFonts w:cs="Times New Roman"/>
                <w:sz w:val="20"/>
                <w:szCs w:val="20"/>
                <w:vertAlign w:val="superscript"/>
              </w:rPr>
              <w:t>f</w:t>
            </w:r>
          </w:p>
        </w:tc>
        <w:tc>
          <w:tcPr>
            <w:tcW w:w="1372"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4.98±0.008</w:t>
            </w:r>
            <w:r>
              <w:rPr>
                <w:rFonts w:cs="Times New Roman"/>
                <w:sz w:val="20"/>
                <w:szCs w:val="20"/>
                <w:vertAlign w:val="superscript"/>
              </w:rPr>
              <w:t>d</w:t>
            </w:r>
          </w:p>
        </w:tc>
        <w:tc>
          <w:tcPr>
            <w:tcW w:w="1343" w:type="pct"/>
            <w:vAlign w:val="center"/>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cs="Times New Roman"/>
                <w:sz w:val="20"/>
                <w:szCs w:val="20"/>
              </w:rPr>
              <w:t>80.12±0.011</w:t>
            </w:r>
            <w:r>
              <w:rPr>
                <w:rFonts w:cs="Times New Roman"/>
                <w:sz w:val="20"/>
                <w:szCs w:val="20"/>
                <w:vertAlign w:val="superscript"/>
              </w:rPr>
              <w:t>f</w:t>
            </w:r>
          </w:p>
        </w:tc>
      </w:tr>
      <w:tr w:rsidR="00E94D45">
        <w:trPr>
          <w:trHeight w:val="708"/>
        </w:trPr>
        <w:tc>
          <w:tcPr>
            <w:tcW w:w="5000" w:type="pct"/>
            <w:gridSpan w:val="4"/>
            <w:vAlign w:val="center"/>
          </w:tcPr>
          <w:p w:rsidR="00E94D45" w:rsidRDefault="005572AF">
            <w:pPr>
              <w:spacing w:after="0" w:line="276" w:lineRule="auto"/>
              <w:ind w:left="29" w:right="-113"/>
              <w:jc w:val="left"/>
              <w:rPr>
                <w:rFonts w:cs="Times New Roman"/>
                <w:sz w:val="18"/>
                <w:szCs w:val="18"/>
              </w:rPr>
            </w:pPr>
            <w:r>
              <w:rPr>
                <w:rFonts w:cs="Times New Roman"/>
                <w:b/>
                <w:bCs/>
                <w:sz w:val="18"/>
                <w:szCs w:val="18"/>
              </w:rPr>
              <w:t>Sample size:</w:t>
            </w:r>
            <w:r>
              <w:rPr>
                <w:rFonts w:cs="Times New Roman"/>
                <w:sz w:val="18"/>
                <w:szCs w:val="18"/>
              </w:rPr>
              <w:t xml:space="preserve"> n = 10 fish per treatment.</w:t>
            </w:r>
          </w:p>
          <w:p w:rsidR="00E94D45" w:rsidRDefault="005572AF">
            <w:pPr>
              <w:spacing w:line="276" w:lineRule="auto"/>
              <w:ind w:left="29"/>
              <w:jc w:val="left"/>
              <w:rPr>
                <w:rFonts w:cs="Times New Roman"/>
                <w:sz w:val="20"/>
                <w:szCs w:val="20"/>
                <w:lang w:val="en-IN"/>
              </w:rPr>
            </w:pPr>
            <w:r>
              <w:rPr>
                <w:rFonts w:cs="Times New Roman"/>
                <w:b/>
                <w:bCs/>
                <w:sz w:val="18"/>
                <w:szCs w:val="18"/>
                <w:lang w:val="en-IN"/>
              </w:rPr>
              <w:t>Statistical analysis:</w:t>
            </w:r>
            <w:r>
              <w:rPr>
                <w:rFonts w:cs="Times New Roman"/>
                <w:sz w:val="18"/>
                <w:szCs w:val="18"/>
                <w:lang w:val="en-IN"/>
              </w:rPr>
              <w:t xml:space="preserve"> Values are mean ± standard error (SE). Within each column, means with different superscript letters (a-f) differ significantly (p&lt;0.05; one‑way ANOVA followed by Tukey’s test).</w:t>
            </w:r>
          </w:p>
        </w:tc>
      </w:tr>
    </w:tbl>
    <w:p w:rsidR="00E94D45" w:rsidRDefault="005572AF">
      <w:pPr>
        <w:pStyle w:val="AAA"/>
        <w:numPr>
          <w:ilvl w:val="1"/>
          <w:numId w:val="22"/>
        </w:numPr>
        <w:spacing w:before="240"/>
        <w:ind w:left="426" w:hanging="426"/>
      </w:pPr>
      <w:r>
        <w:t>Body composition</w:t>
      </w:r>
    </w:p>
    <w:p w:rsidR="00E94D45" w:rsidRDefault="005572AF">
      <w:pPr>
        <w:spacing w:line="276" w:lineRule="auto"/>
        <w:rPr>
          <w:rFonts w:cs="Times New Roman"/>
          <w:color w:val="auto"/>
          <w:sz w:val="20"/>
          <w:szCs w:val="20"/>
        </w:rPr>
      </w:pPr>
      <w:r>
        <w:rPr>
          <w:rFonts w:cs="Times New Roman"/>
          <w:sz w:val="20"/>
          <w:szCs w:val="20"/>
        </w:rPr>
        <w:lastRenderedPageBreak/>
        <w:t>As shown in Table 9, the body composition study of blue gourami fed with different concentrations of spirulina (T0=Control, T1=2%, T2=4%, T3=6%, T4=8% and T5=10%) showed significant alterations. When spirulina was supplemented, the crude p</w:t>
      </w:r>
      <w:r>
        <w:rPr>
          <w:rFonts w:cs="Times New Roman"/>
          <w:sz w:val="20"/>
          <w:szCs w:val="20"/>
        </w:rPr>
        <w:t>rotein content rose dramatically and peaked in T5 (19.08%) as opposed to the control (T0, 17.52%) (p&lt;0.05). On the other hand, crude lipid content dropped in all treatments; T5 had the lowest lipid percentage (5.21%) in comparison to T0 (5.74%) (p&lt;0.05). T</w:t>
      </w:r>
      <w:r>
        <w:rPr>
          <w:rFonts w:cs="Times New Roman"/>
          <w:sz w:val="20"/>
          <w:szCs w:val="20"/>
        </w:rPr>
        <w:t>he crude fiber content was maintained at higher spirulina levels (T3 to T5) but declined somewhat from T0 (1.2%) to T3 (1.0%). Higher spirulina levels were also associated with a decrease in ash content, which went from 3.55% in T0 to 3.31% in T5 (Table 9)</w:t>
      </w:r>
      <w:r>
        <w:rPr>
          <w:rFonts w:cs="Times New Roman"/>
          <w:sz w:val="20"/>
          <w:szCs w:val="20"/>
        </w:rPr>
        <w:t>. The amount of carbohydrates (CHO) decreased; T5 had the lowest value (1.5%) and T0 had the highest value (1.98%) (p&lt;0.05). The dry matter content varied slightly, reaching its highest point in treatment T4 (30.18%) and staying lower in the other treatmen</w:t>
      </w:r>
      <w:r>
        <w:rPr>
          <w:rFonts w:cs="Times New Roman"/>
          <w:sz w:val="20"/>
          <w:szCs w:val="20"/>
        </w:rPr>
        <w:t xml:space="preserve">ts. Dry matter and moisture content had an inverse relationship, with T2 having the </w:t>
      </w:r>
      <w:r>
        <w:rPr>
          <w:rFonts w:cs="Times New Roman"/>
          <w:color w:val="auto"/>
          <w:sz w:val="20"/>
          <w:szCs w:val="20"/>
        </w:rPr>
        <w:t>highest moisture content (70.12%) and T4 having the lowest (69.81%) (p&lt;0.05).</w:t>
      </w:r>
    </w:p>
    <w:p w:rsidR="00E94D45" w:rsidRDefault="005572AF">
      <w:pPr>
        <w:pStyle w:val="Caption"/>
        <w:keepNext/>
        <w:ind w:left="709" w:hanging="709"/>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9</w:t>
      </w:r>
      <w:r>
        <w:rPr>
          <w:b/>
          <w:bCs/>
          <w:i w:val="0"/>
          <w:iCs w:val="0"/>
          <w:color w:val="auto"/>
          <w:sz w:val="20"/>
          <w:szCs w:val="20"/>
        </w:rPr>
        <w:fldChar w:fldCharType="end"/>
      </w:r>
      <w:r>
        <w:rPr>
          <w:b/>
          <w:bCs/>
          <w:i w:val="0"/>
          <w:iCs w:val="0"/>
          <w:color w:val="auto"/>
          <w:sz w:val="20"/>
          <w:szCs w:val="20"/>
          <w:lang w:val="en-IN"/>
        </w:rPr>
        <w:t xml:space="preserve"> Body composition analysis of blue gourami, </w:t>
      </w:r>
      <w:r>
        <w:rPr>
          <w:b/>
          <w:bCs/>
          <w:color w:val="auto"/>
          <w:sz w:val="20"/>
          <w:szCs w:val="20"/>
          <w:lang w:val="en-IN"/>
        </w:rPr>
        <w:t>Trichogaster tricho</w:t>
      </w:r>
      <w:r>
        <w:rPr>
          <w:b/>
          <w:bCs/>
          <w:color w:val="auto"/>
          <w:sz w:val="20"/>
          <w:szCs w:val="20"/>
          <w:lang w:val="en-IN"/>
        </w:rPr>
        <w:t>pterus</w:t>
      </w:r>
      <w:r>
        <w:rPr>
          <w:b/>
          <w:bCs/>
          <w:i w:val="0"/>
          <w:iCs w:val="0"/>
          <w:color w:val="auto"/>
          <w:sz w:val="20"/>
          <w:szCs w:val="20"/>
          <w:lang w:val="en-IN"/>
        </w:rPr>
        <w:t>, fed with different levels of spirulina.</w:t>
      </w:r>
    </w:p>
    <w:tbl>
      <w:tblPr>
        <w:tblStyle w:val="TableGrid"/>
        <w:tblW w:w="5000" w:type="pct"/>
        <w:tblLayout w:type="fixed"/>
        <w:tblLook w:val="04A0" w:firstRow="1" w:lastRow="0" w:firstColumn="1" w:lastColumn="0" w:noHBand="0" w:noVBand="1"/>
      </w:tblPr>
      <w:tblGrid>
        <w:gridCol w:w="1413"/>
        <w:gridCol w:w="1275"/>
        <w:gridCol w:w="1275"/>
        <w:gridCol w:w="1277"/>
        <w:gridCol w:w="1277"/>
        <w:gridCol w:w="1275"/>
        <w:gridCol w:w="1224"/>
      </w:tblGrid>
      <w:tr w:rsidR="00E94D45">
        <w:tc>
          <w:tcPr>
            <w:tcW w:w="784" w:type="pct"/>
            <w:noWrap/>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18"/>
                <w:szCs w:val="18"/>
              </w:rPr>
              <w:t>Treatments</w:t>
            </w:r>
          </w:p>
        </w:tc>
        <w:tc>
          <w:tcPr>
            <w:tcW w:w="707" w:type="pct"/>
            <w:noWrap/>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T0 (0% Spirulina)</w:t>
            </w:r>
          </w:p>
        </w:tc>
        <w:tc>
          <w:tcPr>
            <w:tcW w:w="707" w:type="pct"/>
            <w:noWrap/>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T1 (2%)</w:t>
            </w:r>
          </w:p>
        </w:tc>
        <w:tc>
          <w:tcPr>
            <w:tcW w:w="708" w:type="pct"/>
            <w:noWrap/>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T2 (4%)</w:t>
            </w:r>
          </w:p>
        </w:tc>
        <w:tc>
          <w:tcPr>
            <w:tcW w:w="708" w:type="pct"/>
            <w:noWrap/>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T3 (6%)</w:t>
            </w:r>
          </w:p>
        </w:tc>
        <w:tc>
          <w:tcPr>
            <w:tcW w:w="707" w:type="pct"/>
            <w:noWrap/>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T4 (8%)</w:t>
            </w:r>
          </w:p>
        </w:tc>
        <w:tc>
          <w:tcPr>
            <w:tcW w:w="679" w:type="pct"/>
            <w:noWrap/>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T5 (10%)</w:t>
            </w:r>
          </w:p>
        </w:tc>
      </w:tr>
      <w:tr w:rsidR="00E94D45">
        <w:tc>
          <w:tcPr>
            <w:tcW w:w="784" w:type="pct"/>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Crude protein %</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17.52±0.04</w:t>
            </w:r>
            <w:r>
              <w:rPr>
                <w:rFonts w:eastAsia="Times New Roman" w:cs="Times New Roman"/>
                <w:kern w:val="0"/>
                <w:sz w:val="20"/>
                <w:szCs w:val="20"/>
                <w:vertAlign w:val="superscript"/>
                <w:lang w:eastAsia="en-IN"/>
                <w14:ligatures w14:val="none"/>
              </w:rPr>
              <w:t>a</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17.85±0.011</w:t>
            </w:r>
            <w:r>
              <w:rPr>
                <w:rFonts w:eastAsia="Times New Roman" w:cs="Times New Roman"/>
                <w:kern w:val="0"/>
                <w:sz w:val="20"/>
                <w:szCs w:val="20"/>
                <w:vertAlign w:val="superscript"/>
                <w:lang w:eastAsia="en-IN"/>
                <w14:ligatures w14:val="none"/>
              </w:rPr>
              <w:t>b</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18.01±0.017</w:t>
            </w:r>
            <w:r>
              <w:rPr>
                <w:rFonts w:eastAsia="Times New Roman" w:cs="Times New Roman"/>
                <w:kern w:val="0"/>
                <w:sz w:val="20"/>
                <w:szCs w:val="20"/>
                <w:vertAlign w:val="superscript"/>
                <w:lang w:eastAsia="en-IN"/>
                <w14:ligatures w14:val="none"/>
              </w:rPr>
              <w:t>c</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18.29±0.011</w:t>
            </w:r>
            <w:r>
              <w:rPr>
                <w:rFonts w:eastAsia="Times New Roman" w:cs="Times New Roman"/>
                <w:kern w:val="0"/>
                <w:sz w:val="20"/>
                <w:szCs w:val="20"/>
                <w:vertAlign w:val="superscript"/>
                <w:lang w:eastAsia="en-IN"/>
                <w14:ligatures w14:val="none"/>
              </w:rPr>
              <w:t>d</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18.68±0.017</w:t>
            </w:r>
            <w:r>
              <w:rPr>
                <w:rFonts w:eastAsia="Times New Roman" w:cs="Times New Roman"/>
                <w:kern w:val="0"/>
                <w:sz w:val="20"/>
                <w:szCs w:val="20"/>
                <w:vertAlign w:val="superscript"/>
                <w:lang w:eastAsia="en-IN"/>
                <w14:ligatures w14:val="none"/>
              </w:rPr>
              <w:t>e</w:t>
            </w:r>
          </w:p>
        </w:tc>
        <w:tc>
          <w:tcPr>
            <w:tcW w:w="679"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19.08±0.02</w:t>
            </w:r>
            <w:r>
              <w:rPr>
                <w:rFonts w:eastAsia="Times New Roman" w:cs="Times New Roman"/>
                <w:kern w:val="0"/>
                <w:sz w:val="20"/>
                <w:szCs w:val="20"/>
                <w:vertAlign w:val="superscript"/>
                <w:lang w:eastAsia="en-IN"/>
                <w14:ligatures w14:val="none"/>
              </w:rPr>
              <w:t>f</w:t>
            </w:r>
          </w:p>
        </w:tc>
      </w:tr>
      <w:tr w:rsidR="00E94D45">
        <w:tc>
          <w:tcPr>
            <w:tcW w:w="784" w:type="pct"/>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Crude lipid %</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5.74±0.008</w:t>
            </w:r>
            <w:r>
              <w:rPr>
                <w:rFonts w:eastAsia="Times New Roman" w:cs="Times New Roman"/>
                <w:kern w:val="0"/>
                <w:sz w:val="20"/>
                <w:szCs w:val="20"/>
                <w:vertAlign w:val="superscript"/>
                <w:lang w:eastAsia="en-IN"/>
                <w14:ligatures w14:val="none"/>
              </w:rPr>
              <w:t>f</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5.55±0.008</w:t>
            </w:r>
            <w:r>
              <w:rPr>
                <w:rFonts w:eastAsia="Times New Roman" w:cs="Times New Roman"/>
                <w:kern w:val="0"/>
                <w:sz w:val="20"/>
                <w:szCs w:val="20"/>
                <w:vertAlign w:val="superscript"/>
                <w:lang w:eastAsia="en-IN"/>
                <w14:ligatures w14:val="none"/>
              </w:rPr>
              <w:t>e</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5.39±0.008</w:t>
            </w:r>
            <w:r>
              <w:rPr>
                <w:rFonts w:eastAsia="Times New Roman" w:cs="Times New Roman"/>
                <w:kern w:val="0"/>
                <w:sz w:val="20"/>
                <w:szCs w:val="20"/>
                <w:vertAlign w:val="superscript"/>
                <w:lang w:eastAsia="en-IN"/>
                <w14:ligatures w14:val="none"/>
              </w:rPr>
              <w:t>d</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5.27±0.008</w:t>
            </w:r>
            <w:r>
              <w:rPr>
                <w:rFonts w:eastAsia="Times New Roman" w:cs="Times New Roman"/>
                <w:kern w:val="0"/>
                <w:sz w:val="20"/>
                <w:szCs w:val="20"/>
                <w:vertAlign w:val="superscript"/>
                <w:lang w:eastAsia="en-IN"/>
                <w14:ligatures w14:val="none"/>
              </w:rPr>
              <w:t>c</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5.32±0.014</w:t>
            </w:r>
            <w:r>
              <w:rPr>
                <w:rFonts w:eastAsia="Times New Roman" w:cs="Times New Roman"/>
                <w:kern w:val="0"/>
                <w:sz w:val="20"/>
                <w:szCs w:val="20"/>
                <w:vertAlign w:val="superscript"/>
                <w:lang w:eastAsia="en-IN"/>
                <w14:ligatures w14:val="none"/>
              </w:rPr>
              <w:t>b</w:t>
            </w:r>
          </w:p>
        </w:tc>
        <w:tc>
          <w:tcPr>
            <w:tcW w:w="679"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5.21±0.008</w:t>
            </w:r>
            <w:r>
              <w:rPr>
                <w:rFonts w:eastAsia="Times New Roman" w:cs="Times New Roman"/>
                <w:kern w:val="0"/>
                <w:sz w:val="20"/>
                <w:szCs w:val="20"/>
                <w:vertAlign w:val="superscript"/>
                <w:lang w:eastAsia="en-IN"/>
                <w14:ligatures w14:val="none"/>
              </w:rPr>
              <w:t>a</w:t>
            </w:r>
          </w:p>
        </w:tc>
      </w:tr>
      <w:tr w:rsidR="00E94D45">
        <w:tc>
          <w:tcPr>
            <w:tcW w:w="784" w:type="pct"/>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Crude fiber (%)</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1.2±0.008</w:t>
            </w:r>
            <w:r>
              <w:rPr>
                <w:rFonts w:eastAsia="Times New Roman" w:cs="Times New Roman"/>
                <w:kern w:val="0"/>
                <w:sz w:val="20"/>
                <w:szCs w:val="20"/>
                <w:vertAlign w:val="superscript"/>
                <w:lang w:eastAsia="en-IN"/>
                <w14:ligatures w14:val="none"/>
              </w:rPr>
              <w:t>d</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1.11±0.008</w:t>
            </w:r>
            <w:r>
              <w:rPr>
                <w:rFonts w:eastAsia="Times New Roman" w:cs="Times New Roman"/>
                <w:kern w:val="0"/>
                <w:sz w:val="20"/>
                <w:szCs w:val="20"/>
                <w:vertAlign w:val="superscript"/>
                <w:lang w:eastAsia="en-IN"/>
                <w14:ligatures w14:val="none"/>
              </w:rPr>
              <w:t>c</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1.05±0.011</w:t>
            </w:r>
            <w:r>
              <w:rPr>
                <w:rFonts w:eastAsia="Times New Roman" w:cs="Times New Roman"/>
                <w:kern w:val="0"/>
                <w:sz w:val="20"/>
                <w:szCs w:val="20"/>
                <w:vertAlign w:val="superscript"/>
                <w:lang w:eastAsia="en-IN"/>
                <w14:ligatures w14:val="none"/>
              </w:rPr>
              <w:t>b</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1±0.012</w:t>
            </w:r>
            <w:r>
              <w:rPr>
                <w:rFonts w:eastAsia="Times New Roman" w:cs="Times New Roman"/>
                <w:kern w:val="0"/>
                <w:sz w:val="20"/>
                <w:szCs w:val="20"/>
                <w:vertAlign w:val="superscript"/>
                <w:lang w:eastAsia="en-IN"/>
                <w14:ligatures w14:val="none"/>
              </w:rPr>
              <w:t>a</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1±0.006</w:t>
            </w:r>
            <w:r>
              <w:rPr>
                <w:rFonts w:eastAsia="Times New Roman" w:cs="Times New Roman"/>
                <w:kern w:val="0"/>
                <w:sz w:val="20"/>
                <w:szCs w:val="20"/>
                <w:vertAlign w:val="superscript"/>
                <w:lang w:eastAsia="en-IN"/>
                <w14:ligatures w14:val="none"/>
              </w:rPr>
              <w:t>a</w:t>
            </w:r>
          </w:p>
        </w:tc>
        <w:tc>
          <w:tcPr>
            <w:tcW w:w="679"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1±0.005</w:t>
            </w:r>
            <w:r>
              <w:rPr>
                <w:rFonts w:eastAsia="Times New Roman" w:cs="Times New Roman"/>
                <w:kern w:val="0"/>
                <w:sz w:val="20"/>
                <w:szCs w:val="20"/>
                <w:vertAlign w:val="superscript"/>
                <w:lang w:eastAsia="en-IN"/>
                <w14:ligatures w14:val="none"/>
              </w:rPr>
              <w:t>a</w:t>
            </w:r>
          </w:p>
        </w:tc>
      </w:tr>
      <w:tr w:rsidR="00E94D45">
        <w:tc>
          <w:tcPr>
            <w:tcW w:w="784" w:type="pct"/>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Ash %</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3.55±0.008</w:t>
            </w:r>
            <w:r>
              <w:rPr>
                <w:rFonts w:eastAsia="Times New Roman" w:cs="Times New Roman"/>
                <w:kern w:val="0"/>
                <w:sz w:val="20"/>
                <w:szCs w:val="20"/>
                <w:vertAlign w:val="superscript"/>
                <w:lang w:eastAsia="en-IN"/>
                <w14:ligatures w14:val="none"/>
              </w:rPr>
              <w:t>f</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3.5±0.008</w:t>
            </w:r>
            <w:r>
              <w:rPr>
                <w:rFonts w:eastAsia="Times New Roman" w:cs="Times New Roman"/>
                <w:kern w:val="0"/>
                <w:sz w:val="20"/>
                <w:szCs w:val="20"/>
                <w:vertAlign w:val="superscript"/>
                <w:lang w:eastAsia="en-IN"/>
                <w14:ligatures w14:val="none"/>
              </w:rPr>
              <w:t>e</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3.46±0.008</w:t>
            </w:r>
            <w:r>
              <w:rPr>
                <w:rFonts w:eastAsia="Times New Roman" w:cs="Times New Roman"/>
                <w:kern w:val="0"/>
                <w:sz w:val="20"/>
                <w:szCs w:val="20"/>
                <w:vertAlign w:val="superscript"/>
                <w:lang w:eastAsia="en-IN"/>
                <w14:ligatures w14:val="none"/>
              </w:rPr>
              <w:t>d</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3.41±0.005</w:t>
            </w:r>
            <w:r>
              <w:rPr>
                <w:rFonts w:eastAsia="Times New Roman" w:cs="Times New Roman"/>
                <w:kern w:val="0"/>
                <w:sz w:val="20"/>
                <w:szCs w:val="20"/>
                <w:vertAlign w:val="superscript"/>
                <w:lang w:eastAsia="en-IN"/>
                <w14:ligatures w14:val="none"/>
              </w:rPr>
              <w:t>c</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3.36±0.008</w:t>
            </w:r>
            <w:r>
              <w:rPr>
                <w:rFonts w:eastAsia="Times New Roman" w:cs="Times New Roman"/>
                <w:kern w:val="0"/>
                <w:sz w:val="20"/>
                <w:szCs w:val="20"/>
                <w:vertAlign w:val="superscript"/>
                <w:lang w:eastAsia="en-IN"/>
                <w14:ligatures w14:val="none"/>
              </w:rPr>
              <w:t>b</w:t>
            </w:r>
          </w:p>
        </w:tc>
        <w:tc>
          <w:tcPr>
            <w:tcW w:w="679"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3.31±0.015</w:t>
            </w:r>
            <w:r>
              <w:rPr>
                <w:rFonts w:eastAsia="Times New Roman" w:cs="Times New Roman"/>
                <w:kern w:val="0"/>
                <w:sz w:val="20"/>
                <w:szCs w:val="20"/>
                <w:vertAlign w:val="superscript"/>
                <w:lang w:eastAsia="en-IN"/>
                <w14:ligatures w14:val="none"/>
              </w:rPr>
              <w:t>a</w:t>
            </w:r>
          </w:p>
        </w:tc>
      </w:tr>
      <w:tr w:rsidR="00E94D45">
        <w:tc>
          <w:tcPr>
            <w:tcW w:w="784" w:type="pct"/>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CHO %</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1.98±0.012</w:t>
            </w:r>
            <w:r>
              <w:rPr>
                <w:rFonts w:eastAsia="Times New Roman" w:cs="Times New Roman"/>
                <w:kern w:val="0"/>
                <w:sz w:val="20"/>
                <w:szCs w:val="20"/>
                <w:vertAlign w:val="superscript"/>
                <w:lang w:eastAsia="en-IN"/>
                <w14:ligatures w14:val="none"/>
              </w:rPr>
              <w:t>d</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1.97±0.008</w:t>
            </w:r>
            <w:r>
              <w:rPr>
                <w:rFonts w:eastAsia="Times New Roman" w:cs="Times New Roman"/>
                <w:kern w:val="0"/>
                <w:sz w:val="20"/>
                <w:szCs w:val="20"/>
                <w:vertAlign w:val="superscript"/>
                <w:lang w:eastAsia="en-IN"/>
                <w14:ligatures w14:val="none"/>
              </w:rPr>
              <w:t>cd</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1.95±0.008</w:t>
            </w:r>
            <w:r>
              <w:rPr>
                <w:rFonts w:eastAsia="Times New Roman" w:cs="Times New Roman"/>
                <w:kern w:val="0"/>
                <w:sz w:val="20"/>
                <w:szCs w:val="20"/>
                <w:vertAlign w:val="superscript"/>
                <w:lang w:eastAsia="en-IN"/>
                <w14:ligatures w14:val="none"/>
              </w:rPr>
              <w:t>c</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1.98±0.008</w:t>
            </w:r>
            <w:r>
              <w:rPr>
                <w:rFonts w:eastAsia="Times New Roman" w:cs="Times New Roman"/>
                <w:kern w:val="0"/>
                <w:sz w:val="20"/>
                <w:szCs w:val="20"/>
                <w:vertAlign w:val="superscript"/>
                <w:lang w:eastAsia="en-IN"/>
                <w14:ligatures w14:val="none"/>
              </w:rPr>
              <w:t>cd</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1.8±0.008</w:t>
            </w:r>
            <w:r>
              <w:rPr>
                <w:rFonts w:eastAsia="Times New Roman" w:cs="Times New Roman"/>
                <w:kern w:val="0"/>
                <w:sz w:val="20"/>
                <w:szCs w:val="20"/>
                <w:vertAlign w:val="superscript"/>
                <w:lang w:eastAsia="en-IN"/>
                <w14:ligatures w14:val="none"/>
              </w:rPr>
              <w:t>b</w:t>
            </w:r>
          </w:p>
        </w:tc>
        <w:tc>
          <w:tcPr>
            <w:tcW w:w="679"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1.5±0.005</w:t>
            </w:r>
            <w:r>
              <w:rPr>
                <w:rFonts w:eastAsia="Times New Roman" w:cs="Times New Roman"/>
                <w:kern w:val="0"/>
                <w:sz w:val="20"/>
                <w:szCs w:val="20"/>
                <w:vertAlign w:val="superscript"/>
                <w:lang w:eastAsia="en-IN"/>
                <w14:ligatures w14:val="none"/>
              </w:rPr>
              <w:t>a</w:t>
            </w:r>
          </w:p>
        </w:tc>
      </w:tr>
      <w:tr w:rsidR="00E94D45">
        <w:tc>
          <w:tcPr>
            <w:tcW w:w="784" w:type="pct"/>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Dry matter (%)</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30.01±0.054</w:t>
            </w:r>
            <w:r>
              <w:rPr>
                <w:rFonts w:eastAsia="Times New Roman" w:cs="Times New Roman"/>
                <w:kern w:val="0"/>
                <w:sz w:val="20"/>
                <w:szCs w:val="20"/>
                <w:vertAlign w:val="superscript"/>
                <w:lang w:eastAsia="en-IN"/>
                <w14:ligatures w14:val="none"/>
              </w:rPr>
              <w:t>bc</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29.99±0.021</w:t>
            </w:r>
            <w:r>
              <w:rPr>
                <w:rFonts w:eastAsia="Times New Roman" w:cs="Times New Roman"/>
                <w:kern w:val="0"/>
                <w:sz w:val="20"/>
                <w:szCs w:val="20"/>
                <w:vertAlign w:val="superscript"/>
                <w:lang w:eastAsia="en-IN"/>
                <w14:ligatures w14:val="none"/>
              </w:rPr>
              <w:t>b</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29.87±0.026</w:t>
            </w:r>
            <w:r>
              <w:rPr>
                <w:rFonts w:eastAsia="Times New Roman" w:cs="Times New Roman"/>
                <w:kern w:val="0"/>
                <w:sz w:val="20"/>
                <w:szCs w:val="20"/>
                <w:vertAlign w:val="superscript"/>
                <w:lang w:eastAsia="en-IN"/>
                <w14:ligatures w14:val="none"/>
              </w:rPr>
              <w:t>a</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29.96±0.015</w:t>
            </w:r>
            <w:r>
              <w:rPr>
                <w:rFonts w:eastAsia="Times New Roman" w:cs="Times New Roman"/>
                <w:kern w:val="0"/>
                <w:sz w:val="20"/>
                <w:szCs w:val="20"/>
                <w:vertAlign w:val="superscript"/>
                <w:lang w:eastAsia="en-IN"/>
                <w14:ligatures w14:val="none"/>
              </w:rPr>
              <w:t>ab</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30.18±0.037</w:t>
            </w:r>
            <w:r>
              <w:rPr>
                <w:rFonts w:eastAsia="Times New Roman" w:cs="Times New Roman"/>
                <w:kern w:val="0"/>
                <w:sz w:val="20"/>
                <w:szCs w:val="20"/>
                <w:vertAlign w:val="superscript"/>
                <w:lang w:eastAsia="en-IN"/>
                <w14:ligatures w14:val="none"/>
              </w:rPr>
              <w:t>d</w:t>
            </w:r>
          </w:p>
        </w:tc>
        <w:tc>
          <w:tcPr>
            <w:tcW w:w="679"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30.11±0.032</w:t>
            </w:r>
            <w:r>
              <w:rPr>
                <w:rFonts w:eastAsia="Times New Roman" w:cs="Times New Roman"/>
                <w:kern w:val="0"/>
                <w:sz w:val="20"/>
                <w:szCs w:val="20"/>
                <w:vertAlign w:val="superscript"/>
                <w:lang w:eastAsia="en-IN"/>
                <w14:ligatures w14:val="none"/>
              </w:rPr>
              <w:t>cd</w:t>
            </w:r>
          </w:p>
        </w:tc>
      </w:tr>
      <w:tr w:rsidR="00E94D45">
        <w:tc>
          <w:tcPr>
            <w:tcW w:w="784" w:type="pct"/>
            <w:vAlign w:val="center"/>
            <w:hideMark/>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Moisture %</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69.98±0.054</w:t>
            </w:r>
            <w:r>
              <w:rPr>
                <w:rFonts w:eastAsia="Times New Roman" w:cs="Times New Roman"/>
                <w:kern w:val="0"/>
                <w:sz w:val="20"/>
                <w:szCs w:val="20"/>
                <w:vertAlign w:val="superscript"/>
                <w:lang w:eastAsia="en-IN"/>
                <w14:ligatures w14:val="none"/>
              </w:rPr>
              <w:t>bc</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70±0.021</w:t>
            </w:r>
            <w:r>
              <w:rPr>
                <w:rFonts w:eastAsia="Times New Roman" w:cs="Times New Roman"/>
                <w:kern w:val="0"/>
                <w:sz w:val="20"/>
                <w:szCs w:val="20"/>
                <w:vertAlign w:val="superscript"/>
                <w:lang w:eastAsia="en-IN"/>
                <w14:ligatures w14:val="none"/>
              </w:rPr>
              <w:t>c</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70.12±0.026</w:t>
            </w:r>
            <w:r>
              <w:rPr>
                <w:rFonts w:eastAsia="Times New Roman" w:cs="Times New Roman"/>
                <w:kern w:val="0"/>
                <w:sz w:val="20"/>
                <w:szCs w:val="20"/>
                <w:vertAlign w:val="superscript"/>
                <w:lang w:eastAsia="en-IN"/>
                <w14:ligatures w14:val="none"/>
              </w:rPr>
              <w:t>d</w:t>
            </w:r>
          </w:p>
        </w:tc>
        <w:tc>
          <w:tcPr>
            <w:tcW w:w="708"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70.04±0.015</w:t>
            </w:r>
            <w:r>
              <w:rPr>
                <w:rFonts w:eastAsia="Times New Roman" w:cs="Times New Roman"/>
                <w:kern w:val="0"/>
                <w:sz w:val="20"/>
                <w:szCs w:val="20"/>
                <w:vertAlign w:val="superscript"/>
                <w:lang w:eastAsia="en-IN"/>
                <w14:ligatures w14:val="none"/>
              </w:rPr>
              <w:t>cd</w:t>
            </w:r>
          </w:p>
        </w:tc>
        <w:tc>
          <w:tcPr>
            <w:tcW w:w="707"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69.81±0.037</w:t>
            </w:r>
            <w:r>
              <w:rPr>
                <w:rFonts w:eastAsia="Times New Roman" w:cs="Times New Roman"/>
                <w:kern w:val="0"/>
                <w:sz w:val="20"/>
                <w:szCs w:val="20"/>
                <w:vertAlign w:val="superscript"/>
                <w:lang w:eastAsia="en-IN"/>
                <w14:ligatures w14:val="none"/>
              </w:rPr>
              <w:t>a</w:t>
            </w:r>
          </w:p>
        </w:tc>
        <w:tc>
          <w:tcPr>
            <w:tcW w:w="679" w:type="pct"/>
            <w:vAlign w:val="center"/>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69.89±0.032</w:t>
            </w:r>
            <w:r>
              <w:rPr>
                <w:rFonts w:eastAsia="Times New Roman" w:cs="Times New Roman"/>
                <w:kern w:val="0"/>
                <w:sz w:val="20"/>
                <w:szCs w:val="20"/>
                <w:vertAlign w:val="superscript"/>
                <w:lang w:eastAsia="en-IN"/>
                <w14:ligatures w14:val="none"/>
              </w:rPr>
              <w:t>ab</w:t>
            </w:r>
          </w:p>
        </w:tc>
      </w:tr>
      <w:tr w:rsidR="00E94D45">
        <w:tc>
          <w:tcPr>
            <w:tcW w:w="5000" w:type="pct"/>
            <w:gridSpan w:val="7"/>
            <w:vAlign w:val="center"/>
          </w:tcPr>
          <w:p w:rsidR="00E94D45" w:rsidRDefault="005572AF">
            <w:pPr>
              <w:spacing w:after="0" w:line="276" w:lineRule="auto"/>
              <w:ind w:left="29"/>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Sample size:</w:t>
            </w:r>
            <w:r>
              <w:rPr>
                <w:rFonts w:eastAsia="Times New Roman" w:cs="Times New Roman"/>
                <w:kern w:val="0"/>
                <w:sz w:val="18"/>
                <w:szCs w:val="18"/>
                <w:lang w:eastAsia="en-IN"/>
                <w14:ligatures w14:val="none"/>
              </w:rPr>
              <w:t xml:space="preserve"> n = 5 fish per treatment, separately sampled for whole‑body composition analysis. Fish were euthanized, homogenized, and dried to constant weight at 105°C.</w:t>
            </w:r>
          </w:p>
          <w:p w:rsidR="00E94D45" w:rsidRDefault="005572AF">
            <w:pPr>
              <w:spacing w:after="0" w:line="276" w:lineRule="auto"/>
              <w:ind w:left="29"/>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CHO (%) = 100 - (Protein + Lipid + Ash + Fiber) on dry‑matter basis.</w:t>
            </w:r>
          </w:p>
          <w:p w:rsidR="00E94D45" w:rsidRDefault="005572AF">
            <w:pPr>
              <w:spacing w:after="0" w:line="276" w:lineRule="auto"/>
              <w:ind w:left="29"/>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Units:</w:t>
            </w:r>
            <w:r>
              <w:rPr>
                <w:rFonts w:eastAsia="Times New Roman" w:cs="Times New Roman"/>
                <w:kern w:val="0"/>
                <w:sz w:val="18"/>
                <w:szCs w:val="18"/>
                <w:lang w:eastAsia="en-IN"/>
                <w14:ligatures w14:val="none"/>
              </w:rPr>
              <w:t xml:space="preserve"> All values expressed on</w:t>
            </w:r>
            <w:r>
              <w:rPr>
                <w:rFonts w:eastAsia="Times New Roman" w:cs="Times New Roman"/>
                <w:kern w:val="0"/>
                <w:sz w:val="18"/>
                <w:szCs w:val="18"/>
                <w:lang w:eastAsia="en-IN"/>
                <w14:ligatures w14:val="none"/>
              </w:rPr>
              <w:t xml:space="preserve"> wet weight basis, except CHO which is on dry‑matter basis (see calculation above).</w:t>
            </w:r>
          </w:p>
          <w:p w:rsidR="00E94D45" w:rsidRDefault="005572AF">
            <w:pPr>
              <w:spacing w:after="0" w:line="276" w:lineRule="auto"/>
              <w:ind w:left="29"/>
              <w:rPr>
                <w:rFonts w:eastAsia="Times New Roman" w:cs="Times New Roman"/>
                <w:kern w:val="0"/>
                <w:sz w:val="20"/>
                <w:szCs w:val="20"/>
                <w:lang w:eastAsia="en-IN"/>
                <w14:ligatures w14:val="none"/>
              </w:rPr>
            </w:pPr>
            <w:r>
              <w:rPr>
                <w:rFonts w:eastAsia="Times New Roman" w:cs="Times New Roman"/>
                <w:b/>
                <w:bCs/>
                <w:kern w:val="0"/>
                <w:sz w:val="18"/>
                <w:szCs w:val="18"/>
                <w:lang w:eastAsia="en-IN"/>
                <w14:ligatures w14:val="none"/>
              </w:rPr>
              <w:t>Statistical analysis:</w:t>
            </w:r>
            <w:r>
              <w:rPr>
                <w:rFonts w:eastAsia="Times New Roman" w:cs="Times New Roman"/>
                <w:kern w:val="0"/>
                <w:sz w:val="18"/>
                <w:szCs w:val="18"/>
                <w:lang w:eastAsia="en-IN"/>
                <w14:ligatures w14:val="none"/>
              </w:rPr>
              <w:t xml:space="preserve"> Values are mean ± standard error (SE). Within each column, means with different superscript letters (a-f) differ significantly (p &lt; 0.05; one‑way ANOV</w:t>
            </w:r>
            <w:r>
              <w:rPr>
                <w:rFonts w:eastAsia="Times New Roman" w:cs="Times New Roman"/>
                <w:kern w:val="0"/>
                <w:sz w:val="18"/>
                <w:szCs w:val="18"/>
                <w:lang w:eastAsia="en-IN"/>
                <w14:ligatures w14:val="none"/>
              </w:rPr>
              <w:t>A followed by Tukey’s test).</w:t>
            </w:r>
          </w:p>
        </w:tc>
      </w:tr>
    </w:tbl>
    <w:p w:rsidR="00E94D45" w:rsidRDefault="005572AF">
      <w:pPr>
        <w:pStyle w:val="ListParagraph"/>
        <w:numPr>
          <w:ilvl w:val="1"/>
          <w:numId w:val="22"/>
        </w:numPr>
        <w:spacing w:before="240" w:after="0"/>
        <w:ind w:left="426" w:hanging="426"/>
        <w:rPr>
          <w:rFonts w:cs="Times New Roman"/>
          <w:color w:val="auto"/>
          <w:szCs w:val="24"/>
        </w:rPr>
      </w:pPr>
      <w:r>
        <w:rPr>
          <w:rFonts w:cs="Times New Roman"/>
          <w:color w:val="auto"/>
          <w:szCs w:val="24"/>
        </w:rPr>
        <w:t>Water quality parameter</w:t>
      </w:r>
    </w:p>
    <w:p w:rsidR="00E94D45" w:rsidRDefault="005572AF">
      <w:pPr>
        <w:spacing w:line="360" w:lineRule="auto"/>
        <w:rPr>
          <w:rFonts w:cs="Times New Roman"/>
          <w:sz w:val="20"/>
          <w:szCs w:val="20"/>
        </w:rPr>
      </w:pPr>
      <w:r>
        <w:rPr>
          <w:rFonts w:cs="Times New Roman"/>
          <w:sz w:val="20"/>
          <w:szCs w:val="20"/>
        </w:rPr>
        <w:t>The investigation of the water quality showed that spirulina levels had a substantial impact on several metrics (Table 10). pH and DO values are lowest in T0 treatment, while Hardness (mg/l), No</w:t>
      </w:r>
      <w:r>
        <w:rPr>
          <w:rFonts w:cs="Times New Roman"/>
          <w:sz w:val="20"/>
          <w:szCs w:val="20"/>
          <w:vertAlign w:val="subscript"/>
        </w:rPr>
        <w:t>3</w:t>
      </w:r>
      <w:r>
        <w:rPr>
          <w:rFonts w:cs="Times New Roman"/>
          <w:sz w:val="20"/>
          <w:szCs w:val="20"/>
        </w:rPr>
        <w:t xml:space="preserve"> (mg/l)</w:t>
      </w:r>
      <w:r>
        <w:rPr>
          <w:rFonts w:cs="Times New Roman"/>
          <w:sz w:val="20"/>
          <w:szCs w:val="20"/>
        </w:rPr>
        <w:t xml:space="preserve"> and No</w:t>
      </w:r>
      <w:r>
        <w:rPr>
          <w:rFonts w:cs="Times New Roman"/>
          <w:sz w:val="20"/>
          <w:szCs w:val="20"/>
          <w:vertAlign w:val="subscript"/>
        </w:rPr>
        <w:t>2</w:t>
      </w:r>
      <w:r>
        <w:rPr>
          <w:rFonts w:cs="Times New Roman"/>
          <w:sz w:val="20"/>
          <w:szCs w:val="20"/>
        </w:rPr>
        <w:t xml:space="preserve"> (mg/l) were lowest in T3. In the T2 treatment, total ammonia and total alkalinity (mg/l) were low. The T0 and T2 treatments do not significantly differ in temperature or NO3 (mg/l) (P&gt;0.05). In terms of Do (mg/l), Total alkalinity (mg/l), Hardness</w:t>
      </w:r>
      <w:r>
        <w:rPr>
          <w:rFonts w:cs="Times New Roman"/>
          <w:sz w:val="20"/>
          <w:szCs w:val="20"/>
        </w:rPr>
        <w:t xml:space="preserve"> (mg/l) and No2 (mg/l), treatments T1-T4; T0-T3; T1-T2; and T1-T2-T3 do not significantly differ from one another (P&gt;0.05). T5 exhibits the best results across the board, except DO and NO</w:t>
      </w:r>
      <w:r>
        <w:rPr>
          <w:rFonts w:cs="Times New Roman"/>
          <w:sz w:val="20"/>
          <w:szCs w:val="20"/>
          <w:vertAlign w:val="subscript"/>
        </w:rPr>
        <w:t>3</w:t>
      </w:r>
      <w:r>
        <w:rPr>
          <w:rFonts w:cs="Times New Roman"/>
          <w:sz w:val="20"/>
          <w:szCs w:val="20"/>
        </w:rPr>
        <w:t>, which are higher during T2 treatment (Table 10). Temperatures, pH,</w:t>
      </w:r>
      <w:r>
        <w:rPr>
          <w:rFonts w:cs="Times New Roman"/>
          <w:sz w:val="20"/>
          <w:szCs w:val="20"/>
        </w:rPr>
        <w:t xml:space="preserve"> alkalinity, hardness, total ammonia and variable nitrate and nitrite levels were all found to be positively correlated (p&lt;0.05) with greater spirulina levels.</w:t>
      </w:r>
    </w:p>
    <w:p w:rsidR="00E94D45" w:rsidRDefault="005572AF">
      <w:pPr>
        <w:pStyle w:val="Caption"/>
        <w:keepNext/>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10</w:t>
      </w:r>
      <w:r>
        <w:rPr>
          <w:b/>
          <w:bCs/>
          <w:i w:val="0"/>
          <w:iCs w:val="0"/>
          <w:color w:val="auto"/>
          <w:sz w:val="20"/>
          <w:szCs w:val="20"/>
        </w:rPr>
        <w:fldChar w:fldCharType="end"/>
      </w:r>
      <w:r>
        <w:rPr>
          <w:b/>
          <w:bCs/>
          <w:i w:val="0"/>
          <w:iCs w:val="0"/>
          <w:color w:val="auto"/>
          <w:sz w:val="20"/>
          <w:szCs w:val="20"/>
          <w:lang w:val="en-IN"/>
        </w:rPr>
        <w:t xml:space="preserve"> Water quality parameter analysis during the 90 days of experime</w:t>
      </w:r>
      <w:r>
        <w:rPr>
          <w:b/>
          <w:bCs/>
          <w:i w:val="0"/>
          <w:iCs w:val="0"/>
          <w:color w:val="auto"/>
          <w:sz w:val="20"/>
          <w:szCs w:val="20"/>
          <w:lang w:val="en-IN"/>
        </w:rPr>
        <w:t>ntal period.</w:t>
      </w:r>
    </w:p>
    <w:tbl>
      <w:tblPr>
        <w:tblStyle w:val="TableGrid"/>
        <w:tblW w:w="5000" w:type="pct"/>
        <w:tblLayout w:type="fixed"/>
        <w:tblLook w:val="04A0" w:firstRow="1" w:lastRow="0" w:firstColumn="1" w:lastColumn="0" w:noHBand="0" w:noVBand="1"/>
      </w:tblPr>
      <w:tblGrid>
        <w:gridCol w:w="1552"/>
        <w:gridCol w:w="1274"/>
        <w:gridCol w:w="1277"/>
        <w:gridCol w:w="1277"/>
        <w:gridCol w:w="1275"/>
        <w:gridCol w:w="1174"/>
        <w:gridCol w:w="1187"/>
      </w:tblGrid>
      <w:tr w:rsidR="00E94D45">
        <w:tc>
          <w:tcPr>
            <w:tcW w:w="861"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18"/>
                <w:szCs w:val="18"/>
              </w:rPr>
              <w:t>Treatments</w:t>
            </w:r>
          </w:p>
        </w:tc>
        <w:tc>
          <w:tcPr>
            <w:tcW w:w="707"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T0 (0% Spirulina)</w:t>
            </w:r>
          </w:p>
        </w:tc>
        <w:tc>
          <w:tcPr>
            <w:tcW w:w="708"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T1 (2%)</w:t>
            </w:r>
          </w:p>
        </w:tc>
        <w:tc>
          <w:tcPr>
            <w:tcW w:w="708"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T2 (4%)</w:t>
            </w:r>
          </w:p>
        </w:tc>
        <w:tc>
          <w:tcPr>
            <w:tcW w:w="707"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T3 (6%)</w:t>
            </w:r>
          </w:p>
        </w:tc>
        <w:tc>
          <w:tcPr>
            <w:tcW w:w="651"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T4 (8%)</w:t>
            </w:r>
          </w:p>
        </w:tc>
        <w:tc>
          <w:tcPr>
            <w:tcW w:w="657"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T5 (10%)</w:t>
            </w:r>
          </w:p>
        </w:tc>
      </w:tr>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Temperature (°c)</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29.10±0.057</w:t>
            </w:r>
            <w:r>
              <w:rPr>
                <w:rFonts w:eastAsia="Times New Roman" w:cs="Times New Roman"/>
                <w:kern w:val="0"/>
                <w:sz w:val="18"/>
                <w:szCs w:val="18"/>
                <w:vertAlign w:val="superscript"/>
                <w:lang w:eastAsia="en-IN"/>
                <w14:ligatures w14:val="none"/>
              </w:rPr>
              <w:t>b</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28.80±0.057</w:t>
            </w:r>
            <w:r>
              <w:rPr>
                <w:rFonts w:eastAsia="Times New Roman" w:cs="Times New Roman"/>
                <w:kern w:val="0"/>
                <w:sz w:val="18"/>
                <w:szCs w:val="18"/>
                <w:vertAlign w:val="superscript"/>
                <w:lang w:eastAsia="en-IN"/>
                <w14:ligatures w14:val="none"/>
              </w:rPr>
              <w:t>a</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29.13±0.088</w:t>
            </w:r>
            <w:r>
              <w:rPr>
                <w:rFonts w:eastAsia="Times New Roman" w:cs="Times New Roman"/>
                <w:kern w:val="0"/>
                <w:sz w:val="18"/>
                <w:szCs w:val="18"/>
                <w:vertAlign w:val="superscript"/>
                <w:lang w:eastAsia="en-IN"/>
                <w14:ligatures w14:val="none"/>
              </w:rPr>
              <w:t>b</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30.10±0.057</w:t>
            </w:r>
            <w:r>
              <w:rPr>
                <w:rFonts w:eastAsia="Times New Roman" w:cs="Times New Roman"/>
                <w:kern w:val="0"/>
                <w:sz w:val="18"/>
                <w:szCs w:val="18"/>
                <w:vertAlign w:val="superscript"/>
                <w:lang w:eastAsia="en-IN"/>
                <w14:ligatures w14:val="none"/>
              </w:rPr>
              <w:t>cd</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29.93±0.033</w:t>
            </w:r>
            <w:r>
              <w:rPr>
                <w:rFonts w:eastAsia="Times New Roman" w:cs="Times New Roman"/>
                <w:kern w:val="0"/>
                <w:sz w:val="18"/>
                <w:szCs w:val="18"/>
                <w:vertAlign w:val="superscript"/>
                <w:lang w:eastAsia="en-IN"/>
                <w14:ligatures w14:val="none"/>
              </w:rPr>
              <w:t>c</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30.20±0.057</w:t>
            </w:r>
            <w:r>
              <w:rPr>
                <w:rFonts w:eastAsia="Times New Roman" w:cs="Times New Roman"/>
                <w:kern w:val="0"/>
                <w:sz w:val="18"/>
                <w:szCs w:val="18"/>
                <w:vertAlign w:val="superscript"/>
                <w:lang w:eastAsia="en-IN"/>
                <w14:ligatures w14:val="none"/>
              </w:rPr>
              <w:t>d</w:t>
            </w:r>
          </w:p>
        </w:tc>
      </w:tr>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pH</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7.36±0.008</w:t>
            </w:r>
            <w:r>
              <w:rPr>
                <w:rFonts w:eastAsia="Times New Roman" w:cs="Times New Roman"/>
                <w:kern w:val="0"/>
                <w:sz w:val="18"/>
                <w:szCs w:val="18"/>
                <w:vertAlign w:val="superscript"/>
                <w:lang w:eastAsia="en-IN"/>
                <w14:ligatures w14:val="none"/>
              </w:rPr>
              <w:t>a</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7.56±0.008</w:t>
            </w:r>
            <w:r>
              <w:rPr>
                <w:rFonts w:eastAsia="Times New Roman" w:cs="Times New Roman"/>
                <w:kern w:val="0"/>
                <w:sz w:val="18"/>
                <w:szCs w:val="18"/>
                <w:vertAlign w:val="superscript"/>
                <w:lang w:eastAsia="en-IN"/>
                <w14:ligatures w14:val="none"/>
              </w:rPr>
              <w:t>c</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7.72±0.005</w:t>
            </w:r>
            <w:r>
              <w:rPr>
                <w:rFonts w:eastAsia="Times New Roman" w:cs="Times New Roman"/>
                <w:kern w:val="0"/>
                <w:sz w:val="18"/>
                <w:szCs w:val="18"/>
                <w:vertAlign w:val="superscript"/>
                <w:lang w:eastAsia="en-IN"/>
                <w14:ligatures w14:val="none"/>
              </w:rPr>
              <w:t>d</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7.44±0.011</w:t>
            </w:r>
            <w:r>
              <w:rPr>
                <w:rFonts w:eastAsia="Times New Roman" w:cs="Times New Roman"/>
                <w:kern w:val="0"/>
                <w:sz w:val="18"/>
                <w:szCs w:val="18"/>
                <w:vertAlign w:val="superscript"/>
                <w:lang w:eastAsia="en-IN"/>
                <w14:ligatures w14:val="none"/>
              </w:rPr>
              <w:t>b</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7.78±0.005</w:t>
            </w:r>
            <w:r>
              <w:rPr>
                <w:rFonts w:eastAsia="Times New Roman" w:cs="Times New Roman"/>
                <w:kern w:val="0"/>
                <w:sz w:val="18"/>
                <w:szCs w:val="18"/>
                <w:vertAlign w:val="superscript"/>
                <w:lang w:eastAsia="en-IN"/>
                <w14:ligatures w14:val="none"/>
              </w:rPr>
              <w:t>e</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7.88±0.008</w:t>
            </w:r>
            <w:r>
              <w:rPr>
                <w:rFonts w:eastAsia="Times New Roman" w:cs="Times New Roman"/>
                <w:kern w:val="0"/>
                <w:sz w:val="18"/>
                <w:szCs w:val="18"/>
                <w:vertAlign w:val="superscript"/>
                <w:lang w:eastAsia="en-IN"/>
                <w14:ligatures w14:val="none"/>
              </w:rPr>
              <w:t>f</w:t>
            </w:r>
          </w:p>
        </w:tc>
      </w:tr>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bookmarkStart w:id="6" w:name="_Hlk175838903"/>
            <w:r>
              <w:rPr>
                <w:rFonts w:eastAsia="Times New Roman" w:cs="Times New Roman"/>
                <w:b/>
                <w:bCs/>
                <w:kern w:val="0"/>
                <w:sz w:val="18"/>
                <w:szCs w:val="18"/>
                <w:lang w:eastAsia="en-IN"/>
                <w14:ligatures w14:val="none"/>
              </w:rPr>
              <w:t>Do (mg/L)</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5.90±0.008</w:t>
            </w:r>
            <w:r>
              <w:rPr>
                <w:rFonts w:eastAsia="Times New Roman" w:cs="Times New Roman"/>
                <w:kern w:val="0"/>
                <w:sz w:val="18"/>
                <w:szCs w:val="18"/>
                <w:vertAlign w:val="superscript"/>
                <w:lang w:eastAsia="en-IN"/>
                <w14:ligatures w14:val="none"/>
              </w:rPr>
              <w:t>a</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6.23±0.008</w:t>
            </w:r>
            <w:r>
              <w:rPr>
                <w:rFonts w:eastAsia="Times New Roman" w:cs="Times New Roman"/>
                <w:kern w:val="0"/>
                <w:sz w:val="18"/>
                <w:szCs w:val="18"/>
                <w:vertAlign w:val="superscript"/>
                <w:lang w:eastAsia="en-IN"/>
                <w14:ligatures w14:val="none"/>
              </w:rPr>
              <w:t>c</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6.70±0.008</w:t>
            </w:r>
            <w:r>
              <w:rPr>
                <w:rFonts w:eastAsia="Times New Roman" w:cs="Times New Roman"/>
                <w:kern w:val="0"/>
                <w:sz w:val="18"/>
                <w:szCs w:val="18"/>
                <w:vertAlign w:val="superscript"/>
                <w:lang w:eastAsia="en-IN"/>
                <w14:ligatures w14:val="none"/>
              </w:rPr>
              <w:t>e</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5.98±0.012</w:t>
            </w:r>
            <w:r>
              <w:rPr>
                <w:rFonts w:eastAsia="Times New Roman" w:cs="Times New Roman"/>
                <w:kern w:val="0"/>
                <w:sz w:val="18"/>
                <w:szCs w:val="18"/>
                <w:vertAlign w:val="superscript"/>
                <w:lang w:eastAsia="en-IN"/>
                <w14:ligatures w14:val="none"/>
              </w:rPr>
              <w:t>b</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6.26±0.008</w:t>
            </w:r>
            <w:r>
              <w:rPr>
                <w:rFonts w:eastAsia="Times New Roman" w:cs="Times New Roman"/>
                <w:kern w:val="0"/>
                <w:sz w:val="18"/>
                <w:szCs w:val="18"/>
                <w:vertAlign w:val="superscript"/>
                <w:lang w:eastAsia="en-IN"/>
                <w14:ligatures w14:val="none"/>
              </w:rPr>
              <w:t>c</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6.48±0.008</w:t>
            </w:r>
            <w:r>
              <w:rPr>
                <w:rFonts w:eastAsia="Times New Roman" w:cs="Times New Roman"/>
                <w:kern w:val="0"/>
                <w:sz w:val="18"/>
                <w:szCs w:val="18"/>
                <w:vertAlign w:val="superscript"/>
                <w:lang w:eastAsia="en-IN"/>
                <w14:ligatures w14:val="none"/>
              </w:rPr>
              <w:t>d</w:t>
            </w:r>
          </w:p>
        </w:tc>
      </w:tr>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bookmarkStart w:id="7" w:name="_Hlk175838589"/>
            <w:r>
              <w:rPr>
                <w:rFonts w:eastAsia="Times New Roman" w:cs="Times New Roman"/>
                <w:b/>
                <w:bCs/>
                <w:kern w:val="0"/>
                <w:sz w:val="18"/>
                <w:szCs w:val="18"/>
                <w:lang w:eastAsia="en-IN"/>
                <w14:ligatures w14:val="none"/>
              </w:rPr>
              <w:t>Total alkalinity (mg/L)</w:t>
            </w:r>
            <w:bookmarkEnd w:id="7"/>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56.86±0.120</w:t>
            </w:r>
            <w:r>
              <w:rPr>
                <w:rFonts w:eastAsia="Times New Roman" w:cs="Times New Roman"/>
                <w:kern w:val="0"/>
                <w:sz w:val="18"/>
                <w:szCs w:val="18"/>
                <w:vertAlign w:val="superscript"/>
                <w:lang w:eastAsia="en-IN"/>
                <w14:ligatures w14:val="none"/>
              </w:rPr>
              <w:t>b</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58.63±0.088</w:t>
            </w:r>
            <w:r>
              <w:rPr>
                <w:rFonts w:eastAsia="Times New Roman" w:cs="Times New Roman"/>
                <w:kern w:val="0"/>
                <w:sz w:val="18"/>
                <w:szCs w:val="18"/>
                <w:vertAlign w:val="superscript"/>
                <w:lang w:eastAsia="en-IN"/>
                <w14:ligatures w14:val="none"/>
              </w:rPr>
              <w:t>c</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55.63±0.088</w:t>
            </w:r>
            <w:r>
              <w:rPr>
                <w:rFonts w:eastAsia="Times New Roman" w:cs="Times New Roman"/>
                <w:kern w:val="0"/>
                <w:sz w:val="18"/>
                <w:szCs w:val="18"/>
                <w:vertAlign w:val="superscript"/>
                <w:lang w:eastAsia="en-IN"/>
                <w14:ligatures w14:val="none"/>
              </w:rPr>
              <w:t>a</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56.76±0.088</w:t>
            </w:r>
            <w:r>
              <w:rPr>
                <w:rFonts w:eastAsia="Times New Roman" w:cs="Times New Roman"/>
                <w:kern w:val="0"/>
                <w:sz w:val="18"/>
                <w:szCs w:val="18"/>
                <w:vertAlign w:val="superscript"/>
                <w:lang w:eastAsia="en-IN"/>
                <w14:ligatures w14:val="none"/>
              </w:rPr>
              <w:t>b</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58.86±0.088</w:t>
            </w:r>
            <w:r>
              <w:rPr>
                <w:rFonts w:eastAsia="Times New Roman" w:cs="Times New Roman"/>
                <w:kern w:val="0"/>
                <w:sz w:val="18"/>
                <w:szCs w:val="18"/>
                <w:vertAlign w:val="superscript"/>
                <w:lang w:eastAsia="en-IN"/>
                <w14:ligatures w14:val="none"/>
              </w:rPr>
              <w:t>cd</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59.1±0.057</w:t>
            </w:r>
            <w:r>
              <w:rPr>
                <w:rFonts w:eastAsia="Times New Roman" w:cs="Times New Roman"/>
                <w:kern w:val="0"/>
                <w:sz w:val="18"/>
                <w:szCs w:val="18"/>
                <w:vertAlign w:val="superscript"/>
                <w:lang w:eastAsia="en-IN"/>
                <w14:ligatures w14:val="none"/>
              </w:rPr>
              <w:t>d</w:t>
            </w:r>
          </w:p>
        </w:tc>
      </w:tr>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Hardness (mg/L)</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56.73±0.088</w:t>
            </w:r>
            <w:r>
              <w:rPr>
                <w:rFonts w:eastAsia="Times New Roman" w:cs="Times New Roman"/>
                <w:kern w:val="0"/>
                <w:sz w:val="18"/>
                <w:szCs w:val="18"/>
                <w:vertAlign w:val="superscript"/>
                <w:lang w:eastAsia="en-IN"/>
                <w14:ligatures w14:val="none"/>
              </w:rPr>
              <w:t>b</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58.83±0.088</w:t>
            </w:r>
            <w:r>
              <w:rPr>
                <w:rFonts w:eastAsia="Times New Roman" w:cs="Times New Roman"/>
                <w:kern w:val="0"/>
                <w:sz w:val="18"/>
                <w:szCs w:val="18"/>
                <w:vertAlign w:val="superscript"/>
                <w:lang w:eastAsia="en-IN"/>
                <w14:ligatures w14:val="none"/>
              </w:rPr>
              <w:t>c</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58.7±0.115</w:t>
            </w:r>
            <w:r>
              <w:rPr>
                <w:rFonts w:eastAsia="Times New Roman" w:cs="Times New Roman"/>
                <w:kern w:val="0"/>
                <w:sz w:val="18"/>
                <w:szCs w:val="18"/>
                <w:vertAlign w:val="superscript"/>
                <w:lang w:eastAsia="en-IN"/>
                <w14:ligatures w14:val="none"/>
              </w:rPr>
              <w:t>c</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55.96±0.088</w:t>
            </w:r>
            <w:r>
              <w:rPr>
                <w:rFonts w:eastAsia="Times New Roman" w:cs="Times New Roman"/>
                <w:kern w:val="0"/>
                <w:sz w:val="18"/>
                <w:szCs w:val="18"/>
                <w:vertAlign w:val="superscript"/>
                <w:lang w:eastAsia="en-IN"/>
                <w14:ligatures w14:val="none"/>
              </w:rPr>
              <w:t>a</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59.13±0.088</w:t>
            </w:r>
            <w:r>
              <w:rPr>
                <w:rFonts w:eastAsia="Times New Roman" w:cs="Times New Roman"/>
                <w:kern w:val="0"/>
                <w:sz w:val="18"/>
                <w:szCs w:val="18"/>
                <w:vertAlign w:val="superscript"/>
                <w:lang w:eastAsia="en-IN"/>
                <w14:ligatures w14:val="none"/>
              </w:rPr>
              <w:t>d</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59.70±0.057</w:t>
            </w:r>
            <w:r>
              <w:rPr>
                <w:rFonts w:eastAsia="Times New Roman" w:cs="Times New Roman"/>
                <w:kern w:val="0"/>
                <w:sz w:val="18"/>
                <w:szCs w:val="18"/>
                <w:vertAlign w:val="superscript"/>
                <w:lang w:eastAsia="en-IN"/>
                <w14:ligatures w14:val="none"/>
              </w:rPr>
              <w:t>e</w:t>
            </w:r>
          </w:p>
        </w:tc>
      </w:tr>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lastRenderedPageBreak/>
              <w:t>NO₃⁻ (mg/L)</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0.04±0.001</w:t>
            </w:r>
            <w:r>
              <w:rPr>
                <w:rFonts w:eastAsia="Times New Roman" w:cs="Times New Roman"/>
                <w:kern w:val="0"/>
                <w:sz w:val="18"/>
                <w:szCs w:val="18"/>
                <w:vertAlign w:val="superscript"/>
                <w:lang w:eastAsia="en-IN"/>
                <w14:ligatures w14:val="none"/>
              </w:rPr>
              <w:t>c</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0.03±0.002</w:t>
            </w:r>
            <w:r>
              <w:rPr>
                <w:rFonts w:eastAsia="Times New Roman" w:cs="Times New Roman"/>
                <w:kern w:val="0"/>
                <w:sz w:val="18"/>
                <w:szCs w:val="18"/>
                <w:vertAlign w:val="superscript"/>
                <w:lang w:eastAsia="en-IN"/>
                <w14:ligatures w14:val="none"/>
              </w:rPr>
              <w:t>b</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0.05±0.001</w:t>
            </w:r>
            <w:r>
              <w:rPr>
                <w:rFonts w:eastAsia="Times New Roman" w:cs="Times New Roman"/>
                <w:kern w:val="0"/>
                <w:sz w:val="18"/>
                <w:szCs w:val="18"/>
                <w:vertAlign w:val="superscript"/>
                <w:lang w:eastAsia="en-IN"/>
                <w14:ligatures w14:val="none"/>
              </w:rPr>
              <w:t>c</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0.03±0.001</w:t>
            </w:r>
            <w:r>
              <w:rPr>
                <w:rFonts w:eastAsia="Times New Roman" w:cs="Times New Roman"/>
                <w:kern w:val="0"/>
                <w:sz w:val="18"/>
                <w:szCs w:val="18"/>
                <w:vertAlign w:val="superscript"/>
                <w:lang w:eastAsia="en-IN"/>
                <w14:ligatures w14:val="none"/>
              </w:rPr>
              <w:t>a</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0.05±0</w:t>
            </w:r>
            <w:r>
              <w:rPr>
                <w:rFonts w:eastAsia="Times New Roman" w:cs="Times New Roman"/>
                <w:kern w:val="0"/>
                <w:sz w:val="18"/>
                <w:szCs w:val="18"/>
                <w:vertAlign w:val="superscript"/>
                <w:lang w:eastAsia="en-IN"/>
                <w14:ligatures w14:val="none"/>
              </w:rPr>
              <w:t>e</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0.05±0</w:t>
            </w:r>
            <w:r>
              <w:rPr>
                <w:rFonts w:eastAsia="Times New Roman" w:cs="Times New Roman"/>
                <w:kern w:val="0"/>
                <w:sz w:val="18"/>
                <w:szCs w:val="18"/>
                <w:vertAlign w:val="superscript"/>
                <w:lang w:eastAsia="en-IN"/>
                <w14:ligatures w14:val="none"/>
              </w:rPr>
              <w:t>de</w:t>
            </w:r>
          </w:p>
        </w:tc>
      </w:tr>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NO₂⁻ (mg/L)</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0.08±0.012</w:t>
            </w:r>
            <w:r>
              <w:rPr>
                <w:rFonts w:eastAsia="Times New Roman" w:cs="Times New Roman"/>
                <w:kern w:val="0"/>
                <w:sz w:val="18"/>
                <w:szCs w:val="18"/>
                <w:vertAlign w:val="superscript"/>
                <w:lang w:eastAsia="en-IN"/>
                <w14:ligatures w14:val="none"/>
              </w:rPr>
              <w:t>cs</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0.03±0.005</w:t>
            </w:r>
            <w:r>
              <w:rPr>
                <w:rFonts w:eastAsia="Times New Roman" w:cs="Times New Roman"/>
                <w:kern w:val="0"/>
                <w:sz w:val="18"/>
                <w:szCs w:val="18"/>
                <w:vertAlign w:val="superscript"/>
                <w:lang w:eastAsia="en-IN"/>
                <w14:ligatures w14:val="none"/>
              </w:rPr>
              <w:t>ab</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0.02±0.012</w:t>
            </w:r>
            <w:r>
              <w:rPr>
                <w:rFonts w:eastAsia="Times New Roman" w:cs="Times New Roman"/>
                <w:kern w:val="0"/>
                <w:sz w:val="18"/>
                <w:szCs w:val="18"/>
                <w:vertAlign w:val="superscript"/>
                <w:lang w:eastAsia="en-IN"/>
                <w14:ligatures w14:val="none"/>
              </w:rPr>
              <w:t>ab</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0.02±0.005</w:t>
            </w:r>
            <w:r>
              <w:rPr>
                <w:rFonts w:eastAsia="Times New Roman" w:cs="Times New Roman"/>
                <w:kern w:val="0"/>
                <w:sz w:val="18"/>
                <w:szCs w:val="18"/>
                <w:vertAlign w:val="superscript"/>
                <w:lang w:eastAsia="en-IN"/>
                <w14:ligatures w14:val="none"/>
              </w:rPr>
              <w:t>ab</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0.05±0.005</w:t>
            </w:r>
            <w:r>
              <w:rPr>
                <w:rFonts w:eastAsia="Times New Roman" w:cs="Times New Roman"/>
                <w:kern w:val="0"/>
                <w:sz w:val="18"/>
                <w:szCs w:val="18"/>
                <w:vertAlign w:val="superscript"/>
                <w:lang w:eastAsia="en-IN"/>
                <w14:ligatures w14:val="none"/>
              </w:rPr>
              <w:t>b</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0.08±0.005</w:t>
            </w:r>
            <w:r>
              <w:rPr>
                <w:rFonts w:eastAsia="Times New Roman" w:cs="Times New Roman"/>
                <w:kern w:val="0"/>
                <w:sz w:val="18"/>
                <w:szCs w:val="18"/>
                <w:vertAlign w:val="superscript"/>
                <w:lang w:eastAsia="en-IN"/>
                <w14:ligatures w14:val="none"/>
              </w:rPr>
              <w:t>c</w:t>
            </w:r>
          </w:p>
        </w:tc>
      </w:tr>
      <w:bookmarkEnd w:id="6"/>
      <w:tr w:rsidR="00E94D45">
        <w:tc>
          <w:tcPr>
            <w:tcW w:w="861" w:type="pct"/>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Total ammonia (mg/L)</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1.51±0.017</w:t>
            </w:r>
            <w:r>
              <w:rPr>
                <w:rFonts w:eastAsia="Times New Roman" w:cs="Times New Roman"/>
                <w:kern w:val="0"/>
                <w:sz w:val="18"/>
                <w:szCs w:val="18"/>
                <w:vertAlign w:val="superscript"/>
                <w:lang w:eastAsia="en-IN"/>
                <w14:ligatures w14:val="none"/>
              </w:rPr>
              <w:t>d</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1.28±0.012</w:t>
            </w:r>
            <w:r>
              <w:rPr>
                <w:rFonts w:eastAsia="Times New Roman" w:cs="Times New Roman"/>
                <w:kern w:val="0"/>
                <w:sz w:val="18"/>
                <w:szCs w:val="18"/>
                <w:vertAlign w:val="superscript"/>
                <w:lang w:eastAsia="en-IN"/>
                <w14:ligatures w14:val="none"/>
              </w:rPr>
              <w:t>c</w:t>
            </w:r>
          </w:p>
        </w:tc>
        <w:tc>
          <w:tcPr>
            <w:tcW w:w="708"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0.49±0.015</w:t>
            </w:r>
            <w:r>
              <w:rPr>
                <w:rFonts w:eastAsia="Times New Roman" w:cs="Times New Roman"/>
                <w:kern w:val="0"/>
                <w:sz w:val="18"/>
                <w:szCs w:val="18"/>
                <w:vertAlign w:val="superscript"/>
                <w:lang w:eastAsia="en-IN"/>
                <w14:ligatures w14:val="none"/>
              </w:rPr>
              <w:t>a</w:t>
            </w:r>
          </w:p>
        </w:tc>
        <w:tc>
          <w:tcPr>
            <w:tcW w:w="70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0.89±0.015</w:t>
            </w:r>
            <w:r>
              <w:rPr>
                <w:rFonts w:eastAsia="Times New Roman" w:cs="Times New Roman"/>
                <w:kern w:val="0"/>
                <w:sz w:val="18"/>
                <w:szCs w:val="18"/>
                <w:vertAlign w:val="superscript"/>
                <w:lang w:eastAsia="en-IN"/>
                <w14:ligatures w14:val="none"/>
              </w:rPr>
              <w:t>b</w:t>
            </w:r>
          </w:p>
        </w:tc>
        <w:tc>
          <w:tcPr>
            <w:tcW w:w="651"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1.67±0.012</w:t>
            </w:r>
            <w:r>
              <w:rPr>
                <w:rFonts w:eastAsia="Times New Roman" w:cs="Times New Roman"/>
                <w:kern w:val="0"/>
                <w:sz w:val="18"/>
                <w:szCs w:val="18"/>
                <w:vertAlign w:val="superscript"/>
                <w:lang w:eastAsia="en-IN"/>
                <w14:ligatures w14:val="none"/>
              </w:rPr>
              <w:t>e</w:t>
            </w:r>
          </w:p>
        </w:tc>
        <w:tc>
          <w:tcPr>
            <w:tcW w:w="657" w:type="pct"/>
            <w:hideMark/>
          </w:tcPr>
          <w:p w:rsidR="00E94D45" w:rsidRDefault="005572AF">
            <w:pPr>
              <w:spacing w:after="0"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1.8±0.012</w:t>
            </w:r>
            <w:r>
              <w:rPr>
                <w:rFonts w:eastAsia="Times New Roman" w:cs="Times New Roman"/>
                <w:kern w:val="0"/>
                <w:sz w:val="18"/>
                <w:szCs w:val="18"/>
                <w:vertAlign w:val="superscript"/>
                <w:lang w:eastAsia="en-IN"/>
                <w14:ligatures w14:val="none"/>
              </w:rPr>
              <w:t>f</w:t>
            </w:r>
          </w:p>
        </w:tc>
      </w:tr>
      <w:tr w:rsidR="00E94D45">
        <w:tc>
          <w:tcPr>
            <w:tcW w:w="5000" w:type="pct"/>
            <w:gridSpan w:val="7"/>
          </w:tcPr>
          <w:p w:rsidR="00E94D45" w:rsidRDefault="005572AF">
            <w:pPr>
              <w:spacing w:after="0" w:line="276" w:lineRule="auto"/>
              <w:ind w:left="29"/>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Sampling regime:</w:t>
            </w:r>
            <w:r>
              <w:rPr>
                <w:rFonts w:eastAsia="Times New Roman" w:cs="Times New Roman"/>
                <w:kern w:val="0"/>
                <w:sz w:val="18"/>
                <w:szCs w:val="18"/>
                <w:lang w:eastAsia="en-IN"/>
                <w14:ligatures w14:val="none"/>
              </w:rPr>
              <w:t xml:space="preserve"> Water quality parameters were measured weekly throughout the 90‑day experimental period. Values represent the mean of 90 days measurements per treatment. (</w:t>
            </w:r>
            <w:r>
              <w:rPr>
                <w:rFonts w:cs="Times New Roman"/>
                <w:sz w:val="20"/>
                <w:szCs w:val="20"/>
              </w:rPr>
              <w:t>APHA 1992</w:t>
            </w:r>
            <w:r>
              <w:rPr>
                <w:rFonts w:eastAsia="Times New Roman" w:cs="Times New Roman"/>
                <w:kern w:val="0"/>
                <w:sz w:val="18"/>
                <w:szCs w:val="18"/>
                <w:lang w:eastAsia="en-IN"/>
                <w14:ligatures w14:val="none"/>
              </w:rPr>
              <w:t>)</w:t>
            </w:r>
          </w:p>
          <w:p w:rsidR="00E94D45" w:rsidRDefault="005572AF">
            <w:pPr>
              <w:spacing w:after="0" w:line="276" w:lineRule="auto"/>
              <w:ind w:left="29"/>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Statistical analysis:</w:t>
            </w:r>
            <w:r>
              <w:rPr>
                <w:rFonts w:eastAsia="Times New Roman" w:cs="Times New Roman"/>
                <w:kern w:val="0"/>
                <w:sz w:val="18"/>
                <w:szCs w:val="18"/>
                <w:lang w:eastAsia="en-IN"/>
                <w14:ligatures w14:val="none"/>
              </w:rPr>
              <w:t xml:space="preserve"> Values are mean ± standard error (SE). Within each row, means with different superscript letters (a-f) differ significantly (p&lt;0.05; repeated‑measures ANOVA followed by Tukey’s test).</w:t>
            </w:r>
          </w:p>
        </w:tc>
      </w:tr>
    </w:tbl>
    <w:p w:rsidR="00E94D45" w:rsidRDefault="005572AF">
      <w:pPr>
        <w:pStyle w:val="ListParagraph"/>
        <w:numPr>
          <w:ilvl w:val="1"/>
          <w:numId w:val="22"/>
        </w:numPr>
        <w:spacing w:before="240" w:after="0"/>
        <w:ind w:left="426" w:hanging="426"/>
        <w:rPr>
          <w:rFonts w:cs="Times New Roman"/>
          <w:szCs w:val="24"/>
        </w:rPr>
      </w:pPr>
      <w:r>
        <w:rPr>
          <w:rFonts w:cs="Times New Roman"/>
          <w:szCs w:val="24"/>
        </w:rPr>
        <w:t>Lightness values</w:t>
      </w:r>
    </w:p>
    <w:p w:rsidR="00E94D45" w:rsidRDefault="005572AF">
      <w:pPr>
        <w:spacing w:line="276" w:lineRule="auto"/>
        <w:rPr>
          <w:rFonts w:cs="Times New Roman"/>
          <w:sz w:val="20"/>
          <w:szCs w:val="20"/>
        </w:rPr>
      </w:pPr>
      <w:r>
        <w:rPr>
          <w:rFonts w:cs="Times New Roman"/>
          <w:sz w:val="20"/>
          <w:szCs w:val="20"/>
        </w:rPr>
        <w:t>Table 11 illustrates that on the 30th day, no signifi</w:t>
      </w:r>
      <w:r>
        <w:rPr>
          <w:rFonts w:cs="Times New Roman"/>
          <w:sz w:val="20"/>
          <w:szCs w:val="20"/>
        </w:rPr>
        <w:t xml:space="preserve">cant variations (p&gt;0.05) were found in the brightness color at different spirulina concentrations between T2 and T3 against the others. Notable variations in the color of lightness were observed at 60 and 90 days, except the 60th day when comparing T3 and </w:t>
      </w:r>
      <w:r>
        <w:rPr>
          <w:rFonts w:cs="Times New Roman"/>
          <w:sz w:val="20"/>
          <w:szCs w:val="20"/>
        </w:rPr>
        <w:t>T4 treatments. Significant differences in the lightness colors of all treatments were seen on day 90, with T5 having the biggest difference throughout the trial (p&lt;0.05).</w:t>
      </w:r>
    </w:p>
    <w:p w:rsidR="00E94D45" w:rsidRDefault="005572AF">
      <w:pPr>
        <w:pStyle w:val="Caption"/>
        <w:keepNext/>
        <w:ind w:left="851" w:hanging="851"/>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11</w:t>
      </w:r>
      <w:r>
        <w:rPr>
          <w:b/>
          <w:bCs/>
          <w:i w:val="0"/>
          <w:iCs w:val="0"/>
          <w:color w:val="auto"/>
          <w:sz w:val="20"/>
          <w:szCs w:val="20"/>
        </w:rPr>
        <w:fldChar w:fldCharType="end"/>
      </w:r>
      <w:r>
        <w:rPr>
          <w:b/>
          <w:bCs/>
          <w:i w:val="0"/>
          <w:iCs w:val="0"/>
          <w:color w:val="auto"/>
          <w:sz w:val="20"/>
          <w:szCs w:val="20"/>
          <w:lang w:val="en-IN"/>
        </w:rPr>
        <w:t xml:space="preserve"> Lightness values behind the operculum zone of blue g</w:t>
      </w:r>
      <w:r>
        <w:rPr>
          <w:b/>
          <w:bCs/>
          <w:i w:val="0"/>
          <w:iCs w:val="0"/>
          <w:color w:val="auto"/>
          <w:sz w:val="20"/>
          <w:szCs w:val="20"/>
          <w:lang w:val="en-IN"/>
        </w:rPr>
        <w:t>ourami fed with different spirulina concentrations.</w:t>
      </w:r>
    </w:p>
    <w:tbl>
      <w:tblPr>
        <w:tblStyle w:val="TableGrid"/>
        <w:tblW w:w="5000" w:type="pct"/>
        <w:tblLayout w:type="fixed"/>
        <w:tblLook w:val="04A0" w:firstRow="1" w:lastRow="0" w:firstColumn="1" w:lastColumn="0" w:noHBand="0" w:noVBand="1"/>
      </w:tblPr>
      <w:tblGrid>
        <w:gridCol w:w="1272"/>
        <w:gridCol w:w="1616"/>
        <w:gridCol w:w="1233"/>
        <w:gridCol w:w="1235"/>
        <w:gridCol w:w="1262"/>
        <w:gridCol w:w="1197"/>
        <w:gridCol w:w="1201"/>
      </w:tblGrid>
      <w:tr w:rsidR="00E94D45">
        <w:tc>
          <w:tcPr>
            <w:tcW w:w="705"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18"/>
                <w:szCs w:val="18"/>
              </w:rPr>
              <w:t>Treatments</w:t>
            </w:r>
          </w:p>
        </w:tc>
        <w:tc>
          <w:tcPr>
            <w:tcW w:w="896"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T0 (0% Spirulina)</w:t>
            </w:r>
          </w:p>
        </w:tc>
        <w:tc>
          <w:tcPr>
            <w:tcW w:w="684"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T1 (2%)</w:t>
            </w:r>
          </w:p>
        </w:tc>
        <w:tc>
          <w:tcPr>
            <w:tcW w:w="685"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T2 (4%)</w:t>
            </w:r>
          </w:p>
        </w:tc>
        <w:tc>
          <w:tcPr>
            <w:tcW w:w="700"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T3 (6%)</w:t>
            </w:r>
          </w:p>
        </w:tc>
        <w:tc>
          <w:tcPr>
            <w:tcW w:w="664"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T4 (8%)</w:t>
            </w:r>
          </w:p>
        </w:tc>
        <w:tc>
          <w:tcPr>
            <w:tcW w:w="665"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T5 (10%)</w:t>
            </w:r>
          </w:p>
        </w:tc>
      </w:tr>
      <w:tr w:rsidR="00E94D45">
        <w:tc>
          <w:tcPr>
            <w:tcW w:w="705"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0 Day</w:t>
            </w:r>
          </w:p>
        </w:tc>
        <w:tc>
          <w:tcPr>
            <w:tcW w:w="896"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70.01±0.002</w:t>
            </w:r>
            <w:r>
              <w:rPr>
                <w:rFonts w:eastAsia="Times New Roman" w:cs="Times New Roman"/>
                <w:kern w:val="0"/>
                <w:sz w:val="20"/>
                <w:szCs w:val="20"/>
                <w:vertAlign w:val="superscript"/>
                <w:lang w:eastAsia="en-IN"/>
                <w14:ligatures w14:val="none"/>
              </w:rPr>
              <w:t>a</w:t>
            </w:r>
          </w:p>
        </w:tc>
        <w:tc>
          <w:tcPr>
            <w:tcW w:w="68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70.02±0.045</w:t>
            </w:r>
            <w:r>
              <w:rPr>
                <w:rFonts w:eastAsia="Times New Roman" w:cs="Times New Roman"/>
                <w:kern w:val="0"/>
                <w:sz w:val="20"/>
                <w:szCs w:val="20"/>
                <w:vertAlign w:val="superscript"/>
                <w:lang w:eastAsia="en-IN"/>
                <w14:ligatures w14:val="none"/>
              </w:rPr>
              <w:t>a</w:t>
            </w:r>
          </w:p>
        </w:tc>
        <w:tc>
          <w:tcPr>
            <w:tcW w:w="68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70.08±0.068</w:t>
            </w:r>
            <w:r>
              <w:rPr>
                <w:rFonts w:eastAsia="Times New Roman" w:cs="Times New Roman"/>
                <w:kern w:val="0"/>
                <w:sz w:val="20"/>
                <w:szCs w:val="20"/>
                <w:vertAlign w:val="superscript"/>
                <w:lang w:eastAsia="en-IN"/>
                <w14:ligatures w14:val="none"/>
              </w:rPr>
              <w:t>a</w:t>
            </w:r>
          </w:p>
        </w:tc>
        <w:tc>
          <w:tcPr>
            <w:tcW w:w="700"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70.03±0.144</w:t>
            </w:r>
            <w:r>
              <w:rPr>
                <w:rFonts w:eastAsia="Times New Roman" w:cs="Times New Roman"/>
                <w:kern w:val="0"/>
                <w:sz w:val="20"/>
                <w:szCs w:val="20"/>
                <w:vertAlign w:val="superscript"/>
                <w:lang w:eastAsia="en-IN"/>
                <w14:ligatures w14:val="none"/>
              </w:rPr>
              <w:t>a</w:t>
            </w:r>
          </w:p>
        </w:tc>
        <w:tc>
          <w:tcPr>
            <w:tcW w:w="66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70.01±0.003</w:t>
            </w:r>
            <w:r>
              <w:rPr>
                <w:rFonts w:eastAsia="Times New Roman" w:cs="Times New Roman"/>
                <w:kern w:val="0"/>
                <w:sz w:val="20"/>
                <w:szCs w:val="20"/>
                <w:vertAlign w:val="superscript"/>
                <w:lang w:eastAsia="en-IN"/>
                <w14:ligatures w14:val="none"/>
              </w:rPr>
              <w:t>a</w:t>
            </w:r>
          </w:p>
        </w:tc>
        <w:tc>
          <w:tcPr>
            <w:tcW w:w="66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70.29±0.149</w:t>
            </w:r>
            <w:r>
              <w:rPr>
                <w:rFonts w:eastAsia="Times New Roman" w:cs="Times New Roman"/>
                <w:kern w:val="0"/>
                <w:sz w:val="20"/>
                <w:szCs w:val="20"/>
                <w:vertAlign w:val="superscript"/>
                <w:lang w:eastAsia="en-IN"/>
                <w14:ligatures w14:val="none"/>
              </w:rPr>
              <w:t>a</w:t>
            </w:r>
          </w:p>
        </w:tc>
      </w:tr>
      <w:tr w:rsidR="00E94D45">
        <w:tc>
          <w:tcPr>
            <w:tcW w:w="705"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30 Day</w:t>
            </w:r>
          </w:p>
        </w:tc>
        <w:tc>
          <w:tcPr>
            <w:tcW w:w="896"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71.40±0.115</w:t>
            </w:r>
            <w:r>
              <w:rPr>
                <w:rFonts w:eastAsia="Times New Roman" w:cs="Times New Roman"/>
                <w:kern w:val="0"/>
                <w:sz w:val="20"/>
                <w:szCs w:val="20"/>
                <w:vertAlign w:val="superscript"/>
                <w:lang w:eastAsia="en-IN"/>
                <w14:ligatures w14:val="none"/>
              </w:rPr>
              <w:t>b</w:t>
            </w:r>
          </w:p>
        </w:tc>
        <w:tc>
          <w:tcPr>
            <w:tcW w:w="68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70.65±0.028</w:t>
            </w:r>
            <w:r>
              <w:rPr>
                <w:rFonts w:eastAsia="Times New Roman" w:cs="Times New Roman"/>
                <w:kern w:val="0"/>
                <w:sz w:val="20"/>
                <w:szCs w:val="20"/>
                <w:vertAlign w:val="superscript"/>
                <w:lang w:eastAsia="en-IN"/>
                <w14:ligatures w14:val="none"/>
              </w:rPr>
              <w:t>a</w:t>
            </w:r>
          </w:p>
        </w:tc>
        <w:tc>
          <w:tcPr>
            <w:tcW w:w="68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71.90±0.057</w:t>
            </w:r>
            <w:r>
              <w:rPr>
                <w:rFonts w:eastAsia="Times New Roman" w:cs="Times New Roman"/>
                <w:kern w:val="0"/>
                <w:sz w:val="20"/>
                <w:szCs w:val="20"/>
                <w:vertAlign w:val="superscript"/>
                <w:lang w:eastAsia="en-IN"/>
                <w14:ligatures w14:val="none"/>
              </w:rPr>
              <w:t>bc</w:t>
            </w:r>
          </w:p>
        </w:tc>
        <w:tc>
          <w:tcPr>
            <w:tcW w:w="700"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72.06±0.233</w:t>
            </w:r>
            <w:r>
              <w:rPr>
                <w:rFonts w:eastAsia="Times New Roman" w:cs="Times New Roman"/>
                <w:kern w:val="0"/>
                <w:sz w:val="20"/>
                <w:szCs w:val="20"/>
                <w:vertAlign w:val="superscript"/>
                <w:lang w:eastAsia="en-IN"/>
                <w14:ligatures w14:val="none"/>
              </w:rPr>
              <w:t>bc</w:t>
            </w:r>
          </w:p>
        </w:tc>
        <w:tc>
          <w:tcPr>
            <w:tcW w:w="66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72.60±0.115</w:t>
            </w:r>
            <w:r>
              <w:rPr>
                <w:rFonts w:eastAsia="Times New Roman" w:cs="Times New Roman"/>
                <w:kern w:val="0"/>
                <w:sz w:val="20"/>
                <w:szCs w:val="20"/>
                <w:vertAlign w:val="superscript"/>
                <w:lang w:eastAsia="en-IN"/>
                <w14:ligatures w14:val="none"/>
              </w:rPr>
              <w:t>c</w:t>
            </w:r>
          </w:p>
        </w:tc>
        <w:tc>
          <w:tcPr>
            <w:tcW w:w="66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75.53±0.48</w:t>
            </w:r>
            <w:r>
              <w:rPr>
                <w:rFonts w:eastAsia="Times New Roman" w:cs="Times New Roman"/>
                <w:kern w:val="0"/>
                <w:sz w:val="20"/>
                <w:szCs w:val="20"/>
                <w:vertAlign w:val="superscript"/>
                <w:lang w:eastAsia="en-IN"/>
                <w14:ligatures w14:val="none"/>
              </w:rPr>
              <w:t>d</w:t>
            </w:r>
          </w:p>
        </w:tc>
      </w:tr>
      <w:tr w:rsidR="00E94D45">
        <w:tc>
          <w:tcPr>
            <w:tcW w:w="705"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60 DAY</w:t>
            </w:r>
          </w:p>
        </w:tc>
        <w:tc>
          <w:tcPr>
            <w:tcW w:w="896"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72.20±0.116</w:t>
            </w:r>
            <w:r>
              <w:rPr>
                <w:rFonts w:eastAsia="Times New Roman" w:cs="Times New Roman"/>
                <w:kern w:val="0"/>
                <w:sz w:val="20"/>
                <w:szCs w:val="20"/>
                <w:vertAlign w:val="superscript"/>
                <w:lang w:eastAsia="en-IN"/>
                <w14:ligatures w14:val="none"/>
              </w:rPr>
              <w:t>b</w:t>
            </w:r>
          </w:p>
        </w:tc>
        <w:tc>
          <w:tcPr>
            <w:tcW w:w="68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71.00±0.028</w:t>
            </w:r>
            <w:r>
              <w:rPr>
                <w:rFonts w:eastAsia="Times New Roman" w:cs="Times New Roman"/>
                <w:kern w:val="0"/>
                <w:sz w:val="20"/>
                <w:szCs w:val="20"/>
                <w:vertAlign w:val="superscript"/>
                <w:lang w:eastAsia="en-IN"/>
                <w14:ligatures w14:val="none"/>
              </w:rPr>
              <w:t>a</w:t>
            </w:r>
          </w:p>
        </w:tc>
        <w:tc>
          <w:tcPr>
            <w:tcW w:w="68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72.5±0.057</w:t>
            </w:r>
            <w:r>
              <w:rPr>
                <w:rFonts w:eastAsia="Times New Roman" w:cs="Times New Roman"/>
                <w:kern w:val="0"/>
                <w:sz w:val="20"/>
                <w:szCs w:val="20"/>
                <w:vertAlign w:val="superscript"/>
                <w:lang w:eastAsia="en-IN"/>
                <w14:ligatures w14:val="none"/>
              </w:rPr>
              <w:t>b</w:t>
            </w:r>
          </w:p>
        </w:tc>
        <w:tc>
          <w:tcPr>
            <w:tcW w:w="700"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73.53±0.26</w:t>
            </w:r>
            <w:r>
              <w:rPr>
                <w:rFonts w:eastAsia="Times New Roman" w:cs="Times New Roman"/>
                <w:kern w:val="0"/>
                <w:sz w:val="20"/>
                <w:szCs w:val="20"/>
                <w:vertAlign w:val="superscript"/>
                <w:lang w:eastAsia="en-IN"/>
                <w14:ligatures w14:val="none"/>
              </w:rPr>
              <w:t>c</w:t>
            </w:r>
          </w:p>
        </w:tc>
        <w:tc>
          <w:tcPr>
            <w:tcW w:w="66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73.80±0.115</w:t>
            </w:r>
            <w:r>
              <w:rPr>
                <w:rFonts w:eastAsia="Times New Roman" w:cs="Times New Roman"/>
                <w:kern w:val="0"/>
                <w:sz w:val="20"/>
                <w:szCs w:val="20"/>
                <w:vertAlign w:val="superscript"/>
                <w:lang w:eastAsia="en-IN"/>
                <w14:ligatures w14:val="none"/>
              </w:rPr>
              <w:t>c</w:t>
            </w:r>
          </w:p>
        </w:tc>
        <w:tc>
          <w:tcPr>
            <w:tcW w:w="66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76.13±0.48</w:t>
            </w:r>
            <w:r>
              <w:rPr>
                <w:rFonts w:eastAsia="Times New Roman" w:cs="Times New Roman"/>
                <w:kern w:val="0"/>
                <w:sz w:val="20"/>
                <w:szCs w:val="20"/>
                <w:vertAlign w:val="superscript"/>
                <w:lang w:eastAsia="en-IN"/>
                <w14:ligatures w14:val="none"/>
              </w:rPr>
              <w:t>d</w:t>
            </w:r>
          </w:p>
        </w:tc>
      </w:tr>
      <w:tr w:rsidR="00E94D45">
        <w:tc>
          <w:tcPr>
            <w:tcW w:w="705"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90 Day</w:t>
            </w:r>
          </w:p>
        </w:tc>
        <w:tc>
          <w:tcPr>
            <w:tcW w:w="896"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72.60±0.115</w:t>
            </w:r>
            <w:r>
              <w:rPr>
                <w:rFonts w:eastAsia="Times New Roman" w:cs="Times New Roman"/>
                <w:kern w:val="0"/>
                <w:sz w:val="20"/>
                <w:szCs w:val="20"/>
                <w:vertAlign w:val="superscript"/>
                <w:lang w:eastAsia="en-IN"/>
                <w14:ligatures w14:val="none"/>
              </w:rPr>
              <w:t>b</w:t>
            </w:r>
          </w:p>
        </w:tc>
        <w:tc>
          <w:tcPr>
            <w:tcW w:w="68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72.20±0.028</w:t>
            </w:r>
            <w:r>
              <w:rPr>
                <w:rFonts w:eastAsia="Times New Roman" w:cs="Times New Roman"/>
                <w:kern w:val="0"/>
                <w:sz w:val="20"/>
                <w:szCs w:val="20"/>
                <w:vertAlign w:val="superscript"/>
                <w:lang w:eastAsia="en-IN"/>
                <w14:ligatures w14:val="none"/>
              </w:rPr>
              <w:t>a</w:t>
            </w:r>
          </w:p>
        </w:tc>
        <w:tc>
          <w:tcPr>
            <w:tcW w:w="68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73.54±0.017</w:t>
            </w:r>
            <w:r>
              <w:rPr>
                <w:rFonts w:eastAsia="Times New Roman" w:cs="Times New Roman"/>
                <w:kern w:val="0"/>
                <w:sz w:val="20"/>
                <w:szCs w:val="20"/>
                <w:vertAlign w:val="superscript"/>
                <w:lang w:eastAsia="en-IN"/>
                <w14:ligatures w14:val="none"/>
              </w:rPr>
              <w:t>c</w:t>
            </w:r>
          </w:p>
        </w:tc>
        <w:tc>
          <w:tcPr>
            <w:tcW w:w="700"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74.23±0.001</w:t>
            </w:r>
            <w:r>
              <w:rPr>
                <w:rFonts w:eastAsia="Times New Roman" w:cs="Times New Roman"/>
                <w:kern w:val="0"/>
                <w:sz w:val="20"/>
                <w:szCs w:val="20"/>
                <w:vertAlign w:val="superscript"/>
                <w:lang w:eastAsia="en-IN"/>
                <w14:ligatures w14:val="none"/>
              </w:rPr>
              <w:t>d</w:t>
            </w:r>
          </w:p>
        </w:tc>
        <w:tc>
          <w:tcPr>
            <w:tcW w:w="664"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76.01±0.002</w:t>
            </w:r>
            <w:r>
              <w:rPr>
                <w:rFonts w:eastAsia="Times New Roman" w:cs="Times New Roman"/>
                <w:kern w:val="0"/>
                <w:sz w:val="20"/>
                <w:szCs w:val="20"/>
                <w:vertAlign w:val="superscript"/>
                <w:lang w:eastAsia="en-IN"/>
                <w14:ligatures w14:val="none"/>
              </w:rPr>
              <w:t>e</w:t>
            </w:r>
          </w:p>
        </w:tc>
        <w:tc>
          <w:tcPr>
            <w:tcW w:w="665"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77.82±0.184</w:t>
            </w:r>
            <w:r>
              <w:rPr>
                <w:rFonts w:eastAsia="Times New Roman" w:cs="Times New Roman"/>
                <w:kern w:val="0"/>
                <w:sz w:val="20"/>
                <w:szCs w:val="20"/>
                <w:vertAlign w:val="superscript"/>
                <w:lang w:eastAsia="en-IN"/>
                <w14:ligatures w14:val="none"/>
              </w:rPr>
              <w:t>f</w:t>
            </w:r>
          </w:p>
        </w:tc>
      </w:tr>
      <w:tr w:rsidR="00E94D45">
        <w:tc>
          <w:tcPr>
            <w:tcW w:w="5000" w:type="pct"/>
            <w:gridSpan w:val="7"/>
          </w:tcPr>
          <w:p w:rsidR="00E94D45" w:rsidRDefault="005572AF">
            <w:pPr>
              <w:spacing w:after="0"/>
              <w:ind w:left="29" w:right="-113"/>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Sample size:</w:t>
            </w:r>
            <w:r>
              <w:rPr>
                <w:rFonts w:eastAsia="Times New Roman" w:cs="Times New Roman"/>
                <w:kern w:val="0"/>
                <w:sz w:val="18"/>
                <w:szCs w:val="18"/>
                <w:lang w:eastAsia="en-IN"/>
                <w14:ligatures w14:val="none"/>
              </w:rPr>
              <w:t xml:space="preserve"> n = 10 fish per treatment per time point. Measurements were taken on the same individuals at 0, 30, 60 and 90 days.</w:t>
            </w:r>
          </w:p>
          <w:p w:rsidR="00E94D45" w:rsidRDefault="005572AF">
            <w:pPr>
              <w:spacing w:after="0"/>
              <w:ind w:left="720" w:right="-113" w:hanging="691"/>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Units:</w:t>
            </w:r>
            <w:r>
              <w:rPr>
                <w:rFonts w:eastAsia="Times New Roman" w:cs="Times New Roman"/>
                <w:kern w:val="0"/>
                <w:sz w:val="18"/>
                <w:szCs w:val="18"/>
                <w:lang w:eastAsia="en-IN"/>
                <w14:ligatures w14:val="none"/>
              </w:rPr>
              <w:t xml:space="preserve"> Values are expressed as mean L* ± standard error (SE).</w:t>
            </w:r>
          </w:p>
          <w:p w:rsidR="00E94D45" w:rsidRDefault="005572AF">
            <w:pPr>
              <w:ind w:left="29" w:right="-113"/>
              <w:jc w:val="left"/>
              <w:rPr>
                <w:rFonts w:eastAsia="Times New Roman" w:cs="Times New Roman"/>
                <w:kern w:val="0"/>
                <w:sz w:val="20"/>
                <w:szCs w:val="20"/>
                <w:lang w:eastAsia="en-IN"/>
                <w14:ligatures w14:val="none"/>
              </w:rPr>
            </w:pPr>
            <w:r>
              <w:rPr>
                <w:rFonts w:eastAsia="Times New Roman" w:cs="Times New Roman"/>
                <w:b/>
                <w:bCs/>
                <w:kern w:val="0"/>
                <w:sz w:val="18"/>
                <w:szCs w:val="18"/>
                <w:lang w:eastAsia="en-IN"/>
                <w14:ligatures w14:val="none"/>
              </w:rPr>
              <w:t>Statistical analysis</w:t>
            </w:r>
            <w:r>
              <w:rPr>
                <w:rFonts w:eastAsia="Times New Roman" w:cs="Times New Roman"/>
                <w:kern w:val="0"/>
                <w:sz w:val="18"/>
                <w:szCs w:val="18"/>
                <w:lang w:eastAsia="en-IN"/>
                <w14:ligatures w14:val="none"/>
              </w:rPr>
              <w:t xml:space="preserve">: Within each row (time point), means with different </w:t>
            </w:r>
            <w:r>
              <w:rPr>
                <w:rFonts w:eastAsia="Times New Roman" w:cs="Times New Roman"/>
                <w:kern w:val="0"/>
                <w:sz w:val="18"/>
                <w:szCs w:val="18"/>
                <w:lang w:eastAsia="en-IN"/>
                <w14:ligatures w14:val="none"/>
              </w:rPr>
              <w:t>superscript letters (a-f) differ significantly (p &lt; 0.05; One</w:t>
            </w:r>
            <w:r>
              <w:rPr>
                <w:rFonts w:eastAsia="Times New Roman" w:cs="Times New Roman"/>
                <w:kern w:val="0"/>
                <w:sz w:val="18"/>
                <w:szCs w:val="18"/>
                <w:lang w:eastAsia="en-IN"/>
                <w14:ligatures w14:val="none"/>
              </w:rPr>
              <w:noBreakHyphen/>
              <w:t>way ANOVA followed by Tukey’s test).</w:t>
            </w:r>
          </w:p>
        </w:tc>
      </w:tr>
    </w:tbl>
    <w:p w:rsidR="00E94D45" w:rsidRDefault="00E94D45">
      <w:pPr>
        <w:spacing w:after="0"/>
        <w:rPr>
          <w:rFonts w:cs="Times New Roman"/>
          <w:sz w:val="20"/>
          <w:szCs w:val="20"/>
        </w:rPr>
      </w:pPr>
    </w:p>
    <w:p w:rsidR="00E94D45" w:rsidRDefault="005572AF">
      <w:pPr>
        <w:spacing w:line="276" w:lineRule="auto"/>
        <w:rPr>
          <w:rFonts w:cs="Times New Roman"/>
          <w:sz w:val="20"/>
          <w:szCs w:val="20"/>
        </w:rPr>
      </w:pPr>
      <w:r>
        <w:rPr>
          <w:rFonts w:cs="Times New Roman"/>
          <w:sz w:val="20"/>
          <w:szCs w:val="20"/>
        </w:rPr>
        <w:t>Significant differences were observed in the greenness (a*) values among treatments at different spirulina inclusion levels throughout the trial, except on</w:t>
      </w:r>
      <w:r>
        <w:rPr>
          <w:rFonts w:cs="Times New Roman"/>
          <w:sz w:val="20"/>
          <w:szCs w:val="20"/>
        </w:rPr>
        <w:t xml:space="preserve"> the 60th day, when T3 and T5 did not differ significantly (p&gt;0.05), as shown in Table 12. In the CIELAB system, negative a* values indicate a greener coloration. However, the magnitude of greenness decreased over time as spirulina concentration increased.</w:t>
      </w:r>
      <w:r>
        <w:rPr>
          <w:rFonts w:cs="Times New Roman"/>
          <w:sz w:val="20"/>
          <w:szCs w:val="20"/>
        </w:rPr>
        <w:t xml:space="preserve"> From T0 to T5, a* values became progressively less negative, indicating a shift away from green and toward the neutral (zero) axis. For example, on the 90th day, a* increased from -8.03 (T0) to -2.64 (T5), showing a reduction in greenness, not an enhancem</w:t>
      </w:r>
      <w:r>
        <w:rPr>
          <w:rFonts w:cs="Times New Roman"/>
          <w:sz w:val="20"/>
          <w:szCs w:val="20"/>
        </w:rPr>
        <w:t>ent.</w:t>
      </w:r>
    </w:p>
    <w:p w:rsidR="00E94D45" w:rsidRDefault="005572AF">
      <w:pPr>
        <w:spacing w:line="276" w:lineRule="auto"/>
        <w:rPr>
          <w:rFonts w:cs="Times New Roman"/>
          <w:sz w:val="20"/>
          <w:szCs w:val="20"/>
        </w:rPr>
      </w:pPr>
      <w:r>
        <w:rPr>
          <w:rFonts w:cs="Times New Roman"/>
          <w:sz w:val="20"/>
          <w:szCs w:val="20"/>
        </w:rPr>
        <w:t>Across the 30th, 60th and 90th days, T0, T1 and T2 showed no significant differences (p&gt;0.05), whereas T3, T4 and T5 exhibited significant differences (p&lt;0.05). These results suggest that higher spirulina supplementation levels (T3-T5) altered the red</w:t>
      </w:r>
      <w:r>
        <w:rPr>
          <w:rFonts w:cs="Times New Roman"/>
          <w:sz w:val="20"/>
          <w:szCs w:val="20"/>
        </w:rPr>
        <w:t>-green balance, but contrary to the earlier interpretation, the change represents a loss of green intensity, not a gain.</w:t>
      </w:r>
    </w:p>
    <w:p w:rsidR="00E94D45" w:rsidRDefault="005572AF">
      <w:pPr>
        <w:pStyle w:val="Caption"/>
        <w:keepNext/>
        <w:ind w:left="851" w:hanging="851"/>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12</w:t>
      </w:r>
      <w:r>
        <w:rPr>
          <w:b/>
          <w:bCs/>
          <w:i w:val="0"/>
          <w:iCs w:val="0"/>
          <w:color w:val="auto"/>
          <w:sz w:val="20"/>
          <w:szCs w:val="20"/>
        </w:rPr>
        <w:fldChar w:fldCharType="end"/>
      </w:r>
      <w:r>
        <w:rPr>
          <w:b/>
          <w:bCs/>
          <w:i w:val="0"/>
          <w:iCs w:val="0"/>
          <w:color w:val="auto"/>
          <w:sz w:val="20"/>
          <w:szCs w:val="20"/>
          <w:lang w:val="en-IN"/>
        </w:rPr>
        <w:t xml:space="preserve"> Redness/greenness values behind the operculum zone of blue gourami fed with different concentrations o</w:t>
      </w:r>
      <w:r>
        <w:rPr>
          <w:b/>
          <w:bCs/>
          <w:i w:val="0"/>
          <w:iCs w:val="0"/>
          <w:color w:val="auto"/>
          <w:sz w:val="20"/>
          <w:szCs w:val="20"/>
          <w:lang w:val="en-IN"/>
        </w:rPr>
        <w:t>f spirulina.</w:t>
      </w:r>
    </w:p>
    <w:tbl>
      <w:tblPr>
        <w:tblStyle w:val="TableGrid"/>
        <w:tblW w:w="5000" w:type="pct"/>
        <w:tblLook w:val="04A0" w:firstRow="1" w:lastRow="0" w:firstColumn="1" w:lastColumn="0" w:noHBand="0" w:noVBand="1"/>
      </w:tblPr>
      <w:tblGrid>
        <w:gridCol w:w="1271"/>
        <w:gridCol w:w="1596"/>
        <w:gridCol w:w="1150"/>
        <w:gridCol w:w="1248"/>
        <w:gridCol w:w="1253"/>
        <w:gridCol w:w="1248"/>
        <w:gridCol w:w="1250"/>
      </w:tblGrid>
      <w:tr w:rsidR="00E94D45">
        <w:tc>
          <w:tcPr>
            <w:tcW w:w="705"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18"/>
                <w:szCs w:val="18"/>
              </w:rPr>
              <w:t>Treatments</w:t>
            </w:r>
          </w:p>
        </w:tc>
        <w:tc>
          <w:tcPr>
            <w:tcW w:w="885" w:type="pct"/>
            <w:noWrap/>
            <w:vAlign w:val="center"/>
            <w:hideMark/>
          </w:tcPr>
          <w:p w:rsidR="00E94D45" w:rsidRDefault="005572AF">
            <w:pPr>
              <w:spacing w:after="0" w:line="276" w:lineRule="auto"/>
              <w:ind w:left="-113" w:right="-113"/>
              <w:jc w:val="center"/>
              <w:rPr>
                <w:rFonts w:cs="Times New Roman"/>
                <w:b/>
                <w:bCs/>
                <w:sz w:val="20"/>
                <w:szCs w:val="20"/>
              </w:rPr>
            </w:pPr>
            <w:r>
              <w:rPr>
                <w:rFonts w:cs="Times New Roman"/>
                <w:b/>
                <w:bCs/>
                <w:sz w:val="20"/>
                <w:szCs w:val="20"/>
              </w:rPr>
              <w:t xml:space="preserve">T0 </w:t>
            </w:r>
          </w:p>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(0% Spirulina)</w:t>
            </w:r>
          </w:p>
        </w:tc>
        <w:tc>
          <w:tcPr>
            <w:tcW w:w="638"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T1 (2%)</w:t>
            </w:r>
          </w:p>
        </w:tc>
        <w:tc>
          <w:tcPr>
            <w:tcW w:w="692"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T2 (4%)</w:t>
            </w:r>
          </w:p>
        </w:tc>
        <w:tc>
          <w:tcPr>
            <w:tcW w:w="695"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T3 (6%)</w:t>
            </w:r>
          </w:p>
        </w:tc>
        <w:tc>
          <w:tcPr>
            <w:tcW w:w="692"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T4 (8%)</w:t>
            </w:r>
          </w:p>
        </w:tc>
        <w:tc>
          <w:tcPr>
            <w:tcW w:w="693" w:type="pct"/>
            <w:noWrap/>
            <w:vAlign w:val="center"/>
            <w:hideMark/>
          </w:tcPr>
          <w:p w:rsidR="00E94D45" w:rsidRDefault="005572AF">
            <w:pPr>
              <w:spacing w:after="0" w:line="276" w:lineRule="auto"/>
              <w:ind w:left="-113" w:right="-113"/>
              <w:jc w:val="center"/>
              <w:rPr>
                <w:rFonts w:eastAsia="Times New Roman" w:cs="Times New Roman"/>
                <w:b/>
                <w:bCs/>
                <w:kern w:val="0"/>
                <w:sz w:val="18"/>
                <w:szCs w:val="18"/>
                <w:lang w:eastAsia="en-IN"/>
                <w14:ligatures w14:val="none"/>
              </w:rPr>
            </w:pPr>
            <w:r>
              <w:rPr>
                <w:rFonts w:cs="Times New Roman"/>
                <w:b/>
                <w:bCs/>
                <w:sz w:val="20"/>
                <w:szCs w:val="20"/>
              </w:rPr>
              <w:t>T5 (10%)</w:t>
            </w:r>
          </w:p>
        </w:tc>
      </w:tr>
      <w:tr w:rsidR="00E94D45">
        <w:tc>
          <w:tcPr>
            <w:tcW w:w="705" w:type="pct"/>
            <w:vAlign w:val="center"/>
            <w:hideMark/>
          </w:tcPr>
          <w:p w:rsidR="00E94D45" w:rsidRDefault="005572AF">
            <w:pPr>
              <w:spacing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0 Day</w:t>
            </w:r>
          </w:p>
        </w:tc>
        <w:tc>
          <w:tcPr>
            <w:tcW w:w="88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-10.99±0.014</w:t>
            </w:r>
            <w:r>
              <w:rPr>
                <w:rFonts w:eastAsia="Times New Roman" w:cs="Times New Roman"/>
                <w:kern w:val="0"/>
                <w:sz w:val="18"/>
                <w:szCs w:val="18"/>
                <w:vertAlign w:val="superscript"/>
                <w:lang w:eastAsia="en-IN"/>
                <w14:ligatures w14:val="none"/>
              </w:rPr>
              <w:t>c</w:t>
            </w:r>
          </w:p>
        </w:tc>
        <w:tc>
          <w:tcPr>
            <w:tcW w:w="638"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-11.42±0.02</w:t>
            </w:r>
            <w:r>
              <w:rPr>
                <w:rFonts w:eastAsia="Times New Roman" w:cs="Times New Roman"/>
                <w:kern w:val="0"/>
                <w:sz w:val="18"/>
                <w:szCs w:val="18"/>
                <w:vertAlign w:val="superscript"/>
                <w:lang w:eastAsia="en-IN"/>
                <w14:ligatures w14:val="none"/>
              </w:rPr>
              <w:t>a</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-10.98±0.014</w:t>
            </w:r>
            <w:r>
              <w:rPr>
                <w:rFonts w:eastAsia="Times New Roman" w:cs="Times New Roman"/>
                <w:kern w:val="0"/>
                <w:sz w:val="18"/>
                <w:szCs w:val="18"/>
                <w:vertAlign w:val="superscript"/>
                <w:lang w:eastAsia="en-IN"/>
                <w14:ligatures w14:val="none"/>
              </w:rPr>
              <w:t>c</w:t>
            </w:r>
          </w:p>
        </w:tc>
        <w:tc>
          <w:tcPr>
            <w:tcW w:w="69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-10.11±0.015</w:t>
            </w:r>
            <w:r>
              <w:rPr>
                <w:rFonts w:eastAsia="Times New Roman" w:cs="Times New Roman"/>
                <w:kern w:val="0"/>
                <w:sz w:val="18"/>
                <w:szCs w:val="18"/>
                <w:vertAlign w:val="superscript"/>
                <w:lang w:eastAsia="en-IN"/>
                <w14:ligatures w14:val="none"/>
              </w:rPr>
              <w:t>d</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-11.01±0.012</w:t>
            </w:r>
            <w:r>
              <w:rPr>
                <w:rFonts w:eastAsia="Times New Roman" w:cs="Times New Roman"/>
                <w:kern w:val="0"/>
                <w:sz w:val="18"/>
                <w:szCs w:val="18"/>
                <w:vertAlign w:val="superscript"/>
                <w:lang w:eastAsia="en-IN"/>
                <w14:ligatures w14:val="none"/>
              </w:rPr>
              <w:t>c</w:t>
            </w:r>
          </w:p>
        </w:tc>
        <w:tc>
          <w:tcPr>
            <w:tcW w:w="693"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-11.12±0.018</w:t>
            </w:r>
            <w:r>
              <w:rPr>
                <w:rFonts w:eastAsia="Times New Roman" w:cs="Times New Roman"/>
                <w:kern w:val="0"/>
                <w:sz w:val="18"/>
                <w:szCs w:val="18"/>
                <w:vertAlign w:val="superscript"/>
                <w:lang w:eastAsia="en-IN"/>
                <w14:ligatures w14:val="none"/>
              </w:rPr>
              <w:t>b</w:t>
            </w:r>
          </w:p>
        </w:tc>
      </w:tr>
      <w:tr w:rsidR="00E94D45">
        <w:tc>
          <w:tcPr>
            <w:tcW w:w="705" w:type="pct"/>
            <w:vAlign w:val="center"/>
            <w:hideMark/>
          </w:tcPr>
          <w:p w:rsidR="00E94D45" w:rsidRDefault="005572AF">
            <w:pPr>
              <w:spacing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30 Day</w:t>
            </w:r>
          </w:p>
        </w:tc>
        <w:tc>
          <w:tcPr>
            <w:tcW w:w="88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-9.69±0.008</w:t>
            </w:r>
            <w:r>
              <w:rPr>
                <w:rFonts w:eastAsia="Times New Roman" w:cs="Times New Roman"/>
                <w:kern w:val="0"/>
                <w:sz w:val="18"/>
                <w:szCs w:val="18"/>
                <w:vertAlign w:val="superscript"/>
                <w:lang w:eastAsia="en-IN"/>
                <w14:ligatures w14:val="none"/>
              </w:rPr>
              <w:t>a</w:t>
            </w:r>
          </w:p>
        </w:tc>
        <w:tc>
          <w:tcPr>
            <w:tcW w:w="638"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-9.34±0.014</w:t>
            </w:r>
            <w:r>
              <w:rPr>
                <w:rFonts w:eastAsia="Times New Roman" w:cs="Times New Roman"/>
                <w:kern w:val="0"/>
                <w:sz w:val="18"/>
                <w:szCs w:val="18"/>
                <w:vertAlign w:val="superscript"/>
                <w:lang w:eastAsia="en-IN"/>
                <w14:ligatures w14:val="none"/>
              </w:rPr>
              <w:t>b</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-8.01±0.017</w:t>
            </w:r>
            <w:r>
              <w:rPr>
                <w:rFonts w:eastAsia="Times New Roman" w:cs="Times New Roman"/>
                <w:kern w:val="0"/>
                <w:sz w:val="18"/>
                <w:szCs w:val="18"/>
                <w:vertAlign w:val="superscript"/>
                <w:lang w:eastAsia="en-IN"/>
                <w14:ligatures w14:val="none"/>
              </w:rPr>
              <w:t>e</w:t>
            </w:r>
          </w:p>
        </w:tc>
        <w:tc>
          <w:tcPr>
            <w:tcW w:w="69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-7.89±0.008</w:t>
            </w:r>
            <w:r>
              <w:rPr>
                <w:rFonts w:eastAsia="Times New Roman" w:cs="Times New Roman"/>
                <w:kern w:val="0"/>
                <w:sz w:val="18"/>
                <w:szCs w:val="18"/>
                <w:vertAlign w:val="superscript"/>
                <w:lang w:eastAsia="en-IN"/>
                <w14:ligatures w14:val="none"/>
              </w:rPr>
              <w:t>f</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-8.33±0.011</w:t>
            </w:r>
            <w:r>
              <w:rPr>
                <w:rFonts w:eastAsia="Times New Roman" w:cs="Times New Roman"/>
                <w:kern w:val="0"/>
                <w:sz w:val="18"/>
                <w:szCs w:val="18"/>
                <w:vertAlign w:val="superscript"/>
                <w:lang w:eastAsia="en-IN"/>
                <w14:ligatures w14:val="none"/>
              </w:rPr>
              <w:t>d</w:t>
            </w:r>
          </w:p>
        </w:tc>
        <w:tc>
          <w:tcPr>
            <w:tcW w:w="693"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-8.44±0.014</w:t>
            </w:r>
            <w:r>
              <w:rPr>
                <w:rFonts w:eastAsia="Times New Roman" w:cs="Times New Roman"/>
                <w:kern w:val="0"/>
                <w:sz w:val="18"/>
                <w:szCs w:val="18"/>
                <w:vertAlign w:val="superscript"/>
                <w:lang w:eastAsia="en-IN"/>
                <w14:ligatures w14:val="none"/>
              </w:rPr>
              <w:t>c</w:t>
            </w:r>
          </w:p>
        </w:tc>
      </w:tr>
      <w:tr w:rsidR="00E94D45">
        <w:tc>
          <w:tcPr>
            <w:tcW w:w="705" w:type="pct"/>
            <w:vAlign w:val="center"/>
            <w:hideMark/>
          </w:tcPr>
          <w:p w:rsidR="00E94D45" w:rsidRDefault="005572AF">
            <w:pPr>
              <w:spacing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t>60 DAY</w:t>
            </w:r>
          </w:p>
        </w:tc>
        <w:tc>
          <w:tcPr>
            <w:tcW w:w="88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-8.89±0.008</w:t>
            </w:r>
            <w:r>
              <w:rPr>
                <w:rFonts w:eastAsia="Times New Roman" w:cs="Times New Roman"/>
                <w:kern w:val="0"/>
                <w:sz w:val="18"/>
                <w:szCs w:val="18"/>
                <w:vertAlign w:val="superscript"/>
                <w:lang w:eastAsia="en-IN"/>
                <w14:ligatures w14:val="none"/>
              </w:rPr>
              <w:t>a</w:t>
            </w:r>
          </w:p>
        </w:tc>
        <w:tc>
          <w:tcPr>
            <w:tcW w:w="638"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-7.79±0.009</w:t>
            </w:r>
            <w:r>
              <w:rPr>
                <w:rFonts w:eastAsia="Times New Roman" w:cs="Times New Roman"/>
                <w:kern w:val="0"/>
                <w:sz w:val="18"/>
                <w:szCs w:val="18"/>
                <w:vertAlign w:val="superscript"/>
                <w:lang w:eastAsia="en-IN"/>
                <w14:ligatures w14:val="none"/>
              </w:rPr>
              <w:t>b</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-6.97±0.012</w:t>
            </w:r>
            <w:r>
              <w:rPr>
                <w:rFonts w:eastAsia="Times New Roman" w:cs="Times New Roman"/>
                <w:kern w:val="0"/>
                <w:sz w:val="18"/>
                <w:szCs w:val="18"/>
                <w:vertAlign w:val="superscript"/>
                <w:lang w:eastAsia="en-IN"/>
                <w14:ligatures w14:val="none"/>
              </w:rPr>
              <w:t>c</w:t>
            </w:r>
          </w:p>
        </w:tc>
        <w:tc>
          <w:tcPr>
            <w:tcW w:w="69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-5.99±0.010</w:t>
            </w:r>
            <w:r>
              <w:rPr>
                <w:rFonts w:eastAsia="Times New Roman" w:cs="Times New Roman"/>
                <w:kern w:val="0"/>
                <w:sz w:val="18"/>
                <w:szCs w:val="18"/>
                <w:vertAlign w:val="superscript"/>
                <w:lang w:eastAsia="en-IN"/>
                <w14:ligatures w14:val="none"/>
              </w:rPr>
              <w:t>e</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-6.2±0.011</w:t>
            </w:r>
            <w:r>
              <w:rPr>
                <w:rFonts w:eastAsia="Times New Roman" w:cs="Times New Roman"/>
                <w:kern w:val="0"/>
                <w:sz w:val="18"/>
                <w:szCs w:val="18"/>
                <w:vertAlign w:val="superscript"/>
                <w:lang w:eastAsia="en-IN"/>
                <w14:ligatures w14:val="none"/>
              </w:rPr>
              <w:t>d</w:t>
            </w:r>
          </w:p>
        </w:tc>
        <w:tc>
          <w:tcPr>
            <w:tcW w:w="693"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-5.98±0.008</w:t>
            </w:r>
            <w:r>
              <w:rPr>
                <w:rFonts w:eastAsia="Times New Roman" w:cs="Times New Roman"/>
                <w:kern w:val="0"/>
                <w:sz w:val="18"/>
                <w:szCs w:val="18"/>
                <w:vertAlign w:val="superscript"/>
                <w:lang w:eastAsia="en-IN"/>
                <w14:ligatures w14:val="none"/>
              </w:rPr>
              <w:t>e</w:t>
            </w:r>
          </w:p>
        </w:tc>
      </w:tr>
      <w:tr w:rsidR="00E94D45">
        <w:tc>
          <w:tcPr>
            <w:tcW w:w="705" w:type="pct"/>
            <w:vAlign w:val="center"/>
            <w:hideMark/>
          </w:tcPr>
          <w:p w:rsidR="00E94D45" w:rsidRDefault="005572AF">
            <w:pPr>
              <w:spacing w:line="276" w:lineRule="auto"/>
              <w:ind w:left="-113" w:right="-113"/>
              <w:jc w:val="center"/>
              <w:rPr>
                <w:rFonts w:eastAsia="Times New Roman" w:cs="Times New Roman"/>
                <w:b/>
                <w:bCs/>
                <w:kern w:val="0"/>
                <w:sz w:val="18"/>
                <w:szCs w:val="18"/>
                <w:lang w:eastAsia="en-IN"/>
                <w14:ligatures w14:val="none"/>
              </w:rPr>
            </w:pPr>
            <w:r>
              <w:rPr>
                <w:rFonts w:eastAsia="Times New Roman" w:cs="Times New Roman"/>
                <w:b/>
                <w:bCs/>
                <w:kern w:val="0"/>
                <w:sz w:val="18"/>
                <w:szCs w:val="18"/>
                <w:lang w:eastAsia="en-IN"/>
                <w14:ligatures w14:val="none"/>
              </w:rPr>
              <w:lastRenderedPageBreak/>
              <w:t>90 Day</w:t>
            </w:r>
          </w:p>
        </w:tc>
        <w:tc>
          <w:tcPr>
            <w:tcW w:w="88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-8.03±0.021</w:t>
            </w:r>
            <w:r>
              <w:rPr>
                <w:rFonts w:eastAsia="Times New Roman" w:cs="Times New Roman"/>
                <w:kern w:val="0"/>
                <w:sz w:val="18"/>
                <w:szCs w:val="18"/>
                <w:vertAlign w:val="superscript"/>
                <w:lang w:eastAsia="en-IN"/>
                <w14:ligatures w14:val="none"/>
              </w:rPr>
              <w:t>a</w:t>
            </w:r>
          </w:p>
        </w:tc>
        <w:tc>
          <w:tcPr>
            <w:tcW w:w="638"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-6.67±0.023</w:t>
            </w:r>
            <w:r>
              <w:rPr>
                <w:rFonts w:eastAsia="Times New Roman" w:cs="Times New Roman"/>
                <w:kern w:val="0"/>
                <w:sz w:val="18"/>
                <w:szCs w:val="18"/>
                <w:vertAlign w:val="superscript"/>
                <w:lang w:eastAsia="en-IN"/>
                <w14:ligatures w14:val="none"/>
              </w:rPr>
              <w:t>b</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-5.34±0.024</w:t>
            </w:r>
            <w:r>
              <w:rPr>
                <w:rFonts w:eastAsia="Times New Roman" w:cs="Times New Roman"/>
                <w:kern w:val="0"/>
                <w:sz w:val="18"/>
                <w:szCs w:val="18"/>
                <w:vertAlign w:val="superscript"/>
                <w:lang w:eastAsia="en-IN"/>
                <w14:ligatures w14:val="none"/>
              </w:rPr>
              <w:t>c</w:t>
            </w:r>
          </w:p>
        </w:tc>
        <w:tc>
          <w:tcPr>
            <w:tcW w:w="695"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-4.52±0.026</w:t>
            </w:r>
            <w:r>
              <w:rPr>
                <w:rFonts w:eastAsia="Times New Roman" w:cs="Times New Roman"/>
                <w:kern w:val="0"/>
                <w:sz w:val="18"/>
                <w:szCs w:val="18"/>
                <w:vertAlign w:val="superscript"/>
                <w:lang w:eastAsia="en-IN"/>
                <w14:ligatures w14:val="none"/>
              </w:rPr>
              <w:t>d</w:t>
            </w:r>
          </w:p>
        </w:tc>
        <w:tc>
          <w:tcPr>
            <w:tcW w:w="692"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-3.76±0.011</w:t>
            </w:r>
            <w:r>
              <w:rPr>
                <w:rFonts w:eastAsia="Times New Roman" w:cs="Times New Roman"/>
                <w:kern w:val="0"/>
                <w:sz w:val="18"/>
                <w:szCs w:val="18"/>
                <w:vertAlign w:val="superscript"/>
                <w:lang w:eastAsia="en-IN"/>
                <w14:ligatures w14:val="none"/>
              </w:rPr>
              <w:t>e</w:t>
            </w:r>
          </w:p>
        </w:tc>
        <w:tc>
          <w:tcPr>
            <w:tcW w:w="693" w:type="pct"/>
            <w:vAlign w:val="center"/>
            <w:hideMark/>
          </w:tcPr>
          <w:p w:rsidR="00E94D45" w:rsidRDefault="005572AF">
            <w:pPr>
              <w:spacing w:line="276" w:lineRule="auto"/>
              <w:ind w:left="-113" w:right="-113"/>
              <w:jc w:val="center"/>
              <w:rPr>
                <w:rFonts w:eastAsia="Times New Roman" w:cs="Times New Roman"/>
                <w:kern w:val="0"/>
                <w:sz w:val="18"/>
                <w:szCs w:val="18"/>
                <w:lang w:eastAsia="en-IN"/>
                <w14:ligatures w14:val="none"/>
              </w:rPr>
            </w:pPr>
            <w:r>
              <w:rPr>
                <w:rFonts w:eastAsia="Times New Roman" w:cs="Times New Roman"/>
                <w:kern w:val="0"/>
                <w:sz w:val="18"/>
                <w:szCs w:val="18"/>
                <w:lang w:eastAsia="en-IN"/>
                <w14:ligatures w14:val="none"/>
              </w:rPr>
              <w:t>-2.64±0.008</w:t>
            </w:r>
            <w:r>
              <w:rPr>
                <w:rFonts w:eastAsia="Times New Roman" w:cs="Times New Roman"/>
                <w:kern w:val="0"/>
                <w:sz w:val="18"/>
                <w:szCs w:val="18"/>
                <w:vertAlign w:val="superscript"/>
                <w:lang w:eastAsia="en-IN"/>
                <w14:ligatures w14:val="none"/>
              </w:rPr>
              <w:t>f</w:t>
            </w:r>
          </w:p>
        </w:tc>
      </w:tr>
      <w:tr w:rsidR="00E94D45">
        <w:tc>
          <w:tcPr>
            <w:tcW w:w="5000" w:type="pct"/>
            <w:gridSpan w:val="7"/>
            <w:vAlign w:val="center"/>
          </w:tcPr>
          <w:p w:rsidR="00E94D45" w:rsidRDefault="005572AF">
            <w:pPr>
              <w:spacing w:after="0" w:line="276" w:lineRule="auto"/>
              <w:ind w:left="29" w:right="-113"/>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Sample size:</w:t>
            </w:r>
            <w:r>
              <w:rPr>
                <w:rFonts w:eastAsia="Times New Roman" w:cs="Times New Roman"/>
                <w:kern w:val="0"/>
                <w:sz w:val="18"/>
                <w:szCs w:val="18"/>
                <w:lang w:eastAsia="en-IN"/>
                <w14:ligatures w14:val="none"/>
              </w:rPr>
              <w:t xml:space="preserve"> n = 10 fish per treatment per time point. Measurements were taken on the same individuals at 0, 30, 60, and 90 days.</w:t>
            </w:r>
          </w:p>
          <w:p w:rsidR="00E94D45" w:rsidRDefault="005572AF">
            <w:pPr>
              <w:spacing w:after="0" w:line="276" w:lineRule="auto"/>
              <w:ind w:left="29" w:right="-113"/>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Units:</w:t>
            </w:r>
            <w:r>
              <w:rPr>
                <w:rFonts w:eastAsia="Times New Roman" w:cs="Times New Roman"/>
                <w:kern w:val="0"/>
                <w:sz w:val="18"/>
                <w:szCs w:val="18"/>
                <w:lang w:eastAsia="en-IN"/>
                <w14:ligatures w14:val="none"/>
              </w:rPr>
              <w:t xml:space="preserve"> Values are expressed as mean a* ± standard error (SE).</w:t>
            </w:r>
          </w:p>
          <w:p w:rsidR="00E94D45" w:rsidRDefault="005572AF">
            <w:pPr>
              <w:spacing w:after="0" w:line="276" w:lineRule="auto"/>
              <w:ind w:left="29" w:right="-113"/>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Statistical analysis:</w:t>
            </w:r>
            <w:r>
              <w:rPr>
                <w:rFonts w:eastAsia="Times New Roman" w:cs="Times New Roman"/>
                <w:kern w:val="0"/>
                <w:sz w:val="18"/>
                <w:szCs w:val="18"/>
                <w:lang w:eastAsia="en-IN"/>
                <w14:ligatures w14:val="none"/>
              </w:rPr>
              <w:t xml:space="preserve"> Within each row (time point), means with different sup</w:t>
            </w:r>
            <w:r>
              <w:rPr>
                <w:rFonts w:eastAsia="Times New Roman" w:cs="Times New Roman"/>
                <w:kern w:val="0"/>
                <w:sz w:val="18"/>
                <w:szCs w:val="18"/>
                <w:lang w:eastAsia="en-IN"/>
                <w14:ligatures w14:val="none"/>
              </w:rPr>
              <w:t>erscript letters (a-f) differ significantly (p &lt; 0.05; ANOVA followed by Tukey’s test).</w:t>
            </w:r>
          </w:p>
        </w:tc>
      </w:tr>
    </w:tbl>
    <w:p w:rsidR="00E94D45" w:rsidRDefault="005572AF">
      <w:pPr>
        <w:spacing w:before="240" w:line="276" w:lineRule="auto"/>
        <w:rPr>
          <w:rFonts w:cs="Times New Roman"/>
          <w:sz w:val="20"/>
          <w:szCs w:val="20"/>
        </w:rPr>
      </w:pPr>
      <w:r>
        <w:rPr>
          <w:rFonts w:cs="Times New Roman"/>
          <w:sz w:val="20"/>
          <w:szCs w:val="20"/>
        </w:rPr>
        <w:t xml:space="preserve">On the 90th day, significant differences (p&lt;0.05) were found across all treatments. Table 13 indicates that there were no significant distinctions (p&gt;0.05), in </w:t>
      </w:r>
      <w:r>
        <w:rPr>
          <w:rFonts w:cs="Times New Roman"/>
          <w:sz w:val="20"/>
          <w:szCs w:val="20"/>
        </w:rPr>
        <w:t>yellowness color on day 60 between T1, T2 and T3 and the other groups. By comparison, on the 30th day, there was significant variation (p&lt;0.05) in T5, but not in T1 and T2 or T3 and T4. On subsequent days, T5 produced a comparatively higher (p&lt;0.05) yellow</w:t>
      </w:r>
      <w:r>
        <w:rPr>
          <w:rFonts w:cs="Times New Roman"/>
          <w:sz w:val="20"/>
          <w:szCs w:val="20"/>
        </w:rPr>
        <w:t xml:space="preserve"> color than T0, T1, T2, T3 and T4.</w:t>
      </w:r>
    </w:p>
    <w:p w:rsidR="00E94D45" w:rsidRDefault="005572AF">
      <w:pPr>
        <w:pStyle w:val="Caption"/>
        <w:keepNext/>
        <w:ind w:left="709" w:hanging="709"/>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13</w:t>
      </w:r>
      <w:r>
        <w:rPr>
          <w:b/>
          <w:bCs/>
          <w:i w:val="0"/>
          <w:iCs w:val="0"/>
          <w:color w:val="auto"/>
          <w:sz w:val="20"/>
          <w:szCs w:val="20"/>
        </w:rPr>
        <w:fldChar w:fldCharType="end"/>
      </w:r>
      <w:r>
        <w:rPr>
          <w:b/>
          <w:bCs/>
          <w:i w:val="0"/>
          <w:iCs w:val="0"/>
          <w:color w:val="auto"/>
          <w:sz w:val="20"/>
          <w:szCs w:val="20"/>
          <w:lang w:val="en-IN"/>
        </w:rPr>
        <w:t xml:space="preserve"> Yellowness/blueness values behind the operculum zone of blue gourami fed with different spirulina concentrations.</w:t>
      </w:r>
    </w:p>
    <w:tbl>
      <w:tblPr>
        <w:tblStyle w:val="TableGrid"/>
        <w:tblW w:w="5000" w:type="pct"/>
        <w:tblLook w:val="04A0" w:firstRow="1" w:lastRow="0" w:firstColumn="1" w:lastColumn="0" w:noHBand="0" w:noVBand="1"/>
      </w:tblPr>
      <w:tblGrid>
        <w:gridCol w:w="1370"/>
        <w:gridCol w:w="1770"/>
        <w:gridCol w:w="1178"/>
        <w:gridCol w:w="1171"/>
        <w:gridCol w:w="1178"/>
        <w:gridCol w:w="1171"/>
        <w:gridCol w:w="1178"/>
      </w:tblGrid>
      <w:tr w:rsidR="00E94D45">
        <w:tc>
          <w:tcPr>
            <w:tcW w:w="941"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18"/>
                <w:szCs w:val="18"/>
              </w:rPr>
              <w:t>Treatments</w:t>
            </w:r>
          </w:p>
        </w:tc>
        <w:tc>
          <w:tcPr>
            <w:tcW w:w="798"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T0 (0% Spirulina)</w:t>
            </w:r>
          </w:p>
        </w:tc>
        <w:tc>
          <w:tcPr>
            <w:tcW w:w="653"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T1 (2%)</w:t>
            </w:r>
          </w:p>
        </w:tc>
        <w:tc>
          <w:tcPr>
            <w:tcW w:w="649"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T2 (4%)</w:t>
            </w:r>
          </w:p>
        </w:tc>
        <w:tc>
          <w:tcPr>
            <w:tcW w:w="653"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T3 (6%)</w:t>
            </w:r>
          </w:p>
        </w:tc>
        <w:tc>
          <w:tcPr>
            <w:tcW w:w="652"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T4 (8%)</w:t>
            </w:r>
          </w:p>
        </w:tc>
        <w:tc>
          <w:tcPr>
            <w:tcW w:w="653" w:type="pct"/>
            <w:noWrap/>
            <w:vAlign w:val="center"/>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T5 (10%)</w:t>
            </w:r>
          </w:p>
        </w:tc>
      </w:tr>
      <w:tr w:rsidR="00E94D45">
        <w:tc>
          <w:tcPr>
            <w:tcW w:w="941"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 xml:space="preserve">0 </w:t>
            </w:r>
            <w:r>
              <w:rPr>
                <w:rFonts w:eastAsia="Times New Roman" w:cs="Times New Roman"/>
                <w:b/>
                <w:bCs/>
                <w:kern w:val="0"/>
                <w:sz w:val="20"/>
                <w:szCs w:val="20"/>
                <w:lang w:eastAsia="en-IN"/>
                <w14:ligatures w14:val="none"/>
              </w:rPr>
              <w:t>Day</w:t>
            </w:r>
          </w:p>
        </w:tc>
        <w:tc>
          <w:tcPr>
            <w:tcW w:w="798"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9.32±0.006</w:t>
            </w:r>
            <w:r>
              <w:rPr>
                <w:rFonts w:eastAsia="Times New Roman" w:cs="Times New Roman"/>
                <w:kern w:val="0"/>
                <w:sz w:val="20"/>
                <w:szCs w:val="20"/>
                <w:vertAlign w:val="superscript"/>
                <w:lang w:eastAsia="en-IN"/>
                <w14:ligatures w14:val="none"/>
              </w:rPr>
              <w:t>e</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9.24±0.003</w:t>
            </w:r>
            <w:r>
              <w:rPr>
                <w:rFonts w:eastAsia="Times New Roman" w:cs="Times New Roman"/>
                <w:kern w:val="0"/>
                <w:sz w:val="20"/>
                <w:szCs w:val="20"/>
                <w:vertAlign w:val="superscript"/>
                <w:lang w:eastAsia="en-IN"/>
                <w14:ligatures w14:val="none"/>
              </w:rPr>
              <w:t>b</w:t>
            </w:r>
          </w:p>
        </w:tc>
        <w:tc>
          <w:tcPr>
            <w:tcW w:w="649"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9.3±0.008</w:t>
            </w:r>
            <w:r>
              <w:rPr>
                <w:rFonts w:eastAsia="Times New Roman" w:cs="Times New Roman"/>
                <w:kern w:val="0"/>
                <w:sz w:val="20"/>
                <w:szCs w:val="20"/>
                <w:vertAlign w:val="superscript"/>
                <w:lang w:eastAsia="en-IN"/>
                <w14:ligatures w14:val="none"/>
              </w:rPr>
              <w:t>d</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9.26±0.006</w:t>
            </w:r>
            <w:r>
              <w:rPr>
                <w:rFonts w:eastAsia="Times New Roman" w:cs="Times New Roman"/>
                <w:kern w:val="0"/>
                <w:sz w:val="20"/>
                <w:szCs w:val="20"/>
                <w:vertAlign w:val="superscript"/>
                <w:lang w:eastAsia="en-IN"/>
                <w14:ligatures w14:val="none"/>
              </w:rPr>
              <w:t>c</w:t>
            </w:r>
          </w:p>
        </w:tc>
        <w:tc>
          <w:tcPr>
            <w:tcW w:w="652"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9.22±0.028</w:t>
            </w:r>
            <w:r>
              <w:rPr>
                <w:rFonts w:eastAsia="Times New Roman" w:cs="Times New Roman"/>
                <w:kern w:val="0"/>
                <w:sz w:val="20"/>
                <w:szCs w:val="20"/>
                <w:vertAlign w:val="superscript"/>
                <w:lang w:eastAsia="en-IN"/>
                <w14:ligatures w14:val="none"/>
              </w:rPr>
              <w:t>a</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9.29±0.018</w:t>
            </w:r>
            <w:r>
              <w:rPr>
                <w:rFonts w:eastAsia="Times New Roman" w:cs="Times New Roman"/>
                <w:kern w:val="0"/>
                <w:sz w:val="20"/>
                <w:szCs w:val="20"/>
                <w:vertAlign w:val="superscript"/>
                <w:lang w:eastAsia="en-IN"/>
                <w14:ligatures w14:val="none"/>
              </w:rPr>
              <w:t>d</w:t>
            </w:r>
          </w:p>
        </w:tc>
      </w:tr>
      <w:tr w:rsidR="00E94D45">
        <w:tc>
          <w:tcPr>
            <w:tcW w:w="941"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30 Day</w:t>
            </w:r>
          </w:p>
        </w:tc>
        <w:tc>
          <w:tcPr>
            <w:tcW w:w="798"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9.55±0.008</w:t>
            </w:r>
            <w:r>
              <w:rPr>
                <w:rFonts w:eastAsia="Times New Roman" w:cs="Times New Roman"/>
                <w:kern w:val="0"/>
                <w:sz w:val="20"/>
                <w:szCs w:val="20"/>
                <w:vertAlign w:val="superscript"/>
                <w:lang w:eastAsia="en-IN"/>
                <w14:ligatures w14:val="none"/>
              </w:rPr>
              <w:t>a</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10±0.012</w:t>
            </w:r>
            <w:r>
              <w:rPr>
                <w:rFonts w:eastAsia="Times New Roman" w:cs="Times New Roman"/>
                <w:kern w:val="0"/>
                <w:sz w:val="20"/>
                <w:szCs w:val="20"/>
                <w:vertAlign w:val="superscript"/>
                <w:lang w:eastAsia="en-IN"/>
                <w14:ligatures w14:val="none"/>
              </w:rPr>
              <w:t>b</w:t>
            </w:r>
          </w:p>
        </w:tc>
        <w:tc>
          <w:tcPr>
            <w:tcW w:w="649"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10±0.014</w:t>
            </w:r>
            <w:r>
              <w:rPr>
                <w:rFonts w:eastAsia="Times New Roman" w:cs="Times New Roman"/>
                <w:kern w:val="0"/>
                <w:sz w:val="20"/>
                <w:szCs w:val="20"/>
                <w:vertAlign w:val="superscript"/>
                <w:lang w:eastAsia="en-IN"/>
                <w14:ligatures w14:val="none"/>
              </w:rPr>
              <w:t>b</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10.1±0.007</w:t>
            </w:r>
            <w:r>
              <w:rPr>
                <w:rFonts w:eastAsia="Times New Roman" w:cs="Times New Roman"/>
                <w:kern w:val="0"/>
                <w:sz w:val="20"/>
                <w:szCs w:val="20"/>
                <w:vertAlign w:val="superscript"/>
                <w:lang w:eastAsia="en-IN"/>
                <w14:ligatures w14:val="none"/>
              </w:rPr>
              <w:t>c</w:t>
            </w:r>
          </w:p>
        </w:tc>
        <w:tc>
          <w:tcPr>
            <w:tcW w:w="652"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10.09±0.004</w:t>
            </w:r>
            <w:r>
              <w:rPr>
                <w:rFonts w:eastAsia="Times New Roman" w:cs="Times New Roman"/>
                <w:kern w:val="0"/>
                <w:sz w:val="20"/>
                <w:szCs w:val="20"/>
                <w:vertAlign w:val="superscript"/>
                <w:lang w:eastAsia="en-IN"/>
                <w14:ligatures w14:val="none"/>
              </w:rPr>
              <w:t>c</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10.32±0.011</w:t>
            </w:r>
            <w:r>
              <w:rPr>
                <w:rFonts w:eastAsia="Times New Roman" w:cs="Times New Roman"/>
                <w:kern w:val="0"/>
                <w:sz w:val="20"/>
                <w:szCs w:val="20"/>
                <w:vertAlign w:val="superscript"/>
                <w:lang w:eastAsia="en-IN"/>
                <w14:ligatures w14:val="none"/>
              </w:rPr>
              <w:t>d</w:t>
            </w:r>
          </w:p>
        </w:tc>
      </w:tr>
      <w:tr w:rsidR="00E94D45">
        <w:tc>
          <w:tcPr>
            <w:tcW w:w="941"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60 DAY</w:t>
            </w:r>
          </w:p>
        </w:tc>
        <w:tc>
          <w:tcPr>
            <w:tcW w:w="798"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10.34±0.014</w:t>
            </w:r>
            <w:r>
              <w:rPr>
                <w:rFonts w:eastAsia="Times New Roman" w:cs="Times New Roman"/>
                <w:kern w:val="0"/>
                <w:sz w:val="20"/>
                <w:szCs w:val="20"/>
                <w:vertAlign w:val="superscript"/>
                <w:lang w:eastAsia="en-IN"/>
                <w14:ligatures w14:val="none"/>
              </w:rPr>
              <w:t>a</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10.4±0.016</w:t>
            </w:r>
            <w:r>
              <w:rPr>
                <w:rFonts w:eastAsia="Times New Roman" w:cs="Times New Roman"/>
                <w:kern w:val="0"/>
                <w:sz w:val="20"/>
                <w:szCs w:val="20"/>
                <w:vertAlign w:val="superscript"/>
                <w:lang w:eastAsia="en-IN"/>
                <w14:ligatures w14:val="none"/>
              </w:rPr>
              <w:t>b</w:t>
            </w:r>
          </w:p>
        </w:tc>
        <w:tc>
          <w:tcPr>
            <w:tcW w:w="649"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10.4±0.011</w:t>
            </w:r>
            <w:r>
              <w:rPr>
                <w:rFonts w:eastAsia="Times New Roman" w:cs="Times New Roman"/>
                <w:kern w:val="0"/>
                <w:sz w:val="20"/>
                <w:szCs w:val="20"/>
                <w:vertAlign w:val="superscript"/>
                <w:lang w:eastAsia="en-IN"/>
                <w14:ligatures w14:val="none"/>
              </w:rPr>
              <w:t>b</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10.4±0.008</w:t>
            </w:r>
            <w:r>
              <w:rPr>
                <w:rFonts w:eastAsia="Times New Roman" w:cs="Times New Roman"/>
                <w:kern w:val="0"/>
                <w:sz w:val="20"/>
                <w:szCs w:val="20"/>
                <w:vertAlign w:val="superscript"/>
                <w:lang w:eastAsia="en-IN"/>
                <w14:ligatures w14:val="none"/>
              </w:rPr>
              <w:t>b</w:t>
            </w:r>
          </w:p>
        </w:tc>
        <w:tc>
          <w:tcPr>
            <w:tcW w:w="652"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10.45±0.014</w:t>
            </w:r>
            <w:r>
              <w:rPr>
                <w:rFonts w:eastAsia="Times New Roman" w:cs="Times New Roman"/>
                <w:kern w:val="0"/>
                <w:sz w:val="20"/>
                <w:szCs w:val="20"/>
                <w:vertAlign w:val="superscript"/>
                <w:lang w:eastAsia="en-IN"/>
                <w14:ligatures w14:val="none"/>
              </w:rPr>
              <w:t>c</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10.99±0.011</w:t>
            </w:r>
            <w:r>
              <w:rPr>
                <w:rFonts w:eastAsia="Times New Roman" w:cs="Times New Roman"/>
                <w:kern w:val="0"/>
                <w:sz w:val="20"/>
                <w:szCs w:val="20"/>
                <w:vertAlign w:val="superscript"/>
                <w:lang w:eastAsia="en-IN"/>
                <w14:ligatures w14:val="none"/>
              </w:rPr>
              <w:t>d</w:t>
            </w:r>
          </w:p>
        </w:tc>
      </w:tr>
      <w:tr w:rsidR="00E94D45">
        <w:tc>
          <w:tcPr>
            <w:tcW w:w="941" w:type="pct"/>
            <w:hideMark/>
          </w:tcPr>
          <w:p w:rsidR="00E94D45" w:rsidRDefault="005572AF">
            <w:pPr>
              <w:spacing w:line="276" w:lineRule="auto"/>
              <w:ind w:left="-113" w:right="-113"/>
              <w:jc w:val="center"/>
              <w:rPr>
                <w:rFonts w:eastAsia="Times New Roman" w:cs="Times New Roman"/>
                <w:b/>
                <w:bCs/>
                <w:kern w:val="0"/>
                <w:sz w:val="20"/>
                <w:szCs w:val="20"/>
                <w:lang w:eastAsia="en-IN"/>
                <w14:ligatures w14:val="none"/>
              </w:rPr>
            </w:pPr>
            <w:r>
              <w:rPr>
                <w:rFonts w:eastAsia="Times New Roman" w:cs="Times New Roman"/>
                <w:b/>
                <w:bCs/>
                <w:kern w:val="0"/>
                <w:sz w:val="20"/>
                <w:szCs w:val="20"/>
                <w:lang w:eastAsia="en-IN"/>
                <w14:ligatures w14:val="none"/>
              </w:rPr>
              <w:t>90 Day</w:t>
            </w:r>
          </w:p>
        </w:tc>
        <w:tc>
          <w:tcPr>
            <w:tcW w:w="798"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11±0.014</w:t>
            </w:r>
            <w:r>
              <w:rPr>
                <w:rFonts w:eastAsia="Times New Roman" w:cs="Times New Roman"/>
                <w:kern w:val="0"/>
                <w:sz w:val="20"/>
                <w:szCs w:val="20"/>
                <w:vertAlign w:val="superscript"/>
                <w:lang w:eastAsia="en-IN"/>
                <w14:ligatures w14:val="none"/>
              </w:rPr>
              <w:t>a</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11.35±0.008</w:t>
            </w:r>
            <w:r>
              <w:rPr>
                <w:rFonts w:eastAsia="Times New Roman" w:cs="Times New Roman"/>
                <w:kern w:val="0"/>
                <w:sz w:val="20"/>
                <w:szCs w:val="20"/>
                <w:vertAlign w:val="superscript"/>
                <w:lang w:eastAsia="en-IN"/>
                <w14:ligatures w14:val="none"/>
              </w:rPr>
              <w:t>b</w:t>
            </w:r>
          </w:p>
        </w:tc>
        <w:tc>
          <w:tcPr>
            <w:tcW w:w="649"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11.86±0.014</w:t>
            </w:r>
            <w:r>
              <w:rPr>
                <w:rFonts w:eastAsia="Times New Roman" w:cs="Times New Roman"/>
                <w:kern w:val="0"/>
                <w:sz w:val="20"/>
                <w:szCs w:val="20"/>
                <w:vertAlign w:val="superscript"/>
                <w:lang w:eastAsia="en-IN"/>
                <w14:ligatures w14:val="none"/>
              </w:rPr>
              <w:t>c</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12.12±0.012</w:t>
            </w:r>
            <w:r>
              <w:rPr>
                <w:rFonts w:eastAsia="Times New Roman" w:cs="Times New Roman"/>
                <w:kern w:val="0"/>
                <w:sz w:val="20"/>
                <w:szCs w:val="20"/>
                <w:vertAlign w:val="superscript"/>
                <w:lang w:eastAsia="en-IN"/>
                <w14:ligatures w14:val="none"/>
              </w:rPr>
              <w:t>d</w:t>
            </w:r>
          </w:p>
        </w:tc>
        <w:tc>
          <w:tcPr>
            <w:tcW w:w="652"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12.88±0.015</w:t>
            </w:r>
            <w:r>
              <w:rPr>
                <w:rFonts w:eastAsia="Times New Roman" w:cs="Times New Roman"/>
                <w:kern w:val="0"/>
                <w:sz w:val="20"/>
                <w:szCs w:val="20"/>
                <w:vertAlign w:val="superscript"/>
                <w:lang w:eastAsia="en-IN"/>
                <w14:ligatures w14:val="none"/>
              </w:rPr>
              <w:t>e</w:t>
            </w:r>
          </w:p>
        </w:tc>
        <w:tc>
          <w:tcPr>
            <w:tcW w:w="653" w:type="pct"/>
            <w:hideMark/>
          </w:tcPr>
          <w:p w:rsidR="00E94D45" w:rsidRDefault="005572AF">
            <w:pPr>
              <w:spacing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13.51±0.015</w:t>
            </w:r>
            <w:r>
              <w:rPr>
                <w:rFonts w:eastAsia="Times New Roman" w:cs="Times New Roman"/>
                <w:kern w:val="0"/>
                <w:sz w:val="20"/>
                <w:szCs w:val="20"/>
                <w:vertAlign w:val="superscript"/>
                <w:lang w:eastAsia="en-IN"/>
                <w14:ligatures w14:val="none"/>
              </w:rPr>
              <w:t>f</w:t>
            </w:r>
          </w:p>
        </w:tc>
      </w:tr>
      <w:tr w:rsidR="00E94D45">
        <w:tc>
          <w:tcPr>
            <w:tcW w:w="5000" w:type="pct"/>
            <w:gridSpan w:val="7"/>
          </w:tcPr>
          <w:p w:rsidR="00E94D45" w:rsidRDefault="005572AF">
            <w:pPr>
              <w:spacing w:after="0" w:line="276" w:lineRule="auto"/>
              <w:ind w:left="29" w:right="-113"/>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Sample size:</w:t>
            </w:r>
            <w:r>
              <w:rPr>
                <w:rFonts w:eastAsia="Times New Roman" w:cs="Times New Roman"/>
                <w:kern w:val="0"/>
                <w:sz w:val="18"/>
                <w:szCs w:val="18"/>
                <w:lang w:eastAsia="en-IN"/>
                <w14:ligatures w14:val="none"/>
              </w:rPr>
              <w:t xml:space="preserve"> n = 10 fish per treatment per time point. Measurements were taken on the same individuals at 0, 30, 60, and 90 days.</w:t>
            </w:r>
          </w:p>
          <w:p w:rsidR="00E94D45" w:rsidRDefault="005572AF">
            <w:pPr>
              <w:spacing w:after="0" w:line="276" w:lineRule="auto"/>
              <w:ind w:left="29" w:right="-113"/>
              <w:jc w:val="left"/>
              <w:rPr>
                <w:rFonts w:eastAsia="Times New Roman" w:cs="Times New Roman"/>
                <w:kern w:val="0"/>
                <w:sz w:val="18"/>
                <w:szCs w:val="18"/>
                <w:lang w:eastAsia="en-IN"/>
                <w14:ligatures w14:val="none"/>
              </w:rPr>
            </w:pPr>
            <w:r>
              <w:rPr>
                <w:rFonts w:eastAsia="Times New Roman" w:cs="Times New Roman"/>
                <w:b/>
                <w:bCs/>
                <w:kern w:val="0"/>
                <w:sz w:val="18"/>
                <w:szCs w:val="18"/>
                <w:lang w:eastAsia="en-IN"/>
                <w14:ligatures w14:val="none"/>
              </w:rPr>
              <w:t>Units:</w:t>
            </w:r>
            <w:r>
              <w:rPr>
                <w:rFonts w:eastAsia="Times New Roman" w:cs="Times New Roman"/>
                <w:kern w:val="0"/>
                <w:sz w:val="18"/>
                <w:szCs w:val="18"/>
                <w:lang w:eastAsia="en-IN"/>
                <w14:ligatures w14:val="none"/>
              </w:rPr>
              <w:t xml:space="preserve"> Values are expressed as mean b* ± standard error (SE).</w:t>
            </w:r>
          </w:p>
          <w:p w:rsidR="00E94D45" w:rsidRDefault="005572AF">
            <w:pPr>
              <w:spacing w:after="0" w:line="276" w:lineRule="auto"/>
              <w:ind w:left="29" w:right="-113"/>
              <w:jc w:val="left"/>
              <w:rPr>
                <w:rFonts w:eastAsia="Times New Roman" w:cs="Times New Roman"/>
                <w:kern w:val="0"/>
                <w:sz w:val="20"/>
                <w:szCs w:val="20"/>
                <w:lang w:eastAsia="en-IN"/>
                <w14:ligatures w14:val="none"/>
              </w:rPr>
            </w:pPr>
            <w:r>
              <w:rPr>
                <w:rFonts w:eastAsia="Times New Roman" w:cs="Times New Roman"/>
                <w:b/>
                <w:bCs/>
                <w:kern w:val="0"/>
                <w:sz w:val="18"/>
                <w:szCs w:val="18"/>
                <w:lang w:eastAsia="en-IN"/>
                <w14:ligatures w14:val="none"/>
              </w:rPr>
              <w:t>Statistical analysis:</w:t>
            </w:r>
            <w:r>
              <w:rPr>
                <w:rFonts w:eastAsia="Times New Roman" w:cs="Times New Roman"/>
                <w:kern w:val="0"/>
                <w:sz w:val="18"/>
                <w:szCs w:val="18"/>
                <w:lang w:eastAsia="en-IN"/>
                <w14:ligatures w14:val="none"/>
              </w:rPr>
              <w:t xml:space="preserve"> Within each row (time point), means with different superscript letters (a-f) differ significantly (p &lt; 0.05; two‑way ANOVA followed by Tukey’s test, with treatment and time as fa</w:t>
            </w:r>
            <w:r>
              <w:rPr>
                <w:rFonts w:eastAsia="Times New Roman" w:cs="Times New Roman"/>
                <w:kern w:val="0"/>
                <w:sz w:val="18"/>
                <w:szCs w:val="18"/>
                <w:lang w:eastAsia="en-IN"/>
                <w14:ligatures w14:val="none"/>
              </w:rPr>
              <w:t>ctors).</w:t>
            </w:r>
          </w:p>
        </w:tc>
      </w:tr>
    </w:tbl>
    <w:p w:rsidR="00E94D45" w:rsidRDefault="005572AF">
      <w:pPr>
        <w:pStyle w:val="ListParagraph"/>
        <w:numPr>
          <w:ilvl w:val="1"/>
          <w:numId w:val="22"/>
        </w:numPr>
        <w:spacing w:before="240" w:line="276" w:lineRule="auto"/>
        <w:ind w:left="567" w:hanging="567"/>
        <w:rPr>
          <w:rFonts w:cs="Times New Roman"/>
          <w:szCs w:val="24"/>
        </w:rPr>
      </w:pPr>
      <w:r>
        <w:rPr>
          <w:rFonts w:cs="Times New Roman"/>
          <w:szCs w:val="24"/>
        </w:rPr>
        <w:t>Total Carotenoid analysis in the skin, muscle and caudal fin</w:t>
      </w:r>
    </w:p>
    <w:p w:rsidR="00E94D45" w:rsidRDefault="005572AF">
      <w:pPr>
        <w:spacing w:line="276" w:lineRule="auto"/>
        <w:rPr>
          <w:rFonts w:cs="Times New Roman"/>
          <w:sz w:val="20"/>
          <w:szCs w:val="20"/>
        </w:rPr>
      </w:pPr>
      <w:r>
        <w:rPr>
          <w:rFonts w:cs="Times New Roman"/>
          <w:sz w:val="20"/>
          <w:szCs w:val="20"/>
        </w:rPr>
        <w:t>Higher spirulina concentrations were associated with a significant increase in the total carotenoid content in the blue gourami's skin, muscle and caudal fin over time (Table 14). Carote</w:t>
      </w:r>
      <w:r>
        <w:rPr>
          <w:rFonts w:cs="Times New Roman"/>
          <w:sz w:val="20"/>
          <w:szCs w:val="20"/>
        </w:rPr>
        <w:t>noids in the skin began at 6.23±0.004 μg/g in T0 and grew significantly (p&lt;0.05) throughout the trial, reaching 10.23±0.005 μg/g in T5. This suggests a strong positive association between carotenoids and spirulina levels (p&lt;0.05). The increase in muscle ca</w:t>
      </w:r>
      <w:r>
        <w:rPr>
          <w:rFonts w:cs="Times New Roman"/>
          <w:sz w:val="20"/>
          <w:szCs w:val="20"/>
        </w:rPr>
        <w:t xml:space="preserve">rotenoids was also more notable, rising from 0.65±0.008 μg/g in T0 to 0.93±0.006 μg/g in T5, which indicates that carotenoids accumulate more slowly in muscle tissue. Over time, the caudal fin showed a more significant rise in carotenoids (p &lt; 0.05), with </w:t>
      </w:r>
      <w:r>
        <w:rPr>
          <w:rFonts w:cs="Times New Roman"/>
          <w:sz w:val="20"/>
          <w:szCs w:val="20"/>
        </w:rPr>
        <w:t>levels rising from 4.15±0.017 μg/g in T0 to 7.77±0.012 μg/g in T5. Similar trends were seen for the total body carotenoids, which peaked at 9.98±0.019 μg/g in T5 after an unanticipated decline in T2 (7.97±0.01 μg/g) (Table 14). The carotenoid buildup in bl</w:t>
      </w:r>
      <w:r>
        <w:rPr>
          <w:rFonts w:cs="Times New Roman"/>
          <w:sz w:val="20"/>
          <w:szCs w:val="20"/>
        </w:rPr>
        <w:t>ue gourami appears to be dependent on the amount of spirulina in their diet and extended exposure seems to be especially beneficial for their skin and caudal fin.</w:t>
      </w:r>
    </w:p>
    <w:p w:rsidR="00E94D45" w:rsidRDefault="005572AF">
      <w:pPr>
        <w:pStyle w:val="Caption"/>
        <w:keepNext/>
        <w:ind w:left="851" w:hanging="851"/>
        <w:rPr>
          <w:b/>
          <w:bCs/>
          <w:i w:val="0"/>
          <w:iCs w:val="0"/>
          <w:color w:val="auto"/>
          <w:sz w:val="20"/>
          <w:szCs w:val="20"/>
          <w:lang w:val="en-IN"/>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14</w:t>
      </w:r>
      <w:r>
        <w:rPr>
          <w:b/>
          <w:bCs/>
          <w:i w:val="0"/>
          <w:iCs w:val="0"/>
          <w:color w:val="auto"/>
          <w:sz w:val="20"/>
          <w:szCs w:val="20"/>
        </w:rPr>
        <w:fldChar w:fldCharType="end"/>
      </w:r>
      <w:r>
        <w:rPr>
          <w:b/>
          <w:bCs/>
          <w:i w:val="0"/>
          <w:iCs w:val="0"/>
          <w:color w:val="auto"/>
          <w:sz w:val="20"/>
          <w:szCs w:val="20"/>
          <w:lang w:val="en-IN"/>
        </w:rPr>
        <w:t xml:space="preserve"> Total Carotenoids analysis in the skin, muscle and caudal fin of blue gourami, </w:t>
      </w:r>
      <w:r>
        <w:rPr>
          <w:b/>
          <w:bCs/>
          <w:color w:val="auto"/>
          <w:sz w:val="20"/>
          <w:szCs w:val="20"/>
          <w:lang w:val="en-IN"/>
        </w:rPr>
        <w:t>Trichogaster trichopterus</w:t>
      </w:r>
      <w:r>
        <w:rPr>
          <w:b/>
          <w:bCs/>
          <w:i w:val="0"/>
          <w:iCs w:val="0"/>
          <w:color w:val="auto"/>
          <w:sz w:val="20"/>
          <w:szCs w:val="20"/>
          <w:lang w:val="en-IN"/>
        </w:rPr>
        <w:t xml:space="preserve">, fed with different levels of </w:t>
      </w:r>
      <w:r>
        <w:rPr>
          <w:b/>
          <w:bCs/>
          <w:color w:val="auto"/>
          <w:sz w:val="20"/>
          <w:szCs w:val="20"/>
          <w:lang w:val="en-IN"/>
        </w:rPr>
        <w:t>spirulina platensis</w:t>
      </w:r>
      <w:r>
        <w:rPr>
          <w:b/>
          <w:bCs/>
          <w:i w:val="0"/>
          <w:iCs w:val="0"/>
          <w:color w:val="auto"/>
          <w:sz w:val="20"/>
          <w:szCs w:val="20"/>
          <w:lang w:val="en-IN"/>
        </w:rPr>
        <w:t>.</w:t>
      </w:r>
    </w:p>
    <w:tbl>
      <w:tblPr>
        <w:tblStyle w:val="TableGrid"/>
        <w:tblW w:w="5000" w:type="pct"/>
        <w:jc w:val="center"/>
        <w:tblLayout w:type="fixed"/>
        <w:tblLook w:val="04A0" w:firstRow="1" w:lastRow="0" w:firstColumn="1" w:lastColumn="0" w:noHBand="0" w:noVBand="1"/>
      </w:tblPr>
      <w:tblGrid>
        <w:gridCol w:w="1696"/>
        <w:gridCol w:w="1843"/>
        <w:gridCol w:w="1843"/>
        <w:gridCol w:w="1843"/>
        <w:gridCol w:w="1791"/>
      </w:tblGrid>
      <w:tr w:rsidR="00E94D45">
        <w:trPr>
          <w:jc w:val="center"/>
        </w:trPr>
        <w:tc>
          <w:tcPr>
            <w:tcW w:w="941" w:type="pct"/>
            <w:noWrap/>
            <w:vAlign w:val="center"/>
          </w:tcPr>
          <w:p w:rsidR="00E94D45" w:rsidRDefault="005572AF">
            <w:pPr>
              <w:spacing w:after="0" w:line="276" w:lineRule="auto"/>
              <w:ind w:left="-113" w:right="-113"/>
              <w:jc w:val="center"/>
              <w:rPr>
                <w:b/>
                <w:bCs/>
                <w:sz w:val="20"/>
                <w:szCs w:val="18"/>
              </w:rPr>
            </w:pPr>
            <w:r>
              <w:rPr>
                <w:b/>
                <w:bCs/>
                <w:sz w:val="20"/>
                <w:szCs w:val="18"/>
              </w:rPr>
              <w:t>Treatments</w:t>
            </w:r>
          </w:p>
        </w:tc>
        <w:tc>
          <w:tcPr>
            <w:tcW w:w="1022" w:type="pct"/>
            <w:noWrap/>
            <w:vAlign w:val="center"/>
          </w:tcPr>
          <w:p w:rsidR="00E94D45" w:rsidRDefault="005572AF">
            <w:pPr>
              <w:spacing w:after="0" w:line="276" w:lineRule="auto"/>
              <w:ind w:left="-113" w:right="-113"/>
              <w:jc w:val="center"/>
              <w:rPr>
                <w:b/>
                <w:bCs/>
                <w:sz w:val="20"/>
                <w:szCs w:val="18"/>
              </w:rPr>
            </w:pPr>
            <w:r>
              <w:rPr>
                <w:b/>
                <w:bCs/>
                <w:sz w:val="20"/>
                <w:szCs w:val="18"/>
              </w:rPr>
              <w:t>Skin (μg/g)</w:t>
            </w:r>
          </w:p>
        </w:tc>
        <w:tc>
          <w:tcPr>
            <w:tcW w:w="1022" w:type="pct"/>
            <w:vAlign w:val="center"/>
          </w:tcPr>
          <w:p w:rsidR="00E94D45" w:rsidRDefault="005572AF">
            <w:pPr>
              <w:spacing w:after="0" w:line="276" w:lineRule="auto"/>
              <w:ind w:left="-113" w:right="-113"/>
              <w:jc w:val="center"/>
              <w:rPr>
                <w:b/>
                <w:bCs/>
                <w:sz w:val="20"/>
                <w:szCs w:val="18"/>
              </w:rPr>
            </w:pPr>
            <w:r>
              <w:rPr>
                <w:b/>
                <w:bCs/>
                <w:sz w:val="20"/>
                <w:szCs w:val="18"/>
              </w:rPr>
              <w:t>Muscle (μg/g)</w:t>
            </w:r>
          </w:p>
        </w:tc>
        <w:tc>
          <w:tcPr>
            <w:tcW w:w="1022" w:type="pct"/>
            <w:vAlign w:val="center"/>
          </w:tcPr>
          <w:p w:rsidR="00E94D45" w:rsidRDefault="005572AF">
            <w:pPr>
              <w:spacing w:after="0" w:line="276" w:lineRule="auto"/>
              <w:ind w:left="-113" w:right="-113"/>
              <w:jc w:val="center"/>
              <w:rPr>
                <w:b/>
                <w:bCs/>
                <w:sz w:val="20"/>
                <w:szCs w:val="18"/>
              </w:rPr>
            </w:pPr>
            <w:r>
              <w:rPr>
                <w:b/>
                <w:bCs/>
                <w:sz w:val="20"/>
                <w:szCs w:val="18"/>
              </w:rPr>
              <w:t>Caudal fin (μg/g)</w:t>
            </w:r>
          </w:p>
        </w:tc>
        <w:tc>
          <w:tcPr>
            <w:tcW w:w="993" w:type="pct"/>
            <w:vAlign w:val="center"/>
          </w:tcPr>
          <w:p w:rsidR="00E94D45" w:rsidRDefault="005572AF">
            <w:pPr>
              <w:spacing w:after="0" w:line="276" w:lineRule="auto"/>
              <w:ind w:left="-113" w:right="-113"/>
              <w:jc w:val="center"/>
              <w:rPr>
                <w:b/>
                <w:bCs/>
                <w:sz w:val="20"/>
                <w:szCs w:val="18"/>
              </w:rPr>
            </w:pPr>
            <w:r>
              <w:rPr>
                <w:b/>
                <w:bCs/>
                <w:sz w:val="20"/>
                <w:szCs w:val="18"/>
              </w:rPr>
              <w:t>Whole body (μg/g)</w:t>
            </w:r>
          </w:p>
        </w:tc>
      </w:tr>
      <w:tr w:rsidR="00E94D45">
        <w:trPr>
          <w:jc w:val="center"/>
        </w:trPr>
        <w:tc>
          <w:tcPr>
            <w:tcW w:w="941" w:type="pct"/>
            <w:noWrap/>
            <w:vAlign w:val="center"/>
            <w:hideMark/>
          </w:tcPr>
          <w:p w:rsidR="00E94D45" w:rsidRDefault="005572AF">
            <w:pPr>
              <w:spacing w:after="0" w:line="276" w:lineRule="auto"/>
              <w:ind w:left="-113" w:right="-113"/>
              <w:jc w:val="center"/>
              <w:rPr>
                <w:b/>
                <w:bCs/>
                <w:sz w:val="20"/>
                <w:szCs w:val="18"/>
              </w:rPr>
            </w:pPr>
            <w:r>
              <w:rPr>
                <w:rFonts w:cs="Times New Roman"/>
                <w:b/>
                <w:bCs/>
                <w:sz w:val="20"/>
                <w:szCs w:val="20"/>
              </w:rPr>
              <w:t>T0 (0% Spirulina)</w:t>
            </w:r>
          </w:p>
        </w:tc>
        <w:tc>
          <w:tcPr>
            <w:tcW w:w="1022" w:type="pct"/>
            <w:noWrap/>
            <w:vAlign w:val="center"/>
            <w:hideMark/>
          </w:tcPr>
          <w:p w:rsidR="00E94D45" w:rsidRDefault="005572AF">
            <w:pPr>
              <w:spacing w:after="0" w:line="276" w:lineRule="auto"/>
              <w:ind w:left="-113" w:right="-113"/>
              <w:jc w:val="center"/>
              <w:rPr>
                <w:sz w:val="20"/>
                <w:szCs w:val="18"/>
              </w:rPr>
            </w:pPr>
            <w:r>
              <w:rPr>
                <w:sz w:val="20"/>
                <w:szCs w:val="18"/>
              </w:rPr>
              <w:t>6.23±0.004</w:t>
            </w:r>
            <w:r>
              <w:rPr>
                <w:sz w:val="20"/>
                <w:szCs w:val="18"/>
                <w:vertAlign w:val="superscript"/>
              </w:rPr>
              <w:t>a</w:t>
            </w:r>
          </w:p>
        </w:tc>
        <w:tc>
          <w:tcPr>
            <w:tcW w:w="1022" w:type="pct"/>
            <w:vAlign w:val="center"/>
          </w:tcPr>
          <w:p w:rsidR="00E94D45" w:rsidRDefault="005572AF">
            <w:pPr>
              <w:spacing w:after="0" w:line="276" w:lineRule="auto"/>
              <w:ind w:left="-113" w:right="-113"/>
              <w:jc w:val="center"/>
              <w:rPr>
                <w:sz w:val="20"/>
                <w:szCs w:val="18"/>
              </w:rPr>
            </w:pPr>
            <w:r>
              <w:rPr>
                <w:sz w:val="20"/>
                <w:szCs w:val="18"/>
              </w:rPr>
              <w:t>0.65±0.008</w:t>
            </w:r>
            <w:r>
              <w:rPr>
                <w:sz w:val="20"/>
                <w:szCs w:val="18"/>
                <w:vertAlign w:val="superscript"/>
              </w:rPr>
              <w:t>a</w:t>
            </w:r>
          </w:p>
        </w:tc>
        <w:tc>
          <w:tcPr>
            <w:tcW w:w="1022" w:type="pct"/>
            <w:vAlign w:val="center"/>
          </w:tcPr>
          <w:p w:rsidR="00E94D45" w:rsidRDefault="005572AF">
            <w:pPr>
              <w:spacing w:after="0" w:line="276" w:lineRule="auto"/>
              <w:ind w:left="-113" w:right="-113"/>
              <w:jc w:val="center"/>
              <w:rPr>
                <w:sz w:val="20"/>
                <w:szCs w:val="18"/>
              </w:rPr>
            </w:pPr>
            <w:r>
              <w:rPr>
                <w:sz w:val="20"/>
                <w:szCs w:val="18"/>
              </w:rPr>
              <w:t>4.15±0.017</w:t>
            </w:r>
            <w:r>
              <w:rPr>
                <w:sz w:val="20"/>
                <w:szCs w:val="18"/>
                <w:vertAlign w:val="superscript"/>
              </w:rPr>
              <w:t>a</w:t>
            </w:r>
          </w:p>
        </w:tc>
        <w:tc>
          <w:tcPr>
            <w:tcW w:w="993" w:type="pct"/>
            <w:vAlign w:val="center"/>
          </w:tcPr>
          <w:p w:rsidR="00E94D45" w:rsidRDefault="005572AF">
            <w:pPr>
              <w:spacing w:after="0" w:line="276" w:lineRule="auto"/>
              <w:ind w:left="-113" w:right="-113"/>
              <w:jc w:val="center"/>
              <w:rPr>
                <w:sz w:val="20"/>
                <w:szCs w:val="18"/>
              </w:rPr>
            </w:pPr>
            <w:r>
              <w:rPr>
                <w:sz w:val="20"/>
                <w:szCs w:val="18"/>
              </w:rPr>
              <w:t>8.49±0.003</w:t>
            </w:r>
            <w:r>
              <w:rPr>
                <w:sz w:val="20"/>
                <w:szCs w:val="18"/>
                <w:vertAlign w:val="superscript"/>
              </w:rPr>
              <w:t>b</w:t>
            </w:r>
          </w:p>
        </w:tc>
      </w:tr>
      <w:tr w:rsidR="00E94D45">
        <w:trPr>
          <w:jc w:val="center"/>
        </w:trPr>
        <w:tc>
          <w:tcPr>
            <w:tcW w:w="941" w:type="pct"/>
            <w:noWrap/>
            <w:vAlign w:val="center"/>
            <w:hideMark/>
          </w:tcPr>
          <w:p w:rsidR="00E94D45" w:rsidRDefault="005572AF">
            <w:pPr>
              <w:spacing w:after="0" w:line="276" w:lineRule="auto"/>
              <w:ind w:left="-113" w:right="-113"/>
              <w:jc w:val="center"/>
              <w:rPr>
                <w:b/>
                <w:bCs/>
                <w:sz w:val="20"/>
                <w:szCs w:val="18"/>
              </w:rPr>
            </w:pPr>
            <w:r>
              <w:rPr>
                <w:rFonts w:cs="Times New Roman"/>
                <w:b/>
                <w:bCs/>
                <w:sz w:val="20"/>
                <w:szCs w:val="20"/>
              </w:rPr>
              <w:t>T1 (2%)</w:t>
            </w:r>
          </w:p>
        </w:tc>
        <w:tc>
          <w:tcPr>
            <w:tcW w:w="1022" w:type="pct"/>
            <w:noWrap/>
            <w:vAlign w:val="center"/>
            <w:hideMark/>
          </w:tcPr>
          <w:p w:rsidR="00E94D45" w:rsidRDefault="005572AF">
            <w:pPr>
              <w:spacing w:after="0" w:line="276" w:lineRule="auto"/>
              <w:ind w:left="-113" w:right="-113"/>
              <w:jc w:val="center"/>
              <w:rPr>
                <w:sz w:val="20"/>
                <w:szCs w:val="18"/>
              </w:rPr>
            </w:pPr>
            <w:r>
              <w:rPr>
                <w:sz w:val="20"/>
                <w:szCs w:val="18"/>
              </w:rPr>
              <w:t>7.11±0.006</w:t>
            </w:r>
            <w:r>
              <w:rPr>
                <w:sz w:val="20"/>
                <w:szCs w:val="18"/>
                <w:vertAlign w:val="superscript"/>
              </w:rPr>
              <w:t>b</w:t>
            </w:r>
          </w:p>
        </w:tc>
        <w:tc>
          <w:tcPr>
            <w:tcW w:w="1022" w:type="pct"/>
            <w:vAlign w:val="center"/>
          </w:tcPr>
          <w:p w:rsidR="00E94D45" w:rsidRDefault="005572AF">
            <w:pPr>
              <w:spacing w:after="0" w:line="276" w:lineRule="auto"/>
              <w:ind w:left="-113" w:right="-113"/>
              <w:jc w:val="center"/>
              <w:rPr>
                <w:sz w:val="20"/>
                <w:szCs w:val="18"/>
              </w:rPr>
            </w:pPr>
            <w:r>
              <w:rPr>
                <w:sz w:val="20"/>
                <w:szCs w:val="18"/>
              </w:rPr>
              <w:t>0.64±0.007</w:t>
            </w:r>
            <w:r>
              <w:rPr>
                <w:sz w:val="20"/>
                <w:szCs w:val="18"/>
                <w:vertAlign w:val="superscript"/>
              </w:rPr>
              <w:t>ab</w:t>
            </w:r>
          </w:p>
        </w:tc>
        <w:tc>
          <w:tcPr>
            <w:tcW w:w="1022" w:type="pct"/>
            <w:vAlign w:val="center"/>
          </w:tcPr>
          <w:p w:rsidR="00E94D45" w:rsidRDefault="005572AF">
            <w:pPr>
              <w:spacing w:after="0" w:line="276" w:lineRule="auto"/>
              <w:ind w:left="-113" w:right="-113"/>
              <w:jc w:val="center"/>
              <w:rPr>
                <w:sz w:val="20"/>
                <w:szCs w:val="18"/>
              </w:rPr>
            </w:pPr>
            <w:r>
              <w:rPr>
                <w:sz w:val="20"/>
                <w:szCs w:val="18"/>
              </w:rPr>
              <w:t>5.32±0.012</w:t>
            </w:r>
            <w:r>
              <w:rPr>
                <w:sz w:val="20"/>
                <w:szCs w:val="18"/>
                <w:vertAlign w:val="superscript"/>
              </w:rPr>
              <w:t>b</w:t>
            </w:r>
          </w:p>
        </w:tc>
        <w:tc>
          <w:tcPr>
            <w:tcW w:w="993" w:type="pct"/>
            <w:vAlign w:val="center"/>
          </w:tcPr>
          <w:p w:rsidR="00E94D45" w:rsidRDefault="005572AF">
            <w:pPr>
              <w:spacing w:after="0" w:line="276" w:lineRule="auto"/>
              <w:ind w:left="-113" w:right="-113"/>
              <w:jc w:val="center"/>
              <w:rPr>
                <w:sz w:val="20"/>
                <w:szCs w:val="18"/>
              </w:rPr>
            </w:pPr>
            <w:r>
              <w:rPr>
                <w:sz w:val="20"/>
                <w:szCs w:val="18"/>
              </w:rPr>
              <w:t>8.97±0.02</w:t>
            </w:r>
            <w:r>
              <w:rPr>
                <w:sz w:val="20"/>
                <w:szCs w:val="18"/>
                <w:vertAlign w:val="superscript"/>
              </w:rPr>
              <w:t>c</w:t>
            </w:r>
          </w:p>
        </w:tc>
      </w:tr>
      <w:tr w:rsidR="00E94D45">
        <w:trPr>
          <w:jc w:val="center"/>
        </w:trPr>
        <w:tc>
          <w:tcPr>
            <w:tcW w:w="941" w:type="pct"/>
            <w:noWrap/>
            <w:vAlign w:val="center"/>
            <w:hideMark/>
          </w:tcPr>
          <w:p w:rsidR="00E94D45" w:rsidRDefault="005572AF">
            <w:pPr>
              <w:spacing w:after="0" w:line="276" w:lineRule="auto"/>
              <w:ind w:left="-113" w:right="-113"/>
              <w:jc w:val="center"/>
              <w:rPr>
                <w:b/>
                <w:bCs/>
                <w:sz w:val="20"/>
                <w:szCs w:val="18"/>
              </w:rPr>
            </w:pPr>
            <w:r>
              <w:rPr>
                <w:rFonts w:cs="Times New Roman"/>
                <w:b/>
                <w:bCs/>
                <w:sz w:val="20"/>
                <w:szCs w:val="20"/>
              </w:rPr>
              <w:t>T2 (4%)</w:t>
            </w:r>
          </w:p>
        </w:tc>
        <w:tc>
          <w:tcPr>
            <w:tcW w:w="1022" w:type="pct"/>
            <w:noWrap/>
            <w:vAlign w:val="center"/>
            <w:hideMark/>
          </w:tcPr>
          <w:p w:rsidR="00E94D45" w:rsidRDefault="005572AF">
            <w:pPr>
              <w:spacing w:after="0" w:line="276" w:lineRule="auto"/>
              <w:ind w:left="-113" w:right="-113"/>
              <w:jc w:val="center"/>
              <w:rPr>
                <w:sz w:val="20"/>
                <w:szCs w:val="18"/>
              </w:rPr>
            </w:pPr>
            <w:r>
              <w:rPr>
                <w:sz w:val="20"/>
                <w:szCs w:val="18"/>
              </w:rPr>
              <w:t>7.97±0.002</w:t>
            </w:r>
            <w:r>
              <w:rPr>
                <w:sz w:val="20"/>
                <w:szCs w:val="18"/>
                <w:vertAlign w:val="superscript"/>
              </w:rPr>
              <w:t>c</w:t>
            </w:r>
          </w:p>
        </w:tc>
        <w:tc>
          <w:tcPr>
            <w:tcW w:w="1022" w:type="pct"/>
            <w:vAlign w:val="center"/>
          </w:tcPr>
          <w:p w:rsidR="00E94D45" w:rsidRDefault="005572AF">
            <w:pPr>
              <w:spacing w:after="0" w:line="276" w:lineRule="auto"/>
              <w:ind w:left="-113" w:right="-113"/>
              <w:jc w:val="center"/>
              <w:rPr>
                <w:sz w:val="20"/>
                <w:szCs w:val="18"/>
              </w:rPr>
            </w:pPr>
            <w:r>
              <w:rPr>
                <w:sz w:val="20"/>
                <w:szCs w:val="18"/>
              </w:rPr>
              <w:t>0.67±0.005</w:t>
            </w:r>
            <w:r>
              <w:rPr>
                <w:sz w:val="20"/>
                <w:szCs w:val="18"/>
                <w:vertAlign w:val="superscript"/>
              </w:rPr>
              <w:t>bc</w:t>
            </w:r>
          </w:p>
        </w:tc>
        <w:tc>
          <w:tcPr>
            <w:tcW w:w="1022" w:type="pct"/>
            <w:vAlign w:val="center"/>
          </w:tcPr>
          <w:p w:rsidR="00E94D45" w:rsidRDefault="005572AF">
            <w:pPr>
              <w:spacing w:after="0" w:line="276" w:lineRule="auto"/>
              <w:ind w:left="-113" w:right="-113"/>
              <w:jc w:val="center"/>
              <w:rPr>
                <w:sz w:val="20"/>
                <w:szCs w:val="18"/>
              </w:rPr>
            </w:pPr>
            <w:r>
              <w:rPr>
                <w:sz w:val="20"/>
                <w:szCs w:val="18"/>
              </w:rPr>
              <w:t>5.98±0.014</w:t>
            </w:r>
            <w:r>
              <w:rPr>
                <w:sz w:val="20"/>
                <w:szCs w:val="18"/>
                <w:vertAlign w:val="superscript"/>
              </w:rPr>
              <w:t>c</w:t>
            </w:r>
          </w:p>
        </w:tc>
        <w:tc>
          <w:tcPr>
            <w:tcW w:w="993" w:type="pct"/>
            <w:vAlign w:val="center"/>
          </w:tcPr>
          <w:p w:rsidR="00E94D45" w:rsidRDefault="005572AF">
            <w:pPr>
              <w:spacing w:after="0" w:line="276" w:lineRule="auto"/>
              <w:ind w:left="-113" w:right="-113"/>
              <w:jc w:val="center"/>
              <w:rPr>
                <w:sz w:val="20"/>
                <w:szCs w:val="18"/>
              </w:rPr>
            </w:pPr>
            <w:r>
              <w:rPr>
                <w:sz w:val="20"/>
                <w:szCs w:val="18"/>
              </w:rPr>
              <w:t>7.97±0.01</w:t>
            </w:r>
            <w:r>
              <w:rPr>
                <w:sz w:val="20"/>
                <w:szCs w:val="18"/>
                <w:vertAlign w:val="superscript"/>
              </w:rPr>
              <w:t>a</w:t>
            </w:r>
          </w:p>
        </w:tc>
      </w:tr>
      <w:tr w:rsidR="00E94D45">
        <w:trPr>
          <w:jc w:val="center"/>
        </w:trPr>
        <w:tc>
          <w:tcPr>
            <w:tcW w:w="941" w:type="pct"/>
            <w:noWrap/>
            <w:vAlign w:val="center"/>
            <w:hideMark/>
          </w:tcPr>
          <w:p w:rsidR="00E94D45" w:rsidRDefault="005572AF">
            <w:pPr>
              <w:spacing w:after="0" w:line="276" w:lineRule="auto"/>
              <w:ind w:left="-113" w:right="-113"/>
              <w:jc w:val="center"/>
              <w:rPr>
                <w:b/>
                <w:bCs/>
                <w:sz w:val="20"/>
                <w:szCs w:val="18"/>
              </w:rPr>
            </w:pPr>
            <w:r>
              <w:rPr>
                <w:rFonts w:cs="Times New Roman"/>
                <w:b/>
                <w:bCs/>
                <w:sz w:val="20"/>
                <w:szCs w:val="20"/>
              </w:rPr>
              <w:t>T3 (6%)</w:t>
            </w:r>
          </w:p>
        </w:tc>
        <w:tc>
          <w:tcPr>
            <w:tcW w:w="1022" w:type="pct"/>
            <w:noWrap/>
            <w:vAlign w:val="center"/>
            <w:hideMark/>
          </w:tcPr>
          <w:p w:rsidR="00E94D45" w:rsidRDefault="005572AF">
            <w:pPr>
              <w:spacing w:after="0" w:line="276" w:lineRule="auto"/>
              <w:ind w:left="-113" w:right="-113"/>
              <w:jc w:val="center"/>
              <w:rPr>
                <w:sz w:val="20"/>
                <w:szCs w:val="18"/>
              </w:rPr>
            </w:pPr>
            <w:r>
              <w:rPr>
                <w:sz w:val="20"/>
                <w:szCs w:val="18"/>
              </w:rPr>
              <w:t>8.66±0.006</w:t>
            </w:r>
            <w:r>
              <w:rPr>
                <w:sz w:val="20"/>
                <w:szCs w:val="18"/>
                <w:vertAlign w:val="superscript"/>
              </w:rPr>
              <w:t>d</w:t>
            </w:r>
          </w:p>
        </w:tc>
        <w:tc>
          <w:tcPr>
            <w:tcW w:w="1022" w:type="pct"/>
            <w:vAlign w:val="center"/>
          </w:tcPr>
          <w:p w:rsidR="00E94D45" w:rsidRDefault="005572AF">
            <w:pPr>
              <w:spacing w:after="0" w:line="276" w:lineRule="auto"/>
              <w:ind w:left="-113" w:right="-113"/>
              <w:jc w:val="center"/>
              <w:rPr>
                <w:sz w:val="20"/>
                <w:szCs w:val="18"/>
              </w:rPr>
            </w:pPr>
            <w:r>
              <w:rPr>
                <w:sz w:val="20"/>
                <w:szCs w:val="18"/>
              </w:rPr>
              <w:t>0.67±0.007</w:t>
            </w:r>
            <w:r>
              <w:rPr>
                <w:sz w:val="20"/>
                <w:szCs w:val="18"/>
                <w:vertAlign w:val="superscript"/>
              </w:rPr>
              <w:t>c</w:t>
            </w:r>
          </w:p>
        </w:tc>
        <w:tc>
          <w:tcPr>
            <w:tcW w:w="1022" w:type="pct"/>
            <w:vAlign w:val="center"/>
          </w:tcPr>
          <w:p w:rsidR="00E94D45" w:rsidRDefault="005572AF">
            <w:pPr>
              <w:spacing w:after="0" w:line="276" w:lineRule="auto"/>
              <w:ind w:left="-113" w:right="-113"/>
              <w:jc w:val="center"/>
              <w:rPr>
                <w:sz w:val="20"/>
                <w:szCs w:val="18"/>
              </w:rPr>
            </w:pPr>
            <w:r>
              <w:rPr>
                <w:sz w:val="20"/>
                <w:szCs w:val="18"/>
              </w:rPr>
              <w:t>6.45±0.012</w:t>
            </w:r>
            <w:r>
              <w:rPr>
                <w:sz w:val="20"/>
                <w:szCs w:val="18"/>
                <w:vertAlign w:val="superscript"/>
              </w:rPr>
              <w:t>d</w:t>
            </w:r>
          </w:p>
        </w:tc>
        <w:tc>
          <w:tcPr>
            <w:tcW w:w="993" w:type="pct"/>
            <w:vAlign w:val="center"/>
          </w:tcPr>
          <w:p w:rsidR="00E94D45" w:rsidRDefault="005572AF">
            <w:pPr>
              <w:spacing w:after="0" w:line="276" w:lineRule="auto"/>
              <w:ind w:left="-113" w:right="-113"/>
              <w:jc w:val="center"/>
              <w:rPr>
                <w:sz w:val="20"/>
                <w:szCs w:val="18"/>
              </w:rPr>
            </w:pPr>
            <w:r>
              <w:rPr>
                <w:sz w:val="20"/>
                <w:szCs w:val="18"/>
              </w:rPr>
              <w:t>9.86±0.05</w:t>
            </w:r>
            <w:r>
              <w:rPr>
                <w:sz w:val="20"/>
                <w:szCs w:val="18"/>
                <w:vertAlign w:val="superscript"/>
              </w:rPr>
              <w:t>e</w:t>
            </w:r>
          </w:p>
        </w:tc>
      </w:tr>
      <w:tr w:rsidR="00E94D45">
        <w:trPr>
          <w:jc w:val="center"/>
        </w:trPr>
        <w:tc>
          <w:tcPr>
            <w:tcW w:w="941" w:type="pct"/>
            <w:noWrap/>
            <w:vAlign w:val="center"/>
            <w:hideMark/>
          </w:tcPr>
          <w:p w:rsidR="00E94D45" w:rsidRDefault="005572AF">
            <w:pPr>
              <w:spacing w:after="0" w:line="276" w:lineRule="auto"/>
              <w:ind w:left="-113" w:right="-113"/>
              <w:jc w:val="center"/>
              <w:rPr>
                <w:b/>
                <w:bCs/>
                <w:sz w:val="20"/>
                <w:szCs w:val="18"/>
              </w:rPr>
            </w:pPr>
            <w:r>
              <w:rPr>
                <w:rFonts w:cs="Times New Roman"/>
                <w:b/>
                <w:bCs/>
                <w:sz w:val="20"/>
                <w:szCs w:val="20"/>
              </w:rPr>
              <w:t>T4 (8%)</w:t>
            </w:r>
          </w:p>
        </w:tc>
        <w:tc>
          <w:tcPr>
            <w:tcW w:w="1022" w:type="pct"/>
            <w:noWrap/>
            <w:vAlign w:val="center"/>
            <w:hideMark/>
          </w:tcPr>
          <w:p w:rsidR="00E94D45" w:rsidRDefault="005572AF">
            <w:pPr>
              <w:spacing w:after="0" w:line="276" w:lineRule="auto"/>
              <w:ind w:left="-113" w:right="-113"/>
              <w:jc w:val="center"/>
              <w:rPr>
                <w:sz w:val="20"/>
                <w:szCs w:val="18"/>
              </w:rPr>
            </w:pPr>
            <w:r>
              <w:rPr>
                <w:sz w:val="20"/>
                <w:szCs w:val="18"/>
              </w:rPr>
              <w:t>9.01±0.007</w:t>
            </w:r>
            <w:r>
              <w:rPr>
                <w:sz w:val="20"/>
                <w:szCs w:val="18"/>
                <w:vertAlign w:val="superscript"/>
              </w:rPr>
              <w:t>e</w:t>
            </w:r>
          </w:p>
        </w:tc>
        <w:tc>
          <w:tcPr>
            <w:tcW w:w="1022" w:type="pct"/>
            <w:vAlign w:val="center"/>
          </w:tcPr>
          <w:p w:rsidR="00E94D45" w:rsidRDefault="005572AF">
            <w:pPr>
              <w:spacing w:after="0" w:line="276" w:lineRule="auto"/>
              <w:ind w:left="-113" w:right="-113"/>
              <w:jc w:val="center"/>
              <w:rPr>
                <w:sz w:val="20"/>
                <w:szCs w:val="18"/>
              </w:rPr>
            </w:pPr>
            <w:r>
              <w:rPr>
                <w:sz w:val="20"/>
                <w:szCs w:val="18"/>
              </w:rPr>
              <w:t>0.77±0.004</w:t>
            </w:r>
            <w:r>
              <w:rPr>
                <w:sz w:val="20"/>
                <w:szCs w:val="18"/>
                <w:vertAlign w:val="superscript"/>
              </w:rPr>
              <w:t>d</w:t>
            </w:r>
          </w:p>
        </w:tc>
        <w:tc>
          <w:tcPr>
            <w:tcW w:w="1022" w:type="pct"/>
            <w:vAlign w:val="center"/>
          </w:tcPr>
          <w:p w:rsidR="00E94D45" w:rsidRDefault="005572AF">
            <w:pPr>
              <w:spacing w:after="0" w:line="276" w:lineRule="auto"/>
              <w:ind w:left="-113" w:right="-113"/>
              <w:jc w:val="center"/>
              <w:rPr>
                <w:sz w:val="20"/>
                <w:szCs w:val="18"/>
              </w:rPr>
            </w:pPr>
            <w:r>
              <w:rPr>
                <w:sz w:val="20"/>
                <w:szCs w:val="18"/>
              </w:rPr>
              <w:t>6.86±0.028</w:t>
            </w:r>
            <w:r>
              <w:rPr>
                <w:sz w:val="20"/>
                <w:szCs w:val="18"/>
                <w:vertAlign w:val="superscript"/>
              </w:rPr>
              <w:t>e</w:t>
            </w:r>
          </w:p>
        </w:tc>
        <w:tc>
          <w:tcPr>
            <w:tcW w:w="993" w:type="pct"/>
            <w:vAlign w:val="center"/>
          </w:tcPr>
          <w:p w:rsidR="00E94D45" w:rsidRDefault="005572AF">
            <w:pPr>
              <w:spacing w:after="0" w:line="276" w:lineRule="auto"/>
              <w:ind w:left="-113" w:right="-113"/>
              <w:jc w:val="center"/>
              <w:rPr>
                <w:sz w:val="20"/>
                <w:szCs w:val="18"/>
              </w:rPr>
            </w:pPr>
            <w:r>
              <w:rPr>
                <w:sz w:val="20"/>
                <w:szCs w:val="18"/>
              </w:rPr>
              <w:t>9.23±0.005</w:t>
            </w:r>
            <w:r>
              <w:rPr>
                <w:sz w:val="20"/>
                <w:szCs w:val="18"/>
                <w:vertAlign w:val="superscript"/>
              </w:rPr>
              <w:t>d</w:t>
            </w:r>
          </w:p>
        </w:tc>
      </w:tr>
      <w:tr w:rsidR="00E94D45">
        <w:trPr>
          <w:jc w:val="center"/>
        </w:trPr>
        <w:tc>
          <w:tcPr>
            <w:tcW w:w="941" w:type="pct"/>
            <w:noWrap/>
            <w:vAlign w:val="center"/>
            <w:hideMark/>
          </w:tcPr>
          <w:p w:rsidR="00E94D45" w:rsidRDefault="005572AF">
            <w:pPr>
              <w:spacing w:after="0" w:line="276" w:lineRule="auto"/>
              <w:ind w:left="-113" w:right="-113"/>
              <w:jc w:val="center"/>
              <w:rPr>
                <w:b/>
                <w:bCs/>
                <w:sz w:val="20"/>
                <w:szCs w:val="18"/>
              </w:rPr>
            </w:pPr>
            <w:r>
              <w:rPr>
                <w:rFonts w:cs="Times New Roman"/>
                <w:b/>
                <w:bCs/>
                <w:sz w:val="20"/>
                <w:szCs w:val="20"/>
              </w:rPr>
              <w:t>T5 (10%)</w:t>
            </w:r>
          </w:p>
        </w:tc>
        <w:tc>
          <w:tcPr>
            <w:tcW w:w="1022" w:type="pct"/>
            <w:noWrap/>
            <w:vAlign w:val="center"/>
            <w:hideMark/>
          </w:tcPr>
          <w:p w:rsidR="00E94D45" w:rsidRDefault="005572AF">
            <w:pPr>
              <w:spacing w:after="0" w:line="276" w:lineRule="auto"/>
              <w:ind w:left="-113" w:right="-113"/>
              <w:jc w:val="center"/>
              <w:rPr>
                <w:sz w:val="20"/>
                <w:szCs w:val="18"/>
              </w:rPr>
            </w:pPr>
            <w:r>
              <w:rPr>
                <w:sz w:val="20"/>
                <w:szCs w:val="18"/>
              </w:rPr>
              <w:t>10.23±0.005</w:t>
            </w:r>
            <w:r>
              <w:rPr>
                <w:sz w:val="20"/>
                <w:szCs w:val="18"/>
                <w:vertAlign w:val="superscript"/>
              </w:rPr>
              <w:t>f</w:t>
            </w:r>
          </w:p>
        </w:tc>
        <w:tc>
          <w:tcPr>
            <w:tcW w:w="1022" w:type="pct"/>
            <w:vAlign w:val="center"/>
          </w:tcPr>
          <w:p w:rsidR="00E94D45" w:rsidRDefault="005572AF">
            <w:pPr>
              <w:spacing w:after="0" w:line="276" w:lineRule="auto"/>
              <w:ind w:left="-113" w:right="-113"/>
              <w:jc w:val="center"/>
              <w:rPr>
                <w:sz w:val="20"/>
                <w:szCs w:val="18"/>
              </w:rPr>
            </w:pPr>
            <w:r>
              <w:rPr>
                <w:sz w:val="20"/>
                <w:szCs w:val="18"/>
              </w:rPr>
              <w:t>0.93±0.006</w:t>
            </w:r>
            <w:r>
              <w:rPr>
                <w:sz w:val="20"/>
                <w:szCs w:val="18"/>
                <w:vertAlign w:val="superscript"/>
              </w:rPr>
              <w:t>e</w:t>
            </w:r>
          </w:p>
        </w:tc>
        <w:tc>
          <w:tcPr>
            <w:tcW w:w="1022" w:type="pct"/>
            <w:vAlign w:val="center"/>
          </w:tcPr>
          <w:p w:rsidR="00E94D45" w:rsidRDefault="005572AF">
            <w:pPr>
              <w:spacing w:after="0" w:line="276" w:lineRule="auto"/>
              <w:ind w:left="-113" w:right="-113"/>
              <w:jc w:val="center"/>
              <w:rPr>
                <w:sz w:val="20"/>
                <w:szCs w:val="18"/>
              </w:rPr>
            </w:pPr>
            <w:r>
              <w:rPr>
                <w:sz w:val="20"/>
                <w:szCs w:val="18"/>
              </w:rPr>
              <w:t>7.77±0.012</w:t>
            </w:r>
            <w:r>
              <w:rPr>
                <w:sz w:val="20"/>
                <w:szCs w:val="18"/>
                <w:vertAlign w:val="superscript"/>
              </w:rPr>
              <w:t>f</w:t>
            </w:r>
          </w:p>
        </w:tc>
        <w:tc>
          <w:tcPr>
            <w:tcW w:w="993" w:type="pct"/>
            <w:vAlign w:val="center"/>
          </w:tcPr>
          <w:p w:rsidR="00E94D45" w:rsidRDefault="005572AF">
            <w:pPr>
              <w:spacing w:after="0" w:line="276" w:lineRule="auto"/>
              <w:ind w:left="-113" w:right="-113"/>
              <w:jc w:val="center"/>
              <w:rPr>
                <w:sz w:val="20"/>
                <w:szCs w:val="18"/>
              </w:rPr>
            </w:pPr>
            <w:r>
              <w:rPr>
                <w:sz w:val="20"/>
                <w:szCs w:val="18"/>
              </w:rPr>
              <w:t>9.98±0.019</w:t>
            </w:r>
            <w:r>
              <w:rPr>
                <w:sz w:val="20"/>
                <w:szCs w:val="18"/>
                <w:vertAlign w:val="superscript"/>
              </w:rPr>
              <w:t>f</w:t>
            </w:r>
          </w:p>
        </w:tc>
      </w:tr>
      <w:tr w:rsidR="00E94D45">
        <w:trPr>
          <w:jc w:val="center"/>
        </w:trPr>
        <w:tc>
          <w:tcPr>
            <w:tcW w:w="5000" w:type="pct"/>
            <w:gridSpan w:val="5"/>
            <w:noWrap/>
            <w:vAlign w:val="center"/>
          </w:tcPr>
          <w:p w:rsidR="00E94D45" w:rsidRDefault="005572AF">
            <w:pPr>
              <w:spacing w:after="0" w:line="276" w:lineRule="auto"/>
              <w:ind w:left="29"/>
              <w:jc w:val="left"/>
              <w:rPr>
                <w:sz w:val="18"/>
                <w:szCs w:val="16"/>
              </w:rPr>
            </w:pPr>
            <w:r>
              <w:rPr>
                <w:b/>
                <w:bCs/>
                <w:sz w:val="18"/>
                <w:szCs w:val="16"/>
              </w:rPr>
              <w:t>Units:</w:t>
            </w:r>
            <w:r>
              <w:rPr>
                <w:sz w:val="18"/>
                <w:szCs w:val="16"/>
              </w:rPr>
              <w:t xml:space="preserve"> Expressed as μg carotenoid per gram wet tissue weight (μg/g).</w:t>
            </w:r>
          </w:p>
          <w:p w:rsidR="00E94D45" w:rsidRDefault="005572AF">
            <w:pPr>
              <w:spacing w:after="0" w:line="276" w:lineRule="auto"/>
              <w:ind w:left="29"/>
              <w:jc w:val="left"/>
              <w:rPr>
                <w:sz w:val="18"/>
                <w:szCs w:val="16"/>
              </w:rPr>
            </w:pPr>
            <w:r>
              <w:rPr>
                <w:rFonts w:eastAsia="Times New Roman" w:cs="Times New Roman"/>
                <w:b/>
                <w:bCs/>
                <w:kern w:val="0"/>
                <w:sz w:val="18"/>
                <w:szCs w:val="18"/>
                <w:lang w:eastAsia="en-IN"/>
                <w14:ligatures w14:val="none"/>
              </w:rPr>
              <w:t>Sample size:</w:t>
            </w:r>
            <w:r>
              <w:rPr>
                <w:rFonts w:eastAsia="Times New Roman" w:cs="Times New Roman"/>
                <w:kern w:val="0"/>
                <w:sz w:val="18"/>
                <w:szCs w:val="18"/>
                <w:lang w:eastAsia="en-IN"/>
                <w14:ligatures w14:val="none"/>
              </w:rPr>
              <w:t xml:space="preserve"> n = 5/Treatment</w:t>
            </w:r>
          </w:p>
          <w:p w:rsidR="00E94D45" w:rsidRDefault="005572AF">
            <w:pPr>
              <w:spacing w:after="0" w:line="276" w:lineRule="auto"/>
              <w:ind w:left="29"/>
              <w:jc w:val="left"/>
              <w:rPr>
                <w:sz w:val="20"/>
                <w:szCs w:val="18"/>
              </w:rPr>
            </w:pPr>
            <w:r>
              <w:rPr>
                <w:b/>
                <w:bCs/>
                <w:sz w:val="18"/>
                <w:szCs w:val="16"/>
              </w:rPr>
              <w:lastRenderedPageBreak/>
              <w:t>Statistical analysis:</w:t>
            </w:r>
            <w:r>
              <w:rPr>
                <w:sz w:val="18"/>
                <w:szCs w:val="16"/>
              </w:rPr>
              <w:t xml:space="preserve"> Values are mean ± standard error (SE). Within each column, means with different superscript letters (a-f) differ significantly (p&lt;0.05; one‑way ANOVA followed by Tukey’s test).</w:t>
            </w:r>
          </w:p>
        </w:tc>
      </w:tr>
    </w:tbl>
    <w:p w:rsidR="00E94D45" w:rsidRDefault="005572AF">
      <w:pPr>
        <w:pStyle w:val="ListParagraph"/>
        <w:numPr>
          <w:ilvl w:val="1"/>
          <w:numId w:val="22"/>
        </w:numPr>
        <w:spacing w:before="240"/>
        <w:rPr>
          <w:rFonts w:cs="Times New Roman"/>
          <w:sz w:val="20"/>
          <w:szCs w:val="20"/>
        </w:rPr>
      </w:pPr>
      <w:r>
        <w:rPr>
          <w:rFonts w:cs="Times New Roman"/>
          <w:sz w:val="20"/>
          <w:szCs w:val="20"/>
        </w:rPr>
        <w:lastRenderedPageBreak/>
        <w:t>Carotenoids analysis in the skin</w:t>
      </w:r>
    </w:p>
    <w:p w:rsidR="00E94D45" w:rsidRDefault="005572AF">
      <w:pPr>
        <w:rPr>
          <w:rFonts w:cs="Times New Roman"/>
          <w:sz w:val="20"/>
          <w:szCs w:val="20"/>
        </w:rPr>
      </w:pPr>
      <w:r>
        <w:rPr>
          <w:rFonts w:cs="Times New Roman"/>
          <w:sz w:val="20"/>
          <w:szCs w:val="20"/>
        </w:rPr>
        <w:t>The carotenoids in the skin of blue gourami were analyzed and the results showed that increasing the number of spirulina in their diet significantly increased the concentration of key carotenoids. Asthaxanthin levels increased from 5.01±0.042 ng/g in T0 to</w:t>
      </w:r>
      <w:r>
        <w:rPr>
          <w:rFonts w:cs="Times New Roman"/>
          <w:sz w:val="20"/>
          <w:szCs w:val="20"/>
        </w:rPr>
        <w:t xml:space="preserve"> 7.97±0.07 ng/g in T5, indicating a similar upward trend. Meanwhile, the most abundant carotenoid measured, β-carotene, increased significantly from 29.97±0.027 ng/g in T0 to 47.99±0.047 ng/g in T5 (p&lt;0.05). Significant increases (p&lt;0.05) were also observe</w:t>
      </w:r>
      <w:r>
        <w:rPr>
          <w:rFonts w:cs="Times New Roman"/>
          <w:sz w:val="20"/>
          <w:szCs w:val="20"/>
        </w:rPr>
        <w:t>d in T3 (7.56±0.006 ng/g astaxanthin, 1.78±0.014 ng/g canthaxanthin, 43.2±0.012 ng/g β-Carotene) and T4 (6.59±0.06 ng/g astaxanthin, 1.87±0.008 ng/g canthaxanthin, 40.35±0.057 ng/g β-Carotene); however, T5 consistently showed the highest concentrations (p&lt;</w:t>
      </w:r>
      <w:r>
        <w:rPr>
          <w:rFonts w:cs="Times New Roman"/>
          <w:sz w:val="20"/>
          <w:szCs w:val="20"/>
        </w:rPr>
        <w:t>0.05) (Table 15). These findings indicate that increased dietary spirulina significantly increases the presence of carotenoids in the skin, improving overall pigmentation and possibly providing health benefits for the fish.</w:t>
      </w:r>
    </w:p>
    <w:p w:rsidR="00E94D45" w:rsidRDefault="005572AF">
      <w:pPr>
        <w:pStyle w:val="Caption"/>
        <w:keepNext/>
        <w:ind w:left="709" w:hanging="709"/>
        <w:rPr>
          <w:b/>
          <w:bCs/>
          <w:i w:val="0"/>
          <w:iCs w:val="0"/>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15</w:t>
      </w:r>
      <w:r>
        <w:rPr>
          <w:b/>
          <w:bCs/>
          <w:i w:val="0"/>
          <w:iCs w:val="0"/>
          <w:color w:val="auto"/>
          <w:sz w:val="20"/>
          <w:szCs w:val="20"/>
        </w:rPr>
        <w:fldChar w:fldCharType="end"/>
      </w:r>
      <w:r>
        <w:rPr>
          <w:b/>
          <w:bCs/>
          <w:i w:val="0"/>
          <w:iCs w:val="0"/>
          <w:color w:val="auto"/>
          <w:sz w:val="20"/>
          <w:szCs w:val="20"/>
          <w:lang w:val="en-IN"/>
        </w:rPr>
        <w:t xml:space="preserve"> Carotenoids analysis in the skin of blue gourami, </w:t>
      </w:r>
      <w:r>
        <w:rPr>
          <w:b/>
          <w:bCs/>
          <w:color w:val="auto"/>
          <w:sz w:val="20"/>
          <w:szCs w:val="20"/>
          <w:lang w:val="en-IN"/>
        </w:rPr>
        <w:t>Trichogaster trichopterus</w:t>
      </w:r>
      <w:r>
        <w:rPr>
          <w:b/>
          <w:bCs/>
          <w:i w:val="0"/>
          <w:iCs w:val="0"/>
          <w:color w:val="auto"/>
          <w:sz w:val="20"/>
          <w:szCs w:val="20"/>
          <w:lang w:val="en-IN"/>
        </w:rPr>
        <w:t xml:space="preserve">, fed with different levels of </w:t>
      </w:r>
      <w:r>
        <w:rPr>
          <w:b/>
          <w:bCs/>
          <w:color w:val="auto"/>
          <w:sz w:val="20"/>
          <w:szCs w:val="20"/>
          <w:lang w:val="en-IN"/>
        </w:rPr>
        <w:t>spirulina platensis.</w:t>
      </w:r>
    </w:p>
    <w:tbl>
      <w:tblPr>
        <w:tblStyle w:val="TableGrid"/>
        <w:tblW w:w="5000" w:type="pct"/>
        <w:tblLook w:val="04A0" w:firstRow="1" w:lastRow="0" w:firstColumn="1" w:lastColumn="0" w:noHBand="0" w:noVBand="1"/>
      </w:tblPr>
      <w:tblGrid>
        <w:gridCol w:w="1738"/>
        <w:gridCol w:w="2382"/>
        <w:gridCol w:w="2474"/>
        <w:gridCol w:w="2422"/>
      </w:tblGrid>
      <w:tr w:rsidR="00E94D45">
        <w:tc>
          <w:tcPr>
            <w:tcW w:w="964" w:type="pct"/>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Treatments (Skin)</w:t>
            </w:r>
          </w:p>
        </w:tc>
        <w:tc>
          <w:tcPr>
            <w:tcW w:w="1321" w:type="pct"/>
            <w:noWrap/>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Astaxanthin (ng/g)</w:t>
            </w:r>
          </w:p>
        </w:tc>
        <w:tc>
          <w:tcPr>
            <w:tcW w:w="1372" w:type="pct"/>
          </w:tcPr>
          <w:p w:rsidR="00E94D45" w:rsidRDefault="005572AF">
            <w:pPr>
              <w:spacing w:after="0" w:line="276" w:lineRule="auto"/>
              <w:ind w:left="-113" w:right="-113"/>
              <w:jc w:val="center"/>
              <w:rPr>
                <w:rFonts w:cs="Times New Roman"/>
                <w:b/>
                <w:bCs/>
                <w:sz w:val="20"/>
                <w:szCs w:val="20"/>
              </w:rPr>
            </w:pPr>
            <w:r>
              <w:rPr>
                <w:rFonts w:cs="Times New Roman"/>
                <w:b/>
                <w:bCs/>
                <w:sz w:val="20"/>
                <w:szCs w:val="20"/>
              </w:rPr>
              <w:t>Canthaxanthin (ng/g)</w:t>
            </w:r>
          </w:p>
        </w:tc>
        <w:tc>
          <w:tcPr>
            <w:tcW w:w="1343" w:type="pct"/>
          </w:tcPr>
          <w:p w:rsidR="00E94D45" w:rsidRDefault="005572AF">
            <w:pPr>
              <w:spacing w:after="0" w:line="276" w:lineRule="auto"/>
              <w:ind w:left="-113" w:right="-113"/>
              <w:jc w:val="center"/>
              <w:rPr>
                <w:rFonts w:cs="Times New Roman"/>
                <w:b/>
                <w:bCs/>
                <w:sz w:val="20"/>
                <w:szCs w:val="20"/>
              </w:rPr>
            </w:pPr>
            <w:r>
              <w:rPr>
                <w:rFonts w:cs="Times New Roman"/>
                <w:b/>
                <w:bCs/>
                <w:sz w:val="20"/>
                <w:szCs w:val="20"/>
              </w:rPr>
              <w:t>β-Carotene (ng/g)</w:t>
            </w:r>
          </w:p>
        </w:tc>
      </w:tr>
      <w:tr w:rsidR="00E94D45">
        <w:tc>
          <w:tcPr>
            <w:tcW w:w="964" w:type="pct"/>
            <w:vAlign w:val="center"/>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T0 (0% Spirulina)</w:t>
            </w:r>
          </w:p>
        </w:tc>
        <w:tc>
          <w:tcPr>
            <w:tcW w:w="1321" w:type="pct"/>
            <w:noWrap/>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5.01±0.042</w:t>
            </w:r>
            <w:r>
              <w:rPr>
                <w:rFonts w:eastAsia="Times New Roman" w:cs="Times New Roman"/>
                <w:kern w:val="0"/>
                <w:sz w:val="20"/>
                <w:szCs w:val="20"/>
                <w:vertAlign w:val="superscript"/>
                <w:lang w:eastAsia="en-IN"/>
                <w14:ligatures w14:val="none"/>
              </w:rPr>
              <w:t>b</w:t>
            </w:r>
          </w:p>
        </w:tc>
        <w:tc>
          <w:tcPr>
            <w:tcW w:w="1372"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1.37±0.007</w:t>
            </w:r>
            <w:r>
              <w:rPr>
                <w:rFonts w:cs="Times New Roman"/>
                <w:sz w:val="20"/>
                <w:szCs w:val="20"/>
                <w:vertAlign w:val="superscript"/>
              </w:rPr>
              <w:t>b</w:t>
            </w:r>
          </w:p>
        </w:tc>
        <w:tc>
          <w:tcPr>
            <w:tcW w:w="1343"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29.97±0.027</w:t>
            </w:r>
            <w:r>
              <w:rPr>
                <w:rFonts w:cs="Times New Roman"/>
                <w:sz w:val="20"/>
                <w:szCs w:val="20"/>
                <w:vertAlign w:val="superscript"/>
              </w:rPr>
              <w:t>a</w:t>
            </w:r>
          </w:p>
        </w:tc>
      </w:tr>
      <w:tr w:rsidR="00E94D45">
        <w:trPr>
          <w:trHeight w:val="203"/>
        </w:trPr>
        <w:tc>
          <w:tcPr>
            <w:tcW w:w="964" w:type="pct"/>
            <w:vAlign w:val="center"/>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T1 (2%)</w:t>
            </w:r>
          </w:p>
        </w:tc>
        <w:tc>
          <w:tcPr>
            <w:tcW w:w="1321" w:type="pct"/>
            <w:noWrap/>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4.78±0.008</w:t>
            </w:r>
            <w:r>
              <w:rPr>
                <w:rFonts w:eastAsia="Times New Roman" w:cs="Times New Roman"/>
                <w:kern w:val="0"/>
                <w:sz w:val="20"/>
                <w:szCs w:val="20"/>
                <w:vertAlign w:val="superscript"/>
                <w:lang w:eastAsia="en-IN"/>
                <w14:ligatures w14:val="none"/>
              </w:rPr>
              <w:t>a</w:t>
            </w:r>
          </w:p>
        </w:tc>
        <w:tc>
          <w:tcPr>
            <w:tcW w:w="1372"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1.45±0.004</w:t>
            </w:r>
            <w:r>
              <w:rPr>
                <w:rFonts w:cs="Times New Roman"/>
                <w:sz w:val="20"/>
                <w:szCs w:val="20"/>
                <w:vertAlign w:val="superscript"/>
              </w:rPr>
              <w:t>c</w:t>
            </w:r>
          </w:p>
        </w:tc>
        <w:tc>
          <w:tcPr>
            <w:tcW w:w="1343"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36.20±0.028</w:t>
            </w:r>
            <w:r>
              <w:rPr>
                <w:rFonts w:cs="Times New Roman"/>
                <w:sz w:val="20"/>
                <w:szCs w:val="20"/>
                <w:vertAlign w:val="superscript"/>
              </w:rPr>
              <w:t>c</w:t>
            </w:r>
          </w:p>
        </w:tc>
      </w:tr>
      <w:tr w:rsidR="00E94D45">
        <w:tc>
          <w:tcPr>
            <w:tcW w:w="964" w:type="pct"/>
            <w:vAlign w:val="center"/>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T2 (4%)</w:t>
            </w:r>
          </w:p>
        </w:tc>
        <w:tc>
          <w:tcPr>
            <w:tcW w:w="1321" w:type="pct"/>
            <w:noWrap/>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5.45±0.005</w:t>
            </w:r>
            <w:r>
              <w:rPr>
                <w:rFonts w:eastAsia="Times New Roman" w:cs="Times New Roman"/>
                <w:kern w:val="0"/>
                <w:sz w:val="20"/>
                <w:szCs w:val="20"/>
                <w:vertAlign w:val="superscript"/>
                <w:lang w:eastAsia="en-IN"/>
                <w14:ligatures w14:val="none"/>
              </w:rPr>
              <w:t>c</w:t>
            </w:r>
          </w:p>
        </w:tc>
        <w:tc>
          <w:tcPr>
            <w:tcW w:w="1372"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1.25±0.011</w:t>
            </w:r>
            <w:r>
              <w:rPr>
                <w:rFonts w:cs="Times New Roman"/>
                <w:sz w:val="20"/>
                <w:szCs w:val="20"/>
                <w:vertAlign w:val="superscript"/>
              </w:rPr>
              <w:t>a</w:t>
            </w:r>
          </w:p>
        </w:tc>
        <w:tc>
          <w:tcPr>
            <w:tcW w:w="1343"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35.09±0.02</w:t>
            </w:r>
            <w:r>
              <w:rPr>
                <w:rFonts w:cs="Times New Roman"/>
                <w:sz w:val="20"/>
                <w:szCs w:val="20"/>
                <w:vertAlign w:val="superscript"/>
              </w:rPr>
              <w:t>b</w:t>
            </w:r>
          </w:p>
        </w:tc>
      </w:tr>
      <w:tr w:rsidR="00E94D45">
        <w:tc>
          <w:tcPr>
            <w:tcW w:w="964" w:type="pct"/>
            <w:vAlign w:val="center"/>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T3 (6%)</w:t>
            </w:r>
          </w:p>
        </w:tc>
        <w:tc>
          <w:tcPr>
            <w:tcW w:w="1321" w:type="pct"/>
            <w:noWrap/>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7.56±0.006</w:t>
            </w:r>
            <w:r>
              <w:rPr>
                <w:rFonts w:eastAsia="Times New Roman" w:cs="Times New Roman"/>
                <w:kern w:val="0"/>
                <w:sz w:val="20"/>
                <w:szCs w:val="20"/>
                <w:vertAlign w:val="superscript"/>
                <w:lang w:eastAsia="en-IN"/>
                <w14:ligatures w14:val="none"/>
              </w:rPr>
              <w:t>e</w:t>
            </w:r>
          </w:p>
        </w:tc>
        <w:tc>
          <w:tcPr>
            <w:tcW w:w="1372"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1.78±0.014</w:t>
            </w:r>
            <w:r>
              <w:rPr>
                <w:rFonts w:cs="Times New Roman"/>
                <w:sz w:val="20"/>
                <w:szCs w:val="20"/>
                <w:vertAlign w:val="superscript"/>
              </w:rPr>
              <w:t>d</w:t>
            </w:r>
          </w:p>
        </w:tc>
        <w:tc>
          <w:tcPr>
            <w:tcW w:w="1343"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43.20±0.012</w:t>
            </w:r>
            <w:r>
              <w:rPr>
                <w:rFonts w:cs="Times New Roman"/>
                <w:sz w:val="20"/>
                <w:szCs w:val="20"/>
                <w:vertAlign w:val="superscript"/>
              </w:rPr>
              <w:t>e</w:t>
            </w:r>
          </w:p>
        </w:tc>
      </w:tr>
      <w:tr w:rsidR="00E94D45">
        <w:tc>
          <w:tcPr>
            <w:tcW w:w="964" w:type="pct"/>
            <w:vAlign w:val="center"/>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T4 (8%)</w:t>
            </w:r>
          </w:p>
        </w:tc>
        <w:tc>
          <w:tcPr>
            <w:tcW w:w="1321" w:type="pct"/>
            <w:noWrap/>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6.59±0.06</w:t>
            </w:r>
            <w:r>
              <w:rPr>
                <w:rFonts w:eastAsia="Times New Roman" w:cs="Times New Roman"/>
                <w:kern w:val="0"/>
                <w:sz w:val="20"/>
                <w:szCs w:val="20"/>
                <w:vertAlign w:val="superscript"/>
                <w:lang w:eastAsia="en-IN"/>
                <w14:ligatures w14:val="none"/>
              </w:rPr>
              <w:t>d</w:t>
            </w:r>
          </w:p>
        </w:tc>
        <w:tc>
          <w:tcPr>
            <w:tcW w:w="1372"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1.87±0.008</w:t>
            </w:r>
            <w:r>
              <w:rPr>
                <w:rFonts w:cs="Times New Roman"/>
                <w:sz w:val="20"/>
                <w:szCs w:val="20"/>
                <w:vertAlign w:val="superscript"/>
              </w:rPr>
              <w:t>e</w:t>
            </w:r>
          </w:p>
        </w:tc>
        <w:tc>
          <w:tcPr>
            <w:tcW w:w="1343"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40.35±0.057</w:t>
            </w:r>
            <w:r>
              <w:rPr>
                <w:rFonts w:cs="Times New Roman"/>
                <w:sz w:val="20"/>
                <w:szCs w:val="20"/>
                <w:vertAlign w:val="superscript"/>
              </w:rPr>
              <w:t>d</w:t>
            </w:r>
          </w:p>
        </w:tc>
      </w:tr>
      <w:tr w:rsidR="00E94D45">
        <w:tc>
          <w:tcPr>
            <w:tcW w:w="964" w:type="pct"/>
            <w:vAlign w:val="center"/>
          </w:tcPr>
          <w:p w:rsidR="00E94D45" w:rsidRDefault="005572AF">
            <w:pPr>
              <w:spacing w:after="0" w:line="276" w:lineRule="auto"/>
              <w:ind w:left="-113" w:right="-113"/>
              <w:jc w:val="center"/>
              <w:rPr>
                <w:rFonts w:eastAsia="Times New Roman" w:cs="Times New Roman"/>
                <w:b/>
                <w:bCs/>
                <w:kern w:val="0"/>
                <w:sz w:val="20"/>
                <w:szCs w:val="20"/>
                <w:lang w:eastAsia="en-IN"/>
                <w14:ligatures w14:val="none"/>
              </w:rPr>
            </w:pPr>
            <w:r>
              <w:rPr>
                <w:rFonts w:cs="Times New Roman"/>
                <w:b/>
                <w:bCs/>
                <w:sz w:val="20"/>
                <w:szCs w:val="20"/>
              </w:rPr>
              <w:t>T5 (10%)</w:t>
            </w:r>
          </w:p>
        </w:tc>
        <w:tc>
          <w:tcPr>
            <w:tcW w:w="1321" w:type="pct"/>
            <w:noWrap/>
            <w:hideMark/>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eastAsia="Times New Roman" w:cs="Times New Roman"/>
                <w:kern w:val="0"/>
                <w:sz w:val="20"/>
                <w:szCs w:val="20"/>
                <w:lang w:eastAsia="en-IN"/>
                <w14:ligatures w14:val="none"/>
              </w:rPr>
              <w:t>7.97±0.07</w:t>
            </w:r>
            <w:r>
              <w:rPr>
                <w:rFonts w:eastAsia="Times New Roman" w:cs="Times New Roman"/>
                <w:kern w:val="0"/>
                <w:sz w:val="20"/>
                <w:szCs w:val="20"/>
                <w:vertAlign w:val="superscript"/>
                <w:lang w:eastAsia="en-IN"/>
                <w14:ligatures w14:val="none"/>
              </w:rPr>
              <w:t>f</w:t>
            </w:r>
          </w:p>
        </w:tc>
        <w:tc>
          <w:tcPr>
            <w:tcW w:w="1372"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2.00±0.012</w:t>
            </w:r>
            <w:r>
              <w:rPr>
                <w:rFonts w:cs="Times New Roman"/>
                <w:sz w:val="20"/>
                <w:szCs w:val="20"/>
                <w:vertAlign w:val="superscript"/>
              </w:rPr>
              <w:t>f</w:t>
            </w:r>
          </w:p>
        </w:tc>
        <w:tc>
          <w:tcPr>
            <w:tcW w:w="1343" w:type="pct"/>
          </w:tcPr>
          <w:p w:rsidR="00E94D45" w:rsidRDefault="005572AF">
            <w:pPr>
              <w:spacing w:after="0" w:line="276" w:lineRule="auto"/>
              <w:ind w:left="-113" w:right="-113"/>
              <w:jc w:val="center"/>
              <w:rPr>
                <w:rFonts w:eastAsia="Times New Roman" w:cs="Times New Roman"/>
                <w:kern w:val="0"/>
                <w:sz w:val="20"/>
                <w:szCs w:val="20"/>
                <w:lang w:eastAsia="en-IN"/>
                <w14:ligatures w14:val="none"/>
              </w:rPr>
            </w:pPr>
            <w:r>
              <w:rPr>
                <w:rFonts w:cs="Times New Roman"/>
                <w:sz w:val="20"/>
                <w:szCs w:val="20"/>
              </w:rPr>
              <w:t>47.99±0.047</w:t>
            </w:r>
            <w:r>
              <w:rPr>
                <w:rFonts w:cs="Times New Roman"/>
                <w:sz w:val="20"/>
                <w:szCs w:val="20"/>
                <w:vertAlign w:val="superscript"/>
              </w:rPr>
              <w:t>f</w:t>
            </w:r>
          </w:p>
        </w:tc>
      </w:tr>
      <w:tr w:rsidR="00E94D45">
        <w:tc>
          <w:tcPr>
            <w:tcW w:w="5000" w:type="pct"/>
            <w:gridSpan w:val="4"/>
            <w:vAlign w:val="center"/>
          </w:tcPr>
          <w:p w:rsidR="00E94D45" w:rsidRDefault="005572AF">
            <w:pPr>
              <w:spacing w:after="0" w:line="276" w:lineRule="auto"/>
              <w:ind w:left="29"/>
              <w:jc w:val="left"/>
              <w:rPr>
                <w:rFonts w:cs="Times New Roman"/>
                <w:sz w:val="18"/>
                <w:szCs w:val="18"/>
              </w:rPr>
            </w:pPr>
            <w:r>
              <w:rPr>
                <w:rFonts w:cs="Times New Roman"/>
                <w:b/>
                <w:bCs/>
                <w:sz w:val="18"/>
                <w:szCs w:val="18"/>
              </w:rPr>
              <w:t>Units:</w:t>
            </w:r>
            <w:r>
              <w:rPr>
                <w:rFonts w:cs="Times New Roman"/>
                <w:sz w:val="18"/>
                <w:szCs w:val="18"/>
              </w:rPr>
              <w:t xml:space="preserve"> Expressed as nanograms per gram wet tissue weight (ng/g).</w:t>
            </w:r>
          </w:p>
          <w:p w:rsidR="00E94D45" w:rsidRDefault="005572AF">
            <w:pPr>
              <w:spacing w:after="0" w:line="276" w:lineRule="auto"/>
              <w:ind w:left="29"/>
              <w:jc w:val="left"/>
              <w:rPr>
                <w:sz w:val="18"/>
                <w:szCs w:val="16"/>
              </w:rPr>
            </w:pPr>
            <w:r>
              <w:rPr>
                <w:rFonts w:eastAsia="Times New Roman" w:cs="Times New Roman"/>
                <w:b/>
                <w:bCs/>
                <w:kern w:val="0"/>
                <w:sz w:val="18"/>
                <w:szCs w:val="18"/>
                <w:lang w:eastAsia="en-IN"/>
                <w14:ligatures w14:val="none"/>
              </w:rPr>
              <w:t>Sample size:</w:t>
            </w:r>
            <w:r>
              <w:rPr>
                <w:rFonts w:eastAsia="Times New Roman" w:cs="Times New Roman"/>
                <w:kern w:val="0"/>
                <w:sz w:val="18"/>
                <w:szCs w:val="18"/>
                <w:lang w:eastAsia="en-IN"/>
                <w14:ligatures w14:val="none"/>
              </w:rPr>
              <w:t xml:space="preserve"> n = 5/Treatment</w:t>
            </w:r>
          </w:p>
          <w:p w:rsidR="00E94D45" w:rsidRDefault="005572AF">
            <w:pPr>
              <w:spacing w:after="0" w:line="276" w:lineRule="auto"/>
              <w:ind w:left="29"/>
              <w:jc w:val="left"/>
              <w:rPr>
                <w:rFonts w:cs="Times New Roman"/>
                <w:sz w:val="20"/>
                <w:szCs w:val="20"/>
              </w:rPr>
            </w:pPr>
            <w:r>
              <w:rPr>
                <w:rFonts w:cs="Times New Roman"/>
                <w:b/>
                <w:bCs/>
                <w:sz w:val="18"/>
                <w:szCs w:val="18"/>
              </w:rPr>
              <w:t>Statistical analysis:</w:t>
            </w:r>
            <w:r>
              <w:rPr>
                <w:rFonts w:cs="Times New Roman"/>
                <w:sz w:val="18"/>
                <w:szCs w:val="18"/>
              </w:rPr>
              <w:t xml:space="preserve"> Values are mean ± standard error (SE). Within each column, means with different superscript letters (a-f) differ significantly (p&lt;0.05; one‑way AN</w:t>
            </w:r>
            <w:r>
              <w:rPr>
                <w:rFonts w:cs="Times New Roman"/>
                <w:sz w:val="18"/>
                <w:szCs w:val="18"/>
              </w:rPr>
              <w:t>OVA followed by Tukey’s test).</w:t>
            </w:r>
          </w:p>
        </w:tc>
      </w:tr>
    </w:tbl>
    <w:p w:rsidR="00E94D45" w:rsidRDefault="005572AF">
      <w:pPr>
        <w:pStyle w:val="ListParagraph"/>
        <w:numPr>
          <w:ilvl w:val="1"/>
          <w:numId w:val="22"/>
        </w:numPr>
        <w:spacing w:before="240" w:line="276" w:lineRule="auto"/>
        <w:rPr>
          <w:rFonts w:cs="Times New Roman"/>
          <w:sz w:val="20"/>
          <w:szCs w:val="20"/>
        </w:rPr>
      </w:pPr>
      <w:r>
        <w:rPr>
          <w:rFonts w:cs="Times New Roman"/>
          <w:sz w:val="20"/>
          <w:szCs w:val="20"/>
        </w:rPr>
        <w:t>Carotenoids analysis in the muscle</w:t>
      </w:r>
    </w:p>
    <w:p w:rsidR="00E94D45" w:rsidRDefault="005572AF">
      <w:pPr>
        <w:spacing w:line="276" w:lineRule="auto"/>
        <w:rPr>
          <w:rFonts w:cs="Times New Roman"/>
          <w:sz w:val="20"/>
          <w:szCs w:val="20"/>
        </w:rPr>
      </w:pPr>
      <w:r>
        <w:rPr>
          <w:rFonts w:cs="Times New Roman"/>
          <w:sz w:val="20"/>
          <w:szCs w:val="20"/>
        </w:rPr>
        <w:t>Carotenoids in blue gourami muscle were analyzed and the results showed that adding more spirulina to their diet significantly increased (p&lt;0.05) the number</w:t>
      </w:r>
      <w:r>
        <w:rPr>
          <w:rFonts w:cs="Times New Roman"/>
          <w:sz w:val="20"/>
          <w:szCs w:val="20"/>
        </w:rPr>
        <w:t xml:space="preserve"> of carotenoids in the muscle. Spirulina concentration and astaxanthin accumulation in muscle tissue have a strong positive connection (p&lt;0.05), with astaxanthin levels rising significantly over treatments (Table 16), peaking at 5.01±0.008 ng/g in T5. Asta</w:t>
      </w:r>
      <w:r>
        <w:rPr>
          <w:rFonts w:cs="Times New Roman"/>
          <w:sz w:val="20"/>
          <w:szCs w:val="20"/>
        </w:rPr>
        <w:t xml:space="preserve">xanthin levels were lowest in T0 at 2.12±0.012 ng/g. Similar trends were observed for canthaxanthin, which peaked at 0.8±0.008 ng/g in T0 and increased to 1.6±0.015 ng/g in T5. Intermediate values of 1.56±0.018 ng/g and 1.43±0.014 ng/g, respectively, were </w:t>
      </w:r>
      <w:r>
        <w:rPr>
          <w:rFonts w:cs="Times New Roman"/>
          <w:sz w:val="20"/>
          <w:szCs w:val="20"/>
        </w:rPr>
        <w:t>seen in T3 and T4 (p&lt;0.05). Significant increases were also observed in β-carotene, the most abundant carotenoid tested, which increased from 24±0.067 ng/g in T0 to 35±0.057 ng/g in T5. Table 16 also showed significant levels for T3 and T4, with T3 measuri</w:t>
      </w:r>
      <w:r>
        <w:rPr>
          <w:rFonts w:cs="Times New Roman"/>
          <w:sz w:val="20"/>
          <w:szCs w:val="20"/>
        </w:rPr>
        <w:t>ng 32.98±0.006 ng/g and T4 measuring 33.66±0.068 ng/g. These results showed a constant increase in β-Carotene as spirulina levels rose (p&lt;0.05).</w:t>
      </w:r>
    </w:p>
    <w:p w:rsidR="00E94D45" w:rsidRDefault="005572AF">
      <w:pPr>
        <w:pStyle w:val="Caption"/>
        <w:keepNext/>
        <w:ind w:left="851" w:hanging="851"/>
        <w:rPr>
          <w:b/>
          <w:bCs/>
          <w:i w:val="0"/>
          <w:iCs w:val="0"/>
          <w:color w:val="auto"/>
          <w:sz w:val="20"/>
          <w:szCs w:val="20"/>
          <w:lang w:val="en-IN"/>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noProof/>
          <w:color w:val="auto"/>
          <w:sz w:val="20"/>
          <w:szCs w:val="20"/>
        </w:rPr>
        <w:t>16</w:t>
      </w:r>
      <w:r>
        <w:rPr>
          <w:b/>
          <w:bCs/>
          <w:i w:val="0"/>
          <w:iCs w:val="0"/>
          <w:color w:val="auto"/>
          <w:sz w:val="20"/>
          <w:szCs w:val="20"/>
        </w:rPr>
        <w:fldChar w:fldCharType="end"/>
      </w:r>
      <w:r>
        <w:rPr>
          <w:b/>
          <w:bCs/>
          <w:i w:val="0"/>
          <w:iCs w:val="0"/>
          <w:color w:val="auto"/>
          <w:sz w:val="20"/>
          <w:szCs w:val="20"/>
          <w:lang w:val="en-IN"/>
        </w:rPr>
        <w:t xml:space="preserve"> Carotenoids analysis in the muscle of blue gourami, </w:t>
      </w:r>
      <w:r>
        <w:rPr>
          <w:b/>
          <w:bCs/>
          <w:color w:val="auto"/>
          <w:sz w:val="20"/>
          <w:szCs w:val="20"/>
          <w:lang w:val="en-IN"/>
        </w:rPr>
        <w:t>Trichogaster trichopterus</w:t>
      </w:r>
      <w:r>
        <w:rPr>
          <w:b/>
          <w:bCs/>
          <w:i w:val="0"/>
          <w:iCs w:val="0"/>
          <w:color w:val="auto"/>
          <w:sz w:val="20"/>
          <w:szCs w:val="20"/>
          <w:lang w:val="en-IN"/>
        </w:rPr>
        <w:t xml:space="preserve">, fed with different levels of </w:t>
      </w:r>
      <w:r>
        <w:rPr>
          <w:b/>
          <w:bCs/>
          <w:color w:val="auto"/>
          <w:sz w:val="20"/>
          <w:szCs w:val="20"/>
          <w:lang w:val="en-IN"/>
        </w:rPr>
        <w:t>spirulina platensis</w:t>
      </w:r>
      <w:r>
        <w:rPr>
          <w:b/>
          <w:bCs/>
          <w:i w:val="0"/>
          <w:iCs w:val="0"/>
          <w:color w:val="auto"/>
          <w:sz w:val="20"/>
          <w:szCs w:val="20"/>
          <w:lang w:val="en-IN"/>
        </w:rPr>
        <w:t>.</w:t>
      </w:r>
    </w:p>
    <w:tbl>
      <w:tblPr>
        <w:tblStyle w:val="TableGrid"/>
        <w:tblW w:w="5000" w:type="pct"/>
        <w:tblLook w:val="04A0" w:firstRow="1" w:lastRow="0" w:firstColumn="1" w:lastColumn="0" w:noHBand="0" w:noVBand="1"/>
      </w:tblPr>
      <w:tblGrid>
        <w:gridCol w:w="1980"/>
        <w:gridCol w:w="2268"/>
        <w:gridCol w:w="2411"/>
        <w:gridCol w:w="2357"/>
      </w:tblGrid>
      <w:tr w:rsidR="00E94D45">
        <w:tc>
          <w:tcPr>
            <w:tcW w:w="1098" w:type="pct"/>
            <w:vAlign w:val="center"/>
          </w:tcPr>
          <w:p w:rsidR="00E94D45" w:rsidRDefault="005572AF">
            <w:pPr>
              <w:spacing w:after="0" w:line="276" w:lineRule="auto"/>
              <w:ind w:left="-113" w:right="-113"/>
              <w:jc w:val="center"/>
              <w:rPr>
                <w:b/>
                <w:bCs/>
                <w:sz w:val="20"/>
                <w:szCs w:val="18"/>
              </w:rPr>
            </w:pPr>
            <w:r>
              <w:rPr>
                <w:b/>
                <w:bCs/>
                <w:sz w:val="20"/>
                <w:szCs w:val="18"/>
              </w:rPr>
              <w:t>Treatments (Muscle)</w:t>
            </w:r>
          </w:p>
        </w:tc>
        <w:tc>
          <w:tcPr>
            <w:tcW w:w="1258" w:type="pct"/>
            <w:vAlign w:val="center"/>
          </w:tcPr>
          <w:p w:rsidR="00E94D45" w:rsidRDefault="005572AF">
            <w:pPr>
              <w:spacing w:after="0" w:line="276" w:lineRule="auto"/>
              <w:ind w:left="-113" w:right="-113"/>
              <w:jc w:val="center"/>
              <w:rPr>
                <w:b/>
                <w:bCs/>
                <w:sz w:val="20"/>
                <w:szCs w:val="18"/>
              </w:rPr>
            </w:pPr>
            <w:r>
              <w:rPr>
                <w:b/>
                <w:bCs/>
                <w:sz w:val="20"/>
                <w:szCs w:val="18"/>
              </w:rPr>
              <w:t>Astaxanthin (ng/g)</w:t>
            </w:r>
          </w:p>
        </w:tc>
        <w:tc>
          <w:tcPr>
            <w:tcW w:w="1337" w:type="pct"/>
            <w:vAlign w:val="center"/>
          </w:tcPr>
          <w:p w:rsidR="00E94D45" w:rsidRDefault="005572AF">
            <w:pPr>
              <w:spacing w:after="0" w:line="276" w:lineRule="auto"/>
              <w:ind w:left="-113" w:right="-113"/>
              <w:jc w:val="center"/>
              <w:rPr>
                <w:b/>
                <w:bCs/>
                <w:sz w:val="20"/>
                <w:szCs w:val="18"/>
              </w:rPr>
            </w:pPr>
            <w:r>
              <w:rPr>
                <w:b/>
                <w:bCs/>
                <w:sz w:val="20"/>
                <w:szCs w:val="18"/>
              </w:rPr>
              <w:t>Canthaxanthin (ng/g)</w:t>
            </w:r>
          </w:p>
        </w:tc>
        <w:tc>
          <w:tcPr>
            <w:tcW w:w="1307" w:type="pct"/>
            <w:vAlign w:val="center"/>
          </w:tcPr>
          <w:p w:rsidR="00E94D45" w:rsidRDefault="005572AF">
            <w:pPr>
              <w:spacing w:after="0" w:line="276" w:lineRule="auto"/>
              <w:ind w:left="-113" w:right="-113"/>
              <w:jc w:val="center"/>
              <w:rPr>
                <w:b/>
                <w:bCs/>
                <w:sz w:val="20"/>
                <w:szCs w:val="18"/>
              </w:rPr>
            </w:pPr>
            <w:r>
              <w:rPr>
                <w:b/>
                <w:bCs/>
                <w:sz w:val="20"/>
                <w:szCs w:val="18"/>
              </w:rPr>
              <w:t>β-Carotene (ng/g)</w:t>
            </w:r>
          </w:p>
        </w:tc>
      </w:tr>
      <w:tr w:rsidR="00E94D45">
        <w:tc>
          <w:tcPr>
            <w:tcW w:w="1098" w:type="pct"/>
            <w:vAlign w:val="center"/>
          </w:tcPr>
          <w:p w:rsidR="00E94D45" w:rsidRDefault="005572AF">
            <w:pPr>
              <w:spacing w:after="0" w:line="276" w:lineRule="auto"/>
              <w:ind w:left="-113" w:right="-113"/>
              <w:jc w:val="center"/>
              <w:rPr>
                <w:b/>
                <w:bCs/>
                <w:sz w:val="20"/>
                <w:szCs w:val="18"/>
              </w:rPr>
            </w:pPr>
            <w:r>
              <w:rPr>
                <w:rFonts w:cs="Times New Roman"/>
                <w:b/>
                <w:bCs/>
                <w:sz w:val="20"/>
                <w:szCs w:val="20"/>
              </w:rPr>
              <w:t>T0 (0% Spirulina)</w:t>
            </w:r>
          </w:p>
        </w:tc>
        <w:tc>
          <w:tcPr>
            <w:tcW w:w="1258" w:type="pct"/>
            <w:vAlign w:val="center"/>
          </w:tcPr>
          <w:p w:rsidR="00E94D45" w:rsidRDefault="005572AF">
            <w:pPr>
              <w:spacing w:after="0" w:line="276" w:lineRule="auto"/>
              <w:ind w:left="-113" w:right="-113"/>
              <w:jc w:val="center"/>
              <w:rPr>
                <w:sz w:val="20"/>
                <w:szCs w:val="18"/>
              </w:rPr>
            </w:pPr>
            <w:r>
              <w:rPr>
                <w:sz w:val="20"/>
                <w:szCs w:val="18"/>
              </w:rPr>
              <w:t>2.12±0.012</w:t>
            </w:r>
            <w:r>
              <w:rPr>
                <w:sz w:val="20"/>
                <w:szCs w:val="18"/>
                <w:vertAlign w:val="superscript"/>
              </w:rPr>
              <w:t>a</w:t>
            </w:r>
          </w:p>
        </w:tc>
        <w:tc>
          <w:tcPr>
            <w:tcW w:w="1337" w:type="pct"/>
            <w:vAlign w:val="center"/>
          </w:tcPr>
          <w:p w:rsidR="00E94D45" w:rsidRDefault="005572AF">
            <w:pPr>
              <w:spacing w:after="0" w:line="276" w:lineRule="auto"/>
              <w:ind w:left="-113" w:right="-113"/>
              <w:jc w:val="center"/>
              <w:rPr>
                <w:sz w:val="20"/>
                <w:szCs w:val="18"/>
              </w:rPr>
            </w:pPr>
            <w:r>
              <w:rPr>
                <w:sz w:val="20"/>
                <w:szCs w:val="18"/>
              </w:rPr>
              <w:t>0.80±0.008</w:t>
            </w:r>
            <w:r>
              <w:rPr>
                <w:sz w:val="20"/>
                <w:szCs w:val="18"/>
                <w:vertAlign w:val="superscript"/>
              </w:rPr>
              <w:t>a</w:t>
            </w:r>
          </w:p>
        </w:tc>
        <w:tc>
          <w:tcPr>
            <w:tcW w:w="1307" w:type="pct"/>
            <w:vAlign w:val="center"/>
          </w:tcPr>
          <w:p w:rsidR="00E94D45" w:rsidRDefault="005572AF">
            <w:pPr>
              <w:spacing w:after="0" w:line="276" w:lineRule="auto"/>
              <w:ind w:left="-113" w:right="-113"/>
              <w:jc w:val="center"/>
              <w:rPr>
                <w:sz w:val="20"/>
                <w:szCs w:val="18"/>
              </w:rPr>
            </w:pPr>
            <w:r>
              <w:rPr>
                <w:sz w:val="20"/>
                <w:szCs w:val="18"/>
              </w:rPr>
              <w:t>24.0±0.067</w:t>
            </w:r>
            <w:r>
              <w:rPr>
                <w:sz w:val="20"/>
                <w:szCs w:val="18"/>
                <w:vertAlign w:val="superscript"/>
              </w:rPr>
              <w:t>a</w:t>
            </w:r>
          </w:p>
        </w:tc>
      </w:tr>
      <w:tr w:rsidR="00E94D45">
        <w:tc>
          <w:tcPr>
            <w:tcW w:w="1098" w:type="pct"/>
            <w:vAlign w:val="center"/>
          </w:tcPr>
          <w:p w:rsidR="00E94D45" w:rsidRDefault="005572AF">
            <w:pPr>
              <w:spacing w:after="0" w:line="276" w:lineRule="auto"/>
              <w:ind w:left="-113" w:right="-113"/>
              <w:jc w:val="center"/>
              <w:rPr>
                <w:b/>
                <w:bCs/>
                <w:sz w:val="20"/>
                <w:szCs w:val="18"/>
              </w:rPr>
            </w:pPr>
            <w:r>
              <w:rPr>
                <w:rFonts w:cs="Times New Roman"/>
                <w:b/>
                <w:bCs/>
                <w:sz w:val="20"/>
                <w:szCs w:val="20"/>
              </w:rPr>
              <w:t>T1 (2%)</w:t>
            </w:r>
          </w:p>
        </w:tc>
        <w:tc>
          <w:tcPr>
            <w:tcW w:w="1258" w:type="pct"/>
            <w:vAlign w:val="center"/>
          </w:tcPr>
          <w:p w:rsidR="00E94D45" w:rsidRDefault="005572AF">
            <w:pPr>
              <w:spacing w:after="0" w:line="276" w:lineRule="auto"/>
              <w:ind w:left="-113" w:right="-113"/>
              <w:jc w:val="center"/>
              <w:rPr>
                <w:sz w:val="20"/>
                <w:szCs w:val="18"/>
              </w:rPr>
            </w:pPr>
            <w:r>
              <w:rPr>
                <w:sz w:val="20"/>
                <w:szCs w:val="18"/>
              </w:rPr>
              <w:t>2.84±0.007</w:t>
            </w:r>
            <w:r>
              <w:rPr>
                <w:sz w:val="20"/>
                <w:szCs w:val="18"/>
                <w:vertAlign w:val="superscript"/>
              </w:rPr>
              <w:t>c</w:t>
            </w:r>
          </w:p>
        </w:tc>
        <w:tc>
          <w:tcPr>
            <w:tcW w:w="1337" w:type="pct"/>
            <w:vAlign w:val="center"/>
          </w:tcPr>
          <w:p w:rsidR="00E94D45" w:rsidRDefault="005572AF">
            <w:pPr>
              <w:spacing w:after="0" w:line="276" w:lineRule="auto"/>
              <w:ind w:left="-113" w:right="-113"/>
              <w:jc w:val="center"/>
              <w:rPr>
                <w:sz w:val="20"/>
                <w:szCs w:val="18"/>
              </w:rPr>
            </w:pPr>
            <w:r>
              <w:rPr>
                <w:sz w:val="20"/>
                <w:szCs w:val="18"/>
              </w:rPr>
              <w:t>1.20±0.011</w:t>
            </w:r>
            <w:r>
              <w:rPr>
                <w:sz w:val="20"/>
                <w:szCs w:val="18"/>
                <w:vertAlign w:val="superscript"/>
              </w:rPr>
              <w:t>b</w:t>
            </w:r>
          </w:p>
        </w:tc>
        <w:tc>
          <w:tcPr>
            <w:tcW w:w="1307" w:type="pct"/>
            <w:vAlign w:val="center"/>
          </w:tcPr>
          <w:p w:rsidR="00E94D45" w:rsidRDefault="005572AF">
            <w:pPr>
              <w:spacing w:after="0" w:line="276" w:lineRule="auto"/>
              <w:ind w:left="-113" w:right="-113"/>
              <w:jc w:val="center"/>
              <w:rPr>
                <w:sz w:val="20"/>
                <w:szCs w:val="18"/>
              </w:rPr>
            </w:pPr>
            <w:r>
              <w:rPr>
                <w:sz w:val="20"/>
                <w:szCs w:val="18"/>
              </w:rPr>
              <w:t>29.60±0.047</w:t>
            </w:r>
            <w:r>
              <w:rPr>
                <w:sz w:val="20"/>
                <w:szCs w:val="18"/>
                <w:vertAlign w:val="superscript"/>
              </w:rPr>
              <w:t>c</w:t>
            </w:r>
          </w:p>
        </w:tc>
      </w:tr>
      <w:tr w:rsidR="00E94D45">
        <w:tc>
          <w:tcPr>
            <w:tcW w:w="1098" w:type="pct"/>
            <w:vAlign w:val="center"/>
          </w:tcPr>
          <w:p w:rsidR="00E94D45" w:rsidRDefault="005572AF">
            <w:pPr>
              <w:spacing w:after="0" w:line="276" w:lineRule="auto"/>
              <w:ind w:left="-113" w:right="-113"/>
              <w:jc w:val="center"/>
              <w:rPr>
                <w:b/>
                <w:bCs/>
                <w:sz w:val="20"/>
                <w:szCs w:val="18"/>
              </w:rPr>
            </w:pPr>
            <w:r>
              <w:rPr>
                <w:rFonts w:cs="Times New Roman"/>
                <w:b/>
                <w:bCs/>
                <w:sz w:val="20"/>
                <w:szCs w:val="20"/>
              </w:rPr>
              <w:t>T2 (4%)</w:t>
            </w:r>
          </w:p>
        </w:tc>
        <w:tc>
          <w:tcPr>
            <w:tcW w:w="1258" w:type="pct"/>
            <w:vAlign w:val="center"/>
          </w:tcPr>
          <w:p w:rsidR="00E94D45" w:rsidRDefault="005572AF">
            <w:pPr>
              <w:spacing w:after="0" w:line="276" w:lineRule="auto"/>
              <w:ind w:left="-113" w:right="-113"/>
              <w:jc w:val="center"/>
              <w:rPr>
                <w:sz w:val="20"/>
                <w:szCs w:val="18"/>
              </w:rPr>
            </w:pPr>
            <w:r>
              <w:rPr>
                <w:sz w:val="20"/>
                <w:szCs w:val="18"/>
              </w:rPr>
              <w:t>2.54±0.04</w:t>
            </w:r>
            <w:r>
              <w:rPr>
                <w:sz w:val="20"/>
                <w:szCs w:val="18"/>
                <w:vertAlign w:val="superscript"/>
              </w:rPr>
              <w:t>b</w:t>
            </w:r>
          </w:p>
        </w:tc>
        <w:tc>
          <w:tcPr>
            <w:tcW w:w="1337" w:type="pct"/>
            <w:vAlign w:val="center"/>
          </w:tcPr>
          <w:p w:rsidR="00E94D45" w:rsidRDefault="005572AF">
            <w:pPr>
              <w:spacing w:after="0" w:line="276" w:lineRule="auto"/>
              <w:ind w:left="-113" w:right="-113"/>
              <w:jc w:val="center"/>
              <w:rPr>
                <w:sz w:val="20"/>
                <w:szCs w:val="18"/>
              </w:rPr>
            </w:pPr>
            <w:r>
              <w:rPr>
                <w:sz w:val="20"/>
                <w:szCs w:val="18"/>
              </w:rPr>
              <w:t>1.35±0.07</w:t>
            </w:r>
            <w:r>
              <w:rPr>
                <w:sz w:val="20"/>
                <w:szCs w:val="18"/>
                <w:vertAlign w:val="superscript"/>
              </w:rPr>
              <w:t>c</w:t>
            </w:r>
          </w:p>
        </w:tc>
        <w:tc>
          <w:tcPr>
            <w:tcW w:w="1307" w:type="pct"/>
            <w:vAlign w:val="center"/>
          </w:tcPr>
          <w:p w:rsidR="00E94D45" w:rsidRDefault="005572AF">
            <w:pPr>
              <w:spacing w:after="0" w:line="276" w:lineRule="auto"/>
              <w:ind w:left="-113" w:right="-113"/>
              <w:jc w:val="center"/>
              <w:rPr>
                <w:sz w:val="20"/>
                <w:szCs w:val="18"/>
              </w:rPr>
            </w:pPr>
            <w:r>
              <w:rPr>
                <w:sz w:val="20"/>
                <w:szCs w:val="18"/>
              </w:rPr>
              <w:t>27.66±0.088</w:t>
            </w:r>
            <w:r>
              <w:rPr>
                <w:sz w:val="20"/>
                <w:szCs w:val="18"/>
                <w:vertAlign w:val="superscript"/>
              </w:rPr>
              <w:t>b</w:t>
            </w:r>
          </w:p>
        </w:tc>
      </w:tr>
      <w:tr w:rsidR="00E94D45">
        <w:tc>
          <w:tcPr>
            <w:tcW w:w="1098" w:type="pct"/>
            <w:vAlign w:val="center"/>
          </w:tcPr>
          <w:p w:rsidR="00E94D45" w:rsidRDefault="005572AF">
            <w:pPr>
              <w:spacing w:after="0" w:line="276" w:lineRule="auto"/>
              <w:ind w:left="-113" w:right="-113"/>
              <w:jc w:val="center"/>
              <w:rPr>
                <w:b/>
                <w:bCs/>
                <w:sz w:val="20"/>
                <w:szCs w:val="18"/>
              </w:rPr>
            </w:pPr>
            <w:r>
              <w:rPr>
                <w:rFonts w:cs="Times New Roman"/>
                <w:b/>
                <w:bCs/>
                <w:sz w:val="20"/>
                <w:szCs w:val="20"/>
              </w:rPr>
              <w:t>T3 (6%)</w:t>
            </w:r>
          </w:p>
        </w:tc>
        <w:tc>
          <w:tcPr>
            <w:tcW w:w="1258" w:type="pct"/>
            <w:vAlign w:val="center"/>
          </w:tcPr>
          <w:p w:rsidR="00E94D45" w:rsidRDefault="005572AF">
            <w:pPr>
              <w:spacing w:after="0" w:line="276" w:lineRule="auto"/>
              <w:ind w:left="-113" w:right="-113"/>
              <w:jc w:val="center"/>
              <w:rPr>
                <w:sz w:val="20"/>
                <w:szCs w:val="18"/>
              </w:rPr>
            </w:pPr>
            <w:r>
              <w:rPr>
                <w:sz w:val="20"/>
                <w:szCs w:val="18"/>
              </w:rPr>
              <w:t>3.34±0.006</w:t>
            </w:r>
            <w:r>
              <w:rPr>
                <w:sz w:val="20"/>
                <w:szCs w:val="18"/>
                <w:vertAlign w:val="superscript"/>
              </w:rPr>
              <w:t>d</w:t>
            </w:r>
          </w:p>
        </w:tc>
        <w:tc>
          <w:tcPr>
            <w:tcW w:w="1337" w:type="pct"/>
            <w:vAlign w:val="center"/>
          </w:tcPr>
          <w:p w:rsidR="00E94D45" w:rsidRDefault="005572AF">
            <w:pPr>
              <w:spacing w:after="0" w:line="276" w:lineRule="auto"/>
              <w:ind w:left="-113" w:right="-113"/>
              <w:jc w:val="center"/>
              <w:rPr>
                <w:sz w:val="20"/>
                <w:szCs w:val="18"/>
              </w:rPr>
            </w:pPr>
            <w:r>
              <w:rPr>
                <w:sz w:val="20"/>
                <w:szCs w:val="18"/>
              </w:rPr>
              <w:t>1.56±0.018</w:t>
            </w:r>
            <w:r>
              <w:rPr>
                <w:sz w:val="20"/>
                <w:szCs w:val="18"/>
                <w:vertAlign w:val="superscript"/>
              </w:rPr>
              <w:t>e</w:t>
            </w:r>
          </w:p>
        </w:tc>
        <w:tc>
          <w:tcPr>
            <w:tcW w:w="1307" w:type="pct"/>
            <w:vAlign w:val="center"/>
          </w:tcPr>
          <w:p w:rsidR="00E94D45" w:rsidRDefault="005572AF">
            <w:pPr>
              <w:spacing w:after="0" w:line="276" w:lineRule="auto"/>
              <w:ind w:left="-113" w:right="-113"/>
              <w:jc w:val="center"/>
              <w:rPr>
                <w:sz w:val="20"/>
                <w:szCs w:val="18"/>
              </w:rPr>
            </w:pPr>
            <w:r>
              <w:rPr>
                <w:sz w:val="20"/>
                <w:szCs w:val="18"/>
              </w:rPr>
              <w:t>32.98±0.006</w:t>
            </w:r>
            <w:r>
              <w:rPr>
                <w:sz w:val="20"/>
                <w:szCs w:val="18"/>
                <w:vertAlign w:val="superscript"/>
              </w:rPr>
              <w:t>d</w:t>
            </w:r>
          </w:p>
        </w:tc>
      </w:tr>
      <w:tr w:rsidR="00E94D45">
        <w:tc>
          <w:tcPr>
            <w:tcW w:w="1098" w:type="pct"/>
            <w:vAlign w:val="center"/>
          </w:tcPr>
          <w:p w:rsidR="00E94D45" w:rsidRDefault="005572AF">
            <w:pPr>
              <w:spacing w:after="0" w:line="276" w:lineRule="auto"/>
              <w:ind w:left="-113" w:right="-113"/>
              <w:jc w:val="center"/>
              <w:rPr>
                <w:b/>
                <w:bCs/>
                <w:sz w:val="20"/>
                <w:szCs w:val="18"/>
              </w:rPr>
            </w:pPr>
            <w:r>
              <w:rPr>
                <w:rFonts w:cs="Times New Roman"/>
                <w:b/>
                <w:bCs/>
                <w:sz w:val="20"/>
                <w:szCs w:val="20"/>
              </w:rPr>
              <w:t>T4 (8%)</w:t>
            </w:r>
          </w:p>
        </w:tc>
        <w:tc>
          <w:tcPr>
            <w:tcW w:w="1258" w:type="pct"/>
            <w:vAlign w:val="center"/>
          </w:tcPr>
          <w:p w:rsidR="00E94D45" w:rsidRDefault="005572AF">
            <w:pPr>
              <w:spacing w:after="0" w:line="276" w:lineRule="auto"/>
              <w:ind w:left="-113" w:right="-113"/>
              <w:jc w:val="center"/>
              <w:rPr>
                <w:sz w:val="20"/>
                <w:szCs w:val="18"/>
              </w:rPr>
            </w:pPr>
            <w:r>
              <w:rPr>
                <w:sz w:val="20"/>
                <w:szCs w:val="18"/>
              </w:rPr>
              <w:t>4.55±0.012</w:t>
            </w:r>
            <w:r>
              <w:rPr>
                <w:sz w:val="20"/>
                <w:szCs w:val="18"/>
                <w:vertAlign w:val="superscript"/>
              </w:rPr>
              <w:t>e</w:t>
            </w:r>
          </w:p>
        </w:tc>
        <w:tc>
          <w:tcPr>
            <w:tcW w:w="1337" w:type="pct"/>
            <w:vAlign w:val="center"/>
          </w:tcPr>
          <w:p w:rsidR="00E94D45" w:rsidRDefault="005572AF">
            <w:pPr>
              <w:spacing w:after="0" w:line="276" w:lineRule="auto"/>
              <w:ind w:left="-113" w:right="-113"/>
              <w:jc w:val="center"/>
              <w:rPr>
                <w:sz w:val="20"/>
                <w:szCs w:val="18"/>
              </w:rPr>
            </w:pPr>
            <w:r>
              <w:rPr>
                <w:sz w:val="20"/>
                <w:szCs w:val="18"/>
              </w:rPr>
              <w:t>1.43±0.014</w:t>
            </w:r>
            <w:r>
              <w:rPr>
                <w:sz w:val="20"/>
                <w:szCs w:val="18"/>
                <w:vertAlign w:val="superscript"/>
              </w:rPr>
              <w:t>d</w:t>
            </w:r>
          </w:p>
        </w:tc>
        <w:tc>
          <w:tcPr>
            <w:tcW w:w="1307" w:type="pct"/>
            <w:vAlign w:val="center"/>
          </w:tcPr>
          <w:p w:rsidR="00E94D45" w:rsidRDefault="005572AF">
            <w:pPr>
              <w:spacing w:after="0" w:line="276" w:lineRule="auto"/>
              <w:ind w:left="-113" w:right="-113"/>
              <w:jc w:val="center"/>
              <w:rPr>
                <w:sz w:val="20"/>
                <w:szCs w:val="18"/>
              </w:rPr>
            </w:pPr>
            <w:r>
              <w:rPr>
                <w:sz w:val="20"/>
                <w:szCs w:val="18"/>
              </w:rPr>
              <w:t>33.66±0.068</w:t>
            </w:r>
            <w:r>
              <w:rPr>
                <w:sz w:val="20"/>
                <w:szCs w:val="18"/>
                <w:vertAlign w:val="superscript"/>
              </w:rPr>
              <w:t>e</w:t>
            </w:r>
          </w:p>
        </w:tc>
      </w:tr>
      <w:tr w:rsidR="00E94D45">
        <w:tc>
          <w:tcPr>
            <w:tcW w:w="1098" w:type="pct"/>
            <w:vAlign w:val="center"/>
          </w:tcPr>
          <w:p w:rsidR="00E94D45" w:rsidRDefault="005572AF">
            <w:pPr>
              <w:spacing w:after="0" w:line="276" w:lineRule="auto"/>
              <w:ind w:left="-113" w:right="-113"/>
              <w:jc w:val="center"/>
              <w:rPr>
                <w:b/>
                <w:bCs/>
                <w:sz w:val="20"/>
                <w:szCs w:val="18"/>
              </w:rPr>
            </w:pPr>
            <w:r>
              <w:rPr>
                <w:rFonts w:cs="Times New Roman"/>
                <w:b/>
                <w:bCs/>
                <w:sz w:val="20"/>
                <w:szCs w:val="20"/>
              </w:rPr>
              <w:t>T5 (10%)</w:t>
            </w:r>
          </w:p>
        </w:tc>
        <w:tc>
          <w:tcPr>
            <w:tcW w:w="1258" w:type="pct"/>
            <w:vAlign w:val="center"/>
          </w:tcPr>
          <w:p w:rsidR="00E94D45" w:rsidRDefault="005572AF">
            <w:pPr>
              <w:spacing w:after="0" w:line="276" w:lineRule="auto"/>
              <w:ind w:left="-113" w:right="-113"/>
              <w:jc w:val="center"/>
              <w:rPr>
                <w:sz w:val="20"/>
                <w:szCs w:val="18"/>
              </w:rPr>
            </w:pPr>
            <w:r>
              <w:rPr>
                <w:sz w:val="20"/>
                <w:szCs w:val="18"/>
              </w:rPr>
              <w:t>5.01±0.008</w:t>
            </w:r>
            <w:r>
              <w:rPr>
                <w:sz w:val="20"/>
                <w:szCs w:val="18"/>
                <w:vertAlign w:val="superscript"/>
              </w:rPr>
              <w:t>f</w:t>
            </w:r>
          </w:p>
        </w:tc>
        <w:tc>
          <w:tcPr>
            <w:tcW w:w="1337" w:type="pct"/>
            <w:vAlign w:val="center"/>
          </w:tcPr>
          <w:p w:rsidR="00E94D45" w:rsidRDefault="005572AF">
            <w:pPr>
              <w:spacing w:after="0" w:line="276" w:lineRule="auto"/>
              <w:ind w:left="-113" w:right="-113"/>
              <w:jc w:val="center"/>
              <w:rPr>
                <w:sz w:val="20"/>
                <w:szCs w:val="18"/>
              </w:rPr>
            </w:pPr>
            <w:r>
              <w:rPr>
                <w:sz w:val="20"/>
                <w:szCs w:val="18"/>
              </w:rPr>
              <w:t>1.60±0.015</w:t>
            </w:r>
            <w:r>
              <w:rPr>
                <w:sz w:val="20"/>
                <w:szCs w:val="18"/>
                <w:vertAlign w:val="superscript"/>
              </w:rPr>
              <w:t>f</w:t>
            </w:r>
          </w:p>
        </w:tc>
        <w:tc>
          <w:tcPr>
            <w:tcW w:w="1307" w:type="pct"/>
            <w:vAlign w:val="center"/>
          </w:tcPr>
          <w:p w:rsidR="00E94D45" w:rsidRDefault="005572AF">
            <w:pPr>
              <w:spacing w:after="0" w:line="276" w:lineRule="auto"/>
              <w:ind w:left="-113" w:right="-113"/>
              <w:jc w:val="center"/>
              <w:rPr>
                <w:sz w:val="20"/>
                <w:szCs w:val="18"/>
              </w:rPr>
            </w:pPr>
            <w:r>
              <w:rPr>
                <w:sz w:val="20"/>
                <w:szCs w:val="18"/>
              </w:rPr>
              <w:t>35.0±0.057</w:t>
            </w:r>
            <w:r>
              <w:rPr>
                <w:sz w:val="20"/>
                <w:szCs w:val="18"/>
                <w:vertAlign w:val="superscript"/>
              </w:rPr>
              <w:t>f</w:t>
            </w:r>
          </w:p>
        </w:tc>
      </w:tr>
      <w:tr w:rsidR="00E94D45">
        <w:tc>
          <w:tcPr>
            <w:tcW w:w="5000" w:type="pct"/>
            <w:gridSpan w:val="4"/>
            <w:vAlign w:val="center"/>
          </w:tcPr>
          <w:p w:rsidR="00E94D45" w:rsidRDefault="005572AF">
            <w:pPr>
              <w:spacing w:after="0" w:line="276" w:lineRule="auto"/>
              <w:ind w:left="29"/>
              <w:jc w:val="left"/>
              <w:rPr>
                <w:sz w:val="18"/>
                <w:szCs w:val="16"/>
              </w:rPr>
            </w:pPr>
            <w:r>
              <w:rPr>
                <w:b/>
                <w:bCs/>
                <w:sz w:val="18"/>
                <w:szCs w:val="16"/>
              </w:rPr>
              <w:t>Units:</w:t>
            </w:r>
            <w:r>
              <w:rPr>
                <w:sz w:val="18"/>
                <w:szCs w:val="16"/>
              </w:rPr>
              <w:t xml:space="preserve"> Expressed as nanograms per gram wet tissue weight (ng/g).</w:t>
            </w:r>
          </w:p>
          <w:p w:rsidR="00E94D45" w:rsidRDefault="005572AF">
            <w:pPr>
              <w:spacing w:after="0" w:line="276" w:lineRule="auto"/>
              <w:ind w:left="29"/>
              <w:jc w:val="left"/>
              <w:rPr>
                <w:sz w:val="18"/>
                <w:szCs w:val="16"/>
              </w:rPr>
            </w:pPr>
            <w:r>
              <w:rPr>
                <w:rFonts w:eastAsia="Times New Roman" w:cs="Times New Roman"/>
                <w:b/>
                <w:bCs/>
                <w:kern w:val="0"/>
                <w:sz w:val="18"/>
                <w:szCs w:val="18"/>
                <w:lang w:eastAsia="en-IN"/>
                <w14:ligatures w14:val="none"/>
              </w:rPr>
              <w:t>Sample size:</w:t>
            </w:r>
            <w:r>
              <w:rPr>
                <w:rFonts w:eastAsia="Times New Roman" w:cs="Times New Roman"/>
                <w:kern w:val="0"/>
                <w:sz w:val="18"/>
                <w:szCs w:val="18"/>
                <w:lang w:eastAsia="en-IN"/>
                <w14:ligatures w14:val="none"/>
              </w:rPr>
              <w:t xml:space="preserve"> n = 5/Treatment</w:t>
            </w:r>
          </w:p>
          <w:p w:rsidR="00E94D45" w:rsidRDefault="005572AF">
            <w:pPr>
              <w:spacing w:after="0" w:line="276" w:lineRule="auto"/>
              <w:ind w:left="29"/>
              <w:jc w:val="left"/>
              <w:rPr>
                <w:sz w:val="20"/>
                <w:szCs w:val="18"/>
              </w:rPr>
            </w:pPr>
            <w:r>
              <w:rPr>
                <w:b/>
                <w:bCs/>
                <w:sz w:val="18"/>
                <w:szCs w:val="16"/>
              </w:rPr>
              <w:lastRenderedPageBreak/>
              <w:t>Statistical analysis:</w:t>
            </w:r>
            <w:r>
              <w:rPr>
                <w:sz w:val="18"/>
                <w:szCs w:val="16"/>
              </w:rPr>
              <w:t xml:space="preserve"> Values are mean ± standard error (SE). Within each column, means with different superscript letters (a-f) differ significantly (p&lt;0.05; one‑way ANOVA followed by Tukey’s test)</w:t>
            </w:r>
          </w:p>
        </w:tc>
      </w:tr>
    </w:tbl>
    <w:p w:rsidR="00E94D45" w:rsidRDefault="005572AF">
      <w:pPr>
        <w:pStyle w:val="ListParagraph"/>
        <w:numPr>
          <w:ilvl w:val="1"/>
          <w:numId w:val="22"/>
        </w:numPr>
        <w:spacing w:before="240" w:line="276" w:lineRule="auto"/>
        <w:rPr>
          <w:rFonts w:cs="Times New Roman"/>
          <w:sz w:val="20"/>
          <w:szCs w:val="20"/>
        </w:rPr>
      </w:pPr>
      <w:r>
        <w:rPr>
          <w:rFonts w:cs="Times New Roman"/>
          <w:sz w:val="20"/>
          <w:szCs w:val="20"/>
        </w:rPr>
        <w:lastRenderedPageBreak/>
        <w:t>Carotenoids analysis in the caudal fin</w:t>
      </w:r>
    </w:p>
    <w:p w:rsidR="00E94D45" w:rsidRDefault="005572AF">
      <w:pPr>
        <w:spacing w:line="276" w:lineRule="auto"/>
        <w:rPr>
          <w:rFonts w:cs="Times New Roman"/>
          <w:sz w:val="20"/>
          <w:szCs w:val="20"/>
        </w:rPr>
      </w:pPr>
      <w:r>
        <w:rPr>
          <w:rFonts w:cs="Times New Roman"/>
          <w:sz w:val="20"/>
          <w:szCs w:val="20"/>
        </w:rPr>
        <w:t xml:space="preserve">When blue </w:t>
      </w:r>
      <w:r>
        <w:rPr>
          <w:rFonts w:cs="Times New Roman"/>
          <w:sz w:val="20"/>
          <w:szCs w:val="20"/>
        </w:rPr>
        <w:t>gourami's diet included more spirulina, the amount of carotenoid content in their caudal fin increased significantly (Table 17). The levels of astaxanthin in the caudal fin increased dramatically across treatment, peaking at 7.9±0.04 ng/g in T5 after start</w:t>
      </w:r>
      <w:r>
        <w:rPr>
          <w:rFonts w:cs="Times New Roman"/>
          <w:sz w:val="20"/>
          <w:szCs w:val="20"/>
        </w:rPr>
        <w:t>ing at 3.48±0.005 ng/g in T0 (p&lt;0.05). This suggests a substantial positive association between spirulina concentration and astaxanthin accumulation. Canthaxanthin also rose, with notable increases in T2 (1.36±0.011 ng/g) and T4 (1.35±0.005 ng/g), which de</w:t>
      </w:r>
      <w:r>
        <w:rPr>
          <w:rFonts w:cs="Times New Roman"/>
          <w:sz w:val="20"/>
          <w:szCs w:val="20"/>
        </w:rPr>
        <w:t>monstrate nonsignificant difference (p&gt;0.05). It started at 1.01±0.012 ng/g in T0 and reached 1.39±0.008 ng/g in T5. The most abundant carotenoid detected, β-carotene, increased significantly in all treatments (Table 17). It began in T0 at 34.32±0.042 ng/g</w:t>
      </w:r>
      <w:r>
        <w:rPr>
          <w:rFonts w:cs="Times New Roman"/>
          <w:sz w:val="20"/>
          <w:szCs w:val="20"/>
        </w:rPr>
        <w:t xml:space="preserve"> and increased gradually to 52.2±0.016 ng/g in T5, which represents the maximum accumulation. Significant levels were also shown by intermediate treatments T2 and T4, with T2 reaching 45.56±0.008 ng/g and T4 at 49.8±0.008 ng/g (p&lt;0.05).</w:t>
      </w:r>
    </w:p>
    <w:p w:rsidR="00E94D45" w:rsidRDefault="005572AF">
      <w:pPr>
        <w:pStyle w:val="Caption"/>
        <w:keepNext/>
        <w:spacing w:after="120" w:line="276" w:lineRule="auto"/>
        <w:ind w:left="851" w:hanging="851"/>
        <w:rPr>
          <w:b/>
          <w:bCs/>
          <w:color w:val="auto"/>
          <w:sz w:val="20"/>
          <w:szCs w:val="20"/>
        </w:rPr>
      </w:pPr>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w:instrText>
      </w:r>
      <w:r>
        <w:rPr>
          <w:b/>
          <w:bCs/>
          <w:i w:val="0"/>
          <w:iCs w:val="0"/>
          <w:color w:val="auto"/>
          <w:sz w:val="20"/>
          <w:szCs w:val="20"/>
        </w:rPr>
        <w:instrText xml:space="preserve"> ARABIC </w:instrText>
      </w:r>
      <w:r>
        <w:rPr>
          <w:b/>
          <w:bCs/>
          <w:i w:val="0"/>
          <w:iCs w:val="0"/>
          <w:color w:val="auto"/>
          <w:sz w:val="20"/>
          <w:szCs w:val="20"/>
        </w:rPr>
        <w:fldChar w:fldCharType="separate"/>
      </w:r>
      <w:r>
        <w:rPr>
          <w:b/>
          <w:bCs/>
          <w:i w:val="0"/>
          <w:iCs w:val="0"/>
          <w:noProof/>
          <w:color w:val="auto"/>
          <w:sz w:val="20"/>
          <w:szCs w:val="20"/>
        </w:rPr>
        <w:t>17</w:t>
      </w:r>
      <w:r>
        <w:rPr>
          <w:b/>
          <w:bCs/>
          <w:i w:val="0"/>
          <w:iCs w:val="0"/>
          <w:color w:val="auto"/>
          <w:sz w:val="20"/>
          <w:szCs w:val="20"/>
        </w:rPr>
        <w:fldChar w:fldCharType="end"/>
      </w:r>
      <w:r>
        <w:rPr>
          <w:b/>
          <w:bCs/>
          <w:i w:val="0"/>
          <w:iCs w:val="0"/>
          <w:color w:val="auto"/>
          <w:sz w:val="20"/>
          <w:szCs w:val="20"/>
          <w:lang w:val="en-IN"/>
        </w:rPr>
        <w:t xml:space="preserve"> Carotenoids analysis in the caudal fin of blue gourami, </w:t>
      </w:r>
      <w:r>
        <w:rPr>
          <w:b/>
          <w:bCs/>
          <w:color w:val="auto"/>
          <w:sz w:val="20"/>
          <w:szCs w:val="20"/>
          <w:lang w:val="en-IN"/>
        </w:rPr>
        <w:t>Trichogaster trichopterus</w:t>
      </w:r>
      <w:r>
        <w:rPr>
          <w:b/>
          <w:bCs/>
          <w:i w:val="0"/>
          <w:iCs w:val="0"/>
          <w:color w:val="auto"/>
          <w:sz w:val="20"/>
          <w:szCs w:val="20"/>
          <w:lang w:val="en-IN"/>
        </w:rPr>
        <w:t xml:space="preserve">, fed with different levels of </w:t>
      </w:r>
      <w:r>
        <w:rPr>
          <w:b/>
          <w:bCs/>
          <w:color w:val="auto"/>
          <w:sz w:val="20"/>
          <w:szCs w:val="20"/>
          <w:lang w:val="en-IN"/>
        </w:rPr>
        <w:t>spirulina platensis.</w:t>
      </w:r>
    </w:p>
    <w:tbl>
      <w:tblPr>
        <w:tblStyle w:val="TableGrid"/>
        <w:tblW w:w="5000" w:type="pct"/>
        <w:tblLook w:val="04A0" w:firstRow="1" w:lastRow="0" w:firstColumn="1" w:lastColumn="0" w:noHBand="0" w:noVBand="1"/>
      </w:tblPr>
      <w:tblGrid>
        <w:gridCol w:w="1980"/>
        <w:gridCol w:w="2268"/>
        <w:gridCol w:w="2411"/>
        <w:gridCol w:w="2357"/>
      </w:tblGrid>
      <w:tr w:rsidR="00E94D45">
        <w:tc>
          <w:tcPr>
            <w:tcW w:w="109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Treatments (Caudal fin)</w:t>
            </w:r>
          </w:p>
        </w:tc>
        <w:tc>
          <w:tcPr>
            <w:tcW w:w="125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Astaxanthin (ng/g)</w:t>
            </w:r>
          </w:p>
        </w:tc>
        <w:tc>
          <w:tcPr>
            <w:tcW w:w="1337"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Canthaxanthin (ng/g)</w:t>
            </w:r>
          </w:p>
        </w:tc>
        <w:tc>
          <w:tcPr>
            <w:tcW w:w="1307"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β-Carotene (ng/g)</w:t>
            </w:r>
          </w:p>
        </w:tc>
      </w:tr>
      <w:tr w:rsidR="00E94D45">
        <w:tc>
          <w:tcPr>
            <w:tcW w:w="109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T0 (0% Spirulina)</w:t>
            </w:r>
          </w:p>
        </w:tc>
        <w:tc>
          <w:tcPr>
            <w:tcW w:w="1258"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3.48±0.005</w:t>
            </w:r>
            <w:r>
              <w:rPr>
                <w:rFonts w:cs="Times New Roman"/>
                <w:sz w:val="20"/>
                <w:szCs w:val="20"/>
                <w:vertAlign w:val="superscript"/>
              </w:rPr>
              <w:t>a</w:t>
            </w:r>
          </w:p>
        </w:tc>
        <w:tc>
          <w:tcPr>
            <w:tcW w:w="133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1.01±0.012</w:t>
            </w:r>
            <w:r>
              <w:rPr>
                <w:rFonts w:cs="Times New Roman"/>
                <w:sz w:val="20"/>
                <w:szCs w:val="20"/>
                <w:vertAlign w:val="superscript"/>
              </w:rPr>
              <w:t>a</w:t>
            </w:r>
          </w:p>
        </w:tc>
        <w:tc>
          <w:tcPr>
            <w:tcW w:w="130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34.32±0.042</w:t>
            </w:r>
            <w:r>
              <w:rPr>
                <w:rFonts w:cs="Times New Roman"/>
                <w:sz w:val="20"/>
                <w:szCs w:val="20"/>
                <w:vertAlign w:val="superscript"/>
              </w:rPr>
              <w:t>a</w:t>
            </w:r>
          </w:p>
        </w:tc>
      </w:tr>
      <w:tr w:rsidR="00E94D45">
        <w:tc>
          <w:tcPr>
            <w:tcW w:w="109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T1 (2%)</w:t>
            </w:r>
          </w:p>
        </w:tc>
        <w:tc>
          <w:tcPr>
            <w:tcW w:w="1258"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4.86±0.03</w:t>
            </w:r>
            <w:r>
              <w:rPr>
                <w:rFonts w:cs="Times New Roman"/>
                <w:sz w:val="20"/>
                <w:szCs w:val="20"/>
                <w:vertAlign w:val="superscript"/>
              </w:rPr>
              <w:t>c</w:t>
            </w:r>
          </w:p>
        </w:tc>
        <w:tc>
          <w:tcPr>
            <w:tcW w:w="133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1.22±0.008</w:t>
            </w:r>
            <w:r>
              <w:rPr>
                <w:rFonts w:cs="Times New Roman"/>
                <w:sz w:val="20"/>
                <w:szCs w:val="20"/>
                <w:vertAlign w:val="superscript"/>
              </w:rPr>
              <w:t>b</w:t>
            </w:r>
          </w:p>
        </w:tc>
        <w:tc>
          <w:tcPr>
            <w:tcW w:w="130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38.32±0.061</w:t>
            </w:r>
            <w:r>
              <w:rPr>
                <w:rFonts w:cs="Times New Roman"/>
                <w:sz w:val="20"/>
                <w:szCs w:val="20"/>
                <w:vertAlign w:val="superscript"/>
              </w:rPr>
              <w:t>b</w:t>
            </w:r>
          </w:p>
        </w:tc>
      </w:tr>
      <w:tr w:rsidR="00E94D45">
        <w:tc>
          <w:tcPr>
            <w:tcW w:w="109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T2 (4%)</w:t>
            </w:r>
          </w:p>
        </w:tc>
        <w:tc>
          <w:tcPr>
            <w:tcW w:w="1258"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3.97±0.06</w:t>
            </w:r>
            <w:r>
              <w:rPr>
                <w:rFonts w:cs="Times New Roman"/>
                <w:sz w:val="20"/>
                <w:szCs w:val="20"/>
                <w:vertAlign w:val="superscript"/>
              </w:rPr>
              <w:t>b</w:t>
            </w:r>
          </w:p>
        </w:tc>
        <w:tc>
          <w:tcPr>
            <w:tcW w:w="133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1.36±0.011</w:t>
            </w:r>
            <w:r>
              <w:rPr>
                <w:rFonts w:cs="Times New Roman"/>
                <w:sz w:val="20"/>
                <w:szCs w:val="20"/>
                <w:vertAlign w:val="superscript"/>
              </w:rPr>
              <w:t>c</w:t>
            </w:r>
          </w:p>
        </w:tc>
        <w:tc>
          <w:tcPr>
            <w:tcW w:w="130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45.56±0.008</w:t>
            </w:r>
            <w:r>
              <w:rPr>
                <w:rFonts w:cs="Times New Roman"/>
                <w:sz w:val="20"/>
                <w:szCs w:val="20"/>
                <w:vertAlign w:val="superscript"/>
              </w:rPr>
              <w:t>d</w:t>
            </w:r>
          </w:p>
        </w:tc>
      </w:tr>
      <w:tr w:rsidR="00E94D45">
        <w:tc>
          <w:tcPr>
            <w:tcW w:w="109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T3 (6%)</w:t>
            </w:r>
          </w:p>
        </w:tc>
        <w:tc>
          <w:tcPr>
            <w:tcW w:w="1258"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6.78±0.02</w:t>
            </w:r>
            <w:r>
              <w:rPr>
                <w:rFonts w:cs="Times New Roman"/>
                <w:sz w:val="20"/>
                <w:szCs w:val="20"/>
                <w:vertAlign w:val="superscript"/>
              </w:rPr>
              <w:t>e</w:t>
            </w:r>
          </w:p>
        </w:tc>
        <w:tc>
          <w:tcPr>
            <w:tcW w:w="133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1.24±0.012</w:t>
            </w:r>
            <w:r>
              <w:rPr>
                <w:rFonts w:cs="Times New Roman"/>
                <w:sz w:val="20"/>
                <w:szCs w:val="20"/>
                <w:vertAlign w:val="superscript"/>
              </w:rPr>
              <w:t>b</w:t>
            </w:r>
          </w:p>
        </w:tc>
        <w:tc>
          <w:tcPr>
            <w:tcW w:w="130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40.01±0.012</w:t>
            </w:r>
            <w:r>
              <w:rPr>
                <w:rFonts w:cs="Times New Roman"/>
                <w:sz w:val="20"/>
                <w:szCs w:val="20"/>
                <w:vertAlign w:val="superscript"/>
              </w:rPr>
              <w:t>c</w:t>
            </w:r>
          </w:p>
        </w:tc>
      </w:tr>
      <w:tr w:rsidR="00E94D45">
        <w:tc>
          <w:tcPr>
            <w:tcW w:w="109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T4 (8%)</w:t>
            </w:r>
          </w:p>
        </w:tc>
        <w:tc>
          <w:tcPr>
            <w:tcW w:w="1258"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6.01±0.05</w:t>
            </w:r>
            <w:r>
              <w:rPr>
                <w:rFonts w:cs="Times New Roman"/>
                <w:sz w:val="20"/>
                <w:szCs w:val="20"/>
                <w:vertAlign w:val="superscript"/>
              </w:rPr>
              <w:t>d</w:t>
            </w:r>
          </w:p>
        </w:tc>
        <w:tc>
          <w:tcPr>
            <w:tcW w:w="133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1.35±0.005</w:t>
            </w:r>
            <w:r>
              <w:rPr>
                <w:rFonts w:cs="Times New Roman"/>
                <w:sz w:val="20"/>
                <w:szCs w:val="20"/>
                <w:vertAlign w:val="superscript"/>
              </w:rPr>
              <w:t>c</w:t>
            </w:r>
          </w:p>
        </w:tc>
        <w:tc>
          <w:tcPr>
            <w:tcW w:w="130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49.8±0.008</w:t>
            </w:r>
            <w:r>
              <w:rPr>
                <w:rFonts w:cs="Times New Roman"/>
                <w:sz w:val="20"/>
                <w:szCs w:val="20"/>
                <w:vertAlign w:val="superscript"/>
              </w:rPr>
              <w:t>e</w:t>
            </w:r>
          </w:p>
        </w:tc>
      </w:tr>
      <w:tr w:rsidR="00E94D45">
        <w:tc>
          <w:tcPr>
            <w:tcW w:w="1098" w:type="pct"/>
            <w:vAlign w:val="center"/>
          </w:tcPr>
          <w:p w:rsidR="00E94D45" w:rsidRDefault="005572AF">
            <w:pPr>
              <w:spacing w:after="0" w:line="276" w:lineRule="auto"/>
              <w:ind w:left="-113" w:right="-113"/>
              <w:jc w:val="center"/>
              <w:rPr>
                <w:rFonts w:cs="Times New Roman"/>
                <w:b/>
                <w:bCs/>
                <w:sz w:val="20"/>
                <w:szCs w:val="20"/>
              </w:rPr>
            </w:pPr>
            <w:r>
              <w:rPr>
                <w:rFonts w:cs="Times New Roman"/>
                <w:b/>
                <w:bCs/>
                <w:sz w:val="20"/>
                <w:szCs w:val="20"/>
              </w:rPr>
              <w:t>T5 (10%)</w:t>
            </w:r>
          </w:p>
        </w:tc>
        <w:tc>
          <w:tcPr>
            <w:tcW w:w="1258"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7.9±0.04</w:t>
            </w:r>
            <w:r>
              <w:rPr>
                <w:rFonts w:cs="Times New Roman"/>
                <w:sz w:val="20"/>
                <w:szCs w:val="20"/>
                <w:vertAlign w:val="superscript"/>
              </w:rPr>
              <w:t>f</w:t>
            </w:r>
          </w:p>
        </w:tc>
        <w:tc>
          <w:tcPr>
            <w:tcW w:w="133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1.39±0.008</w:t>
            </w:r>
            <w:r>
              <w:rPr>
                <w:rFonts w:cs="Times New Roman"/>
                <w:sz w:val="20"/>
                <w:szCs w:val="20"/>
                <w:vertAlign w:val="superscript"/>
              </w:rPr>
              <w:t>d</w:t>
            </w:r>
          </w:p>
        </w:tc>
        <w:tc>
          <w:tcPr>
            <w:tcW w:w="1307" w:type="pct"/>
            <w:vAlign w:val="center"/>
          </w:tcPr>
          <w:p w:rsidR="00E94D45" w:rsidRDefault="005572AF">
            <w:pPr>
              <w:spacing w:after="0" w:line="276" w:lineRule="auto"/>
              <w:ind w:left="-113" w:right="-113"/>
              <w:jc w:val="center"/>
              <w:rPr>
                <w:rFonts w:cs="Times New Roman"/>
                <w:sz w:val="20"/>
                <w:szCs w:val="20"/>
              </w:rPr>
            </w:pPr>
            <w:r>
              <w:rPr>
                <w:rFonts w:cs="Times New Roman"/>
                <w:sz w:val="20"/>
                <w:szCs w:val="20"/>
              </w:rPr>
              <w:t>52.2±0.016</w:t>
            </w:r>
            <w:r>
              <w:rPr>
                <w:rFonts w:cs="Times New Roman"/>
                <w:sz w:val="20"/>
                <w:szCs w:val="20"/>
                <w:vertAlign w:val="superscript"/>
              </w:rPr>
              <w:t>f</w:t>
            </w:r>
          </w:p>
        </w:tc>
      </w:tr>
      <w:tr w:rsidR="00E94D45">
        <w:tc>
          <w:tcPr>
            <w:tcW w:w="5000" w:type="pct"/>
            <w:gridSpan w:val="4"/>
            <w:vAlign w:val="center"/>
          </w:tcPr>
          <w:p w:rsidR="00E94D45" w:rsidRDefault="005572AF">
            <w:pPr>
              <w:spacing w:after="0" w:line="276" w:lineRule="auto"/>
              <w:jc w:val="left"/>
              <w:rPr>
                <w:rFonts w:cs="Times New Roman"/>
                <w:sz w:val="18"/>
                <w:szCs w:val="18"/>
              </w:rPr>
            </w:pPr>
            <w:r>
              <w:rPr>
                <w:rFonts w:cs="Times New Roman"/>
                <w:b/>
                <w:bCs/>
                <w:sz w:val="18"/>
                <w:szCs w:val="18"/>
              </w:rPr>
              <w:t>Units:</w:t>
            </w:r>
            <w:r>
              <w:rPr>
                <w:rFonts w:cs="Times New Roman"/>
                <w:sz w:val="18"/>
                <w:szCs w:val="18"/>
              </w:rPr>
              <w:t xml:space="preserve"> Expressed as nanograms per gram wet tissue weight (ng/g).</w:t>
            </w:r>
          </w:p>
          <w:p w:rsidR="00E94D45" w:rsidRDefault="005572AF">
            <w:pPr>
              <w:spacing w:after="0" w:line="276" w:lineRule="auto"/>
              <w:jc w:val="left"/>
              <w:rPr>
                <w:rFonts w:cs="Times New Roman"/>
                <w:sz w:val="20"/>
                <w:szCs w:val="20"/>
              </w:rPr>
            </w:pPr>
            <w:r>
              <w:rPr>
                <w:rFonts w:cs="Times New Roman"/>
                <w:b/>
                <w:bCs/>
                <w:sz w:val="18"/>
                <w:szCs w:val="18"/>
              </w:rPr>
              <w:t>Statistical analysis:</w:t>
            </w:r>
            <w:r>
              <w:rPr>
                <w:rFonts w:cs="Times New Roman"/>
                <w:sz w:val="18"/>
                <w:szCs w:val="18"/>
              </w:rPr>
              <w:t xml:space="preserve"> Values are mean ± standard error (SE). Within each column, means with different superscript letters (a-f) differ significantly (p&lt;0.05; one‑way ANOVA followed by Tukey’s test).</w:t>
            </w:r>
          </w:p>
        </w:tc>
      </w:tr>
    </w:tbl>
    <w:p w:rsidR="00E94D45" w:rsidRDefault="005572AF">
      <w:pPr>
        <w:pStyle w:val="ListParagraph"/>
        <w:numPr>
          <w:ilvl w:val="0"/>
          <w:numId w:val="9"/>
        </w:numPr>
        <w:spacing w:before="240" w:line="276" w:lineRule="auto"/>
        <w:ind w:left="426" w:hanging="426"/>
        <w:rPr>
          <w:rFonts w:cs="Times New Roman"/>
          <w:sz w:val="20"/>
          <w:szCs w:val="20"/>
        </w:rPr>
      </w:pPr>
      <w:r>
        <w:rPr>
          <w:rFonts w:cs="Times New Roman"/>
          <w:sz w:val="20"/>
          <w:szCs w:val="20"/>
        </w:rPr>
        <w:t>Discussion</w:t>
      </w:r>
    </w:p>
    <w:p w:rsidR="00E94D45" w:rsidRDefault="005572AF">
      <w:pPr>
        <w:spacing w:line="276" w:lineRule="auto"/>
        <w:rPr>
          <w:rFonts w:cs="Times New Roman"/>
          <w:sz w:val="20"/>
          <w:szCs w:val="20"/>
        </w:rPr>
      </w:pPr>
      <w:r>
        <w:rPr>
          <w:rFonts w:cs="Times New Roman"/>
          <w:sz w:val="20"/>
          <w:szCs w:val="20"/>
        </w:rPr>
        <w:t>Growth and feed efficiency are greatly increased by spirulina supp</w:t>
      </w:r>
      <w:r>
        <w:rPr>
          <w:rFonts w:cs="Times New Roman"/>
          <w:sz w:val="20"/>
          <w:szCs w:val="20"/>
        </w:rPr>
        <w:t>lementation, according to the growth analysis of blue gourami (</w:t>
      </w:r>
      <w:r>
        <w:rPr>
          <w:rFonts w:cs="Times New Roman"/>
          <w:i/>
          <w:iCs/>
          <w:sz w:val="20"/>
          <w:szCs w:val="20"/>
        </w:rPr>
        <w:t>Trichogaster trichopterus</w:t>
      </w:r>
      <w:r>
        <w:rPr>
          <w:rFonts w:cs="Times New Roman"/>
          <w:sz w:val="20"/>
          <w:szCs w:val="20"/>
        </w:rPr>
        <w:t>) fed at different amounts of spirulina (T0: control, T1: 2%, T2: 4%, T3: 6%, T4: 8% and T5: 10%). There was a significant increase in final weight, weight gain (WG) an</w:t>
      </w:r>
      <w:r>
        <w:rPr>
          <w:rFonts w:cs="Times New Roman"/>
          <w:sz w:val="20"/>
          <w:szCs w:val="20"/>
        </w:rPr>
        <w:t>d daily growth rate (DGR) with increasing spirulina levels; the T5 group (10% spirulina) had the greatest increases. Feed efficiency ratio (FER) rose and feed conversion ratio (FCR) dropped in the groups with higher spirulina content, indicating more effec</w:t>
      </w:r>
      <w:r>
        <w:rPr>
          <w:rFonts w:cs="Times New Roman"/>
          <w:sz w:val="20"/>
          <w:szCs w:val="20"/>
        </w:rPr>
        <w:t>tive feed utilization. Better protein utilization and growth rates were indicated by improvements in the protein efficiency ratio (PER) and specific growth rate (SGR), especially in the T5 group. Crucially, all treatments maintained a 100% survival rate (S</w:t>
      </w:r>
      <w:r>
        <w:rPr>
          <w:rFonts w:cs="Times New Roman"/>
          <w:sz w:val="20"/>
          <w:szCs w:val="20"/>
        </w:rPr>
        <w:t>R), suggesting that spirulina had no detrimental effects on fish health. All in all, the 10% spirulina diet (T5) yielded the strongest effects, indicating that this is the best amount to increase the growth and effectiveness of blue gourami. Numerous studi</w:t>
      </w:r>
      <w:r>
        <w:rPr>
          <w:rFonts w:cs="Times New Roman"/>
          <w:sz w:val="20"/>
          <w:szCs w:val="20"/>
        </w:rPr>
        <w:t>es (Cao et al. 2018a; Gogoi et al. 2018; James et al. 2006; Khanzadeh et al. 2016; Mustafa et al. 1994; Palmegiano et al. 2008; Promya &amp; Chitmanat 2011; Ramakrishnan et al. 2008; Teimouri et al. 2013; Tongsiri et al. 2010; Ungsethaphan et al. 2018) corrobo</w:t>
      </w:r>
      <w:r>
        <w:rPr>
          <w:rFonts w:cs="Times New Roman"/>
          <w:sz w:val="20"/>
          <w:szCs w:val="20"/>
        </w:rPr>
        <w:t>rate our findings.</w:t>
      </w:r>
    </w:p>
    <w:p w:rsidR="00E94D45" w:rsidRDefault="005572AF">
      <w:pPr>
        <w:spacing w:line="276" w:lineRule="auto"/>
        <w:rPr>
          <w:rFonts w:cs="Times New Roman"/>
          <w:sz w:val="20"/>
          <w:szCs w:val="20"/>
        </w:rPr>
      </w:pPr>
      <w:r>
        <w:rPr>
          <w:rFonts w:cs="Times New Roman"/>
          <w:sz w:val="20"/>
          <w:szCs w:val="20"/>
        </w:rPr>
        <w:t>However, contradictory results have been reported with no beneficial effects of dietary spirulina on the growth of common carp (</w:t>
      </w:r>
      <w:r>
        <w:rPr>
          <w:rFonts w:cs="Times New Roman"/>
          <w:i/>
          <w:iCs/>
          <w:sz w:val="20"/>
          <w:szCs w:val="20"/>
        </w:rPr>
        <w:t>Cyprinus carpio)</w:t>
      </w:r>
      <w:r>
        <w:rPr>
          <w:rFonts w:cs="Times New Roman"/>
          <w:sz w:val="20"/>
          <w:szCs w:val="20"/>
        </w:rPr>
        <w:t xml:space="preserve"> (Nandeesha et al. 1998), </w:t>
      </w:r>
      <w:r>
        <w:rPr>
          <w:rFonts w:cs="Times New Roman"/>
          <w:i/>
          <w:iCs/>
          <w:sz w:val="20"/>
          <w:szCs w:val="20"/>
        </w:rPr>
        <w:t>Catla catla</w:t>
      </w:r>
      <w:r>
        <w:rPr>
          <w:rFonts w:cs="Times New Roman"/>
          <w:sz w:val="20"/>
          <w:szCs w:val="20"/>
        </w:rPr>
        <w:t xml:space="preserve"> (Nandeesha et al. 2001) and Nile tilapia </w:t>
      </w:r>
      <w:r>
        <w:rPr>
          <w:rFonts w:cs="Times New Roman"/>
          <w:i/>
          <w:iCs/>
          <w:sz w:val="20"/>
          <w:szCs w:val="20"/>
        </w:rPr>
        <w:t>Oreochromis ni</w:t>
      </w:r>
      <w:r>
        <w:rPr>
          <w:rFonts w:cs="Times New Roman"/>
          <w:i/>
          <w:iCs/>
          <w:sz w:val="20"/>
          <w:szCs w:val="20"/>
        </w:rPr>
        <w:t>loticus</w:t>
      </w:r>
      <w:r>
        <w:rPr>
          <w:rFonts w:cs="Times New Roman"/>
          <w:sz w:val="20"/>
          <w:szCs w:val="20"/>
        </w:rPr>
        <w:t xml:space="preserve"> (Takeuchi et al. 2002). The enhanced feed intake and nutrient digestibility resulting from dietary spirulina may be the cause of the growth observed. According to several studies (James et al. 2006; Teimouri et al. 2013), spirulina enhanced the bal</w:t>
      </w:r>
      <w:r>
        <w:rPr>
          <w:rFonts w:cs="Times New Roman"/>
          <w:sz w:val="20"/>
          <w:szCs w:val="20"/>
        </w:rPr>
        <w:t xml:space="preserve">ance of microorganisms in the gut, which enhances food absorption, the activity of digestive enzymes and the fat transport system. Furthermore, spirulina contains several nutrients, particularly vitamins, minerals, vital amino acids and fatty acids, which </w:t>
      </w:r>
      <w:r>
        <w:rPr>
          <w:rFonts w:cs="Times New Roman"/>
          <w:sz w:val="20"/>
          <w:szCs w:val="20"/>
        </w:rPr>
        <w:t xml:space="preserve">may help promote fish growth by activating metabolism and acting as growth stimulants (Mustafa et al., 1994). Previous research suggests that </w:t>
      </w:r>
      <w:r>
        <w:rPr>
          <w:rFonts w:cs="Times New Roman"/>
          <w:sz w:val="20"/>
          <w:szCs w:val="20"/>
        </w:rPr>
        <w:lastRenderedPageBreak/>
        <w:t>high vitamins, mineral, essential amino acid, linoleic acid and linolenic acid contents contribute to the improvem</w:t>
      </w:r>
      <w:r>
        <w:rPr>
          <w:rFonts w:cs="Times New Roman"/>
          <w:sz w:val="20"/>
          <w:szCs w:val="20"/>
        </w:rPr>
        <w:t xml:space="preserve">ent of growth and food utilization with dietary SP (Cao et al. 2018a; Cao et al. 2018b; Meshkat Roohani et al. 2018; Mustafa et al. 1994). </w:t>
      </w:r>
    </w:p>
    <w:p w:rsidR="00E94D45" w:rsidRDefault="005572AF">
      <w:pPr>
        <w:spacing w:line="276" w:lineRule="auto"/>
        <w:rPr>
          <w:rFonts w:cs="Times New Roman"/>
          <w:sz w:val="20"/>
          <w:szCs w:val="20"/>
        </w:rPr>
      </w:pPr>
      <w:r>
        <w:rPr>
          <w:rFonts w:cs="Times New Roman"/>
          <w:sz w:val="20"/>
          <w:szCs w:val="20"/>
        </w:rPr>
        <w:t>Blue gourami body indices and spirulina supplementation are correlated in a way that indicates a positive and substa</w:t>
      </w:r>
      <w:r>
        <w:rPr>
          <w:rFonts w:cs="Times New Roman"/>
          <w:sz w:val="20"/>
          <w:szCs w:val="20"/>
        </w:rPr>
        <w:t>ntial link with different body indices increased as spirulina percentage in the diet rises (from T0: control to T5: 10%). There is a correlation between elevated spirulina levels and higher bile somatic index (BSI %), viscerosomatic fat index (VFSI %), hep</w:t>
      </w:r>
      <w:r>
        <w:rPr>
          <w:rFonts w:cs="Times New Roman"/>
          <w:sz w:val="20"/>
          <w:szCs w:val="20"/>
        </w:rPr>
        <w:t>atosomatic index (HSI %) and condition factor (CF %). This suggests a direct relationship between improvements in liver development, the potential for reproduction, buildup of fat, and general body condition and the amount of dietary spirulina, with the la</w:t>
      </w:r>
      <w:r>
        <w:rPr>
          <w:rFonts w:cs="Times New Roman"/>
          <w:sz w:val="20"/>
          <w:szCs w:val="20"/>
        </w:rPr>
        <w:t>rgest correlations seen at the highest supplementation doses (T4: 8% and T5: 10%) (Lee et al. 2002; Yang et al. 2002; Enes et al. 2009; Abdel-Tawwab et al. 2010; Coutinho et al. 2012; Guo et al. 2012; Jiang et al. 2015; Wu et al. 2015; Wang et al. 2016; Ya</w:t>
      </w:r>
      <w:r>
        <w:rPr>
          <w:rFonts w:cs="Times New Roman"/>
          <w:sz w:val="20"/>
          <w:szCs w:val="20"/>
        </w:rPr>
        <w:t>ng et al. 2016).</w:t>
      </w:r>
    </w:p>
    <w:p w:rsidR="00E94D45" w:rsidRDefault="005572AF">
      <w:pPr>
        <w:spacing w:line="276" w:lineRule="auto"/>
        <w:rPr>
          <w:rFonts w:cs="Times New Roman"/>
          <w:sz w:val="20"/>
          <w:szCs w:val="20"/>
        </w:rPr>
      </w:pPr>
      <w:r>
        <w:rPr>
          <w:rFonts w:cs="Times New Roman"/>
          <w:sz w:val="20"/>
          <w:szCs w:val="20"/>
        </w:rPr>
        <w:t>Hematology parameters in blue gourami are greatly impacted by supplementation with spirulina. The RBC count (6.41×106/mm3), WBC count (6.97×104/mm3) and haematocrit (37.72%) of T5 (10% spirulina) were significantly higher than those of the</w:t>
      </w:r>
      <w:r>
        <w:rPr>
          <w:rFonts w:cs="Times New Roman"/>
          <w:sz w:val="20"/>
          <w:szCs w:val="20"/>
        </w:rPr>
        <w:t xml:space="preserve"> control (T0), which had the lowest values. These increases suggested enhanced production of red blood cells and total blood volume. Additionally, T5 had greater hemoglobin levels (6.27 g %) than T0 (5.84 g %). MCV, MCH and MCHC all showed significant impr</w:t>
      </w:r>
      <w:r>
        <w:rPr>
          <w:rFonts w:cs="Times New Roman"/>
          <w:sz w:val="20"/>
          <w:szCs w:val="20"/>
        </w:rPr>
        <w:t>ovements over treatments; T5 had the highest values, indicating improved red blood cell functionality. Lymphocyte percentages increased and monocyte percentages decreased in T5, suggesting a strengthened immune response. Overall, higher spirulina concentra</w:t>
      </w:r>
      <w:r>
        <w:rPr>
          <w:rFonts w:cs="Times New Roman"/>
          <w:sz w:val="20"/>
          <w:szCs w:val="20"/>
        </w:rPr>
        <w:t xml:space="preserve">tions positively influence hematological health in blue gourami. It is reported that phycocyanin of SP affects the stem cells in the bone marrow, which develops the cellular immune system and red blood cells (Mengumphan &amp; Saengkrachang 2008). Our findings </w:t>
      </w:r>
      <w:r>
        <w:rPr>
          <w:rFonts w:cs="Times New Roman"/>
          <w:sz w:val="20"/>
          <w:szCs w:val="20"/>
        </w:rPr>
        <w:t>demonstrated that the fish's levels of Hct, Hb and RBC, as well as secondary red blood cell indices (MCV &amp; MCH), increased significantly (p&lt;0.05), which is consistent with research on other fish species (Fazio et al. 2017; Karim et al. 2019; Fazio et al. 2</w:t>
      </w:r>
      <w:r>
        <w:rPr>
          <w:rFonts w:cs="Times New Roman"/>
          <w:sz w:val="20"/>
          <w:szCs w:val="20"/>
        </w:rPr>
        <w:t>020).</w:t>
      </w:r>
    </w:p>
    <w:p w:rsidR="00E94D45" w:rsidRDefault="005572AF">
      <w:pPr>
        <w:spacing w:line="276" w:lineRule="auto"/>
        <w:rPr>
          <w:rFonts w:cs="Times New Roman"/>
          <w:sz w:val="20"/>
          <w:szCs w:val="20"/>
        </w:rPr>
      </w:pPr>
      <w:r>
        <w:rPr>
          <w:rFonts w:cs="Times New Roman"/>
          <w:sz w:val="20"/>
          <w:szCs w:val="20"/>
        </w:rPr>
        <w:t>Improvements are observed in multiple parameters in the haemato-biochemical analysis when compared to the control group (T0). T5 (10% spirulina) showed higher amounts of total protein and albumin with spirulina, at 5.85 g/dl and 2.91 g/dl, respectively. At</w:t>
      </w:r>
      <w:r>
        <w:rPr>
          <w:rFonts w:cs="Times New Roman"/>
          <w:sz w:val="20"/>
          <w:szCs w:val="20"/>
        </w:rPr>
        <w:t xml:space="preserve"> lower dosages, globulin levels declined initially; in T5, they peaked at 2.21 g/dl. With the highest value of 1.38 in T3 (6% spirulina), the A:G ratio improved in the majority of treatments. In T0, triglyceride levels were 153.5 mg/dl; in T5, they were 16</w:t>
      </w:r>
      <w:r>
        <w:rPr>
          <w:rFonts w:cs="Times New Roman"/>
          <w:sz w:val="20"/>
          <w:szCs w:val="20"/>
        </w:rPr>
        <w:t>0.26 mg/dl and in T5, they were 168.6 mg/dl and 191.46 mg/dl, respectively. Spirulina was associated with a drop in ALT and AST levels, which are indicators of liver health and hepatic stress reduction. Between T0 and T4, ALP levels dropped dramatically fr</w:t>
      </w:r>
      <w:r>
        <w:rPr>
          <w:rFonts w:cs="Times New Roman"/>
          <w:sz w:val="20"/>
          <w:szCs w:val="20"/>
        </w:rPr>
        <w:t>om 30.16 U/L to 21.13 U/L, suggesting better bone and liver function. Spirulina improves fish health overall by having a beneficial effect on several haemato-biochemical markers. Fish fed a meal containing 5.0-10 g/kg SP exhibited higher levels of protein,</w:t>
      </w:r>
      <w:r>
        <w:rPr>
          <w:rFonts w:cs="Times New Roman"/>
          <w:sz w:val="20"/>
          <w:szCs w:val="20"/>
        </w:rPr>
        <w:t xml:space="preserve"> albumin and globulins than the control, which was the same diet examined in this study, according to Abdel-Tawwab and Ahmad (2009). The albumin as protein transporters synthesized by the liver (Anderson et al. 1979) and globulins play important roles in t</w:t>
      </w:r>
      <w:r>
        <w:rPr>
          <w:rFonts w:cs="Times New Roman"/>
          <w:sz w:val="20"/>
          <w:szCs w:val="20"/>
        </w:rPr>
        <w:t>he immune system (Kumar et al. 2012). Additionally, the reduction of total cholesterol and triglyceride levels in fish-fed dietary SP may suggest that this effect is related to lipid metabolism. The albumin–globulin ratio is used to assess liver and kidney</w:t>
      </w:r>
      <w:r>
        <w:rPr>
          <w:rFonts w:cs="Times New Roman"/>
          <w:sz w:val="20"/>
          <w:szCs w:val="20"/>
        </w:rPr>
        <w:t xml:space="preserve"> diseases, and liver enzyme activities are important diagnostic indices related to the overall nutritional status and liver function of target animals (Schaperclaus et al. 1992). Accordingly, the results of this study suggest that fish health improved beca</w:t>
      </w:r>
      <w:r>
        <w:rPr>
          <w:rFonts w:cs="Times New Roman"/>
          <w:sz w:val="20"/>
          <w:szCs w:val="20"/>
        </w:rPr>
        <w:t>use of decreased liver enzyme activities and unchanged albumin–globulin ratio in fish-fed dietary SP for 90 days. These findings are consistent with those of Ansarifard et al. (2018) as well.</w:t>
      </w:r>
    </w:p>
    <w:p w:rsidR="00E94D45" w:rsidRDefault="005572AF">
      <w:pPr>
        <w:spacing w:line="276" w:lineRule="auto"/>
        <w:rPr>
          <w:rFonts w:cs="Times New Roman"/>
          <w:sz w:val="20"/>
          <w:szCs w:val="20"/>
        </w:rPr>
      </w:pPr>
      <w:r>
        <w:rPr>
          <w:rFonts w:cs="Times New Roman"/>
          <w:sz w:val="20"/>
          <w:szCs w:val="20"/>
        </w:rPr>
        <w:t>Spirulina supplementation has been shown to have a good effect o</w:t>
      </w:r>
      <w:r>
        <w:rPr>
          <w:rFonts w:cs="Times New Roman"/>
          <w:sz w:val="20"/>
          <w:szCs w:val="20"/>
        </w:rPr>
        <w:t>n the digestive efficiency of blue gourami, as seen by the enhanced activity of digestive enzymes. All these patterns point to a beneficial effect of spirulina supplementation on the digestive processes, as each enzyme exhibits notable improvements over th</w:t>
      </w:r>
      <w:r>
        <w:rPr>
          <w:rFonts w:cs="Times New Roman"/>
          <w:sz w:val="20"/>
          <w:szCs w:val="20"/>
        </w:rPr>
        <w:t>e control. This demonstrates how spirulina may help blue gourami’s digestive systems function more efficiently overall. By adding more spirulina to blue gourami meals, digestive enzyme levels were raised. As a result, amylase levels in each treatment signi</w:t>
      </w:r>
      <w:r>
        <w:rPr>
          <w:rFonts w:cs="Times New Roman"/>
          <w:sz w:val="20"/>
          <w:szCs w:val="20"/>
        </w:rPr>
        <w:t>ficantly rose in comparison to the other treatments, indicating an increase in the diet's carbohydrate content. Gourami is an omnivorous fish that eats better food found in plants, therefore it's possible that the high amounts of vegetarian protein in thei</w:t>
      </w:r>
      <w:r>
        <w:rPr>
          <w:rFonts w:cs="Times New Roman"/>
          <w:sz w:val="20"/>
          <w:szCs w:val="20"/>
        </w:rPr>
        <w:t xml:space="preserve">r diet, which includes spirulina, contributed to the notable rise in protease in their digestive tract. Significant variations were observed when spirulina was added to the digestive </w:t>
      </w:r>
      <w:r>
        <w:rPr>
          <w:rFonts w:cs="Times New Roman"/>
          <w:sz w:val="20"/>
          <w:szCs w:val="20"/>
        </w:rPr>
        <w:lastRenderedPageBreak/>
        <w:t>tract to boost lipase up to 10%. However, this rise in lipase was not sus</w:t>
      </w:r>
      <w:r>
        <w:rPr>
          <w:rFonts w:cs="Times New Roman"/>
          <w:sz w:val="20"/>
          <w:szCs w:val="20"/>
        </w:rPr>
        <w:t>tained, possibly due to the omnivorous fish's capacity to reduce fat digestion. Furthermore, dietary SP demonstrated increased digesting enzyme activity in fish intestines (James et al. 2006; Teimouri et al. 2013). Additionally, Ansarifard et al. (2018) fo</w:t>
      </w:r>
      <w:r>
        <w:rPr>
          <w:rFonts w:cs="Times New Roman"/>
          <w:sz w:val="20"/>
          <w:szCs w:val="20"/>
        </w:rPr>
        <w:t>und that in fish administered dietary SP, enhanced digestive enzyme activity resulted in decreased feed intake and increased nutrient retention.</w:t>
      </w:r>
    </w:p>
    <w:p w:rsidR="00E94D45" w:rsidRDefault="005572AF">
      <w:pPr>
        <w:spacing w:line="276" w:lineRule="auto"/>
        <w:rPr>
          <w:rFonts w:cs="Times New Roman"/>
          <w:sz w:val="20"/>
          <w:szCs w:val="20"/>
        </w:rPr>
      </w:pPr>
      <w:r>
        <w:rPr>
          <w:rFonts w:cs="Times New Roman"/>
          <w:sz w:val="20"/>
          <w:szCs w:val="20"/>
        </w:rPr>
        <w:t>When compared to the control group (T0), spirulina supplementation significantly improves immune function in bl</w:t>
      </w:r>
      <w:r>
        <w:rPr>
          <w:rFonts w:cs="Times New Roman"/>
          <w:sz w:val="20"/>
          <w:szCs w:val="20"/>
        </w:rPr>
        <w:t>ue gourami, according to the examination of immune response parameters. All the spirulina treatments resulted in increases in IgM, lysozyme activity and phagocytic activity, which suggests that the fish's immune system was strengthened. The gradual gains s</w:t>
      </w:r>
      <w:r>
        <w:rPr>
          <w:rFonts w:cs="Times New Roman"/>
          <w:sz w:val="20"/>
          <w:szCs w:val="20"/>
        </w:rPr>
        <w:t>hown in T1 (2% spirulina) and T2 (4% spirulina) indicate that even modest doses of spirulina can boost immunological responses. Notably, T3 (spirulina content of 6%) and T4 (spirulina content of 8%) show additional improvements, especially in phagocytic ac</w:t>
      </w:r>
      <w:r>
        <w:rPr>
          <w:rFonts w:cs="Times New Roman"/>
          <w:sz w:val="20"/>
          <w:szCs w:val="20"/>
        </w:rPr>
        <w:t>tivity, indicating an improvement in the fish's defenses against infections. T5 (10% spirulina) exhibits the most noticeable effects and is known to have the highest levels of IgM, lysozyme activity and phagocytic activity. Blood proteins such as immunoglo</w:t>
      </w:r>
      <w:r>
        <w:rPr>
          <w:rFonts w:cs="Times New Roman"/>
          <w:sz w:val="20"/>
          <w:szCs w:val="20"/>
        </w:rPr>
        <w:t>bulins have been identified as potential markers of fish with heightened immune responses (Uribe et al. 2011; Burgos-Aceves et al. 2019). In fish, phagocytosis, bactericidal activity and respiratory burst activities are crucial components of the cellular i</w:t>
      </w:r>
      <w:r>
        <w:rPr>
          <w:rFonts w:cs="Times New Roman"/>
          <w:sz w:val="20"/>
          <w:szCs w:val="20"/>
        </w:rPr>
        <w:t xml:space="preserve">mmune system (Lamas et al. 1994, Rodríguez et al. 2009). According to Ragap et al. (2012), who found that continuous use of spirulina boosted lysozyme activity within a few weeks, the use of spirulina in the diet of blue gourami’s demonstrated an increase </w:t>
      </w:r>
      <w:r>
        <w:rPr>
          <w:rFonts w:cs="Times New Roman"/>
          <w:sz w:val="20"/>
          <w:szCs w:val="20"/>
        </w:rPr>
        <w:t>in enzyme activity. Therefore, adding spirulina up to 10% markedly increased this impact. The results obtained in this study are consistent with previous research by Ibrahem et al. (2013), which found that increasing the number of spirulina and its duratio</w:t>
      </w:r>
      <w:r>
        <w:rPr>
          <w:rFonts w:cs="Times New Roman"/>
          <w:sz w:val="20"/>
          <w:szCs w:val="20"/>
        </w:rPr>
        <w:t>n of usage in meals boosted the production of lysozyme enzymes in fish bodies. Spirulina aids in the synthesis of these enzymes.</w:t>
      </w:r>
    </w:p>
    <w:p w:rsidR="00E94D45" w:rsidRDefault="005572AF">
      <w:pPr>
        <w:spacing w:line="276" w:lineRule="auto"/>
        <w:rPr>
          <w:rFonts w:cs="Times New Roman"/>
          <w:sz w:val="20"/>
          <w:szCs w:val="20"/>
        </w:rPr>
      </w:pPr>
      <w:r>
        <w:rPr>
          <w:rFonts w:cs="Times New Roman"/>
          <w:sz w:val="20"/>
          <w:szCs w:val="20"/>
        </w:rPr>
        <w:t>Supplementing fish with spirulina improves the fish's nutritional value. Because spirulina contains high-quality protein and ne</w:t>
      </w:r>
      <w:r>
        <w:rPr>
          <w:rFonts w:cs="Times New Roman"/>
          <w:sz w:val="20"/>
          <w:szCs w:val="20"/>
        </w:rPr>
        <w:t>cessary amino acids, there may be increased protein synthesis and retention as evidenced by the notable increase in crude protein content, especially in the higher spirulina treatments (T4 and T5). It's also important to note that the crude lipid content d</w:t>
      </w:r>
      <w:r>
        <w:rPr>
          <w:rFonts w:cs="Times New Roman"/>
          <w:sz w:val="20"/>
          <w:szCs w:val="20"/>
        </w:rPr>
        <w:t>ecreased as spirulina levels rose, which may indicate that spirulina helps prevent fish fat accumulation. An additional indication that spirulina may be maximizing nutrient uptake and utilization, resulting in more effective feed conversion, is the decreas</w:t>
      </w:r>
      <w:r>
        <w:rPr>
          <w:rFonts w:cs="Times New Roman"/>
          <w:sz w:val="20"/>
          <w:szCs w:val="20"/>
        </w:rPr>
        <w:t>e in crude fiber and ash levels across treatments. The inverse association between moisture content and dry matter for all treatments is in line with general trends in fish body composition, which shows that reduced moisture content is frequently accompani</w:t>
      </w:r>
      <w:r>
        <w:rPr>
          <w:rFonts w:cs="Times New Roman"/>
          <w:sz w:val="20"/>
          <w:szCs w:val="20"/>
        </w:rPr>
        <w:t>ed by increased dry matter. Comparably, other research found that spirulina significantly increased the content of whole-body protein (Nandeesha et al. 2001; Promya &amp; Chitmanat 2011; Velasquez et al. 2016) and decreased the content of whole-body fat (Cao e</w:t>
      </w:r>
      <w:r>
        <w:rPr>
          <w:rFonts w:cs="Times New Roman"/>
          <w:sz w:val="20"/>
          <w:szCs w:val="20"/>
        </w:rPr>
        <w:t>t al. 2018a; Kim et al. 2013; Nandeesha et al. 1998; For instance, polyphenol chemicals found in SP are recognized for their ability to decrease fat and act as antioxidants (Balasundram et al. 2006; Kim et al. 2013). Our findings, however, are consistent w</w:t>
      </w:r>
      <w:r>
        <w:rPr>
          <w:rFonts w:cs="Times New Roman"/>
          <w:sz w:val="20"/>
          <w:szCs w:val="20"/>
        </w:rPr>
        <w:t>ith other research reporting increased or decreased whole-body ash content (Nandeesha et al. 2001; Tongsiri et al. 2010) and decreased whole-body moisture content (Promya &amp; Chitmanat 2011; Tongsiri et al. 2010; Velasquez et al. 2016). Our research also fou</w:t>
      </w:r>
      <w:r>
        <w:rPr>
          <w:rFonts w:cs="Times New Roman"/>
          <w:sz w:val="20"/>
          <w:szCs w:val="20"/>
        </w:rPr>
        <w:t>nd that dietary spirulina affected both ash and moisture.</w:t>
      </w:r>
    </w:p>
    <w:p w:rsidR="00E94D45" w:rsidRDefault="005572AF">
      <w:pPr>
        <w:spacing w:line="276" w:lineRule="auto"/>
        <w:rPr>
          <w:rFonts w:cs="Times New Roman"/>
          <w:sz w:val="20"/>
          <w:szCs w:val="20"/>
        </w:rPr>
      </w:pPr>
      <w:r>
        <w:rPr>
          <w:rFonts w:cs="Times New Roman"/>
          <w:sz w:val="20"/>
          <w:szCs w:val="20"/>
        </w:rPr>
        <w:t>The color characteristics of blue gourami are greatly influenced by supplementing with spirulina. T5 (10% spirulina) had the maximum lightness at 60 and 90 days, indicating enhanced brightness, alth</w:t>
      </w:r>
      <w:r>
        <w:rPr>
          <w:rFonts w:cs="Times New Roman"/>
          <w:sz w:val="20"/>
          <w:szCs w:val="20"/>
        </w:rPr>
        <w:t>ough no discernible differences in lightness were seen between T2 and T3 on the 30th day. Higher spirulina levels appear to increase green coloration, as seen by the continuously highest values for greenness (T5), which were particularly visible in the 60t</w:t>
      </w:r>
      <w:r>
        <w:rPr>
          <w:rFonts w:cs="Times New Roman"/>
          <w:sz w:val="20"/>
          <w:szCs w:val="20"/>
        </w:rPr>
        <w:t>h and 90th days. T5 demonstrated a notable rise in yellow coloration, yielding the highest values in yellowness when compared to the control and other treatments. Overall, blue gourami lightness, greenness and yellowness are significantly improved by spiru</w:t>
      </w:r>
      <w:r>
        <w:rPr>
          <w:rFonts w:cs="Times New Roman"/>
          <w:sz w:val="20"/>
          <w:szCs w:val="20"/>
        </w:rPr>
        <w:t>lina, especially at higher concentrations, following previous research (Gogoi et al. 2018; Güroy et al. 2012; Lu &amp; Takeuchi 2002; Promya &amp; Chitmanat 2011; Teimouri et al. 2013; Tongsiri et al. 2010). The results showed that spirulina improved color, especi</w:t>
      </w:r>
      <w:r>
        <w:rPr>
          <w:rFonts w:cs="Times New Roman"/>
          <w:sz w:val="20"/>
          <w:szCs w:val="20"/>
        </w:rPr>
        <w:t>ally the natural mucus layer that gives skin and fins their glossy appearance since it contains a significant amount of carotenoid pigments. In terms of consumer perception and desire, color is a significant factor in fish quality, particularly for Caspian</w:t>
      </w:r>
      <w:r>
        <w:rPr>
          <w:rFonts w:cs="Times New Roman"/>
          <w:sz w:val="20"/>
          <w:szCs w:val="20"/>
        </w:rPr>
        <w:t xml:space="preserve"> brown trout. Like other animals, this fish needs to be eaten to receive the pigment carotenoids, as they cannot synthesize those (Wade et al. 2017). Thus, supplementing the diet with spirulina may be a great way to enhance the color of the skin and fillet</w:t>
      </w:r>
      <w:r>
        <w:rPr>
          <w:rFonts w:cs="Times New Roman"/>
          <w:sz w:val="20"/>
          <w:szCs w:val="20"/>
        </w:rPr>
        <w:t>s.</w:t>
      </w:r>
    </w:p>
    <w:p w:rsidR="00E94D45" w:rsidRDefault="005572AF">
      <w:pPr>
        <w:spacing w:line="276" w:lineRule="auto"/>
        <w:rPr>
          <w:rFonts w:cs="Times New Roman"/>
          <w:sz w:val="20"/>
          <w:szCs w:val="20"/>
        </w:rPr>
      </w:pPr>
      <w:r>
        <w:rPr>
          <w:rFonts w:cs="Times New Roman"/>
          <w:sz w:val="20"/>
          <w:szCs w:val="20"/>
        </w:rPr>
        <w:lastRenderedPageBreak/>
        <w:t>Supplementing with spirulina greatly increases the deposition of carotenoid pigments in the skin, muscle and caudal fin of blue gourami; T5 (10% spirulina) exhibits the highest concentrations of these pigments. Total and specific carotenoids such as β-c</w:t>
      </w:r>
      <w:r>
        <w:rPr>
          <w:rFonts w:cs="Times New Roman"/>
          <w:sz w:val="20"/>
          <w:szCs w:val="20"/>
        </w:rPr>
        <w:t>arotene, canthaxanthin and astaxanthin significantly increased in the skin, especially in T5, suggesting enhanced pigmentation. Likewise, muscle tissue demonstrated elevated amounts of carotenoid pigments, particularly β-carotene, which showed steady incre</w:t>
      </w:r>
      <w:r>
        <w:rPr>
          <w:rFonts w:cs="Times New Roman"/>
          <w:sz w:val="20"/>
          <w:szCs w:val="20"/>
        </w:rPr>
        <w:t>ases in all treatments. The fish's caudal fin exhibited a significant rise and T5 had the highest amounts of β-carotene and astaxanthin, highlighting the possible health advantages and significance of spirulina in increasing fish coloration. Spirulina appe</w:t>
      </w:r>
      <w:r>
        <w:rPr>
          <w:rFonts w:cs="Times New Roman"/>
          <w:sz w:val="20"/>
          <w:szCs w:val="20"/>
        </w:rPr>
        <w:t>ars to be effective in enhancing the color and nutritional value of blue gourami, based on its overall effect on carotenoid levels. According to James et al. (2006), the overall carotenoid content of red swordtail fish's fins, skin and muscles increased as</w:t>
      </w:r>
      <w:r>
        <w:rPr>
          <w:rFonts w:cs="Times New Roman"/>
          <w:sz w:val="20"/>
          <w:szCs w:val="20"/>
        </w:rPr>
        <w:t xml:space="preserve"> the number of spirulina increased. They concluded that in all treatments, the fins had the most coloration, followed by the skin and muscle. Astaxanthin has a higher deposition efficiency than other carotenoids, according to Scheidt et al. (1985). Adoniru</w:t>
      </w:r>
      <w:r>
        <w:rPr>
          <w:rFonts w:cs="Times New Roman"/>
          <w:sz w:val="20"/>
          <w:szCs w:val="20"/>
        </w:rPr>
        <w:t>bin, canthaxanthin, zeaxanthin, lutein and β-carotene come next. In rainbow trout, dietary astaxanthin was primarily absorbed, stored and partially metabolized to zeaxanthin, according to Katsuyama et al. (1987). The current study's findings for fish color</w:t>
      </w:r>
      <w:r>
        <w:rPr>
          <w:rFonts w:cs="Times New Roman"/>
          <w:sz w:val="20"/>
          <w:szCs w:val="20"/>
        </w:rPr>
        <w:t xml:space="preserve"> parameters and linear correlations are consistent with those of Wathne et al. (1998), Storebakken et al. (2004) and Mora et al. (2006).</w:t>
      </w:r>
    </w:p>
    <w:p w:rsidR="00E94D45" w:rsidRDefault="005572AF">
      <w:pPr>
        <w:pStyle w:val="ListParagraph"/>
        <w:numPr>
          <w:ilvl w:val="0"/>
          <w:numId w:val="9"/>
        </w:numPr>
        <w:spacing w:after="0" w:line="276" w:lineRule="auto"/>
        <w:ind w:left="426" w:hanging="426"/>
        <w:rPr>
          <w:rFonts w:cs="Times New Roman"/>
          <w:color w:val="auto"/>
          <w:sz w:val="20"/>
          <w:szCs w:val="20"/>
        </w:rPr>
      </w:pPr>
      <w:r>
        <w:rPr>
          <w:rFonts w:cs="Times New Roman"/>
          <w:color w:val="auto"/>
          <w:sz w:val="20"/>
          <w:szCs w:val="20"/>
        </w:rPr>
        <w:t>Conclusion</w:t>
      </w:r>
    </w:p>
    <w:p w:rsidR="00E94D45" w:rsidRDefault="005572AF">
      <w:pPr>
        <w:spacing w:line="276" w:lineRule="auto"/>
        <w:rPr>
          <w:rFonts w:cs="Times New Roman"/>
          <w:sz w:val="20"/>
          <w:szCs w:val="20"/>
        </w:rPr>
      </w:pPr>
      <w:r>
        <w:rPr>
          <w:rFonts w:cs="Times New Roman"/>
          <w:sz w:val="20"/>
          <w:szCs w:val="20"/>
        </w:rPr>
        <w:t>The study demonstrates that spirulina supplementation significantly enhances various aspects of blue gourami</w:t>
      </w:r>
      <w:r>
        <w:rPr>
          <w:rFonts w:cs="Times New Roman"/>
          <w:sz w:val="20"/>
          <w:szCs w:val="20"/>
        </w:rPr>
        <w:t xml:space="preserve"> (</w:t>
      </w:r>
      <w:r>
        <w:rPr>
          <w:rFonts w:cs="Times New Roman"/>
          <w:i/>
          <w:iCs/>
          <w:sz w:val="20"/>
          <w:szCs w:val="20"/>
        </w:rPr>
        <w:t>Trichogaster trichopterus</w:t>
      </w:r>
      <w:r>
        <w:rPr>
          <w:rFonts w:cs="Times New Roman"/>
          <w:sz w:val="20"/>
          <w:szCs w:val="20"/>
        </w:rPr>
        <w:t>) physiology and performance. The results show that including more spirulina in the diet enhances immunological responses, body indices, growth parameters, hematological health, body composition, color characteristics and caroten</w:t>
      </w:r>
      <w:r>
        <w:rPr>
          <w:rFonts w:cs="Times New Roman"/>
          <w:sz w:val="20"/>
          <w:szCs w:val="20"/>
        </w:rPr>
        <w:t>oid accumulation. The results indicate that the 10% spirulina supplementation (T5) has the most consistent positive impacts on all these parameters, making it the most suitable concentration for use for enhancing the blue gourami's ornamental value and nut</w:t>
      </w:r>
      <w:r>
        <w:rPr>
          <w:rFonts w:cs="Times New Roman"/>
          <w:sz w:val="20"/>
          <w:szCs w:val="20"/>
        </w:rPr>
        <w:t xml:space="preserve">ritional quality. Although Spirulina is a relatively costly ingredient, its inclusion at T4-T5 levels significantly improved FCR and growth, potentially reducing feed cost per unit biomass produced. Therefore, Spirulina supplementation may be economically </w:t>
      </w:r>
      <w:r>
        <w:rPr>
          <w:rFonts w:cs="Times New Roman"/>
          <w:sz w:val="20"/>
          <w:szCs w:val="20"/>
        </w:rPr>
        <w:t>viable for ornamental fish culture where market value depends on growth and health quality. These findings highlight the potential of spirulina as an all-natural nutritional supplement for ornamental fish, providing long-term advantages that satisfy the ne</w:t>
      </w:r>
      <w:r>
        <w:rPr>
          <w:rFonts w:cs="Times New Roman"/>
          <w:sz w:val="20"/>
          <w:szCs w:val="20"/>
        </w:rPr>
        <w:t>eds for colorful, healthy fish in the international aquarium market.</w:t>
      </w:r>
    </w:p>
    <w:p w:rsidR="00E94D45" w:rsidRDefault="005572AF">
      <w:pPr>
        <w:spacing w:line="276" w:lineRule="auto"/>
        <w:rPr>
          <w:rFonts w:cs="Times New Roman"/>
          <w:sz w:val="20"/>
          <w:szCs w:val="20"/>
        </w:rPr>
      </w:pPr>
      <w:r>
        <w:rPr>
          <w:rFonts w:cs="Times New Roman"/>
          <w:sz w:val="20"/>
          <w:szCs w:val="20"/>
        </w:rPr>
        <w:t>\</w:t>
      </w:r>
    </w:p>
    <w:p w:rsidR="00E94D45" w:rsidRDefault="005572AF">
      <w:pPr>
        <w:rPr>
          <w:rFonts w:ascii="Calibri" w:hAnsi="Calibri" w:cs="Times New Roman"/>
          <w:highlight w:val="yellow"/>
        </w:rPr>
      </w:pPr>
      <w:bookmarkStart w:id="8" w:name="_Hlk197682619"/>
      <w:bookmarkStart w:id="9" w:name="_Hlk180402183"/>
      <w:bookmarkStart w:id="10" w:name="_Hlk183680988"/>
      <w:bookmarkStart w:id="11" w:name="_Hlk197351200"/>
      <w:bookmarkStart w:id="12" w:name="_Hlk213410455"/>
      <w:bookmarkStart w:id="13" w:name="_Hlk213409052"/>
      <w:r>
        <w:rPr>
          <w:rFonts w:ascii="Calibri" w:hAnsi="Calibri" w:cs="Times New Roman"/>
          <w:highlight w:val="yellow"/>
        </w:rPr>
        <w:t>Disclaimer (Artificial intelligence)</w:t>
      </w:r>
    </w:p>
    <w:p w:rsidR="00E94D45" w:rsidRDefault="005572AF">
      <w:pPr>
        <w:rPr>
          <w:rFonts w:ascii="Calibri" w:hAnsi="Calibri" w:cs="Times New Roman"/>
          <w:highlight w:val="yellow"/>
        </w:rPr>
      </w:pPr>
      <w:r>
        <w:rPr>
          <w:rFonts w:ascii="Calibri" w:hAnsi="Calibri" w:cs="Times New Roman"/>
          <w:highlight w:val="yellow"/>
        </w:rPr>
        <w:t xml:space="preserve">Option 1: </w:t>
      </w:r>
    </w:p>
    <w:p w:rsidR="00E94D45" w:rsidRDefault="005572AF">
      <w:pPr>
        <w:rPr>
          <w:rFonts w:ascii="Calibri" w:hAnsi="Calibri" w:cs="Times New Roman"/>
          <w:highlight w:val="yellow"/>
        </w:rPr>
      </w:pPr>
      <w:r>
        <w:rPr>
          <w:rFonts w:ascii="Calibri" w:hAnsi="Calibri" w:cs="Times New Roman"/>
          <w:highlight w:val="yellow"/>
        </w:rPr>
        <w:t>Author(s) hereby declares</w:t>
      </w:r>
      <w:r>
        <w:rPr>
          <w:rFonts w:ascii="Calibri" w:hAnsi="Calibri" w:cs="Times New Roman"/>
          <w:highlight w:val="yellow"/>
        </w:rPr>
        <w:t xml:space="preserve"> that NO generative AI technologies such as Large Language Models (ChatGPT, COPILOT, etc.) and text-to-image generators have been used during the writing or editing of this manuscript. </w:t>
      </w:r>
    </w:p>
    <w:p w:rsidR="00E94D45" w:rsidRDefault="00E94D45">
      <w:bookmarkStart w:id="14" w:name="_GoBack"/>
      <w:bookmarkEnd w:id="8"/>
      <w:bookmarkEnd w:id="9"/>
      <w:bookmarkEnd w:id="10"/>
      <w:bookmarkEnd w:id="11"/>
      <w:bookmarkEnd w:id="12"/>
      <w:bookmarkEnd w:id="14"/>
    </w:p>
    <w:p w:rsidR="00E94D45" w:rsidRDefault="00E94D45"/>
    <w:p w:rsidR="00E94D45" w:rsidRDefault="00E94D45"/>
    <w:bookmarkEnd w:id="13"/>
    <w:p w:rsidR="00E94D45" w:rsidRDefault="005572AF">
      <w:pPr>
        <w:spacing w:line="276" w:lineRule="auto"/>
        <w:rPr>
          <w:rFonts w:cs="Times New Roman"/>
          <w:b/>
          <w:bCs/>
          <w:sz w:val="20"/>
          <w:szCs w:val="20"/>
        </w:rPr>
      </w:pPr>
      <w:r>
        <w:rPr>
          <w:rFonts w:cs="Times New Roman"/>
          <w:b/>
          <w:bCs/>
          <w:sz w:val="20"/>
          <w:szCs w:val="20"/>
        </w:rPr>
        <w:t>References</w:t>
      </w:r>
    </w:p>
    <w:p w:rsidR="00E94D45" w:rsidRDefault="005572AF">
      <w:pPr>
        <w:spacing w:before="120" w:line="276" w:lineRule="auto"/>
        <w:ind w:left="720" w:hanging="720"/>
        <w:rPr>
          <w:rFonts w:cs="Times New Roman"/>
          <w:color w:val="auto"/>
          <w:kern w:val="0"/>
          <w:sz w:val="20"/>
          <w:szCs w:val="20"/>
          <w14:ligatures w14:val="none"/>
        </w:rPr>
      </w:pPr>
      <w:r>
        <w:rPr>
          <w:rFonts w:cs="Times New Roman"/>
          <w:color w:val="auto"/>
          <w:kern w:val="0"/>
          <w:sz w:val="20"/>
          <w:szCs w:val="20"/>
          <w14:ligatures w14:val="none"/>
        </w:rPr>
        <w:t xml:space="preserve">Abdel-Tawwab, M., &amp; Ahmad, H. (2009). Live </w:t>
      </w:r>
      <w:r>
        <w:rPr>
          <w:rFonts w:cs="Times New Roman"/>
          <w:i/>
          <w:iCs/>
          <w:color w:val="auto"/>
          <w:kern w:val="0"/>
          <w:sz w:val="20"/>
          <w:szCs w:val="20"/>
          <w14:ligatures w14:val="none"/>
        </w:rPr>
        <w:t xml:space="preserve">Spirulina </w:t>
      </w:r>
      <w:r>
        <w:rPr>
          <w:rFonts w:cs="Times New Roman"/>
          <w:color w:val="auto"/>
          <w:kern w:val="0"/>
          <w:sz w:val="20"/>
          <w:szCs w:val="20"/>
          <w14:ligatures w14:val="none"/>
        </w:rPr>
        <w:t>(</w:t>
      </w:r>
      <w:r>
        <w:rPr>
          <w:rFonts w:cs="Times New Roman"/>
          <w:i/>
          <w:iCs/>
          <w:color w:val="auto"/>
          <w:kern w:val="0"/>
          <w:sz w:val="20"/>
          <w:szCs w:val="20"/>
          <w14:ligatures w14:val="none"/>
        </w:rPr>
        <w:t>Arthrospira platensis</w:t>
      </w:r>
      <w:r>
        <w:rPr>
          <w:rFonts w:cs="Times New Roman"/>
          <w:color w:val="auto"/>
          <w:kern w:val="0"/>
          <w:sz w:val="20"/>
          <w:szCs w:val="20"/>
          <w14:ligatures w14:val="none"/>
        </w:rPr>
        <w:t xml:space="preserve">) as a growth and immunity promoter for Nile tilapia, </w:t>
      </w:r>
      <w:r>
        <w:rPr>
          <w:rFonts w:cs="Times New Roman"/>
          <w:i/>
          <w:iCs/>
          <w:color w:val="auto"/>
          <w:kern w:val="0"/>
          <w:sz w:val="20"/>
          <w:szCs w:val="20"/>
          <w14:ligatures w14:val="none"/>
        </w:rPr>
        <w:t>Oreochromis</w:t>
      </w:r>
      <w:r>
        <w:rPr>
          <w:rFonts w:cs="Times New Roman"/>
          <w:color w:val="auto"/>
          <w:kern w:val="0"/>
          <w:sz w:val="20"/>
          <w:szCs w:val="20"/>
          <w14:ligatures w14:val="none"/>
        </w:rPr>
        <w:t xml:space="preserve"> </w:t>
      </w:r>
      <w:r>
        <w:rPr>
          <w:rFonts w:cs="Times New Roman"/>
          <w:i/>
          <w:iCs/>
          <w:color w:val="auto"/>
          <w:kern w:val="0"/>
          <w:sz w:val="20"/>
          <w:szCs w:val="20"/>
          <w14:ligatures w14:val="none"/>
        </w:rPr>
        <w:t xml:space="preserve">niloticus </w:t>
      </w:r>
      <w:r>
        <w:rPr>
          <w:rFonts w:cs="Times New Roman"/>
          <w:color w:val="auto"/>
          <w:kern w:val="0"/>
          <w:sz w:val="20"/>
          <w:szCs w:val="20"/>
          <w14:ligatures w14:val="none"/>
        </w:rPr>
        <w:t xml:space="preserve">(L.), challenged with pathogenic </w:t>
      </w:r>
      <w:r>
        <w:rPr>
          <w:rFonts w:cs="Times New Roman"/>
          <w:i/>
          <w:iCs/>
          <w:color w:val="auto"/>
          <w:kern w:val="0"/>
          <w:sz w:val="20"/>
          <w:szCs w:val="20"/>
          <w14:ligatures w14:val="none"/>
        </w:rPr>
        <w:t>Aeromonas hydrophila</w:t>
      </w:r>
      <w:r>
        <w:rPr>
          <w:rFonts w:cs="Times New Roman"/>
          <w:color w:val="auto"/>
          <w:kern w:val="0"/>
          <w:sz w:val="20"/>
          <w:szCs w:val="20"/>
          <w14:ligatures w14:val="none"/>
        </w:rPr>
        <w:t xml:space="preserve">. </w:t>
      </w:r>
      <w:r>
        <w:rPr>
          <w:rFonts w:cs="Times New Roman"/>
          <w:i/>
          <w:iCs/>
          <w:color w:val="auto"/>
          <w:kern w:val="0"/>
          <w:sz w:val="20"/>
          <w:szCs w:val="20"/>
          <w14:ligatures w14:val="none"/>
        </w:rPr>
        <w:t>Aquaculture Research</w:t>
      </w:r>
      <w:r>
        <w:rPr>
          <w:rFonts w:cs="Times New Roman"/>
          <w:color w:val="auto"/>
          <w:kern w:val="0"/>
          <w:sz w:val="20"/>
          <w:szCs w:val="20"/>
          <w14:ligatures w14:val="none"/>
        </w:rPr>
        <w:t xml:space="preserve">, </w:t>
      </w:r>
      <w:r>
        <w:rPr>
          <w:rFonts w:cs="Times New Roman"/>
          <w:i/>
          <w:iCs/>
          <w:color w:val="auto"/>
          <w:kern w:val="0"/>
          <w:sz w:val="20"/>
          <w:szCs w:val="20"/>
          <w14:ligatures w14:val="none"/>
        </w:rPr>
        <w:t>40</w:t>
      </w:r>
      <w:r>
        <w:rPr>
          <w:rFonts w:cs="Times New Roman"/>
          <w:color w:val="auto"/>
          <w:kern w:val="0"/>
          <w:sz w:val="20"/>
          <w:szCs w:val="20"/>
          <w14:ligatures w14:val="none"/>
        </w:rPr>
        <w:t xml:space="preserve">(9), 1037-1046. </w:t>
      </w:r>
      <w:hyperlink r:id="rId8" w:history="1">
        <w:r>
          <w:rPr>
            <w:rStyle w:val="Hyperlink"/>
            <w:rFonts w:cs="Times New Roman"/>
            <w:kern w:val="0"/>
            <w:sz w:val="20"/>
            <w:szCs w:val="20"/>
            <w14:ligatures w14:val="none"/>
          </w:rPr>
          <w:t>https://doi.org/10.1111/j.1365-2109.2009.02195.x</w:t>
        </w:r>
      </w:hyperlink>
      <w:r>
        <w:rPr>
          <w:rFonts w:cs="Times New Roman"/>
          <w:color w:val="auto"/>
          <w:kern w:val="0"/>
          <w:sz w:val="20"/>
          <w:szCs w:val="20"/>
          <w14:ligatures w14:val="none"/>
        </w:rPr>
        <w:t>.</w:t>
      </w:r>
    </w:p>
    <w:p w:rsidR="00E94D45" w:rsidRDefault="005572AF">
      <w:pPr>
        <w:autoSpaceDE w:val="0"/>
        <w:autoSpaceDN w:val="0"/>
        <w:adjustRightInd w:val="0"/>
        <w:spacing w:before="120" w:line="276" w:lineRule="auto"/>
        <w:ind w:left="720" w:hanging="720"/>
        <w:rPr>
          <w:rFonts w:cs="Times New Roman"/>
          <w:kern w:val="0"/>
          <w:sz w:val="20"/>
          <w:szCs w:val="20"/>
          <w:lang w:bidi="he-IL"/>
        </w:rPr>
      </w:pPr>
      <w:r>
        <w:rPr>
          <w:rFonts w:cs="Times New Roman"/>
          <w:kern w:val="0"/>
          <w:sz w:val="20"/>
          <w:szCs w:val="20"/>
          <w:lang w:bidi="he-IL"/>
        </w:rPr>
        <w:t>Abdel-Tawwab, M., Ahmad, M.H., Khattab, Y.A.E.</w:t>
      </w:r>
      <w:r>
        <w:rPr>
          <w:rFonts w:cs="Times New Roman"/>
          <w:kern w:val="0"/>
          <w:sz w:val="20"/>
          <w:szCs w:val="20"/>
          <w:lang w:bidi="he-IL"/>
        </w:rPr>
        <w:t xml:space="preserve">, Shalaby, A.M.E., 2010. Effect of dietary protein level, initial body weight, and their interaction on the growth, feed utilization, and physiological alterations of Nile tilapia, </w:t>
      </w:r>
      <w:r>
        <w:rPr>
          <w:rFonts w:cs="Times New Roman"/>
          <w:i/>
          <w:iCs/>
          <w:kern w:val="0"/>
          <w:sz w:val="20"/>
          <w:szCs w:val="20"/>
          <w:lang w:bidi="he-IL"/>
        </w:rPr>
        <w:t xml:space="preserve">Oreochromis niloticus </w:t>
      </w:r>
      <w:r>
        <w:rPr>
          <w:rFonts w:cs="Times New Roman"/>
          <w:kern w:val="0"/>
          <w:sz w:val="20"/>
          <w:szCs w:val="20"/>
          <w:lang w:bidi="he-IL"/>
        </w:rPr>
        <w:t xml:space="preserve">(L.). </w:t>
      </w:r>
      <w:r>
        <w:rPr>
          <w:rFonts w:cs="Times New Roman"/>
          <w:i/>
          <w:iCs/>
          <w:kern w:val="0"/>
          <w:sz w:val="20"/>
          <w:szCs w:val="20"/>
          <w:lang w:bidi="he-IL"/>
        </w:rPr>
        <w:t>Aquaculture</w:t>
      </w:r>
      <w:r>
        <w:rPr>
          <w:rFonts w:cs="Times New Roman"/>
          <w:kern w:val="0"/>
          <w:sz w:val="20"/>
          <w:szCs w:val="20"/>
          <w:lang w:bidi="he-IL"/>
        </w:rPr>
        <w:t xml:space="preserve"> 298, 267-274. </w:t>
      </w:r>
      <w:hyperlink r:id="rId9" w:history="1">
        <w:r>
          <w:rPr>
            <w:rStyle w:val="Hyperlink"/>
            <w:rFonts w:cs="Times New Roman"/>
            <w:kern w:val="0"/>
            <w:sz w:val="20"/>
            <w:szCs w:val="20"/>
            <w:lang w:bidi="he-IL"/>
          </w:rPr>
          <w:t>https://doi.org/10.1016/j.aquaculture.2009.10.027</w:t>
        </w:r>
      </w:hyperlink>
      <w:r>
        <w:rPr>
          <w:rFonts w:cs="Times New Roman"/>
          <w:kern w:val="0"/>
          <w:sz w:val="20"/>
          <w:szCs w:val="20"/>
          <w:lang w:bidi="he-IL"/>
        </w:rPr>
        <w:t>.</w:t>
      </w:r>
    </w:p>
    <w:p w:rsidR="00E94D45" w:rsidRDefault="005572AF">
      <w:pPr>
        <w:autoSpaceDE w:val="0"/>
        <w:autoSpaceDN w:val="0"/>
        <w:adjustRightInd w:val="0"/>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lastRenderedPageBreak/>
        <w:t>Ahmadifar, E., Sheikhzadeh, N., Roshanaei, K., Dargahi, N., &amp; Faggio, C. (2019). Can dietary ginger (Zingiber officinale) alter biochemical and immunological pa</w:t>
      </w:r>
      <w:r>
        <w:rPr>
          <w:rFonts w:cs="Times New Roman"/>
          <w:color w:val="222222"/>
          <w:sz w:val="20"/>
          <w:szCs w:val="20"/>
          <w:shd w:val="clear" w:color="auto" w:fill="FFFFFF"/>
        </w:rPr>
        <w:t>rameters and gene expression related to growth, immunity and antioxidant system in zebrafish (</w:t>
      </w:r>
      <w:r>
        <w:rPr>
          <w:rFonts w:cs="Times New Roman"/>
          <w:i/>
          <w:iCs/>
          <w:color w:val="222222"/>
          <w:sz w:val="20"/>
          <w:szCs w:val="20"/>
          <w:shd w:val="clear" w:color="auto" w:fill="FFFFFF"/>
        </w:rPr>
        <w:t>Danio rerio</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507, 341-348. </w:t>
      </w:r>
      <w:hyperlink r:id="rId10" w:history="1">
        <w:r>
          <w:rPr>
            <w:rStyle w:val="Hyperlink"/>
            <w:rFonts w:cs="Times New Roman"/>
            <w:sz w:val="20"/>
            <w:szCs w:val="20"/>
            <w:shd w:val="clear" w:color="auto" w:fill="FFFFFF"/>
          </w:rPr>
          <w:t>https://doi.org/10.1016/j.aquaculture.2019.03.049</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Aly, S. M., Abd-El-Rahman, A. M., John, G., &amp; Mohamed, M. F. (2008). Characterization of some bacteria isolated from </w:t>
      </w:r>
      <w:r>
        <w:rPr>
          <w:rFonts w:cs="Times New Roman"/>
          <w:i/>
          <w:iCs/>
          <w:color w:val="222222"/>
          <w:sz w:val="20"/>
          <w:szCs w:val="20"/>
          <w:shd w:val="clear" w:color="auto" w:fill="FFFFFF"/>
        </w:rPr>
        <w:t>Oreochromis niloticus</w:t>
      </w:r>
      <w:r>
        <w:rPr>
          <w:rFonts w:cs="Times New Roman"/>
          <w:color w:val="222222"/>
          <w:sz w:val="20"/>
          <w:szCs w:val="20"/>
          <w:shd w:val="clear" w:color="auto" w:fill="FFFFFF"/>
        </w:rPr>
        <w:t xml:space="preserve"> and their potential use as probiotics.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277(1-2), 1-6. </w:t>
      </w:r>
      <w:hyperlink r:id="rId11" w:history="1">
        <w:r>
          <w:rPr>
            <w:rStyle w:val="Hyperlink"/>
            <w:rFonts w:cs="Times New Roman"/>
            <w:sz w:val="20"/>
            <w:szCs w:val="20"/>
            <w:shd w:val="clear" w:color="auto" w:fill="FFFFFF"/>
          </w:rPr>
          <w:t>https://doi.org/10.1016/j.aquaculture.2008.02.021</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sz w:val="20"/>
          <w:szCs w:val="20"/>
        </w:rPr>
      </w:pPr>
      <w:r>
        <w:rPr>
          <w:rFonts w:cs="Times New Roman"/>
          <w:sz w:val="20"/>
          <w:szCs w:val="20"/>
        </w:rPr>
        <w:t>Anderson, D. P., Roberson, B. S., &amp; Dixon, O. W. (1979). Plaque-Forming Cells and Humoral Antibody in Rainbow Trout (</w:t>
      </w:r>
      <w:r>
        <w:rPr>
          <w:rFonts w:cs="Times New Roman"/>
          <w:i/>
          <w:iCs/>
          <w:sz w:val="20"/>
          <w:szCs w:val="20"/>
        </w:rPr>
        <w:t>Salmo gairdneri</w:t>
      </w:r>
      <w:r>
        <w:rPr>
          <w:rFonts w:cs="Times New Roman"/>
          <w:sz w:val="20"/>
          <w:szCs w:val="20"/>
        </w:rPr>
        <w:t>) Induced by Immersion in a Yersinia ruckeri O-Antigen Pr</w:t>
      </w:r>
      <w:r>
        <w:rPr>
          <w:rFonts w:cs="Times New Roman"/>
          <w:sz w:val="20"/>
          <w:szCs w:val="20"/>
        </w:rPr>
        <w:t xml:space="preserve">eparation. </w:t>
      </w:r>
      <w:r>
        <w:rPr>
          <w:rFonts w:cs="Times New Roman"/>
          <w:i/>
          <w:iCs/>
          <w:sz w:val="20"/>
          <w:szCs w:val="20"/>
        </w:rPr>
        <w:t>Journal of the Fisheries Board of Canada</w:t>
      </w:r>
      <w:r>
        <w:t xml:space="preserve">. </w:t>
      </w:r>
      <w:hyperlink r:id="rId12" w:history="1">
        <w:r>
          <w:rPr>
            <w:rStyle w:val="Hyperlink"/>
            <w:rFonts w:cs="Times New Roman"/>
            <w:sz w:val="20"/>
            <w:szCs w:val="20"/>
          </w:rPr>
          <w:t>https://doi.org/10.1139/f79-087</w:t>
        </w:r>
      </w:hyperlink>
      <w:r>
        <w:rPr>
          <w:rFonts w:cs="Times New Roman"/>
          <w:sz w:val="20"/>
          <w:szCs w:val="20"/>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Ansarifard, F., Rajabi Islami, H., Shamsaie Mehrjan, M., &amp; Soltani, M. (2018). Effects of </w:t>
      </w:r>
      <w:r>
        <w:rPr>
          <w:rFonts w:cs="Times New Roman"/>
          <w:i/>
          <w:iCs/>
          <w:color w:val="222222"/>
          <w:sz w:val="20"/>
          <w:szCs w:val="20"/>
          <w:shd w:val="clear" w:color="auto" w:fill="FFFFFF"/>
        </w:rPr>
        <w:t>Arthrospira platensis</w:t>
      </w:r>
      <w:r>
        <w:rPr>
          <w:rFonts w:cs="Times New Roman"/>
          <w:color w:val="222222"/>
          <w:sz w:val="20"/>
          <w:szCs w:val="20"/>
          <w:shd w:val="clear" w:color="auto" w:fill="FFFFFF"/>
        </w:rPr>
        <w:t xml:space="preserve"> on growth,</w:t>
      </w:r>
      <w:r>
        <w:rPr>
          <w:rFonts w:cs="Times New Roman"/>
          <w:color w:val="222222"/>
          <w:sz w:val="20"/>
          <w:szCs w:val="20"/>
          <w:shd w:val="clear" w:color="auto" w:fill="FFFFFF"/>
        </w:rPr>
        <w:t xml:space="preserve"> skin color and digestive enzymes of Koi, </w:t>
      </w:r>
      <w:r>
        <w:rPr>
          <w:rFonts w:cs="Times New Roman"/>
          <w:i/>
          <w:iCs/>
          <w:color w:val="222222"/>
          <w:sz w:val="20"/>
          <w:szCs w:val="20"/>
          <w:shd w:val="clear" w:color="auto" w:fill="FFFFFF"/>
        </w:rPr>
        <w:t>Cyprinus carpio</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Iranian Journal of Fisheries Sciences</w:t>
      </w:r>
      <w:r>
        <w:rPr>
          <w:rFonts w:cs="Times New Roman"/>
          <w:color w:val="222222"/>
          <w:sz w:val="20"/>
          <w:szCs w:val="20"/>
          <w:shd w:val="clear" w:color="auto" w:fill="FFFFFF"/>
        </w:rPr>
        <w:t xml:space="preserve">, 17(2), 381-393. </w:t>
      </w:r>
      <w:hyperlink r:id="rId13" w:history="1">
        <w:r>
          <w:rPr>
            <w:rStyle w:val="Hyperlink"/>
            <w:rFonts w:cs="Times New Roman"/>
            <w:sz w:val="20"/>
            <w:szCs w:val="20"/>
            <w:shd w:val="clear" w:color="auto" w:fill="FFFFFF"/>
          </w:rPr>
          <w:t>https://doi.org/10.22092/ijfs.2018.115878</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kern w:val="0"/>
          <w:sz w:val="20"/>
          <w:szCs w:val="20"/>
          <w:lang w:bidi="gu-IN"/>
        </w:rPr>
      </w:pPr>
      <w:r>
        <w:rPr>
          <w:rFonts w:cs="Times New Roman"/>
          <w:kern w:val="0"/>
          <w:sz w:val="20"/>
          <w:szCs w:val="20"/>
          <w:lang w:bidi="gu-IN"/>
        </w:rPr>
        <w:t xml:space="preserve">AOAC (1995) In: Cunniff P (ed.) Official </w:t>
      </w:r>
      <w:r>
        <w:rPr>
          <w:rFonts w:cs="Times New Roman"/>
          <w:kern w:val="0"/>
          <w:sz w:val="20"/>
          <w:szCs w:val="20"/>
          <w:lang w:bidi="gu-IN"/>
        </w:rPr>
        <w:t>methods of analysis of the association of official analytical chemists, 16th edn. Arlington, Virginia.</w:t>
      </w:r>
    </w:p>
    <w:p w:rsidR="00E94D45" w:rsidRDefault="005572AF">
      <w:pPr>
        <w:spacing w:before="120" w:line="276" w:lineRule="auto"/>
        <w:ind w:left="720" w:hanging="720"/>
        <w:rPr>
          <w:rFonts w:cs="Times New Roman"/>
          <w:kern w:val="0"/>
          <w:sz w:val="20"/>
          <w:szCs w:val="20"/>
          <w:lang w:bidi="gu-IN"/>
        </w:rPr>
      </w:pPr>
      <w:r>
        <w:rPr>
          <w:rFonts w:cs="Times New Roman"/>
          <w:kern w:val="0"/>
          <w:sz w:val="20"/>
          <w:szCs w:val="20"/>
          <w:lang w:bidi="gu-IN"/>
        </w:rPr>
        <w:t>American Public Health Association, American Water Works Association, &amp; Water Environment Federation. (1992). Standard methods for the examination of wat</w:t>
      </w:r>
      <w:r>
        <w:rPr>
          <w:rFonts w:cs="Times New Roman"/>
          <w:kern w:val="0"/>
          <w:sz w:val="20"/>
          <w:szCs w:val="20"/>
          <w:lang w:bidi="gu-IN"/>
        </w:rPr>
        <w:t xml:space="preserve">er and wastewater (18th ed.). Washington, DC: APHA. </w:t>
      </w:r>
      <w:hyperlink r:id="rId14" w:history="1">
        <w:r>
          <w:rPr>
            <w:rStyle w:val="Hyperlink"/>
            <w:rFonts w:cs="Times New Roman"/>
            <w:kern w:val="0"/>
            <w:sz w:val="20"/>
            <w:szCs w:val="20"/>
            <w:lang w:bidi="gu-IN"/>
          </w:rPr>
          <w:t>https://www.standardmethods.org</w:t>
        </w:r>
      </w:hyperlink>
      <w:r>
        <w:rPr>
          <w:rFonts w:cs="Times New Roman"/>
          <w:kern w:val="0"/>
          <w:sz w:val="20"/>
          <w:szCs w:val="20"/>
          <w:lang w:bidi="gu-IN"/>
        </w:rPr>
        <w:t xml:space="preserve"> </w:t>
      </w:r>
    </w:p>
    <w:p w:rsidR="00E94D45" w:rsidRDefault="005572AF">
      <w:pPr>
        <w:autoSpaceDE w:val="0"/>
        <w:autoSpaceDN w:val="0"/>
        <w:adjustRightInd w:val="0"/>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Bain, B. J., Lewis, S. M., &amp; Bates, I. (2006). Basic haematological</w:t>
      </w:r>
      <w:r>
        <w:rPr>
          <w:rFonts w:cs="Times New Roman"/>
          <w:color w:val="222222"/>
          <w:sz w:val="20"/>
          <w:szCs w:val="20"/>
          <w:shd w:val="clear" w:color="auto" w:fill="FFFFFF"/>
        </w:rPr>
        <w:t xml:space="preserve"> techniques. In S. M. Lewis, B. J. Bain, &amp; I. Bates (Eds.), </w:t>
      </w:r>
      <w:r>
        <w:rPr>
          <w:rFonts w:cs="Times New Roman"/>
          <w:i/>
          <w:iCs/>
          <w:color w:val="222222"/>
          <w:sz w:val="20"/>
          <w:szCs w:val="20"/>
          <w:shd w:val="clear" w:color="auto" w:fill="FFFFFF"/>
        </w:rPr>
        <w:t>Dacie and Lewis Practical Haematology</w:t>
      </w:r>
      <w:r>
        <w:rPr>
          <w:rFonts w:cs="Times New Roman"/>
          <w:color w:val="222222"/>
          <w:sz w:val="20"/>
          <w:szCs w:val="20"/>
          <w:shd w:val="clear" w:color="auto" w:fill="FFFFFF"/>
        </w:rPr>
        <w:t xml:space="preserve"> (pp. 25-57). </w:t>
      </w:r>
      <w:hyperlink r:id="rId15" w:history="1">
        <w:r>
          <w:rPr>
            <w:rStyle w:val="Hyperlink"/>
            <w:rFonts w:cs="Times New Roman"/>
            <w:sz w:val="20"/>
            <w:szCs w:val="20"/>
            <w:shd w:val="clear" w:color="auto" w:fill="FFFFFF"/>
          </w:rPr>
          <w:t>https://doi.org/10.1016/b0-44-306660-4/50007-6</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kern w:val="0"/>
          <w:sz w:val="20"/>
          <w:szCs w:val="20"/>
          <w:lang w:bidi="he-IL"/>
        </w:rPr>
      </w:pPr>
      <w:r>
        <w:rPr>
          <w:rFonts w:cs="Times New Roman"/>
          <w:kern w:val="0"/>
          <w:sz w:val="20"/>
          <w:szCs w:val="20"/>
          <w:lang w:bidi="he-IL"/>
        </w:rPr>
        <w:t>Balasundram, N., Sundram, K., &amp; Sa</w:t>
      </w:r>
      <w:r>
        <w:rPr>
          <w:rFonts w:cs="Times New Roman"/>
          <w:kern w:val="0"/>
          <w:sz w:val="20"/>
          <w:szCs w:val="20"/>
          <w:lang w:bidi="he-IL"/>
        </w:rPr>
        <w:t xml:space="preserve">mman, S. (2006). Phenolic compounds in plants and Agri-industrial by-products: Antioxidant activity, occurrence, and potential uses. </w:t>
      </w:r>
      <w:r>
        <w:rPr>
          <w:rFonts w:cs="Times New Roman"/>
          <w:i/>
          <w:iCs/>
          <w:kern w:val="0"/>
          <w:sz w:val="20"/>
          <w:szCs w:val="20"/>
          <w:lang w:bidi="he-IL"/>
        </w:rPr>
        <w:t>Food Chemistry</w:t>
      </w:r>
      <w:r>
        <w:rPr>
          <w:rFonts w:cs="Times New Roman"/>
          <w:kern w:val="0"/>
          <w:sz w:val="20"/>
          <w:szCs w:val="20"/>
          <w:lang w:bidi="he-IL"/>
        </w:rPr>
        <w:t xml:space="preserve">, 99, 191–203. </w:t>
      </w:r>
      <w:hyperlink r:id="rId16" w:history="1">
        <w:r>
          <w:rPr>
            <w:rStyle w:val="Hyperlink"/>
            <w:rFonts w:cs="Times New Roman"/>
            <w:kern w:val="0"/>
            <w:sz w:val="20"/>
            <w:szCs w:val="20"/>
            <w:lang w:bidi="he-IL"/>
          </w:rPr>
          <w:t>https://doi.org/10.1016/j.foodchem</w:t>
        </w:r>
        <w:r>
          <w:rPr>
            <w:rStyle w:val="Hyperlink"/>
            <w:rFonts w:cs="Times New Roman"/>
            <w:kern w:val="0"/>
            <w:sz w:val="20"/>
            <w:szCs w:val="20"/>
            <w:lang w:bidi="he-IL"/>
          </w:rPr>
          <w:t>.2005.07.042</w:t>
        </w:r>
      </w:hyperlink>
      <w:r>
        <w:rPr>
          <w:rFonts w:cs="Times New Roman"/>
          <w:kern w:val="0"/>
          <w:sz w:val="20"/>
          <w:szCs w:val="20"/>
          <w:lang w:bidi="he-IL"/>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Bedasso, G. T. (2017). A study of immune response in nile tilapia </w:t>
      </w:r>
      <w:r>
        <w:rPr>
          <w:rFonts w:cs="Times New Roman"/>
          <w:i/>
          <w:iCs/>
          <w:color w:val="222222"/>
          <w:sz w:val="20"/>
          <w:szCs w:val="20"/>
          <w:shd w:val="clear" w:color="auto" w:fill="FFFFFF"/>
        </w:rPr>
        <w:t>Oreochromis niloticus</w:t>
      </w:r>
      <w:r>
        <w:rPr>
          <w:rFonts w:cs="Times New Roman"/>
          <w:color w:val="222222"/>
          <w:sz w:val="20"/>
          <w:szCs w:val="20"/>
          <w:shd w:val="clear" w:color="auto" w:fill="FFFFFF"/>
        </w:rPr>
        <w:t xml:space="preserve"> fed levamisole incorporated diet. </w:t>
      </w:r>
      <w:r>
        <w:rPr>
          <w:rFonts w:cs="Times New Roman"/>
          <w:i/>
          <w:iCs/>
          <w:color w:val="222222"/>
          <w:sz w:val="20"/>
          <w:szCs w:val="20"/>
          <w:shd w:val="clear" w:color="auto" w:fill="FFFFFF"/>
        </w:rPr>
        <w:t>Journal of Fisheries and Aquaculture Development.</w:t>
      </w:r>
      <w:r>
        <w:rPr>
          <w:rFonts w:cs="Times New Roman"/>
          <w:color w:val="222222"/>
          <w:sz w:val="20"/>
          <w:szCs w:val="20"/>
          <w:shd w:val="clear" w:color="auto" w:fill="FFFFFF"/>
        </w:rPr>
        <w:t xml:space="preserve"> </w:t>
      </w:r>
      <w:hyperlink r:id="rId17" w:history="1">
        <w:r>
          <w:rPr>
            <w:rStyle w:val="Hyperlink"/>
            <w:rFonts w:cs="Times New Roman"/>
            <w:sz w:val="20"/>
            <w:szCs w:val="20"/>
            <w:shd w:val="clear" w:color="auto" w:fill="FFFFFF"/>
          </w:rPr>
          <w:t>https://doi.o</w:t>
        </w:r>
        <w:r>
          <w:rPr>
            <w:rStyle w:val="Hyperlink"/>
            <w:rFonts w:cs="Times New Roman"/>
            <w:sz w:val="20"/>
            <w:szCs w:val="20"/>
            <w:shd w:val="clear" w:color="auto" w:fill="FFFFFF"/>
          </w:rPr>
          <w:t>rg/10.29011/JFAD-106/100006</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pt-BR"/>
        </w:rPr>
        <w:t xml:space="preserve">Burgos-Aceves, M. A., Lionetti, L., &amp; Faggio, C. (2019). </w:t>
      </w:r>
      <w:r>
        <w:rPr>
          <w:rFonts w:cs="Times New Roman"/>
          <w:color w:val="222222"/>
          <w:sz w:val="20"/>
          <w:szCs w:val="20"/>
          <w:shd w:val="clear" w:color="auto" w:fill="FFFFFF"/>
        </w:rPr>
        <w:t xml:space="preserve">Multidisciplinary haematology as prognostic device in environmental and xenobiotic stress-induced response in fish. </w:t>
      </w:r>
      <w:r>
        <w:rPr>
          <w:rFonts w:cs="Times New Roman"/>
          <w:i/>
          <w:iCs/>
          <w:color w:val="222222"/>
          <w:sz w:val="20"/>
          <w:szCs w:val="20"/>
          <w:shd w:val="clear" w:color="auto" w:fill="FFFFFF"/>
        </w:rPr>
        <w:t>Science of the Total Environment</w:t>
      </w:r>
      <w:r>
        <w:rPr>
          <w:rFonts w:cs="Times New Roman"/>
          <w:color w:val="222222"/>
          <w:sz w:val="20"/>
          <w:szCs w:val="20"/>
          <w:shd w:val="clear" w:color="auto" w:fill="FFFFFF"/>
        </w:rPr>
        <w:t xml:space="preserve">. </w:t>
      </w:r>
      <w:hyperlink r:id="rId18" w:history="1">
        <w:r>
          <w:rPr>
            <w:rStyle w:val="Hyperlink"/>
            <w:rFonts w:cs="Times New Roman"/>
            <w:sz w:val="20"/>
            <w:szCs w:val="20"/>
            <w:shd w:val="clear" w:color="auto" w:fill="FFFFFF"/>
          </w:rPr>
          <w:t>https://doi.org/10.1016/j.scitotenv.2019.03.275</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sz w:val="20"/>
          <w:szCs w:val="20"/>
        </w:rPr>
      </w:pPr>
      <w:r>
        <w:rPr>
          <w:rFonts w:cs="Times New Roman"/>
          <w:sz w:val="20"/>
          <w:szCs w:val="20"/>
        </w:rPr>
        <w:t>Cao, S. P., Zou, T., Zhang, P. Y., Han, D., Jin, J. Y., Liu, H. K., Yang, Y. X., Zhu, X. M., &amp; Xie, S. Q. (2018a</w:t>
      </w:r>
      <w:r>
        <w:rPr>
          <w:rFonts w:cs="Times New Roman"/>
          <w:sz w:val="20"/>
          <w:szCs w:val="20"/>
        </w:rPr>
        <w:t xml:space="preserve">). Effects of dietary fishmeal replacement with </w:t>
      </w:r>
      <w:r>
        <w:rPr>
          <w:rFonts w:cs="Times New Roman"/>
          <w:i/>
          <w:iCs/>
          <w:sz w:val="20"/>
          <w:szCs w:val="20"/>
        </w:rPr>
        <w:t>Spirulina platensis</w:t>
      </w:r>
      <w:r>
        <w:rPr>
          <w:rFonts w:cs="Times New Roman"/>
          <w:sz w:val="20"/>
          <w:szCs w:val="20"/>
        </w:rPr>
        <w:t xml:space="preserve"> on the growth, feed utilization, digestion and physiological parameters in juvenile gibel carp (</w:t>
      </w:r>
      <w:r>
        <w:rPr>
          <w:rFonts w:cs="Times New Roman"/>
          <w:i/>
          <w:iCs/>
          <w:sz w:val="20"/>
          <w:szCs w:val="20"/>
        </w:rPr>
        <w:t>Carassis auratus gibelio</w:t>
      </w:r>
      <w:r>
        <w:rPr>
          <w:rFonts w:cs="Times New Roman"/>
          <w:sz w:val="20"/>
          <w:szCs w:val="20"/>
        </w:rPr>
        <w:t xml:space="preserve"> var. CAS III). </w:t>
      </w:r>
      <w:r>
        <w:rPr>
          <w:rFonts w:cs="Times New Roman"/>
          <w:i/>
          <w:iCs/>
          <w:sz w:val="20"/>
          <w:szCs w:val="20"/>
        </w:rPr>
        <w:t>Aquaculture Research</w:t>
      </w:r>
      <w:r>
        <w:rPr>
          <w:rFonts w:cs="Times New Roman"/>
          <w:sz w:val="20"/>
          <w:szCs w:val="20"/>
        </w:rPr>
        <w:t xml:space="preserve">, 49, 1320-1328. </w:t>
      </w:r>
      <w:hyperlink r:id="rId19" w:history="1">
        <w:r>
          <w:rPr>
            <w:rStyle w:val="Hyperlink"/>
            <w:rFonts w:cs="Times New Roman"/>
            <w:sz w:val="20"/>
            <w:szCs w:val="20"/>
          </w:rPr>
          <w:t>https://doi.org/10.1111/are.13590</w:t>
        </w:r>
      </w:hyperlink>
      <w:r>
        <w:rPr>
          <w:rFonts w:cs="Times New Roman"/>
          <w:sz w:val="20"/>
          <w:szCs w:val="20"/>
        </w:rPr>
        <w:t>.</w:t>
      </w:r>
    </w:p>
    <w:p w:rsidR="00E94D45" w:rsidRDefault="005572AF">
      <w:pPr>
        <w:spacing w:before="120" w:line="276" w:lineRule="auto"/>
        <w:ind w:left="720" w:hanging="720"/>
        <w:rPr>
          <w:rFonts w:cs="Times New Roman"/>
          <w:sz w:val="20"/>
          <w:szCs w:val="20"/>
        </w:rPr>
      </w:pPr>
      <w:r>
        <w:rPr>
          <w:rFonts w:cs="Times New Roman"/>
          <w:sz w:val="20"/>
          <w:szCs w:val="20"/>
        </w:rPr>
        <w:t xml:space="preserve">Cao, S., Zhang, P., Zou, T., Fei, S., Han, D., Jin, J., Liu, H., Yang, Y., Zhu, X., &amp; Xie, S. (2018b). Replacement of fishmeal by spirulina </w:t>
      </w:r>
      <w:r>
        <w:rPr>
          <w:rFonts w:cs="Times New Roman"/>
          <w:i/>
          <w:iCs/>
          <w:sz w:val="20"/>
          <w:szCs w:val="20"/>
        </w:rPr>
        <w:t>Arthrospira platensis</w:t>
      </w:r>
      <w:r>
        <w:rPr>
          <w:rFonts w:cs="Times New Roman"/>
          <w:sz w:val="20"/>
          <w:szCs w:val="20"/>
        </w:rPr>
        <w:t xml:space="preserve"> affects growth, immune r</w:t>
      </w:r>
      <w:r>
        <w:rPr>
          <w:rFonts w:cs="Times New Roman"/>
          <w:sz w:val="20"/>
          <w:szCs w:val="20"/>
        </w:rPr>
        <w:t>elated-gene expression in gibel carp (</w:t>
      </w:r>
      <w:r>
        <w:rPr>
          <w:rFonts w:cs="Times New Roman"/>
          <w:i/>
          <w:iCs/>
          <w:sz w:val="20"/>
          <w:szCs w:val="20"/>
        </w:rPr>
        <w:t>Carassius auratus gibelio</w:t>
      </w:r>
      <w:r>
        <w:rPr>
          <w:rFonts w:cs="Times New Roman"/>
          <w:sz w:val="20"/>
          <w:szCs w:val="20"/>
        </w:rPr>
        <w:t xml:space="preserve"> var. CAS III), and its challenge against </w:t>
      </w:r>
      <w:r>
        <w:rPr>
          <w:rFonts w:cs="Times New Roman"/>
          <w:i/>
          <w:iCs/>
          <w:sz w:val="20"/>
          <w:szCs w:val="20"/>
        </w:rPr>
        <w:t>Aeromonas hydrophila</w:t>
      </w:r>
      <w:r>
        <w:rPr>
          <w:rFonts w:cs="Times New Roman"/>
          <w:sz w:val="20"/>
          <w:szCs w:val="20"/>
        </w:rPr>
        <w:t xml:space="preserve"> infection. Fish and Shellfish Immunology, 79, 265–273. </w:t>
      </w:r>
      <w:hyperlink r:id="rId20" w:history="1">
        <w:r>
          <w:rPr>
            <w:rStyle w:val="Hyperlink"/>
            <w:rFonts w:cs="Times New Roman"/>
            <w:sz w:val="20"/>
            <w:szCs w:val="20"/>
          </w:rPr>
          <w:t>https://doi.org/10.1</w:t>
        </w:r>
        <w:r>
          <w:rPr>
            <w:rStyle w:val="Hyperlink"/>
            <w:rFonts w:cs="Times New Roman"/>
            <w:sz w:val="20"/>
            <w:szCs w:val="20"/>
          </w:rPr>
          <w:t>016/j.fsi.2018.05.022</w:t>
        </w:r>
      </w:hyperlink>
      <w:r>
        <w:rPr>
          <w:rFonts w:cs="Times New Roman"/>
          <w:sz w:val="20"/>
          <w:szCs w:val="20"/>
        </w:rPr>
        <w:t>.</w:t>
      </w:r>
    </w:p>
    <w:p w:rsidR="00E94D45" w:rsidRDefault="005572AF">
      <w:pPr>
        <w:autoSpaceDE w:val="0"/>
        <w:autoSpaceDN w:val="0"/>
        <w:adjustRightInd w:val="0"/>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rPr>
        <w:t xml:space="preserve">Choonawala, B. B. (2007). Spirulina production in brine effluent from cooling towers (Master of Technology: Biotechnology thesis, Durban University of Technology). </w:t>
      </w:r>
      <w:hyperlink r:id="rId21" w:history="1">
        <w:r>
          <w:rPr>
            <w:rStyle w:val="Hyperlink"/>
            <w:rFonts w:cs="Times New Roman"/>
            <w:sz w:val="20"/>
            <w:szCs w:val="20"/>
            <w:shd w:val="clear" w:color="auto" w:fill="FFFFFF"/>
            <w:lang w:val="pt-BR"/>
          </w:rPr>
          <w:t>https://doi.org/10</w:t>
        </w:r>
        <w:r>
          <w:rPr>
            <w:rStyle w:val="Hyperlink"/>
            <w:rFonts w:cs="Times New Roman"/>
            <w:sz w:val="20"/>
            <w:szCs w:val="20"/>
            <w:shd w:val="clear" w:color="auto" w:fill="FFFFFF"/>
            <w:lang w:val="pt-BR"/>
          </w:rPr>
          <w:t>.51415/10321/134</w:t>
        </w:r>
      </w:hyperlink>
      <w:r>
        <w:rPr>
          <w:rFonts w:cs="Times New Roman"/>
          <w:color w:val="222222"/>
          <w:sz w:val="20"/>
          <w:szCs w:val="20"/>
          <w:shd w:val="clear" w:color="auto" w:fill="FFFFFF"/>
          <w:lang w:val="pt-BR"/>
        </w:rPr>
        <w:t>.</w:t>
      </w:r>
    </w:p>
    <w:p w:rsidR="00E94D45" w:rsidRDefault="005572AF">
      <w:pPr>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lang w:val="pt-BR"/>
        </w:rPr>
        <w:t xml:space="preserve">Coutinho, F., Peres, H., Guerreiro, I., Pousão-Ferreira, P., &amp; Oliva-Teles, A. (2012). </w:t>
      </w:r>
      <w:r>
        <w:rPr>
          <w:rFonts w:cs="Times New Roman"/>
          <w:color w:val="222222"/>
          <w:sz w:val="20"/>
          <w:szCs w:val="20"/>
          <w:shd w:val="clear" w:color="auto" w:fill="FFFFFF"/>
        </w:rPr>
        <w:t xml:space="preserve">Dietary protein requirement of sharpsnout sea bream (Diplodus puntazzo, Cetti 1777) juveniles. </w:t>
      </w:r>
      <w:r>
        <w:rPr>
          <w:rFonts w:cs="Times New Roman"/>
          <w:i/>
          <w:iCs/>
          <w:color w:val="222222"/>
          <w:sz w:val="20"/>
          <w:szCs w:val="20"/>
          <w:shd w:val="clear" w:color="auto" w:fill="FFFFFF"/>
          <w:lang w:val="pt-BR"/>
        </w:rPr>
        <w:t>Aquaculture</w:t>
      </w:r>
      <w:r>
        <w:rPr>
          <w:rFonts w:cs="Times New Roman"/>
          <w:color w:val="222222"/>
          <w:sz w:val="20"/>
          <w:szCs w:val="20"/>
          <w:shd w:val="clear" w:color="auto" w:fill="FFFFFF"/>
          <w:lang w:val="pt-BR"/>
        </w:rPr>
        <w:t xml:space="preserve">, 356, 391-397. </w:t>
      </w:r>
      <w:hyperlink r:id="rId22" w:history="1">
        <w:r>
          <w:rPr>
            <w:rStyle w:val="Hyperlink"/>
            <w:rFonts w:cs="Times New Roman"/>
            <w:sz w:val="20"/>
            <w:szCs w:val="20"/>
            <w:shd w:val="clear" w:color="auto" w:fill="FFFFFF"/>
            <w:lang w:val="pt-BR"/>
          </w:rPr>
          <w:t>https://doi.org/10.1016/j.aquaculture.2012.04.037</w:t>
        </w:r>
      </w:hyperlink>
      <w:r>
        <w:rPr>
          <w:rFonts w:cs="Times New Roman"/>
          <w:color w:val="222222"/>
          <w:sz w:val="20"/>
          <w:szCs w:val="20"/>
          <w:shd w:val="clear" w:color="auto" w:fill="FFFFFF"/>
          <w:lang w:val="pt-BR"/>
        </w:rPr>
        <w:t>.</w:t>
      </w:r>
    </w:p>
    <w:p w:rsidR="00E94D45" w:rsidRDefault="005572AF">
      <w:pPr>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lang w:val="pt-BR"/>
        </w:rPr>
        <w:t xml:space="preserve">de la Mora, G. I., Arredondo-Figueroa, J. L., Ponce-Palafox, J. T., &amp; Vernon-Carter, J. E. (2006). </w:t>
      </w:r>
      <w:r>
        <w:rPr>
          <w:rFonts w:cs="Times New Roman"/>
          <w:color w:val="222222"/>
          <w:sz w:val="20"/>
          <w:szCs w:val="20"/>
          <w:shd w:val="clear" w:color="auto" w:fill="FFFFFF"/>
        </w:rPr>
        <w:t>Comparison of red chilli (</w:t>
      </w:r>
      <w:r>
        <w:rPr>
          <w:rFonts w:cs="Times New Roman"/>
          <w:i/>
          <w:iCs/>
          <w:color w:val="222222"/>
          <w:sz w:val="20"/>
          <w:szCs w:val="20"/>
          <w:shd w:val="clear" w:color="auto" w:fill="FFFFFF"/>
        </w:rPr>
        <w:t>Capsicum annuum</w:t>
      </w:r>
      <w:r>
        <w:rPr>
          <w:rFonts w:cs="Times New Roman"/>
          <w:color w:val="222222"/>
          <w:sz w:val="20"/>
          <w:szCs w:val="20"/>
          <w:shd w:val="clear" w:color="auto" w:fill="FFFFFF"/>
        </w:rPr>
        <w:t>) oleoresin</w:t>
      </w:r>
      <w:r>
        <w:rPr>
          <w:rFonts w:cs="Times New Roman"/>
          <w:color w:val="222222"/>
          <w:sz w:val="20"/>
          <w:szCs w:val="20"/>
          <w:shd w:val="clear" w:color="auto" w:fill="FFFFFF"/>
        </w:rPr>
        <w:t xml:space="preserve"> and astaxanthin on rainbow trout (</w:t>
      </w:r>
      <w:r>
        <w:rPr>
          <w:rFonts w:cs="Times New Roman"/>
          <w:i/>
          <w:iCs/>
          <w:color w:val="222222"/>
          <w:sz w:val="20"/>
          <w:szCs w:val="20"/>
          <w:shd w:val="clear" w:color="auto" w:fill="FFFFFF"/>
        </w:rPr>
        <w:t>Oncorhyncus mykiss</w:t>
      </w:r>
      <w:r>
        <w:rPr>
          <w:rFonts w:cs="Times New Roman"/>
          <w:color w:val="222222"/>
          <w:sz w:val="20"/>
          <w:szCs w:val="20"/>
          <w:shd w:val="clear" w:color="auto" w:fill="FFFFFF"/>
        </w:rPr>
        <w:t xml:space="preserve">) fillet pigmentation. </w:t>
      </w:r>
      <w:r>
        <w:rPr>
          <w:rFonts w:cs="Times New Roman"/>
          <w:i/>
          <w:iCs/>
          <w:color w:val="222222"/>
          <w:sz w:val="20"/>
          <w:szCs w:val="20"/>
          <w:shd w:val="clear" w:color="auto" w:fill="FFFFFF"/>
          <w:lang w:val="pt-BR"/>
        </w:rPr>
        <w:t>Aquaculture</w:t>
      </w:r>
      <w:r>
        <w:rPr>
          <w:rFonts w:cs="Times New Roman"/>
          <w:color w:val="222222"/>
          <w:sz w:val="20"/>
          <w:szCs w:val="20"/>
          <w:shd w:val="clear" w:color="auto" w:fill="FFFFFF"/>
          <w:lang w:val="pt-BR"/>
        </w:rPr>
        <w:t xml:space="preserve">, 258(1-4), 487-495. </w:t>
      </w:r>
      <w:hyperlink r:id="rId23" w:history="1">
        <w:r>
          <w:rPr>
            <w:rStyle w:val="Hyperlink"/>
            <w:rFonts w:cs="Times New Roman"/>
            <w:sz w:val="20"/>
            <w:szCs w:val="20"/>
            <w:shd w:val="clear" w:color="auto" w:fill="FFFFFF"/>
            <w:lang w:val="pt-BR"/>
          </w:rPr>
          <w:t>https://doi.org/10.1016/j.aquaculture.2006.04.005</w:t>
        </w:r>
      </w:hyperlink>
      <w:r>
        <w:rPr>
          <w:rFonts w:cs="Times New Roman"/>
          <w:color w:val="222222"/>
          <w:sz w:val="20"/>
          <w:szCs w:val="20"/>
          <w:shd w:val="clear" w:color="auto" w:fill="FFFFFF"/>
          <w:lang w:val="pt-BR"/>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pt-BR"/>
        </w:rPr>
        <w:lastRenderedPageBreak/>
        <w:t>Deepika, G., Sivakumar, P., &amp; Raj</w:t>
      </w:r>
      <w:r>
        <w:rPr>
          <w:rFonts w:cs="Times New Roman"/>
          <w:color w:val="222222"/>
          <w:sz w:val="20"/>
          <w:szCs w:val="20"/>
          <w:shd w:val="clear" w:color="auto" w:fill="FFFFFF"/>
          <w:lang w:val="pt-BR"/>
        </w:rPr>
        <w:t xml:space="preserve">an, M. R. (2019). </w:t>
      </w:r>
      <w:r>
        <w:rPr>
          <w:rFonts w:cs="Times New Roman"/>
          <w:color w:val="222222"/>
          <w:sz w:val="20"/>
          <w:szCs w:val="20"/>
          <w:shd w:val="clear" w:color="auto" w:fill="FFFFFF"/>
        </w:rPr>
        <w:t>Isolation and characterization of bacteria from the gut of blue gourami (</w:t>
      </w:r>
      <w:r>
        <w:rPr>
          <w:rFonts w:cs="Times New Roman"/>
          <w:i/>
          <w:iCs/>
          <w:color w:val="222222"/>
          <w:sz w:val="20"/>
          <w:szCs w:val="20"/>
          <w:shd w:val="clear" w:color="auto" w:fill="FFFFFF"/>
        </w:rPr>
        <w:t>Trichogaster tricopters</w:t>
      </w:r>
      <w:r>
        <w:rPr>
          <w:rFonts w:cs="Times New Roman"/>
          <w:color w:val="222222"/>
          <w:sz w:val="20"/>
          <w:szCs w:val="20"/>
          <w:shd w:val="clear" w:color="auto" w:fill="FFFFFF"/>
        </w:rPr>
        <w:t xml:space="preserve">) and its role on growth. </w:t>
      </w:r>
      <w:r>
        <w:rPr>
          <w:rFonts w:cs="Times New Roman"/>
          <w:i/>
          <w:iCs/>
          <w:color w:val="222222"/>
          <w:sz w:val="20"/>
          <w:szCs w:val="20"/>
          <w:shd w:val="clear" w:color="auto" w:fill="FFFFFF"/>
        </w:rPr>
        <w:t>Journal of Pure and Applied Microbiology</w:t>
      </w:r>
      <w:r>
        <w:rPr>
          <w:rFonts w:cs="Times New Roman"/>
          <w:color w:val="222222"/>
          <w:sz w:val="20"/>
          <w:szCs w:val="20"/>
          <w:shd w:val="clear" w:color="auto" w:fill="FFFFFF"/>
        </w:rPr>
        <w:t xml:space="preserve">, 13(4), 2479-2487. </w:t>
      </w:r>
      <w:hyperlink r:id="rId24" w:history="1">
        <w:r>
          <w:rPr>
            <w:rStyle w:val="Hyperlink"/>
            <w:rFonts w:cs="Times New Roman"/>
            <w:sz w:val="20"/>
            <w:szCs w:val="20"/>
            <w:shd w:val="clear" w:color="auto" w:fill="FFFFFF"/>
          </w:rPr>
          <w:t>https</w:t>
        </w:r>
        <w:r>
          <w:rPr>
            <w:rStyle w:val="Hyperlink"/>
            <w:rFonts w:cs="Times New Roman"/>
            <w:sz w:val="20"/>
            <w:szCs w:val="20"/>
            <w:shd w:val="clear" w:color="auto" w:fill="FFFFFF"/>
          </w:rPr>
          <w:t>://doi.org/10.22207/JPAM.13.4.63</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lang w:val="en-IN"/>
        </w:rPr>
      </w:pPr>
      <w:r>
        <w:rPr>
          <w:rFonts w:cs="Times New Roman"/>
          <w:color w:val="222222"/>
          <w:sz w:val="20"/>
          <w:szCs w:val="20"/>
          <w:shd w:val="clear" w:color="auto" w:fill="FFFFFF"/>
        </w:rPr>
        <w:t xml:space="preserve">Degani, G., &amp; Levy, G. (2013). Underground water affects sexual behavior and gene expression of hormones related to reproduction in blue gourami males. </w:t>
      </w:r>
      <w:r>
        <w:rPr>
          <w:rFonts w:cs="Times New Roman"/>
          <w:i/>
          <w:iCs/>
          <w:color w:val="222222"/>
          <w:sz w:val="20"/>
          <w:szCs w:val="20"/>
          <w:shd w:val="clear" w:color="auto" w:fill="FFFFFF"/>
        </w:rPr>
        <w:t>Advances in Biological Chemistry</w:t>
      </w:r>
      <w:r>
        <w:rPr>
          <w:rFonts w:cs="Times New Roman"/>
          <w:color w:val="222222"/>
          <w:sz w:val="20"/>
          <w:szCs w:val="20"/>
          <w:shd w:val="clear" w:color="auto" w:fill="FFFFFF"/>
        </w:rPr>
        <w:t xml:space="preserve">, 3(1), 133-140. </w:t>
      </w:r>
      <w:hyperlink r:id="rId25" w:history="1">
        <w:r>
          <w:rPr>
            <w:rStyle w:val="Hyperlink"/>
            <w:rFonts w:cs="Times New Roman"/>
            <w:sz w:val="20"/>
            <w:szCs w:val="20"/>
            <w:shd w:val="clear" w:color="auto" w:fill="FFFFFF"/>
            <w:lang w:val="en-IN"/>
          </w:rPr>
          <w:t>https://doi.org/10.4236/abc.2013.31016</w:t>
        </w:r>
      </w:hyperlink>
      <w:r>
        <w:rPr>
          <w:rFonts w:cs="Times New Roman"/>
          <w:color w:val="222222"/>
          <w:sz w:val="20"/>
          <w:szCs w:val="20"/>
          <w:shd w:val="clear" w:color="auto" w:fill="FFFFFF"/>
          <w:lang w:val="en-IN"/>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en-IN"/>
        </w:rPr>
        <w:t xml:space="preserve">Diraman, H., Koru, E., &amp; Dibeklioglu, H. (2009). </w:t>
      </w:r>
      <w:r>
        <w:rPr>
          <w:rFonts w:cs="Times New Roman"/>
          <w:color w:val="222222"/>
          <w:sz w:val="20"/>
          <w:szCs w:val="20"/>
          <w:shd w:val="clear" w:color="auto" w:fill="FFFFFF"/>
        </w:rPr>
        <w:t xml:space="preserve">Fatty Acid Profile of </w:t>
      </w:r>
      <w:r>
        <w:rPr>
          <w:rFonts w:cs="Times New Roman"/>
          <w:i/>
          <w:iCs/>
          <w:color w:val="222222"/>
          <w:sz w:val="20"/>
          <w:szCs w:val="20"/>
          <w:shd w:val="clear" w:color="auto" w:fill="FFFFFF"/>
        </w:rPr>
        <w:t>Spirulina platensis</w:t>
      </w:r>
      <w:r>
        <w:rPr>
          <w:rFonts w:cs="Times New Roman"/>
          <w:color w:val="222222"/>
          <w:sz w:val="20"/>
          <w:szCs w:val="20"/>
          <w:shd w:val="clear" w:color="auto" w:fill="FFFFFF"/>
        </w:rPr>
        <w:t xml:space="preserve"> Used as a Food Supplement. </w:t>
      </w:r>
      <w:r>
        <w:rPr>
          <w:rFonts w:cs="Times New Roman"/>
          <w:i/>
          <w:iCs/>
          <w:color w:val="222222"/>
          <w:sz w:val="20"/>
          <w:szCs w:val="20"/>
          <w:shd w:val="clear" w:color="auto" w:fill="FFFFFF"/>
        </w:rPr>
        <w:t>The Israeli Journal of Aquaculture</w:t>
      </w:r>
      <w:r>
        <w:rPr>
          <w:rFonts w:cs="Times New Roman"/>
          <w:color w:val="222222"/>
          <w:sz w:val="20"/>
          <w:szCs w:val="20"/>
          <w:shd w:val="clear" w:color="auto" w:fill="FFFFFF"/>
        </w:rPr>
        <w:t xml:space="preserve"> - Bamidg</w:t>
      </w:r>
      <w:r>
        <w:rPr>
          <w:rFonts w:cs="Times New Roman"/>
          <w:color w:val="222222"/>
          <w:sz w:val="20"/>
          <w:szCs w:val="20"/>
          <w:shd w:val="clear" w:color="auto" w:fill="FFFFFF"/>
        </w:rPr>
        <w:t xml:space="preserve">eh, 61(2), 134-142. </w:t>
      </w:r>
      <w:hyperlink r:id="rId26" w:history="1">
        <w:r>
          <w:rPr>
            <w:rStyle w:val="Hyperlink"/>
            <w:rFonts w:cs="Times New Roman"/>
            <w:sz w:val="20"/>
            <w:szCs w:val="20"/>
            <w:shd w:val="clear" w:color="auto" w:fill="FFFFFF"/>
          </w:rPr>
          <w:t>https://doi.org/10.46989/001c.20548</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Drapeau, G. R. (1976). Protease from </w:t>
      </w:r>
      <w:r>
        <w:rPr>
          <w:rFonts w:cs="Times New Roman"/>
          <w:i/>
          <w:iCs/>
          <w:color w:val="222222"/>
          <w:sz w:val="20"/>
          <w:szCs w:val="20"/>
          <w:shd w:val="clear" w:color="auto" w:fill="FFFFFF"/>
        </w:rPr>
        <w:t>Staphyloccus aureus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In Methods in enzymology</w:t>
      </w:r>
      <w:r>
        <w:rPr>
          <w:rFonts w:cs="Times New Roman"/>
          <w:color w:val="222222"/>
          <w:sz w:val="20"/>
          <w:szCs w:val="20"/>
          <w:shd w:val="clear" w:color="auto" w:fill="FFFFFF"/>
        </w:rPr>
        <w:t xml:space="preserve"> (Vol. 45, pp. 469-475). </w:t>
      </w:r>
      <w:hyperlink r:id="rId27" w:history="1">
        <w:r>
          <w:rPr>
            <w:rStyle w:val="Hyperlink"/>
            <w:rFonts w:cs="Times New Roman"/>
            <w:sz w:val="20"/>
            <w:szCs w:val="20"/>
            <w:shd w:val="clear" w:color="auto" w:fill="FFFFFF"/>
          </w:rPr>
          <w:t>https://doi.org/10.1016/s0076-6879(76)45041-3</w:t>
        </w:r>
      </w:hyperlink>
      <w:r>
        <w:rPr>
          <w:rFonts w:cs="Times New Roman"/>
          <w:color w:val="222222"/>
          <w:sz w:val="20"/>
          <w:szCs w:val="20"/>
          <w:shd w:val="clear" w:color="auto" w:fill="FFFFFF"/>
        </w:rPr>
        <w:t>.</w:t>
      </w:r>
    </w:p>
    <w:p w:rsidR="00E94D45" w:rsidRDefault="005572AF">
      <w:pPr>
        <w:autoSpaceDE w:val="0"/>
        <w:autoSpaceDN w:val="0"/>
        <w:adjustRightInd w:val="0"/>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rPr>
        <w:t xml:space="preserve">Duncan, D. B. (1955). Multiple range and multiple F tests. </w:t>
      </w:r>
      <w:r>
        <w:rPr>
          <w:rFonts w:cs="Times New Roman"/>
          <w:i/>
          <w:iCs/>
          <w:color w:val="222222"/>
          <w:sz w:val="20"/>
          <w:szCs w:val="20"/>
          <w:shd w:val="clear" w:color="auto" w:fill="FFFFFF"/>
          <w:lang w:val="pt-BR"/>
        </w:rPr>
        <w:t>Biometrics</w:t>
      </w:r>
      <w:r>
        <w:rPr>
          <w:rFonts w:cs="Times New Roman"/>
          <w:color w:val="222222"/>
          <w:sz w:val="20"/>
          <w:szCs w:val="20"/>
          <w:shd w:val="clear" w:color="auto" w:fill="FFFFFF"/>
          <w:lang w:val="pt-BR"/>
        </w:rPr>
        <w:t xml:space="preserve">. </w:t>
      </w:r>
      <w:hyperlink r:id="rId28" w:history="1">
        <w:r>
          <w:rPr>
            <w:rStyle w:val="Hyperlink"/>
            <w:rFonts w:cs="Times New Roman"/>
            <w:sz w:val="20"/>
            <w:szCs w:val="20"/>
            <w:shd w:val="clear" w:color="auto" w:fill="FFFFFF"/>
            <w:lang w:val="pt-BR"/>
          </w:rPr>
          <w:t>https://doi.org/10.2307/3001478</w:t>
        </w:r>
      </w:hyperlink>
      <w:r>
        <w:rPr>
          <w:rFonts w:cs="Times New Roman"/>
          <w:color w:val="222222"/>
          <w:sz w:val="20"/>
          <w:szCs w:val="20"/>
          <w:shd w:val="clear" w:color="auto" w:fill="FFFFFF"/>
          <w:lang w:val="pt-BR"/>
        </w:rPr>
        <w:t>.</w:t>
      </w:r>
    </w:p>
    <w:p w:rsidR="00E94D45" w:rsidRDefault="005572AF">
      <w:pPr>
        <w:spacing w:before="120" w:line="276" w:lineRule="auto"/>
        <w:ind w:left="720" w:hanging="720"/>
        <w:rPr>
          <w:rFonts w:cs="Times New Roman"/>
          <w:kern w:val="0"/>
          <w:sz w:val="20"/>
          <w:szCs w:val="20"/>
          <w:lang w:val="en-IN" w:bidi="he-IL"/>
        </w:rPr>
      </w:pPr>
      <w:r>
        <w:rPr>
          <w:rFonts w:cs="Times New Roman"/>
          <w:kern w:val="0"/>
          <w:sz w:val="20"/>
          <w:szCs w:val="20"/>
          <w:lang w:val="pt-BR" w:bidi="he-IL"/>
        </w:rPr>
        <w:t xml:space="preserve">Enes, P., Panserat, S., Kaushik, S., &amp; Oliva-Teles, A. (2009). </w:t>
      </w:r>
      <w:r>
        <w:rPr>
          <w:rFonts w:cs="Times New Roman"/>
          <w:kern w:val="0"/>
          <w:sz w:val="20"/>
          <w:szCs w:val="20"/>
          <w:lang w:bidi="he-IL"/>
        </w:rPr>
        <w:t xml:space="preserve">Nutritional regulation of hepatic glucose metabolism in fish. </w:t>
      </w:r>
      <w:r>
        <w:rPr>
          <w:rFonts w:cs="Times New Roman"/>
          <w:i/>
          <w:iCs/>
          <w:kern w:val="0"/>
          <w:sz w:val="20"/>
          <w:szCs w:val="20"/>
          <w:lang w:bidi="he-IL"/>
        </w:rPr>
        <w:t>Fish Physiology and Biochemistry</w:t>
      </w:r>
      <w:r>
        <w:rPr>
          <w:rFonts w:cs="Times New Roman"/>
          <w:kern w:val="0"/>
          <w:sz w:val="20"/>
          <w:szCs w:val="20"/>
          <w:lang w:bidi="he-IL"/>
        </w:rPr>
        <w:t xml:space="preserve">, 35(3), 519–539. </w:t>
      </w:r>
      <w:hyperlink r:id="rId29" w:history="1">
        <w:r>
          <w:rPr>
            <w:rStyle w:val="Hyperlink"/>
            <w:rFonts w:cs="Times New Roman"/>
            <w:kern w:val="0"/>
            <w:sz w:val="20"/>
            <w:szCs w:val="20"/>
            <w:lang w:val="en-IN" w:bidi="he-IL"/>
          </w:rPr>
          <w:t>https://doi.org/10.1007/s1</w:t>
        </w:r>
        <w:r>
          <w:rPr>
            <w:rStyle w:val="Hyperlink"/>
            <w:rFonts w:cs="Times New Roman"/>
            <w:kern w:val="0"/>
            <w:sz w:val="20"/>
            <w:szCs w:val="20"/>
            <w:lang w:val="en-IN" w:bidi="he-IL"/>
          </w:rPr>
          <w:t>0695-008-9259-5</w:t>
        </w:r>
      </w:hyperlink>
      <w:r>
        <w:rPr>
          <w:rFonts w:cs="Times New Roman"/>
          <w:kern w:val="0"/>
          <w:sz w:val="20"/>
          <w:szCs w:val="20"/>
          <w:lang w:val="en-IN" w:bidi="he-IL"/>
        </w:rPr>
        <w:t>.</w:t>
      </w:r>
    </w:p>
    <w:p w:rsidR="00E94D45" w:rsidRDefault="005572AF">
      <w:pPr>
        <w:autoSpaceDE w:val="0"/>
        <w:autoSpaceDN w:val="0"/>
        <w:adjustRightInd w:val="0"/>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lang w:val="en-IN"/>
        </w:rPr>
        <w:t xml:space="preserve">Fazio, F., Lanteri, G., Saoca, C., Iaria, C., Piccione, G., Orefice, T., ... </w:t>
      </w:r>
      <w:r>
        <w:rPr>
          <w:rFonts w:cs="Times New Roman"/>
          <w:color w:val="222222"/>
          <w:sz w:val="20"/>
          <w:szCs w:val="20"/>
          <w:shd w:val="clear" w:color="auto" w:fill="FFFFFF"/>
        </w:rPr>
        <w:t xml:space="preserve">Vazzana, I. (2020). Individual variability of blood parameters in striped bass Morone saxatilis: possible differences related to weight and length. </w:t>
      </w:r>
      <w:r>
        <w:rPr>
          <w:rFonts w:cs="Times New Roman"/>
          <w:i/>
          <w:iCs/>
          <w:color w:val="222222"/>
          <w:sz w:val="20"/>
          <w:szCs w:val="20"/>
          <w:shd w:val="clear" w:color="auto" w:fill="FFFFFF"/>
          <w:lang w:val="pt-BR"/>
        </w:rPr>
        <w:t>Aquaculture</w:t>
      </w:r>
      <w:r>
        <w:rPr>
          <w:rFonts w:cs="Times New Roman"/>
          <w:i/>
          <w:iCs/>
          <w:color w:val="222222"/>
          <w:sz w:val="20"/>
          <w:szCs w:val="20"/>
          <w:shd w:val="clear" w:color="auto" w:fill="FFFFFF"/>
          <w:lang w:val="pt-BR"/>
        </w:rPr>
        <w:t xml:space="preserve"> International</w:t>
      </w:r>
      <w:r>
        <w:rPr>
          <w:rFonts w:cs="Times New Roman"/>
          <w:color w:val="222222"/>
          <w:sz w:val="20"/>
          <w:szCs w:val="20"/>
          <w:shd w:val="clear" w:color="auto" w:fill="FFFFFF"/>
          <w:lang w:val="pt-BR"/>
        </w:rPr>
        <w:t xml:space="preserve">, 28(4), 1665-1673. </w:t>
      </w:r>
      <w:hyperlink r:id="rId30" w:history="1">
        <w:r>
          <w:rPr>
            <w:rStyle w:val="Hyperlink"/>
            <w:rFonts w:cs="Times New Roman"/>
            <w:sz w:val="20"/>
            <w:szCs w:val="20"/>
            <w:shd w:val="clear" w:color="auto" w:fill="FFFFFF"/>
            <w:lang w:val="pt-BR"/>
          </w:rPr>
          <w:t>https://doi.org/10.1007/s10499-020-00550-z</w:t>
        </w:r>
      </w:hyperlink>
      <w:r>
        <w:rPr>
          <w:rFonts w:cs="Times New Roman"/>
          <w:color w:val="222222"/>
          <w:sz w:val="20"/>
          <w:szCs w:val="20"/>
          <w:shd w:val="clear" w:color="auto" w:fill="FFFFFF"/>
          <w:lang w:val="pt-BR"/>
        </w:rPr>
        <w:t>.</w:t>
      </w:r>
    </w:p>
    <w:p w:rsidR="00E94D45" w:rsidRDefault="005572AF">
      <w:pPr>
        <w:spacing w:before="120" w:line="276" w:lineRule="auto"/>
        <w:ind w:left="720" w:hanging="720"/>
        <w:rPr>
          <w:rFonts w:cs="Times New Roman"/>
          <w:kern w:val="0"/>
          <w:sz w:val="20"/>
          <w:szCs w:val="20"/>
          <w:lang w:bidi="he-IL"/>
        </w:rPr>
      </w:pPr>
      <w:r>
        <w:rPr>
          <w:rFonts w:cs="Times New Roman"/>
          <w:kern w:val="0"/>
          <w:sz w:val="20"/>
          <w:szCs w:val="20"/>
          <w:lang w:val="pt-BR" w:bidi="he-IL"/>
        </w:rPr>
        <w:t xml:space="preserve">Fazio, F., Saoca, C., Vazzana, I., &amp; Piccione, G. (2017). </w:t>
      </w:r>
      <w:r>
        <w:rPr>
          <w:rFonts w:cs="Times New Roman"/>
          <w:kern w:val="0"/>
          <w:sz w:val="20"/>
          <w:szCs w:val="20"/>
          <w:lang w:bidi="he-IL"/>
        </w:rPr>
        <w:t xml:space="preserve">Influence of body size on blood hemogram in rainbow trout </w:t>
      </w:r>
      <w:r>
        <w:rPr>
          <w:rFonts w:cs="Times New Roman"/>
          <w:i/>
          <w:iCs/>
          <w:kern w:val="0"/>
          <w:sz w:val="20"/>
          <w:szCs w:val="20"/>
          <w:lang w:bidi="he-IL"/>
        </w:rPr>
        <w:t>Oncor</w:t>
      </w:r>
      <w:r>
        <w:rPr>
          <w:rFonts w:cs="Times New Roman"/>
          <w:i/>
          <w:iCs/>
          <w:kern w:val="0"/>
          <w:sz w:val="20"/>
          <w:szCs w:val="20"/>
          <w:lang w:bidi="he-IL"/>
        </w:rPr>
        <w:t>hynchus mykiss</w:t>
      </w:r>
      <w:r>
        <w:rPr>
          <w:rFonts w:cs="Times New Roman"/>
          <w:kern w:val="0"/>
          <w:sz w:val="20"/>
          <w:szCs w:val="20"/>
          <w:lang w:bidi="he-IL"/>
        </w:rPr>
        <w:t xml:space="preserve"> (Walbaum, 1792). </w:t>
      </w:r>
      <w:r>
        <w:rPr>
          <w:rFonts w:cs="Times New Roman"/>
          <w:i/>
          <w:iCs/>
          <w:kern w:val="0"/>
          <w:sz w:val="20"/>
          <w:szCs w:val="20"/>
          <w:lang w:bidi="he-IL"/>
        </w:rPr>
        <w:t>Veterinary Medicine - Open Journal</w:t>
      </w:r>
      <w:r>
        <w:rPr>
          <w:rFonts w:cs="Times New Roman"/>
          <w:kern w:val="0"/>
          <w:sz w:val="20"/>
          <w:szCs w:val="20"/>
          <w:lang w:bidi="he-IL"/>
        </w:rPr>
        <w:t xml:space="preserve">, 2(3), 91–94. </w:t>
      </w:r>
      <w:hyperlink r:id="rId31" w:history="1">
        <w:r>
          <w:rPr>
            <w:rStyle w:val="Hyperlink"/>
            <w:rFonts w:cs="Times New Roman"/>
            <w:kern w:val="0"/>
            <w:sz w:val="20"/>
            <w:szCs w:val="20"/>
            <w:lang w:bidi="he-IL"/>
          </w:rPr>
          <w:t>https://doi.org/10.17140/VMOJ-2-121</w:t>
        </w:r>
      </w:hyperlink>
      <w:r>
        <w:rPr>
          <w:rFonts w:cs="Times New Roman"/>
          <w:kern w:val="0"/>
          <w:sz w:val="20"/>
          <w:szCs w:val="20"/>
          <w:lang w:bidi="he-IL"/>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Gogoi, S., Mandal, S. C., &amp; Patel, A. B. (2018). Effect of dietary </w:t>
      </w:r>
      <w:r>
        <w:rPr>
          <w:rFonts w:cs="Times New Roman"/>
          <w:i/>
          <w:iCs/>
          <w:color w:val="222222"/>
          <w:sz w:val="20"/>
          <w:szCs w:val="20"/>
          <w:shd w:val="clear" w:color="auto" w:fill="FFFFFF"/>
        </w:rPr>
        <w:t>Wolffia arrhiza</w:t>
      </w:r>
      <w:r>
        <w:rPr>
          <w:rFonts w:cs="Times New Roman"/>
          <w:color w:val="222222"/>
          <w:sz w:val="20"/>
          <w:szCs w:val="20"/>
          <w:shd w:val="clear" w:color="auto" w:fill="FFFFFF"/>
        </w:rPr>
        <w:t xml:space="preserve"> and</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Spirulina platensis</w:t>
      </w:r>
      <w:r>
        <w:rPr>
          <w:rFonts w:cs="Times New Roman"/>
          <w:color w:val="222222"/>
          <w:sz w:val="20"/>
          <w:szCs w:val="20"/>
          <w:shd w:val="clear" w:color="auto" w:fill="FFFFFF"/>
        </w:rPr>
        <w:t xml:space="preserve"> on growth performance and pigmentation of Queen loach, </w:t>
      </w:r>
      <w:r>
        <w:rPr>
          <w:rFonts w:cs="Times New Roman"/>
          <w:i/>
          <w:iCs/>
          <w:color w:val="222222"/>
          <w:sz w:val="20"/>
          <w:szCs w:val="20"/>
          <w:shd w:val="clear" w:color="auto" w:fill="FFFFFF"/>
        </w:rPr>
        <w:t>Botia dario</w:t>
      </w:r>
      <w:r>
        <w:rPr>
          <w:rFonts w:cs="Times New Roman"/>
          <w:color w:val="222222"/>
          <w:sz w:val="20"/>
          <w:szCs w:val="20"/>
          <w:shd w:val="clear" w:color="auto" w:fill="FFFFFF"/>
        </w:rPr>
        <w:t xml:space="preserve"> (Hamilton, 1822). </w:t>
      </w:r>
      <w:r>
        <w:rPr>
          <w:rFonts w:cs="Times New Roman"/>
          <w:i/>
          <w:iCs/>
          <w:color w:val="222222"/>
          <w:sz w:val="20"/>
          <w:szCs w:val="20"/>
          <w:shd w:val="clear" w:color="auto" w:fill="FFFFFF"/>
        </w:rPr>
        <w:t>Aquaculture Nutrition</w:t>
      </w:r>
      <w:r>
        <w:rPr>
          <w:rFonts w:cs="Times New Roman"/>
          <w:color w:val="222222"/>
          <w:sz w:val="20"/>
          <w:szCs w:val="20"/>
          <w:shd w:val="clear" w:color="auto" w:fill="FFFFFF"/>
        </w:rPr>
        <w:t xml:space="preserve">, 24(1), 285-291. </w:t>
      </w:r>
      <w:hyperlink r:id="rId32" w:history="1">
        <w:r>
          <w:rPr>
            <w:rStyle w:val="Hyperlink"/>
            <w:rFonts w:cs="Times New Roman"/>
            <w:sz w:val="20"/>
            <w:szCs w:val="20"/>
            <w:shd w:val="clear" w:color="auto" w:fill="FFFFFF"/>
          </w:rPr>
          <w:t>https://doi.org/10.1111/anu.12558</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Guo, Z., Zhu, X., Liu, J., Han, D., Yang, Y., Lan, Z., &amp; Xie, S. (2012). Effects of dietary protein level on growth performance, nitrogen and energy budget of juvenile hybrid sturgeon, </w:t>
      </w:r>
      <w:r>
        <w:rPr>
          <w:rFonts w:cs="Times New Roman"/>
          <w:i/>
          <w:iCs/>
          <w:color w:val="222222"/>
          <w:sz w:val="20"/>
          <w:szCs w:val="20"/>
          <w:shd w:val="clear" w:color="auto" w:fill="FFFFFF"/>
        </w:rPr>
        <w:t>Acipenser b</w:t>
      </w:r>
      <w:r>
        <w:rPr>
          <w:rFonts w:cs="Times New Roman"/>
          <w:color w:val="222222"/>
          <w:sz w:val="20"/>
          <w:szCs w:val="20"/>
          <w:shd w:val="clear" w:color="auto" w:fill="FFFFFF"/>
        </w:rPr>
        <w:t xml:space="preserve">aerii♀× </w:t>
      </w:r>
      <w:r>
        <w:rPr>
          <w:rFonts w:cs="Times New Roman"/>
          <w:i/>
          <w:iCs/>
          <w:color w:val="222222"/>
          <w:sz w:val="20"/>
          <w:szCs w:val="20"/>
          <w:shd w:val="clear" w:color="auto" w:fill="FFFFFF"/>
        </w:rPr>
        <w:t>A. gueldenstaedtii</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338, 89-95. </w:t>
      </w:r>
      <w:hyperlink r:id="rId33" w:history="1">
        <w:r>
          <w:rPr>
            <w:rStyle w:val="Hyperlink"/>
            <w:rFonts w:cs="Times New Roman"/>
            <w:sz w:val="20"/>
            <w:szCs w:val="20"/>
            <w:shd w:val="clear" w:color="auto" w:fill="FFFFFF"/>
          </w:rPr>
          <w:t>https://doi.org/10.1016/j.aquaculture.2012.01.008</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Güroy, B., Şahin, İ., Mantoğlu, S., &amp; Kayalı, S. (2012). Spirulina as a natural carotenoid source on growth, pigmentation and reproductive perfor</w:t>
      </w:r>
      <w:r>
        <w:rPr>
          <w:rFonts w:cs="Times New Roman"/>
          <w:color w:val="222222"/>
          <w:sz w:val="20"/>
          <w:szCs w:val="20"/>
          <w:shd w:val="clear" w:color="auto" w:fill="FFFFFF"/>
        </w:rPr>
        <w:t xml:space="preserve">mance of yellow tail cichlid </w:t>
      </w:r>
      <w:r>
        <w:rPr>
          <w:rFonts w:cs="Times New Roman"/>
          <w:i/>
          <w:iCs/>
          <w:color w:val="222222"/>
          <w:sz w:val="20"/>
          <w:szCs w:val="20"/>
          <w:shd w:val="clear" w:color="auto" w:fill="FFFFFF"/>
        </w:rPr>
        <w:t>Pseudotropheus acei</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International</w:t>
      </w:r>
      <w:r>
        <w:rPr>
          <w:rFonts w:cs="Times New Roman"/>
          <w:color w:val="222222"/>
          <w:sz w:val="20"/>
          <w:szCs w:val="20"/>
          <w:shd w:val="clear" w:color="auto" w:fill="FFFFFF"/>
        </w:rPr>
        <w:t xml:space="preserve">, 20(5), 869-878. </w:t>
      </w:r>
      <w:hyperlink r:id="rId34" w:history="1">
        <w:r>
          <w:rPr>
            <w:rStyle w:val="Hyperlink"/>
            <w:rFonts w:cs="Times New Roman"/>
            <w:sz w:val="20"/>
            <w:szCs w:val="20"/>
            <w:shd w:val="clear" w:color="auto" w:fill="FFFFFF"/>
          </w:rPr>
          <w:t>https://doi.org/10.1007/s10499-012-9512-x</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Ibrahem, M. D., Mohamed, M. F., &amp; Ibrahim, M. A. (2013). The r</w:t>
      </w:r>
      <w:r>
        <w:rPr>
          <w:rFonts w:cs="Times New Roman"/>
          <w:color w:val="222222"/>
          <w:sz w:val="20"/>
          <w:szCs w:val="20"/>
          <w:shd w:val="clear" w:color="auto" w:fill="FFFFFF"/>
        </w:rPr>
        <w:t xml:space="preserve">ole of </w:t>
      </w:r>
      <w:r>
        <w:rPr>
          <w:rFonts w:cs="Times New Roman"/>
          <w:i/>
          <w:iCs/>
          <w:color w:val="222222"/>
          <w:sz w:val="20"/>
          <w:szCs w:val="20"/>
          <w:shd w:val="clear" w:color="auto" w:fill="FFFFFF"/>
        </w:rPr>
        <w:t>Spirulina platensis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Arthrospira platensis</w:t>
      </w:r>
      <w:r>
        <w:rPr>
          <w:rFonts w:cs="Times New Roman"/>
          <w:color w:val="222222"/>
          <w:sz w:val="20"/>
          <w:szCs w:val="20"/>
          <w:shd w:val="clear" w:color="auto" w:fill="FFFFFF"/>
        </w:rPr>
        <w:t>) in growth and immunity of Nile tilapia (</w:t>
      </w:r>
      <w:r>
        <w:rPr>
          <w:rFonts w:cs="Times New Roman"/>
          <w:i/>
          <w:iCs/>
          <w:color w:val="222222"/>
          <w:sz w:val="20"/>
          <w:szCs w:val="20"/>
          <w:shd w:val="clear" w:color="auto" w:fill="FFFFFF"/>
        </w:rPr>
        <w:t>Oreochromis niloticus</w:t>
      </w:r>
      <w:r>
        <w:rPr>
          <w:rFonts w:cs="Times New Roman"/>
          <w:color w:val="222222"/>
          <w:sz w:val="20"/>
          <w:szCs w:val="20"/>
          <w:shd w:val="clear" w:color="auto" w:fill="FFFFFF"/>
        </w:rPr>
        <w:t xml:space="preserve">) and its resistance to bacterial infection. </w:t>
      </w:r>
      <w:r>
        <w:rPr>
          <w:rFonts w:cs="Times New Roman"/>
          <w:i/>
          <w:iCs/>
          <w:color w:val="222222"/>
          <w:sz w:val="20"/>
          <w:szCs w:val="20"/>
          <w:shd w:val="clear" w:color="auto" w:fill="FFFFFF"/>
        </w:rPr>
        <w:t>Journal of Agricultural Science</w:t>
      </w:r>
      <w:r>
        <w:rPr>
          <w:rFonts w:cs="Times New Roman"/>
          <w:color w:val="222222"/>
          <w:sz w:val="20"/>
          <w:szCs w:val="20"/>
          <w:shd w:val="clear" w:color="auto" w:fill="FFFFFF"/>
        </w:rPr>
        <w:t xml:space="preserve">, 5(6), 109-117. </w:t>
      </w:r>
      <w:hyperlink r:id="rId35" w:history="1">
        <w:r>
          <w:rPr>
            <w:rStyle w:val="Hyperlink"/>
            <w:rFonts w:cs="Times New Roman"/>
            <w:sz w:val="20"/>
            <w:szCs w:val="20"/>
            <w:shd w:val="clear" w:color="auto" w:fill="FFFFFF"/>
          </w:rPr>
          <w:t>h</w:t>
        </w:r>
        <w:r>
          <w:rPr>
            <w:rStyle w:val="Hyperlink"/>
            <w:rFonts w:cs="Times New Roman"/>
            <w:sz w:val="20"/>
            <w:szCs w:val="20"/>
            <w:shd w:val="clear" w:color="auto" w:fill="FFFFFF"/>
          </w:rPr>
          <w:t>ttps://doi.org/10.5539/jas.v5n6p109</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lang w:val="en-IN"/>
        </w:rPr>
      </w:pPr>
      <w:r>
        <w:rPr>
          <w:rFonts w:cs="Times New Roman"/>
          <w:color w:val="222222"/>
          <w:sz w:val="20"/>
          <w:szCs w:val="20"/>
          <w:shd w:val="clear" w:color="auto" w:fill="FFFFFF"/>
        </w:rPr>
        <w:t>James, R., Sampath, K., Thangarathinam, R., &amp; Vasudevan, I. (2006). Effect of dietary Spirulina level on growth, fertility, coloration and leucocyte count in red swordtail, Xiphophorus helleri. The Israeli Journal of</w:t>
      </w:r>
      <w:r>
        <w:rPr>
          <w:rFonts w:cs="Times New Roman"/>
          <w:color w:val="222222"/>
          <w:sz w:val="20"/>
          <w:szCs w:val="20"/>
          <w:shd w:val="clear" w:color="auto" w:fill="FFFFFF"/>
        </w:rPr>
        <w:t xml:space="preserve"> Aquaculture - Bamidgeh, 58(2), 97-104. </w:t>
      </w:r>
      <w:hyperlink r:id="rId36" w:history="1">
        <w:r>
          <w:rPr>
            <w:rStyle w:val="Hyperlink"/>
            <w:rFonts w:cs="Times New Roman"/>
            <w:sz w:val="20"/>
            <w:szCs w:val="20"/>
            <w:shd w:val="clear" w:color="auto" w:fill="FFFFFF"/>
            <w:lang w:val="en-IN"/>
          </w:rPr>
          <w:t>https://doi.org/10.46989/001c.20433</w:t>
        </w:r>
      </w:hyperlink>
      <w:r>
        <w:rPr>
          <w:rFonts w:cs="Times New Roman"/>
          <w:color w:val="222222"/>
          <w:sz w:val="20"/>
          <w:szCs w:val="20"/>
          <w:shd w:val="clear" w:color="auto" w:fill="FFFFFF"/>
          <w:lang w:val="en-IN"/>
        </w:rPr>
        <w:t>.</w:t>
      </w:r>
    </w:p>
    <w:p w:rsidR="00E94D45" w:rsidRDefault="005572AF">
      <w:pPr>
        <w:spacing w:before="120" w:line="276" w:lineRule="auto"/>
        <w:ind w:left="720" w:hanging="720"/>
        <w:rPr>
          <w:rFonts w:cs="Times New Roman"/>
          <w:kern w:val="0"/>
          <w:sz w:val="20"/>
          <w:szCs w:val="20"/>
          <w:lang w:bidi="he-IL"/>
        </w:rPr>
      </w:pPr>
      <w:r>
        <w:rPr>
          <w:rFonts w:cs="Times New Roman"/>
          <w:kern w:val="0"/>
          <w:sz w:val="20"/>
          <w:szCs w:val="20"/>
          <w:lang w:val="pt-BR" w:bidi="he-IL"/>
        </w:rPr>
        <w:t xml:space="preserve">Jiang, S., Wu, X., Li, W., Wu, M., Luo, Y., Lu, S., &amp; Lin, H. (2015). </w:t>
      </w:r>
      <w:r>
        <w:rPr>
          <w:rFonts w:cs="Times New Roman"/>
          <w:kern w:val="0"/>
          <w:sz w:val="20"/>
          <w:szCs w:val="20"/>
          <w:lang w:bidi="he-IL"/>
        </w:rPr>
        <w:t xml:space="preserve">Effects of dietary protein and lipid levels on growth, </w:t>
      </w:r>
      <w:r>
        <w:rPr>
          <w:rFonts w:cs="Times New Roman"/>
          <w:kern w:val="0"/>
          <w:sz w:val="20"/>
          <w:szCs w:val="20"/>
          <w:lang w:bidi="he-IL"/>
        </w:rPr>
        <w:t>feed utilization, body and plasma biochemical compositions of hybrid grouper (</w:t>
      </w:r>
      <w:r>
        <w:rPr>
          <w:rFonts w:cs="Times New Roman"/>
          <w:i/>
          <w:iCs/>
          <w:kern w:val="0"/>
          <w:sz w:val="20"/>
          <w:szCs w:val="20"/>
          <w:lang w:bidi="he-IL"/>
        </w:rPr>
        <w:t>Epinephelus lanceolatus</w:t>
      </w:r>
      <w:r>
        <w:rPr>
          <w:rFonts w:cs="Times New Roman"/>
          <w:kern w:val="0"/>
          <w:sz w:val="20"/>
          <w:szCs w:val="20"/>
          <w:lang w:bidi="he-IL"/>
        </w:rPr>
        <w:t xml:space="preserve"> ♂×</w:t>
      </w:r>
      <w:r>
        <w:rPr>
          <w:rFonts w:cs="Times New Roman"/>
          <w:i/>
          <w:iCs/>
          <w:kern w:val="0"/>
          <w:sz w:val="20"/>
          <w:szCs w:val="20"/>
          <w:lang w:bidi="he-IL"/>
        </w:rPr>
        <w:t>Epinephelus fuscoguttatus</w:t>
      </w:r>
      <w:r>
        <w:rPr>
          <w:rFonts w:cs="Times New Roman"/>
          <w:kern w:val="0"/>
          <w:sz w:val="20"/>
          <w:szCs w:val="20"/>
          <w:lang w:bidi="he-IL"/>
        </w:rPr>
        <w:t xml:space="preserve"> ♀) juveniles. </w:t>
      </w:r>
      <w:r>
        <w:rPr>
          <w:rFonts w:cs="Times New Roman"/>
          <w:i/>
          <w:iCs/>
          <w:kern w:val="0"/>
          <w:sz w:val="20"/>
          <w:szCs w:val="20"/>
          <w:lang w:bidi="he-IL"/>
        </w:rPr>
        <w:t>Aquaculture</w:t>
      </w:r>
      <w:r>
        <w:rPr>
          <w:rFonts w:cs="Times New Roman"/>
          <w:kern w:val="0"/>
          <w:sz w:val="20"/>
          <w:szCs w:val="20"/>
          <w:lang w:bidi="he-IL"/>
        </w:rPr>
        <w:t xml:space="preserve">, 446, 148–155. </w:t>
      </w:r>
      <w:hyperlink r:id="rId37" w:history="1">
        <w:r>
          <w:rPr>
            <w:rStyle w:val="Hyperlink"/>
            <w:rFonts w:cs="Times New Roman"/>
            <w:kern w:val="0"/>
            <w:sz w:val="20"/>
            <w:szCs w:val="20"/>
            <w:lang w:bidi="he-IL"/>
          </w:rPr>
          <w:t>https://doi.org/10.101</w:t>
        </w:r>
        <w:r>
          <w:rPr>
            <w:rStyle w:val="Hyperlink"/>
            <w:rFonts w:cs="Times New Roman"/>
            <w:kern w:val="0"/>
            <w:sz w:val="20"/>
            <w:szCs w:val="20"/>
            <w:lang w:bidi="he-IL"/>
          </w:rPr>
          <w:t>6/j.aquaculture.2015.04.034</w:t>
        </w:r>
      </w:hyperlink>
      <w:r>
        <w:rPr>
          <w:rFonts w:cs="Times New Roman"/>
          <w:kern w:val="0"/>
          <w:sz w:val="20"/>
          <w:szCs w:val="20"/>
          <w:lang w:bidi="he-IL"/>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Jorjani, M., Sharifrohani, M., Mirhashemi Rostami, A., &amp; Tan Shau Hwai, A. (2019). Effects of </w:t>
      </w:r>
      <w:r>
        <w:rPr>
          <w:rFonts w:cs="Times New Roman"/>
          <w:i/>
          <w:iCs/>
          <w:color w:val="222222"/>
          <w:sz w:val="20"/>
          <w:szCs w:val="20"/>
          <w:shd w:val="clear" w:color="auto" w:fill="FFFFFF"/>
        </w:rPr>
        <w:t>Hibiscus rosasiensis</w:t>
      </w:r>
      <w:r>
        <w:rPr>
          <w:rFonts w:cs="Times New Roman"/>
          <w:color w:val="222222"/>
          <w:sz w:val="20"/>
          <w:szCs w:val="20"/>
          <w:shd w:val="clear" w:color="auto" w:fill="FFFFFF"/>
        </w:rPr>
        <w:t xml:space="preserve"> as a natural carotenoid on growth performance, body composition, pigmentation and carotenoid in blood plasma </w:t>
      </w:r>
      <w:r>
        <w:rPr>
          <w:rFonts w:cs="Times New Roman"/>
          <w:color w:val="222222"/>
          <w:sz w:val="20"/>
          <w:szCs w:val="20"/>
          <w:shd w:val="clear" w:color="auto" w:fill="FFFFFF"/>
        </w:rPr>
        <w:t xml:space="preserve">of blue gourami, </w:t>
      </w:r>
      <w:r>
        <w:rPr>
          <w:rFonts w:cs="Times New Roman"/>
          <w:i/>
          <w:iCs/>
          <w:color w:val="222222"/>
          <w:sz w:val="20"/>
          <w:szCs w:val="20"/>
          <w:shd w:val="clear" w:color="auto" w:fill="FFFFFF"/>
        </w:rPr>
        <w:t>Trichogaster trichopterus</w:t>
      </w:r>
      <w:r>
        <w:rPr>
          <w:rFonts w:cs="Times New Roman"/>
          <w:color w:val="222222"/>
          <w:sz w:val="20"/>
          <w:szCs w:val="20"/>
          <w:shd w:val="clear" w:color="auto" w:fill="FFFFFF"/>
        </w:rPr>
        <w:t xml:space="preserve"> at different stocking densities. </w:t>
      </w:r>
      <w:r>
        <w:rPr>
          <w:rFonts w:cs="Times New Roman"/>
          <w:i/>
          <w:iCs/>
          <w:color w:val="222222"/>
          <w:sz w:val="20"/>
          <w:szCs w:val="20"/>
          <w:shd w:val="clear" w:color="auto" w:fill="FFFFFF"/>
        </w:rPr>
        <w:t>Iranian Journal of Fisheries Sciences</w:t>
      </w:r>
      <w:r>
        <w:rPr>
          <w:rFonts w:cs="Times New Roman"/>
          <w:color w:val="222222"/>
          <w:sz w:val="20"/>
          <w:szCs w:val="20"/>
          <w:shd w:val="clear" w:color="auto" w:fill="FFFFFF"/>
        </w:rPr>
        <w:t xml:space="preserve">, 18(4), 619-634. </w:t>
      </w:r>
      <w:hyperlink r:id="rId38" w:history="1">
        <w:r>
          <w:rPr>
            <w:rStyle w:val="Hyperlink"/>
            <w:rFonts w:cs="Times New Roman"/>
            <w:sz w:val="20"/>
            <w:szCs w:val="20"/>
            <w:shd w:val="clear" w:color="auto" w:fill="FFFFFF"/>
          </w:rPr>
          <w:t>https://doi.org/10.22092/ijfs.2018.119315</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auto"/>
          <w:kern w:val="0"/>
          <w:sz w:val="20"/>
          <w:szCs w:val="20"/>
          <w:lang w:bidi="he-IL"/>
          <w14:ligatures w14:val="none"/>
        </w:rPr>
      </w:pPr>
      <w:r>
        <w:rPr>
          <w:rFonts w:cs="Times New Roman"/>
          <w:color w:val="auto"/>
          <w:kern w:val="0"/>
          <w:sz w:val="20"/>
          <w:szCs w:val="20"/>
          <w:lang w:bidi="he-IL"/>
          <w14:ligatures w14:val="none"/>
        </w:rPr>
        <w:t>Karim, B., Yousria</w:t>
      </w:r>
      <w:r>
        <w:rPr>
          <w:rFonts w:cs="Times New Roman"/>
          <w:color w:val="auto"/>
          <w:kern w:val="0"/>
          <w:sz w:val="20"/>
          <w:szCs w:val="20"/>
          <w:lang w:bidi="he-IL"/>
          <w14:ligatures w14:val="none"/>
        </w:rPr>
        <w:t xml:space="preserve">, G., &amp; Wyllia, K. (2019). Influence of total length, sex and seasonal variations on hematological parameters in </w:t>
      </w:r>
      <w:r>
        <w:rPr>
          <w:rFonts w:cs="Times New Roman"/>
          <w:i/>
          <w:iCs/>
          <w:color w:val="auto"/>
          <w:kern w:val="0"/>
          <w:sz w:val="20"/>
          <w:szCs w:val="20"/>
          <w:lang w:bidi="he-IL"/>
          <w14:ligatures w14:val="none"/>
        </w:rPr>
        <w:t>Cyprinus carpio</w:t>
      </w:r>
      <w:r>
        <w:rPr>
          <w:rFonts w:cs="Times New Roman"/>
          <w:color w:val="auto"/>
          <w:kern w:val="0"/>
          <w:sz w:val="20"/>
          <w:szCs w:val="20"/>
          <w:lang w:bidi="he-IL"/>
          <w14:ligatures w14:val="none"/>
        </w:rPr>
        <w:t xml:space="preserve"> (Linnaeus, 1758) (</w:t>
      </w:r>
      <w:r>
        <w:rPr>
          <w:rFonts w:cs="Times New Roman"/>
          <w:i/>
          <w:iCs/>
          <w:color w:val="auto"/>
          <w:kern w:val="0"/>
          <w:sz w:val="20"/>
          <w:szCs w:val="20"/>
          <w:lang w:bidi="he-IL"/>
          <w14:ligatures w14:val="none"/>
        </w:rPr>
        <w:t>Pisces Cyprinidae</w:t>
      </w:r>
      <w:r>
        <w:rPr>
          <w:rFonts w:cs="Times New Roman"/>
          <w:color w:val="auto"/>
          <w:kern w:val="0"/>
          <w:sz w:val="20"/>
          <w:szCs w:val="20"/>
          <w:lang w:bidi="he-IL"/>
          <w14:ligatures w14:val="none"/>
        </w:rPr>
        <w:t xml:space="preserve">), Lake Tonga </w:t>
      </w:r>
      <w:r>
        <w:rPr>
          <w:rFonts w:cs="Times New Roman"/>
          <w:color w:val="auto"/>
          <w:kern w:val="0"/>
          <w:sz w:val="20"/>
          <w:szCs w:val="20"/>
          <w:lang w:bidi="he-IL"/>
          <w14:ligatures w14:val="none"/>
        </w:rPr>
        <w:lastRenderedPageBreak/>
        <w:t xml:space="preserve">(Algeria). </w:t>
      </w:r>
      <w:r>
        <w:rPr>
          <w:rFonts w:cs="Times New Roman"/>
          <w:i/>
          <w:iCs/>
          <w:color w:val="auto"/>
          <w:kern w:val="0"/>
          <w:sz w:val="20"/>
          <w:szCs w:val="20"/>
          <w:lang w:bidi="he-IL"/>
          <w14:ligatures w14:val="none"/>
        </w:rPr>
        <w:t>Biodiversity Journal</w:t>
      </w:r>
      <w:r>
        <w:rPr>
          <w:rFonts w:cs="Times New Roman"/>
          <w:color w:val="auto"/>
          <w:kern w:val="0"/>
          <w:sz w:val="20"/>
          <w:szCs w:val="20"/>
          <w:lang w:bidi="he-IL"/>
          <w14:ligatures w14:val="none"/>
        </w:rPr>
        <w:t xml:space="preserve">, 10(4), 593-600. </w:t>
      </w:r>
      <w:hyperlink r:id="rId39" w:history="1">
        <w:r>
          <w:rPr>
            <w:rStyle w:val="Hyperlink"/>
            <w:rFonts w:cs="Times New Roman"/>
            <w:kern w:val="0"/>
            <w:sz w:val="20"/>
            <w:szCs w:val="20"/>
            <w:lang w:bidi="he-IL"/>
            <w14:ligatures w14:val="none"/>
          </w:rPr>
          <w:t>https://doi.org/10.31396/Biodiv.Jour.2019.10.4.593.600</w:t>
        </w:r>
      </w:hyperlink>
      <w:r>
        <w:rPr>
          <w:rFonts w:cs="Times New Roman"/>
          <w:color w:val="auto"/>
          <w:kern w:val="0"/>
          <w:sz w:val="20"/>
          <w:szCs w:val="20"/>
          <w:lang w:bidi="he-IL"/>
          <w14:ligatures w14:val="none"/>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Katsuyama, M., Komori, T., &amp; Matsuno, T. (1987). Metabolism of three stereoisomers of astaxanthin in the fish, rainbow trout and tilapia. Comparative Biochemi</w:t>
      </w:r>
      <w:r>
        <w:rPr>
          <w:rFonts w:cs="Times New Roman"/>
          <w:color w:val="222222"/>
          <w:sz w:val="20"/>
          <w:szCs w:val="20"/>
          <w:shd w:val="clear" w:color="auto" w:fill="FFFFFF"/>
        </w:rPr>
        <w:t xml:space="preserve">stry and Physiology. B, Comparative Biochemistry, 86(1), 1-5. </w:t>
      </w:r>
      <w:hyperlink r:id="rId40" w:history="1">
        <w:r>
          <w:rPr>
            <w:rStyle w:val="Hyperlink"/>
            <w:rFonts w:cs="Times New Roman"/>
            <w:sz w:val="20"/>
            <w:szCs w:val="20"/>
            <w:shd w:val="clear" w:color="auto" w:fill="FFFFFF"/>
          </w:rPr>
          <w:t>https://doi.org/10.1016/0305-0491(87)90165-9</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kern w:val="0"/>
          <w:sz w:val="20"/>
          <w:szCs w:val="20"/>
          <w:lang w:bidi="he-IL"/>
        </w:rPr>
      </w:pPr>
      <w:r>
        <w:rPr>
          <w:rFonts w:cs="Times New Roman"/>
          <w:kern w:val="0"/>
          <w:sz w:val="20"/>
          <w:szCs w:val="20"/>
          <w:lang w:bidi="he-IL"/>
        </w:rPr>
        <w:t>Khanzadeh, M., Fereidouni, A. E., &amp; Berenjestanaki, S. S. (2015). Effects of partial re</w:t>
      </w:r>
      <w:r>
        <w:rPr>
          <w:rFonts w:cs="Times New Roman"/>
          <w:kern w:val="0"/>
          <w:sz w:val="20"/>
          <w:szCs w:val="20"/>
          <w:lang w:bidi="he-IL"/>
        </w:rPr>
        <w:t xml:space="preserve">placement of fish meal with </w:t>
      </w:r>
      <w:r>
        <w:rPr>
          <w:rFonts w:cs="Times New Roman"/>
          <w:i/>
          <w:iCs/>
          <w:kern w:val="0"/>
          <w:sz w:val="20"/>
          <w:szCs w:val="20"/>
          <w:lang w:bidi="he-IL"/>
        </w:rPr>
        <w:t>Spirulina platensis</w:t>
      </w:r>
      <w:r>
        <w:rPr>
          <w:rFonts w:cs="Times New Roman"/>
          <w:kern w:val="0"/>
          <w:sz w:val="20"/>
          <w:szCs w:val="20"/>
          <w:lang w:bidi="he-IL"/>
        </w:rPr>
        <w:t xml:space="preserve"> meal in practical diets on growth, survival, body composition, and reproductive performance of three-spot gourami (</w:t>
      </w:r>
      <w:r>
        <w:rPr>
          <w:rFonts w:cs="Times New Roman"/>
          <w:i/>
          <w:iCs/>
          <w:kern w:val="0"/>
          <w:sz w:val="20"/>
          <w:szCs w:val="20"/>
          <w:lang w:bidi="he-IL"/>
        </w:rPr>
        <w:t>Trichopodus trichopterus</w:t>
      </w:r>
      <w:r>
        <w:rPr>
          <w:rFonts w:cs="Times New Roman"/>
          <w:kern w:val="0"/>
          <w:sz w:val="20"/>
          <w:szCs w:val="20"/>
          <w:lang w:bidi="he-IL"/>
        </w:rPr>
        <w:t xml:space="preserve">). </w:t>
      </w:r>
      <w:r>
        <w:rPr>
          <w:rFonts w:cs="Times New Roman"/>
          <w:i/>
          <w:iCs/>
          <w:kern w:val="0"/>
          <w:sz w:val="20"/>
          <w:szCs w:val="20"/>
          <w:lang w:bidi="he-IL"/>
        </w:rPr>
        <w:t>Aquaculture International</w:t>
      </w:r>
      <w:r>
        <w:rPr>
          <w:rFonts w:cs="Times New Roman"/>
          <w:kern w:val="0"/>
          <w:sz w:val="20"/>
          <w:szCs w:val="20"/>
          <w:lang w:bidi="he-IL"/>
        </w:rPr>
        <w:t xml:space="preserve">, 24, 69-84. </w:t>
      </w:r>
      <w:hyperlink r:id="rId41" w:history="1">
        <w:r>
          <w:rPr>
            <w:rStyle w:val="Hyperlink"/>
            <w:rFonts w:cs="Times New Roman"/>
            <w:kern w:val="0"/>
            <w:sz w:val="20"/>
            <w:szCs w:val="20"/>
            <w:lang w:bidi="he-IL"/>
          </w:rPr>
          <w:t>https://doi.org/10.1007/s10499-015-9909-4</w:t>
        </w:r>
      </w:hyperlink>
      <w:r>
        <w:rPr>
          <w:rFonts w:cs="Times New Roman"/>
          <w:kern w:val="0"/>
          <w:sz w:val="20"/>
          <w:szCs w:val="20"/>
          <w:lang w:bidi="he-IL"/>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Kim, S. S., Rahimnejad, S., Kim, K. W., &amp; Lee, K. J. (2013). Partial replacement of fish meal with Spirulina pacifica in diets for parrot fish (</w:t>
      </w:r>
      <w:r>
        <w:rPr>
          <w:rFonts w:cs="Times New Roman"/>
          <w:i/>
          <w:iCs/>
          <w:color w:val="222222"/>
          <w:sz w:val="20"/>
          <w:szCs w:val="20"/>
          <w:shd w:val="clear" w:color="auto" w:fill="FFFFFF"/>
        </w:rPr>
        <w:t>Oplegnathus fasciatus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Turkish Journal</w:t>
      </w:r>
      <w:r>
        <w:rPr>
          <w:rFonts w:cs="Times New Roman"/>
          <w:i/>
          <w:iCs/>
          <w:color w:val="222222"/>
          <w:sz w:val="20"/>
          <w:szCs w:val="20"/>
          <w:shd w:val="clear" w:color="auto" w:fill="FFFFFF"/>
        </w:rPr>
        <w:t xml:space="preserve"> of Fisheries and Aquatic Sciences</w:t>
      </w:r>
      <w:r>
        <w:rPr>
          <w:rFonts w:cs="Times New Roman"/>
          <w:color w:val="222222"/>
          <w:sz w:val="20"/>
          <w:szCs w:val="20"/>
          <w:shd w:val="clear" w:color="auto" w:fill="FFFFFF"/>
        </w:rPr>
        <w:t xml:space="preserve">, 13(2), 197-204. </w:t>
      </w:r>
      <w:hyperlink r:id="rId42" w:history="1">
        <w:r>
          <w:rPr>
            <w:rStyle w:val="Hyperlink"/>
            <w:rFonts w:cs="Times New Roman"/>
            <w:sz w:val="20"/>
            <w:szCs w:val="20"/>
            <w:shd w:val="clear" w:color="auto" w:fill="FFFFFF"/>
          </w:rPr>
          <w:t>https://doi.org/10.4194/1303-2712-v13_2_01</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Kumar, S., Raman, R. P., Kumar, K., Pandey, P. K., Kumar, N., Mallesh, B., Mohanty, S., &amp; Kumar, A. (</w:t>
      </w:r>
      <w:r>
        <w:rPr>
          <w:rFonts w:cs="Times New Roman"/>
          <w:color w:val="222222"/>
          <w:sz w:val="20"/>
          <w:szCs w:val="20"/>
          <w:shd w:val="clear" w:color="auto" w:fill="FFFFFF"/>
        </w:rPr>
        <w:t xml:space="preserve">2013). Effect of azadirachtin on haematological and biochemical parameters of Argulus-infested goldfish </w:t>
      </w:r>
      <w:r>
        <w:rPr>
          <w:rFonts w:cs="Times New Roman"/>
          <w:i/>
          <w:iCs/>
          <w:color w:val="222222"/>
          <w:sz w:val="20"/>
          <w:szCs w:val="20"/>
          <w:shd w:val="clear" w:color="auto" w:fill="FFFFFF"/>
        </w:rPr>
        <w:t>Carassius auratus</w:t>
      </w:r>
      <w:r>
        <w:rPr>
          <w:rFonts w:cs="Times New Roman"/>
          <w:color w:val="222222"/>
          <w:sz w:val="20"/>
          <w:szCs w:val="20"/>
          <w:shd w:val="clear" w:color="auto" w:fill="FFFFFF"/>
        </w:rPr>
        <w:t xml:space="preserve"> (Linn. 1758). </w:t>
      </w:r>
      <w:r>
        <w:rPr>
          <w:rFonts w:cs="Times New Roman"/>
          <w:i/>
          <w:iCs/>
          <w:color w:val="222222"/>
          <w:sz w:val="20"/>
          <w:szCs w:val="20"/>
          <w:shd w:val="clear" w:color="auto" w:fill="FFFFFF"/>
        </w:rPr>
        <w:t>Fish physiology and biochemistry</w:t>
      </w:r>
      <w:r>
        <w:rPr>
          <w:rFonts w:cs="Times New Roman"/>
          <w:color w:val="222222"/>
          <w:sz w:val="20"/>
          <w:szCs w:val="20"/>
          <w:shd w:val="clear" w:color="auto" w:fill="FFFFFF"/>
        </w:rPr>
        <w:t xml:space="preserve">, 39(4), 733-747. </w:t>
      </w:r>
      <w:hyperlink r:id="rId43" w:history="1">
        <w:r>
          <w:rPr>
            <w:rStyle w:val="Hyperlink"/>
            <w:rFonts w:cs="Times New Roman"/>
            <w:sz w:val="20"/>
            <w:szCs w:val="20"/>
            <w:shd w:val="clear" w:color="auto" w:fill="FFFFFF"/>
          </w:rPr>
          <w:t>https://doi.org</w:t>
        </w:r>
        <w:r>
          <w:rPr>
            <w:rStyle w:val="Hyperlink"/>
            <w:rFonts w:cs="Times New Roman"/>
            <w:sz w:val="20"/>
            <w:szCs w:val="20"/>
            <w:shd w:val="clear" w:color="auto" w:fill="FFFFFF"/>
          </w:rPr>
          <w:t>/10.1007/s10695-012-9736-8</w:t>
        </w:r>
      </w:hyperlink>
      <w:r>
        <w:rPr>
          <w:rFonts w:cs="Times New Roman"/>
          <w:color w:val="222222"/>
          <w:sz w:val="20"/>
          <w:szCs w:val="20"/>
          <w:shd w:val="clear" w:color="auto" w:fill="FFFFFF"/>
        </w:rPr>
        <w:t>.</w:t>
      </w:r>
    </w:p>
    <w:p w:rsidR="00E94D45" w:rsidRDefault="005572AF">
      <w:pPr>
        <w:autoSpaceDE w:val="0"/>
        <w:autoSpaceDN w:val="0"/>
        <w:adjustRightInd w:val="0"/>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Lamas, J., &amp; Ellis, A. E. (1994). Atlantic salmon (</w:t>
      </w:r>
      <w:r>
        <w:rPr>
          <w:rFonts w:cs="Times New Roman"/>
          <w:i/>
          <w:iCs/>
          <w:color w:val="222222"/>
          <w:sz w:val="20"/>
          <w:szCs w:val="20"/>
          <w:shd w:val="clear" w:color="auto" w:fill="FFFFFF"/>
        </w:rPr>
        <w:t>Salmo salar</w:t>
      </w:r>
      <w:r>
        <w:rPr>
          <w:rFonts w:cs="Times New Roman"/>
          <w:color w:val="222222"/>
          <w:sz w:val="20"/>
          <w:szCs w:val="20"/>
          <w:shd w:val="clear" w:color="auto" w:fill="FFFFFF"/>
        </w:rPr>
        <w:t xml:space="preserve">) neutrophil responses to </w:t>
      </w:r>
      <w:r>
        <w:rPr>
          <w:rFonts w:cs="Times New Roman"/>
          <w:i/>
          <w:iCs/>
          <w:color w:val="222222"/>
          <w:sz w:val="20"/>
          <w:szCs w:val="20"/>
          <w:shd w:val="clear" w:color="auto" w:fill="FFFFFF"/>
        </w:rPr>
        <w:t>Aeromonas salmonicida</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Fish &amp; Shellfish Immunology</w:t>
      </w:r>
      <w:r>
        <w:rPr>
          <w:rFonts w:cs="Times New Roman"/>
          <w:color w:val="222222"/>
          <w:sz w:val="20"/>
          <w:szCs w:val="20"/>
          <w:shd w:val="clear" w:color="auto" w:fill="FFFFFF"/>
        </w:rPr>
        <w:t xml:space="preserve">, 4(3), 201-219. </w:t>
      </w:r>
      <w:hyperlink r:id="rId44" w:history="1">
        <w:r>
          <w:rPr>
            <w:rStyle w:val="Hyperlink"/>
            <w:rFonts w:cs="Times New Roman"/>
            <w:sz w:val="20"/>
            <w:szCs w:val="20"/>
            <w:shd w:val="clear" w:color="auto" w:fill="FFFFFF"/>
          </w:rPr>
          <w:t>https://doi.org/10.1006/fsim.1994.1019</w:t>
        </w:r>
      </w:hyperlink>
      <w:r>
        <w:rPr>
          <w:rFonts w:cs="Times New Roman"/>
          <w:color w:val="222222"/>
          <w:sz w:val="20"/>
          <w:szCs w:val="20"/>
          <w:shd w:val="clear" w:color="auto" w:fill="FFFFFF"/>
        </w:rPr>
        <w:t>.</w:t>
      </w:r>
    </w:p>
    <w:p w:rsidR="00E94D45" w:rsidRDefault="005572AF">
      <w:pPr>
        <w:autoSpaceDE w:val="0"/>
        <w:autoSpaceDN w:val="0"/>
        <w:adjustRightInd w:val="0"/>
        <w:spacing w:before="120" w:line="276" w:lineRule="auto"/>
        <w:ind w:left="720" w:hanging="720"/>
        <w:rPr>
          <w:rFonts w:cs="Times New Roman"/>
          <w:kern w:val="0"/>
          <w:sz w:val="20"/>
          <w:szCs w:val="20"/>
          <w:lang w:bidi="he-IL"/>
        </w:rPr>
      </w:pPr>
      <w:r>
        <w:rPr>
          <w:rFonts w:cs="Times New Roman"/>
          <w:kern w:val="0"/>
          <w:sz w:val="20"/>
          <w:szCs w:val="20"/>
          <w:lang w:bidi="he-IL"/>
        </w:rPr>
        <w:t>Lee, S.M., Kim, D.J., Cho, S.H., 2002. Effects of dietary protein and lipid level on growth and body composition of juvenile ayu (</w:t>
      </w:r>
      <w:r>
        <w:rPr>
          <w:rFonts w:cs="Times New Roman"/>
          <w:i/>
          <w:iCs/>
          <w:kern w:val="0"/>
          <w:sz w:val="20"/>
          <w:szCs w:val="20"/>
          <w:lang w:bidi="he-IL"/>
        </w:rPr>
        <w:t>Plecoglossus altivelis</w:t>
      </w:r>
      <w:r>
        <w:rPr>
          <w:rFonts w:cs="Times New Roman"/>
          <w:kern w:val="0"/>
          <w:sz w:val="20"/>
          <w:szCs w:val="20"/>
          <w:lang w:bidi="he-IL"/>
        </w:rPr>
        <w:t xml:space="preserve">) reared in seawater. </w:t>
      </w:r>
      <w:r>
        <w:rPr>
          <w:rFonts w:cs="Times New Roman"/>
          <w:i/>
          <w:iCs/>
          <w:kern w:val="0"/>
          <w:sz w:val="20"/>
          <w:szCs w:val="20"/>
          <w:lang w:bidi="he-IL"/>
        </w:rPr>
        <w:t>Aquacult. Nutr.</w:t>
      </w:r>
      <w:r>
        <w:rPr>
          <w:rFonts w:cs="Times New Roman"/>
          <w:kern w:val="0"/>
          <w:sz w:val="20"/>
          <w:szCs w:val="20"/>
          <w:lang w:bidi="he-IL"/>
        </w:rPr>
        <w:t xml:space="preserve"> 8, 53–58.</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Lu, J., &amp; Tak</w:t>
      </w:r>
      <w:r>
        <w:rPr>
          <w:rFonts w:cs="Times New Roman"/>
          <w:color w:val="222222"/>
          <w:sz w:val="20"/>
          <w:szCs w:val="20"/>
          <w:shd w:val="clear" w:color="auto" w:fill="FFFFFF"/>
        </w:rPr>
        <w:t xml:space="preserve">euchi, T. (2002). Taste of tilapia </w:t>
      </w:r>
      <w:r>
        <w:rPr>
          <w:rFonts w:cs="Times New Roman"/>
          <w:i/>
          <w:iCs/>
          <w:color w:val="222222"/>
          <w:sz w:val="20"/>
          <w:szCs w:val="20"/>
          <w:shd w:val="clear" w:color="auto" w:fill="FFFFFF"/>
        </w:rPr>
        <w:t>Oreochromis niloticus</w:t>
      </w:r>
      <w:r>
        <w:rPr>
          <w:rFonts w:cs="Times New Roman"/>
          <w:color w:val="222222"/>
          <w:sz w:val="20"/>
          <w:szCs w:val="20"/>
          <w:shd w:val="clear" w:color="auto" w:fill="FFFFFF"/>
        </w:rPr>
        <w:t xml:space="preserve"> fed solely on raw Spirulina. </w:t>
      </w:r>
      <w:r>
        <w:rPr>
          <w:rFonts w:cs="Times New Roman"/>
          <w:i/>
          <w:iCs/>
          <w:color w:val="222222"/>
          <w:sz w:val="20"/>
          <w:szCs w:val="20"/>
          <w:shd w:val="clear" w:color="auto" w:fill="FFFFFF"/>
        </w:rPr>
        <w:t>Fisheries Science</w:t>
      </w:r>
      <w:r>
        <w:rPr>
          <w:rFonts w:cs="Times New Roman"/>
          <w:color w:val="222222"/>
          <w:sz w:val="20"/>
          <w:szCs w:val="20"/>
          <w:shd w:val="clear" w:color="auto" w:fill="FFFFFF"/>
        </w:rPr>
        <w:t xml:space="preserve">, 68(sup1), 987-988. </w:t>
      </w:r>
      <w:hyperlink r:id="rId45" w:history="1">
        <w:r>
          <w:rPr>
            <w:rStyle w:val="Hyperlink"/>
            <w:rFonts w:cs="Times New Roman"/>
            <w:sz w:val="20"/>
            <w:szCs w:val="20"/>
            <w:shd w:val="clear" w:color="auto" w:fill="FFFFFF"/>
          </w:rPr>
          <w:t>https://doi.org/10.2331/fishsci.68.sup1_987</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rPr>
        <w:t xml:space="preserve">Lu, J., &amp; Takeuchi, T. (2004). Spawning and egg quality of the tilapia </w:t>
      </w:r>
      <w:r>
        <w:rPr>
          <w:rFonts w:cs="Times New Roman"/>
          <w:i/>
          <w:iCs/>
          <w:color w:val="222222"/>
          <w:sz w:val="20"/>
          <w:szCs w:val="20"/>
          <w:shd w:val="clear" w:color="auto" w:fill="FFFFFF"/>
        </w:rPr>
        <w:t>Oreochromis niloticus</w:t>
      </w:r>
      <w:r>
        <w:rPr>
          <w:rFonts w:cs="Times New Roman"/>
          <w:color w:val="222222"/>
          <w:sz w:val="20"/>
          <w:szCs w:val="20"/>
          <w:shd w:val="clear" w:color="auto" w:fill="FFFFFF"/>
        </w:rPr>
        <w:t xml:space="preserve"> fed solely on raw Spirulina throughout three generations. </w:t>
      </w:r>
      <w:r>
        <w:rPr>
          <w:rFonts w:cs="Times New Roman"/>
          <w:i/>
          <w:iCs/>
          <w:color w:val="222222"/>
          <w:sz w:val="20"/>
          <w:szCs w:val="20"/>
          <w:shd w:val="clear" w:color="auto" w:fill="FFFFFF"/>
          <w:lang w:val="pt-BR"/>
        </w:rPr>
        <w:t>Aquaculture</w:t>
      </w:r>
      <w:r>
        <w:rPr>
          <w:rFonts w:cs="Times New Roman"/>
          <w:color w:val="222222"/>
          <w:sz w:val="20"/>
          <w:szCs w:val="20"/>
          <w:shd w:val="clear" w:color="auto" w:fill="FFFFFF"/>
          <w:lang w:val="pt-BR"/>
        </w:rPr>
        <w:t xml:space="preserve">, 234(1-4), 625-640. </w:t>
      </w:r>
      <w:hyperlink r:id="rId46" w:history="1">
        <w:r>
          <w:rPr>
            <w:rStyle w:val="Hyperlink"/>
            <w:rFonts w:cs="Times New Roman"/>
            <w:sz w:val="20"/>
            <w:szCs w:val="20"/>
            <w:shd w:val="clear" w:color="auto" w:fill="FFFFFF"/>
            <w:lang w:val="pt-BR"/>
          </w:rPr>
          <w:t>https://doi.</w:t>
        </w:r>
        <w:r>
          <w:rPr>
            <w:rStyle w:val="Hyperlink"/>
            <w:rFonts w:cs="Times New Roman"/>
            <w:sz w:val="20"/>
            <w:szCs w:val="20"/>
            <w:shd w:val="clear" w:color="auto" w:fill="FFFFFF"/>
            <w:lang w:val="pt-BR"/>
          </w:rPr>
          <w:t>org/10.1016/j.aquaculture.2003.12.027</w:t>
        </w:r>
      </w:hyperlink>
      <w:r>
        <w:rPr>
          <w:rFonts w:cs="Times New Roman"/>
          <w:color w:val="222222"/>
          <w:sz w:val="20"/>
          <w:szCs w:val="20"/>
          <w:shd w:val="clear" w:color="auto" w:fill="FFFFFF"/>
          <w:lang w:val="pt-BR"/>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pt-BR"/>
        </w:rPr>
        <w:t xml:space="preserve">Maiti, M. K., Bora, D., Nandeesha, T. L., Sahoo, S., Adarsh, B. K., &amp; Kumar, S. (2017). </w:t>
      </w:r>
      <w:r>
        <w:rPr>
          <w:rFonts w:cs="Times New Roman"/>
          <w:color w:val="222222"/>
          <w:sz w:val="20"/>
          <w:szCs w:val="20"/>
          <w:shd w:val="clear" w:color="auto" w:fill="FFFFFF"/>
        </w:rPr>
        <w:t xml:space="preserve">Effect of dietary natural carotenoid sources on color enhancement of Koi carp, </w:t>
      </w:r>
      <w:r>
        <w:rPr>
          <w:rFonts w:cs="Times New Roman"/>
          <w:i/>
          <w:iCs/>
          <w:color w:val="222222"/>
          <w:sz w:val="20"/>
          <w:szCs w:val="20"/>
          <w:shd w:val="clear" w:color="auto" w:fill="FFFFFF"/>
        </w:rPr>
        <w:t>Cyprinus carpio</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L</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International Journal of Fis</w:t>
      </w:r>
      <w:r>
        <w:rPr>
          <w:rFonts w:cs="Times New Roman"/>
          <w:i/>
          <w:iCs/>
          <w:color w:val="222222"/>
          <w:sz w:val="20"/>
          <w:szCs w:val="20"/>
          <w:shd w:val="clear" w:color="auto" w:fill="FFFFFF"/>
        </w:rPr>
        <w:t>heries and Aquatic Studies</w:t>
      </w:r>
      <w:r>
        <w:rPr>
          <w:rFonts w:cs="Times New Roman"/>
          <w:color w:val="222222"/>
          <w:sz w:val="20"/>
          <w:szCs w:val="20"/>
          <w:shd w:val="clear" w:color="auto" w:fill="FFFFFF"/>
        </w:rPr>
        <w:t xml:space="preserve">, 5(4), 340-345. </w:t>
      </w:r>
      <w:hyperlink r:id="rId47" w:history="1">
        <w:r>
          <w:rPr>
            <w:rStyle w:val="Hyperlink"/>
            <w:rFonts w:cs="Times New Roman"/>
            <w:sz w:val="20"/>
            <w:szCs w:val="20"/>
            <w:shd w:val="clear" w:color="auto" w:fill="FFFFFF"/>
          </w:rPr>
          <w:t>https://www.fisheriesjournal.com/</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Meng-umphan, K., &amp; Saengkrachang, J. (2008). Production of Generation-2 Mekong giant catfish (P</w:t>
      </w:r>
      <w:r>
        <w:rPr>
          <w:rFonts w:cs="Times New Roman"/>
          <w:i/>
          <w:iCs/>
          <w:color w:val="222222"/>
          <w:sz w:val="20"/>
          <w:szCs w:val="20"/>
          <w:shd w:val="clear" w:color="auto" w:fill="FFFFFF"/>
        </w:rPr>
        <w:t>angasinodon gigas</w:t>
      </w:r>
      <w:r>
        <w:rPr>
          <w:rFonts w:cs="Times New Roman"/>
          <w:color w:val="222222"/>
          <w:sz w:val="20"/>
          <w:szCs w:val="20"/>
          <w:shd w:val="clear" w:color="auto" w:fill="FFFFFF"/>
        </w:rPr>
        <w:t xml:space="preserve">) cultured with </w:t>
      </w:r>
      <w:r>
        <w:rPr>
          <w:rFonts w:cs="Times New Roman"/>
          <w:i/>
          <w:iCs/>
          <w:color w:val="222222"/>
          <w:sz w:val="20"/>
          <w:szCs w:val="20"/>
          <w:shd w:val="clear" w:color="auto" w:fill="FFFFFF"/>
        </w:rPr>
        <w:t>Spirulina sp</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International Journal of Science and Technology</w:t>
      </w:r>
      <w:r>
        <w:rPr>
          <w:rFonts w:cs="Times New Roman"/>
          <w:color w:val="222222"/>
          <w:sz w:val="20"/>
          <w:szCs w:val="20"/>
          <w:shd w:val="clear" w:color="auto" w:fill="FFFFFF"/>
        </w:rPr>
        <w:t xml:space="preserve">, 2(3), 559–567. </w:t>
      </w:r>
      <w:hyperlink r:id="rId48" w:history="1">
        <w:r>
          <w:rPr>
            <w:rStyle w:val="Hyperlink"/>
            <w:rFonts w:cs="Times New Roman"/>
            <w:sz w:val="20"/>
            <w:szCs w:val="20"/>
            <w:shd w:val="clear" w:color="auto" w:fill="FFFFFF"/>
          </w:rPr>
          <w:t>http://www.mijst.mju.ac.th/vol2no3/559-567.pdf</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sz w:val="20"/>
          <w:szCs w:val="20"/>
        </w:rPr>
      </w:pPr>
      <w:r>
        <w:rPr>
          <w:rFonts w:cs="Times New Roman"/>
          <w:sz w:val="20"/>
          <w:szCs w:val="20"/>
        </w:rPr>
        <w:t>Roohani, A. M., Abedian Kenari, A., Fallahi Kapoorchali</w:t>
      </w:r>
      <w:r>
        <w:rPr>
          <w:rFonts w:cs="Times New Roman"/>
          <w:sz w:val="20"/>
          <w:szCs w:val="20"/>
        </w:rPr>
        <w:t xml:space="preserve">, M., Sayad Borani, M., Jalil Zorriehzahra, M., Smiley, A. H., Esmaeili, M., &amp; Nishioka Rombenso, A. (2019). Effect of spirulina </w:t>
      </w:r>
      <w:r>
        <w:rPr>
          <w:rFonts w:cs="Times New Roman"/>
          <w:i/>
          <w:iCs/>
          <w:sz w:val="20"/>
          <w:szCs w:val="20"/>
        </w:rPr>
        <w:t>Spirulina platensis</w:t>
      </w:r>
      <w:r>
        <w:rPr>
          <w:rFonts w:cs="Times New Roman"/>
          <w:sz w:val="20"/>
          <w:szCs w:val="20"/>
        </w:rPr>
        <w:t xml:space="preserve"> as a complementary ingredient to reduce dietary fish meal on the growth performance, whole-body composition</w:t>
      </w:r>
      <w:r>
        <w:rPr>
          <w:rFonts w:cs="Times New Roman"/>
          <w:sz w:val="20"/>
          <w:szCs w:val="20"/>
        </w:rPr>
        <w:t>, fatty acid and amino acid profiles, and pigmentation of Caspian brown trout (</w:t>
      </w:r>
      <w:r>
        <w:rPr>
          <w:rFonts w:cs="Times New Roman"/>
          <w:i/>
          <w:iCs/>
          <w:sz w:val="20"/>
          <w:szCs w:val="20"/>
        </w:rPr>
        <w:t>Salmo trutta caspius</w:t>
      </w:r>
      <w:r>
        <w:rPr>
          <w:rFonts w:cs="Times New Roman"/>
          <w:sz w:val="20"/>
          <w:szCs w:val="20"/>
        </w:rPr>
        <w:t xml:space="preserve">) juveniles. </w:t>
      </w:r>
      <w:r>
        <w:rPr>
          <w:rFonts w:cs="Times New Roman"/>
          <w:i/>
          <w:iCs/>
          <w:sz w:val="20"/>
          <w:szCs w:val="20"/>
        </w:rPr>
        <w:t>Aquaculture Nutrition</w:t>
      </w:r>
      <w:r>
        <w:rPr>
          <w:rFonts w:cs="Times New Roman"/>
          <w:sz w:val="20"/>
          <w:szCs w:val="20"/>
        </w:rPr>
        <w:t xml:space="preserve">. </w:t>
      </w:r>
      <w:hyperlink r:id="rId49" w:history="1">
        <w:r>
          <w:rPr>
            <w:rStyle w:val="Hyperlink"/>
            <w:rFonts w:cs="Times New Roman"/>
            <w:sz w:val="20"/>
            <w:szCs w:val="20"/>
          </w:rPr>
          <w:t>https://doi.org/10.1111/anu.12885</w:t>
        </w:r>
      </w:hyperlink>
      <w:r>
        <w:rPr>
          <w:rFonts w:cs="Times New Roman"/>
          <w:sz w:val="20"/>
          <w:szCs w:val="20"/>
        </w:rPr>
        <w:t>.</w:t>
      </w:r>
    </w:p>
    <w:p w:rsidR="00E94D45" w:rsidRDefault="005572AF">
      <w:pPr>
        <w:spacing w:before="120" w:line="276" w:lineRule="auto"/>
        <w:ind w:left="720" w:hanging="720"/>
        <w:rPr>
          <w:rFonts w:cs="Times New Roman"/>
          <w:color w:val="222222"/>
          <w:sz w:val="20"/>
          <w:szCs w:val="20"/>
          <w:shd w:val="clear" w:color="auto" w:fill="FFFFFF"/>
          <w:lang w:val="en-IN"/>
        </w:rPr>
      </w:pPr>
      <w:r>
        <w:rPr>
          <w:rFonts w:cs="Times New Roman"/>
          <w:color w:val="222222"/>
          <w:sz w:val="20"/>
          <w:szCs w:val="20"/>
          <w:shd w:val="clear" w:color="auto" w:fill="FFFFFF"/>
        </w:rPr>
        <w:t>Mohanta, K. N., Subramanian, S., &amp; K</w:t>
      </w:r>
      <w:r>
        <w:rPr>
          <w:rFonts w:cs="Times New Roman"/>
          <w:color w:val="222222"/>
          <w:sz w:val="20"/>
          <w:szCs w:val="20"/>
          <w:shd w:val="clear" w:color="auto" w:fill="FFFFFF"/>
        </w:rPr>
        <w:t xml:space="preserve">orikanthimath, V. S. (2013). Effect of dietary protein and lipid levels on growth, nutrient utilization and whole-body composition of blue gourami, </w:t>
      </w:r>
      <w:r>
        <w:rPr>
          <w:rFonts w:cs="Times New Roman"/>
          <w:i/>
          <w:iCs/>
          <w:color w:val="222222"/>
          <w:sz w:val="20"/>
          <w:szCs w:val="20"/>
          <w:shd w:val="clear" w:color="auto" w:fill="FFFFFF"/>
        </w:rPr>
        <w:t>Trichogaster trichopterus</w:t>
      </w:r>
      <w:r>
        <w:rPr>
          <w:rFonts w:cs="Times New Roman"/>
          <w:color w:val="222222"/>
          <w:sz w:val="20"/>
          <w:szCs w:val="20"/>
          <w:shd w:val="clear" w:color="auto" w:fill="FFFFFF"/>
        </w:rPr>
        <w:t xml:space="preserve"> fingerlings. </w:t>
      </w:r>
      <w:r>
        <w:rPr>
          <w:rFonts w:cs="Times New Roman"/>
          <w:i/>
          <w:iCs/>
          <w:color w:val="222222"/>
          <w:sz w:val="20"/>
          <w:szCs w:val="20"/>
          <w:shd w:val="clear" w:color="auto" w:fill="FFFFFF"/>
        </w:rPr>
        <w:t>Journal of Animal Physiology and Animal Nutrition</w:t>
      </w:r>
      <w:r>
        <w:rPr>
          <w:rFonts w:cs="Times New Roman"/>
          <w:color w:val="222222"/>
          <w:sz w:val="20"/>
          <w:szCs w:val="20"/>
          <w:shd w:val="clear" w:color="auto" w:fill="FFFFFF"/>
        </w:rPr>
        <w:t xml:space="preserve">, 97(1), 126-136. </w:t>
      </w:r>
      <w:hyperlink r:id="rId50" w:history="1">
        <w:r>
          <w:rPr>
            <w:rStyle w:val="Hyperlink"/>
            <w:rFonts w:cs="Times New Roman"/>
            <w:sz w:val="20"/>
            <w:szCs w:val="20"/>
            <w:shd w:val="clear" w:color="auto" w:fill="FFFFFF"/>
            <w:lang w:val="en-IN"/>
          </w:rPr>
          <w:t>https://doi.org/10.1111/j.1439-0396.2011.01258.x</w:t>
        </w:r>
      </w:hyperlink>
      <w:r>
        <w:rPr>
          <w:rFonts w:cs="Times New Roman"/>
          <w:color w:val="222222"/>
          <w:sz w:val="20"/>
          <w:szCs w:val="20"/>
          <w:shd w:val="clear" w:color="auto" w:fill="FFFFFF"/>
          <w:lang w:val="en-IN"/>
        </w:rPr>
        <w:t>.</w:t>
      </w:r>
    </w:p>
    <w:p w:rsidR="00E94D45" w:rsidRDefault="005572AF">
      <w:pPr>
        <w:spacing w:before="120" w:line="276" w:lineRule="auto"/>
        <w:ind w:left="720" w:hanging="720"/>
        <w:rPr>
          <w:rFonts w:cs="Times New Roman"/>
          <w:sz w:val="20"/>
          <w:szCs w:val="20"/>
          <w:lang w:val="en-IN"/>
        </w:rPr>
      </w:pPr>
      <w:r>
        <w:rPr>
          <w:rFonts w:cs="Times New Roman"/>
          <w:sz w:val="20"/>
          <w:szCs w:val="20"/>
          <w:lang w:val="pt-BR"/>
        </w:rPr>
        <w:t xml:space="preserve">Mustafa, M. G., Umino, T., &amp; Nakagawa, H. (1994). </w:t>
      </w:r>
      <w:r>
        <w:rPr>
          <w:rFonts w:cs="Times New Roman"/>
          <w:sz w:val="20"/>
          <w:szCs w:val="20"/>
        </w:rPr>
        <w:t xml:space="preserve">The effect of Spirulina feeding on muscle protein deposition in red sea bream, Pagrus major. </w:t>
      </w:r>
      <w:r>
        <w:rPr>
          <w:rFonts w:cs="Times New Roman"/>
          <w:i/>
          <w:iCs/>
          <w:sz w:val="20"/>
          <w:szCs w:val="20"/>
        </w:rPr>
        <w:t>Journal of Applied Ichthyology</w:t>
      </w:r>
      <w:r>
        <w:rPr>
          <w:rFonts w:cs="Times New Roman"/>
          <w:sz w:val="20"/>
          <w:szCs w:val="20"/>
        </w:rPr>
        <w:t xml:space="preserve">. </w:t>
      </w:r>
      <w:hyperlink r:id="rId51" w:history="1">
        <w:r>
          <w:rPr>
            <w:rStyle w:val="Hyperlink"/>
            <w:rFonts w:cs="Times New Roman"/>
            <w:sz w:val="20"/>
            <w:szCs w:val="20"/>
            <w:lang w:val="en-IN"/>
          </w:rPr>
          <w:t>https://doi.org/10.1111/j.1439-0426.1994.tb00153.x</w:t>
        </w:r>
      </w:hyperlink>
      <w:r>
        <w:rPr>
          <w:rFonts w:cs="Times New Roman"/>
          <w:sz w:val="20"/>
          <w:szCs w:val="20"/>
          <w:lang w:val="en-IN"/>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pt-BR"/>
        </w:rPr>
        <w:t xml:space="preserve">Nandeesha, M. C., Gangadhara, B., Manissery, J. K., &amp; Venkataraman, L. V. (2001). </w:t>
      </w:r>
      <w:r>
        <w:rPr>
          <w:rFonts w:cs="Times New Roman"/>
          <w:color w:val="222222"/>
          <w:sz w:val="20"/>
          <w:szCs w:val="20"/>
          <w:shd w:val="clear" w:color="auto" w:fill="FFFFFF"/>
        </w:rPr>
        <w:t>Growth performance of two Indian major carps, catla (</w:t>
      </w:r>
      <w:r>
        <w:rPr>
          <w:rFonts w:cs="Times New Roman"/>
          <w:i/>
          <w:iCs/>
          <w:color w:val="222222"/>
          <w:sz w:val="20"/>
          <w:szCs w:val="20"/>
          <w:shd w:val="clear" w:color="auto" w:fill="FFFFFF"/>
        </w:rPr>
        <w:t>Catla catla</w:t>
      </w:r>
      <w:r>
        <w:rPr>
          <w:rFonts w:cs="Times New Roman"/>
          <w:color w:val="222222"/>
          <w:sz w:val="20"/>
          <w:szCs w:val="20"/>
          <w:shd w:val="clear" w:color="auto" w:fill="FFFFFF"/>
        </w:rPr>
        <w:t>) and rohu (</w:t>
      </w:r>
      <w:r>
        <w:rPr>
          <w:rFonts w:cs="Times New Roman"/>
          <w:i/>
          <w:iCs/>
          <w:color w:val="222222"/>
          <w:sz w:val="20"/>
          <w:szCs w:val="20"/>
          <w:shd w:val="clear" w:color="auto" w:fill="FFFFFF"/>
        </w:rPr>
        <w:t>Labeo rohita</w:t>
      </w:r>
      <w:r>
        <w:rPr>
          <w:rFonts w:cs="Times New Roman"/>
          <w:color w:val="222222"/>
          <w:sz w:val="20"/>
          <w:szCs w:val="20"/>
          <w:shd w:val="clear" w:color="auto" w:fill="FFFFFF"/>
        </w:rPr>
        <w:t xml:space="preserve">) fed diets containing different levels of </w:t>
      </w:r>
      <w:r>
        <w:rPr>
          <w:rFonts w:cs="Times New Roman"/>
          <w:i/>
          <w:iCs/>
          <w:color w:val="222222"/>
          <w:sz w:val="20"/>
          <w:szCs w:val="20"/>
          <w:shd w:val="clear" w:color="auto" w:fill="FFFFFF"/>
        </w:rPr>
        <w:lastRenderedPageBreak/>
        <w:t>Spirulina platensis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Bioresource Technology</w:t>
      </w:r>
      <w:r>
        <w:rPr>
          <w:rFonts w:cs="Times New Roman"/>
          <w:color w:val="222222"/>
          <w:sz w:val="20"/>
          <w:szCs w:val="20"/>
          <w:shd w:val="clear" w:color="auto" w:fill="FFFFFF"/>
        </w:rPr>
        <w:t xml:space="preserve">, 80(2), 117-120. </w:t>
      </w:r>
      <w:hyperlink r:id="rId52" w:history="1">
        <w:r>
          <w:rPr>
            <w:rStyle w:val="Hyperlink"/>
            <w:rFonts w:cs="Times New Roman"/>
            <w:sz w:val="20"/>
            <w:szCs w:val="20"/>
            <w:shd w:val="clear" w:color="auto" w:fill="FFFFFF"/>
          </w:rPr>
          <w:t>https</w:t>
        </w:r>
        <w:r>
          <w:rPr>
            <w:rStyle w:val="Hyperlink"/>
            <w:rFonts w:cs="Times New Roman"/>
            <w:sz w:val="20"/>
            <w:szCs w:val="20"/>
            <w:shd w:val="clear" w:color="auto" w:fill="FFFFFF"/>
          </w:rPr>
          <w:t>://doi.org/10.1016/S0960-8524(01)00085-2</w:t>
        </w:r>
      </w:hyperlink>
      <w:r>
        <w:t>.</w:t>
      </w:r>
    </w:p>
    <w:p w:rsidR="00E94D45" w:rsidRDefault="005572AF">
      <w:pPr>
        <w:spacing w:before="120" w:line="276" w:lineRule="auto"/>
        <w:ind w:left="720" w:hanging="720"/>
        <w:rPr>
          <w:rFonts w:cs="Times New Roman"/>
          <w:sz w:val="20"/>
          <w:szCs w:val="20"/>
        </w:rPr>
      </w:pPr>
      <w:r>
        <w:rPr>
          <w:rFonts w:cs="Times New Roman"/>
          <w:sz w:val="20"/>
          <w:szCs w:val="20"/>
        </w:rPr>
        <w:t xml:space="preserve">Nandeesha, M., Gangadhar, B., Varghese, T., &amp; Keshavanath, P. (1998). Effect of feeding </w:t>
      </w:r>
      <w:r>
        <w:rPr>
          <w:rFonts w:cs="Times New Roman"/>
          <w:i/>
          <w:iCs/>
          <w:sz w:val="20"/>
          <w:szCs w:val="20"/>
        </w:rPr>
        <w:t>Spirulina platensis</w:t>
      </w:r>
      <w:r>
        <w:rPr>
          <w:rFonts w:cs="Times New Roman"/>
          <w:sz w:val="20"/>
          <w:szCs w:val="20"/>
        </w:rPr>
        <w:t xml:space="preserve"> on the growth, proximate composition and organoleptic quality of common carp, </w:t>
      </w:r>
      <w:r>
        <w:rPr>
          <w:rFonts w:cs="Times New Roman"/>
          <w:i/>
          <w:iCs/>
          <w:sz w:val="20"/>
          <w:szCs w:val="20"/>
        </w:rPr>
        <w:t>Cyprinus carpio L</w:t>
      </w:r>
      <w:r>
        <w:rPr>
          <w:rFonts w:cs="Times New Roman"/>
          <w:sz w:val="20"/>
          <w:szCs w:val="20"/>
        </w:rPr>
        <w:t xml:space="preserve">. </w:t>
      </w:r>
      <w:r>
        <w:rPr>
          <w:rFonts w:cs="Times New Roman"/>
          <w:i/>
          <w:iCs/>
          <w:sz w:val="20"/>
          <w:szCs w:val="20"/>
        </w:rPr>
        <w:t>Aquacu</w:t>
      </w:r>
      <w:r>
        <w:rPr>
          <w:rFonts w:cs="Times New Roman"/>
          <w:i/>
          <w:iCs/>
          <w:sz w:val="20"/>
          <w:szCs w:val="20"/>
        </w:rPr>
        <w:t>lture Research</w:t>
      </w:r>
      <w:r>
        <w:rPr>
          <w:rFonts w:cs="Times New Roman"/>
          <w:sz w:val="20"/>
          <w:szCs w:val="20"/>
        </w:rPr>
        <w:t xml:space="preserve">, 29, 305-312. </w:t>
      </w:r>
      <w:hyperlink r:id="rId53" w:history="1">
        <w:r>
          <w:rPr>
            <w:rStyle w:val="Hyperlink"/>
            <w:rFonts w:cs="Times New Roman"/>
            <w:sz w:val="20"/>
            <w:szCs w:val="20"/>
          </w:rPr>
          <w:t>https://doi.org/10.1111/j.1365-2109.1998.tb01135.x</w:t>
        </w:r>
      </w:hyperlink>
      <w:r>
        <w:t>.</w:t>
      </w:r>
      <w:r>
        <w:rPr>
          <w:rFonts w:cs="Times New Roman"/>
          <w:sz w:val="20"/>
          <w:szCs w:val="20"/>
        </w:rPr>
        <w:t xml:space="preserve"> </w:t>
      </w:r>
    </w:p>
    <w:p w:rsidR="00E94D45" w:rsidRDefault="005572AF">
      <w:pPr>
        <w:spacing w:before="120" w:line="276" w:lineRule="auto"/>
        <w:ind w:left="720" w:hanging="720"/>
        <w:rPr>
          <w:rFonts w:cs="Times New Roman"/>
          <w:color w:val="auto"/>
          <w:kern w:val="0"/>
          <w:sz w:val="20"/>
          <w:szCs w:val="20"/>
          <w:lang w:val="pt-BR"/>
          <w14:ligatures w14:val="none"/>
        </w:rPr>
      </w:pPr>
      <w:r>
        <w:rPr>
          <w:rFonts w:cs="Times New Roman"/>
          <w:color w:val="auto"/>
          <w:kern w:val="0"/>
          <w:sz w:val="20"/>
          <w:szCs w:val="20"/>
          <w14:ligatures w14:val="none"/>
        </w:rPr>
        <w:t xml:space="preserve">Nandeesha, M., Gangadhar, B., Varghese, T., &amp; Keshavanath, P. (1998). Effect of feeding </w:t>
      </w:r>
      <w:r>
        <w:rPr>
          <w:rFonts w:cs="Times New Roman"/>
          <w:i/>
          <w:iCs/>
          <w:color w:val="auto"/>
          <w:kern w:val="0"/>
          <w:sz w:val="20"/>
          <w:szCs w:val="20"/>
          <w14:ligatures w14:val="none"/>
        </w:rPr>
        <w:t>Spirulina platensis</w:t>
      </w:r>
      <w:r>
        <w:rPr>
          <w:rFonts w:cs="Times New Roman"/>
          <w:i/>
          <w:iCs/>
          <w:color w:val="auto"/>
          <w:kern w:val="0"/>
          <w:sz w:val="20"/>
          <w:szCs w:val="20"/>
          <w14:ligatures w14:val="none"/>
        </w:rPr>
        <w:t xml:space="preserve"> </w:t>
      </w:r>
      <w:r>
        <w:rPr>
          <w:rFonts w:cs="Times New Roman"/>
          <w:color w:val="auto"/>
          <w:kern w:val="0"/>
          <w:sz w:val="20"/>
          <w:szCs w:val="20"/>
          <w14:ligatures w14:val="none"/>
        </w:rPr>
        <w:t xml:space="preserve">on the growth, proximate composition and organoleptic quality of common carp, </w:t>
      </w:r>
      <w:r>
        <w:rPr>
          <w:rFonts w:cs="Times New Roman"/>
          <w:i/>
          <w:iCs/>
          <w:color w:val="auto"/>
          <w:kern w:val="0"/>
          <w:sz w:val="20"/>
          <w:szCs w:val="20"/>
          <w14:ligatures w14:val="none"/>
        </w:rPr>
        <w:t xml:space="preserve">Cyprinus carpio </w:t>
      </w:r>
      <w:r>
        <w:rPr>
          <w:rFonts w:cs="Times New Roman"/>
          <w:color w:val="auto"/>
          <w:kern w:val="0"/>
          <w:sz w:val="20"/>
          <w:szCs w:val="20"/>
          <w14:ligatures w14:val="none"/>
        </w:rPr>
        <w:t xml:space="preserve">L. </w:t>
      </w:r>
      <w:r>
        <w:rPr>
          <w:rFonts w:cs="Times New Roman"/>
          <w:i/>
          <w:iCs/>
          <w:color w:val="auto"/>
          <w:kern w:val="0"/>
          <w:sz w:val="20"/>
          <w:szCs w:val="20"/>
          <w14:ligatures w14:val="none"/>
        </w:rPr>
        <w:t>Aquaculture Research</w:t>
      </w:r>
      <w:r>
        <w:rPr>
          <w:rFonts w:cs="Times New Roman"/>
          <w:color w:val="auto"/>
          <w:kern w:val="0"/>
          <w:sz w:val="20"/>
          <w:szCs w:val="20"/>
          <w14:ligatures w14:val="none"/>
        </w:rPr>
        <w:t xml:space="preserve">, </w:t>
      </w:r>
      <w:r>
        <w:rPr>
          <w:rFonts w:cs="Times New Roman"/>
          <w:i/>
          <w:iCs/>
          <w:color w:val="auto"/>
          <w:kern w:val="0"/>
          <w:sz w:val="20"/>
          <w:szCs w:val="20"/>
          <w14:ligatures w14:val="none"/>
        </w:rPr>
        <w:t>29</w:t>
      </w:r>
      <w:r>
        <w:rPr>
          <w:rFonts w:cs="Times New Roman"/>
          <w:color w:val="auto"/>
          <w:kern w:val="0"/>
          <w:sz w:val="20"/>
          <w:szCs w:val="20"/>
          <w14:ligatures w14:val="none"/>
        </w:rPr>
        <w:t xml:space="preserve">, 305-312. </w:t>
      </w:r>
      <w:hyperlink r:id="rId54" w:history="1">
        <w:r>
          <w:rPr>
            <w:rStyle w:val="Hyperlink"/>
            <w:rFonts w:cs="Times New Roman"/>
            <w:kern w:val="0"/>
            <w:sz w:val="20"/>
            <w:szCs w:val="20"/>
            <w:lang w:val="pt-BR"/>
            <w14:ligatures w14:val="none"/>
          </w:rPr>
          <w:t>https://doi.org/10.1111/j.1365-2109.1998.tb011 35.x</w:t>
        </w:r>
      </w:hyperlink>
      <w:r>
        <w:rPr>
          <w:lang w:val="pt-BR"/>
        </w:rPr>
        <w:t>.</w:t>
      </w:r>
      <w:r>
        <w:rPr>
          <w:rFonts w:cs="Times New Roman"/>
          <w:color w:val="auto"/>
          <w:kern w:val="0"/>
          <w:sz w:val="20"/>
          <w:szCs w:val="20"/>
          <w:lang w:val="pt-BR"/>
          <w14:ligatures w14:val="none"/>
        </w:rPr>
        <w:t xml:space="preserve"> </w:t>
      </w:r>
    </w:p>
    <w:p w:rsidR="00E94D45" w:rsidRDefault="005572AF">
      <w:pPr>
        <w:spacing w:before="120" w:line="276" w:lineRule="auto"/>
        <w:ind w:left="720" w:hanging="720"/>
        <w:rPr>
          <w:rFonts w:cs="Times New Roman"/>
          <w:sz w:val="20"/>
          <w:szCs w:val="20"/>
        </w:rPr>
      </w:pPr>
      <w:r>
        <w:rPr>
          <w:rFonts w:cs="Times New Roman"/>
          <w:sz w:val="20"/>
          <w:szCs w:val="20"/>
          <w:lang w:val="pt-BR"/>
        </w:rPr>
        <w:t xml:space="preserve">Nandeesha, M., Gangadhara, B., Manissery, J., &amp; Venkataraman, L. (2001). </w:t>
      </w:r>
      <w:r>
        <w:rPr>
          <w:rFonts w:cs="Times New Roman"/>
          <w:sz w:val="20"/>
          <w:szCs w:val="20"/>
        </w:rPr>
        <w:t>Growth performance of two Indian major carps, catla (</w:t>
      </w:r>
      <w:r>
        <w:rPr>
          <w:rFonts w:cs="Times New Roman"/>
          <w:i/>
          <w:iCs/>
          <w:sz w:val="20"/>
          <w:szCs w:val="20"/>
        </w:rPr>
        <w:t>Catla catla</w:t>
      </w:r>
      <w:r>
        <w:rPr>
          <w:rFonts w:cs="Times New Roman"/>
          <w:sz w:val="20"/>
          <w:szCs w:val="20"/>
        </w:rPr>
        <w:t>) and rohu (</w:t>
      </w:r>
      <w:r>
        <w:rPr>
          <w:rFonts w:cs="Times New Roman"/>
          <w:i/>
          <w:iCs/>
          <w:sz w:val="20"/>
          <w:szCs w:val="20"/>
        </w:rPr>
        <w:t>Labeo rohita</w:t>
      </w:r>
      <w:r>
        <w:rPr>
          <w:rFonts w:cs="Times New Roman"/>
          <w:sz w:val="20"/>
          <w:szCs w:val="20"/>
        </w:rPr>
        <w:t xml:space="preserve">) fed diets containing different levels of </w:t>
      </w:r>
      <w:r>
        <w:rPr>
          <w:rFonts w:cs="Times New Roman"/>
          <w:i/>
          <w:iCs/>
          <w:sz w:val="20"/>
          <w:szCs w:val="20"/>
        </w:rPr>
        <w:t>Spirulina platensis</w:t>
      </w:r>
      <w:r>
        <w:rPr>
          <w:rFonts w:cs="Times New Roman"/>
          <w:sz w:val="20"/>
          <w:szCs w:val="20"/>
        </w:rPr>
        <w:t xml:space="preserve">. </w:t>
      </w:r>
      <w:r>
        <w:rPr>
          <w:rFonts w:cs="Times New Roman"/>
          <w:i/>
          <w:iCs/>
          <w:sz w:val="20"/>
          <w:szCs w:val="20"/>
        </w:rPr>
        <w:t>Bioresource Technology.</w:t>
      </w:r>
      <w:r>
        <w:rPr>
          <w:rFonts w:cs="Times New Roman"/>
          <w:sz w:val="20"/>
          <w:szCs w:val="20"/>
        </w:rPr>
        <w:t xml:space="preserve"> </w:t>
      </w:r>
      <w:hyperlink r:id="rId55" w:history="1">
        <w:r>
          <w:rPr>
            <w:rStyle w:val="Hyperlink"/>
            <w:rFonts w:cs="Times New Roman"/>
            <w:sz w:val="20"/>
            <w:szCs w:val="20"/>
          </w:rPr>
          <w:t>https://doi.org/10.1016/S0960-8524(01)00085-2</w:t>
        </w:r>
      </w:hyperlink>
      <w:r>
        <w:t>.</w:t>
      </w:r>
      <w:r>
        <w:rPr>
          <w:rFonts w:cs="Times New Roman"/>
          <w:sz w:val="20"/>
          <w:szCs w:val="20"/>
        </w:rPr>
        <w:t xml:space="preserve"> </w:t>
      </w:r>
    </w:p>
    <w:p w:rsidR="00E94D45" w:rsidRDefault="005572AF">
      <w:pPr>
        <w:autoSpaceDE w:val="0"/>
        <w:autoSpaceDN w:val="0"/>
        <w:adjustRightInd w:val="0"/>
        <w:spacing w:before="120" w:line="276" w:lineRule="auto"/>
        <w:ind w:left="720" w:hanging="720"/>
        <w:rPr>
          <w:rFonts w:cs="Times New Roman"/>
          <w:sz w:val="20"/>
          <w:szCs w:val="20"/>
          <w:lang w:val="pt-BR"/>
        </w:rPr>
      </w:pPr>
      <w:r>
        <w:rPr>
          <w:rFonts w:cs="Times New Roman"/>
          <w:sz w:val="20"/>
          <w:szCs w:val="20"/>
          <w:lang w:val="en-IN"/>
        </w:rPr>
        <w:t xml:space="preserve">Nandeesha, M. C., Gangadhara, B., Manissery, J. K., &amp; Venkataraman, L. V. (2001). </w:t>
      </w:r>
      <w:r>
        <w:rPr>
          <w:rFonts w:cs="Times New Roman"/>
          <w:sz w:val="20"/>
          <w:szCs w:val="20"/>
        </w:rPr>
        <w:t>Growth performance of two Indian major carps, catla (</w:t>
      </w:r>
      <w:r>
        <w:rPr>
          <w:rFonts w:cs="Times New Roman"/>
          <w:i/>
          <w:iCs/>
          <w:sz w:val="20"/>
          <w:szCs w:val="20"/>
        </w:rPr>
        <w:t>Catla catla</w:t>
      </w:r>
      <w:r>
        <w:rPr>
          <w:rFonts w:cs="Times New Roman"/>
          <w:sz w:val="20"/>
          <w:szCs w:val="20"/>
        </w:rPr>
        <w:t xml:space="preserve">) and </w:t>
      </w:r>
      <w:r>
        <w:rPr>
          <w:rFonts w:cs="Times New Roman"/>
          <w:sz w:val="20"/>
          <w:szCs w:val="20"/>
        </w:rPr>
        <w:t>rohu (</w:t>
      </w:r>
      <w:r>
        <w:rPr>
          <w:rFonts w:cs="Times New Roman"/>
          <w:i/>
          <w:iCs/>
          <w:sz w:val="20"/>
          <w:szCs w:val="20"/>
        </w:rPr>
        <w:t>Labeo rohita</w:t>
      </w:r>
      <w:r>
        <w:rPr>
          <w:rFonts w:cs="Times New Roman"/>
          <w:sz w:val="20"/>
          <w:szCs w:val="20"/>
        </w:rPr>
        <w:t xml:space="preserve">) fed diets containing different levels of </w:t>
      </w:r>
      <w:r>
        <w:rPr>
          <w:rFonts w:cs="Times New Roman"/>
          <w:i/>
          <w:iCs/>
          <w:sz w:val="20"/>
          <w:szCs w:val="20"/>
        </w:rPr>
        <w:t>Spirulina platensis</w:t>
      </w:r>
      <w:r>
        <w:rPr>
          <w:rFonts w:cs="Times New Roman"/>
          <w:sz w:val="20"/>
          <w:szCs w:val="20"/>
        </w:rPr>
        <w:t xml:space="preserve">. </w:t>
      </w:r>
      <w:r>
        <w:rPr>
          <w:rFonts w:cs="Times New Roman"/>
          <w:i/>
          <w:iCs/>
          <w:sz w:val="20"/>
          <w:szCs w:val="20"/>
          <w:lang w:val="pt-BR"/>
        </w:rPr>
        <w:t>Bioresource Technology</w:t>
      </w:r>
      <w:r>
        <w:rPr>
          <w:rFonts w:cs="Times New Roman"/>
          <w:sz w:val="20"/>
          <w:szCs w:val="20"/>
          <w:lang w:val="pt-BR"/>
        </w:rPr>
        <w:t xml:space="preserve">. </w:t>
      </w:r>
      <w:hyperlink r:id="rId56" w:history="1">
        <w:r>
          <w:rPr>
            <w:rStyle w:val="Hyperlink"/>
            <w:rFonts w:cs="Times New Roman"/>
            <w:sz w:val="20"/>
            <w:szCs w:val="20"/>
            <w:lang w:val="pt-BR"/>
          </w:rPr>
          <w:t>https://doi.org/10.1016/S0960-8524(01)00085-2</w:t>
        </w:r>
      </w:hyperlink>
      <w:r>
        <w:rPr>
          <w:lang w:val="pt-BR"/>
        </w:rPr>
        <w:t>.</w:t>
      </w:r>
      <w:r>
        <w:rPr>
          <w:rFonts w:cs="Times New Roman"/>
          <w:sz w:val="20"/>
          <w:szCs w:val="20"/>
          <w:lang w:val="pt-BR"/>
        </w:rPr>
        <w:t xml:space="preserve"> </w:t>
      </w:r>
    </w:p>
    <w:p w:rsidR="00E94D45" w:rsidRDefault="005572AF">
      <w:pPr>
        <w:spacing w:before="120" w:line="276" w:lineRule="auto"/>
        <w:ind w:left="720" w:hanging="720"/>
        <w:rPr>
          <w:rFonts w:cs="Times New Roman"/>
          <w:kern w:val="0"/>
          <w:sz w:val="20"/>
          <w:szCs w:val="20"/>
          <w:lang w:bidi="he-IL"/>
        </w:rPr>
      </w:pPr>
      <w:r>
        <w:rPr>
          <w:rFonts w:cs="Times New Roman"/>
          <w:kern w:val="0"/>
          <w:sz w:val="20"/>
          <w:szCs w:val="20"/>
          <w:lang w:val="pt-BR" w:bidi="he-IL"/>
        </w:rPr>
        <w:t xml:space="preserve">Palmegiano, G. B., Gai, F., Daprà, F., Gasco, L., Pazzaglia, M., &amp; Peiretti, P. G. (2008). </w:t>
      </w:r>
      <w:r>
        <w:rPr>
          <w:rFonts w:cs="Times New Roman"/>
          <w:kern w:val="0"/>
          <w:sz w:val="20"/>
          <w:szCs w:val="20"/>
          <w:lang w:bidi="he-IL"/>
        </w:rPr>
        <w:t>Effects of Spirulina and plant oil on the growth and lipid traits of white sturgeon (</w:t>
      </w:r>
      <w:r>
        <w:rPr>
          <w:rFonts w:cs="Times New Roman"/>
          <w:i/>
          <w:iCs/>
          <w:kern w:val="0"/>
          <w:sz w:val="20"/>
          <w:szCs w:val="20"/>
          <w:lang w:bidi="he-IL"/>
        </w:rPr>
        <w:t>Acipenser transmontanus</w:t>
      </w:r>
      <w:r>
        <w:rPr>
          <w:rFonts w:cs="Times New Roman"/>
          <w:kern w:val="0"/>
          <w:sz w:val="20"/>
          <w:szCs w:val="20"/>
          <w:lang w:bidi="he-IL"/>
        </w:rPr>
        <w:t xml:space="preserve">) fingerlings. </w:t>
      </w:r>
      <w:r>
        <w:rPr>
          <w:rFonts w:cs="Times New Roman"/>
          <w:i/>
          <w:iCs/>
          <w:kern w:val="0"/>
          <w:sz w:val="20"/>
          <w:szCs w:val="20"/>
          <w:lang w:bidi="he-IL"/>
        </w:rPr>
        <w:t>Aquaculture Research</w:t>
      </w:r>
      <w:r>
        <w:rPr>
          <w:rFonts w:cs="Times New Roman"/>
          <w:kern w:val="0"/>
          <w:sz w:val="20"/>
          <w:szCs w:val="20"/>
          <w:lang w:bidi="he-IL"/>
        </w:rPr>
        <w:t xml:space="preserve">, 39, 587-595. </w:t>
      </w:r>
      <w:hyperlink r:id="rId57" w:history="1">
        <w:r>
          <w:rPr>
            <w:rStyle w:val="Hyperlink"/>
            <w:rFonts w:cs="Times New Roman"/>
            <w:kern w:val="0"/>
            <w:sz w:val="20"/>
            <w:szCs w:val="20"/>
            <w:lang w:bidi="he-IL"/>
          </w:rPr>
          <w:t>https://doi.org/10.1111/j.1365-2109.2008.01914.x</w:t>
        </w:r>
      </w:hyperlink>
      <w:r>
        <w:t>.</w:t>
      </w:r>
      <w:r>
        <w:rPr>
          <w:rFonts w:cs="Times New Roman"/>
          <w:kern w:val="0"/>
          <w:sz w:val="20"/>
          <w:szCs w:val="20"/>
          <w:lang w:bidi="he-IL"/>
        </w:rPr>
        <w:t xml:space="preserve"> </w:t>
      </w:r>
    </w:p>
    <w:p w:rsidR="00E94D45" w:rsidRDefault="005572AF">
      <w:pPr>
        <w:spacing w:before="120" w:line="276" w:lineRule="auto"/>
        <w:ind w:left="720" w:hanging="720"/>
        <w:rPr>
          <w:rFonts w:cs="Times New Roman"/>
          <w:sz w:val="20"/>
          <w:szCs w:val="20"/>
        </w:rPr>
      </w:pPr>
      <w:r>
        <w:rPr>
          <w:rFonts w:cs="Times New Roman"/>
          <w:sz w:val="20"/>
          <w:szCs w:val="20"/>
        </w:rPr>
        <w:t xml:space="preserve">Promya, J., &amp; Chitmanat, C. (2011). The effects of </w:t>
      </w:r>
      <w:r>
        <w:rPr>
          <w:rFonts w:cs="Times New Roman"/>
          <w:i/>
          <w:iCs/>
          <w:sz w:val="20"/>
          <w:szCs w:val="20"/>
        </w:rPr>
        <w:t xml:space="preserve">Spirulina platensis </w:t>
      </w:r>
      <w:r>
        <w:rPr>
          <w:rFonts w:cs="Times New Roman"/>
          <w:sz w:val="20"/>
          <w:szCs w:val="20"/>
        </w:rPr>
        <w:t>and Cladophora algae on the growth performance, meat quality and immunity st</w:t>
      </w:r>
      <w:r>
        <w:rPr>
          <w:rFonts w:cs="Times New Roman"/>
          <w:sz w:val="20"/>
          <w:szCs w:val="20"/>
        </w:rPr>
        <w:t>imulating capacity of the African sharptooth catfish (</w:t>
      </w:r>
      <w:r>
        <w:rPr>
          <w:rFonts w:cs="Times New Roman"/>
          <w:i/>
          <w:iCs/>
          <w:sz w:val="20"/>
          <w:szCs w:val="20"/>
        </w:rPr>
        <w:t>Clarias</w:t>
      </w:r>
      <w:r>
        <w:rPr>
          <w:rFonts w:cs="Times New Roman"/>
          <w:sz w:val="20"/>
          <w:szCs w:val="20"/>
        </w:rPr>
        <w:t xml:space="preserve"> </w:t>
      </w:r>
      <w:r>
        <w:rPr>
          <w:rFonts w:cs="Times New Roman"/>
          <w:i/>
          <w:iCs/>
          <w:sz w:val="20"/>
          <w:szCs w:val="20"/>
        </w:rPr>
        <w:t>gariepinus</w:t>
      </w:r>
      <w:r>
        <w:rPr>
          <w:rFonts w:cs="Times New Roman"/>
          <w:sz w:val="20"/>
          <w:szCs w:val="20"/>
        </w:rPr>
        <w:t xml:space="preserve">). </w:t>
      </w:r>
      <w:r>
        <w:rPr>
          <w:rFonts w:cs="Times New Roman"/>
          <w:i/>
          <w:iCs/>
          <w:sz w:val="20"/>
          <w:szCs w:val="20"/>
        </w:rPr>
        <w:t>International Journal of Agriculture and Biology</w:t>
      </w:r>
      <w:r>
        <w:rPr>
          <w:rFonts w:cs="Times New Roman"/>
          <w:sz w:val="20"/>
          <w:szCs w:val="20"/>
        </w:rPr>
        <w:t xml:space="preserve">, </w:t>
      </w:r>
      <w:r>
        <w:rPr>
          <w:rFonts w:cs="Times New Roman"/>
          <w:i/>
          <w:iCs/>
          <w:sz w:val="20"/>
          <w:szCs w:val="20"/>
        </w:rPr>
        <w:t>13</w:t>
      </w:r>
      <w:r>
        <w:rPr>
          <w:rFonts w:cs="Times New Roman"/>
          <w:sz w:val="20"/>
          <w:szCs w:val="20"/>
        </w:rPr>
        <w:t>, 77-82.</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Promya, J., &amp; Chitmanat, C. (2011). The effects of </w:t>
      </w:r>
      <w:r>
        <w:rPr>
          <w:rFonts w:cs="Times New Roman"/>
          <w:i/>
          <w:iCs/>
          <w:color w:val="222222"/>
          <w:sz w:val="20"/>
          <w:szCs w:val="20"/>
          <w:shd w:val="clear" w:color="auto" w:fill="FFFFFF"/>
        </w:rPr>
        <w:t>Spirulina platensis</w:t>
      </w:r>
      <w:r>
        <w:rPr>
          <w:rFonts w:cs="Times New Roman"/>
          <w:color w:val="222222"/>
          <w:sz w:val="20"/>
          <w:szCs w:val="20"/>
          <w:shd w:val="clear" w:color="auto" w:fill="FFFFFF"/>
        </w:rPr>
        <w:t xml:space="preserve"> and Cladophora algae on the growth performance, meat quality and immunity stimulating capacity of the African Sharptooth Catfish (</w:t>
      </w:r>
      <w:r>
        <w:rPr>
          <w:rFonts w:cs="Times New Roman"/>
          <w:i/>
          <w:iCs/>
          <w:color w:val="222222"/>
          <w:sz w:val="20"/>
          <w:szCs w:val="20"/>
          <w:shd w:val="clear" w:color="auto" w:fill="FFFFFF"/>
        </w:rPr>
        <w:t>Clarias gariepinus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International Journal of Agriculture and Biology</w:t>
      </w:r>
      <w:r>
        <w:rPr>
          <w:rFonts w:cs="Times New Roman"/>
          <w:color w:val="222222"/>
          <w:sz w:val="20"/>
          <w:szCs w:val="20"/>
          <w:shd w:val="clear" w:color="auto" w:fill="FFFFFF"/>
        </w:rPr>
        <w:t xml:space="preserve">. </w:t>
      </w:r>
      <w:hyperlink r:id="rId58" w:history="1">
        <w:r>
          <w:rPr>
            <w:rStyle w:val="Hyperlink"/>
            <w:rFonts w:cs="Times New Roman"/>
            <w:sz w:val="20"/>
            <w:szCs w:val="20"/>
            <w:shd w:val="clear" w:color="auto" w:fill="FFFFFF"/>
          </w:rPr>
          <w:t>https://agris.fao.org/agris-search/search.do?recordID=TH2011000001</w:t>
        </w:r>
      </w:hyperlink>
      <w:r>
        <w:t>.</w:t>
      </w:r>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sz w:val="20"/>
          <w:szCs w:val="20"/>
        </w:rPr>
      </w:pPr>
      <w:r>
        <w:rPr>
          <w:rFonts w:cs="Times New Roman"/>
          <w:sz w:val="20"/>
          <w:szCs w:val="20"/>
        </w:rPr>
        <w:t xml:space="preserve">Promya, J., &amp; Chitmanat, C. (2011). The effects of </w:t>
      </w:r>
      <w:r>
        <w:rPr>
          <w:rFonts w:cs="Times New Roman"/>
          <w:i/>
          <w:iCs/>
          <w:sz w:val="20"/>
          <w:szCs w:val="20"/>
        </w:rPr>
        <w:t xml:space="preserve">Spirulina platensis </w:t>
      </w:r>
      <w:r>
        <w:rPr>
          <w:rFonts w:cs="Times New Roman"/>
          <w:sz w:val="20"/>
          <w:szCs w:val="20"/>
        </w:rPr>
        <w:t>and Cladophora algae on the growth performance, meat quality and immunity stimulating c</w:t>
      </w:r>
      <w:r>
        <w:rPr>
          <w:rFonts w:cs="Times New Roman"/>
          <w:sz w:val="20"/>
          <w:szCs w:val="20"/>
        </w:rPr>
        <w:t>apacity of the African sharptooth catfish (</w:t>
      </w:r>
      <w:r>
        <w:rPr>
          <w:rFonts w:cs="Times New Roman"/>
          <w:i/>
          <w:iCs/>
          <w:sz w:val="20"/>
          <w:szCs w:val="20"/>
        </w:rPr>
        <w:t>Clarias</w:t>
      </w:r>
      <w:r>
        <w:rPr>
          <w:rFonts w:cs="Times New Roman"/>
          <w:sz w:val="20"/>
          <w:szCs w:val="20"/>
        </w:rPr>
        <w:t xml:space="preserve"> </w:t>
      </w:r>
      <w:r>
        <w:rPr>
          <w:rFonts w:cs="Times New Roman"/>
          <w:i/>
          <w:iCs/>
          <w:sz w:val="20"/>
          <w:szCs w:val="20"/>
        </w:rPr>
        <w:t>gariepinus</w:t>
      </w:r>
      <w:r>
        <w:rPr>
          <w:rFonts w:cs="Times New Roman"/>
          <w:sz w:val="20"/>
          <w:szCs w:val="20"/>
        </w:rPr>
        <w:t xml:space="preserve">). </w:t>
      </w:r>
      <w:r>
        <w:rPr>
          <w:rFonts w:cs="Times New Roman"/>
          <w:i/>
          <w:iCs/>
          <w:sz w:val="20"/>
          <w:szCs w:val="20"/>
        </w:rPr>
        <w:t>International Journal of Agriculture and Biology</w:t>
      </w:r>
      <w:r>
        <w:rPr>
          <w:rFonts w:cs="Times New Roman"/>
          <w:sz w:val="20"/>
          <w:szCs w:val="20"/>
        </w:rPr>
        <w:t xml:space="preserve">, </w:t>
      </w:r>
      <w:r>
        <w:rPr>
          <w:rFonts w:cs="Times New Roman"/>
          <w:i/>
          <w:iCs/>
          <w:sz w:val="20"/>
          <w:szCs w:val="20"/>
        </w:rPr>
        <w:t>13</w:t>
      </w:r>
      <w:r>
        <w:rPr>
          <w:rFonts w:cs="Times New Roman"/>
          <w:sz w:val="20"/>
          <w:szCs w:val="20"/>
        </w:rPr>
        <w:t>, 77-82.</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Promya, J., &amp; Chitmanat, C. (2011). The effects of </w:t>
      </w:r>
      <w:r>
        <w:rPr>
          <w:rFonts w:cs="Times New Roman"/>
          <w:i/>
          <w:iCs/>
          <w:color w:val="222222"/>
          <w:sz w:val="20"/>
          <w:szCs w:val="20"/>
          <w:shd w:val="clear" w:color="auto" w:fill="FFFFFF"/>
        </w:rPr>
        <w:t>Spirulina platensis</w:t>
      </w:r>
      <w:r>
        <w:rPr>
          <w:rFonts w:cs="Times New Roman"/>
          <w:color w:val="222222"/>
          <w:sz w:val="20"/>
          <w:szCs w:val="20"/>
          <w:shd w:val="clear" w:color="auto" w:fill="FFFFFF"/>
        </w:rPr>
        <w:t xml:space="preserve"> and Cladophora algae on the growth performance, meat quality</w:t>
      </w:r>
      <w:r>
        <w:rPr>
          <w:rFonts w:cs="Times New Roman"/>
          <w:color w:val="222222"/>
          <w:sz w:val="20"/>
          <w:szCs w:val="20"/>
          <w:shd w:val="clear" w:color="auto" w:fill="FFFFFF"/>
        </w:rPr>
        <w:t xml:space="preserve"> and immunity stimulating capacity of the African Sharptooth Catfish (Cl</w:t>
      </w:r>
      <w:r>
        <w:rPr>
          <w:rFonts w:cs="Times New Roman"/>
          <w:i/>
          <w:iCs/>
          <w:color w:val="222222"/>
          <w:sz w:val="20"/>
          <w:szCs w:val="20"/>
          <w:shd w:val="clear" w:color="auto" w:fill="FFFFFF"/>
        </w:rPr>
        <w:t>arias gariepinus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International Journal of Agriculture and Biology,</w:t>
      </w:r>
      <w:r>
        <w:rPr>
          <w:rFonts w:cs="Times New Roman"/>
          <w:color w:val="222222"/>
          <w:sz w:val="20"/>
          <w:szCs w:val="20"/>
          <w:shd w:val="clear" w:color="auto" w:fill="FFFFFF"/>
        </w:rPr>
        <w:t xml:space="preserve"> 13, 77–82. </w:t>
      </w:r>
      <w:hyperlink r:id="rId59" w:history="1">
        <w:r>
          <w:rPr>
            <w:rStyle w:val="Hyperlink"/>
            <w:rFonts w:cs="Times New Roman"/>
            <w:sz w:val="20"/>
            <w:szCs w:val="20"/>
            <w:shd w:val="clear" w:color="auto" w:fill="FFFFFF"/>
          </w:rPr>
          <w:t>https://www.semanticscholar.org/paper/The-effects-of-Spirulina-platensis-and-Cladophora-Promya-Chitmanat/101487455</w:t>
        </w:r>
      </w:hyperlink>
      <w:r>
        <w:t>.</w:t>
      </w:r>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Ragap, H. M., Khalil, R. H., &amp; Mutawie, H. H. (2012). Immunostimulant effects of dietary </w:t>
      </w:r>
      <w:r>
        <w:rPr>
          <w:rFonts w:cs="Times New Roman"/>
          <w:i/>
          <w:iCs/>
          <w:color w:val="222222"/>
          <w:sz w:val="20"/>
          <w:szCs w:val="20"/>
          <w:shd w:val="clear" w:color="auto" w:fill="FFFFFF"/>
        </w:rPr>
        <w:t>Spirulina platensis</w:t>
      </w:r>
      <w:r>
        <w:rPr>
          <w:rFonts w:cs="Times New Roman"/>
          <w:color w:val="222222"/>
          <w:sz w:val="20"/>
          <w:szCs w:val="20"/>
          <w:shd w:val="clear" w:color="auto" w:fill="FFFFFF"/>
        </w:rPr>
        <w:t xml:space="preserve"> on </w:t>
      </w:r>
      <w:r>
        <w:rPr>
          <w:rFonts w:cs="Times New Roman"/>
          <w:color w:val="222222"/>
          <w:sz w:val="20"/>
          <w:szCs w:val="20"/>
          <w:shd w:val="clear" w:color="auto" w:fill="FFFFFF"/>
        </w:rPr>
        <w:t xml:space="preserve">tilapia </w:t>
      </w:r>
      <w:r>
        <w:rPr>
          <w:rFonts w:cs="Times New Roman"/>
          <w:i/>
          <w:iCs/>
          <w:color w:val="222222"/>
          <w:sz w:val="20"/>
          <w:szCs w:val="20"/>
          <w:shd w:val="clear" w:color="auto" w:fill="FFFFFF"/>
        </w:rPr>
        <w:t>Oreochromis niloticus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Journal of Applied Pharmaceutical Science</w:t>
      </w:r>
      <w:r>
        <w:rPr>
          <w:rFonts w:cs="Times New Roman"/>
          <w:color w:val="222222"/>
          <w:sz w:val="20"/>
          <w:szCs w:val="20"/>
          <w:shd w:val="clear" w:color="auto" w:fill="FFFFFF"/>
        </w:rPr>
        <w:t xml:space="preserve">, 2(2), 26-31. </w:t>
      </w:r>
      <w:hyperlink r:id="rId60" w:history="1">
        <w:r>
          <w:rPr>
            <w:rStyle w:val="Hyperlink"/>
            <w:rFonts w:cs="Times New Roman"/>
            <w:sz w:val="20"/>
            <w:szCs w:val="20"/>
            <w:shd w:val="clear" w:color="auto" w:fill="FFFFFF"/>
          </w:rPr>
          <w:t>https://www.japsonline.com/archive/2012/vol2_issue2/</w:t>
        </w:r>
      </w:hyperlink>
      <w:r>
        <w:t>.</w:t>
      </w:r>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sz w:val="20"/>
          <w:szCs w:val="20"/>
        </w:rPr>
      </w:pPr>
      <w:r>
        <w:rPr>
          <w:rFonts w:cs="Times New Roman"/>
          <w:sz w:val="20"/>
          <w:szCs w:val="20"/>
        </w:rPr>
        <w:t>Ramakrishnan, C. M., Haniffa, M. A., Manohar,</w:t>
      </w:r>
      <w:r>
        <w:rPr>
          <w:rFonts w:cs="Times New Roman"/>
          <w:sz w:val="20"/>
          <w:szCs w:val="20"/>
        </w:rPr>
        <w:t xml:space="preserve"> M., Dhanaraj, M., Arokiaraj, A. J., Seetharaman, S., &amp; Arunsingh, S. V. (2008). Effects of probiotics and Spirulina on survival and growth of juvenile common carp (</w:t>
      </w:r>
      <w:r>
        <w:rPr>
          <w:rFonts w:cs="Times New Roman"/>
          <w:i/>
          <w:iCs/>
          <w:sz w:val="20"/>
          <w:szCs w:val="20"/>
        </w:rPr>
        <w:t>Cyprinus carpio</w:t>
      </w:r>
      <w:r>
        <w:rPr>
          <w:rFonts w:cs="Times New Roman"/>
          <w:sz w:val="20"/>
          <w:szCs w:val="20"/>
        </w:rPr>
        <w:t xml:space="preserve">). </w:t>
      </w:r>
      <w:r>
        <w:rPr>
          <w:rFonts w:cs="Times New Roman"/>
          <w:i/>
          <w:iCs/>
          <w:sz w:val="20"/>
          <w:szCs w:val="20"/>
        </w:rPr>
        <w:t>Israel Journal of Aquaculture</w:t>
      </w:r>
      <w:r>
        <w:rPr>
          <w:rFonts w:cs="Times New Roman"/>
          <w:sz w:val="20"/>
          <w:szCs w:val="20"/>
        </w:rPr>
        <w:t xml:space="preserve">, 60(2), 128–133. </w:t>
      </w:r>
      <w:hyperlink r:id="rId61" w:history="1">
        <w:r>
          <w:rPr>
            <w:rStyle w:val="Hyperlink"/>
            <w:rFonts w:cs="Times New Roman"/>
            <w:sz w:val="20"/>
            <w:szCs w:val="20"/>
          </w:rPr>
          <w:t>https://doi.org/10.46989/001c.20484</w:t>
        </w:r>
      </w:hyperlink>
      <w:r>
        <w:rPr>
          <w:rFonts w:cs="Times New Roman"/>
          <w:sz w:val="20"/>
          <w:szCs w:val="20"/>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Regunathan, C., &amp; Wesley, S. G. (2006). Pigment deficiency correction in shrimp broodstock using Spirulina as a carotenoid source. </w:t>
      </w:r>
      <w:r>
        <w:rPr>
          <w:rFonts w:cs="Times New Roman"/>
          <w:i/>
          <w:iCs/>
          <w:color w:val="222222"/>
          <w:sz w:val="20"/>
          <w:szCs w:val="20"/>
          <w:shd w:val="clear" w:color="auto" w:fill="FFFFFF"/>
        </w:rPr>
        <w:t>Aquaculture Nutrition</w:t>
      </w:r>
      <w:r>
        <w:rPr>
          <w:rFonts w:cs="Times New Roman"/>
          <w:color w:val="222222"/>
          <w:sz w:val="20"/>
          <w:szCs w:val="20"/>
          <w:shd w:val="clear" w:color="auto" w:fill="FFFFFF"/>
        </w:rPr>
        <w:t xml:space="preserve">, 12(6), 425-432. </w:t>
      </w:r>
      <w:hyperlink r:id="rId62" w:history="1">
        <w:r>
          <w:rPr>
            <w:rStyle w:val="Hyperlink"/>
            <w:rFonts w:cs="Times New Roman"/>
            <w:sz w:val="20"/>
            <w:szCs w:val="20"/>
            <w:shd w:val="clear" w:color="auto" w:fill="FFFFFF"/>
          </w:rPr>
          <w:t>https://doi.org/10.1111/j.1365-2095.2006.00444.x</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Rodríguez, I., Chamorro, R., Novoa, B., &amp; Figueras, A. (2009). β-Glucan administration enhances disease resistance and some innate immune res</w:t>
      </w:r>
      <w:r>
        <w:rPr>
          <w:rFonts w:cs="Times New Roman"/>
          <w:color w:val="222222"/>
          <w:sz w:val="20"/>
          <w:szCs w:val="20"/>
          <w:shd w:val="clear" w:color="auto" w:fill="FFFFFF"/>
        </w:rPr>
        <w:t>ponses in zebrafish (</w:t>
      </w:r>
      <w:r>
        <w:rPr>
          <w:rFonts w:cs="Times New Roman"/>
          <w:i/>
          <w:iCs/>
          <w:color w:val="222222"/>
          <w:sz w:val="20"/>
          <w:szCs w:val="20"/>
          <w:shd w:val="clear" w:color="auto" w:fill="FFFFFF"/>
        </w:rPr>
        <w:t>Danio rerio</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Fish &amp; shellfish immunology,</w:t>
      </w:r>
      <w:r>
        <w:rPr>
          <w:rFonts w:cs="Times New Roman"/>
          <w:color w:val="222222"/>
          <w:sz w:val="20"/>
          <w:szCs w:val="20"/>
          <w:shd w:val="clear" w:color="auto" w:fill="FFFFFF"/>
        </w:rPr>
        <w:t xml:space="preserve"> 27(2), 369-373. </w:t>
      </w:r>
      <w:hyperlink r:id="rId63" w:history="1">
        <w:r>
          <w:rPr>
            <w:rStyle w:val="Hyperlink"/>
            <w:rFonts w:cs="Times New Roman"/>
            <w:sz w:val="20"/>
            <w:szCs w:val="20"/>
            <w:shd w:val="clear" w:color="auto" w:fill="FFFFFF"/>
          </w:rPr>
          <w:t>https://doi.org/10.1016/j.fsi.2009.02.007</w:t>
        </w:r>
      </w:hyperlink>
      <w:r>
        <w:rPr>
          <w:rFonts w:cs="Times New Roman"/>
          <w:color w:val="222222"/>
          <w:sz w:val="20"/>
          <w:szCs w:val="20"/>
          <w:shd w:val="clear" w:color="auto" w:fill="FFFFFF"/>
        </w:rPr>
        <w:t>.</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lastRenderedPageBreak/>
        <w:t>Saxena, A. (1994). Health; colouration of fish. In </w:t>
      </w:r>
      <w:r>
        <w:rPr>
          <w:rFonts w:cs="Times New Roman"/>
          <w:i/>
          <w:iCs/>
          <w:color w:val="222222"/>
          <w:sz w:val="20"/>
          <w:szCs w:val="20"/>
          <w:shd w:val="clear" w:color="auto" w:fill="FFFFFF"/>
        </w:rPr>
        <w:t xml:space="preserve">International Symposium </w:t>
      </w:r>
      <w:r>
        <w:rPr>
          <w:rFonts w:cs="Times New Roman"/>
          <w:i/>
          <w:iCs/>
          <w:color w:val="222222"/>
          <w:sz w:val="20"/>
          <w:szCs w:val="20"/>
          <w:shd w:val="clear" w:color="auto" w:fill="FFFFFF"/>
        </w:rPr>
        <w:t>on Aquatic Animal Health: Program and Abstracts. Univ. of California, School of Veterinary Medicine, Davis, CA, USA</w:t>
      </w:r>
      <w:r>
        <w:rPr>
          <w:rFonts w:cs="Times New Roman"/>
          <w:color w:val="222222"/>
          <w:sz w:val="20"/>
          <w:szCs w:val="20"/>
          <w:shd w:val="clear" w:color="auto" w:fill="FFFFFF"/>
        </w:rPr>
        <w:t> (Vol. 94).</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Schäperclaus, W., Kulow, H., &amp; Schreckenbach, K. (1992). Fish diseases: Volume 1. A.A. Balkema.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Schiedt, K., Leuenberger, F. J., Vecchi, M., &amp; Glinz, E. (1985). Absorption, retention and metabolic transformations of carotenoids in rainbow trout, salmon and chicken. </w:t>
      </w:r>
      <w:r>
        <w:rPr>
          <w:rFonts w:cs="Times New Roman"/>
          <w:i/>
          <w:iCs/>
          <w:color w:val="222222"/>
          <w:sz w:val="20"/>
          <w:szCs w:val="20"/>
          <w:shd w:val="clear" w:color="auto" w:fill="FFFFFF"/>
        </w:rPr>
        <w:t>Pure and Applied Chemistry</w:t>
      </w:r>
      <w:r>
        <w:rPr>
          <w:rFonts w:cs="Times New Roman"/>
          <w:color w:val="222222"/>
          <w:sz w:val="20"/>
          <w:szCs w:val="20"/>
          <w:shd w:val="clear" w:color="auto" w:fill="FFFFFF"/>
        </w:rPr>
        <w:t xml:space="preserve">, 57(5), 685-692. </w:t>
      </w:r>
      <w:hyperlink r:id="rId64" w:history="1">
        <w:r>
          <w:rPr>
            <w:rStyle w:val="Hyperlink"/>
            <w:rFonts w:cs="Times New Roman"/>
            <w:sz w:val="20"/>
            <w:szCs w:val="20"/>
            <w:shd w:val="clear" w:color="auto" w:fill="FFFFFF"/>
          </w:rPr>
          <w:t>https://doi.org/10.1351/pac198557050685</w:t>
        </w:r>
      </w:hyperlink>
      <w:r>
        <w:t>.</w:t>
      </w:r>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en-IN"/>
        </w:rPr>
        <w:t xml:space="preserve">Sinha, A., &amp; Asimi, O. A. (2007). </w:t>
      </w:r>
      <w:r>
        <w:rPr>
          <w:rFonts w:cs="Times New Roman"/>
          <w:color w:val="222222"/>
          <w:sz w:val="20"/>
          <w:szCs w:val="20"/>
          <w:shd w:val="clear" w:color="auto" w:fill="FFFFFF"/>
        </w:rPr>
        <w:t>China rose (</w:t>
      </w:r>
      <w:r>
        <w:rPr>
          <w:rFonts w:cs="Times New Roman"/>
          <w:i/>
          <w:iCs/>
          <w:color w:val="222222"/>
          <w:sz w:val="20"/>
          <w:szCs w:val="20"/>
          <w:shd w:val="clear" w:color="auto" w:fill="FFFFFF"/>
        </w:rPr>
        <w:t>Hibiscus rosasinensis</w:t>
      </w:r>
      <w:r>
        <w:rPr>
          <w:rFonts w:cs="Times New Roman"/>
          <w:color w:val="222222"/>
          <w:sz w:val="20"/>
          <w:szCs w:val="20"/>
          <w:shd w:val="clear" w:color="auto" w:fill="FFFFFF"/>
        </w:rPr>
        <w:t>) petals: A potent natural carotenoid source for goldfish (</w:t>
      </w:r>
      <w:r>
        <w:rPr>
          <w:rFonts w:cs="Times New Roman"/>
          <w:i/>
          <w:iCs/>
          <w:color w:val="222222"/>
          <w:sz w:val="20"/>
          <w:szCs w:val="20"/>
          <w:shd w:val="clear" w:color="auto" w:fill="FFFFFF"/>
        </w:rPr>
        <w:t>Carassius auratus L.).</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Aquaculture Research</w:t>
      </w:r>
      <w:r>
        <w:rPr>
          <w:rFonts w:cs="Times New Roman"/>
          <w:color w:val="222222"/>
          <w:sz w:val="20"/>
          <w:szCs w:val="20"/>
          <w:shd w:val="clear" w:color="auto" w:fill="FFFFFF"/>
        </w:rPr>
        <w:t xml:space="preserve">, 38(11), 1123-1128. </w:t>
      </w:r>
      <w:hyperlink r:id="rId65" w:history="1">
        <w:r>
          <w:rPr>
            <w:rStyle w:val="Hyperlink"/>
            <w:rFonts w:cs="Times New Roman"/>
            <w:sz w:val="20"/>
            <w:szCs w:val="20"/>
            <w:shd w:val="clear" w:color="auto" w:fill="FFFFFF"/>
          </w:rPr>
          <w:t>https://doi.org/10.1111/j.1365-2109.2007.01767.x</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Siwicki, A. K., &amp; Anderson, D. P. (1993). Nonspecific defence mechanisms assay in fish II; Potential killing activity of neutrophils and monocytes, lys</w:t>
      </w:r>
      <w:r>
        <w:rPr>
          <w:rFonts w:cs="Times New Roman"/>
          <w:color w:val="222222"/>
          <w:sz w:val="20"/>
          <w:szCs w:val="20"/>
          <w:shd w:val="clear" w:color="auto" w:fill="FFFFFF"/>
        </w:rPr>
        <w:t xml:space="preserve">ozyme activity in serum and organs and total immunoglobulin (Ig) level in serum. In Fish Disease Diagnosis and Prevention Methods (pp. 105-111). </w:t>
      </w:r>
      <w:r>
        <w:rPr>
          <w:rFonts w:cs="Times New Roman"/>
          <w:i/>
          <w:iCs/>
          <w:color w:val="222222"/>
          <w:sz w:val="20"/>
          <w:szCs w:val="20"/>
          <w:shd w:val="clear" w:color="auto" w:fill="FFFFFF"/>
        </w:rPr>
        <w:t>Wydawnictwo Instytutu Rybactwa Strodladowego</w:t>
      </w:r>
      <w:r>
        <w:rPr>
          <w:rFonts w:cs="Times New Roman"/>
          <w:color w:val="222222"/>
          <w:sz w:val="20"/>
          <w:szCs w:val="20"/>
          <w:shd w:val="clear" w:color="auto" w:fill="FFFFFF"/>
        </w:rPr>
        <w:t xml:space="preserve">. </w:t>
      </w:r>
      <w:hyperlink r:id="rId66" w:history="1">
        <w:r>
          <w:rPr>
            <w:rStyle w:val="Hyperlink"/>
            <w:rFonts w:cs="Times New Roman"/>
            <w:sz w:val="20"/>
            <w:szCs w:val="20"/>
            <w:shd w:val="clear" w:color="auto" w:fill="FFFFFF"/>
          </w:rPr>
          <w:t>https://</w:t>
        </w:r>
        <w:r>
          <w:rPr>
            <w:rStyle w:val="Hyperlink"/>
            <w:rFonts w:cs="Times New Roman"/>
            <w:sz w:val="20"/>
            <w:szCs w:val="20"/>
            <w:shd w:val="clear" w:color="auto" w:fill="FFFFFF"/>
          </w:rPr>
          <w:t>pubs.usgs.gov/publication/94-023/FH</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kern w:val="0"/>
          <w:sz w:val="20"/>
          <w:szCs w:val="20"/>
          <w:lang w:bidi="gu-IN"/>
        </w:rPr>
      </w:pPr>
      <w:r>
        <w:rPr>
          <w:rFonts w:cs="Times New Roman"/>
          <w:kern w:val="0"/>
          <w:sz w:val="20"/>
          <w:szCs w:val="20"/>
          <w:lang w:bidi="gu-IN"/>
        </w:rPr>
        <w:t xml:space="preserve">Snedecor GW, Cochran WG (1967) </w:t>
      </w:r>
      <w:r>
        <w:rPr>
          <w:rFonts w:cs="Times New Roman"/>
          <w:i/>
          <w:iCs/>
          <w:kern w:val="0"/>
          <w:sz w:val="20"/>
          <w:szCs w:val="20"/>
          <w:lang w:bidi="gu-IN"/>
        </w:rPr>
        <w:t>Statistical methods (6th edn.)</w:t>
      </w:r>
      <w:r>
        <w:rPr>
          <w:rFonts w:cs="Times New Roman"/>
          <w:kern w:val="0"/>
          <w:sz w:val="20"/>
          <w:szCs w:val="20"/>
          <w:lang w:bidi="gu-IN"/>
        </w:rPr>
        <w:t xml:space="preserve"> Iowa state university press, Iowa pp: 593.</w:t>
      </w:r>
    </w:p>
    <w:p w:rsidR="00E94D45" w:rsidRDefault="005572AF">
      <w:pPr>
        <w:autoSpaceDE w:val="0"/>
        <w:autoSpaceDN w:val="0"/>
        <w:adjustRightInd w:val="0"/>
        <w:spacing w:before="120" w:line="276" w:lineRule="auto"/>
        <w:ind w:left="720" w:hanging="720"/>
        <w:rPr>
          <w:rFonts w:cs="Times New Roman"/>
          <w:kern w:val="0"/>
          <w:sz w:val="20"/>
          <w:szCs w:val="20"/>
          <w:lang w:bidi="gu-IN"/>
        </w:rPr>
      </w:pPr>
      <w:r>
        <w:rPr>
          <w:rFonts w:cs="Times New Roman"/>
          <w:kern w:val="0"/>
          <w:sz w:val="20"/>
          <w:szCs w:val="20"/>
          <w:lang w:bidi="gu-IN"/>
        </w:rPr>
        <w:t xml:space="preserve">Sokal, R. R., &amp; Rohlf, F. J. (1981). Biometry: The principles and practice of statistics in biological research. </w:t>
      </w:r>
      <w:r>
        <w:rPr>
          <w:rFonts w:cs="Times New Roman"/>
          <w:i/>
          <w:iCs/>
          <w:kern w:val="0"/>
          <w:sz w:val="20"/>
          <w:szCs w:val="20"/>
          <w:lang w:bidi="gu-IN"/>
        </w:rPr>
        <w:t>Freeman</w:t>
      </w:r>
      <w:r>
        <w:rPr>
          <w:rFonts w:cs="Times New Roman"/>
          <w:kern w:val="0"/>
          <w:sz w:val="20"/>
          <w:szCs w:val="20"/>
          <w:lang w:bidi="gu-IN"/>
        </w:rPr>
        <w:t xml:space="preserve">. </w:t>
      </w:r>
      <w:hyperlink r:id="rId67" w:history="1">
        <w:r>
          <w:rPr>
            <w:rStyle w:val="Hyperlink"/>
            <w:rFonts w:cs="Times New Roman"/>
            <w:kern w:val="0"/>
            <w:sz w:val="20"/>
            <w:szCs w:val="20"/>
            <w:lang w:bidi="gu-IN"/>
          </w:rPr>
          <w:t>https://www.nlm.nih.gov/locatorplus/details/00000004.html</w:t>
        </w:r>
      </w:hyperlink>
      <w:r>
        <w:rPr>
          <w:rFonts w:cs="Times New Roman"/>
          <w:kern w:val="0"/>
          <w:sz w:val="20"/>
          <w:szCs w:val="20"/>
          <w:lang w:bidi="gu-IN"/>
        </w:rPr>
        <w:t xml:space="preserve"> </w:t>
      </w:r>
    </w:p>
    <w:p w:rsidR="00E94D45" w:rsidRDefault="005572AF">
      <w:pPr>
        <w:spacing w:before="120" w:line="276" w:lineRule="auto"/>
        <w:ind w:left="720" w:hanging="720"/>
        <w:rPr>
          <w:rFonts w:cs="Times New Roman"/>
          <w:kern w:val="0"/>
          <w:sz w:val="20"/>
          <w:szCs w:val="20"/>
          <w:lang w:bidi="he-IL"/>
        </w:rPr>
      </w:pPr>
      <w:r>
        <w:rPr>
          <w:rFonts w:cs="Times New Roman"/>
          <w:kern w:val="0"/>
          <w:sz w:val="20"/>
          <w:szCs w:val="20"/>
          <w:lang w:bidi="he-IL"/>
        </w:rPr>
        <w:t>S</w:t>
      </w:r>
      <w:r>
        <w:rPr>
          <w:rFonts w:cs="Times New Roman"/>
          <w:kern w:val="0"/>
          <w:sz w:val="20"/>
          <w:szCs w:val="20"/>
          <w:lang w:bidi="he-IL"/>
        </w:rPr>
        <w:t xml:space="preserve">torebakken, T., Sørensen, M., Bjerkeng, B., &amp; Hiu, S. (2004). Utilization of astaxanthin from red yeast, </w:t>
      </w:r>
      <w:r>
        <w:rPr>
          <w:rFonts w:cs="Times New Roman"/>
          <w:i/>
          <w:iCs/>
          <w:kern w:val="0"/>
          <w:sz w:val="20"/>
          <w:szCs w:val="20"/>
          <w:lang w:bidi="he-IL"/>
        </w:rPr>
        <w:t>Xanthophyllomyces dendrorhous</w:t>
      </w:r>
      <w:r>
        <w:rPr>
          <w:rFonts w:cs="Times New Roman"/>
          <w:kern w:val="0"/>
          <w:sz w:val="20"/>
          <w:szCs w:val="20"/>
          <w:lang w:bidi="he-IL"/>
        </w:rPr>
        <w:t xml:space="preserve">, in rainbow trout, </w:t>
      </w:r>
      <w:r>
        <w:rPr>
          <w:rFonts w:cs="Times New Roman"/>
          <w:i/>
          <w:iCs/>
          <w:kern w:val="0"/>
          <w:sz w:val="20"/>
          <w:szCs w:val="20"/>
          <w:lang w:bidi="he-IL"/>
        </w:rPr>
        <w:t>Oncorhynchus mykiss</w:t>
      </w:r>
      <w:r>
        <w:rPr>
          <w:rFonts w:cs="Times New Roman"/>
          <w:kern w:val="0"/>
          <w:sz w:val="20"/>
          <w:szCs w:val="20"/>
          <w:lang w:bidi="he-IL"/>
        </w:rPr>
        <w:t xml:space="preserve">: Effects of enzymatic cell wall disruption and feed extrusion temperature. </w:t>
      </w:r>
      <w:r>
        <w:rPr>
          <w:rFonts w:cs="Times New Roman"/>
          <w:i/>
          <w:iCs/>
          <w:kern w:val="0"/>
          <w:sz w:val="20"/>
          <w:szCs w:val="20"/>
          <w:lang w:bidi="he-IL"/>
        </w:rPr>
        <w:t>Aquacul</w:t>
      </w:r>
      <w:r>
        <w:rPr>
          <w:rFonts w:cs="Times New Roman"/>
          <w:i/>
          <w:iCs/>
          <w:kern w:val="0"/>
          <w:sz w:val="20"/>
          <w:szCs w:val="20"/>
          <w:lang w:bidi="he-IL"/>
        </w:rPr>
        <w:t>ture</w:t>
      </w:r>
      <w:r>
        <w:rPr>
          <w:rFonts w:cs="Times New Roman"/>
          <w:kern w:val="0"/>
          <w:sz w:val="20"/>
          <w:szCs w:val="20"/>
          <w:lang w:bidi="he-IL"/>
        </w:rPr>
        <w:t xml:space="preserve">, 236, 391-403. </w:t>
      </w:r>
      <w:hyperlink r:id="rId68" w:history="1">
        <w:r>
          <w:rPr>
            <w:rStyle w:val="Hyperlink"/>
            <w:rFonts w:cs="Times New Roman"/>
            <w:kern w:val="0"/>
            <w:sz w:val="20"/>
            <w:szCs w:val="20"/>
            <w:lang w:bidi="he-IL"/>
          </w:rPr>
          <w:t>https://doi.org/10.1016/j.aquaculture.2003.10.035</w:t>
        </w:r>
      </w:hyperlink>
      <w:r>
        <w:rPr>
          <w:rFonts w:cs="Times New Roman"/>
          <w:kern w:val="0"/>
          <w:sz w:val="20"/>
          <w:szCs w:val="20"/>
          <w:lang w:bidi="he-IL"/>
        </w:rPr>
        <w:t xml:space="preserve"> </w:t>
      </w:r>
    </w:p>
    <w:p w:rsidR="00E94D45" w:rsidRDefault="005572AF">
      <w:pPr>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rPr>
        <w:t>Subramanian, S., MacKinnon, S. L., &amp; Ross, N. W. (2007). A comparative study on innate immune parameters in the epiderm</w:t>
      </w:r>
      <w:r>
        <w:rPr>
          <w:rFonts w:cs="Times New Roman"/>
          <w:color w:val="222222"/>
          <w:sz w:val="20"/>
          <w:szCs w:val="20"/>
          <w:shd w:val="clear" w:color="auto" w:fill="FFFFFF"/>
        </w:rPr>
        <w:t xml:space="preserve">al mucus of various fish species. </w:t>
      </w:r>
      <w:r>
        <w:rPr>
          <w:rFonts w:cs="Times New Roman"/>
          <w:i/>
          <w:iCs/>
          <w:color w:val="222222"/>
          <w:sz w:val="20"/>
          <w:szCs w:val="20"/>
          <w:shd w:val="clear" w:color="auto" w:fill="FFFFFF"/>
        </w:rPr>
        <w:t>Comparative Biochemistry and Physiology Part B: Biochemistry and Molecular Biology,</w:t>
      </w:r>
      <w:r>
        <w:rPr>
          <w:rFonts w:cs="Times New Roman"/>
          <w:color w:val="222222"/>
          <w:sz w:val="20"/>
          <w:szCs w:val="20"/>
          <w:shd w:val="clear" w:color="auto" w:fill="FFFFFF"/>
        </w:rPr>
        <w:t xml:space="preserve"> 148(3), 256-263. </w:t>
      </w:r>
      <w:hyperlink r:id="rId69" w:history="1">
        <w:r>
          <w:rPr>
            <w:rStyle w:val="Hyperlink"/>
            <w:rFonts w:cs="Times New Roman"/>
            <w:sz w:val="20"/>
            <w:szCs w:val="20"/>
            <w:shd w:val="clear" w:color="auto" w:fill="FFFFFF"/>
            <w:lang w:val="pt-BR"/>
          </w:rPr>
          <w:t>https://doi.org/10.1016/j.cbpb.2007.06.003</w:t>
        </w:r>
      </w:hyperlink>
      <w:r>
        <w:rPr>
          <w:rFonts w:cs="Times New Roman"/>
          <w:color w:val="222222"/>
          <w:sz w:val="20"/>
          <w:szCs w:val="20"/>
          <w:shd w:val="clear" w:color="auto" w:fill="FFFFFF"/>
          <w:lang w:val="pt-BR"/>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pt-BR"/>
        </w:rPr>
        <w:t xml:space="preserve">Suhnel, S., Lagreze, F., Ferreira, J. F., Campestrini, L. H., &amp; Maraschin, M. (2009). </w:t>
      </w:r>
      <w:r>
        <w:rPr>
          <w:rFonts w:cs="Times New Roman"/>
          <w:color w:val="222222"/>
          <w:sz w:val="20"/>
          <w:szCs w:val="20"/>
          <w:shd w:val="clear" w:color="auto" w:fill="FFFFFF"/>
        </w:rPr>
        <w:t xml:space="preserve">Carotenoid extraction from the gonad of the scallop </w:t>
      </w:r>
      <w:r>
        <w:rPr>
          <w:rFonts w:cs="Times New Roman"/>
          <w:i/>
          <w:iCs/>
          <w:color w:val="222222"/>
          <w:sz w:val="20"/>
          <w:szCs w:val="20"/>
          <w:shd w:val="clear" w:color="auto" w:fill="FFFFFF"/>
        </w:rPr>
        <w:t>Nodipecten nodosus</w:t>
      </w:r>
      <w:r>
        <w:rPr>
          <w:rFonts w:cs="Times New Roman"/>
          <w:color w:val="222222"/>
          <w:sz w:val="20"/>
          <w:szCs w:val="20"/>
          <w:shd w:val="clear" w:color="auto" w:fill="FFFFFF"/>
        </w:rPr>
        <w:t xml:space="preserve"> (Linnaeus, 1758) (Bivalvia: Pectinidae). </w:t>
      </w:r>
      <w:r>
        <w:rPr>
          <w:rFonts w:cs="Times New Roman"/>
          <w:i/>
          <w:iCs/>
          <w:color w:val="222222"/>
          <w:sz w:val="20"/>
          <w:szCs w:val="20"/>
          <w:shd w:val="clear" w:color="auto" w:fill="FFFFFF"/>
        </w:rPr>
        <w:t>Brazilian Journal of Biology</w:t>
      </w:r>
      <w:r>
        <w:rPr>
          <w:rFonts w:cs="Times New Roman"/>
          <w:color w:val="222222"/>
          <w:sz w:val="20"/>
          <w:szCs w:val="20"/>
          <w:shd w:val="clear" w:color="auto" w:fill="FFFFFF"/>
        </w:rPr>
        <w:t xml:space="preserve">, 69, 209-215. </w:t>
      </w:r>
      <w:hyperlink r:id="rId70" w:history="1">
        <w:r>
          <w:rPr>
            <w:rStyle w:val="Hyperlink"/>
            <w:rFonts w:cs="Times New Roman"/>
            <w:sz w:val="20"/>
            <w:szCs w:val="20"/>
            <w:shd w:val="clear" w:color="auto" w:fill="FFFFFF"/>
          </w:rPr>
          <w:t>https://doi.org/10.1590/s1519-69842009000100028</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sz w:val="20"/>
          <w:szCs w:val="20"/>
        </w:rPr>
      </w:pPr>
      <w:r>
        <w:rPr>
          <w:rFonts w:cs="Times New Roman"/>
          <w:sz w:val="20"/>
          <w:szCs w:val="20"/>
        </w:rPr>
        <w:t xml:space="preserve">Takeuchi, T., Lu, J., Yoshizaki, G., &amp; Satoh, S. (2002). Effect on the growth and body composition of juvenile tilapia </w:t>
      </w:r>
      <w:r>
        <w:rPr>
          <w:rFonts w:cs="Times New Roman"/>
          <w:i/>
          <w:iCs/>
          <w:sz w:val="20"/>
          <w:szCs w:val="20"/>
        </w:rPr>
        <w:t>Oreochromis niloticus</w:t>
      </w:r>
      <w:r>
        <w:rPr>
          <w:rFonts w:cs="Times New Roman"/>
          <w:sz w:val="20"/>
          <w:szCs w:val="20"/>
        </w:rPr>
        <w:t xml:space="preserve"> fed raw Spirulina</w:t>
      </w:r>
      <w:r>
        <w:rPr>
          <w:rFonts w:cs="Times New Roman"/>
          <w:sz w:val="20"/>
          <w:szCs w:val="20"/>
        </w:rPr>
        <w:t xml:space="preserve">. </w:t>
      </w:r>
      <w:r>
        <w:rPr>
          <w:rFonts w:cs="Times New Roman"/>
          <w:i/>
          <w:iCs/>
          <w:sz w:val="20"/>
          <w:szCs w:val="20"/>
        </w:rPr>
        <w:t>Fisheries Science</w:t>
      </w:r>
      <w:r>
        <w:rPr>
          <w:rFonts w:cs="Times New Roman"/>
          <w:sz w:val="20"/>
          <w:szCs w:val="20"/>
        </w:rPr>
        <w:t xml:space="preserve">, 68, 34–40. </w:t>
      </w:r>
      <w:hyperlink r:id="rId71" w:history="1">
        <w:r>
          <w:rPr>
            <w:rStyle w:val="Hyperlink"/>
            <w:rFonts w:cs="Times New Roman"/>
            <w:sz w:val="20"/>
            <w:szCs w:val="20"/>
          </w:rPr>
          <w:t>https://doi.org/10.1046/j.1444-2906.2002.00386.x</w:t>
        </w:r>
      </w:hyperlink>
      <w:r>
        <w:rPr>
          <w:rFonts w:cs="Times New Roman"/>
          <w:sz w:val="20"/>
          <w:szCs w:val="20"/>
        </w:rPr>
        <w:t xml:space="preserve"> </w:t>
      </w:r>
    </w:p>
    <w:p w:rsidR="00E94D45" w:rsidRDefault="005572AF">
      <w:pPr>
        <w:spacing w:before="120" w:line="276" w:lineRule="auto"/>
        <w:ind w:left="720" w:hanging="720"/>
        <w:rPr>
          <w:rFonts w:cs="Times New Roman"/>
          <w:sz w:val="20"/>
          <w:szCs w:val="20"/>
        </w:rPr>
      </w:pPr>
      <w:r>
        <w:rPr>
          <w:rFonts w:cs="Times New Roman"/>
          <w:sz w:val="20"/>
          <w:szCs w:val="20"/>
        </w:rPr>
        <w:t xml:space="preserve">Teimouri, M., Amirkolaie, A. K., &amp; Yeganeh, S. (2013). The effects of </w:t>
      </w:r>
      <w:r>
        <w:rPr>
          <w:rFonts w:cs="Times New Roman"/>
          <w:i/>
          <w:iCs/>
          <w:sz w:val="20"/>
          <w:szCs w:val="20"/>
        </w:rPr>
        <w:t xml:space="preserve">Spirulina platensis </w:t>
      </w:r>
      <w:r>
        <w:rPr>
          <w:rFonts w:cs="Times New Roman"/>
          <w:sz w:val="20"/>
          <w:szCs w:val="20"/>
        </w:rPr>
        <w:t>meal as a feed supp</w:t>
      </w:r>
      <w:r>
        <w:rPr>
          <w:rFonts w:cs="Times New Roman"/>
          <w:sz w:val="20"/>
          <w:szCs w:val="20"/>
        </w:rPr>
        <w:t>lement on growth performance and pigmentation of rainbow trout (</w:t>
      </w:r>
      <w:r>
        <w:rPr>
          <w:rFonts w:cs="Times New Roman"/>
          <w:i/>
          <w:iCs/>
          <w:sz w:val="20"/>
          <w:szCs w:val="20"/>
        </w:rPr>
        <w:t>Oncorhynchus mykiss</w:t>
      </w:r>
      <w:r>
        <w:rPr>
          <w:rFonts w:cs="Times New Roman"/>
          <w:sz w:val="20"/>
          <w:szCs w:val="20"/>
        </w:rPr>
        <w:t xml:space="preserve">). </w:t>
      </w:r>
      <w:r>
        <w:rPr>
          <w:rFonts w:cs="Times New Roman"/>
          <w:i/>
          <w:iCs/>
          <w:sz w:val="20"/>
          <w:szCs w:val="20"/>
        </w:rPr>
        <w:t>Aquaculture</w:t>
      </w:r>
      <w:r>
        <w:rPr>
          <w:rFonts w:cs="Times New Roman"/>
          <w:sz w:val="20"/>
          <w:szCs w:val="20"/>
        </w:rPr>
        <w:t xml:space="preserve">, </w:t>
      </w:r>
      <w:r>
        <w:rPr>
          <w:rFonts w:cs="Times New Roman"/>
          <w:i/>
          <w:iCs/>
          <w:sz w:val="20"/>
          <w:szCs w:val="20"/>
        </w:rPr>
        <w:t>396</w:t>
      </w:r>
      <w:r>
        <w:rPr>
          <w:rFonts w:cs="Times New Roman"/>
          <w:sz w:val="20"/>
          <w:szCs w:val="20"/>
        </w:rPr>
        <w:t xml:space="preserve">, 14-19. </w:t>
      </w:r>
      <w:hyperlink r:id="rId72" w:history="1">
        <w:r>
          <w:rPr>
            <w:rStyle w:val="Hyperlink"/>
            <w:rFonts w:cs="Times New Roman"/>
            <w:sz w:val="20"/>
            <w:szCs w:val="20"/>
          </w:rPr>
          <w:t>https://doi.org/10.1016/j.aquac ulture.2013.02.009</w:t>
        </w:r>
      </w:hyperlink>
    </w:p>
    <w:p w:rsidR="00E94D45" w:rsidRDefault="005572AF">
      <w:pPr>
        <w:spacing w:before="120" w:line="276" w:lineRule="auto"/>
        <w:ind w:left="720" w:hanging="720"/>
        <w:rPr>
          <w:rStyle w:val="Hyperlink"/>
          <w:rFonts w:cs="Times New Roman"/>
          <w:kern w:val="0"/>
          <w:sz w:val="20"/>
          <w:szCs w:val="20"/>
          <w14:ligatures w14:val="none"/>
        </w:rPr>
      </w:pPr>
      <w:r>
        <w:rPr>
          <w:rFonts w:cs="Times New Roman"/>
          <w:color w:val="auto"/>
          <w:kern w:val="0"/>
          <w:sz w:val="20"/>
          <w:szCs w:val="20"/>
          <w14:ligatures w14:val="none"/>
        </w:rPr>
        <w:t>Teimouri, M., Amirkolaie</w:t>
      </w:r>
      <w:r>
        <w:rPr>
          <w:rFonts w:cs="Times New Roman"/>
          <w:color w:val="auto"/>
          <w:kern w:val="0"/>
          <w:sz w:val="20"/>
          <w:szCs w:val="20"/>
          <w14:ligatures w14:val="none"/>
        </w:rPr>
        <w:t xml:space="preserve">, A. K., &amp; Yeganeh, S. (2013). The effects of </w:t>
      </w:r>
      <w:r>
        <w:rPr>
          <w:rFonts w:cs="Times New Roman"/>
          <w:i/>
          <w:iCs/>
          <w:color w:val="auto"/>
          <w:kern w:val="0"/>
          <w:sz w:val="20"/>
          <w:szCs w:val="20"/>
          <w14:ligatures w14:val="none"/>
        </w:rPr>
        <w:t xml:space="preserve">Spirulina platensis </w:t>
      </w:r>
      <w:r>
        <w:rPr>
          <w:rFonts w:cs="Times New Roman"/>
          <w:color w:val="auto"/>
          <w:kern w:val="0"/>
          <w:sz w:val="20"/>
          <w:szCs w:val="20"/>
          <w14:ligatures w14:val="none"/>
        </w:rPr>
        <w:t>meal as a feed supplement on growth performance and pigmentation of rainbow trout (</w:t>
      </w:r>
      <w:r>
        <w:rPr>
          <w:rFonts w:cs="Times New Roman"/>
          <w:i/>
          <w:iCs/>
          <w:color w:val="auto"/>
          <w:kern w:val="0"/>
          <w:sz w:val="20"/>
          <w:szCs w:val="20"/>
          <w14:ligatures w14:val="none"/>
        </w:rPr>
        <w:t>Oncorhynchus mykiss</w:t>
      </w:r>
      <w:r>
        <w:rPr>
          <w:rFonts w:cs="Times New Roman"/>
          <w:color w:val="auto"/>
          <w:kern w:val="0"/>
          <w:sz w:val="20"/>
          <w:szCs w:val="20"/>
          <w14:ligatures w14:val="none"/>
        </w:rPr>
        <w:t xml:space="preserve">). </w:t>
      </w:r>
      <w:r>
        <w:rPr>
          <w:rFonts w:cs="Times New Roman"/>
          <w:i/>
          <w:iCs/>
          <w:color w:val="auto"/>
          <w:kern w:val="0"/>
          <w:sz w:val="20"/>
          <w:szCs w:val="20"/>
          <w14:ligatures w14:val="none"/>
        </w:rPr>
        <w:t>Aquaculture</w:t>
      </w:r>
      <w:r>
        <w:rPr>
          <w:rFonts w:cs="Times New Roman"/>
          <w:color w:val="auto"/>
          <w:kern w:val="0"/>
          <w:sz w:val="20"/>
          <w:szCs w:val="20"/>
          <w14:ligatures w14:val="none"/>
        </w:rPr>
        <w:t xml:space="preserve">, </w:t>
      </w:r>
      <w:r>
        <w:rPr>
          <w:rFonts w:cs="Times New Roman"/>
          <w:i/>
          <w:iCs/>
          <w:color w:val="auto"/>
          <w:kern w:val="0"/>
          <w:sz w:val="20"/>
          <w:szCs w:val="20"/>
          <w14:ligatures w14:val="none"/>
        </w:rPr>
        <w:t>396</w:t>
      </w:r>
      <w:r>
        <w:rPr>
          <w:rFonts w:cs="Times New Roman"/>
          <w:color w:val="auto"/>
          <w:kern w:val="0"/>
          <w:sz w:val="20"/>
          <w:szCs w:val="20"/>
          <w14:ligatures w14:val="none"/>
        </w:rPr>
        <w:t xml:space="preserve">, 14-19. </w:t>
      </w:r>
      <w:hyperlink r:id="rId73" w:history="1">
        <w:r>
          <w:rPr>
            <w:rStyle w:val="Hyperlink"/>
            <w:rFonts w:cs="Times New Roman"/>
            <w:kern w:val="0"/>
            <w:sz w:val="20"/>
            <w:szCs w:val="20"/>
            <w14:ligatures w14:val="none"/>
          </w:rPr>
          <w:t>https://doi.org/10.1016/j.aquac ulture.2013.02.009</w:t>
        </w:r>
      </w:hyperlink>
    </w:p>
    <w:p w:rsidR="00E94D45" w:rsidRDefault="005572AF">
      <w:pPr>
        <w:spacing w:before="120" w:line="276" w:lineRule="auto"/>
        <w:ind w:left="720" w:hanging="720"/>
        <w:rPr>
          <w:rStyle w:val="Hyperlink"/>
          <w:rFonts w:cs="Times New Roman"/>
          <w:kern w:val="0"/>
          <w:sz w:val="20"/>
          <w:szCs w:val="20"/>
          <w:lang w:val="pt-BR"/>
          <w14:ligatures w14:val="none"/>
        </w:rPr>
      </w:pPr>
      <w:r>
        <w:rPr>
          <w:rFonts w:cs="Times New Roman"/>
          <w:color w:val="auto"/>
          <w:kern w:val="0"/>
          <w:sz w:val="20"/>
          <w:szCs w:val="20"/>
          <w14:ligatures w14:val="none"/>
        </w:rPr>
        <w:t xml:space="preserve">Teimouri, M., Amirkolaie, A. K., &amp; Yeganeh, S. (2013). The effects of </w:t>
      </w:r>
      <w:r>
        <w:rPr>
          <w:rFonts w:cs="Times New Roman"/>
          <w:i/>
          <w:iCs/>
          <w:color w:val="auto"/>
          <w:kern w:val="0"/>
          <w:sz w:val="20"/>
          <w:szCs w:val="20"/>
          <w14:ligatures w14:val="none"/>
        </w:rPr>
        <w:t xml:space="preserve">Spirulina platensis </w:t>
      </w:r>
      <w:r>
        <w:rPr>
          <w:rFonts w:cs="Times New Roman"/>
          <w:color w:val="auto"/>
          <w:kern w:val="0"/>
          <w:sz w:val="20"/>
          <w:szCs w:val="20"/>
          <w14:ligatures w14:val="none"/>
        </w:rPr>
        <w:t>meal as a feed supplement on growth performance and pigmentation of rainbow trout (</w:t>
      </w:r>
      <w:r>
        <w:rPr>
          <w:rFonts w:cs="Times New Roman"/>
          <w:i/>
          <w:iCs/>
          <w:color w:val="auto"/>
          <w:kern w:val="0"/>
          <w:sz w:val="20"/>
          <w:szCs w:val="20"/>
          <w14:ligatures w14:val="none"/>
        </w:rPr>
        <w:t>Oncorhynchus mykiss</w:t>
      </w:r>
      <w:r>
        <w:rPr>
          <w:rFonts w:cs="Times New Roman"/>
          <w:color w:val="auto"/>
          <w:kern w:val="0"/>
          <w:sz w:val="20"/>
          <w:szCs w:val="20"/>
          <w14:ligatures w14:val="none"/>
        </w:rPr>
        <w:t xml:space="preserve">). </w:t>
      </w:r>
      <w:r>
        <w:rPr>
          <w:rFonts w:cs="Times New Roman"/>
          <w:i/>
          <w:iCs/>
          <w:color w:val="auto"/>
          <w:kern w:val="0"/>
          <w:sz w:val="20"/>
          <w:szCs w:val="20"/>
          <w:lang w:val="pt-BR"/>
          <w14:ligatures w14:val="none"/>
        </w:rPr>
        <w:t>A</w:t>
      </w:r>
      <w:r>
        <w:rPr>
          <w:rFonts w:cs="Times New Roman"/>
          <w:i/>
          <w:iCs/>
          <w:color w:val="auto"/>
          <w:kern w:val="0"/>
          <w:sz w:val="20"/>
          <w:szCs w:val="20"/>
          <w:lang w:val="pt-BR"/>
          <w14:ligatures w14:val="none"/>
        </w:rPr>
        <w:t>quaculture</w:t>
      </w:r>
      <w:r>
        <w:rPr>
          <w:rFonts w:cs="Times New Roman"/>
          <w:color w:val="auto"/>
          <w:kern w:val="0"/>
          <w:sz w:val="20"/>
          <w:szCs w:val="20"/>
          <w:lang w:val="pt-BR"/>
          <w14:ligatures w14:val="none"/>
        </w:rPr>
        <w:t xml:space="preserve">, </w:t>
      </w:r>
      <w:r>
        <w:rPr>
          <w:rFonts w:cs="Times New Roman"/>
          <w:i/>
          <w:iCs/>
          <w:color w:val="auto"/>
          <w:kern w:val="0"/>
          <w:sz w:val="20"/>
          <w:szCs w:val="20"/>
          <w:lang w:val="pt-BR"/>
          <w14:ligatures w14:val="none"/>
        </w:rPr>
        <w:t>396</w:t>
      </w:r>
      <w:r>
        <w:rPr>
          <w:rFonts w:cs="Times New Roman"/>
          <w:color w:val="auto"/>
          <w:kern w:val="0"/>
          <w:sz w:val="20"/>
          <w:szCs w:val="20"/>
          <w:lang w:val="pt-BR"/>
          <w14:ligatures w14:val="none"/>
        </w:rPr>
        <w:t xml:space="preserve">, 14-19. </w:t>
      </w:r>
      <w:hyperlink r:id="rId74" w:history="1">
        <w:r>
          <w:rPr>
            <w:rStyle w:val="Hyperlink"/>
            <w:rFonts w:cs="Times New Roman"/>
            <w:kern w:val="0"/>
            <w:sz w:val="20"/>
            <w:szCs w:val="20"/>
            <w:lang w:val="pt-BR"/>
            <w14:ligatures w14:val="none"/>
          </w:rPr>
          <w:t>https://doi.org/10.1016/j.aquac ulture.2013.02.009</w:t>
        </w:r>
      </w:hyperlink>
      <w:r>
        <w:rPr>
          <w:rStyle w:val="Hyperlink"/>
          <w:rFonts w:cs="Times New Roman"/>
          <w:kern w:val="0"/>
          <w:sz w:val="20"/>
          <w:szCs w:val="20"/>
          <w:lang w:val="pt-BR"/>
          <w14:ligatures w14:val="none"/>
        </w:rPr>
        <w:t>.</w:t>
      </w:r>
    </w:p>
    <w:p w:rsidR="00E94D45" w:rsidRDefault="005572AF">
      <w:pPr>
        <w:spacing w:before="120" w:line="276" w:lineRule="auto"/>
        <w:ind w:left="720" w:hanging="720"/>
        <w:rPr>
          <w:rFonts w:cs="Times New Roman"/>
          <w:sz w:val="20"/>
          <w:szCs w:val="20"/>
        </w:rPr>
      </w:pPr>
      <w:r>
        <w:rPr>
          <w:rFonts w:cs="Times New Roman"/>
          <w:sz w:val="20"/>
          <w:szCs w:val="20"/>
          <w:lang w:val="pt-BR"/>
        </w:rPr>
        <w:t xml:space="preserve">Teimouri, M., Yeganeh, S., &amp; Amirkolaie, A. (2016). </w:t>
      </w:r>
      <w:r>
        <w:rPr>
          <w:rFonts w:cs="Times New Roman"/>
          <w:sz w:val="20"/>
          <w:szCs w:val="20"/>
        </w:rPr>
        <w:t xml:space="preserve">The effects of </w:t>
      </w:r>
      <w:r>
        <w:rPr>
          <w:rFonts w:cs="Times New Roman"/>
          <w:i/>
          <w:iCs/>
          <w:sz w:val="20"/>
          <w:szCs w:val="20"/>
        </w:rPr>
        <w:t xml:space="preserve">Spirulina platensis </w:t>
      </w:r>
      <w:r>
        <w:rPr>
          <w:rFonts w:cs="Times New Roman"/>
          <w:sz w:val="20"/>
          <w:szCs w:val="20"/>
        </w:rPr>
        <w:t xml:space="preserve">meal on proximate </w:t>
      </w:r>
      <w:r>
        <w:rPr>
          <w:rFonts w:cs="Times New Roman"/>
          <w:sz w:val="20"/>
          <w:szCs w:val="20"/>
        </w:rPr>
        <w:t>composition, fatty acid profile and lipid peroxidation of rainbow trout (</w:t>
      </w:r>
      <w:r>
        <w:rPr>
          <w:rFonts w:cs="Times New Roman"/>
          <w:i/>
          <w:iCs/>
          <w:sz w:val="20"/>
          <w:szCs w:val="20"/>
        </w:rPr>
        <w:t>Oncorhynchus mykiss</w:t>
      </w:r>
      <w:r>
        <w:rPr>
          <w:rFonts w:cs="Times New Roman"/>
          <w:sz w:val="20"/>
          <w:szCs w:val="20"/>
        </w:rPr>
        <w:t xml:space="preserve">) muscle. </w:t>
      </w:r>
      <w:r>
        <w:rPr>
          <w:rFonts w:cs="Times New Roman"/>
          <w:i/>
          <w:iCs/>
          <w:sz w:val="20"/>
          <w:szCs w:val="20"/>
        </w:rPr>
        <w:t>Aquaculture Nutrition</w:t>
      </w:r>
      <w:r>
        <w:rPr>
          <w:rFonts w:cs="Times New Roman"/>
          <w:sz w:val="20"/>
          <w:szCs w:val="20"/>
        </w:rPr>
        <w:t xml:space="preserve">, </w:t>
      </w:r>
      <w:r>
        <w:rPr>
          <w:rFonts w:cs="Times New Roman"/>
          <w:i/>
          <w:iCs/>
          <w:sz w:val="20"/>
          <w:szCs w:val="20"/>
        </w:rPr>
        <w:t>22</w:t>
      </w:r>
      <w:r>
        <w:rPr>
          <w:rFonts w:cs="Times New Roman"/>
          <w:sz w:val="20"/>
          <w:szCs w:val="20"/>
        </w:rPr>
        <w:t xml:space="preserve">, 559-566. </w:t>
      </w:r>
      <w:hyperlink r:id="rId75" w:history="1">
        <w:r>
          <w:rPr>
            <w:rStyle w:val="Hyperlink"/>
            <w:rFonts w:cs="Times New Roman"/>
            <w:sz w:val="20"/>
            <w:szCs w:val="20"/>
          </w:rPr>
          <w:t>https://doi.org/10.1111/anu.12281</w:t>
        </w:r>
      </w:hyperlink>
      <w:r>
        <w:rPr>
          <w:rFonts w:cs="Times New Roman"/>
          <w:sz w:val="20"/>
          <w:szCs w:val="20"/>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Tongsiri, S., Mang-Amphan, K., &amp;</w:t>
      </w:r>
      <w:r>
        <w:rPr>
          <w:rFonts w:cs="Times New Roman"/>
          <w:color w:val="222222"/>
          <w:sz w:val="20"/>
          <w:szCs w:val="20"/>
          <w:shd w:val="clear" w:color="auto" w:fill="FFFFFF"/>
        </w:rPr>
        <w:t xml:space="preserve"> Peerapornpisal, Y. (2010). Effect of replacing fishmeal with Spirulina on growth, carcass composition and pigment of the Mekong giant catfish. </w:t>
      </w:r>
      <w:r>
        <w:rPr>
          <w:rFonts w:cs="Times New Roman"/>
          <w:i/>
          <w:iCs/>
          <w:color w:val="222222"/>
          <w:sz w:val="20"/>
          <w:szCs w:val="20"/>
          <w:shd w:val="clear" w:color="auto" w:fill="FFFFFF"/>
        </w:rPr>
        <w:t>Asian Journal of Agricultural Sciences</w:t>
      </w:r>
      <w:r>
        <w:rPr>
          <w:rFonts w:cs="Times New Roman"/>
          <w:color w:val="222222"/>
          <w:sz w:val="20"/>
          <w:szCs w:val="20"/>
          <w:shd w:val="clear" w:color="auto" w:fill="FFFFFF"/>
        </w:rPr>
        <w:t xml:space="preserve">, 2(3), 106-110. </w:t>
      </w:r>
      <w:hyperlink r:id="rId76" w:history="1">
        <w:r>
          <w:rPr>
            <w:rStyle w:val="Hyperlink"/>
            <w:rFonts w:cs="Times New Roman"/>
            <w:sz w:val="20"/>
            <w:szCs w:val="20"/>
            <w:shd w:val="clear" w:color="auto" w:fill="FFFFFF"/>
          </w:rPr>
          <w:t>https://www.maxwellsci.com/jp/abstract.php?jid=AJA&amp;aid=233</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sz w:val="20"/>
          <w:szCs w:val="20"/>
        </w:rPr>
      </w:pPr>
      <w:r>
        <w:rPr>
          <w:rFonts w:cs="Times New Roman"/>
          <w:sz w:val="20"/>
          <w:szCs w:val="20"/>
        </w:rPr>
        <w:lastRenderedPageBreak/>
        <w:t xml:space="preserve">Tongsiri, S., Mang-Amphan, K., &amp; Peerapornpisal, Y. (2010). Effect of replacing fishmeal with Spirulina on growth, carcass composition and pigment of the Mekong giant catfish. </w:t>
      </w:r>
      <w:r>
        <w:rPr>
          <w:rFonts w:cs="Times New Roman"/>
          <w:i/>
          <w:iCs/>
          <w:sz w:val="20"/>
          <w:szCs w:val="20"/>
        </w:rPr>
        <w:t>As</w:t>
      </w:r>
      <w:r>
        <w:rPr>
          <w:rFonts w:cs="Times New Roman"/>
          <w:i/>
          <w:iCs/>
          <w:sz w:val="20"/>
          <w:szCs w:val="20"/>
        </w:rPr>
        <w:t>ian Journal of Agricultural Sciences,</w:t>
      </w:r>
      <w:r>
        <w:rPr>
          <w:rFonts w:cs="Times New Roman"/>
          <w:sz w:val="20"/>
          <w:szCs w:val="20"/>
        </w:rPr>
        <w:t xml:space="preserve"> 2, 106-110. </w:t>
      </w:r>
      <w:hyperlink r:id="rId77" w:history="1">
        <w:r>
          <w:rPr>
            <w:rStyle w:val="Hyperlink"/>
            <w:rFonts w:cs="Times New Roman"/>
            <w:sz w:val="20"/>
            <w:szCs w:val="20"/>
          </w:rPr>
          <w:t>https://www.airitilibrary.com/PublicationDetail/Detail?docid=20413890-201007-20100</w:t>
        </w:r>
        <w:r>
          <w:rPr>
            <w:rStyle w:val="Hyperlink"/>
            <w:rFonts w:cs="Times New Roman"/>
            <w:sz w:val="20"/>
            <w:szCs w:val="20"/>
          </w:rPr>
          <w:t>7200004-201007200004-106-110</w:t>
        </w:r>
      </w:hyperlink>
      <w:r>
        <w:rPr>
          <w:rFonts w:cs="Times New Roman"/>
          <w:sz w:val="20"/>
          <w:szCs w:val="20"/>
        </w:rPr>
        <w:t xml:space="preserve"> </w:t>
      </w:r>
    </w:p>
    <w:p w:rsidR="00E94D45" w:rsidRDefault="005572AF">
      <w:pPr>
        <w:spacing w:before="120" w:line="276" w:lineRule="auto"/>
        <w:ind w:left="720" w:hanging="720"/>
        <w:rPr>
          <w:rFonts w:cs="Times New Roman"/>
          <w:sz w:val="20"/>
          <w:szCs w:val="20"/>
        </w:rPr>
      </w:pPr>
      <w:r>
        <w:rPr>
          <w:rFonts w:cs="Times New Roman"/>
          <w:color w:val="auto"/>
          <w:kern w:val="0"/>
          <w:sz w:val="20"/>
          <w:szCs w:val="20"/>
          <w14:ligatures w14:val="none"/>
        </w:rPr>
        <w:t xml:space="preserve">Tongsiri, S., Mang-Amphan, K., &amp; Peerapornpisal, Y. (2010). Effect of replacing fishmeal with Spirulina on growth, carcass composition and pigment of the Mekong giant catfish. </w:t>
      </w:r>
      <w:r>
        <w:rPr>
          <w:rFonts w:cs="Times New Roman"/>
          <w:i/>
          <w:iCs/>
          <w:color w:val="auto"/>
          <w:kern w:val="0"/>
          <w:sz w:val="20"/>
          <w:szCs w:val="20"/>
          <w14:ligatures w14:val="none"/>
        </w:rPr>
        <w:t>Asian Journal of Agricultural</w:t>
      </w:r>
      <w:r>
        <w:rPr>
          <w:rFonts w:cs="Times New Roman"/>
          <w:color w:val="auto"/>
          <w:kern w:val="0"/>
          <w:sz w:val="20"/>
          <w:szCs w:val="20"/>
          <w14:ligatures w14:val="none"/>
        </w:rPr>
        <w:t xml:space="preserve"> </w:t>
      </w:r>
      <w:r>
        <w:rPr>
          <w:rFonts w:cs="Times New Roman"/>
          <w:i/>
          <w:iCs/>
          <w:color w:val="auto"/>
          <w:kern w:val="0"/>
          <w:sz w:val="20"/>
          <w:szCs w:val="20"/>
          <w14:ligatures w14:val="none"/>
        </w:rPr>
        <w:t>Sciences</w:t>
      </w:r>
      <w:r>
        <w:rPr>
          <w:rFonts w:cs="Times New Roman"/>
          <w:color w:val="auto"/>
          <w:kern w:val="0"/>
          <w:sz w:val="20"/>
          <w:szCs w:val="20"/>
          <w14:ligatures w14:val="none"/>
        </w:rPr>
        <w:t xml:space="preserve">, </w:t>
      </w:r>
      <w:r>
        <w:rPr>
          <w:rFonts w:cs="Times New Roman"/>
          <w:i/>
          <w:iCs/>
          <w:color w:val="auto"/>
          <w:kern w:val="0"/>
          <w:sz w:val="20"/>
          <w:szCs w:val="20"/>
          <w14:ligatures w14:val="none"/>
        </w:rPr>
        <w:t>2</w:t>
      </w:r>
      <w:r>
        <w:rPr>
          <w:rFonts w:cs="Times New Roman"/>
          <w:color w:val="auto"/>
          <w:kern w:val="0"/>
          <w:sz w:val="20"/>
          <w:szCs w:val="20"/>
          <w14:ligatures w14:val="none"/>
        </w:rPr>
        <w:t>, 106-</w:t>
      </w:r>
      <w:r>
        <w:rPr>
          <w:rFonts w:cs="Times New Roman"/>
          <w:color w:val="auto"/>
          <w:kern w:val="0"/>
          <w:sz w:val="20"/>
          <w:szCs w:val="20"/>
          <w14:ligatures w14:val="none"/>
        </w:rPr>
        <w:t>110.</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Tongsiri, S., Mang-Amphan, K., &amp; Peerapornpisal, Y. (2010). Effect of replacing fishmeal with Spirulina on growth, carcass composition and pigment of the Mekong giant catfish. </w:t>
      </w:r>
      <w:r>
        <w:rPr>
          <w:rFonts w:cs="Times New Roman"/>
          <w:i/>
          <w:iCs/>
          <w:color w:val="222222"/>
          <w:sz w:val="20"/>
          <w:szCs w:val="20"/>
          <w:shd w:val="clear" w:color="auto" w:fill="FFFFFF"/>
        </w:rPr>
        <w:t>Asian Journal of Agricultural Sciences,</w:t>
      </w:r>
      <w:r>
        <w:rPr>
          <w:rFonts w:cs="Times New Roman"/>
          <w:color w:val="222222"/>
          <w:sz w:val="20"/>
          <w:szCs w:val="20"/>
          <w:shd w:val="clear" w:color="auto" w:fill="FFFFFF"/>
        </w:rPr>
        <w:t xml:space="preserve"> 2(3), 106-110. </w:t>
      </w:r>
      <w:hyperlink r:id="rId78" w:history="1">
        <w:r>
          <w:rPr>
            <w:rStyle w:val="Hyperlink"/>
            <w:rFonts w:cs="Times New Roman"/>
            <w:sz w:val="20"/>
            <w:szCs w:val="20"/>
            <w:shd w:val="clear" w:color="auto" w:fill="FFFFFF"/>
          </w:rPr>
          <w:t>https://doi.org/10.5297/SER.1201.002</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Torrissen, O. J., &amp; Naevdal, G. (1984). Pigmentation of salmonids-genetical variation in carotenoid deposition in rainbow trout.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38(1), 59-66. </w:t>
      </w:r>
      <w:hyperlink r:id="rId79" w:history="1">
        <w:r>
          <w:rPr>
            <w:rStyle w:val="Hyperlink"/>
            <w:rFonts w:cs="Times New Roman"/>
            <w:sz w:val="20"/>
            <w:szCs w:val="20"/>
            <w:shd w:val="clear" w:color="auto" w:fill="FFFFFF"/>
          </w:rPr>
          <w:t>https://doi.org/10.1016/0044-8486(84)90137-6</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Torrissen, O. J., Hardy, R. W., &amp; Shearer, K. D. (1989). Pigmentation of salmonids-carotenoid deposition and metabolism. </w:t>
      </w:r>
      <w:r>
        <w:rPr>
          <w:rFonts w:cs="Times New Roman"/>
          <w:i/>
          <w:iCs/>
          <w:color w:val="222222"/>
          <w:sz w:val="20"/>
          <w:szCs w:val="20"/>
          <w:shd w:val="clear" w:color="auto" w:fill="FFFFFF"/>
        </w:rPr>
        <w:t xml:space="preserve">CRC Crit. </w:t>
      </w:r>
      <w:r>
        <w:rPr>
          <w:rFonts w:cs="Times New Roman"/>
          <w:color w:val="222222"/>
          <w:sz w:val="20"/>
          <w:szCs w:val="20"/>
          <w:shd w:val="clear" w:color="auto" w:fill="FFFFFF"/>
        </w:rPr>
        <w:t>Rev. Aquat. Sci, </w:t>
      </w:r>
      <w:r>
        <w:rPr>
          <w:rFonts w:cs="Times New Roman"/>
          <w:i/>
          <w:iCs/>
          <w:color w:val="222222"/>
          <w:sz w:val="20"/>
          <w:szCs w:val="20"/>
          <w:shd w:val="clear" w:color="auto" w:fill="FFFFFF"/>
        </w:rPr>
        <w:t>1</w:t>
      </w:r>
      <w:r>
        <w:rPr>
          <w:rFonts w:cs="Times New Roman"/>
          <w:color w:val="222222"/>
          <w:sz w:val="20"/>
          <w:szCs w:val="20"/>
          <w:shd w:val="clear" w:color="auto" w:fill="FFFFFF"/>
        </w:rPr>
        <w:t>(2), 209-225.</w:t>
      </w:r>
    </w:p>
    <w:p w:rsidR="00E94D45" w:rsidRDefault="005572AF">
      <w:pPr>
        <w:spacing w:before="120" w:line="276" w:lineRule="auto"/>
        <w:ind w:left="720" w:hanging="720"/>
        <w:rPr>
          <w:rFonts w:cs="Times New Roman"/>
          <w:kern w:val="0"/>
          <w:sz w:val="20"/>
          <w:szCs w:val="20"/>
          <w:lang w:bidi="he-IL"/>
        </w:rPr>
      </w:pPr>
      <w:r>
        <w:rPr>
          <w:rFonts w:cs="Times New Roman"/>
          <w:kern w:val="0"/>
          <w:sz w:val="20"/>
          <w:szCs w:val="20"/>
          <w:lang w:bidi="he-IL"/>
        </w:rPr>
        <w:t xml:space="preserve">Ungsethaphand, T., Peerapornpisal, Y., Whangchai, N., &amp; Sardsud, U. (2010). Effect of feeding </w:t>
      </w:r>
      <w:r>
        <w:rPr>
          <w:rFonts w:cs="Times New Roman"/>
          <w:i/>
          <w:iCs/>
          <w:kern w:val="0"/>
          <w:sz w:val="20"/>
          <w:szCs w:val="20"/>
          <w:lang w:bidi="he-IL"/>
        </w:rPr>
        <w:t>Spirulina platensis</w:t>
      </w:r>
      <w:r>
        <w:rPr>
          <w:rFonts w:cs="Times New Roman"/>
          <w:kern w:val="0"/>
          <w:sz w:val="20"/>
          <w:szCs w:val="20"/>
          <w:lang w:bidi="he-IL"/>
        </w:rPr>
        <w:t xml:space="preserve"> on growth and carcass composition of hybrid red tilapia (</w:t>
      </w:r>
      <w:r>
        <w:rPr>
          <w:rFonts w:cs="Times New Roman"/>
          <w:i/>
          <w:iCs/>
          <w:kern w:val="0"/>
          <w:sz w:val="20"/>
          <w:szCs w:val="20"/>
          <w:lang w:bidi="he-IL"/>
        </w:rPr>
        <w:t>Oreochromis mossambicus × O. niloticus</w:t>
      </w:r>
      <w:r>
        <w:rPr>
          <w:rFonts w:cs="Times New Roman"/>
          <w:kern w:val="0"/>
          <w:sz w:val="20"/>
          <w:szCs w:val="20"/>
          <w:lang w:bidi="he-IL"/>
        </w:rPr>
        <w:t xml:space="preserve">). </w:t>
      </w:r>
      <w:r>
        <w:rPr>
          <w:rFonts w:cs="Times New Roman"/>
          <w:i/>
          <w:iCs/>
          <w:kern w:val="0"/>
          <w:sz w:val="20"/>
          <w:szCs w:val="20"/>
          <w:lang w:bidi="he-IL"/>
        </w:rPr>
        <w:t>Maejo International Journal of</w:t>
      </w:r>
      <w:r>
        <w:rPr>
          <w:rFonts w:cs="Times New Roman"/>
          <w:i/>
          <w:iCs/>
          <w:kern w:val="0"/>
          <w:sz w:val="20"/>
          <w:szCs w:val="20"/>
          <w:lang w:bidi="he-IL"/>
        </w:rPr>
        <w:t xml:space="preserve"> Science and Technology</w:t>
      </w:r>
      <w:r>
        <w:rPr>
          <w:rFonts w:cs="Times New Roman"/>
          <w:kern w:val="0"/>
          <w:sz w:val="20"/>
          <w:szCs w:val="20"/>
          <w:lang w:bidi="he-IL"/>
        </w:rPr>
        <w:t xml:space="preserve">, 4, 331–336. </w:t>
      </w:r>
      <w:hyperlink r:id="rId80" w:history="1">
        <w:r>
          <w:rPr>
            <w:rStyle w:val="Hyperlink"/>
            <w:rFonts w:cs="Times New Roman"/>
            <w:kern w:val="0"/>
            <w:sz w:val="20"/>
            <w:szCs w:val="20"/>
            <w:lang w:bidi="he-IL"/>
          </w:rPr>
          <w:t>https://www.mijst.mju.ac.th/vol4no2.php</w:t>
        </w:r>
      </w:hyperlink>
      <w:r>
        <w:rPr>
          <w:rFonts w:cs="Times New Roman"/>
          <w:kern w:val="0"/>
          <w:sz w:val="20"/>
          <w:szCs w:val="20"/>
          <w:lang w:bidi="he-IL"/>
        </w:rPr>
        <w:t xml:space="preserve"> </w:t>
      </w:r>
    </w:p>
    <w:p w:rsidR="00E94D45" w:rsidRDefault="005572AF">
      <w:pPr>
        <w:spacing w:before="120" w:line="276" w:lineRule="auto"/>
        <w:ind w:left="720" w:hanging="720"/>
        <w:rPr>
          <w:rFonts w:cs="Times New Roman"/>
          <w:color w:val="222222"/>
          <w:sz w:val="20"/>
          <w:szCs w:val="20"/>
          <w:shd w:val="clear" w:color="auto" w:fill="FFFFFF"/>
          <w:lang w:val="pt-BR"/>
        </w:rPr>
      </w:pPr>
      <w:r>
        <w:rPr>
          <w:rFonts w:cs="Times New Roman"/>
          <w:color w:val="222222"/>
          <w:sz w:val="20"/>
          <w:szCs w:val="20"/>
          <w:shd w:val="clear" w:color="auto" w:fill="FFFFFF"/>
        </w:rPr>
        <w:t xml:space="preserve">Uribe, C., Folch, H., Enríquez, R., &amp; Moran, G. (2011). Innate and adaptive immunity in teleost fish: a review. </w:t>
      </w:r>
      <w:r>
        <w:rPr>
          <w:rFonts w:cs="Times New Roman"/>
          <w:i/>
          <w:iCs/>
          <w:color w:val="222222"/>
          <w:sz w:val="20"/>
          <w:szCs w:val="20"/>
          <w:shd w:val="clear" w:color="auto" w:fill="FFFFFF"/>
          <w:lang w:val="pt-BR"/>
        </w:rPr>
        <w:t>Veterinárn</w:t>
      </w:r>
      <w:r>
        <w:rPr>
          <w:rFonts w:cs="Times New Roman"/>
          <w:i/>
          <w:iCs/>
          <w:color w:val="222222"/>
          <w:sz w:val="20"/>
          <w:szCs w:val="20"/>
          <w:shd w:val="clear" w:color="auto" w:fill="FFFFFF"/>
          <w:lang w:val="pt-BR"/>
        </w:rPr>
        <w:t>í medicína</w:t>
      </w:r>
      <w:r>
        <w:rPr>
          <w:rFonts w:cs="Times New Roman"/>
          <w:color w:val="222222"/>
          <w:sz w:val="20"/>
          <w:szCs w:val="20"/>
          <w:shd w:val="clear" w:color="auto" w:fill="FFFFFF"/>
          <w:lang w:val="pt-BR"/>
        </w:rPr>
        <w:t xml:space="preserve">, 56(10), 486-503. </w:t>
      </w:r>
      <w:hyperlink r:id="rId81" w:history="1">
        <w:r>
          <w:rPr>
            <w:rStyle w:val="Hyperlink"/>
            <w:rFonts w:cs="Times New Roman"/>
            <w:sz w:val="20"/>
            <w:szCs w:val="20"/>
            <w:shd w:val="clear" w:color="auto" w:fill="FFFFFF"/>
            <w:lang w:val="pt-BR"/>
          </w:rPr>
          <w:t>https://doi.org/10.17221/3294-VETMED</w:t>
        </w:r>
      </w:hyperlink>
      <w:r>
        <w:rPr>
          <w:rFonts w:cs="Times New Roman"/>
          <w:color w:val="222222"/>
          <w:sz w:val="20"/>
          <w:szCs w:val="20"/>
          <w:shd w:val="clear" w:color="auto" w:fill="FFFFFF"/>
          <w:lang w:val="pt-BR"/>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lang w:val="pt-BR"/>
        </w:rPr>
        <w:t xml:space="preserve">Velasquez, S. F., Chan, M. A., Abisado, R. G., Traifalgar, R. F. M., Tayamen, M. M., Maliwat, G. C. F., &amp; Ragaza, J. A. (2016). </w:t>
      </w:r>
      <w:r>
        <w:rPr>
          <w:rFonts w:cs="Times New Roman"/>
          <w:color w:val="222222"/>
          <w:sz w:val="20"/>
          <w:szCs w:val="20"/>
          <w:shd w:val="clear" w:color="auto" w:fill="FFFFFF"/>
        </w:rPr>
        <w:t xml:space="preserve">Dietary </w:t>
      </w:r>
      <w:r>
        <w:rPr>
          <w:rFonts w:cs="Times New Roman"/>
          <w:color w:val="222222"/>
          <w:sz w:val="20"/>
          <w:szCs w:val="20"/>
          <w:shd w:val="clear" w:color="auto" w:fill="FFFFFF"/>
        </w:rPr>
        <w:t>Spirulina (</w:t>
      </w:r>
      <w:r>
        <w:rPr>
          <w:rFonts w:cs="Times New Roman"/>
          <w:i/>
          <w:iCs/>
          <w:color w:val="222222"/>
          <w:sz w:val="20"/>
          <w:szCs w:val="20"/>
          <w:shd w:val="clear" w:color="auto" w:fill="FFFFFF"/>
        </w:rPr>
        <w:t>Arthrospira platensis</w:t>
      </w:r>
      <w:r>
        <w:rPr>
          <w:rFonts w:cs="Times New Roman"/>
          <w:color w:val="222222"/>
          <w:sz w:val="20"/>
          <w:szCs w:val="20"/>
          <w:shd w:val="clear" w:color="auto" w:fill="FFFFFF"/>
        </w:rPr>
        <w:t>) replacement enhances performance of juvenile Nile tilapia (</w:t>
      </w:r>
      <w:r>
        <w:rPr>
          <w:rFonts w:cs="Times New Roman"/>
          <w:i/>
          <w:iCs/>
          <w:color w:val="222222"/>
          <w:sz w:val="20"/>
          <w:szCs w:val="20"/>
          <w:shd w:val="clear" w:color="auto" w:fill="FFFFFF"/>
        </w:rPr>
        <w:t>Oreochromis niloticus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Journal of applied phycology</w:t>
      </w:r>
      <w:r>
        <w:rPr>
          <w:rFonts w:cs="Times New Roman"/>
          <w:color w:val="222222"/>
          <w:sz w:val="20"/>
          <w:szCs w:val="20"/>
          <w:shd w:val="clear" w:color="auto" w:fill="FFFFFF"/>
        </w:rPr>
        <w:t xml:space="preserve">, 28(2), 1023-1030. </w:t>
      </w:r>
      <w:hyperlink r:id="rId82" w:history="1">
        <w:r>
          <w:rPr>
            <w:rStyle w:val="Hyperlink"/>
            <w:rFonts w:cs="Times New Roman"/>
            <w:sz w:val="20"/>
            <w:szCs w:val="20"/>
            <w:shd w:val="clear" w:color="auto" w:fill="FFFFFF"/>
          </w:rPr>
          <w:t>https://doi.org/10.1007/s10811-015-0</w:t>
        </w:r>
        <w:r>
          <w:rPr>
            <w:rStyle w:val="Hyperlink"/>
            <w:rFonts w:cs="Times New Roman"/>
            <w:sz w:val="20"/>
            <w:szCs w:val="20"/>
            <w:shd w:val="clear" w:color="auto" w:fill="FFFFFF"/>
          </w:rPr>
          <w:t>661-y</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 xml:space="preserve">Wade, N. M., Gabaudan, J., &amp; Glencross, B. D. (2017). A review of carotenoid utilization and function in crustacean aquaculture. </w:t>
      </w:r>
      <w:r>
        <w:rPr>
          <w:rFonts w:cs="Times New Roman"/>
          <w:i/>
          <w:iCs/>
          <w:color w:val="222222"/>
          <w:sz w:val="20"/>
          <w:szCs w:val="20"/>
          <w:shd w:val="clear" w:color="auto" w:fill="FFFFFF"/>
        </w:rPr>
        <w:t>Reviews in Aquaculture,</w:t>
      </w:r>
      <w:r>
        <w:rPr>
          <w:rFonts w:cs="Times New Roman"/>
          <w:color w:val="222222"/>
          <w:sz w:val="20"/>
          <w:szCs w:val="20"/>
          <w:shd w:val="clear" w:color="auto" w:fill="FFFFFF"/>
        </w:rPr>
        <w:t xml:space="preserve"> 9(2), 141-156. </w:t>
      </w:r>
      <w:hyperlink r:id="rId83" w:history="1">
        <w:r>
          <w:rPr>
            <w:rStyle w:val="Hyperlink"/>
            <w:rFonts w:cs="Times New Roman"/>
            <w:sz w:val="20"/>
            <w:szCs w:val="20"/>
            <w:shd w:val="clear" w:color="auto" w:fill="FFFFFF"/>
          </w:rPr>
          <w:t>https://doi.org/10.1111/raq.121</w:t>
        </w:r>
        <w:r>
          <w:rPr>
            <w:rStyle w:val="Hyperlink"/>
            <w:rFonts w:cs="Times New Roman"/>
            <w:sz w:val="20"/>
            <w:szCs w:val="20"/>
            <w:shd w:val="clear" w:color="auto" w:fill="FFFFFF"/>
          </w:rPr>
          <w:t>09</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Wang, J., Jiang, Y., Li, X., Han, T., Yang, Y., Hu, S., &amp; Yang, M. (2016). Dietary protein requirement of juvenile red spotted grouper (</w:t>
      </w:r>
      <w:r>
        <w:rPr>
          <w:rFonts w:cs="Times New Roman"/>
          <w:i/>
          <w:iCs/>
          <w:color w:val="222222"/>
          <w:sz w:val="20"/>
          <w:szCs w:val="20"/>
          <w:shd w:val="clear" w:color="auto" w:fill="FFFFFF"/>
        </w:rPr>
        <w:t>Epinephelus akaara</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450, 289-294. </w:t>
      </w:r>
      <w:hyperlink r:id="rId84" w:history="1">
        <w:r>
          <w:rPr>
            <w:rStyle w:val="Hyperlink"/>
            <w:rFonts w:cs="Times New Roman"/>
            <w:sz w:val="20"/>
            <w:szCs w:val="20"/>
            <w:shd w:val="clear" w:color="auto" w:fill="FFFFFF"/>
          </w:rPr>
          <w:t>ht</w:t>
        </w:r>
        <w:r>
          <w:rPr>
            <w:rStyle w:val="Hyperlink"/>
            <w:rFonts w:cs="Times New Roman"/>
            <w:sz w:val="20"/>
            <w:szCs w:val="20"/>
            <w:shd w:val="clear" w:color="auto" w:fill="FFFFFF"/>
          </w:rPr>
          <w:t>tps://doi.org/10.1016/j.aquaculture.2015.08.007</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Wathne, E., Bjerkeng, B., Storebakken, T., Vassvik, V., &amp; Odland, A. B. (1998). Pigmentation of Atlantic salmon (</w:t>
      </w:r>
      <w:r>
        <w:rPr>
          <w:rFonts w:cs="Times New Roman"/>
          <w:i/>
          <w:iCs/>
          <w:color w:val="222222"/>
          <w:sz w:val="20"/>
          <w:szCs w:val="20"/>
          <w:shd w:val="clear" w:color="auto" w:fill="FFFFFF"/>
        </w:rPr>
        <w:t>Salmo salar</w:t>
      </w:r>
      <w:r>
        <w:rPr>
          <w:rFonts w:cs="Times New Roman"/>
          <w:color w:val="222222"/>
          <w:sz w:val="20"/>
          <w:szCs w:val="20"/>
          <w:shd w:val="clear" w:color="auto" w:fill="FFFFFF"/>
        </w:rPr>
        <w:t xml:space="preserve">) fed astaxanthin in all meals or in alternating meals. </w:t>
      </w:r>
      <w:r>
        <w:rPr>
          <w:rFonts w:cs="Times New Roman"/>
          <w:i/>
          <w:iCs/>
          <w:color w:val="222222"/>
          <w:sz w:val="20"/>
          <w:szCs w:val="20"/>
          <w:shd w:val="clear" w:color="auto" w:fill="FFFFFF"/>
        </w:rPr>
        <w:t>Aquaculture</w:t>
      </w:r>
      <w:r>
        <w:rPr>
          <w:rFonts w:cs="Times New Roman"/>
          <w:color w:val="222222"/>
          <w:sz w:val="20"/>
          <w:szCs w:val="20"/>
          <w:shd w:val="clear" w:color="auto" w:fill="FFFFFF"/>
        </w:rPr>
        <w:t>, 159(3-4), 2</w:t>
      </w:r>
      <w:r>
        <w:rPr>
          <w:rFonts w:cs="Times New Roman"/>
          <w:color w:val="222222"/>
          <w:sz w:val="20"/>
          <w:szCs w:val="20"/>
          <w:shd w:val="clear" w:color="auto" w:fill="FFFFFF"/>
        </w:rPr>
        <w:t xml:space="preserve">17-231. </w:t>
      </w:r>
      <w:hyperlink r:id="rId85" w:history="1">
        <w:r>
          <w:rPr>
            <w:rStyle w:val="Hyperlink"/>
            <w:rFonts w:cs="Times New Roman"/>
            <w:sz w:val="20"/>
            <w:szCs w:val="20"/>
            <w:shd w:val="clear" w:color="auto" w:fill="FFFFFF"/>
          </w:rPr>
          <w:t>https://doi.org/10.1016/S0044-8486(97)00218-4</w:t>
        </w:r>
      </w:hyperlink>
      <w:r>
        <w:rPr>
          <w:rFonts w:cs="Times New Roman"/>
          <w:color w:val="222222"/>
          <w:sz w:val="20"/>
          <w:szCs w:val="20"/>
          <w:shd w:val="clear" w:color="auto" w:fill="FFFFFF"/>
        </w:rPr>
        <w:t xml:space="preserve"> </w:t>
      </w:r>
    </w:p>
    <w:p w:rsidR="00E94D45" w:rsidRDefault="005572AF">
      <w:pPr>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Wu, X., Castillo, S., Rosales, M., Burns, A., Mendoza, M., &amp; Gatlin III, D. M. (2015). Relative use of dietary carbohydrate</w:t>
      </w:r>
      <w:r>
        <w:rPr>
          <w:rFonts w:cs="Times New Roman"/>
          <w:color w:val="222222"/>
          <w:sz w:val="20"/>
          <w:szCs w:val="20"/>
          <w:shd w:val="clear" w:color="auto" w:fill="FFFFFF"/>
        </w:rPr>
        <w:t xml:space="preserve">, non-essential amino acids, and lipids for energy by hybrid striped bass, Morone chrysops♀× M. saxatilis♂.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435, 116-119. </w:t>
      </w:r>
      <w:hyperlink r:id="rId86" w:history="1">
        <w:r>
          <w:rPr>
            <w:rStyle w:val="Hyperlink"/>
            <w:rFonts w:cs="Times New Roman"/>
            <w:sz w:val="20"/>
            <w:szCs w:val="20"/>
            <w:shd w:val="clear" w:color="auto" w:fill="FFFFFF"/>
          </w:rPr>
          <w:t>https://doi.org/10.1016/j.aquaculture.2014.09.030</w:t>
        </w:r>
      </w:hyperlink>
      <w:r>
        <w:rPr>
          <w:rFonts w:cs="Times New Roman"/>
          <w:color w:val="222222"/>
          <w:sz w:val="20"/>
          <w:szCs w:val="20"/>
          <w:shd w:val="clear" w:color="auto" w:fill="FFFFFF"/>
        </w:rPr>
        <w:t xml:space="preserve"> </w:t>
      </w:r>
    </w:p>
    <w:p w:rsidR="00E94D45" w:rsidRDefault="005572AF">
      <w:pPr>
        <w:autoSpaceDE w:val="0"/>
        <w:autoSpaceDN w:val="0"/>
        <w:adjustRightInd w:val="0"/>
        <w:spacing w:before="120" w:line="276" w:lineRule="auto"/>
        <w:ind w:left="720" w:hanging="720"/>
        <w:rPr>
          <w:rFonts w:cs="Times New Roman"/>
          <w:color w:val="222222"/>
          <w:sz w:val="20"/>
          <w:szCs w:val="20"/>
          <w:shd w:val="clear" w:color="auto" w:fill="FFFFFF"/>
        </w:rPr>
      </w:pPr>
      <w:r>
        <w:rPr>
          <w:rFonts w:cs="Times New Roman"/>
          <w:color w:val="222222"/>
          <w:sz w:val="20"/>
          <w:szCs w:val="20"/>
          <w:shd w:val="clear" w:color="auto" w:fill="FFFFFF"/>
        </w:rPr>
        <w:t>Yang</w:t>
      </w:r>
      <w:r>
        <w:rPr>
          <w:rFonts w:cs="Times New Roman"/>
          <w:color w:val="222222"/>
          <w:sz w:val="20"/>
          <w:szCs w:val="20"/>
          <w:shd w:val="clear" w:color="auto" w:fill="FFFFFF"/>
        </w:rPr>
        <w:t>, M., Wang, J., Han, T., Yang, Y., Li, X., &amp; Jiang, Y. (2016). Dietary protein requirement of juvenile bluegill sunfish (</w:t>
      </w:r>
      <w:r>
        <w:rPr>
          <w:rFonts w:cs="Times New Roman"/>
          <w:i/>
          <w:iCs/>
          <w:color w:val="222222"/>
          <w:sz w:val="20"/>
          <w:szCs w:val="20"/>
          <w:shd w:val="clear" w:color="auto" w:fill="FFFFFF"/>
        </w:rPr>
        <w:t>Lepomis macrochirus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459, 191-197. </w:t>
      </w:r>
      <w:hyperlink r:id="rId87" w:history="1">
        <w:r>
          <w:rPr>
            <w:rStyle w:val="Hyperlink"/>
            <w:rFonts w:cs="Times New Roman"/>
            <w:sz w:val="20"/>
            <w:szCs w:val="20"/>
            <w:shd w:val="clear" w:color="auto" w:fill="FFFFFF"/>
          </w:rPr>
          <w:t>https://doi.org/10.1016</w:t>
        </w:r>
        <w:r>
          <w:rPr>
            <w:rStyle w:val="Hyperlink"/>
            <w:rFonts w:cs="Times New Roman"/>
            <w:sz w:val="20"/>
            <w:szCs w:val="20"/>
            <w:shd w:val="clear" w:color="auto" w:fill="FFFFFF"/>
          </w:rPr>
          <w:t>/j.aquaculture.2016.03.044</w:t>
        </w:r>
      </w:hyperlink>
      <w:r>
        <w:rPr>
          <w:rFonts w:cs="Times New Roman"/>
          <w:color w:val="222222"/>
          <w:sz w:val="20"/>
          <w:szCs w:val="20"/>
          <w:shd w:val="clear" w:color="auto" w:fill="FFFFFF"/>
        </w:rPr>
        <w:t xml:space="preserve"> </w:t>
      </w:r>
    </w:p>
    <w:p w:rsidR="00E94D45" w:rsidRDefault="005572AF">
      <w:pPr>
        <w:spacing w:line="276" w:lineRule="auto"/>
        <w:rPr>
          <w:rFonts w:cs="Times New Roman"/>
          <w:color w:val="222222"/>
          <w:sz w:val="20"/>
          <w:szCs w:val="20"/>
          <w:shd w:val="clear" w:color="auto" w:fill="FFFFFF"/>
        </w:rPr>
      </w:pPr>
      <w:r>
        <w:rPr>
          <w:rFonts w:cs="Times New Roman"/>
          <w:color w:val="222222"/>
          <w:sz w:val="20"/>
          <w:szCs w:val="20"/>
          <w:shd w:val="clear" w:color="auto" w:fill="FFFFFF"/>
        </w:rPr>
        <w:t>Yang, S. D., Liou, C. H., &amp; Liu, F. G. (2002). Effects of dietary protein level on growth performance, carcass composition and ammonia excretion in juvenile silver perch (</w:t>
      </w:r>
      <w:r>
        <w:rPr>
          <w:rFonts w:cs="Times New Roman"/>
          <w:i/>
          <w:iCs/>
          <w:color w:val="222222"/>
          <w:sz w:val="20"/>
          <w:szCs w:val="20"/>
          <w:shd w:val="clear" w:color="auto" w:fill="FFFFFF"/>
        </w:rPr>
        <w:t>Bidyanus bidyanus</w:t>
      </w:r>
      <w:r>
        <w:rPr>
          <w:rFonts w:cs="Times New Roman"/>
          <w:color w:val="222222"/>
          <w:sz w:val="20"/>
          <w:szCs w:val="20"/>
          <w:shd w:val="clear" w:color="auto" w:fill="FFFFFF"/>
        </w:rPr>
        <w:t xml:space="preserve">). </w:t>
      </w:r>
      <w:r>
        <w:rPr>
          <w:rFonts w:cs="Times New Roman"/>
          <w:i/>
          <w:iCs/>
          <w:color w:val="222222"/>
          <w:sz w:val="20"/>
          <w:szCs w:val="20"/>
          <w:shd w:val="clear" w:color="auto" w:fill="FFFFFF"/>
        </w:rPr>
        <w:t>Aquaculture</w:t>
      </w:r>
      <w:r>
        <w:rPr>
          <w:rFonts w:cs="Times New Roman"/>
          <w:color w:val="222222"/>
          <w:sz w:val="20"/>
          <w:szCs w:val="20"/>
          <w:shd w:val="clear" w:color="auto" w:fill="FFFFFF"/>
        </w:rPr>
        <w:t xml:space="preserve">. </w:t>
      </w:r>
      <w:hyperlink r:id="rId88" w:history="1">
        <w:r>
          <w:rPr>
            <w:rStyle w:val="Hyperlink"/>
            <w:rFonts w:cs="Times New Roman"/>
            <w:sz w:val="20"/>
            <w:szCs w:val="20"/>
            <w:shd w:val="clear" w:color="auto" w:fill="FFFFFF"/>
          </w:rPr>
          <w:t>https://doi.org/10.1016/S0044-8486(02)00120-5</w:t>
        </w:r>
      </w:hyperlink>
      <w:r>
        <w:rPr>
          <w:rFonts w:cs="Times New Roman"/>
          <w:color w:val="222222"/>
          <w:sz w:val="20"/>
          <w:szCs w:val="20"/>
          <w:shd w:val="clear" w:color="auto" w:fill="FFFFFF"/>
        </w:rPr>
        <w:t xml:space="preserve"> </w:t>
      </w:r>
    </w:p>
    <w:p w:rsidR="00E94D45" w:rsidRDefault="00E94D45">
      <w:pPr>
        <w:spacing w:line="276" w:lineRule="auto"/>
        <w:rPr>
          <w:rFonts w:cs="Times New Roman"/>
          <w:b/>
          <w:bCs/>
          <w:sz w:val="20"/>
          <w:szCs w:val="20"/>
        </w:rPr>
      </w:pPr>
    </w:p>
    <w:p w:rsidR="00E94D45" w:rsidRDefault="00E94D45">
      <w:pPr>
        <w:spacing w:line="276" w:lineRule="auto"/>
        <w:rPr>
          <w:rFonts w:cs="Times New Roman"/>
          <w:b/>
          <w:bCs/>
          <w:sz w:val="20"/>
          <w:szCs w:val="20"/>
        </w:rPr>
      </w:pPr>
    </w:p>
    <w:sectPr w:rsidR="00E94D45">
      <w:headerReference w:type="even" r:id="rId89"/>
      <w:headerReference w:type="default" r:id="rId90"/>
      <w:headerReference w:type="first" r:id="rId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2AF" w:rsidRDefault="005572AF">
      <w:pPr>
        <w:spacing w:after="0" w:line="240" w:lineRule="auto"/>
      </w:pPr>
      <w:r>
        <w:separator/>
      </w:r>
    </w:p>
  </w:endnote>
  <w:endnote w:type="continuationSeparator" w:id="0">
    <w:p w:rsidR="005572AF" w:rsidRDefault="0055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2AF" w:rsidRDefault="005572AF">
      <w:pPr>
        <w:spacing w:after="0" w:line="240" w:lineRule="auto"/>
      </w:pPr>
      <w:r>
        <w:separator/>
      </w:r>
    </w:p>
  </w:footnote>
  <w:footnote w:type="continuationSeparator" w:id="0">
    <w:p w:rsidR="005572AF" w:rsidRDefault="0055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D45" w:rsidRDefault="005572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71.65pt;height:6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D45" w:rsidRDefault="005572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71.65pt;height:6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D45" w:rsidRDefault="005572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71.65pt;height:6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2814E582"/>
    <w:name w:val="1"/>
    <w:lvl w:ilvl="0">
      <w:start w:val="1"/>
      <w:numFmt w:val="none"/>
      <w:lvlText w:val="2.3.2"/>
      <w:lvlJc w:val="left"/>
      <w:pPr>
        <w:ind w:left="1117" w:hanging="360"/>
      </w:pPr>
      <w:rPr>
        <w:rFonts w:hint="default"/>
      </w:rPr>
    </w:lvl>
    <w:lvl w:ilvl="1">
      <w:start w:val="1"/>
      <w:numFmt w:val="none"/>
      <w:lvlText w:val="2.3.1"/>
      <w:lvlJc w:val="left"/>
      <w:pPr>
        <w:ind w:left="1837" w:hanging="986"/>
      </w:p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 w15:restartNumberingAfterBreak="0">
    <w:nsid w:val="00000001"/>
    <w:multiLevelType w:val="multilevel"/>
    <w:tmpl w:val="01C2B77C"/>
    <w:name w:val="1"/>
    <w:lvl w:ilvl="0">
      <w:start w:val="1"/>
      <w:numFmt w:val="decimal"/>
      <w:lvlText w:val="2.4.%1"/>
      <w:lvlJc w:val="left"/>
      <w:pPr>
        <w:ind w:left="1117" w:hanging="360"/>
      </w:pPr>
      <w:rPr>
        <w:rFonts w:hint="default"/>
      </w:rPr>
    </w:lvl>
    <w:lvl w:ilvl="1">
      <w:start w:val="1"/>
      <w:numFmt w:val="none"/>
      <w:lvlText w:val="2.4.1"/>
      <w:lvlJc w:val="left"/>
      <w:pPr>
        <w:ind w:left="1837" w:hanging="986"/>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 w15:restartNumberingAfterBreak="0">
    <w:nsid w:val="00000002"/>
    <w:multiLevelType w:val="hybridMultilevel"/>
    <w:tmpl w:val="EDB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679A0620"/>
    <w:styleLink w:val="List21"/>
    <w:lvl w:ilvl="0">
      <w:start w:val="1"/>
      <w:numFmt w:val="decimal"/>
      <w:lvlText w:val="%1)"/>
      <w:lvlJc w:val="left"/>
      <w:pPr>
        <w:ind w:left="360" w:hanging="360"/>
      </w:pPr>
      <w:rPr>
        <w:rFonts w:ascii="Times New Roman" w:hAnsi="Times New Roman" w:hint="default"/>
        <w:b/>
        <w:sz w:val="24"/>
      </w:rPr>
    </w:lvl>
    <w:lvl w:ilvl="1">
      <w:start w:val="1"/>
      <w:numFmt w:val="lowerLetter"/>
      <w:lvlText w:val="%2)"/>
      <w:lvlJc w:val="left"/>
      <w:pPr>
        <w:ind w:left="72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2.1"/>
      <w:lvlJc w:val="left"/>
      <w:pPr>
        <w:ind w:left="2520" w:hanging="360"/>
      </w:pPr>
      <w:rPr>
        <w:rFonts w:ascii="Times New Roman" w:hAnsi="Times New Roman" w:hint="default"/>
        <w:b/>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0000004"/>
    <w:multiLevelType w:val="multilevel"/>
    <w:tmpl w:val="4009001D"/>
    <w:styleLink w:val="FRONT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0000005"/>
    <w:multiLevelType w:val="multilevel"/>
    <w:tmpl w:val="BEDC9162"/>
    <w:lvl w:ilvl="0">
      <w:start w:val="1"/>
      <w:numFmt w:val="decimal"/>
      <w:lvlText w:val="2.3.%1"/>
      <w:lvlJc w:val="left"/>
      <w:pPr>
        <w:ind w:left="1430" w:hanging="1004"/>
      </w:pPr>
      <w:rPr>
        <w:rFonts w:ascii="Times New Roman" w:hAnsi="Times New Roman" w:cs="Times New Roman"/>
        <w:i w:val="0"/>
        <w:iCs w:val="0"/>
        <w:caps w:val="0"/>
        <w:smallCaps w:val="0"/>
        <w:outline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rPr>
    </w:lvl>
    <w:lvl w:ilvl="1">
      <w:start w:val="1"/>
      <w:numFmt w:val="none"/>
      <w:lvlText w:val="2.3.1"/>
      <w:lvlJc w:val="left"/>
      <w:pPr>
        <w:ind w:left="2150" w:hanging="986"/>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00000006"/>
    <w:multiLevelType w:val="multilevel"/>
    <w:tmpl w:val="5C7C6254"/>
    <w:name w:val="2.1"/>
    <w:lvl w:ilvl="0">
      <w:start w:val="1"/>
      <w:numFmt w:val="decimal"/>
      <w:pStyle w:val="AAA"/>
      <w:lvlText w:val="%1."/>
      <w:lvlJc w:val="left"/>
      <w:pPr>
        <w:ind w:left="720" w:hanging="360"/>
      </w:pPr>
      <w:rPr>
        <w:rFonts w:ascii="Times New Roman" w:hAnsi="Times New Roman" w:cs="Times New Roman"/>
        <w:i w:val="0"/>
        <w:iCs w:val="0"/>
        <w:caps w:val="0"/>
        <w:smallCaps w:val="0"/>
        <w:outline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rPr>
    </w:lvl>
    <w:lvl w:ilvl="1">
      <w:start w:val="4"/>
      <w:numFmt w:val="decimal"/>
      <w:isLgl/>
      <w:lvlText w:val="%1.%2"/>
      <w:lvlJc w:val="left"/>
      <w:pPr>
        <w:ind w:left="840" w:hanging="480"/>
      </w:pPr>
      <w:rPr>
        <w:rFonts w:hint="default"/>
      </w:rPr>
    </w:lvl>
    <w:lvl w:ilvl="2">
      <w:start w:val="1"/>
      <w:numFmt w:val="decimal"/>
      <w:lvlText w:val="2.3.%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000007"/>
    <w:multiLevelType w:val="multilevel"/>
    <w:tmpl w:val="3604A318"/>
    <w:lvl w:ilvl="0">
      <w:start w:val="1"/>
      <w:numFmt w:val="decimal"/>
      <w:pStyle w:val="BBB"/>
      <w:lvlText w:val="3.%1"/>
      <w:lvlJc w:val="left"/>
      <w:pPr>
        <w:ind w:left="1080" w:hanging="360"/>
      </w:pPr>
      <w:rPr>
        <w:rFonts w:ascii="Times New Roman" w:hAnsi="Times New Roman" w:cs="Times New Roman" w:hint="default"/>
        <w:i w:val="0"/>
        <w:iCs w:val="0"/>
        <w:caps w:val="0"/>
        <w:smallCaps w:val="0"/>
        <w:outline w:val="0"/>
        <w:emboss w:val="0"/>
        <w:imprint w:val="0"/>
        <w:vanish w:val="0"/>
        <w:color w:val="000000"/>
        <w:spacing w:val="0"/>
        <w:position w:val="0"/>
        <w:u w:val="none"/>
        <w:effect w:val="none"/>
        <w:vertAlign w:val="baseline"/>
        <w:em w:val="none"/>
        <w14:shadow w14:blurRad="0" w14:dist="0" w14:dir="0" w14:sx="100000" w14:sy="100000" w14:kx="0" w14:ky="0" w14:algn="none">
          <w14:srgbClr w14:val="808080"/>
        </w14:shadow>
        <w14:numForm w14:val="default"/>
        <w14:numSpacing w14:val="default"/>
        <w14:stylisticSets/>
        <w14:cntxtAlt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00000008"/>
    <w:multiLevelType w:val="multilevel"/>
    <w:tmpl w:val="351A7B5C"/>
    <w:lvl w:ilvl="0">
      <w:start w:val="1"/>
      <w:numFmt w:val="decimal"/>
      <w:lvlText w:val="2.%1"/>
      <w:lvlJc w:val="left"/>
      <w:pPr>
        <w:ind w:left="1080" w:hanging="360"/>
      </w:pPr>
      <w:rPr>
        <w:rFonts w:ascii="Times New Roman" w:hAnsi="Times New Roman" w:cs="Times New Roman"/>
        <w:i w:val="0"/>
        <w:iCs w:val="0"/>
        <w:caps w:val="0"/>
        <w:smallCaps w:val="0"/>
        <w:outline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9"/>
    <w:multiLevelType w:val="multilevel"/>
    <w:tmpl w:val="06B007E4"/>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000000A"/>
    <w:multiLevelType w:val="multilevel"/>
    <w:tmpl w:val="4009001D"/>
    <w:styleLink w:val="frontlist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000000B"/>
    <w:multiLevelType w:val="hybridMultilevel"/>
    <w:tmpl w:val="20D85496"/>
    <w:lvl w:ilvl="0" w:tplc="3940A22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000000C"/>
    <w:multiLevelType w:val="multilevel"/>
    <w:tmpl w:val="7DE8AFEC"/>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000000D"/>
    <w:multiLevelType w:val="multilevel"/>
    <w:tmpl w:val="DB643A0A"/>
    <w:styleLink w:val="LIST1"/>
    <w:lvl w:ilvl="0">
      <w:start w:val="1"/>
      <w:numFmt w:val="decimal"/>
      <w:lvlText w:val="%1."/>
      <w:lvlJc w:val="left"/>
      <w:pPr>
        <w:ind w:left="720" w:hanging="360"/>
      </w:pPr>
      <w:rPr>
        <w:rFonts w:ascii="Times New Roman" w:hAnsi="Times New Roman"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000000E"/>
    <w:multiLevelType w:val="multilevel"/>
    <w:tmpl w:val="043A780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000000F"/>
    <w:multiLevelType w:val="multilevel"/>
    <w:tmpl w:val="59C653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0000010"/>
    <w:multiLevelType w:val="multilevel"/>
    <w:tmpl w:val="0D1AF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0000011"/>
    <w:multiLevelType w:val="multilevel"/>
    <w:tmpl w:val="6568D91C"/>
    <w:styleLink w:val="Style2"/>
    <w:lvl w:ilvl="0">
      <w:start w:val="1"/>
      <w:numFmt w:val="decimal"/>
      <w:lvlText w:val="2.4.%1"/>
      <w:lvlJc w:val="left"/>
      <w:pPr>
        <w:ind w:left="1117" w:hanging="360"/>
      </w:pPr>
      <w:rPr>
        <w:rFonts w:ascii="Times New Roman" w:hAnsi="Times New Roman" w:hint="default"/>
        <w:b/>
        <w:sz w:val="24"/>
      </w:rPr>
    </w:lvl>
    <w:lvl w:ilvl="1">
      <w:start w:val="1"/>
      <w:numFmt w:val="none"/>
      <w:lvlText w:val="2.3.1"/>
      <w:lvlJc w:val="left"/>
      <w:pPr>
        <w:ind w:left="1837" w:hanging="986"/>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8" w15:restartNumberingAfterBreak="0">
    <w:nsid w:val="00000012"/>
    <w:multiLevelType w:val="multilevel"/>
    <w:tmpl w:val="7DE8AFEC"/>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00000013"/>
    <w:multiLevelType w:val="hybridMultilevel"/>
    <w:tmpl w:val="A09ABDF6"/>
    <w:lvl w:ilvl="0" w:tplc="066A67FE">
      <w:start w:val="1"/>
      <w:numFmt w:val="decimal"/>
      <w:lvlText w:val="2.%1"/>
      <w:lvlJc w:val="left"/>
      <w:pPr>
        <w:ind w:left="1080" w:hanging="360"/>
      </w:pPr>
      <w:rPr>
        <w:rFonts w:ascii="Times New Roman" w:hAnsi="Times New Roman" w:cs="Times New Roman"/>
        <w:i w:val="0"/>
        <w:iCs w:val="0"/>
        <w:caps w:val="0"/>
        <w:smallCaps w:val="0"/>
        <w:outline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00000014"/>
    <w:multiLevelType w:val="multilevel"/>
    <w:tmpl w:val="439E96FA"/>
    <w:lvl w:ilvl="0">
      <w:start w:val="1"/>
      <w:numFmt w:val="decimal"/>
      <w:lvlText w:val="2.4.%1"/>
      <w:lvlJc w:val="left"/>
      <w:pPr>
        <w:ind w:left="1117" w:hanging="1004"/>
      </w:pPr>
      <w:rPr>
        <w:rFonts w:ascii="Times New Roman" w:hAnsi="Times New Roman" w:hint="default"/>
        <w:i w:val="0"/>
        <w:iCs w:val="0"/>
        <w:caps w:val="0"/>
        <w:smallCaps w:val="0"/>
        <w:outline w:val="0"/>
        <w:emboss w:val="0"/>
        <w:imprint w:val="0"/>
        <w:vanish w:val="0"/>
        <w:color w:val="000000"/>
        <w:spacing w:val="0"/>
        <w:position w:val="0"/>
        <w:u w:val="none"/>
        <w:effect w:val="none"/>
        <w:vertAlign w:val="baseline"/>
        <w:em w:val="none"/>
        <w14:shadow w14:blurRad="0" w14:dist="0" w14:dir="0" w14:sx="100000" w14:sy="100000" w14:kx="0" w14:ky="0" w14:algn="none">
          <w14:srgbClr w14:val="808080"/>
        </w14:shadow>
        <w14:numForm w14:val="default"/>
        <w14:numSpacing w14:val="default"/>
        <w14:stylisticSets/>
        <w14:cntxtAlts/>
      </w:rPr>
    </w:lvl>
    <w:lvl w:ilvl="1">
      <w:start w:val="1"/>
      <w:numFmt w:val="none"/>
      <w:lvlText w:val="2.3.1"/>
      <w:lvlJc w:val="left"/>
      <w:pPr>
        <w:ind w:left="1837" w:hanging="986"/>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00000015"/>
    <w:multiLevelType w:val="multilevel"/>
    <w:tmpl w:val="3F8E810E"/>
    <w:lvl w:ilvl="0">
      <w:start w:val="1"/>
      <w:numFmt w:val="decimal"/>
      <w:pStyle w:val="ListParagraph"/>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00000016"/>
    <w:multiLevelType w:val="multilevel"/>
    <w:tmpl w:val="06B007E4"/>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1"/>
  </w:num>
  <w:num w:numId="2">
    <w:abstractNumId w:val="4"/>
  </w:num>
  <w:num w:numId="3">
    <w:abstractNumId w:val="13"/>
  </w:num>
  <w:num w:numId="4">
    <w:abstractNumId w:val="10"/>
  </w:num>
  <w:num w:numId="5">
    <w:abstractNumId w:val="3"/>
  </w:num>
  <w:num w:numId="6">
    <w:abstractNumId w:val="7"/>
  </w:num>
  <w:num w:numId="7">
    <w:abstractNumId w:val="6"/>
  </w:num>
  <w:num w:numId="8">
    <w:abstractNumId w:val="17"/>
  </w:num>
  <w:num w:numId="9">
    <w:abstractNumId w:val="16"/>
  </w:num>
  <w:num w:numId="10">
    <w:abstractNumId w:val="19"/>
  </w:num>
  <w:num w:numId="11">
    <w:abstractNumId w:val="5"/>
  </w:num>
  <w:num w:numId="12">
    <w:abstractNumId w:val="20"/>
  </w:num>
  <w:num w:numId="13">
    <w:abstractNumId w:val="8"/>
  </w:num>
  <w:num w:numId="14">
    <w:abstractNumId w:val="2"/>
  </w:num>
  <w:num w:numId="15">
    <w:abstractNumId w:val="6"/>
  </w:num>
  <w:num w:numId="16">
    <w:abstractNumId w:val="6"/>
  </w:num>
  <w:num w:numId="17">
    <w:abstractNumId w:val="6"/>
    <w:lvlOverride w:ilvl="0">
      <w:startOverride w:val="2"/>
    </w:lvlOverride>
    <w:lvlOverride w:ilvl="1">
      <w:startOverride w:val="3"/>
    </w:lvlOverride>
    <w:lvlOverride w:ilvl="2">
      <w:startOverride w:val="1"/>
    </w:lvlOverride>
  </w:num>
  <w:num w:numId="18">
    <w:abstractNumId w:val="22"/>
  </w:num>
  <w:num w:numId="19">
    <w:abstractNumId w:val="9"/>
  </w:num>
  <w:num w:numId="20">
    <w:abstractNumId w:val="12"/>
  </w:num>
  <w:num w:numId="21">
    <w:abstractNumId w:val="18"/>
  </w:num>
  <w:num w:numId="22">
    <w:abstractNumId w:val="15"/>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D45"/>
    <w:rsid w:val="005572AF"/>
    <w:rsid w:val="00DF7E5D"/>
    <w:rsid w:val="00E94D4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7D119E4-8EA2-440D-92A4-5C102DFB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hrut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Times New Roman" w:hAnsi="Times New Roman" w:cs="Arial"/>
      <w:color w:val="000000"/>
      <w:kern w:val="2"/>
      <w:sz w:val="24"/>
      <w:lang w:val="en-US"/>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Shruti"/>
      <w:color w:val="2E74B5"/>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hruti"/>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Shruti"/>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eastAsia="Times New Roman" w:cs="Times New Roman"/>
      <w:color w:val="auto"/>
      <w:kern w:val="0"/>
      <w:szCs w:val="24"/>
      <w:lang w:val="en-IN" w:eastAsia="en-IN" w:bidi="gu-IN"/>
      <w14:ligatures w14:val="none"/>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numPr>
        <w:numId w:val="1"/>
      </w:numPr>
      <w:spacing w:line="360" w:lineRule="auto"/>
      <w:contextualSpacing/>
    </w:pPr>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after="200" w:line="240" w:lineRule="auto"/>
    </w:pPr>
    <w:rPr>
      <w:i/>
      <w:iCs/>
      <w:color w:val="44546A"/>
      <w:sz w:val="18"/>
      <w:szCs w:val="18"/>
    </w:rPr>
  </w:style>
  <w:style w:type="character" w:styleId="Hyperlink">
    <w:name w:val="Hyperlink"/>
    <w:basedOn w:val="DefaultParagraphFont"/>
    <w:uiPriority w:val="99"/>
    <w:rPr>
      <w:color w:val="0563C1"/>
      <w:u w:val="single"/>
    </w:rPr>
  </w:style>
  <w:style w:type="character" w:customStyle="1" w:styleId="il">
    <w:name w:val="il"/>
    <w:basedOn w:val="DefaultParagraphFont"/>
  </w:style>
  <w:style w:type="numbering" w:customStyle="1" w:styleId="FRONT1">
    <w:name w:val="FRONT 1"/>
    <w:basedOn w:val="NoList"/>
    <w:uiPriority w:val="99"/>
    <w:pPr>
      <w:numPr>
        <w:numId w:val="2"/>
      </w:numPr>
    </w:pPr>
  </w:style>
  <w:style w:type="numbering" w:customStyle="1" w:styleId="LIST1">
    <w:name w:val="LIST 1"/>
    <w:uiPriority w:val="99"/>
    <w:pPr>
      <w:numPr>
        <w:numId w:val="3"/>
      </w:numPr>
    </w:pPr>
  </w:style>
  <w:style w:type="numbering" w:customStyle="1" w:styleId="frontlist1">
    <w:name w:val="front list 1"/>
    <w:basedOn w:val="NoList"/>
    <w:uiPriority w:val="99"/>
    <w:pPr>
      <w:numPr>
        <w:numId w:val="4"/>
      </w:numPr>
    </w:pPr>
  </w:style>
  <w:style w:type="character" w:customStyle="1" w:styleId="Heading1Char">
    <w:name w:val="Heading 1 Char"/>
    <w:basedOn w:val="DefaultParagraphFont"/>
    <w:link w:val="Heading1"/>
    <w:uiPriority w:val="9"/>
    <w:rPr>
      <w:rFonts w:ascii="Calibri Light" w:eastAsia="SimSun" w:hAnsi="Calibri Light" w:cs="Shruti"/>
      <w:color w:val="2E74B5"/>
      <w:kern w:val="2"/>
      <w:sz w:val="32"/>
      <w:szCs w:val="32"/>
      <w:lang w:val="en-US"/>
      <w14:ligatures w14:val="standardContextual"/>
    </w:rPr>
  </w:style>
  <w:style w:type="paragraph" w:customStyle="1" w:styleId="Style1">
    <w:name w:val="Style1"/>
    <w:basedOn w:val="Normal"/>
    <w:next w:val="Normal"/>
    <w:qFormat/>
    <w:pPr>
      <w:spacing w:line="360" w:lineRule="auto"/>
    </w:pPr>
    <w:rPr>
      <w:b/>
      <w:bCs/>
    </w:rPr>
  </w:style>
  <w:style w:type="character" w:customStyle="1" w:styleId="Heading2Char">
    <w:name w:val="Heading 2 Char"/>
    <w:basedOn w:val="DefaultParagraphFont"/>
    <w:link w:val="Heading2"/>
    <w:uiPriority w:val="9"/>
    <w:rPr>
      <w:rFonts w:ascii="Calibri Light" w:eastAsia="SimSun" w:hAnsi="Calibri Light" w:cs="Shruti"/>
      <w:color w:val="2E74B5"/>
      <w:kern w:val="2"/>
      <w:sz w:val="26"/>
      <w:szCs w:val="26"/>
      <w:lang w:val="en-US"/>
      <w14:ligatures w14:val="standardContextual"/>
    </w:rPr>
  </w:style>
  <w:style w:type="character" w:customStyle="1" w:styleId="ListParagraphChar">
    <w:name w:val="List Paragraph Char"/>
    <w:basedOn w:val="DefaultParagraphFont"/>
    <w:link w:val="ListParagraph"/>
    <w:uiPriority w:val="34"/>
    <w:rPr>
      <w:rFonts w:ascii="Times New Roman" w:hAnsi="Times New Roman" w:cs="Arial"/>
      <w:b/>
      <w:bCs/>
      <w:color w:val="000000"/>
      <w:kern w:val="2"/>
      <w:sz w:val="24"/>
      <w:lang w:val="en-US"/>
      <w14:ligatures w14:val="standardContextual"/>
    </w:rPr>
  </w:style>
  <w:style w:type="numbering" w:customStyle="1" w:styleId="List21">
    <w:name w:val="List 21"/>
    <w:basedOn w:val="NoList"/>
    <w:uiPriority w:val="99"/>
    <w:pPr>
      <w:numPr>
        <w:numId w:val="5"/>
      </w:numPr>
    </w:pPr>
  </w:style>
  <w:style w:type="paragraph" w:customStyle="1" w:styleId="BBB">
    <w:name w:val="BBB"/>
    <w:qFormat/>
    <w:pPr>
      <w:numPr>
        <w:numId w:val="6"/>
      </w:numPr>
      <w:spacing w:before="120" w:after="120"/>
      <w:ind w:left="527" w:hanging="357"/>
    </w:pPr>
    <w:rPr>
      <w:rFonts w:ascii="Times New Roman" w:hAnsi="Times New Roman" w:cs="Arial"/>
      <w:b/>
      <w:bCs/>
      <w:color w:val="000000"/>
      <w:kern w:val="2"/>
      <w:sz w:val="24"/>
      <w:lang w:val="en-US"/>
      <w14:ligatures w14:val="standardContextual"/>
    </w:rPr>
  </w:style>
  <w:style w:type="paragraph" w:customStyle="1" w:styleId="AAA">
    <w:name w:val="AAA"/>
    <w:qFormat/>
    <w:pPr>
      <w:numPr>
        <w:numId w:val="7"/>
      </w:numPr>
      <w:ind w:left="357" w:hanging="357"/>
    </w:pPr>
    <w:rPr>
      <w:rFonts w:ascii="Times New Roman" w:hAnsi="Times New Roman" w:cs="Times New Roman"/>
      <w:b/>
      <w:bCs/>
      <w:color w:val="000000"/>
      <w:kern w:val="2"/>
      <w:sz w:val="24"/>
      <w:szCs w:val="24"/>
      <w:lang w:val="en-US"/>
      <w14:ligatures w14:val="standardContextual"/>
    </w:rPr>
  </w:style>
  <w:style w:type="paragraph" w:customStyle="1" w:styleId="CCC">
    <w:name w:val="CCC"/>
    <w:qFormat/>
    <w:pPr>
      <w:spacing w:before="120" w:after="120" w:line="240" w:lineRule="auto"/>
      <w:ind w:left="426"/>
    </w:pPr>
    <w:rPr>
      <w:rFonts w:ascii="Times New Roman" w:hAnsi="Times New Roman" w:cs="Arial"/>
      <w:b/>
      <w:bCs/>
      <w:color w:val="000000"/>
      <w:kern w:val="2"/>
      <w:sz w:val="24"/>
      <w:lang w:val="en-US"/>
      <w14:ligatures w14:val="standardContextual"/>
    </w:rPr>
  </w:style>
  <w:style w:type="numbering" w:customStyle="1" w:styleId="Style2">
    <w:name w:val="Style2"/>
    <w:uiPriority w:val="99"/>
    <w:pPr>
      <w:numPr>
        <w:numId w:val="8"/>
      </w:numPr>
    </w:pPr>
  </w:style>
  <w:style w:type="table" w:customStyle="1" w:styleId="TableGrid1">
    <w:name w:val="Table Grid1"/>
    <w:basedOn w:val="TableNormal"/>
    <w:next w:val="TableGrid"/>
    <w:uiPriority w:val="39"/>
    <w:pPr>
      <w:spacing w:after="0" w:line="240" w:lineRule="auto"/>
    </w:pPr>
    <w:rPr>
      <w:rFonts w:ascii="Times New Roman" w:hAnsi="Times New Roman" w:cs="Arial"/>
      <w:color w:val="000000"/>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Arial"/>
      <w:color w:val="000000"/>
      <w:kern w:val="2"/>
      <w:sz w:val="24"/>
      <w:lang w:val="en-US"/>
      <w14:ligatures w14:val="standardContextu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Arial"/>
      <w:color w:val="000000"/>
      <w:kern w:val="2"/>
      <w:sz w:val="24"/>
      <w:lang w:val="en-US"/>
      <w14:ligatures w14:val="standardContextual"/>
    </w:rPr>
  </w:style>
  <w:style w:type="character" w:customStyle="1" w:styleId="Heading3Char">
    <w:name w:val="Heading 3 Char"/>
    <w:basedOn w:val="DefaultParagraphFont"/>
    <w:link w:val="Heading3"/>
    <w:uiPriority w:val="9"/>
    <w:rPr>
      <w:rFonts w:ascii="Calibri Light" w:eastAsia="SimSun" w:hAnsi="Calibri Light" w:cs="Shruti"/>
      <w:color w:val="1F4D78"/>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46989/001c.20548" TargetMode="External"/><Relationship Id="rId21" Type="http://schemas.openxmlformats.org/officeDocument/2006/relationships/hyperlink" Target="https://doi.org/10.51415/10321/134" TargetMode="External"/><Relationship Id="rId42" Type="http://schemas.openxmlformats.org/officeDocument/2006/relationships/hyperlink" Target="https://doi.org/10.4194/1303-2712-v13_2_01" TargetMode="External"/><Relationship Id="rId47" Type="http://schemas.openxmlformats.org/officeDocument/2006/relationships/hyperlink" Target="https://www.fisheriesjournal.com/" TargetMode="External"/><Relationship Id="rId63" Type="http://schemas.openxmlformats.org/officeDocument/2006/relationships/hyperlink" Target="https://doi.org/10.1016/j.fsi.2009.02.007" TargetMode="External"/><Relationship Id="rId68" Type="http://schemas.openxmlformats.org/officeDocument/2006/relationships/hyperlink" Target="https://doi.org/10.1016/j.aquaculture.2003.10.035" TargetMode="External"/><Relationship Id="rId84" Type="http://schemas.openxmlformats.org/officeDocument/2006/relationships/hyperlink" Target="https://doi.org/10.1016/j.aquaculture.2015.08.007" TargetMode="External"/><Relationship Id="rId89" Type="http://schemas.openxmlformats.org/officeDocument/2006/relationships/header" Target="header1.xml"/><Relationship Id="rId16" Type="http://schemas.openxmlformats.org/officeDocument/2006/relationships/hyperlink" Target="https://doi.org/10.1016/j.foodchem.2005.07.042" TargetMode="External"/><Relationship Id="rId11" Type="http://schemas.openxmlformats.org/officeDocument/2006/relationships/hyperlink" Target="https://doi.org/10.1016/j.aquaculture.2008.02.021" TargetMode="External"/><Relationship Id="rId32" Type="http://schemas.openxmlformats.org/officeDocument/2006/relationships/hyperlink" Target="https://doi.org/10.1111/anu.12558" TargetMode="External"/><Relationship Id="rId37" Type="http://schemas.openxmlformats.org/officeDocument/2006/relationships/hyperlink" Target="https://doi.org/10.1016/j.aquaculture.2015.04.034" TargetMode="External"/><Relationship Id="rId53" Type="http://schemas.openxmlformats.org/officeDocument/2006/relationships/hyperlink" Target="https://doi.org/10.1111/j.1365-2109.1998.tb01135.x" TargetMode="External"/><Relationship Id="rId58" Type="http://schemas.openxmlformats.org/officeDocument/2006/relationships/hyperlink" Target="https://agris.fao.org/agris-search/search.do?recordID=TH2011000001" TargetMode="External"/><Relationship Id="rId74" Type="http://schemas.openxmlformats.org/officeDocument/2006/relationships/hyperlink" Target="https://doi.org/10.1016/j.aquac%20ulture.2013.02.009" TargetMode="External"/><Relationship Id="rId79" Type="http://schemas.openxmlformats.org/officeDocument/2006/relationships/hyperlink" Target="https://doi.org/10.1016/0044-8486(84)90137-6" TargetMode="External"/><Relationship Id="rId5" Type="http://schemas.openxmlformats.org/officeDocument/2006/relationships/webSettings" Target="webSettings.xml"/><Relationship Id="rId90" Type="http://schemas.openxmlformats.org/officeDocument/2006/relationships/header" Target="header2.xml"/><Relationship Id="rId22" Type="http://schemas.openxmlformats.org/officeDocument/2006/relationships/hyperlink" Target="https://doi.org/10.1016/j.aquaculture.2012.04.037" TargetMode="External"/><Relationship Id="rId27" Type="http://schemas.openxmlformats.org/officeDocument/2006/relationships/hyperlink" Target="https://doi.org/10.1016/s0076-6879(76)45041-3" TargetMode="External"/><Relationship Id="rId43" Type="http://schemas.openxmlformats.org/officeDocument/2006/relationships/hyperlink" Target="https://doi.org/10.1007/s10695-012-9736-8" TargetMode="External"/><Relationship Id="rId48" Type="http://schemas.openxmlformats.org/officeDocument/2006/relationships/hyperlink" Target="http://www.mijst.mju.ac.th/vol2no3/559-567.pdf" TargetMode="External"/><Relationship Id="rId64" Type="http://schemas.openxmlformats.org/officeDocument/2006/relationships/hyperlink" Target="https://doi.org/10.1351/pac198557050685" TargetMode="External"/><Relationship Id="rId69" Type="http://schemas.openxmlformats.org/officeDocument/2006/relationships/hyperlink" Target="https://doi.org/10.1016/j.cbpb.2007.06.003" TargetMode="External"/><Relationship Id="rId8" Type="http://schemas.openxmlformats.org/officeDocument/2006/relationships/hyperlink" Target="https://doi.org/10.1111/j.1365-2109.2009.02195.x" TargetMode="External"/><Relationship Id="rId51" Type="http://schemas.openxmlformats.org/officeDocument/2006/relationships/hyperlink" Target="https://doi.org/10.1111/j.1439-0426.1994.tb00153.x" TargetMode="External"/><Relationship Id="rId72" Type="http://schemas.openxmlformats.org/officeDocument/2006/relationships/hyperlink" Target="https://doi.org/10.1016/j.aquac%20ulture.2013.02.009" TargetMode="External"/><Relationship Id="rId80" Type="http://schemas.openxmlformats.org/officeDocument/2006/relationships/hyperlink" Target="https://www.mijst.mju.ac.th/vol4no2.php" TargetMode="External"/><Relationship Id="rId85" Type="http://schemas.openxmlformats.org/officeDocument/2006/relationships/hyperlink" Target="https://doi.org/10.1016/S0044-8486(97)00218-4"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39/f79-087" TargetMode="External"/><Relationship Id="rId17" Type="http://schemas.openxmlformats.org/officeDocument/2006/relationships/hyperlink" Target="https://doi.org/10.29011/JFAD-106/100006" TargetMode="External"/><Relationship Id="rId25" Type="http://schemas.openxmlformats.org/officeDocument/2006/relationships/hyperlink" Target="https://doi.org/10.4236/abc.2013.31016" TargetMode="External"/><Relationship Id="rId33" Type="http://schemas.openxmlformats.org/officeDocument/2006/relationships/hyperlink" Target="https://doi.org/10.1016/j.aquaculture.2012.01.008" TargetMode="External"/><Relationship Id="rId38" Type="http://schemas.openxmlformats.org/officeDocument/2006/relationships/hyperlink" Target="https://doi.org/10.22092/ijfs.2018.119315" TargetMode="External"/><Relationship Id="rId46" Type="http://schemas.openxmlformats.org/officeDocument/2006/relationships/hyperlink" Target="https://doi.org/10.1016/j.aquaculture.2003.12.027" TargetMode="External"/><Relationship Id="rId59" Type="http://schemas.openxmlformats.org/officeDocument/2006/relationships/hyperlink" Target="https://www.semanticscholar.org/paper/The-effects-of-Spirulina-platensis-and-Cladophora-Promya-Chitmanat/101487455" TargetMode="External"/><Relationship Id="rId67" Type="http://schemas.openxmlformats.org/officeDocument/2006/relationships/hyperlink" Target="https://www.nlm.nih.gov/locatorplus/details/00000004.html" TargetMode="External"/><Relationship Id="rId20" Type="http://schemas.openxmlformats.org/officeDocument/2006/relationships/hyperlink" Target="https://doi.org/10.1016/j.fsi.2018.05.022" TargetMode="External"/><Relationship Id="rId41" Type="http://schemas.openxmlformats.org/officeDocument/2006/relationships/hyperlink" Target="https://doi.org/10.1007/s10499-015-9909-4" TargetMode="External"/><Relationship Id="rId54" Type="http://schemas.openxmlformats.org/officeDocument/2006/relationships/hyperlink" Target="https://doi.org/10.1111/j.1365-2109.1998.tb011%2035.x" TargetMode="External"/><Relationship Id="rId62" Type="http://schemas.openxmlformats.org/officeDocument/2006/relationships/hyperlink" Target="https://doi.org/10.1111/j.1365-2095.2006.00444.x" TargetMode="External"/><Relationship Id="rId70" Type="http://schemas.openxmlformats.org/officeDocument/2006/relationships/hyperlink" Target="https://doi.org/10.1590/s1519-69842009000100028" TargetMode="External"/><Relationship Id="rId75" Type="http://schemas.openxmlformats.org/officeDocument/2006/relationships/hyperlink" Target="https://doi.org/10.1111/anu.12281" TargetMode="External"/><Relationship Id="rId83" Type="http://schemas.openxmlformats.org/officeDocument/2006/relationships/hyperlink" Target="https://doi.org/10.1111/raq.12109" TargetMode="External"/><Relationship Id="rId88" Type="http://schemas.openxmlformats.org/officeDocument/2006/relationships/hyperlink" Target="https://doi.org/10.1016/S0044-8486(02)00120-5" TargetMode="Externa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b0-44-306660-4/50007-6" TargetMode="External"/><Relationship Id="rId23" Type="http://schemas.openxmlformats.org/officeDocument/2006/relationships/hyperlink" Target="https://doi.org/10.1016/j.aquaculture.2006.04.005" TargetMode="External"/><Relationship Id="rId28" Type="http://schemas.openxmlformats.org/officeDocument/2006/relationships/hyperlink" Target="https://doi.org/10.2307/3001478" TargetMode="External"/><Relationship Id="rId36" Type="http://schemas.openxmlformats.org/officeDocument/2006/relationships/hyperlink" Target="https://doi.org/10.46989/001c.20433" TargetMode="External"/><Relationship Id="rId49" Type="http://schemas.openxmlformats.org/officeDocument/2006/relationships/hyperlink" Target="https://doi.org/10.1111/anu.12885" TargetMode="External"/><Relationship Id="rId57" Type="http://schemas.openxmlformats.org/officeDocument/2006/relationships/hyperlink" Target="https://doi.org/10.1111/j.1365-2109.2008.01914.x" TargetMode="External"/><Relationship Id="rId10" Type="http://schemas.openxmlformats.org/officeDocument/2006/relationships/hyperlink" Target="https://doi.org/10.1016/j.aquaculture.2019.03.049" TargetMode="External"/><Relationship Id="rId31" Type="http://schemas.openxmlformats.org/officeDocument/2006/relationships/hyperlink" Target="https://doi.org/10.17140/VMOJ-2-121" TargetMode="External"/><Relationship Id="rId44" Type="http://schemas.openxmlformats.org/officeDocument/2006/relationships/hyperlink" Target="https://doi.org/10.1006/fsim.1994.1019" TargetMode="External"/><Relationship Id="rId52" Type="http://schemas.openxmlformats.org/officeDocument/2006/relationships/hyperlink" Target="https://doi.org/10.1016/S0960-8524(01)00085-2" TargetMode="External"/><Relationship Id="rId60" Type="http://schemas.openxmlformats.org/officeDocument/2006/relationships/hyperlink" Target="https://www.japsonline.com/archive/2012/vol2_issue2/" TargetMode="External"/><Relationship Id="rId65" Type="http://schemas.openxmlformats.org/officeDocument/2006/relationships/hyperlink" Target="https://doi.org/10.1111/j.1365-2109.2007.01767.x" TargetMode="External"/><Relationship Id="rId73" Type="http://schemas.openxmlformats.org/officeDocument/2006/relationships/hyperlink" Target="https://doi.org/10.1016/j.aquac%20ulture.2013.02.009" TargetMode="External"/><Relationship Id="rId78" Type="http://schemas.openxmlformats.org/officeDocument/2006/relationships/hyperlink" Target="https://doi.org/10.5297/SER.1201.002" TargetMode="External"/><Relationship Id="rId81" Type="http://schemas.openxmlformats.org/officeDocument/2006/relationships/hyperlink" Target="https://doi.org/10.17221/3294-VETMED" TargetMode="External"/><Relationship Id="rId86" Type="http://schemas.openxmlformats.org/officeDocument/2006/relationships/hyperlink" Target="https://doi.org/10.1016/j.aquaculture.2014.09.030" TargetMode="External"/><Relationship Id="rId4" Type="http://schemas.openxmlformats.org/officeDocument/2006/relationships/settings" Target="settings.xml"/><Relationship Id="rId9" Type="http://schemas.openxmlformats.org/officeDocument/2006/relationships/hyperlink" Target="https://doi.org/10.1016/j.aquaculture.2009.10.027" TargetMode="External"/><Relationship Id="rId13" Type="http://schemas.openxmlformats.org/officeDocument/2006/relationships/hyperlink" Target="https://doi.org/10.22092/ijfs.2018.115878" TargetMode="External"/><Relationship Id="rId18" Type="http://schemas.openxmlformats.org/officeDocument/2006/relationships/hyperlink" Target="https://doi.org/10.1016/j.scitotenv.2019.03.275" TargetMode="External"/><Relationship Id="rId39" Type="http://schemas.openxmlformats.org/officeDocument/2006/relationships/hyperlink" Target="https://doi.org/10.31396/Biodiv.Jour.2019.10.4.593.600" TargetMode="External"/><Relationship Id="rId34" Type="http://schemas.openxmlformats.org/officeDocument/2006/relationships/hyperlink" Target="https://doi.org/10.1007/s10499-012-9512-x" TargetMode="External"/><Relationship Id="rId50" Type="http://schemas.openxmlformats.org/officeDocument/2006/relationships/hyperlink" Target="https://doi.org/10.1111/j.1439-0396.2011.01258.x" TargetMode="External"/><Relationship Id="rId55" Type="http://schemas.openxmlformats.org/officeDocument/2006/relationships/hyperlink" Target="https://doi.org/10.1016/S0960-8524(01)00085-2" TargetMode="External"/><Relationship Id="rId76" Type="http://schemas.openxmlformats.org/officeDocument/2006/relationships/hyperlink" Target="https://www.maxwellsci.com/jp/abstract.php?jid=AJA&amp;aid=233" TargetMode="External"/><Relationship Id="rId7" Type="http://schemas.openxmlformats.org/officeDocument/2006/relationships/endnotes" Target="endnotes.xml"/><Relationship Id="rId71" Type="http://schemas.openxmlformats.org/officeDocument/2006/relationships/hyperlink" Target="https://doi.org/10.1046/j.1444-2906.2002.00386.x"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1007/s10695-008-9259-5" TargetMode="External"/><Relationship Id="rId24" Type="http://schemas.openxmlformats.org/officeDocument/2006/relationships/hyperlink" Target="https://doi.org/10.22207/JPAM.13.4.63" TargetMode="External"/><Relationship Id="rId40" Type="http://schemas.openxmlformats.org/officeDocument/2006/relationships/hyperlink" Target="https://doi.org/10.1016/0305-0491(87)90165-9" TargetMode="External"/><Relationship Id="rId45" Type="http://schemas.openxmlformats.org/officeDocument/2006/relationships/hyperlink" Target="https://doi.org/10.2331/fishsci.68.sup1_987" TargetMode="External"/><Relationship Id="rId66" Type="http://schemas.openxmlformats.org/officeDocument/2006/relationships/hyperlink" Target="https://pubs.usgs.gov/publication/94-023/FH" TargetMode="External"/><Relationship Id="rId87" Type="http://schemas.openxmlformats.org/officeDocument/2006/relationships/hyperlink" Target="https://doi.org/10.1016/j.aquaculture.2016.03.044" TargetMode="External"/><Relationship Id="rId61" Type="http://schemas.openxmlformats.org/officeDocument/2006/relationships/hyperlink" Target="https://doi.org/10.46989/001c.20484" TargetMode="External"/><Relationship Id="rId82" Type="http://schemas.openxmlformats.org/officeDocument/2006/relationships/hyperlink" Target="https://doi.org/10.1007/s10811-015-0661-y" TargetMode="External"/><Relationship Id="rId19" Type="http://schemas.openxmlformats.org/officeDocument/2006/relationships/hyperlink" Target="https://doi.org/10.1111/are.13590" TargetMode="External"/><Relationship Id="rId14" Type="http://schemas.openxmlformats.org/officeDocument/2006/relationships/hyperlink" Target="https://www.standardmethods.org" TargetMode="External"/><Relationship Id="rId30" Type="http://schemas.openxmlformats.org/officeDocument/2006/relationships/hyperlink" Target="https://doi.org/10.1007/s10499-020-00550-z" TargetMode="External"/><Relationship Id="rId35" Type="http://schemas.openxmlformats.org/officeDocument/2006/relationships/hyperlink" Target="https://doi.org/10.5539/jas.v5n6p109" TargetMode="External"/><Relationship Id="rId56" Type="http://schemas.openxmlformats.org/officeDocument/2006/relationships/hyperlink" Target="https://doi.org/10.1016/S0960-8524(01)00085-2" TargetMode="External"/><Relationship Id="rId77" Type="http://schemas.openxmlformats.org/officeDocument/2006/relationships/hyperlink" Target="https://www.airitilibrary.com/PublicationDetail/Detail?docid=20413890-201007-201007200004-201007200004-106-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FFE7-6017-4F52-87FC-438152C3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23</Pages>
  <Words>13791</Words>
  <Characters>78612</Characters>
  <Application>Microsoft Office Word</Application>
  <DocSecurity>0</DocSecurity>
  <Lines>655</Lines>
  <Paragraphs>184</Paragraphs>
  <ScaleCrop>false</ScaleCrop>
  <Company/>
  <LinksUpToDate>false</LinksUpToDate>
  <CharactersWithSpaces>92219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1022</cp:lastModifiedBy>
  <cp:revision>198</cp:revision>
  <dcterms:created xsi:type="dcterms:W3CDTF">2025-12-30T12:59:00Z</dcterms:created>
  <dcterms:modified xsi:type="dcterms:W3CDTF">2026-01-09T10:21:00Z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9bf52bb440664cb39e31a2bcfbe3f775</vt:lpwstr>
  </property>
</Properties>
</file>