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F3E6B" w14:textId="77777777" w:rsidR="00EE2C17" w:rsidRPr="00027738" w:rsidRDefault="00EE2C17" w:rsidP="00EE2C17">
      <w:pPr>
        <w:spacing w:after="0" w:line="276" w:lineRule="auto"/>
        <w:jc w:val="center"/>
        <w:rPr>
          <w:rFonts w:ascii="Times New Roman" w:hAnsi="Times New Roman" w:cs="Times New Roman"/>
          <w:b/>
          <w:bCs/>
          <w:iCs/>
          <w:sz w:val="28"/>
          <w:szCs w:val="28"/>
        </w:rPr>
      </w:pPr>
      <w:r w:rsidRPr="00027738">
        <w:rPr>
          <w:rFonts w:ascii="Times New Roman" w:hAnsi="Times New Roman" w:cs="Times New Roman"/>
          <w:b/>
          <w:bCs/>
          <w:iCs/>
          <w:sz w:val="28"/>
          <w:szCs w:val="28"/>
        </w:rPr>
        <w:t xml:space="preserve">Haematological Responses of </w:t>
      </w:r>
      <w:r w:rsidRPr="00027738">
        <w:rPr>
          <w:rFonts w:ascii="Times New Roman" w:hAnsi="Times New Roman" w:cs="Times New Roman"/>
          <w:b/>
          <w:bCs/>
          <w:i/>
          <w:iCs/>
          <w:sz w:val="28"/>
          <w:szCs w:val="28"/>
        </w:rPr>
        <w:t xml:space="preserve">Labeo </w:t>
      </w:r>
      <w:proofErr w:type="spellStart"/>
      <w:r w:rsidRPr="00027738">
        <w:rPr>
          <w:rFonts w:ascii="Times New Roman" w:hAnsi="Times New Roman" w:cs="Times New Roman"/>
          <w:b/>
          <w:bCs/>
          <w:i/>
          <w:iCs/>
          <w:sz w:val="28"/>
          <w:szCs w:val="28"/>
        </w:rPr>
        <w:t>rohita</w:t>
      </w:r>
      <w:proofErr w:type="spellEnd"/>
      <w:r w:rsidRPr="00027738">
        <w:rPr>
          <w:rFonts w:ascii="Times New Roman" w:hAnsi="Times New Roman" w:cs="Times New Roman"/>
          <w:b/>
          <w:bCs/>
          <w:iCs/>
          <w:sz w:val="28"/>
          <w:szCs w:val="28"/>
        </w:rPr>
        <w:t xml:space="preserve"> to Dietary </w:t>
      </w:r>
      <w:proofErr w:type="spellStart"/>
      <w:r w:rsidRPr="00027738">
        <w:rPr>
          <w:rFonts w:ascii="Times New Roman" w:hAnsi="Times New Roman" w:cs="Times New Roman"/>
          <w:b/>
          <w:bCs/>
          <w:i/>
          <w:iCs/>
          <w:sz w:val="28"/>
          <w:szCs w:val="28"/>
        </w:rPr>
        <w:t>Kappaphycus</w:t>
      </w:r>
      <w:proofErr w:type="spellEnd"/>
      <w:r w:rsidRPr="00027738">
        <w:rPr>
          <w:rFonts w:ascii="Times New Roman" w:hAnsi="Times New Roman" w:cs="Times New Roman"/>
          <w:b/>
          <w:bCs/>
          <w:i/>
          <w:iCs/>
          <w:sz w:val="28"/>
          <w:szCs w:val="28"/>
        </w:rPr>
        <w:t xml:space="preserve"> </w:t>
      </w:r>
      <w:proofErr w:type="spellStart"/>
      <w:r w:rsidRPr="00027738">
        <w:rPr>
          <w:rFonts w:ascii="Times New Roman" w:hAnsi="Times New Roman" w:cs="Times New Roman"/>
          <w:b/>
          <w:bCs/>
          <w:i/>
          <w:iCs/>
          <w:sz w:val="28"/>
          <w:szCs w:val="28"/>
        </w:rPr>
        <w:t>alvarezii</w:t>
      </w:r>
      <w:proofErr w:type="spellEnd"/>
      <w:r w:rsidRPr="00027738">
        <w:rPr>
          <w:rFonts w:ascii="Times New Roman" w:hAnsi="Times New Roman" w:cs="Times New Roman"/>
          <w:b/>
          <w:bCs/>
          <w:iCs/>
          <w:sz w:val="28"/>
          <w:szCs w:val="28"/>
        </w:rPr>
        <w:t xml:space="preserve"> sap</w:t>
      </w:r>
    </w:p>
    <w:p w14:paraId="70D5FB01" w14:textId="77777777" w:rsidR="0000494E" w:rsidRDefault="0000494E" w:rsidP="00A80C52">
      <w:pPr>
        <w:spacing w:after="0" w:line="240" w:lineRule="auto"/>
        <w:rPr>
          <w:rFonts w:ascii="Times New Roman" w:hAnsi="Times New Roman" w:cs="Times New Roman"/>
          <w:b/>
          <w:bCs/>
          <w:iCs/>
          <w:szCs w:val="24"/>
        </w:rPr>
      </w:pPr>
    </w:p>
    <w:p w14:paraId="5BA56B2A" w14:textId="10BE552B" w:rsidR="00CA460E" w:rsidRDefault="00EE5CA4" w:rsidP="00A80C52">
      <w:pPr>
        <w:spacing w:after="0" w:line="240" w:lineRule="auto"/>
        <w:rPr>
          <w:rFonts w:ascii="Times New Roman" w:hAnsi="Times New Roman" w:cs="Times New Roman"/>
          <w:b/>
          <w:bCs/>
          <w:iCs/>
          <w:szCs w:val="24"/>
        </w:rPr>
      </w:pPr>
      <w:r>
        <w:rPr>
          <w:rFonts w:ascii="Times New Roman" w:hAnsi="Times New Roman" w:cs="Times New Roman"/>
          <w:b/>
          <w:bCs/>
          <w:iCs/>
          <w:szCs w:val="24"/>
        </w:rPr>
        <w:t xml:space="preserve"> </w:t>
      </w:r>
    </w:p>
    <w:p w14:paraId="42B1EFFA" w14:textId="77777777" w:rsidR="00F147EC" w:rsidRDefault="00F147EC" w:rsidP="00A80C52">
      <w:pPr>
        <w:spacing w:after="0" w:line="240" w:lineRule="auto"/>
        <w:rPr>
          <w:rFonts w:ascii="Times New Roman" w:hAnsi="Times New Roman" w:cs="Times New Roman"/>
          <w:b/>
          <w:bCs/>
          <w:iCs/>
          <w:szCs w:val="24"/>
        </w:rPr>
      </w:pPr>
    </w:p>
    <w:p w14:paraId="740D17F3" w14:textId="77777777" w:rsidR="00A80C52" w:rsidRPr="00390128" w:rsidRDefault="00175AE6" w:rsidP="00A80C52">
      <w:pPr>
        <w:spacing w:after="0" w:line="240" w:lineRule="auto"/>
        <w:rPr>
          <w:rFonts w:ascii="Times New Roman" w:hAnsi="Times New Roman" w:cs="Times New Roman"/>
          <w:bCs/>
          <w:iCs/>
          <w:szCs w:val="24"/>
        </w:rPr>
      </w:pPr>
      <w:r w:rsidRPr="00390128">
        <w:rPr>
          <w:rFonts w:ascii="Times New Roman" w:hAnsi="Times New Roman" w:cs="Times New Roman"/>
          <w:b/>
          <w:bCs/>
          <w:iCs/>
          <w:szCs w:val="24"/>
        </w:rPr>
        <w:t>ABSTRACT</w:t>
      </w:r>
    </w:p>
    <w:p w14:paraId="520D568D" w14:textId="61956838" w:rsidR="00F15D45" w:rsidRPr="00F15D45" w:rsidRDefault="00F15D45" w:rsidP="00A80C52">
      <w:pPr>
        <w:spacing w:after="0" w:line="240" w:lineRule="auto"/>
        <w:ind w:firstLine="720"/>
        <w:jc w:val="both"/>
        <w:rPr>
          <w:rFonts w:ascii="Times New Roman" w:hAnsi="Times New Roman" w:cs="Times New Roman"/>
          <w:iCs/>
          <w:szCs w:val="24"/>
          <w:lang w:bidi="ar-SA"/>
        </w:rPr>
      </w:pPr>
      <w:r w:rsidRPr="00F15D45">
        <w:rPr>
          <w:rFonts w:ascii="Times New Roman" w:hAnsi="Times New Roman" w:cs="Times New Roman"/>
          <w:iCs/>
          <w:szCs w:val="24"/>
          <w:lang w:bidi="ar-SA"/>
        </w:rPr>
        <w:t xml:space="preserve">The study evaluated the effects of graded dietary inclusion levels of </w:t>
      </w:r>
      <w:proofErr w:type="spellStart"/>
      <w:r w:rsidRPr="00F15D45">
        <w:rPr>
          <w:rFonts w:ascii="Times New Roman" w:hAnsi="Times New Roman" w:cs="Times New Roman"/>
          <w:i/>
          <w:iCs/>
          <w:szCs w:val="24"/>
          <w:lang w:bidi="ar-SA"/>
        </w:rPr>
        <w:t>Kappaphycus</w:t>
      </w:r>
      <w:proofErr w:type="spellEnd"/>
      <w:r w:rsidRPr="00F15D45">
        <w:rPr>
          <w:rFonts w:ascii="Times New Roman" w:hAnsi="Times New Roman" w:cs="Times New Roman"/>
          <w:i/>
          <w:iCs/>
          <w:szCs w:val="24"/>
          <w:lang w:bidi="ar-SA"/>
        </w:rPr>
        <w:t xml:space="preserve"> </w:t>
      </w:r>
      <w:proofErr w:type="spellStart"/>
      <w:r w:rsidRPr="00F15D45">
        <w:rPr>
          <w:rFonts w:ascii="Times New Roman" w:hAnsi="Times New Roman" w:cs="Times New Roman"/>
          <w:i/>
          <w:iCs/>
          <w:szCs w:val="24"/>
          <w:lang w:bidi="ar-SA"/>
        </w:rPr>
        <w:t>alvarezii</w:t>
      </w:r>
      <w:proofErr w:type="spellEnd"/>
      <w:r w:rsidRPr="00F15D45">
        <w:rPr>
          <w:rFonts w:ascii="Times New Roman" w:hAnsi="Times New Roman" w:cs="Times New Roman"/>
          <w:iCs/>
          <w:szCs w:val="24"/>
          <w:lang w:bidi="ar-SA"/>
        </w:rPr>
        <w:t xml:space="preserve"> sap on the haematological responses of </w:t>
      </w:r>
      <w:r w:rsidRPr="00F15D45">
        <w:rPr>
          <w:rFonts w:ascii="Times New Roman" w:hAnsi="Times New Roman" w:cs="Times New Roman"/>
          <w:i/>
          <w:iCs/>
          <w:szCs w:val="24"/>
          <w:lang w:bidi="ar-SA"/>
        </w:rPr>
        <w:t xml:space="preserve">Labeo </w:t>
      </w:r>
      <w:proofErr w:type="spellStart"/>
      <w:r w:rsidRPr="00F15D45">
        <w:rPr>
          <w:rFonts w:ascii="Times New Roman" w:hAnsi="Times New Roman" w:cs="Times New Roman"/>
          <w:i/>
          <w:iCs/>
          <w:szCs w:val="24"/>
          <w:lang w:bidi="ar-SA"/>
        </w:rPr>
        <w:t>rohita</w:t>
      </w:r>
      <w:proofErr w:type="spellEnd"/>
      <w:r w:rsidRPr="00F15D45">
        <w:rPr>
          <w:rFonts w:ascii="Times New Roman" w:hAnsi="Times New Roman" w:cs="Times New Roman"/>
          <w:iCs/>
          <w:szCs w:val="24"/>
          <w:lang w:bidi="ar-SA"/>
        </w:rPr>
        <w:t xml:space="preserve"> fingerlings during a 60-day feeding trial. Five dietary treatments</w:t>
      </w:r>
      <w:r w:rsidR="009C3E85">
        <w:rPr>
          <w:rFonts w:ascii="Times New Roman" w:hAnsi="Times New Roman" w:cs="Times New Roman"/>
          <w:iCs/>
          <w:szCs w:val="24"/>
          <w:lang w:bidi="ar-SA"/>
        </w:rPr>
        <w:t xml:space="preserve"> including </w:t>
      </w:r>
      <w:r w:rsidRPr="00F15D45">
        <w:rPr>
          <w:rFonts w:ascii="Times New Roman" w:hAnsi="Times New Roman" w:cs="Times New Roman"/>
          <w:iCs/>
          <w:szCs w:val="24"/>
          <w:lang w:bidi="ar-SA"/>
        </w:rPr>
        <w:t>Control (0%), T1 (5%), T2 (10%), T3 (15%), and T4 (20%)</w:t>
      </w:r>
      <w:r w:rsidR="009C3E85">
        <w:rPr>
          <w:rFonts w:ascii="Times New Roman" w:hAnsi="Times New Roman" w:cs="Times New Roman"/>
          <w:iCs/>
          <w:szCs w:val="24"/>
          <w:lang w:bidi="ar-SA"/>
        </w:rPr>
        <w:t xml:space="preserve"> </w:t>
      </w:r>
      <w:r w:rsidRPr="00F15D45">
        <w:rPr>
          <w:rFonts w:ascii="Times New Roman" w:hAnsi="Times New Roman" w:cs="Times New Roman"/>
          <w:iCs/>
          <w:szCs w:val="24"/>
          <w:lang w:bidi="ar-SA"/>
        </w:rPr>
        <w:t>were administered in triplicate using commercial feed enriched with the respective sap concentrations. Water quality parameters remained within optimal limits throughout the experiment. Significant improvements (p &lt; 0.05) were recorded in several haematological indices, with the highest responses observed in the T4 group, including red blood cell count (1.33 × 10⁶ cells mm⁻³), haemoglobin concentration (8.36 g%), platelet count (62.67 × 10³ cells mm⁻³)</w:t>
      </w:r>
      <w:r w:rsidR="00DF20AF">
        <w:rPr>
          <w:rFonts w:ascii="Times New Roman" w:hAnsi="Times New Roman" w:cs="Times New Roman"/>
          <w:iCs/>
          <w:szCs w:val="24"/>
          <w:lang w:bidi="ar-SA"/>
        </w:rPr>
        <w:t xml:space="preserve"> </w:t>
      </w:r>
      <w:r w:rsidRPr="00F15D45">
        <w:rPr>
          <w:rFonts w:ascii="Times New Roman" w:hAnsi="Times New Roman" w:cs="Times New Roman"/>
          <w:iCs/>
          <w:szCs w:val="24"/>
          <w:lang w:bidi="ar-SA"/>
        </w:rPr>
        <w:t xml:space="preserve">and haematocrit (28.5%). White blood cell counts and erythrocyte indices (MCV and MCHC) also showed significant but moderate increases with increasing dietary inclusion levels. These responses indicate enhanced physiological condition and improved haematological stability, suggesting a positive influence of dietary sap supplementation on fish health. The findings establish </w:t>
      </w:r>
      <w:r w:rsidRPr="00F15D45">
        <w:rPr>
          <w:rFonts w:ascii="Times New Roman" w:hAnsi="Times New Roman" w:cs="Times New Roman"/>
          <w:i/>
          <w:iCs/>
          <w:szCs w:val="24"/>
          <w:lang w:bidi="ar-SA"/>
        </w:rPr>
        <w:t xml:space="preserve">K. </w:t>
      </w:r>
      <w:proofErr w:type="spellStart"/>
      <w:r w:rsidRPr="00F15D45">
        <w:rPr>
          <w:rFonts w:ascii="Times New Roman" w:hAnsi="Times New Roman" w:cs="Times New Roman"/>
          <w:i/>
          <w:iCs/>
          <w:szCs w:val="24"/>
          <w:lang w:bidi="ar-SA"/>
        </w:rPr>
        <w:t>alvarezii</w:t>
      </w:r>
      <w:proofErr w:type="spellEnd"/>
      <w:r w:rsidRPr="00F15D45">
        <w:rPr>
          <w:rFonts w:ascii="Times New Roman" w:hAnsi="Times New Roman" w:cs="Times New Roman"/>
          <w:iCs/>
          <w:szCs w:val="24"/>
          <w:lang w:bidi="ar-SA"/>
        </w:rPr>
        <w:t xml:space="preserve"> sap as a promising natural functional feed additive for freshwater aquaculture. Based on the observed haematological responses, a 20% inclusion level appears optimal for improving blood health and physiological status in </w:t>
      </w:r>
      <w:r w:rsidRPr="00F15D45">
        <w:rPr>
          <w:rFonts w:ascii="Times New Roman" w:hAnsi="Times New Roman" w:cs="Times New Roman"/>
          <w:i/>
          <w:iCs/>
          <w:szCs w:val="24"/>
          <w:lang w:bidi="ar-SA"/>
        </w:rPr>
        <w:t xml:space="preserve">L. </w:t>
      </w:r>
      <w:proofErr w:type="spellStart"/>
      <w:r w:rsidRPr="00F15D45">
        <w:rPr>
          <w:rFonts w:ascii="Times New Roman" w:hAnsi="Times New Roman" w:cs="Times New Roman"/>
          <w:i/>
          <w:iCs/>
          <w:szCs w:val="24"/>
          <w:lang w:bidi="ar-SA"/>
        </w:rPr>
        <w:t>rohita</w:t>
      </w:r>
      <w:proofErr w:type="spellEnd"/>
      <w:r w:rsidRPr="00F15D45">
        <w:rPr>
          <w:rFonts w:ascii="Times New Roman" w:hAnsi="Times New Roman" w:cs="Times New Roman"/>
          <w:iCs/>
          <w:szCs w:val="24"/>
          <w:lang w:bidi="ar-SA"/>
        </w:rPr>
        <w:t xml:space="preserve">. The study underscores the potential of seaweed-derived </w:t>
      </w:r>
      <w:proofErr w:type="spellStart"/>
      <w:r w:rsidRPr="00F15D45">
        <w:rPr>
          <w:rFonts w:ascii="Times New Roman" w:hAnsi="Times New Roman" w:cs="Times New Roman"/>
          <w:iCs/>
          <w:szCs w:val="24"/>
          <w:lang w:bidi="ar-SA"/>
        </w:rPr>
        <w:t>bioactives</w:t>
      </w:r>
      <w:proofErr w:type="spellEnd"/>
      <w:r w:rsidRPr="00F15D45">
        <w:rPr>
          <w:rFonts w:ascii="Times New Roman" w:hAnsi="Times New Roman" w:cs="Times New Roman"/>
          <w:iCs/>
          <w:szCs w:val="24"/>
          <w:lang w:bidi="ar-SA"/>
        </w:rPr>
        <w:t xml:space="preserve"> in supporting sustainable and health-oriented freshwater aquaculture practices.</w:t>
      </w:r>
    </w:p>
    <w:p w14:paraId="429DD69B" w14:textId="77777777" w:rsidR="00904BD1" w:rsidRPr="001C23F6" w:rsidRDefault="00904BD1" w:rsidP="00A80C52">
      <w:pPr>
        <w:spacing w:after="0" w:line="240" w:lineRule="auto"/>
        <w:ind w:firstLine="720"/>
        <w:jc w:val="both"/>
        <w:rPr>
          <w:rFonts w:ascii="Times New Roman" w:hAnsi="Times New Roman" w:cs="Times New Roman"/>
          <w:bCs/>
          <w:iCs/>
          <w:szCs w:val="24"/>
          <w:lang w:bidi="ar-SA"/>
        </w:rPr>
      </w:pPr>
    </w:p>
    <w:p w14:paraId="3C3EBDB1" w14:textId="03DAAC61" w:rsidR="00C13DAC" w:rsidRDefault="00175AE6" w:rsidP="00C13DAC">
      <w:pPr>
        <w:spacing w:after="0" w:line="240" w:lineRule="auto"/>
        <w:rPr>
          <w:rFonts w:ascii="Times New Roman" w:hAnsi="Times New Roman" w:cs="Times New Roman"/>
          <w:bCs/>
          <w:iCs/>
          <w:szCs w:val="24"/>
        </w:rPr>
      </w:pPr>
      <w:r w:rsidRPr="00390128">
        <w:rPr>
          <w:rFonts w:ascii="Times New Roman" w:hAnsi="Times New Roman" w:cs="Times New Roman"/>
          <w:b/>
          <w:bCs/>
          <w:iCs/>
          <w:szCs w:val="24"/>
        </w:rPr>
        <w:t>KEYWORDS:</w:t>
      </w:r>
      <w:r w:rsidRPr="00390128">
        <w:rPr>
          <w:rFonts w:ascii="Times New Roman" w:hAnsi="Times New Roman" w:cs="Times New Roman"/>
          <w:bCs/>
          <w:iCs/>
          <w:szCs w:val="24"/>
        </w:rPr>
        <w:t xml:space="preserve"> </w:t>
      </w:r>
      <w:r>
        <w:rPr>
          <w:rFonts w:ascii="Times New Roman" w:hAnsi="Times New Roman" w:cs="Times New Roman"/>
          <w:bCs/>
          <w:iCs/>
          <w:szCs w:val="24"/>
        </w:rPr>
        <w:t xml:space="preserve"> </w:t>
      </w:r>
      <w:proofErr w:type="spellStart"/>
      <w:r w:rsidR="004C04F5" w:rsidRPr="004C04F5">
        <w:rPr>
          <w:rFonts w:ascii="Times New Roman" w:hAnsi="Times New Roman" w:cs="Times New Roman"/>
          <w:bCs/>
          <w:i/>
          <w:iCs/>
          <w:szCs w:val="24"/>
        </w:rPr>
        <w:t>Kappaphycus</w:t>
      </w:r>
      <w:proofErr w:type="spellEnd"/>
      <w:r w:rsidR="004C04F5" w:rsidRPr="004C04F5">
        <w:rPr>
          <w:rFonts w:ascii="Times New Roman" w:hAnsi="Times New Roman" w:cs="Times New Roman"/>
          <w:bCs/>
          <w:i/>
          <w:iCs/>
          <w:szCs w:val="24"/>
        </w:rPr>
        <w:t xml:space="preserve"> </w:t>
      </w:r>
      <w:proofErr w:type="spellStart"/>
      <w:r w:rsidR="004C04F5" w:rsidRPr="004C04F5">
        <w:rPr>
          <w:rFonts w:ascii="Times New Roman" w:hAnsi="Times New Roman" w:cs="Times New Roman"/>
          <w:bCs/>
          <w:i/>
          <w:iCs/>
          <w:szCs w:val="24"/>
        </w:rPr>
        <w:t>alvarezii</w:t>
      </w:r>
      <w:proofErr w:type="spellEnd"/>
      <w:r w:rsidR="004C04F5" w:rsidRPr="004C04F5">
        <w:rPr>
          <w:rFonts w:ascii="Times New Roman" w:hAnsi="Times New Roman" w:cs="Times New Roman"/>
          <w:bCs/>
          <w:iCs/>
          <w:szCs w:val="24"/>
        </w:rPr>
        <w:t xml:space="preserve"> ; </w:t>
      </w:r>
      <w:r w:rsidR="004C04F5" w:rsidRPr="004C04F5">
        <w:rPr>
          <w:rFonts w:ascii="Times New Roman" w:hAnsi="Times New Roman" w:cs="Times New Roman"/>
          <w:bCs/>
          <w:i/>
          <w:iCs/>
          <w:szCs w:val="24"/>
        </w:rPr>
        <w:t xml:space="preserve">Labeo </w:t>
      </w:r>
      <w:proofErr w:type="spellStart"/>
      <w:r w:rsidR="004C04F5" w:rsidRPr="004C04F5">
        <w:rPr>
          <w:rFonts w:ascii="Times New Roman" w:hAnsi="Times New Roman" w:cs="Times New Roman"/>
          <w:bCs/>
          <w:i/>
          <w:iCs/>
          <w:szCs w:val="24"/>
        </w:rPr>
        <w:t>rohita</w:t>
      </w:r>
      <w:proofErr w:type="spellEnd"/>
      <w:r w:rsidR="004C04F5" w:rsidRPr="004C04F5">
        <w:rPr>
          <w:rFonts w:ascii="Times New Roman" w:hAnsi="Times New Roman" w:cs="Times New Roman"/>
          <w:bCs/>
          <w:iCs/>
          <w:szCs w:val="24"/>
        </w:rPr>
        <w:t xml:space="preserve">; </w:t>
      </w:r>
      <w:r w:rsidR="00F15D45">
        <w:rPr>
          <w:rFonts w:ascii="Times New Roman" w:hAnsi="Times New Roman" w:cs="Times New Roman"/>
          <w:bCs/>
          <w:iCs/>
          <w:szCs w:val="24"/>
        </w:rPr>
        <w:t>H</w:t>
      </w:r>
      <w:r w:rsidR="004C04F5" w:rsidRPr="004C04F5">
        <w:rPr>
          <w:rFonts w:ascii="Times New Roman" w:hAnsi="Times New Roman" w:cs="Times New Roman"/>
          <w:bCs/>
          <w:iCs/>
          <w:szCs w:val="24"/>
        </w:rPr>
        <w:t xml:space="preserve">aematology; </w:t>
      </w:r>
      <w:r w:rsidR="00F15D45">
        <w:rPr>
          <w:rFonts w:ascii="Times New Roman" w:hAnsi="Times New Roman" w:cs="Times New Roman"/>
          <w:bCs/>
          <w:iCs/>
          <w:szCs w:val="24"/>
        </w:rPr>
        <w:t>A</w:t>
      </w:r>
      <w:r w:rsidR="004C04F5" w:rsidRPr="004C04F5">
        <w:rPr>
          <w:rFonts w:ascii="Times New Roman" w:hAnsi="Times New Roman" w:cs="Times New Roman"/>
          <w:bCs/>
          <w:iCs/>
          <w:szCs w:val="24"/>
        </w:rPr>
        <w:t>quaculture nutrition;</w:t>
      </w:r>
      <w:r w:rsidR="004C04F5">
        <w:rPr>
          <w:rFonts w:ascii="Times New Roman" w:hAnsi="Times New Roman" w:cs="Times New Roman"/>
          <w:bCs/>
          <w:iCs/>
          <w:szCs w:val="24"/>
        </w:rPr>
        <w:t xml:space="preserve"> </w:t>
      </w:r>
      <w:r w:rsidR="00F15D45">
        <w:rPr>
          <w:rFonts w:ascii="Times New Roman" w:hAnsi="Times New Roman" w:cs="Times New Roman"/>
          <w:bCs/>
          <w:iCs/>
          <w:szCs w:val="24"/>
        </w:rPr>
        <w:t>I</w:t>
      </w:r>
      <w:r w:rsidR="004C04F5" w:rsidRPr="004C04F5">
        <w:rPr>
          <w:rFonts w:ascii="Times New Roman" w:hAnsi="Times New Roman" w:cs="Times New Roman"/>
          <w:bCs/>
          <w:iCs/>
          <w:szCs w:val="24"/>
        </w:rPr>
        <w:t>mmunostimulant.</w:t>
      </w:r>
    </w:p>
    <w:p w14:paraId="4E0010C8" w14:textId="77777777" w:rsidR="00C13DAC" w:rsidRDefault="00C13DAC" w:rsidP="00C13DAC">
      <w:pPr>
        <w:spacing w:after="0" w:line="240" w:lineRule="auto"/>
        <w:rPr>
          <w:rFonts w:ascii="Times New Roman" w:hAnsi="Times New Roman" w:cs="Times New Roman"/>
          <w:bCs/>
          <w:iCs/>
          <w:szCs w:val="24"/>
        </w:rPr>
      </w:pPr>
    </w:p>
    <w:p w14:paraId="7390AE8E" w14:textId="77777777" w:rsidR="00491E62" w:rsidRDefault="00175AE6" w:rsidP="00C13DAC">
      <w:pPr>
        <w:spacing w:after="0" w:line="240" w:lineRule="auto"/>
        <w:rPr>
          <w:rFonts w:ascii="Times New Roman" w:hAnsi="Times New Roman" w:cs="Times New Roman"/>
          <w:szCs w:val="24"/>
        </w:rPr>
      </w:pPr>
      <w:r>
        <w:rPr>
          <w:rFonts w:ascii="Times New Roman" w:hAnsi="Times New Roman" w:cs="Times New Roman"/>
          <w:b/>
          <w:bCs/>
          <w:szCs w:val="24"/>
        </w:rPr>
        <w:t>INTRODUCTION:</w:t>
      </w:r>
    </w:p>
    <w:p w14:paraId="10857EFE" w14:textId="77777777" w:rsidR="00DD7FA8" w:rsidRDefault="00DD7FA8" w:rsidP="00A80C52">
      <w:pPr>
        <w:spacing w:line="240" w:lineRule="auto"/>
        <w:ind w:firstLine="720"/>
        <w:jc w:val="both"/>
        <w:rPr>
          <w:rFonts w:ascii="Times New Roman" w:hAnsi="Times New Roman" w:cs="Times New Roman"/>
          <w:szCs w:val="24"/>
        </w:rPr>
      </w:pPr>
    </w:p>
    <w:p w14:paraId="6C657E0F" w14:textId="632D397B" w:rsidR="00604C66" w:rsidRPr="00604C66" w:rsidRDefault="00604C66" w:rsidP="00604C66">
      <w:pPr>
        <w:spacing w:line="240" w:lineRule="auto"/>
        <w:ind w:firstLine="720"/>
        <w:jc w:val="both"/>
        <w:rPr>
          <w:rFonts w:ascii="Times New Roman" w:hAnsi="Times New Roman" w:cs="Times New Roman"/>
          <w:szCs w:val="24"/>
        </w:rPr>
      </w:pPr>
      <w:bookmarkStart w:id="0" w:name="_Hlk216443506"/>
      <w:r w:rsidRPr="00604C66">
        <w:rPr>
          <w:rFonts w:ascii="Times New Roman" w:hAnsi="Times New Roman" w:cs="Times New Roman"/>
          <w:szCs w:val="24"/>
        </w:rPr>
        <w:t>Aquaculture has emerged as one of the most rapidly expanding food-production sectors globally, contributing significantly to food security, nutrition, and livelihood generation. In 2022, global aquaculture production reached a historical high of 130.9 million tonnes, marking the first occasion on which farmed aquatic animal output exceeded capture fisheries</w:t>
      </w:r>
      <w:r w:rsidR="002956FC">
        <w:rPr>
          <w:rFonts w:ascii="Times New Roman" w:hAnsi="Times New Roman" w:cs="Times New Roman"/>
          <w:szCs w:val="24"/>
        </w:rPr>
        <w:t xml:space="preserve"> (</w:t>
      </w:r>
      <w:r w:rsidR="002956FC" w:rsidRPr="0047721A">
        <w:rPr>
          <w:rFonts w:ascii="Times New Roman" w:hAnsi="Times New Roman" w:cs="Times New Roman"/>
          <w:szCs w:val="24"/>
        </w:rPr>
        <w:t>FAO</w:t>
      </w:r>
      <w:r w:rsidR="002956FC">
        <w:rPr>
          <w:rFonts w:ascii="Times New Roman" w:hAnsi="Times New Roman" w:cs="Times New Roman"/>
          <w:szCs w:val="24"/>
        </w:rPr>
        <w:t>, 2024)</w:t>
      </w:r>
      <w:r w:rsidRPr="00604C66">
        <w:rPr>
          <w:rFonts w:ascii="Times New Roman" w:hAnsi="Times New Roman" w:cs="Times New Roman"/>
          <w:szCs w:val="24"/>
        </w:rPr>
        <w:t xml:space="preserve">. This achievement highlights the sector’s strong capacity to enhance production through technological improvements and nutritional innovations in response to the growing demand for aquatic proteins. Over the past two decades, the share of fed aquaculture species has increased </w:t>
      </w:r>
      <w:r w:rsidR="002956FC">
        <w:rPr>
          <w:rFonts w:ascii="Times New Roman" w:hAnsi="Times New Roman" w:cs="Times New Roman"/>
          <w:szCs w:val="24"/>
        </w:rPr>
        <w:t xml:space="preserve">significantly </w:t>
      </w:r>
      <w:r w:rsidRPr="00604C66">
        <w:rPr>
          <w:rFonts w:ascii="Times New Roman" w:hAnsi="Times New Roman" w:cs="Times New Roman"/>
          <w:szCs w:val="24"/>
        </w:rPr>
        <w:t>from 45% in 2001 to nearly 80% in 2022</w:t>
      </w:r>
      <w:r w:rsidR="002956FC">
        <w:rPr>
          <w:rFonts w:ascii="Times New Roman" w:hAnsi="Times New Roman" w:cs="Times New Roman"/>
          <w:szCs w:val="24"/>
        </w:rPr>
        <w:t xml:space="preserve">, </w:t>
      </w:r>
      <w:r w:rsidRPr="00604C66">
        <w:rPr>
          <w:rFonts w:ascii="Times New Roman" w:hAnsi="Times New Roman" w:cs="Times New Roman"/>
          <w:szCs w:val="24"/>
        </w:rPr>
        <w:t>indicating an escalating reliance on formulated feeds.</w:t>
      </w:r>
      <w:r>
        <w:rPr>
          <w:rFonts w:ascii="Times New Roman" w:hAnsi="Times New Roman" w:cs="Times New Roman"/>
          <w:szCs w:val="24"/>
        </w:rPr>
        <w:t xml:space="preserve"> </w:t>
      </w:r>
      <w:r w:rsidRPr="00604C66">
        <w:rPr>
          <w:rFonts w:ascii="Times New Roman" w:hAnsi="Times New Roman" w:cs="Times New Roman"/>
          <w:szCs w:val="24"/>
        </w:rPr>
        <w:t>India is a major contributor to this global growth, ranking third in total fish production and second in aquaculture production</w:t>
      </w:r>
      <w:r w:rsidR="000B3D8D">
        <w:rPr>
          <w:rFonts w:ascii="Times New Roman" w:hAnsi="Times New Roman" w:cs="Times New Roman"/>
          <w:szCs w:val="24"/>
        </w:rPr>
        <w:t xml:space="preserve"> </w:t>
      </w:r>
      <w:r w:rsidR="000B3D8D">
        <w:rPr>
          <w:rFonts w:ascii="Times New Roman" w:hAnsi="Times New Roman" w:cs="Times New Roman"/>
          <w:szCs w:val="24"/>
        </w:rPr>
        <w:t>(</w:t>
      </w:r>
      <w:r w:rsidR="000B3D8D" w:rsidRPr="0047721A">
        <w:rPr>
          <w:rFonts w:ascii="Times New Roman" w:hAnsi="Times New Roman" w:cs="Times New Roman"/>
          <w:szCs w:val="24"/>
        </w:rPr>
        <w:t>FAO</w:t>
      </w:r>
      <w:r w:rsidR="000B3D8D">
        <w:rPr>
          <w:rFonts w:ascii="Times New Roman" w:hAnsi="Times New Roman" w:cs="Times New Roman"/>
          <w:szCs w:val="24"/>
        </w:rPr>
        <w:t>,</w:t>
      </w:r>
      <w:r w:rsidR="000B3D8D">
        <w:rPr>
          <w:rFonts w:ascii="Times New Roman" w:hAnsi="Times New Roman" w:cs="Times New Roman"/>
          <w:szCs w:val="24"/>
        </w:rPr>
        <w:t xml:space="preserve"> 2022;</w:t>
      </w:r>
      <w:r w:rsidR="000B3D8D">
        <w:rPr>
          <w:rFonts w:ascii="Times New Roman" w:hAnsi="Times New Roman" w:cs="Times New Roman"/>
          <w:szCs w:val="24"/>
        </w:rPr>
        <w:t xml:space="preserve"> 2024)</w:t>
      </w:r>
      <w:r w:rsidRPr="00604C66">
        <w:rPr>
          <w:rFonts w:ascii="Times New Roman" w:hAnsi="Times New Roman" w:cs="Times New Roman"/>
          <w:szCs w:val="24"/>
        </w:rPr>
        <w:t>. The country achieved 17.54 million tonnes of total fish output in 2022–23</w:t>
      </w:r>
      <w:r w:rsidR="002E6B2E">
        <w:rPr>
          <w:rFonts w:ascii="Times New Roman" w:hAnsi="Times New Roman" w:cs="Times New Roman"/>
          <w:szCs w:val="24"/>
        </w:rPr>
        <w:t xml:space="preserve">, </w:t>
      </w:r>
      <w:r w:rsidRPr="00604C66">
        <w:rPr>
          <w:rFonts w:ascii="Times New Roman" w:hAnsi="Times New Roman" w:cs="Times New Roman"/>
          <w:szCs w:val="24"/>
        </w:rPr>
        <w:t>with inland aquaculture primarily driven by Indian Major Carps (IMCs). These species account for 70–75% of freshwater aquaculture production</w:t>
      </w:r>
      <w:r w:rsidR="002E6B2E">
        <w:rPr>
          <w:rFonts w:ascii="Times New Roman" w:hAnsi="Times New Roman" w:cs="Times New Roman"/>
          <w:szCs w:val="24"/>
        </w:rPr>
        <w:t xml:space="preserve"> (</w:t>
      </w:r>
      <w:r w:rsidR="002E6B2E" w:rsidRPr="0047721A">
        <w:rPr>
          <w:rFonts w:ascii="Times New Roman" w:hAnsi="Times New Roman" w:cs="Times New Roman"/>
          <w:szCs w:val="24"/>
        </w:rPr>
        <w:t>Jayasankar</w:t>
      </w:r>
      <w:r w:rsidR="00EE2C17">
        <w:rPr>
          <w:rFonts w:ascii="Times New Roman" w:hAnsi="Times New Roman" w:cs="Times New Roman"/>
          <w:szCs w:val="24"/>
        </w:rPr>
        <w:t xml:space="preserve">, </w:t>
      </w:r>
      <w:r w:rsidR="002E6B2E">
        <w:rPr>
          <w:rFonts w:ascii="Times New Roman" w:hAnsi="Times New Roman" w:cs="Times New Roman"/>
          <w:szCs w:val="24"/>
        </w:rPr>
        <w:t>2018)</w:t>
      </w:r>
      <w:r w:rsidRPr="00604C66">
        <w:rPr>
          <w:rFonts w:ascii="Times New Roman" w:hAnsi="Times New Roman" w:cs="Times New Roman"/>
          <w:szCs w:val="24"/>
        </w:rPr>
        <w:t xml:space="preserve"> with </w:t>
      </w:r>
      <w:r w:rsidRPr="00604C66">
        <w:rPr>
          <w:rFonts w:ascii="Times New Roman" w:hAnsi="Times New Roman" w:cs="Times New Roman"/>
          <w:i/>
          <w:iCs/>
          <w:szCs w:val="24"/>
        </w:rPr>
        <w:t xml:space="preserve">Labeo </w:t>
      </w:r>
      <w:proofErr w:type="spellStart"/>
      <w:r w:rsidRPr="00604C66">
        <w:rPr>
          <w:rFonts w:ascii="Times New Roman" w:hAnsi="Times New Roman" w:cs="Times New Roman"/>
          <w:i/>
          <w:iCs/>
          <w:szCs w:val="24"/>
        </w:rPr>
        <w:t>rohita</w:t>
      </w:r>
      <w:proofErr w:type="spellEnd"/>
      <w:r w:rsidRPr="00604C66">
        <w:rPr>
          <w:rFonts w:ascii="Times New Roman" w:hAnsi="Times New Roman" w:cs="Times New Roman"/>
          <w:szCs w:val="24"/>
        </w:rPr>
        <w:t xml:space="preserve"> (rohu) being one of the top eleven cultured finfish species worldwide</w:t>
      </w:r>
      <w:r w:rsidR="002E6B2E">
        <w:rPr>
          <w:rFonts w:ascii="Times New Roman" w:hAnsi="Times New Roman" w:cs="Times New Roman"/>
          <w:szCs w:val="24"/>
        </w:rPr>
        <w:t xml:space="preserve"> (</w:t>
      </w:r>
      <w:r w:rsidR="006E27C6">
        <w:rPr>
          <w:rFonts w:ascii="Times New Roman" w:hAnsi="Times New Roman" w:cs="Times New Roman"/>
          <w:szCs w:val="24"/>
        </w:rPr>
        <w:t>FAO, 2020</w:t>
      </w:r>
      <w:r w:rsidR="00A23605">
        <w:rPr>
          <w:rFonts w:ascii="Times New Roman" w:hAnsi="Times New Roman" w:cs="Times New Roman"/>
          <w:szCs w:val="24"/>
        </w:rPr>
        <w:t>)</w:t>
      </w:r>
      <w:r w:rsidRPr="00604C66">
        <w:rPr>
          <w:rFonts w:ascii="Times New Roman" w:hAnsi="Times New Roman" w:cs="Times New Roman"/>
          <w:szCs w:val="24"/>
        </w:rPr>
        <w:t>. Nevertheless, the continued expansion of the aquaculture sector is constrained by the rising costs and environmental implications of formulated feeds.</w:t>
      </w:r>
    </w:p>
    <w:p w14:paraId="0CA1F09A" w14:textId="0B0D58DA" w:rsidR="00604C66" w:rsidRDefault="00604C66" w:rsidP="00604C66">
      <w:pPr>
        <w:spacing w:line="240" w:lineRule="auto"/>
        <w:ind w:firstLine="720"/>
        <w:jc w:val="both"/>
        <w:rPr>
          <w:rFonts w:ascii="Times New Roman" w:hAnsi="Times New Roman" w:cs="Times New Roman"/>
          <w:szCs w:val="24"/>
        </w:rPr>
      </w:pPr>
      <w:r w:rsidRPr="00604C66">
        <w:rPr>
          <w:rFonts w:ascii="Times New Roman" w:hAnsi="Times New Roman" w:cs="Times New Roman"/>
          <w:szCs w:val="24"/>
        </w:rPr>
        <w:t>Feed represents the largest operational expense in intensive aquaculture, often exceeding 50% of total production costs, with protein sources contributing the most to this expenditure</w:t>
      </w:r>
      <w:r w:rsidR="00B36DC6">
        <w:rPr>
          <w:rFonts w:ascii="Times New Roman" w:hAnsi="Times New Roman" w:cs="Times New Roman"/>
          <w:szCs w:val="24"/>
        </w:rPr>
        <w:t xml:space="preserve"> (</w:t>
      </w:r>
      <w:r w:rsidR="00B36DC6" w:rsidRPr="0047721A">
        <w:rPr>
          <w:rFonts w:ascii="Times New Roman" w:hAnsi="Times New Roman" w:cs="Times New Roman"/>
          <w:szCs w:val="24"/>
        </w:rPr>
        <w:t xml:space="preserve">Nissa </w:t>
      </w:r>
      <w:r w:rsidR="00B36DC6">
        <w:rPr>
          <w:rFonts w:ascii="Times New Roman" w:hAnsi="Times New Roman" w:cs="Times New Roman"/>
          <w:szCs w:val="24"/>
        </w:rPr>
        <w:t xml:space="preserve"> et al., 2021)</w:t>
      </w:r>
      <w:r w:rsidRPr="00604C66">
        <w:rPr>
          <w:rFonts w:ascii="Times New Roman" w:hAnsi="Times New Roman" w:cs="Times New Roman"/>
          <w:szCs w:val="24"/>
        </w:rPr>
        <w:t xml:space="preserve">. Historically, fishmeal and fish oil derived from wild forage </w:t>
      </w:r>
      <w:r w:rsidRPr="00604C66">
        <w:rPr>
          <w:rFonts w:ascii="Times New Roman" w:hAnsi="Times New Roman" w:cs="Times New Roman"/>
          <w:szCs w:val="24"/>
        </w:rPr>
        <w:lastRenderedPageBreak/>
        <w:t xml:space="preserve">fisheries have been the principal protein and lipid ingredients. However, increasing prices, inconsistent supply and ecological concerns have rendered their long-term use unsustainable </w:t>
      </w:r>
      <w:r w:rsidR="003C09AB">
        <w:rPr>
          <w:rFonts w:ascii="Times New Roman" w:hAnsi="Times New Roman" w:cs="Times New Roman"/>
          <w:szCs w:val="24"/>
        </w:rPr>
        <w:t xml:space="preserve">(Hardy 2010; </w:t>
      </w:r>
      <w:r w:rsidR="003C09AB" w:rsidRPr="0047721A">
        <w:rPr>
          <w:rFonts w:ascii="Times New Roman" w:hAnsi="Times New Roman" w:cs="Times New Roman"/>
          <w:szCs w:val="24"/>
        </w:rPr>
        <w:t xml:space="preserve">Pereira </w:t>
      </w:r>
      <w:r w:rsidR="003C09AB">
        <w:rPr>
          <w:rFonts w:ascii="Times New Roman" w:hAnsi="Times New Roman" w:cs="Times New Roman"/>
          <w:szCs w:val="24"/>
        </w:rPr>
        <w:t>et al</w:t>
      </w:r>
      <w:r w:rsidRPr="00604C66">
        <w:rPr>
          <w:rFonts w:ascii="Times New Roman" w:hAnsi="Times New Roman" w:cs="Times New Roman"/>
          <w:szCs w:val="24"/>
        </w:rPr>
        <w:t>.</w:t>
      </w:r>
      <w:r w:rsidR="003C09AB">
        <w:rPr>
          <w:rFonts w:ascii="Times New Roman" w:hAnsi="Times New Roman" w:cs="Times New Roman"/>
          <w:szCs w:val="24"/>
        </w:rPr>
        <w:t>, 2012).</w:t>
      </w:r>
      <w:r w:rsidRPr="00604C66">
        <w:rPr>
          <w:rFonts w:ascii="Times New Roman" w:hAnsi="Times New Roman" w:cs="Times New Roman"/>
          <w:szCs w:val="24"/>
        </w:rPr>
        <w:t xml:space="preserve"> Consequently, considerable research efforts are now directed toward identifying sustainable, affordable and functionally beneficial feed alternatives that can maintain growth performance, health</w:t>
      </w:r>
      <w:r w:rsidR="00DF20AF">
        <w:rPr>
          <w:rFonts w:ascii="Times New Roman" w:hAnsi="Times New Roman" w:cs="Times New Roman"/>
          <w:szCs w:val="24"/>
        </w:rPr>
        <w:t xml:space="preserve"> </w:t>
      </w:r>
      <w:r w:rsidRPr="00604C66">
        <w:rPr>
          <w:rFonts w:ascii="Times New Roman" w:hAnsi="Times New Roman" w:cs="Times New Roman"/>
          <w:szCs w:val="24"/>
        </w:rPr>
        <w:t>and economic viability.</w:t>
      </w:r>
    </w:p>
    <w:p w14:paraId="3B97EDD5" w14:textId="257C265E" w:rsidR="00604C66" w:rsidRDefault="00604C66" w:rsidP="00604C66">
      <w:pPr>
        <w:spacing w:line="240" w:lineRule="auto"/>
        <w:ind w:firstLine="720"/>
        <w:jc w:val="both"/>
        <w:rPr>
          <w:rFonts w:ascii="Times New Roman" w:hAnsi="Times New Roman" w:cs="Times New Roman"/>
          <w:szCs w:val="24"/>
        </w:rPr>
      </w:pPr>
      <w:r w:rsidRPr="00DD7FA8">
        <w:rPr>
          <w:rFonts w:ascii="Times New Roman" w:hAnsi="Times New Roman" w:cs="Times New Roman"/>
          <w:szCs w:val="24"/>
        </w:rPr>
        <w:t xml:space="preserve">Marine macroalgae, commonly known as seaweed, have emerged as a highly promising, multi-faceted solution to these challenges. Seaweeds are a rich source of essential nutrients, including proteins, vitamins and minerals, but their true potential lies in their vast reservoir of bioactive compounds (Ashour et al., 2020; </w:t>
      </w:r>
      <w:proofErr w:type="spellStart"/>
      <w:r w:rsidRPr="00DD7FA8">
        <w:rPr>
          <w:rFonts w:ascii="Times New Roman" w:hAnsi="Times New Roman" w:cs="Times New Roman"/>
          <w:szCs w:val="24"/>
        </w:rPr>
        <w:t>Siddik</w:t>
      </w:r>
      <w:proofErr w:type="spellEnd"/>
      <w:r w:rsidRPr="00DD7FA8">
        <w:rPr>
          <w:rFonts w:ascii="Times New Roman" w:hAnsi="Times New Roman" w:cs="Times New Roman"/>
          <w:szCs w:val="24"/>
        </w:rPr>
        <w:t xml:space="preserve"> et al., 2023). These compounds, which include unique polysaccharides, polyphenols, and pigments, exhibit a range of functional benefits, from immunostimulatory and antioxidant to anti-inflammatory properties. While the inclusion of whole, dried seaweed in aquafeeds has shown positive results, the use of concentrated seaweed extracts may offer a more targeted and effective method for delivering these valuable bioactive compounds. </w:t>
      </w:r>
      <w:r w:rsidRPr="00604C66">
        <w:rPr>
          <w:rFonts w:ascii="Times New Roman" w:hAnsi="Times New Roman" w:cs="Times New Roman"/>
          <w:szCs w:val="24"/>
        </w:rPr>
        <w:t xml:space="preserve">India holds considerable seaweed resources, with major production areas located in the Gulf of Mannar, Gulf of Kutch, Palk Bay, Lakshadweep and the Andaman &amp; Nicobar Islands. The country produced 72,385 tonnes (wet weight) of seaweed in 2023, primarily </w:t>
      </w:r>
      <w:r w:rsidRPr="00604C66">
        <w:rPr>
          <w:rFonts w:ascii="Times New Roman" w:hAnsi="Times New Roman" w:cs="Times New Roman"/>
          <w:i/>
          <w:iCs/>
          <w:szCs w:val="24"/>
        </w:rPr>
        <w:t xml:space="preserve">K. </w:t>
      </w:r>
      <w:proofErr w:type="spellStart"/>
      <w:r w:rsidRPr="00604C66">
        <w:rPr>
          <w:rFonts w:ascii="Times New Roman" w:hAnsi="Times New Roman" w:cs="Times New Roman"/>
          <w:i/>
          <w:iCs/>
          <w:szCs w:val="24"/>
        </w:rPr>
        <w:t>alvarezii</w:t>
      </w:r>
      <w:proofErr w:type="spellEnd"/>
      <w:r w:rsidRPr="00604C66">
        <w:rPr>
          <w:rFonts w:ascii="Times New Roman" w:hAnsi="Times New Roman" w:cs="Times New Roman"/>
          <w:szCs w:val="24"/>
        </w:rPr>
        <w:t xml:space="preserve"> and </w:t>
      </w:r>
      <w:proofErr w:type="spellStart"/>
      <w:r w:rsidRPr="00604C66">
        <w:rPr>
          <w:rFonts w:ascii="Times New Roman" w:hAnsi="Times New Roman" w:cs="Times New Roman"/>
          <w:i/>
          <w:iCs/>
          <w:szCs w:val="24"/>
        </w:rPr>
        <w:t>Gracilaria</w:t>
      </w:r>
      <w:proofErr w:type="spellEnd"/>
      <w:r w:rsidRPr="00604C66">
        <w:rPr>
          <w:rFonts w:ascii="Times New Roman" w:hAnsi="Times New Roman" w:cs="Times New Roman"/>
          <w:i/>
          <w:iCs/>
          <w:szCs w:val="24"/>
        </w:rPr>
        <w:t xml:space="preserve"> edulis</w:t>
      </w:r>
      <w:r w:rsidRPr="00604C66">
        <w:rPr>
          <w:rFonts w:ascii="Times New Roman" w:hAnsi="Times New Roman" w:cs="Times New Roman"/>
          <w:szCs w:val="24"/>
        </w:rPr>
        <w:t>, most of which is utilized for hydrocolloid industries. Beyond this, seaweed biomass and extracts are increasingly exploited in food, biofertilizers, pharmaceuticals, cosmetics, animal feed</w:t>
      </w:r>
      <w:r w:rsidR="00EF2CE8">
        <w:rPr>
          <w:rFonts w:ascii="Times New Roman" w:hAnsi="Times New Roman" w:cs="Times New Roman"/>
          <w:szCs w:val="24"/>
        </w:rPr>
        <w:t xml:space="preserve"> </w:t>
      </w:r>
      <w:r w:rsidRPr="00604C66">
        <w:rPr>
          <w:rFonts w:ascii="Times New Roman" w:hAnsi="Times New Roman" w:cs="Times New Roman"/>
          <w:szCs w:val="24"/>
        </w:rPr>
        <w:t>and emerging bioenergy solutions, aligning well with the objectives of a circular and sustainable bioeconomy</w:t>
      </w:r>
      <w:r w:rsidR="00832941">
        <w:rPr>
          <w:rFonts w:ascii="Times New Roman" w:hAnsi="Times New Roman" w:cs="Times New Roman"/>
          <w:szCs w:val="24"/>
        </w:rPr>
        <w:t xml:space="preserve"> (</w:t>
      </w:r>
      <w:r w:rsidR="00832941" w:rsidRPr="0047721A">
        <w:rPr>
          <w:rFonts w:ascii="Times New Roman" w:hAnsi="Times New Roman" w:cs="Times New Roman"/>
          <w:szCs w:val="24"/>
        </w:rPr>
        <w:t>CMFRI</w:t>
      </w:r>
      <w:r w:rsidR="00832941">
        <w:rPr>
          <w:rFonts w:ascii="Times New Roman" w:hAnsi="Times New Roman" w:cs="Times New Roman"/>
          <w:szCs w:val="24"/>
        </w:rPr>
        <w:t>, 2023)</w:t>
      </w:r>
      <w:r w:rsidRPr="00604C66">
        <w:rPr>
          <w:rFonts w:ascii="Times New Roman" w:hAnsi="Times New Roman" w:cs="Times New Roman"/>
          <w:szCs w:val="24"/>
        </w:rPr>
        <w:t>.</w:t>
      </w:r>
      <w:r>
        <w:rPr>
          <w:rFonts w:ascii="Times New Roman" w:hAnsi="Times New Roman" w:cs="Times New Roman"/>
          <w:szCs w:val="24"/>
        </w:rPr>
        <w:t xml:space="preserve"> </w:t>
      </w:r>
    </w:p>
    <w:p w14:paraId="4E8BCC76" w14:textId="1081D460" w:rsidR="00604C66" w:rsidRDefault="00604C66" w:rsidP="00604C66">
      <w:pPr>
        <w:spacing w:line="240" w:lineRule="auto"/>
        <w:ind w:firstLine="720"/>
        <w:jc w:val="both"/>
        <w:rPr>
          <w:rFonts w:ascii="Times New Roman" w:hAnsi="Times New Roman" w:cs="Times New Roman"/>
          <w:szCs w:val="24"/>
        </w:rPr>
      </w:pPr>
      <w:r w:rsidRPr="00DD7FA8">
        <w:rPr>
          <w:rFonts w:ascii="Times New Roman" w:hAnsi="Times New Roman" w:cs="Times New Roman"/>
          <w:szCs w:val="24"/>
        </w:rPr>
        <w:t>In modern aquaculture, the strategic analysis of haematological parameters has become an indispensable tool for monitoring and managing fish populations</w:t>
      </w:r>
      <w:r w:rsidR="00E43117">
        <w:rPr>
          <w:rFonts w:ascii="Times New Roman" w:hAnsi="Times New Roman" w:cs="Times New Roman"/>
          <w:szCs w:val="24"/>
        </w:rPr>
        <w:t xml:space="preserve"> </w:t>
      </w:r>
      <w:r w:rsidR="00E43117">
        <w:rPr>
          <w:rFonts w:ascii="Times New Roman" w:hAnsi="Times New Roman" w:cs="Times New Roman"/>
          <w:szCs w:val="24"/>
        </w:rPr>
        <w:t>(</w:t>
      </w:r>
      <w:r w:rsidR="00E43117" w:rsidRPr="00E43117">
        <w:rPr>
          <w:rFonts w:ascii="Times New Roman" w:hAnsi="Times New Roman" w:cs="Times New Roman"/>
          <w:szCs w:val="24"/>
        </w:rPr>
        <w:t>Chen &amp; Luo</w:t>
      </w:r>
      <w:r w:rsidR="00E43117">
        <w:rPr>
          <w:rFonts w:ascii="Times New Roman" w:hAnsi="Times New Roman" w:cs="Times New Roman"/>
          <w:szCs w:val="24"/>
        </w:rPr>
        <w:t>, 2023)</w:t>
      </w:r>
      <w:r w:rsidRPr="00DD7FA8">
        <w:rPr>
          <w:rFonts w:ascii="Times New Roman" w:hAnsi="Times New Roman" w:cs="Times New Roman"/>
          <w:szCs w:val="24"/>
        </w:rPr>
        <w:t>. Blood parameters serve as critical and highly sensitive indicators of a fish's overall health, nutritional status</w:t>
      </w:r>
      <w:r w:rsidR="00EF2CE8">
        <w:rPr>
          <w:rFonts w:ascii="Times New Roman" w:hAnsi="Times New Roman" w:cs="Times New Roman"/>
          <w:szCs w:val="24"/>
        </w:rPr>
        <w:t xml:space="preserve"> </w:t>
      </w:r>
      <w:r w:rsidRPr="00DD7FA8">
        <w:rPr>
          <w:rFonts w:ascii="Times New Roman" w:hAnsi="Times New Roman" w:cs="Times New Roman"/>
          <w:szCs w:val="24"/>
        </w:rPr>
        <w:t>and physiological response to environmental stressors</w:t>
      </w:r>
      <w:r w:rsidR="00E43117">
        <w:rPr>
          <w:rFonts w:ascii="Times New Roman" w:hAnsi="Times New Roman" w:cs="Times New Roman"/>
          <w:szCs w:val="24"/>
        </w:rPr>
        <w:t xml:space="preserve"> (</w:t>
      </w:r>
      <w:r w:rsidR="00E43117" w:rsidRPr="00E43117">
        <w:rPr>
          <w:rFonts w:ascii="Times New Roman" w:hAnsi="Times New Roman" w:cs="Times New Roman"/>
          <w:szCs w:val="24"/>
        </w:rPr>
        <w:t>Esmaeili</w:t>
      </w:r>
      <w:r w:rsidR="00E43117">
        <w:rPr>
          <w:rFonts w:ascii="Times New Roman" w:hAnsi="Times New Roman" w:cs="Times New Roman"/>
          <w:szCs w:val="24"/>
        </w:rPr>
        <w:t>, 2021)</w:t>
      </w:r>
      <w:r w:rsidRPr="00DD7FA8">
        <w:rPr>
          <w:rFonts w:ascii="Times New Roman" w:hAnsi="Times New Roman" w:cs="Times New Roman"/>
          <w:szCs w:val="24"/>
        </w:rPr>
        <w:t>. Consequently, deviations in blood composition, including cellular components and serum biochemistry, serve as powerful diagnostic and prognostic tools, often revealing sub-clinical stress or disease states before overt physical signs manifest</w:t>
      </w:r>
      <w:r w:rsidR="00E43117">
        <w:rPr>
          <w:rFonts w:ascii="Times New Roman" w:hAnsi="Times New Roman" w:cs="Times New Roman"/>
          <w:szCs w:val="24"/>
        </w:rPr>
        <w:t xml:space="preserve"> (</w:t>
      </w:r>
      <w:proofErr w:type="spellStart"/>
      <w:r w:rsidR="00E43117" w:rsidRPr="00E43117">
        <w:rPr>
          <w:rFonts w:ascii="Times New Roman" w:hAnsi="Times New Roman" w:cs="Times New Roman"/>
          <w:szCs w:val="24"/>
        </w:rPr>
        <w:t>Witeska</w:t>
      </w:r>
      <w:proofErr w:type="spellEnd"/>
      <w:r w:rsidR="00E43117">
        <w:rPr>
          <w:rFonts w:ascii="Times New Roman" w:hAnsi="Times New Roman" w:cs="Times New Roman"/>
          <w:szCs w:val="24"/>
        </w:rPr>
        <w:t xml:space="preserve"> et al. 2023)</w:t>
      </w:r>
      <w:r w:rsidRPr="00DD7FA8">
        <w:rPr>
          <w:rFonts w:ascii="Times New Roman" w:hAnsi="Times New Roman" w:cs="Times New Roman"/>
          <w:szCs w:val="24"/>
        </w:rPr>
        <w:t>.</w:t>
      </w:r>
      <w:r>
        <w:rPr>
          <w:rFonts w:ascii="Times New Roman" w:hAnsi="Times New Roman" w:cs="Times New Roman"/>
          <w:szCs w:val="24"/>
        </w:rPr>
        <w:t xml:space="preserve"> </w:t>
      </w:r>
      <w:r w:rsidRPr="00491E62">
        <w:rPr>
          <w:rFonts w:ascii="Times New Roman" w:hAnsi="Times New Roman" w:cs="Times New Roman"/>
          <w:szCs w:val="24"/>
        </w:rPr>
        <w:t>Although earlier studies have highlighted the benefits of algal extracts in aquaculture</w:t>
      </w:r>
      <w:r w:rsidR="00E43117">
        <w:rPr>
          <w:rFonts w:ascii="Times New Roman" w:hAnsi="Times New Roman" w:cs="Times New Roman"/>
          <w:szCs w:val="24"/>
        </w:rPr>
        <w:t xml:space="preserve"> (</w:t>
      </w:r>
      <w:r w:rsidR="00B56BBF" w:rsidRPr="00E43117">
        <w:rPr>
          <w:rFonts w:ascii="Times New Roman" w:hAnsi="Times New Roman" w:cs="Times New Roman"/>
          <w:szCs w:val="24"/>
        </w:rPr>
        <w:t>Hasan</w:t>
      </w:r>
      <w:r w:rsidR="00B56BBF">
        <w:rPr>
          <w:rFonts w:ascii="Times New Roman" w:hAnsi="Times New Roman" w:cs="Times New Roman"/>
          <w:szCs w:val="24"/>
        </w:rPr>
        <w:t xml:space="preserve"> </w:t>
      </w:r>
      <w:r w:rsidR="00B56BBF" w:rsidRPr="00E43117">
        <w:rPr>
          <w:rFonts w:ascii="Times New Roman" w:hAnsi="Times New Roman" w:cs="Times New Roman"/>
          <w:szCs w:val="24"/>
        </w:rPr>
        <w:t>&amp; Chakrabarti</w:t>
      </w:r>
      <w:r w:rsidRPr="00491E62">
        <w:rPr>
          <w:rFonts w:ascii="Times New Roman" w:hAnsi="Times New Roman" w:cs="Times New Roman"/>
          <w:szCs w:val="24"/>
        </w:rPr>
        <w:t>,</w:t>
      </w:r>
      <w:r w:rsidR="00B56BBF">
        <w:rPr>
          <w:rFonts w:ascii="Times New Roman" w:hAnsi="Times New Roman" w:cs="Times New Roman"/>
          <w:szCs w:val="24"/>
        </w:rPr>
        <w:t xml:space="preserve"> 2009;</w:t>
      </w:r>
      <w:r w:rsidRPr="00491E62">
        <w:rPr>
          <w:rFonts w:ascii="Times New Roman" w:hAnsi="Times New Roman" w:cs="Times New Roman"/>
          <w:szCs w:val="24"/>
        </w:rPr>
        <w:t xml:space="preserve"> </w:t>
      </w:r>
      <w:r w:rsidR="00B56BBF" w:rsidRPr="00B56BBF">
        <w:rPr>
          <w:rFonts w:ascii="Times New Roman" w:hAnsi="Times New Roman" w:cs="Times New Roman"/>
          <w:szCs w:val="24"/>
        </w:rPr>
        <w:t>Ma</w:t>
      </w:r>
      <w:r w:rsidR="00B56BBF">
        <w:rPr>
          <w:rFonts w:ascii="Times New Roman" w:hAnsi="Times New Roman" w:cs="Times New Roman"/>
          <w:szCs w:val="24"/>
        </w:rPr>
        <w:t xml:space="preserve"> </w:t>
      </w:r>
      <w:r w:rsidR="00B56BBF" w:rsidRPr="00B56BBF">
        <w:rPr>
          <w:rFonts w:ascii="Times New Roman" w:hAnsi="Times New Roman" w:cs="Times New Roman"/>
          <w:szCs w:val="24"/>
        </w:rPr>
        <w:t>&amp; Hu,</w:t>
      </w:r>
      <w:r w:rsidR="00B56BBF">
        <w:rPr>
          <w:rFonts w:ascii="Times New Roman" w:hAnsi="Times New Roman" w:cs="Times New Roman"/>
          <w:szCs w:val="24"/>
        </w:rPr>
        <w:t xml:space="preserve"> </w:t>
      </w:r>
      <w:r w:rsidR="00B56BBF" w:rsidRPr="00B56BBF">
        <w:rPr>
          <w:rFonts w:ascii="Times New Roman" w:hAnsi="Times New Roman" w:cs="Times New Roman"/>
          <w:szCs w:val="24"/>
        </w:rPr>
        <w:t>2024)</w:t>
      </w:r>
      <w:r w:rsidR="00B56BBF">
        <w:rPr>
          <w:rFonts w:ascii="Times New Roman" w:hAnsi="Times New Roman" w:cs="Times New Roman"/>
          <w:szCs w:val="24"/>
        </w:rPr>
        <w:t xml:space="preserve"> </w:t>
      </w:r>
      <w:r w:rsidRPr="00491E62">
        <w:rPr>
          <w:rFonts w:ascii="Times New Roman" w:hAnsi="Times New Roman" w:cs="Times New Roman"/>
          <w:szCs w:val="24"/>
        </w:rPr>
        <w:t xml:space="preserve">there remains a critical lack of systematic, dose-dependent evaluation of </w:t>
      </w:r>
      <w:r w:rsidRPr="00491E62">
        <w:rPr>
          <w:rFonts w:ascii="Times New Roman" w:hAnsi="Times New Roman" w:cs="Times New Roman"/>
          <w:i/>
          <w:iCs/>
          <w:szCs w:val="24"/>
        </w:rPr>
        <w:t xml:space="preserve">K. </w:t>
      </w:r>
      <w:proofErr w:type="spellStart"/>
      <w:r w:rsidRPr="00491E62">
        <w:rPr>
          <w:rFonts w:ascii="Times New Roman" w:hAnsi="Times New Roman" w:cs="Times New Roman"/>
          <w:i/>
          <w:iCs/>
          <w:szCs w:val="24"/>
        </w:rPr>
        <w:t>alvarezii</w:t>
      </w:r>
      <w:proofErr w:type="spellEnd"/>
      <w:r w:rsidRPr="00491E62">
        <w:rPr>
          <w:rFonts w:ascii="Times New Roman" w:hAnsi="Times New Roman" w:cs="Times New Roman"/>
          <w:szCs w:val="24"/>
        </w:rPr>
        <w:t xml:space="preserve">  as a functional dietary supplement for </w:t>
      </w:r>
      <w:r w:rsidRPr="00491E62">
        <w:rPr>
          <w:rFonts w:ascii="Times New Roman" w:hAnsi="Times New Roman" w:cs="Times New Roman"/>
          <w:i/>
          <w:iCs/>
          <w:szCs w:val="24"/>
        </w:rPr>
        <w:t xml:space="preserve">L. </w:t>
      </w:r>
      <w:proofErr w:type="spellStart"/>
      <w:r w:rsidRPr="00491E62">
        <w:rPr>
          <w:rFonts w:ascii="Times New Roman" w:hAnsi="Times New Roman" w:cs="Times New Roman"/>
          <w:i/>
          <w:iCs/>
          <w:szCs w:val="24"/>
        </w:rPr>
        <w:t>rohita</w:t>
      </w:r>
      <w:proofErr w:type="spellEnd"/>
      <w:r w:rsidRPr="00491E62">
        <w:rPr>
          <w:rFonts w:ascii="Times New Roman" w:hAnsi="Times New Roman" w:cs="Times New Roman"/>
          <w:szCs w:val="24"/>
        </w:rPr>
        <w:t>. Establishing an optimal inclusion level is essential for commercial adoption, particularly for small- and medium-scale farmers seeking affordable nutritional strategies that improve productivity and fish health.</w:t>
      </w:r>
      <w:r>
        <w:rPr>
          <w:rFonts w:ascii="Times New Roman" w:hAnsi="Times New Roman" w:cs="Times New Roman"/>
          <w:szCs w:val="24"/>
        </w:rPr>
        <w:t xml:space="preserve"> </w:t>
      </w:r>
      <w:r w:rsidR="009443F0" w:rsidRPr="009443F0">
        <w:rPr>
          <w:rFonts w:ascii="Times New Roman" w:hAnsi="Times New Roman" w:cs="Times New Roman"/>
          <w:szCs w:val="24"/>
        </w:rPr>
        <w:t xml:space="preserve">In addition to its physiological benefits, the use of </w:t>
      </w:r>
      <w:r w:rsidR="009443F0" w:rsidRPr="009443F0">
        <w:rPr>
          <w:rFonts w:ascii="Times New Roman" w:hAnsi="Times New Roman" w:cs="Times New Roman"/>
          <w:i/>
          <w:iCs/>
          <w:szCs w:val="24"/>
        </w:rPr>
        <w:t xml:space="preserve">K. </w:t>
      </w:r>
      <w:proofErr w:type="spellStart"/>
      <w:r w:rsidR="009443F0" w:rsidRPr="009443F0">
        <w:rPr>
          <w:rFonts w:ascii="Times New Roman" w:hAnsi="Times New Roman" w:cs="Times New Roman"/>
          <w:i/>
          <w:iCs/>
          <w:szCs w:val="24"/>
        </w:rPr>
        <w:t>alvarezii</w:t>
      </w:r>
      <w:proofErr w:type="spellEnd"/>
      <w:r w:rsidR="009443F0" w:rsidRPr="009443F0">
        <w:rPr>
          <w:rFonts w:ascii="Times New Roman" w:hAnsi="Times New Roman" w:cs="Times New Roman"/>
          <w:szCs w:val="24"/>
        </w:rPr>
        <w:t xml:space="preserve">  holds economic significance as a low-cost, locally available functional feed additive with the potential to reduce dependence on expensive conventional feed ingredients. Its application may enhance farm-level profitability and supports the development of sustainable feed formulation strategies in aquaculture</w:t>
      </w:r>
      <w:r w:rsidR="00027003">
        <w:rPr>
          <w:rFonts w:ascii="Times New Roman" w:hAnsi="Times New Roman" w:cs="Times New Roman"/>
          <w:szCs w:val="24"/>
        </w:rPr>
        <w:t xml:space="preserve"> </w:t>
      </w:r>
      <w:r w:rsidR="00027003">
        <w:rPr>
          <w:rFonts w:ascii="Times New Roman" w:hAnsi="Times New Roman" w:cs="Times New Roman"/>
          <w:szCs w:val="24"/>
        </w:rPr>
        <w:t>(</w:t>
      </w:r>
      <w:proofErr w:type="spellStart"/>
      <w:r w:rsidR="00027003" w:rsidRPr="00636C9F">
        <w:rPr>
          <w:rFonts w:ascii="Times New Roman" w:hAnsi="Times New Roman" w:cs="Times New Roman"/>
          <w:szCs w:val="24"/>
        </w:rPr>
        <w:t>Shapawi</w:t>
      </w:r>
      <w:proofErr w:type="spellEnd"/>
      <w:r w:rsidR="00027003">
        <w:rPr>
          <w:rFonts w:ascii="Times New Roman" w:hAnsi="Times New Roman" w:cs="Times New Roman"/>
          <w:szCs w:val="24"/>
        </w:rPr>
        <w:t xml:space="preserve"> </w:t>
      </w:r>
      <w:r w:rsidR="00027003" w:rsidRPr="00636C9F">
        <w:rPr>
          <w:rFonts w:ascii="Times New Roman" w:hAnsi="Times New Roman" w:cs="Times New Roman"/>
          <w:szCs w:val="24"/>
        </w:rPr>
        <w:t xml:space="preserve">&amp; </w:t>
      </w:r>
      <w:proofErr w:type="spellStart"/>
      <w:r w:rsidR="00027003" w:rsidRPr="00636C9F">
        <w:rPr>
          <w:rFonts w:ascii="Times New Roman" w:hAnsi="Times New Roman" w:cs="Times New Roman"/>
          <w:szCs w:val="24"/>
        </w:rPr>
        <w:t>Zamry</w:t>
      </w:r>
      <w:proofErr w:type="spellEnd"/>
      <w:r w:rsidR="00027003" w:rsidRPr="00636C9F">
        <w:rPr>
          <w:rFonts w:ascii="Times New Roman" w:hAnsi="Times New Roman" w:cs="Times New Roman"/>
          <w:szCs w:val="24"/>
        </w:rPr>
        <w:t xml:space="preserve">, </w:t>
      </w:r>
      <w:r w:rsidR="00027003">
        <w:rPr>
          <w:rFonts w:ascii="Times New Roman" w:hAnsi="Times New Roman" w:cs="Times New Roman"/>
          <w:szCs w:val="24"/>
        </w:rPr>
        <w:t>2016)</w:t>
      </w:r>
      <w:r w:rsidR="009443F0" w:rsidRPr="009443F0">
        <w:rPr>
          <w:rFonts w:ascii="Times New Roman" w:hAnsi="Times New Roman" w:cs="Times New Roman"/>
          <w:szCs w:val="24"/>
        </w:rPr>
        <w:t>. Furthermore, scientific validation of such natural supplements provides a foundation for their future incorporation into commercial aquafeed formulations.</w:t>
      </w:r>
      <w:r w:rsidR="004C0C06">
        <w:rPr>
          <w:rFonts w:ascii="Times New Roman" w:hAnsi="Times New Roman" w:cs="Times New Roman"/>
          <w:szCs w:val="24"/>
        </w:rPr>
        <w:t xml:space="preserve"> </w:t>
      </w:r>
      <w:r w:rsidRPr="00491E62">
        <w:rPr>
          <w:rFonts w:ascii="Times New Roman" w:hAnsi="Times New Roman" w:cs="Times New Roman"/>
          <w:szCs w:val="24"/>
        </w:rPr>
        <w:t xml:space="preserve">Therefore, the present study investigates graded dietary inclusion levels of </w:t>
      </w:r>
      <w:r w:rsidRPr="00491E62">
        <w:rPr>
          <w:rFonts w:ascii="Times New Roman" w:hAnsi="Times New Roman" w:cs="Times New Roman"/>
          <w:i/>
          <w:iCs/>
          <w:szCs w:val="24"/>
        </w:rPr>
        <w:t xml:space="preserve">K. </w:t>
      </w:r>
      <w:proofErr w:type="spellStart"/>
      <w:r w:rsidRPr="00491E62">
        <w:rPr>
          <w:rFonts w:ascii="Times New Roman" w:hAnsi="Times New Roman" w:cs="Times New Roman"/>
          <w:i/>
          <w:iCs/>
          <w:szCs w:val="24"/>
        </w:rPr>
        <w:t>alvarezii</w:t>
      </w:r>
      <w:proofErr w:type="spellEnd"/>
      <w:r w:rsidRPr="00491E62">
        <w:rPr>
          <w:rFonts w:ascii="Times New Roman" w:hAnsi="Times New Roman" w:cs="Times New Roman"/>
          <w:szCs w:val="24"/>
        </w:rPr>
        <w:t xml:space="preserve"> sap in the feed of </w:t>
      </w:r>
      <w:r w:rsidRPr="00491E62">
        <w:rPr>
          <w:rFonts w:ascii="Times New Roman" w:hAnsi="Times New Roman" w:cs="Times New Roman"/>
          <w:i/>
          <w:iCs/>
          <w:szCs w:val="24"/>
        </w:rPr>
        <w:t xml:space="preserve">L. </w:t>
      </w:r>
      <w:proofErr w:type="spellStart"/>
      <w:r w:rsidRPr="00491E62">
        <w:rPr>
          <w:rFonts w:ascii="Times New Roman" w:hAnsi="Times New Roman" w:cs="Times New Roman"/>
          <w:i/>
          <w:iCs/>
          <w:szCs w:val="24"/>
        </w:rPr>
        <w:t>rohita</w:t>
      </w:r>
      <w:proofErr w:type="spellEnd"/>
      <w:r w:rsidRPr="00491E62">
        <w:rPr>
          <w:rFonts w:ascii="Times New Roman" w:hAnsi="Times New Roman" w:cs="Times New Roman"/>
          <w:szCs w:val="24"/>
        </w:rPr>
        <w:t xml:space="preserve"> fingerlings.</w:t>
      </w:r>
      <w:r>
        <w:rPr>
          <w:rFonts w:ascii="Times New Roman" w:hAnsi="Times New Roman" w:cs="Times New Roman"/>
          <w:szCs w:val="24"/>
        </w:rPr>
        <w:t xml:space="preserve"> </w:t>
      </w:r>
      <w:r w:rsidRPr="00491E62">
        <w:rPr>
          <w:rFonts w:ascii="Times New Roman" w:hAnsi="Times New Roman" w:cs="Times New Roman"/>
          <w:szCs w:val="24"/>
        </w:rPr>
        <w:t xml:space="preserve"> The objectives were to determine optimum supplementation levels based on </w:t>
      </w:r>
      <w:r w:rsidR="00015A6C" w:rsidRPr="00015A6C">
        <w:rPr>
          <w:rFonts w:ascii="Times New Roman" w:hAnsi="Times New Roman" w:cs="Times New Roman"/>
          <w:szCs w:val="24"/>
        </w:rPr>
        <w:t xml:space="preserve">haematological responses of </w:t>
      </w:r>
      <w:r w:rsidR="00015A6C" w:rsidRPr="00015A6C">
        <w:rPr>
          <w:rFonts w:ascii="Times New Roman" w:hAnsi="Times New Roman" w:cs="Times New Roman"/>
          <w:i/>
          <w:iCs/>
          <w:szCs w:val="24"/>
        </w:rPr>
        <w:t>L</w:t>
      </w:r>
      <w:r w:rsidR="00015A6C">
        <w:rPr>
          <w:rFonts w:ascii="Times New Roman" w:hAnsi="Times New Roman" w:cs="Times New Roman"/>
          <w:i/>
          <w:iCs/>
          <w:szCs w:val="24"/>
        </w:rPr>
        <w:t>.</w:t>
      </w:r>
      <w:r w:rsidR="00015A6C" w:rsidRPr="00015A6C">
        <w:rPr>
          <w:rFonts w:ascii="Times New Roman" w:hAnsi="Times New Roman" w:cs="Times New Roman"/>
          <w:i/>
          <w:iCs/>
          <w:szCs w:val="24"/>
        </w:rPr>
        <w:t xml:space="preserve"> </w:t>
      </w:r>
      <w:proofErr w:type="spellStart"/>
      <w:r w:rsidR="00015A6C" w:rsidRPr="00015A6C">
        <w:rPr>
          <w:rFonts w:ascii="Times New Roman" w:hAnsi="Times New Roman" w:cs="Times New Roman"/>
          <w:i/>
          <w:iCs/>
          <w:szCs w:val="24"/>
        </w:rPr>
        <w:t>rohita</w:t>
      </w:r>
      <w:proofErr w:type="spellEnd"/>
      <w:r w:rsidR="00015A6C" w:rsidRPr="00015A6C">
        <w:rPr>
          <w:rFonts w:ascii="Times New Roman" w:hAnsi="Times New Roman" w:cs="Times New Roman"/>
          <w:szCs w:val="24"/>
        </w:rPr>
        <w:t xml:space="preserve"> over a 60-day feeding trial</w:t>
      </w:r>
      <w:r w:rsidRPr="00491E62">
        <w:rPr>
          <w:rFonts w:ascii="Times New Roman" w:hAnsi="Times New Roman" w:cs="Times New Roman"/>
          <w:szCs w:val="24"/>
        </w:rPr>
        <w:t>.</w:t>
      </w:r>
    </w:p>
    <w:bookmarkEnd w:id="0"/>
    <w:p w14:paraId="642F9AAA" w14:textId="77777777" w:rsidR="00604C66" w:rsidRDefault="00604C66" w:rsidP="00604C66">
      <w:pPr>
        <w:spacing w:line="240" w:lineRule="auto"/>
        <w:ind w:firstLine="720"/>
        <w:jc w:val="both"/>
        <w:rPr>
          <w:rFonts w:ascii="Times New Roman" w:hAnsi="Times New Roman" w:cs="Times New Roman"/>
          <w:szCs w:val="24"/>
        </w:rPr>
      </w:pPr>
    </w:p>
    <w:p w14:paraId="114D56C2" w14:textId="77777777" w:rsidR="00A80C52" w:rsidRPr="00390128" w:rsidRDefault="00C032C3" w:rsidP="00A80C52">
      <w:pPr>
        <w:spacing w:after="0" w:line="240" w:lineRule="auto"/>
        <w:rPr>
          <w:rFonts w:ascii="Times New Roman" w:hAnsi="Times New Roman" w:cs="Times New Roman"/>
          <w:bCs/>
          <w:iCs/>
          <w:szCs w:val="24"/>
        </w:rPr>
      </w:pPr>
      <w:bookmarkStart w:id="1" w:name="_Hlk214872382"/>
      <w:r w:rsidRPr="00390128">
        <w:rPr>
          <w:rFonts w:ascii="Times New Roman" w:hAnsi="Times New Roman" w:cs="Times New Roman"/>
          <w:b/>
          <w:bCs/>
          <w:iCs/>
          <w:szCs w:val="24"/>
        </w:rPr>
        <w:t>MATERIALS AND METHODS</w:t>
      </w:r>
    </w:p>
    <w:p w14:paraId="5F0612A3" w14:textId="1A1667C2" w:rsidR="001C7FDF" w:rsidRDefault="001C7FDF" w:rsidP="001C7FDF">
      <w:pPr>
        <w:ind w:firstLine="720"/>
        <w:jc w:val="both"/>
        <w:rPr>
          <w:rFonts w:ascii="Times New Roman" w:hAnsi="Times New Roman" w:cs="Times New Roman"/>
          <w:szCs w:val="24"/>
        </w:rPr>
      </w:pPr>
      <w:r w:rsidRPr="001C7FDF">
        <w:rPr>
          <w:rFonts w:ascii="Times New Roman" w:hAnsi="Times New Roman" w:cs="Times New Roman"/>
          <w:szCs w:val="24"/>
        </w:rPr>
        <w:t xml:space="preserve">The </w:t>
      </w:r>
      <w:r>
        <w:rPr>
          <w:rFonts w:ascii="Times New Roman" w:hAnsi="Times New Roman" w:cs="Times New Roman"/>
          <w:szCs w:val="24"/>
        </w:rPr>
        <w:t>present study</w:t>
      </w:r>
      <w:r w:rsidRPr="001C7FDF">
        <w:rPr>
          <w:rFonts w:ascii="Times New Roman" w:hAnsi="Times New Roman" w:cs="Times New Roman"/>
          <w:szCs w:val="24"/>
        </w:rPr>
        <w:t xml:space="preserve"> evaluated the effects of </w:t>
      </w:r>
      <w:r w:rsidRPr="001C7FDF">
        <w:rPr>
          <w:rFonts w:ascii="Times New Roman" w:hAnsi="Times New Roman" w:cs="Times New Roman"/>
          <w:i/>
          <w:iCs/>
          <w:szCs w:val="24"/>
        </w:rPr>
        <w:t>K</w:t>
      </w:r>
      <w:r>
        <w:rPr>
          <w:rFonts w:ascii="Times New Roman" w:hAnsi="Times New Roman" w:cs="Times New Roman"/>
          <w:i/>
          <w:iCs/>
          <w:szCs w:val="24"/>
        </w:rPr>
        <w:t>.</w:t>
      </w:r>
      <w:r w:rsidRPr="001C7FDF">
        <w:rPr>
          <w:rFonts w:ascii="Times New Roman" w:hAnsi="Times New Roman" w:cs="Times New Roman"/>
          <w:i/>
          <w:iCs/>
          <w:szCs w:val="24"/>
        </w:rPr>
        <w:t xml:space="preserve"> </w:t>
      </w:r>
      <w:proofErr w:type="spellStart"/>
      <w:r w:rsidRPr="001C7FDF">
        <w:rPr>
          <w:rFonts w:ascii="Times New Roman" w:hAnsi="Times New Roman" w:cs="Times New Roman"/>
          <w:i/>
          <w:iCs/>
          <w:szCs w:val="24"/>
        </w:rPr>
        <w:t>alvarezii</w:t>
      </w:r>
      <w:proofErr w:type="spellEnd"/>
      <w:r w:rsidRPr="001C7FDF">
        <w:rPr>
          <w:rFonts w:ascii="Times New Roman" w:hAnsi="Times New Roman" w:cs="Times New Roman"/>
          <w:szCs w:val="24"/>
        </w:rPr>
        <w:t xml:space="preserve"> sap supplementation on the growth</w:t>
      </w:r>
      <w:r>
        <w:rPr>
          <w:rFonts w:ascii="Times New Roman" w:hAnsi="Times New Roman" w:cs="Times New Roman"/>
          <w:szCs w:val="24"/>
        </w:rPr>
        <w:t xml:space="preserve"> and</w:t>
      </w:r>
      <w:r w:rsidRPr="001C7FDF">
        <w:rPr>
          <w:rFonts w:ascii="Times New Roman" w:hAnsi="Times New Roman" w:cs="Times New Roman"/>
          <w:szCs w:val="24"/>
        </w:rPr>
        <w:t xml:space="preserve"> proximate composition</w:t>
      </w:r>
      <w:r>
        <w:rPr>
          <w:rFonts w:ascii="Times New Roman" w:hAnsi="Times New Roman" w:cs="Times New Roman"/>
          <w:szCs w:val="24"/>
        </w:rPr>
        <w:t xml:space="preserve"> </w:t>
      </w:r>
      <w:r w:rsidRPr="001C7FDF">
        <w:rPr>
          <w:rFonts w:ascii="Times New Roman" w:hAnsi="Times New Roman" w:cs="Times New Roman"/>
          <w:szCs w:val="24"/>
        </w:rPr>
        <w:t xml:space="preserve">parameters of </w:t>
      </w:r>
      <w:r w:rsidR="00D213C6">
        <w:rPr>
          <w:rFonts w:ascii="Times New Roman" w:hAnsi="Times New Roman" w:cs="Times New Roman"/>
          <w:i/>
          <w:iCs/>
          <w:szCs w:val="24"/>
        </w:rPr>
        <w:t xml:space="preserve">L. </w:t>
      </w:r>
      <w:proofErr w:type="spellStart"/>
      <w:r w:rsidR="00D213C6">
        <w:rPr>
          <w:rFonts w:ascii="Times New Roman" w:hAnsi="Times New Roman" w:cs="Times New Roman"/>
          <w:i/>
          <w:iCs/>
          <w:szCs w:val="24"/>
        </w:rPr>
        <w:t>rohita</w:t>
      </w:r>
      <w:proofErr w:type="spellEnd"/>
      <w:r w:rsidR="00D213C6">
        <w:rPr>
          <w:rFonts w:ascii="Times New Roman" w:hAnsi="Times New Roman" w:cs="Times New Roman"/>
          <w:i/>
          <w:iCs/>
          <w:szCs w:val="24"/>
        </w:rPr>
        <w:t xml:space="preserve"> </w:t>
      </w:r>
      <w:r w:rsidRPr="001C7FDF">
        <w:rPr>
          <w:rFonts w:ascii="Times New Roman" w:hAnsi="Times New Roman" w:cs="Times New Roman"/>
          <w:szCs w:val="24"/>
        </w:rPr>
        <w:t xml:space="preserve">fingerlings. The trial was conducted for 60 days at the Aquaculture Research and Seed Unit, College of Fisheries, MPUAT, Udaipur, </w:t>
      </w:r>
      <w:r w:rsidRPr="001C7FDF">
        <w:rPr>
          <w:rFonts w:ascii="Times New Roman" w:hAnsi="Times New Roman" w:cs="Times New Roman"/>
          <w:szCs w:val="24"/>
        </w:rPr>
        <w:lastRenderedPageBreak/>
        <w:t>using fifteen FRP tanks (1 × 1 × 1 m). Tanks were disinfected with potassium permanganate (</w:t>
      </w:r>
      <w:proofErr w:type="spellStart"/>
      <w:r w:rsidRPr="001C7FDF">
        <w:rPr>
          <w:rFonts w:ascii="Times New Roman" w:hAnsi="Times New Roman" w:cs="Times New Roman"/>
          <w:szCs w:val="24"/>
        </w:rPr>
        <w:t>KMnO</w:t>
      </w:r>
      <w:proofErr w:type="spellEnd"/>
      <w:r w:rsidRPr="001C7FDF">
        <w:rPr>
          <w:rFonts w:ascii="Times New Roman" w:hAnsi="Times New Roman" w:cs="Times New Roman"/>
          <w:szCs w:val="24"/>
        </w:rPr>
        <w:t>₄), dried and filled with freshwater prior to stocking. Fingerlings (mean length ~13 cm) sourced from the MPUAT hatchery were acclimated for three days and stocked at a density of 10 fish per tank.</w:t>
      </w:r>
      <w:r>
        <w:rPr>
          <w:rFonts w:ascii="Times New Roman" w:hAnsi="Times New Roman" w:cs="Times New Roman"/>
          <w:szCs w:val="24"/>
        </w:rPr>
        <w:t xml:space="preserve"> </w:t>
      </w:r>
      <w:r w:rsidRPr="001C7FDF">
        <w:rPr>
          <w:rFonts w:ascii="Times New Roman" w:hAnsi="Times New Roman" w:cs="Times New Roman"/>
          <w:szCs w:val="24"/>
        </w:rPr>
        <w:t xml:space="preserve">Five dietary treatments, including a control, were assigned in triplicate: C (0%), T1 (5%), T2 (10%), T3 (15%) and T4 (20%) </w:t>
      </w:r>
      <w:r w:rsidRPr="001C7FDF">
        <w:rPr>
          <w:rFonts w:ascii="Times New Roman" w:hAnsi="Times New Roman" w:cs="Times New Roman"/>
          <w:i/>
          <w:iCs/>
          <w:szCs w:val="24"/>
        </w:rPr>
        <w:t xml:space="preserve">K. </w:t>
      </w:r>
      <w:proofErr w:type="spellStart"/>
      <w:r w:rsidRPr="001C7FDF">
        <w:rPr>
          <w:rFonts w:ascii="Times New Roman" w:hAnsi="Times New Roman" w:cs="Times New Roman"/>
          <w:i/>
          <w:iCs/>
          <w:szCs w:val="24"/>
        </w:rPr>
        <w:t>alvarezii</w:t>
      </w:r>
      <w:proofErr w:type="spellEnd"/>
      <w:r w:rsidRPr="001C7FDF">
        <w:rPr>
          <w:rFonts w:ascii="Times New Roman" w:hAnsi="Times New Roman" w:cs="Times New Roman"/>
          <w:szCs w:val="24"/>
        </w:rPr>
        <w:t xml:space="preserve"> sap. Commercial floating pellets were used as the basal diet. Feed for each treatment was soaked in the respective sap concentration and shade-dried prior to feeding. Fish were fed daily at 4% of body weight for 60 days.</w:t>
      </w:r>
      <w:r>
        <w:rPr>
          <w:rFonts w:ascii="Times New Roman" w:hAnsi="Times New Roman" w:cs="Times New Roman"/>
          <w:szCs w:val="24"/>
        </w:rPr>
        <w:t xml:space="preserve"> </w:t>
      </w:r>
    </w:p>
    <w:p w14:paraId="0705DFF8" w14:textId="47D6B4EF" w:rsidR="00BB2651" w:rsidRPr="00BB2651" w:rsidRDefault="001C7FDF" w:rsidP="003E0099">
      <w:pPr>
        <w:ind w:firstLine="720"/>
        <w:jc w:val="both"/>
        <w:rPr>
          <w:rFonts w:ascii="Times New Roman" w:hAnsi="Times New Roman" w:cs="Times New Roman"/>
          <w:szCs w:val="24"/>
          <w:lang w:val="en-US"/>
        </w:rPr>
      </w:pPr>
      <w:r w:rsidRPr="001C7FDF">
        <w:rPr>
          <w:rFonts w:ascii="Times New Roman" w:hAnsi="Times New Roman" w:cs="Times New Roman"/>
          <w:szCs w:val="24"/>
        </w:rPr>
        <w:t>Water quality was monitored fortnightly throughout the experiment. Temperature, pH, electrical conductivity (EC), dissolved oxygen (DO)</w:t>
      </w:r>
      <w:r w:rsidR="00EC196B">
        <w:rPr>
          <w:rFonts w:ascii="Times New Roman" w:hAnsi="Times New Roman" w:cs="Times New Roman"/>
          <w:szCs w:val="24"/>
        </w:rPr>
        <w:t xml:space="preserve"> </w:t>
      </w:r>
      <w:r w:rsidRPr="001C7FDF">
        <w:rPr>
          <w:rFonts w:ascii="Times New Roman" w:hAnsi="Times New Roman" w:cs="Times New Roman"/>
          <w:szCs w:val="24"/>
        </w:rPr>
        <w:t xml:space="preserve">and total dissolved solids (TDS) were measured using a HACH multi-parameter </w:t>
      </w:r>
      <w:proofErr w:type="spellStart"/>
      <w:r w:rsidRPr="001C7FDF">
        <w:rPr>
          <w:rFonts w:ascii="Times New Roman" w:hAnsi="Times New Roman" w:cs="Times New Roman"/>
          <w:szCs w:val="24"/>
        </w:rPr>
        <w:t>analyzer</w:t>
      </w:r>
      <w:proofErr w:type="spellEnd"/>
      <w:r w:rsidRPr="001C7FDF">
        <w:rPr>
          <w:rFonts w:ascii="Times New Roman" w:hAnsi="Times New Roman" w:cs="Times New Roman"/>
          <w:szCs w:val="24"/>
        </w:rPr>
        <w:t>. Ammonia-nitrogen, nitrate-nitrogen and orthophosphate concentrations were determined spectrophotometrically (IMPLEN) at 425, 410, and 690 nm, respectively, following APHA (2005) protocols, with values calculated from standard calibration curves.</w:t>
      </w:r>
      <w:r w:rsidR="003E0099">
        <w:rPr>
          <w:rFonts w:ascii="Times New Roman" w:hAnsi="Times New Roman" w:cs="Times New Roman"/>
          <w:szCs w:val="24"/>
        </w:rPr>
        <w:t xml:space="preserve"> </w:t>
      </w:r>
      <w:r w:rsidR="009F6737" w:rsidRPr="009F6737">
        <w:rPr>
          <w:rFonts w:ascii="Times New Roman" w:hAnsi="Times New Roman" w:cs="Times New Roman"/>
          <w:szCs w:val="24"/>
        </w:rPr>
        <w:t xml:space="preserve">Haematological parameters such as, </w:t>
      </w:r>
      <w:r w:rsidR="003E0099">
        <w:rPr>
          <w:rFonts w:ascii="Times New Roman" w:hAnsi="Times New Roman" w:cs="Times New Roman"/>
          <w:szCs w:val="24"/>
        </w:rPr>
        <w:t>W</w:t>
      </w:r>
      <w:r w:rsidR="009F6737" w:rsidRPr="009F6737">
        <w:rPr>
          <w:rFonts w:ascii="Times New Roman" w:hAnsi="Times New Roman" w:cs="Times New Roman"/>
          <w:szCs w:val="24"/>
        </w:rPr>
        <w:t xml:space="preserve">hite </w:t>
      </w:r>
      <w:r w:rsidR="003E0099">
        <w:rPr>
          <w:rFonts w:ascii="Times New Roman" w:hAnsi="Times New Roman" w:cs="Times New Roman"/>
          <w:szCs w:val="24"/>
        </w:rPr>
        <w:t>B</w:t>
      </w:r>
      <w:r w:rsidR="009F6737" w:rsidRPr="009F6737">
        <w:rPr>
          <w:rFonts w:ascii="Times New Roman" w:hAnsi="Times New Roman" w:cs="Times New Roman"/>
          <w:szCs w:val="24"/>
        </w:rPr>
        <w:t xml:space="preserve">lood </w:t>
      </w:r>
      <w:r w:rsidR="003E0099">
        <w:rPr>
          <w:rFonts w:ascii="Times New Roman" w:hAnsi="Times New Roman" w:cs="Times New Roman"/>
          <w:szCs w:val="24"/>
        </w:rPr>
        <w:t>C</w:t>
      </w:r>
      <w:r w:rsidR="009F6737" w:rsidRPr="009F6737">
        <w:rPr>
          <w:rFonts w:ascii="Times New Roman" w:hAnsi="Times New Roman" w:cs="Times New Roman"/>
          <w:szCs w:val="24"/>
        </w:rPr>
        <w:t xml:space="preserve">ell (WBC), </w:t>
      </w:r>
      <w:r w:rsidR="003E0099">
        <w:rPr>
          <w:rFonts w:ascii="Times New Roman" w:hAnsi="Times New Roman" w:cs="Times New Roman"/>
          <w:szCs w:val="24"/>
        </w:rPr>
        <w:t>R</w:t>
      </w:r>
      <w:r w:rsidR="009F6737" w:rsidRPr="009F6737">
        <w:rPr>
          <w:rFonts w:ascii="Times New Roman" w:hAnsi="Times New Roman" w:cs="Times New Roman"/>
          <w:szCs w:val="24"/>
        </w:rPr>
        <w:t xml:space="preserve">ed </w:t>
      </w:r>
      <w:r w:rsidR="003E0099">
        <w:rPr>
          <w:rFonts w:ascii="Times New Roman" w:hAnsi="Times New Roman" w:cs="Times New Roman"/>
          <w:szCs w:val="24"/>
        </w:rPr>
        <w:t>B</w:t>
      </w:r>
      <w:r w:rsidR="009F6737" w:rsidRPr="009F6737">
        <w:rPr>
          <w:rFonts w:ascii="Times New Roman" w:hAnsi="Times New Roman" w:cs="Times New Roman"/>
          <w:szCs w:val="24"/>
        </w:rPr>
        <w:t xml:space="preserve">lood </w:t>
      </w:r>
      <w:r w:rsidR="003E0099">
        <w:rPr>
          <w:rFonts w:ascii="Times New Roman" w:hAnsi="Times New Roman" w:cs="Times New Roman"/>
          <w:szCs w:val="24"/>
        </w:rPr>
        <w:t>C</w:t>
      </w:r>
      <w:r w:rsidR="009F6737" w:rsidRPr="009F6737">
        <w:rPr>
          <w:rFonts w:ascii="Times New Roman" w:hAnsi="Times New Roman" w:cs="Times New Roman"/>
          <w:szCs w:val="24"/>
        </w:rPr>
        <w:t xml:space="preserve">ell (RBC), haemoglobin, platelets, </w:t>
      </w:r>
      <w:r w:rsidR="003E0099">
        <w:rPr>
          <w:rFonts w:ascii="Times New Roman" w:hAnsi="Times New Roman" w:cs="Times New Roman"/>
          <w:szCs w:val="24"/>
        </w:rPr>
        <w:t>M</w:t>
      </w:r>
      <w:r w:rsidR="009F6737" w:rsidRPr="009F6737">
        <w:rPr>
          <w:rFonts w:ascii="Times New Roman" w:hAnsi="Times New Roman" w:cs="Times New Roman"/>
          <w:szCs w:val="24"/>
        </w:rPr>
        <w:t xml:space="preserve">ean </w:t>
      </w:r>
      <w:r w:rsidR="003E0099">
        <w:rPr>
          <w:rFonts w:ascii="Times New Roman" w:hAnsi="Times New Roman" w:cs="Times New Roman"/>
          <w:szCs w:val="24"/>
        </w:rPr>
        <w:t>C</w:t>
      </w:r>
      <w:r w:rsidR="009F6737" w:rsidRPr="009F6737">
        <w:rPr>
          <w:rFonts w:ascii="Times New Roman" w:hAnsi="Times New Roman" w:cs="Times New Roman"/>
          <w:szCs w:val="24"/>
        </w:rPr>
        <w:t xml:space="preserve">orpuscular </w:t>
      </w:r>
      <w:r w:rsidR="003E0099">
        <w:rPr>
          <w:rFonts w:ascii="Times New Roman" w:hAnsi="Times New Roman" w:cs="Times New Roman"/>
          <w:szCs w:val="24"/>
        </w:rPr>
        <w:t>V</w:t>
      </w:r>
      <w:r w:rsidR="009F6737" w:rsidRPr="009F6737">
        <w:rPr>
          <w:rFonts w:ascii="Times New Roman" w:hAnsi="Times New Roman" w:cs="Times New Roman"/>
          <w:szCs w:val="24"/>
        </w:rPr>
        <w:t xml:space="preserve">olume (MCV), </w:t>
      </w:r>
      <w:r w:rsidR="003E0099">
        <w:rPr>
          <w:rFonts w:ascii="Times New Roman" w:hAnsi="Times New Roman" w:cs="Times New Roman"/>
          <w:szCs w:val="24"/>
        </w:rPr>
        <w:t>M</w:t>
      </w:r>
      <w:r w:rsidR="009F6737" w:rsidRPr="009F6737">
        <w:rPr>
          <w:rFonts w:ascii="Times New Roman" w:hAnsi="Times New Roman" w:cs="Times New Roman"/>
          <w:szCs w:val="24"/>
        </w:rPr>
        <w:t xml:space="preserve">ean </w:t>
      </w:r>
      <w:r w:rsidR="003E0099">
        <w:rPr>
          <w:rFonts w:ascii="Times New Roman" w:hAnsi="Times New Roman" w:cs="Times New Roman"/>
          <w:szCs w:val="24"/>
        </w:rPr>
        <w:t>C</w:t>
      </w:r>
      <w:r w:rsidR="009F6737" w:rsidRPr="009F6737">
        <w:rPr>
          <w:rFonts w:ascii="Times New Roman" w:hAnsi="Times New Roman" w:cs="Times New Roman"/>
          <w:szCs w:val="24"/>
        </w:rPr>
        <w:t xml:space="preserve">orpuscular </w:t>
      </w:r>
      <w:r w:rsidR="003E0099">
        <w:rPr>
          <w:rFonts w:ascii="Times New Roman" w:hAnsi="Times New Roman" w:cs="Times New Roman"/>
          <w:szCs w:val="24"/>
        </w:rPr>
        <w:t>H</w:t>
      </w:r>
      <w:r w:rsidR="009F6737" w:rsidRPr="009F6737">
        <w:rPr>
          <w:rFonts w:ascii="Times New Roman" w:hAnsi="Times New Roman" w:cs="Times New Roman"/>
          <w:szCs w:val="24"/>
        </w:rPr>
        <w:t xml:space="preserve">aemoglobin </w:t>
      </w:r>
      <w:r w:rsidR="003E0099">
        <w:rPr>
          <w:rFonts w:ascii="Times New Roman" w:hAnsi="Times New Roman" w:cs="Times New Roman"/>
          <w:szCs w:val="24"/>
        </w:rPr>
        <w:t>C</w:t>
      </w:r>
      <w:r w:rsidR="009F6737" w:rsidRPr="009F6737">
        <w:rPr>
          <w:rFonts w:ascii="Times New Roman" w:hAnsi="Times New Roman" w:cs="Times New Roman"/>
          <w:szCs w:val="24"/>
        </w:rPr>
        <w:t>oncentration (MCHC)</w:t>
      </w:r>
      <w:r w:rsidR="00EC196B">
        <w:rPr>
          <w:rFonts w:ascii="Times New Roman" w:hAnsi="Times New Roman" w:cs="Times New Roman"/>
          <w:szCs w:val="24"/>
        </w:rPr>
        <w:t xml:space="preserve"> </w:t>
      </w:r>
      <w:r w:rsidR="009F6737" w:rsidRPr="009F6737">
        <w:rPr>
          <w:rFonts w:ascii="Times New Roman" w:hAnsi="Times New Roman" w:cs="Times New Roman"/>
          <w:szCs w:val="24"/>
        </w:rPr>
        <w:t xml:space="preserve">and </w:t>
      </w:r>
      <w:proofErr w:type="spellStart"/>
      <w:r w:rsidR="003E0099">
        <w:rPr>
          <w:rFonts w:ascii="Times New Roman" w:hAnsi="Times New Roman" w:cs="Times New Roman"/>
          <w:szCs w:val="24"/>
        </w:rPr>
        <w:t>H</w:t>
      </w:r>
      <w:r w:rsidR="009F6737" w:rsidRPr="009F6737">
        <w:rPr>
          <w:rFonts w:ascii="Times New Roman" w:hAnsi="Times New Roman" w:cs="Times New Roman"/>
          <w:szCs w:val="24"/>
        </w:rPr>
        <w:t>ematocrit</w:t>
      </w:r>
      <w:proofErr w:type="spellEnd"/>
      <w:r w:rsidR="009F6737" w:rsidRPr="009F6737">
        <w:rPr>
          <w:rFonts w:ascii="Times New Roman" w:hAnsi="Times New Roman" w:cs="Times New Roman"/>
          <w:szCs w:val="24"/>
        </w:rPr>
        <w:t xml:space="preserve"> (HCT)of the experimental fish were </w:t>
      </w:r>
      <w:proofErr w:type="spellStart"/>
      <w:r w:rsidR="009F6737" w:rsidRPr="009F6737">
        <w:rPr>
          <w:rFonts w:ascii="Times New Roman" w:hAnsi="Times New Roman" w:cs="Times New Roman"/>
          <w:szCs w:val="24"/>
        </w:rPr>
        <w:t>analyzed</w:t>
      </w:r>
      <w:proofErr w:type="spellEnd"/>
      <w:r w:rsidR="009F6737" w:rsidRPr="009F6737">
        <w:rPr>
          <w:rFonts w:ascii="Times New Roman" w:hAnsi="Times New Roman" w:cs="Times New Roman"/>
          <w:szCs w:val="24"/>
        </w:rPr>
        <w:t xml:space="preserve"> to evaluate the effect of </w:t>
      </w:r>
      <w:r w:rsidR="009F6737" w:rsidRPr="003E0099">
        <w:rPr>
          <w:rFonts w:ascii="Times New Roman" w:hAnsi="Times New Roman" w:cs="Times New Roman"/>
          <w:i/>
          <w:iCs/>
          <w:szCs w:val="24"/>
        </w:rPr>
        <w:t>K</w:t>
      </w:r>
      <w:r w:rsidR="003E0099">
        <w:rPr>
          <w:rFonts w:ascii="Times New Roman" w:hAnsi="Times New Roman" w:cs="Times New Roman"/>
          <w:i/>
          <w:iCs/>
          <w:szCs w:val="24"/>
        </w:rPr>
        <w:t xml:space="preserve">. </w:t>
      </w:r>
      <w:proofErr w:type="spellStart"/>
      <w:r w:rsidR="009F6737" w:rsidRPr="003E0099">
        <w:rPr>
          <w:rFonts w:ascii="Times New Roman" w:hAnsi="Times New Roman" w:cs="Times New Roman"/>
          <w:i/>
          <w:iCs/>
          <w:szCs w:val="24"/>
        </w:rPr>
        <w:t>alvarezii</w:t>
      </w:r>
      <w:proofErr w:type="spellEnd"/>
      <w:r w:rsidR="009F6737" w:rsidRPr="009F6737">
        <w:rPr>
          <w:rFonts w:ascii="Times New Roman" w:hAnsi="Times New Roman" w:cs="Times New Roman"/>
          <w:szCs w:val="24"/>
        </w:rPr>
        <w:t xml:space="preserve"> sap using Automatic Blood Analyser (</w:t>
      </w:r>
      <w:proofErr w:type="spellStart"/>
      <w:r w:rsidR="009F6737" w:rsidRPr="009F6737">
        <w:rPr>
          <w:rFonts w:ascii="Times New Roman" w:hAnsi="Times New Roman" w:cs="Times New Roman"/>
          <w:szCs w:val="24"/>
        </w:rPr>
        <w:t>Exigo</w:t>
      </w:r>
      <w:proofErr w:type="spellEnd"/>
      <w:r w:rsidR="009F6737" w:rsidRPr="009F6737">
        <w:rPr>
          <w:rFonts w:ascii="Times New Roman" w:hAnsi="Times New Roman" w:cs="Times New Roman"/>
          <w:szCs w:val="24"/>
        </w:rPr>
        <w:t>-vet).</w:t>
      </w:r>
      <w:r w:rsidR="00BB2651">
        <w:rPr>
          <w:rFonts w:ascii="Times New Roman" w:hAnsi="Times New Roman" w:cs="Times New Roman"/>
          <w:szCs w:val="24"/>
        </w:rPr>
        <w:t xml:space="preserve"> </w:t>
      </w:r>
      <w:r w:rsidR="00BB2651" w:rsidRPr="00BB2651">
        <w:rPr>
          <w:rFonts w:ascii="Times New Roman" w:hAnsi="Times New Roman" w:cs="Times New Roman"/>
          <w:szCs w:val="24"/>
          <w:lang w:val="en-US"/>
        </w:rPr>
        <w:t xml:space="preserve">Each fish was anaesthetized with clove oil solution before taking blood. The blood was withdrawn from caudal vein using a medical syringe (23 G) previously rinsed with 2.7% EDTA solution. Collected blood samples were fed into the automatic blood </w:t>
      </w:r>
      <w:r w:rsidR="003E0099" w:rsidRPr="00BB2651">
        <w:rPr>
          <w:rFonts w:ascii="Times New Roman" w:hAnsi="Times New Roman" w:cs="Times New Roman"/>
          <w:szCs w:val="24"/>
          <w:lang w:val="en-US"/>
        </w:rPr>
        <w:t>analyzer</w:t>
      </w:r>
      <w:r w:rsidR="00BB2651" w:rsidRPr="00BB2651">
        <w:rPr>
          <w:rFonts w:ascii="Times New Roman" w:hAnsi="Times New Roman" w:cs="Times New Roman"/>
          <w:szCs w:val="24"/>
          <w:lang w:val="en-US"/>
        </w:rPr>
        <w:t xml:space="preserve"> and results displayed on the screen were noted.</w:t>
      </w:r>
      <w:r w:rsidR="00B81332">
        <w:rPr>
          <w:rFonts w:ascii="Times New Roman" w:hAnsi="Times New Roman" w:cs="Times New Roman"/>
          <w:szCs w:val="24"/>
          <w:lang w:val="en-US"/>
        </w:rPr>
        <w:t xml:space="preserve"> </w:t>
      </w:r>
      <w:r w:rsidR="00B81332" w:rsidRPr="00B81332">
        <w:rPr>
          <w:rFonts w:ascii="Times New Roman" w:hAnsi="Times New Roman" w:cs="Times New Roman"/>
          <w:szCs w:val="24"/>
        </w:rPr>
        <w:t>All fish handling and blood sampling procedures were carried out using clove oil anaesthesia to minimize stress, following standard aquaculture research practices.</w:t>
      </w:r>
    </w:p>
    <w:p w14:paraId="076DDE07" w14:textId="77777777" w:rsidR="00205E89" w:rsidRPr="00A80C52" w:rsidRDefault="00C032C3" w:rsidP="00205E89">
      <w:pPr>
        <w:rPr>
          <w:rFonts w:ascii="Times New Roman" w:hAnsi="Times New Roman" w:cs="Times New Roman"/>
          <w:b/>
          <w:bCs/>
          <w:szCs w:val="24"/>
        </w:rPr>
      </w:pPr>
      <w:r w:rsidRPr="00A80C52">
        <w:rPr>
          <w:rFonts w:ascii="Times New Roman" w:hAnsi="Times New Roman" w:cs="Times New Roman"/>
          <w:b/>
          <w:bCs/>
          <w:szCs w:val="24"/>
        </w:rPr>
        <w:t xml:space="preserve">RESULTS </w:t>
      </w:r>
    </w:p>
    <w:p w14:paraId="1CEB571C" w14:textId="77777777" w:rsidR="00205E89" w:rsidRDefault="00205E89" w:rsidP="00205E89">
      <w:pPr>
        <w:rPr>
          <w:rFonts w:ascii="Times New Roman" w:hAnsi="Times New Roman" w:cs="Times New Roman"/>
          <w:b/>
          <w:bCs/>
          <w:szCs w:val="24"/>
        </w:rPr>
      </w:pPr>
      <w:r w:rsidRPr="00205E89">
        <w:rPr>
          <w:rFonts w:ascii="Times New Roman" w:hAnsi="Times New Roman" w:cs="Times New Roman"/>
          <w:b/>
          <w:bCs/>
          <w:szCs w:val="24"/>
        </w:rPr>
        <w:t>Water Quality Parameters</w:t>
      </w:r>
    </w:p>
    <w:p w14:paraId="0B79993A" w14:textId="77777777" w:rsidR="00AD5873" w:rsidRPr="00AD5873" w:rsidRDefault="003E0099" w:rsidP="003E0099">
      <w:pPr>
        <w:ind w:firstLine="720"/>
        <w:jc w:val="both"/>
        <w:rPr>
          <w:rFonts w:ascii="Times New Roman" w:hAnsi="Times New Roman" w:cs="Times New Roman"/>
          <w:szCs w:val="24"/>
        </w:rPr>
      </w:pPr>
      <w:r w:rsidRPr="003E0099">
        <w:rPr>
          <w:rFonts w:ascii="Times New Roman" w:hAnsi="Times New Roman" w:cs="Times New Roman"/>
          <w:szCs w:val="24"/>
        </w:rPr>
        <w:t xml:space="preserve">The </w:t>
      </w:r>
      <w:proofErr w:type="spellStart"/>
      <w:r w:rsidRPr="003E0099">
        <w:rPr>
          <w:rFonts w:ascii="Times New Roman" w:hAnsi="Times New Roman" w:cs="Times New Roman"/>
          <w:szCs w:val="24"/>
        </w:rPr>
        <w:t>physico</w:t>
      </w:r>
      <w:proofErr w:type="spellEnd"/>
      <w:r w:rsidRPr="003E0099">
        <w:rPr>
          <w:rFonts w:ascii="Times New Roman" w:hAnsi="Times New Roman" w:cs="Times New Roman"/>
          <w:szCs w:val="24"/>
        </w:rPr>
        <w:t xml:space="preserve">-chemical parameters monitored during the experiment remained within the optimal ranges recommended for carp culture (Table 1). Water temperature varied between 19.5 and 27.6 °C, with mean values ranging from 23.80 ± 2.36 to 24.00 ± 2.39 °C across treatments. The pH remained slightly alkaline (7.6–7.8), providing a stable and favourable environment for Labeo </w:t>
      </w:r>
      <w:proofErr w:type="spellStart"/>
      <w:r w:rsidRPr="003E0099">
        <w:rPr>
          <w:rFonts w:ascii="Times New Roman" w:hAnsi="Times New Roman" w:cs="Times New Roman"/>
          <w:szCs w:val="24"/>
        </w:rPr>
        <w:t>rohita</w:t>
      </w:r>
      <w:proofErr w:type="spellEnd"/>
      <w:r w:rsidRPr="003E0099">
        <w:rPr>
          <w:rFonts w:ascii="Times New Roman" w:hAnsi="Times New Roman" w:cs="Times New Roman"/>
          <w:szCs w:val="24"/>
        </w:rPr>
        <w:t>. Electrical conductivity (1.936–1.940 mS cm⁻¹) and total dissolved solids (970.6–974.6 mg L⁻¹) showed negligible fluctuations, indicating consistent ionic strength and dissolved solid content throughout the study period. Dissolved oxygen concentrations ranged from 4.3 to 7.7 mg L⁻¹, with mean values between 5.8 ± 0.24 and 6.2 ± 0.11 mg L⁻¹, which were adequate to support normal metabolic and physiological functions. Ammonia-nitrogen levels (0.011–0.021 mg L⁻¹) remained low, while nitrate-nitrogen concentrations (0.63–0.70 mg L⁻¹) were well within safe limits for freshwater aquaculture. Orthophosphate levels averaged 0.038–0.050 mg L⁻¹ and showed minimal variation among treatments, indicating stable nutrient dynamics throughout the experimental period.</w:t>
      </w:r>
    </w:p>
    <w:p w14:paraId="52F8078F" w14:textId="77777777" w:rsidR="00AD5873" w:rsidRPr="009F6737" w:rsidRDefault="00AD5873" w:rsidP="00AD5873">
      <w:pPr>
        <w:jc w:val="both"/>
        <w:rPr>
          <w:rFonts w:ascii="Times New Roman" w:hAnsi="Times New Roman" w:cs="Times New Roman"/>
          <w:b/>
          <w:szCs w:val="24"/>
        </w:rPr>
      </w:pPr>
      <w:r w:rsidRPr="009F6737">
        <w:rPr>
          <w:rFonts w:ascii="Times New Roman" w:hAnsi="Times New Roman" w:cs="Times New Roman"/>
          <w:b/>
          <w:szCs w:val="24"/>
        </w:rPr>
        <w:t>Table 1: Range and Average ± Standard error of selected water quality parameters during the experimental period.</w:t>
      </w:r>
    </w:p>
    <w:tbl>
      <w:tblPr>
        <w:tblW w:w="56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633"/>
        <w:gridCol w:w="1633"/>
        <w:gridCol w:w="1633"/>
        <w:gridCol w:w="1633"/>
        <w:gridCol w:w="1637"/>
      </w:tblGrid>
      <w:tr w:rsidR="00AD5873" w:rsidRPr="009C4E1F" w14:paraId="571D1140" w14:textId="77777777" w:rsidTr="00AD5873">
        <w:trPr>
          <w:trHeight w:val="382"/>
        </w:trPr>
        <w:tc>
          <w:tcPr>
            <w:tcW w:w="963" w:type="pct"/>
            <w:vMerge w:val="restart"/>
          </w:tcPr>
          <w:p w14:paraId="1046C95A" w14:textId="77777777" w:rsidR="00AD5873" w:rsidRPr="009C4E1F" w:rsidRDefault="00AD5873" w:rsidP="00AF5017">
            <w:pPr>
              <w:spacing w:before="60" w:after="60" w:line="240" w:lineRule="auto"/>
              <w:jc w:val="center"/>
              <w:rPr>
                <w:rFonts w:ascii="Times New Roman" w:hAnsi="Times New Roman" w:cs="Times New Roman"/>
                <w:b/>
                <w:bCs/>
                <w:szCs w:val="24"/>
              </w:rPr>
            </w:pPr>
            <w:r w:rsidRPr="009C4E1F">
              <w:rPr>
                <w:rFonts w:ascii="Times New Roman" w:hAnsi="Times New Roman" w:cs="Times New Roman"/>
                <w:b/>
                <w:bCs/>
                <w:szCs w:val="24"/>
              </w:rPr>
              <w:lastRenderedPageBreak/>
              <w:t>Parameters</w:t>
            </w:r>
          </w:p>
        </w:tc>
        <w:tc>
          <w:tcPr>
            <w:tcW w:w="4037" w:type="pct"/>
            <w:gridSpan w:val="5"/>
          </w:tcPr>
          <w:p w14:paraId="06A7315B" w14:textId="77777777" w:rsidR="00AD5873" w:rsidRPr="009C4E1F" w:rsidRDefault="00AD5873" w:rsidP="00AF5017">
            <w:pPr>
              <w:spacing w:before="60" w:after="60" w:line="240" w:lineRule="auto"/>
              <w:jc w:val="center"/>
              <w:rPr>
                <w:rFonts w:ascii="Times New Roman" w:hAnsi="Times New Roman" w:cs="Times New Roman"/>
                <w:b/>
                <w:bCs/>
                <w:szCs w:val="24"/>
              </w:rPr>
            </w:pPr>
            <w:r w:rsidRPr="009C4E1F">
              <w:rPr>
                <w:rFonts w:ascii="Times New Roman" w:hAnsi="Times New Roman" w:cs="Times New Roman"/>
                <w:b/>
                <w:bCs/>
                <w:szCs w:val="24"/>
              </w:rPr>
              <w:t>Treatments</w:t>
            </w:r>
          </w:p>
        </w:tc>
      </w:tr>
      <w:tr w:rsidR="00AD5873" w:rsidRPr="009C4E1F" w14:paraId="27DA8D69" w14:textId="77777777" w:rsidTr="00AD5873">
        <w:trPr>
          <w:trHeight w:val="139"/>
        </w:trPr>
        <w:tc>
          <w:tcPr>
            <w:tcW w:w="963" w:type="pct"/>
            <w:vMerge/>
          </w:tcPr>
          <w:p w14:paraId="112BB000" w14:textId="77777777" w:rsidR="00AD5873" w:rsidRPr="009C4E1F" w:rsidRDefault="00AD5873" w:rsidP="00AF5017">
            <w:pPr>
              <w:spacing w:before="60" w:after="60" w:line="240" w:lineRule="auto"/>
              <w:jc w:val="center"/>
              <w:rPr>
                <w:rFonts w:ascii="Times New Roman" w:hAnsi="Times New Roman" w:cs="Times New Roman"/>
                <w:b/>
                <w:bCs/>
                <w:szCs w:val="24"/>
              </w:rPr>
            </w:pPr>
          </w:p>
        </w:tc>
        <w:tc>
          <w:tcPr>
            <w:tcW w:w="807" w:type="pct"/>
            <w:vAlign w:val="center"/>
          </w:tcPr>
          <w:p w14:paraId="540BAB1E" w14:textId="77777777" w:rsidR="00AD5873" w:rsidRPr="009C4E1F" w:rsidRDefault="00AD5873" w:rsidP="00AF5017">
            <w:pPr>
              <w:spacing w:before="60" w:after="60" w:line="240" w:lineRule="auto"/>
              <w:jc w:val="center"/>
              <w:rPr>
                <w:rFonts w:ascii="Times New Roman" w:hAnsi="Times New Roman" w:cs="Times New Roman"/>
                <w:b/>
                <w:bCs/>
                <w:szCs w:val="24"/>
              </w:rPr>
            </w:pPr>
            <w:r w:rsidRPr="009C4E1F">
              <w:rPr>
                <w:rFonts w:ascii="Times New Roman" w:hAnsi="Times New Roman" w:cs="Times New Roman"/>
                <w:b/>
                <w:bCs/>
                <w:szCs w:val="24"/>
              </w:rPr>
              <w:t>Control</w:t>
            </w:r>
          </w:p>
        </w:tc>
        <w:tc>
          <w:tcPr>
            <w:tcW w:w="807" w:type="pct"/>
            <w:vAlign w:val="center"/>
          </w:tcPr>
          <w:p w14:paraId="5EB083CD" w14:textId="77777777" w:rsidR="00AD5873" w:rsidRPr="009C4E1F" w:rsidRDefault="00AD5873" w:rsidP="00AF5017">
            <w:pPr>
              <w:spacing w:before="60" w:after="60" w:line="240" w:lineRule="auto"/>
              <w:jc w:val="center"/>
              <w:rPr>
                <w:rFonts w:ascii="Times New Roman" w:hAnsi="Times New Roman" w:cs="Times New Roman"/>
                <w:b/>
                <w:bCs/>
                <w:szCs w:val="24"/>
                <w:vertAlign w:val="subscript"/>
              </w:rPr>
            </w:pPr>
            <w:r w:rsidRPr="009C4E1F">
              <w:rPr>
                <w:rFonts w:ascii="Times New Roman" w:hAnsi="Times New Roman" w:cs="Times New Roman"/>
                <w:b/>
                <w:bCs/>
                <w:szCs w:val="24"/>
              </w:rPr>
              <w:t>T</w:t>
            </w:r>
            <w:r w:rsidRPr="009C4E1F">
              <w:rPr>
                <w:rFonts w:ascii="Times New Roman" w:hAnsi="Times New Roman" w:cs="Times New Roman"/>
                <w:b/>
                <w:bCs/>
                <w:szCs w:val="24"/>
                <w:vertAlign w:val="subscript"/>
              </w:rPr>
              <w:t>1</w:t>
            </w:r>
          </w:p>
        </w:tc>
        <w:tc>
          <w:tcPr>
            <w:tcW w:w="807" w:type="pct"/>
            <w:vAlign w:val="center"/>
          </w:tcPr>
          <w:p w14:paraId="34BD2A83" w14:textId="77777777" w:rsidR="00AD5873" w:rsidRPr="009C4E1F" w:rsidRDefault="00AD5873" w:rsidP="00AF5017">
            <w:pPr>
              <w:spacing w:before="60" w:after="60" w:line="240" w:lineRule="auto"/>
              <w:jc w:val="center"/>
              <w:rPr>
                <w:rFonts w:ascii="Times New Roman" w:hAnsi="Times New Roman" w:cs="Times New Roman"/>
                <w:b/>
                <w:bCs/>
                <w:szCs w:val="24"/>
                <w:vertAlign w:val="subscript"/>
              </w:rPr>
            </w:pPr>
            <w:r w:rsidRPr="009C4E1F">
              <w:rPr>
                <w:rFonts w:ascii="Times New Roman" w:hAnsi="Times New Roman" w:cs="Times New Roman"/>
                <w:b/>
                <w:bCs/>
                <w:szCs w:val="24"/>
              </w:rPr>
              <w:t>T</w:t>
            </w:r>
            <w:r w:rsidRPr="009C4E1F">
              <w:rPr>
                <w:rFonts w:ascii="Times New Roman" w:hAnsi="Times New Roman" w:cs="Times New Roman"/>
                <w:b/>
                <w:bCs/>
                <w:szCs w:val="24"/>
                <w:vertAlign w:val="subscript"/>
              </w:rPr>
              <w:t>2</w:t>
            </w:r>
          </w:p>
        </w:tc>
        <w:tc>
          <w:tcPr>
            <w:tcW w:w="807" w:type="pct"/>
            <w:vAlign w:val="center"/>
          </w:tcPr>
          <w:p w14:paraId="5814B1AA" w14:textId="77777777" w:rsidR="00AD5873" w:rsidRPr="009C4E1F" w:rsidRDefault="00AD5873" w:rsidP="00AF5017">
            <w:pPr>
              <w:spacing w:before="60" w:after="60" w:line="240" w:lineRule="auto"/>
              <w:jc w:val="center"/>
              <w:rPr>
                <w:rFonts w:ascii="Times New Roman" w:hAnsi="Times New Roman" w:cs="Times New Roman"/>
                <w:b/>
                <w:bCs/>
                <w:szCs w:val="24"/>
                <w:vertAlign w:val="subscript"/>
              </w:rPr>
            </w:pPr>
            <w:r w:rsidRPr="009C4E1F">
              <w:rPr>
                <w:rFonts w:ascii="Times New Roman" w:hAnsi="Times New Roman" w:cs="Times New Roman"/>
                <w:b/>
                <w:bCs/>
                <w:szCs w:val="24"/>
              </w:rPr>
              <w:t>T</w:t>
            </w:r>
            <w:r w:rsidRPr="009C4E1F">
              <w:rPr>
                <w:rFonts w:ascii="Times New Roman" w:hAnsi="Times New Roman" w:cs="Times New Roman"/>
                <w:b/>
                <w:bCs/>
                <w:szCs w:val="24"/>
                <w:vertAlign w:val="subscript"/>
              </w:rPr>
              <w:t>3</w:t>
            </w:r>
          </w:p>
        </w:tc>
        <w:tc>
          <w:tcPr>
            <w:tcW w:w="807" w:type="pct"/>
            <w:vAlign w:val="center"/>
          </w:tcPr>
          <w:p w14:paraId="2CF0AAF0" w14:textId="77777777" w:rsidR="00AD5873" w:rsidRPr="009C4E1F" w:rsidRDefault="00AD5873" w:rsidP="00AF5017">
            <w:pPr>
              <w:spacing w:before="60" w:after="60" w:line="240" w:lineRule="auto"/>
              <w:jc w:val="center"/>
              <w:rPr>
                <w:rFonts w:ascii="Times New Roman" w:hAnsi="Times New Roman" w:cs="Times New Roman"/>
                <w:b/>
                <w:bCs/>
                <w:szCs w:val="24"/>
                <w:vertAlign w:val="subscript"/>
              </w:rPr>
            </w:pPr>
            <w:r w:rsidRPr="009C4E1F">
              <w:rPr>
                <w:rFonts w:ascii="Times New Roman" w:hAnsi="Times New Roman" w:cs="Times New Roman"/>
                <w:b/>
                <w:bCs/>
                <w:szCs w:val="24"/>
              </w:rPr>
              <w:t>T</w:t>
            </w:r>
            <w:r w:rsidRPr="009C4E1F">
              <w:rPr>
                <w:rFonts w:ascii="Times New Roman" w:hAnsi="Times New Roman" w:cs="Times New Roman"/>
                <w:b/>
                <w:bCs/>
                <w:szCs w:val="24"/>
                <w:vertAlign w:val="subscript"/>
              </w:rPr>
              <w:t>4</w:t>
            </w:r>
          </w:p>
        </w:tc>
      </w:tr>
      <w:tr w:rsidR="00AD5873" w:rsidRPr="009C4E1F" w14:paraId="4DD9BE0E" w14:textId="77777777" w:rsidTr="00AD5873">
        <w:trPr>
          <w:trHeight w:val="962"/>
        </w:trPr>
        <w:tc>
          <w:tcPr>
            <w:tcW w:w="963" w:type="pct"/>
            <w:vAlign w:val="center"/>
          </w:tcPr>
          <w:p w14:paraId="066FAEEB"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Temperature (°C)</w:t>
            </w:r>
          </w:p>
        </w:tc>
        <w:tc>
          <w:tcPr>
            <w:tcW w:w="807" w:type="pct"/>
            <w:vAlign w:val="center"/>
          </w:tcPr>
          <w:p w14:paraId="05962293"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19.6-27.6</w:t>
            </w:r>
          </w:p>
          <w:p w14:paraId="6BB91387"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(23.97±1.04)</w:t>
            </w:r>
          </w:p>
        </w:tc>
        <w:tc>
          <w:tcPr>
            <w:tcW w:w="807" w:type="pct"/>
            <w:vAlign w:val="center"/>
          </w:tcPr>
          <w:p w14:paraId="362F0FBD"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19.6-27.5</w:t>
            </w:r>
          </w:p>
          <w:p w14:paraId="467B9C81"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(23.93±2.42)</w:t>
            </w:r>
          </w:p>
        </w:tc>
        <w:tc>
          <w:tcPr>
            <w:tcW w:w="807" w:type="pct"/>
            <w:vAlign w:val="center"/>
          </w:tcPr>
          <w:p w14:paraId="0F2FC859"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19.7-27.1</w:t>
            </w:r>
          </w:p>
          <w:p w14:paraId="3725BCC0"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(23.98±2.28)</w:t>
            </w:r>
          </w:p>
        </w:tc>
        <w:tc>
          <w:tcPr>
            <w:tcW w:w="807" w:type="pct"/>
            <w:vAlign w:val="center"/>
          </w:tcPr>
          <w:p w14:paraId="3DC6D0FD"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19.6-27.6</w:t>
            </w:r>
          </w:p>
          <w:p w14:paraId="0F4C5F71"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(24.0±2.39)</w:t>
            </w:r>
          </w:p>
        </w:tc>
        <w:tc>
          <w:tcPr>
            <w:tcW w:w="807" w:type="pct"/>
            <w:vAlign w:val="center"/>
          </w:tcPr>
          <w:p w14:paraId="7FF62A3E"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19.5-27.1</w:t>
            </w:r>
          </w:p>
          <w:p w14:paraId="21BF9592"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(23.8±2.36)</w:t>
            </w:r>
          </w:p>
        </w:tc>
      </w:tr>
      <w:tr w:rsidR="00AD5873" w:rsidRPr="009C4E1F" w14:paraId="659F4C26" w14:textId="77777777" w:rsidTr="00AD5873">
        <w:trPr>
          <w:trHeight w:val="707"/>
        </w:trPr>
        <w:tc>
          <w:tcPr>
            <w:tcW w:w="963" w:type="pct"/>
            <w:vAlign w:val="center"/>
          </w:tcPr>
          <w:p w14:paraId="355D0BE2"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pH</w:t>
            </w:r>
          </w:p>
        </w:tc>
        <w:tc>
          <w:tcPr>
            <w:tcW w:w="807" w:type="pct"/>
            <w:vAlign w:val="center"/>
          </w:tcPr>
          <w:p w14:paraId="4D9DAD0D"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7.1-8.1</w:t>
            </w:r>
          </w:p>
          <w:p w14:paraId="35049E4B"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(7.7±0.09)</w:t>
            </w:r>
          </w:p>
        </w:tc>
        <w:tc>
          <w:tcPr>
            <w:tcW w:w="807" w:type="pct"/>
            <w:vAlign w:val="center"/>
          </w:tcPr>
          <w:p w14:paraId="0D398388"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7.3-8.1</w:t>
            </w:r>
          </w:p>
          <w:p w14:paraId="7277BB8A"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(7.7±0.08)</w:t>
            </w:r>
          </w:p>
        </w:tc>
        <w:tc>
          <w:tcPr>
            <w:tcW w:w="807" w:type="pct"/>
            <w:vAlign w:val="center"/>
          </w:tcPr>
          <w:p w14:paraId="766293BE"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7.4-8.0</w:t>
            </w:r>
          </w:p>
          <w:p w14:paraId="3ECACE8B"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(7.7±0.07)</w:t>
            </w:r>
          </w:p>
        </w:tc>
        <w:tc>
          <w:tcPr>
            <w:tcW w:w="807" w:type="pct"/>
            <w:vAlign w:val="center"/>
          </w:tcPr>
          <w:p w14:paraId="05628158"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7.1-8.1</w:t>
            </w:r>
          </w:p>
          <w:p w14:paraId="2F08AE17"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(7.6±0.09)</w:t>
            </w:r>
          </w:p>
        </w:tc>
        <w:tc>
          <w:tcPr>
            <w:tcW w:w="807" w:type="pct"/>
            <w:vAlign w:val="center"/>
          </w:tcPr>
          <w:p w14:paraId="7B0B66C4"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7.4-8.1</w:t>
            </w:r>
          </w:p>
          <w:p w14:paraId="7F72792A"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(7.8±0.07)</w:t>
            </w:r>
          </w:p>
        </w:tc>
      </w:tr>
      <w:tr w:rsidR="00AD5873" w:rsidRPr="009C4E1F" w14:paraId="7052D180" w14:textId="77777777" w:rsidTr="00AD5873">
        <w:trPr>
          <w:trHeight w:val="973"/>
        </w:trPr>
        <w:tc>
          <w:tcPr>
            <w:tcW w:w="963" w:type="pct"/>
            <w:vAlign w:val="center"/>
          </w:tcPr>
          <w:p w14:paraId="2B392C71" w14:textId="51B981CE"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Electrical Conductivity (mS</w:t>
            </w:r>
            <w:r w:rsidR="00C53458">
              <w:rPr>
                <w:rFonts w:ascii="Times New Roman" w:hAnsi="Times New Roman" w:cs="Times New Roman"/>
                <w:szCs w:val="24"/>
              </w:rPr>
              <w:t xml:space="preserve"> </w:t>
            </w:r>
            <w:r w:rsidRPr="009C4E1F">
              <w:rPr>
                <w:rFonts w:ascii="Times New Roman" w:hAnsi="Times New Roman" w:cs="Times New Roman"/>
                <w:szCs w:val="24"/>
              </w:rPr>
              <w:t>cm</w:t>
            </w:r>
            <w:r w:rsidR="00C53458">
              <w:rPr>
                <w:rFonts w:ascii="Times New Roman" w:hAnsi="Times New Roman" w:cs="Times New Roman"/>
                <w:szCs w:val="24"/>
                <w:vertAlign w:val="superscript"/>
              </w:rPr>
              <w:t>-1</w:t>
            </w:r>
            <w:r w:rsidRPr="009C4E1F">
              <w:rPr>
                <w:rFonts w:ascii="Times New Roman" w:hAnsi="Times New Roman" w:cs="Times New Roman"/>
                <w:szCs w:val="24"/>
              </w:rPr>
              <w:t>)</w:t>
            </w:r>
          </w:p>
        </w:tc>
        <w:tc>
          <w:tcPr>
            <w:tcW w:w="807" w:type="pct"/>
            <w:vAlign w:val="center"/>
          </w:tcPr>
          <w:p w14:paraId="4B6AAE56"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1.911-1.963</w:t>
            </w:r>
          </w:p>
          <w:p w14:paraId="56AEF76D"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(1.937±0.01)</w:t>
            </w:r>
          </w:p>
        </w:tc>
        <w:tc>
          <w:tcPr>
            <w:tcW w:w="807" w:type="pct"/>
            <w:vAlign w:val="center"/>
          </w:tcPr>
          <w:p w14:paraId="1156F6CE"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1.911-1.968</w:t>
            </w:r>
          </w:p>
          <w:p w14:paraId="5046E705"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(1.940±0.01)</w:t>
            </w:r>
          </w:p>
        </w:tc>
        <w:tc>
          <w:tcPr>
            <w:tcW w:w="807" w:type="pct"/>
            <w:vAlign w:val="center"/>
          </w:tcPr>
          <w:p w14:paraId="4B198EC5"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1.908-1.962</w:t>
            </w:r>
          </w:p>
          <w:p w14:paraId="2E87013F"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(1.940±0.01)</w:t>
            </w:r>
          </w:p>
        </w:tc>
        <w:tc>
          <w:tcPr>
            <w:tcW w:w="807" w:type="pct"/>
            <w:vAlign w:val="center"/>
          </w:tcPr>
          <w:p w14:paraId="0C479406"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1.907-1.966</w:t>
            </w:r>
          </w:p>
          <w:p w14:paraId="31065E42"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(1.939±0.01)</w:t>
            </w:r>
          </w:p>
        </w:tc>
        <w:tc>
          <w:tcPr>
            <w:tcW w:w="807" w:type="pct"/>
            <w:vAlign w:val="center"/>
          </w:tcPr>
          <w:p w14:paraId="5C5AC6AB"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1.915-1.961</w:t>
            </w:r>
          </w:p>
          <w:p w14:paraId="21846CE8"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(1.936±0.01)</w:t>
            </w:r>
          </w:p>
        </w:tc>
      </w:tr>
      <w:tr w:rsidR="00AD5873" w:rsidRPr="009C4E1F" w14:paraId="6B65E53A" w14:textId="77777777" w:rsidTr="00AD5873">
        <w:trPr>
          <w:trHeight w:val="973"/>
        </w:trPr>
        <w:tc>
          <w:tcPr>
            <w:tcW w:w="963" w:type="pct"/>
            <w:vAlign w:val="center"/>
          </w:tcPr>
          <w:p w14:paraId="343C17CF" w14:textId="2D4DD2A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Total Dissolved Solid (mg</w:t>
            </w:r>
            <w:r w:rsidR="00C53458">
              <w:rPr>
                <w:rFonts w:ascii="Times New Roman" w:hAnsi="Times New Roman" w:cs="Times New Roman"/>
                <w:szCs w:val="24"/>
              </w:rPr>
              <w:t xml:space="preserve"> </w:t>
            </w:r>
            <w:r w:rsidR="00C53458" w:rsidRPr="00C53458">
              <w:rPr>
                <w:rFonts w:ascii="Times New Roman" w:hAnsi="Times New Roman" w:cs="Times New Roman"/>
                <w:szCs w:val="24"/>
              </w:rPr>
              <w:t>L</w:t>
            </w:r>
            <w:r w:rsidR="00C53458">
              <w:rPr>
                <w:rFonts w:ascii="Times New Roman" w:hAnsi="Times New Roman" w:cs="Times New Roman"/>
                <w:szCs w:val="24"/>
                <w:vertAlign w:val="superscript"/>
              </w:rPr>
              <w:t>-1</w:t>
            </w:r>
            <w:r w:rsidRPr="009C4E1F">
              <w:rPr>
                <w:rFonts w:ascii="Times New Roman" w:hAnsi="Times New Roman" w:cs="Times New Roman"/>
                <w:szCs w:val="24"/>
              </w:rPr>
              <w:t>)</w:t>
            </w:r>
          </w:p>
        </w:tc>
        <w:tc>
          <w:tcPr>
            <w:tcW w:w="807" w:type="pct"/>
            <w:vAlign w:val="center"/>
          </w:tcPr>
          <w:p w14:paraId="006A20DE"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958-986</w:t>
            </w:r>
          </w:p>
          <w:p w14:paraId="027B8EC3"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(971.7±3.12)</w:t>
            </w:r>
          </w:p>
        </w:tc>
        <w:tc>
          <w:tcPr>
            <w:tcW w:w="807" w:type="pct"/>
            <w:vAlign w:val="center"/>
          </w:tcPr>
          <w:p w14:paraId="59208576"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962-987</w:t>
            </w:r>
          </w:p>
          <w:p w14:paraId="4FACF52A"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(974.6±2.94)</w:t>
            </w:r>
          </w:p>
        </w:tc>
        <w:tc>
          <w:tcPr>
            <w:tcW w:w="807" w:type="pct"/>
            <w:vAlign w:val="center"/>
          </w:tcPr>
          <w:p w14:paraId="39463010"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957-984</w:t>
            </w:r>
          </w:p>
          <w:p w14:paraId="54AEAD8D"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(974.6±2.80)</w:t>
            </w:r>
          </w:p>
        </w:tc>
        <w:tc>
          <w:tcPr>
            <w:tcW w:w="807" w:type="pct"/>
            <w:vAlign w:val="center"/>
          </w:tcPr>
          <w:p w14:paraId="4C44EEF6"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956-987</w:t>
            </w:r>
          </w:p>
          <w:p w14:paraId="0B902D0F"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(973.7±2.94)</w:t>
            </w:r>
          </w:p>
        </w:tc>
        <w:tc>
          <w:tcPr>
            <w:tcW w:w="807" w:type="pct"/>
            <w:vAlign w:val="center"/>
          </w:tcPr>
          <w:p w14:paraId="351D5C2F"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960-983</w:t>
            </w:r>
          </w:p>
          <w:p w14:paraId="426658B5"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(970.6±2.56)</w:t>
            </w:r>
          </w:p>
        </w:tc>
      </w:tr>
      <w:tr w:rsidR="00AD5873" w:rsidRPr="009C4E1F" w14:paraId="2C1956A7" w14:textId="77777777" w:rsidTr="00AD5873">
        <w:trPr>
          <w:trHeight w:val="707"/>
        </w:trPr>
        <w:tc>
          <w:tcPr>
            <w:tcW w:w="963" w:type="pct"/>
            <w:vAlign w:val="center"/>
          </w:tcPr>
          <w:p w14:paraId="3F17DB3B" w14:textId="1288BC99"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Dissolved Oxygen (</w:t>
            </w:r>
            <w:r w:rsidR="00C53458" w:rsidRPr="009C4E1F">
              <w:rPr>
                <w:rFonts w:ascii="Times New Roman" w:hAnsi="Times New Roman" w:cs="Times New Roman"/>
                <w:szCs w:val="24"/>
              </w:rPr>
              <w:t>mg</w:t>
            </w:r>
            <w:r w:rsidR="00C53458">
              <w:rPr>
                <w:rFonts w:ascii="Times New Roman" w:hAnsi="Times New Roman" w:cs="Times New Roman"/>
                <w:szCs w:val="24"/>
              </w:rPr>
              <w:t xml:space="preserve"> </w:t>
            </w:r>
            <w:r w:rsidR="00C53458" w:rsidRPr="00C53458">
              <w:rPr>
                <w:rFonts w:ascii="Times New Roman" w:hAnsi="Times New Roman" w:cs="Times New Roman"/>
                <w:szCs w:val="24"/>
              </w:rPr>
              <w:t>L</w:t>
            </w:r>
            <w:r w:rsidR="00C53458">
              <w:rPr>
                <w:rFonts w:ascii="Times New Roman" w:hAnsi="Times New Roman" w:cs="Times New Roman"/>
                <w:szCs w:val="24"/>
                <w:vertAlign w:val="superscript"/>
              </w:rPr>
              <w:t>-1</w:t>
            </w:r>
            <w:r w:rsidRPr="009C4E1F">
              <w:rPr>
                <w:rFonts w:ascii="Times New Roman" w:hAnsi="Times New Roman" w:cs="Times New Roman"/>
                <w:szCs w:val="24"/>
              </w:rPr>
              <w:t>)</w:t>
            </w:r>
          </w:p>
        </w:tc>
        <w:tc>
          <w:tcPr>
            <w:tcW w:w="807" w:type="pct"/>
            <w:vAlign w:val="center"/>
          </w:tcPr>
          <w:p w14:paraId="11423556"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4.6-6.8</w:t>
            </w:r>
          </w:p>
          <w:p w14:paraId="3404E1FC"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(5.9±0.20)</w:t>
            </w:r>
          </w:p>
        </w:tc>
        <w:tc>
          <w:tcPr>
            <w:tcW w:w="807" w:type="pct"/>
            <w:vAlign w:val="center"/>
          </w:tcPr>
          <w:p w14:paraId="3A5E4DCC"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4.3-6.7</w:t>
            </w:r>
          </w:p>
          <w:p w14:paraId="4EDB6F5D"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(5.8±0.24)</w:t>
            </w:r>
          </w:p>
        </w:tc>
        <w:tc>
          <w:tcPr>
            <w:tcW w:w="807" w:type="pct"/>
            <w:vAlign w:val="center"/>
          </w:tcPr>
          <w:p w14:paraId="534C1DF9"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4.3-7.7</w:t>
            </w:r>
          </w:p>
          <w:p w14:paraId="2A26B578"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(5.8±0.27)</w:t>
            </w:r>
          </w:p>
        </w:tc>
        <w:tc>
          <w:tcPr>
            <w:tcW w:w="807" w:type="pct"/>
            <w:vAlign w:val="center"/>
          </w:tcPr>
          <w:p w14:paraId="2A0C9888"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5.7-7.7</w:t>
            </w:r>
          </w:p>
          <w:p w14:paraId="40446E60"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(6.2±0.11)</w:t>
            </w:r>
          </w:p>
        </w:tc>
        <w:tc>
          <w:tcPr>
            <w:tcW w:w="807" w:type="pct"/>
            <w:vAlign w:val="center"/>
          </w:tcPr>
          <w:p w14:paraId="1C4B31F8"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5.8-7.3</w:t>
            </w:r>
          </w:p>
          <w:p w14:paraId="0BC8A973"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(6.08±0.13)</w:t>
            </w:r>
          </w:p>
        </w:tc>
      </w:tr>
      <w:tr w:rsidR="00AD5873" w:rsidRPr="009C4E1F" w14:paraId="46AB9259" w14:textId="77777777" w:rsidTr="00AD5873">
        <w:trPr>
          <w:trHeight w:val="973"/>
        </w:trPr>
        <w:tc>
          <w:tcPr>
            <w:tcW w:w="963" w:type="pct"/>
            <w:vAlign w:val="center"/>
          </w:tcPr>
          <w:p w14:paraId="631E0F25" w14:textId="5EE88C5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Ammonia-nitrogen (</w:t>
            </w:r>
            <w:r w:rsidR="00C53458" w:rsidRPr="009C4E1F">
              <w:rPr>
                <w:rFonts w:ascii="Times New Roman" w:hAnsi="Times New Roman" w:cs="Times New Roman"/>
                <w:szCs w:val="24"/>
              </w:rPr>
              <w:t>mg</w:t>
            </w:r>
            <w:r w:rsidR="00C53458">
              <w:rPr>
                <w:rFonts w:ascii="Times New Roman" w:hAnsi="Times New Roman" w:cs="Times New Roman"/>
                <w:szCs w:val="24"/>
              </w:rPr>
              <w:t xml:space="preserve"> </w:t>
            </w:r>
            <w:r w:rsidR="00C53458" w:rsidRPr="00C53458">
              <w:rPr>
                <w:rFonts w:ascii="Times New Roman" w:hAnsi="Times New Roman" w:cs="Times New Roman"/>
                <w:szCs w:val="24"/>
              </w:rPr>
              <w:t>L</w:t>
            </w:r>
            <w:r w:rsidR="00C53458">
              <w:rPr>
                <w:rFonts w:ascii="Times New Roman" w:hAnsi="Times New Roman" w:cs="Times New Roman"/>
                <w:szCs w:val="24"/>
                <w:vertAlign w:val="superscript"/>
              </w:rPr>
              <w:t>-1</w:t>
            </w:r>
            <w:r w:rsidRPr="009C4E1F">
              <w:rPr>
                <w:rFonts w:ascii="Times New Roman" w:hAnsi="Times New Roman" w:cs="Times New Roman"/>
                <w:szCs w:val="24"/>
              </w:rPr>
              <w:t>)</w:t>
            </w:r>
          </w:p>
        </w:tc>
        <w:tc>
          <w:tcPr>
            <w:tcW w:w="807" w:type="pct"/>
            <w:vAlign w:val="center"/>
          </w:tcPr>
          <w:p w14:paraId="1337ED6A"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0.011-0.018</w:t>
            </w:r>
          </w:p>
          <w:p w14:paraId="639BAF5B"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(0.014±0.05)</w:t>
            </w:r>
          </w:p>
        </w:tc>
        <w:tc>
          <w:tcPr>
            <w:tcW w:w="807" w:type="pct"/>
            <w:vAlign w:val="center"/>
          </w:tcPr>
          <w:p w14:paraId="66A32A92"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0.011-0.019</w:t>
            </w:r>
          </w:p>
          <w:p w14:paraId="1CA50E30"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(0.015±0.04)</w:t>
            </w:r>
          </w:p>
        </w:tc>
        <w:tc>
          <w:tcPr>
            <w:tcW w:w="807" w:type="pct"/>
            <w:vAlign w:val="center"/>
          </w:tcPr>
          <w:p w14:paraId="031E178A"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0.011-0.019</w:t>
            </w:r>
          </w:p>
          <w:p w14:paraId="3479C347"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(0.014±0.04)</w:t>
            </w:r>
          </w:p>
        </w:tc>
        <w:tc>
          <w:tcPr>
            <w:tcW w:w="807" w:type="pct"/>
            <w:vAlign w:val="center"/>
          </w:tcPr>
          <w:p w14:paraId="3E4552D6"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0.011-0.019</w:t>
            </w:r>
          </w:p>
          <w:p w14:paraId="0487B6A2"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(0.014±0.04)</w:t>
            </w:r>
          </w:p>
        </w:tc>
        <w:tc>
          <w:tcPr>
            <w:tcW w:w="807" w:type="pct"/>
            <w:vAlign w:val="center"/>
          </w:tcPr>
          <w:p w14:paraId="657624FD"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0.011-0.021</w:t>
            </w:r>
          </w:p>
          <w:p w14:paraId="0075EA56"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(0.014±0.04)</w:t>
            </w:r>
          </w:p>
        </w:tc>
      </w:tr>
      <w:tr w:rsidR="00AD5873" w:rsidRPr="009C4E1F" w14:paraId="6904384F" w14:textId="77777777" w:rsidTr="00AD5873">
        <w:trPr>
          <w:trHeight w:val="707"/>
        </w:trPr>
        <w:tc>
          <w:tcPr>
            <w:tcW w:w="963" w:type="pct"/>
            <w:vAlign w:val="center"/>
          </w:tcPr>
          <w:p w14:paraId="3F1A4783" w14:textId="2B62F49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Nitrate-nitrogen (</w:t>
            </w:r>
            <w:r w:rsidR="00C53458" w:rsidRPr="009C4E1F">
              <w:rPr>
                <w:rFonts w:ascii="Times New Roman" w:hAnsi="Times New Roman" w:cs="Times New Roman"/>
                <w:szCs w:val="24"/>
              </w:rPr>
              <w:t>mg</w:t>
            </w:r>
            <w:r w:rsidR="00C53458">
              <w:rPr>
                <w:rFonts w:ascii="Times New Roman" w:hAnsi="Times New Roman" w:cs="Times New Roman"/>
                <w:szCs w:val="24"/>
              </w:rPr>
              <w:t xml:space="preserve"> </w:t>
            </w:r>
            <w:r w:rsidR="00C53458" w:rsidRPr="00C53458">
              <w:rPr>
                <w:rFonts w:ascii="Times New Roman" w:hAnsi="Times New Roman" w:cs="Times New Roman"/>
                <w:szCs w:val="24"/>
              </w:rPr>
              <w:t>L</w:t>
            </w:r>
            <w:r w:rsidR="00C53458">
              <w:rPr>
                <w:rFonts w:ascii="Times New Roman" w:hAnsi="Times New Roman" w:cs="Times New Roman"/>
                <w:szCs w:val="24"/>
                <w:vertAlign w:val="superscript"/>
              </w:rPr>
              <w:t>-1</w:t>
            </w:r>
            <w:r w:rsidRPr="009C4E1F">
              <w:rPr>
                <w:rFonts w:ascii="Times New Roman" w:hAnsi="Times New Roman" w:cs="Times New Roman"/>
                <w:szCs w:val="24"/>
              </w:rPr>
              <w:t>)</w:t>
            </w:r>
          </w:p>
        </w:tc>
        <w:tc>
          <w:tcPr>
            <w:tcW w:w="807" w:type="pct"/>
            <w:vAlign w:val="center"/>
          </w:tcPr>
          <w:p w14:paraId="6E363019"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0.5-0.8</w:t>
            </w:r>
          </w:p>
          <w:p w14:paraId="2FE0222C"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(0.65±0.03)</w:t>
            </w:r>
          </w:p>
        </w:tc>
        <w:tc>
          <w:tcPr>
            <w:tcW w:w="807" w:type="pct"/>
            <w:vAlign w:val="center"/>
          </w:tcPr>
          <w:p w14:paraId="448BCBD3"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0.5-0.8</w:t>
            </w:r>
          </w:p>
          <w:p w14:paraId="42172F53"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(0.7±0.07)</w:t>
            </w:r>
          </w:p>
        </w:tc>
        <w:tc>
          <w:tcPr>
            <w:tcW w:w="807" w:type="pct"/>
            <w:vAlign w:val="center"/>
          </w:tcPr>
          <w:p w14:paraId="0E7F5C8C"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0.5-0.8</w:t>
            </w:r>
          </w:p>
          <w:p w14:paraId="470E0EB9"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(0.67±0.03)</w:t>
            </w:r>
          </w:p>
        </w:tc>
        <w:tc>
          <w:tcPr>
            <w:tcW w:w="807" w:type="pct"/>
            <w:vAlign w:val="center"/>
          </w:tcPr>
          <w:p w14:paraId="01579AF7"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0.5-0.8</w:t>
            </w:r>
          </w:p>
          <w:p w14:paraId="18E09B59"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(0.63±0.03)</w:t>
            </w:r>
          </w:p>
        </w:tc>
        <w:tc>
          <w:tcPr>
            <w:tcW w:w="807" w:type="pct"/>
            <w:vAlign w:val="center"/>
          </w:tcPr>
          <w:p w14:paraId="7BB45FD9"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0.5-0.8</w:t>
            </w:r>
          </w:p>
          <w:p w14:paraId="51CE0E37"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(0.69±0.05)</w:t>
            </w:r>
          </w:p>
        </w:tc>
      </w:tr>
      <w:tr w:rsidR="00AD5873" w:rsidRPr="009C4E1F" w14:paraId="209A2FD3" w14:textId="77777777" w:rsidTr="00AD5873">
        <w:trPr>
          <w:trHeight w:val="962"/>
        </w:trPr>
        <w:tc>
          <w:tcPr>
            <w:tcW w:w="963" w:type="pct"/>
            <w:vAlign w:val="center"/>
          </w:tcPr>
          <w:p w14:paraId="61F110DB" w14:textId="42C1D199"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Orthophosphate (</w:t>
            </w:r>
            <w:r w:rsidR="00C53458" w:rsidRPr="009C4E1F">
              <w:rPr>
                <w:rFonts w:ascii="Times New Roman" w:hAnsi="Times New Roman" w:cs="Times New Roman"/>
                <w:szCs w:val="24"/>
              </w:rPr>
              <w:t>mg</w:t>
            </w:r>
            <w:r w:rsidR="00C53458">
              <w:rPr>
                <w:rFonts w:ascii="Times New Roman" w:hAnsi="Times New Roman" w:cs="Times New Roman"/>
                <w:szCs w:val="24"/>
              </w:rPr>
              <w:t xml:space="preserve"> </w:t>
            </w:r>
            <w:r w:rsidR="00C53458" w:rsidRPr="00C53458">
              <w:rPr>
                <w:rFonts w:ascii="Times New Roman" w:hAnsi="Times New Roman" w:cs="Times New Roman"/>
                <w:szCs w:val="24"/>
              </w:rPr>
              <w:t>L</w:t>
            </w:r>
            <w:r w:rsidR="00C53458">
              <w:rPr>
                <w:rFonts w:ascii="Times New Roman" w:hAnsi="Times New Roman" w:cs="Times New Roman"/>
                <w:szCs w:val="24"/>
                <w:vertAlign w:val="superscript"/>
              </w:rPr>
              <w:t>-1</w:t>
            </w:r>
            <w:r w:rsidRPr="009C4E1F">
              <w:rPr>
                <w:rFonts w:ascii="Times New Roman" w:hAnsi="Times New Roman" w:cs="Times New Roman"/>
                <w:szCs w:val="24"/>
              </w:rPr>
              <w:t>)</w:t>
            </w:r>
          </w:p>
        </w:tc>
        <w:tc>
          <w:tcPr>
            <w:tcW w:w="807" w:type="pct"/>
            <w:vAlign w:val="center"/>
          </w:tcPr>
          <w:p w14:paraId="78207972"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0.013-0.078</w:t>
            </w:r>
          </w:p>
          <w:p w14:paraId="10E00D18"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(0.038±0.05)</w:t>
            </w:r>
          </w:p>
        </w:tc>
        <w:tc>
          <w:tcPr>
            <w:tcW w:w="807" w:type="pct"/>
            <w:vAlign w:val="center"/>
          </w:tcPr>
          <w:p w14:paraId="7E62FCCD"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0.019-0.059</w:t>
            </w:r>
          </w:p>
          <w:p w14:paraId="36892F52"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(0.038±0.04)</w:t>
            </w:r>
          </w:p>
        </w:tc>
        <w:tc>
          <w:tcPr>
            <w:tcW w:w="807" w:type="pct"/>
            <w:vAlign w:val="center"/>
          </w:tcPr>
          <w:p w14:paraId="47E93787"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0.019-0.074</w:t>
            </w:r>
          </w:p>
          <w:p w14:paraId="59040E9B"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(0.043±0.03)</w:t>
            </w:r>
          </w:p>
        </w:tc>
        <w:tc>
          <w:tcPr>
            <w:tcW w:w="807" w:type="pct"/>
            <w:vAlign w:val="center"/>
          </w:tcPr>
          <w:p w14:paraId="0BB144FA"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0.019-0.093</w:t>
            </w:r>
          </w:p>
          <w:p w14:paraId="2AAFD72E"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(0.049±0.05)</w:t>
            </w:r>
          </w:p>
        </w:tc>
        <w:tc>
          <w:tcPr>
            <w:tcW w:w="807" w:type="pct"/>
            <w:vAlign w:val="center"/>
          </w:tcPr>
          <w:p w14:paraId="36DEC791"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0.019-0.099</w:t>
            </w:r>
          </w:p>
          <w:p w14:paraId="1B9AE6EF"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(0.050±0.04)</w:t>
            </w:r>
          </w:p>
        </w:tc>
      </w:tr>
    </w:tbl>
    <w:p w14:paraId="562972B0" w14:textId="77777777" w:rsidR="00AD5873" w:rsidRDefault="00AD5873" w:rsidP="00205E89">
      <w:pPr>
        <w:rPr>
          <w:rFonts w:ascii="Times New Roman" w:hAnsi="Times New Roman" w:cs="Times New Roman"/>
          <w:szCs w:val="24"/>
        </w:rPr>
      </w:pPr>
    </w:p>
    <w:p w14:paraId="0F21BD41" w14:textId="77777777" w:rsidR="009F6737" w:rsidRPr="009C4E1F" w:rsidRDefault="009F6737" w:rsidP="009F6737">
      <w:pPr>
        <w:spacing w:line="360" w:lineRule="auto"/>
        <w:jc w:val="both"/>
        <w:rPr>
          <w:rFonts w:ascii="Times New Roman" w:hAnsi="Times New Roman" w:cs="Times New Roman"/>
          <w:b/>
          <w:bCs/>
          <w:szCs w:val="24"/>
        </w:rPr>
      </w:pPr>
      <w:r w:rsidRPr="009C4E1F">
        <w:rPr>
          <w:rFonts w:ascii="Times New Roman" w:hAnsi="Times New Roman" w:cs="Times New Roman"/>
          <w:b/>
          <w:bCs/>
          <w:szCs w:val="24"/>
        </w:rPr>
        <w:t>Haematological parameters:</w:t>
      </w:r>
    </w:p>
    <w:p w14:paraId="7F1C1483" w14:textId="673C2DDC" w:rsidR="00C53458" w:rsidRPr="00C53458" w:rsidRDefault="009F6737" w:rsidP="00C53458">
      <w:pPr>
        <w:tabs>
          <w:tab w:val="left" w:pos="1066"/>
        </w:tabs>
        <w:jc w:val="both"/>
        <w:rPr>
          <w:rFonts w:ascii="Times New Roman" w:hAnsi="Times New Roman" w:cs="Times New Roman"/>
          <w:szCs w:val="24"/>
        </w:rPr>
      </w:pPr>
      <w:r>
        <w:rPr>
          <w:rFonts w:ascii="Times New Roman" w:hAnsi="Times New Roman" w:cs="Times New Roman"/>
          <w:szCs w:val="24"/>
        </w:rPr>
        <w:tab/>
      </w:r>
      <w:r w:rsidR="00C53458" w:rsidRPr="00C53458">
        <w:rPr>
          <w:rFonts w:ascii="Times New Roman" w:hAnsi="Times New Roman" w:cs="Times New Roman"/>
          <w:szCs w:val="24"/>
        </w:rPr>
        <w:t>The haematological parameters assessed at the end of the feeding trial are presented in Table 2. A significant difference (p &lt; 0.05) was observed across all treatment groups compared with the control. The white blood cell (WBC) count showed a modest but statistically significant increase in the T4 group (235.59 × 10³ cells mm⁻³) compared with the control (232.42 × 10³ cells mm⁻³). Similarly, haemoglobin (Hb) concentration increased progressively with increasing dietary inclusion levels, reaching the highest value in T4 (8.36 g%), while the control group exhibited the lowest value (5.82 g%). Red blood cell (RBC) count followed the same trend, with T4 recording the highest value (1.33 × 10⁶ cells mm⁻³) and the control showing the lowest (1.13 × 10⁶ cells mm⁻³). Platelet (PLT) count increased significantly with supplementation, with the maximum value observed in T4 (62.67 × 10³ cells mm⁻³) compared to the control (41 × 10³ cells mm⁻³).</w:t>
      </w:r>
      <w:r w:rsidR="00C53458" w:rsidRPr="00C53458">
        <w:rPr>
          <w:rFonts w:ascii="Times New Roman" w:hAnsi="Times New Roman" w:cs="Times New Roman"/>
          <w:szCs w:val="24"/>
        </w:rPr>
        <w:t xml:space="preserve"> </w:t>
      </w:r>
      <w:r w:rsidR="00C53458" w:rsidRPr="00C53458">
        <w:rPr>
          <w:rFonts w:ascii="Times New Roman" w:hAnsi="Times New Roman" w:cs="Times New Roman"/>
          <w:szCs w:val="24"/>
        </w:rPr>
        <w:t xml:space="preserve">Among the erythrocyte indices, the mean corpuscular haemoglobin concentration (MCHC) was highest in T4 (29.33 g dL⁻¹) and lowest in the control group (23.3 g dL⁻¹). The mean corpuscular volume (MCV) also exhibited a marked increase in supplemented groups, with the highest value recorded in T4 (213.68 </w:t>
      </w:r>
      <w:proofErr w:type="spellStart"/>
      <w:r w:rsidR="00C53458" w:rsidRPr="00C53458">
        <w:rPr>
          <w:rFonts w:ascii="Times New Roman" w:hAnsi="Times New Roman" w:cs="Times New Roman"/>
          <w:szCs w:val="24"/>
        </w:rPr>
        <w:t>fL</w:t>
      </w:r>
      <w:proofErr w:type="spellEnd"/>
      <w:r w:rsidR="00C53458" w:rsidRPr="00C53458">
        <w:rPr>
          <w:rFonts w:ascii="Times New Roman" w:hAnsi="Times New Roman" w:cs="Times New Roman"/>
          <w:szCs w:val="24"/>
        </w:rPr>
        <w:t xml:space="preserve">), whereas the control showed the lowest value (118.6 </w:t>
      </w:r>
      <w:proofErr w:type="spellStart"/>
      <w:r w:rsidR="00C53458" w:rsidRPr="00C53458">
        <w:rPr>
          <w:rFonts w:ascii="Times New Roman" w:hAnsi="Times New Roman" w:cs="Times New Roman"/>
          <w:szCs w:val="24"/>
        </w:rPr>
        <w:t>fL</w:t>
      </w:r>
      <w:proofErr w:type="spellEnd"/>
      <w:r w:rsidR="00C53458" w:rsidRPr="00C53458">
        <w:rPr>
          <w:rFonts w:ascii="Times New Roman" w:hAnsi="Times New Roman" w:cs="Times New Roman"/>
          <w:szCs w:val="24"/>
        </w:rPr>
        <w:t xml:space="preserve">). ANOVA revealed that all evaluated haematological </w:t>
      </w:r>
      <w:r w:rsidR="00C53458" w:rsidRPr="00C53458">
        <w:rPr>
          <w:rFonts w:ascii="Times New Roman" w:hAnsi="Times New Roman" w:cs="Times New Roman"/>
          <w:szCs w:val="24"/>
        </w:rPr>
        <w:lastRenderedPageBreak/>
        <w:t>parameters differed significantly among treatments at the 0.05 probability level (p &lt; 0.05).</w:t>
      </w:r>
      <w:r w:rsidR="00C53458" w:rsidRPr="00C53458">
        <w:rPr>
          <w:rFonts w:ascii="Times New Roman" w:hAnsi="Times New Roman" w:cs="Times New Roman"/>
          <w:szCs w:val="24"/>
        </w:rPr>
        <w:t xml:space="preserve"> </w:t>
      </w:r>
      <w:r w:rsidR="00C53458" w:rsidRPr="00C53458">
        <w:rPr>
          <w:rFonts w:ascii="Times New Roman" w:hAnsi="Times New Roman" w:cs="Times New Roman"/>
          <w:szCs w:val="24"/>
        </w:rPr>
        <w:t xml:space="preserve">Overall, the findings clearly demonstrate that dietary supplementation with </w:t>
      </w:r>
      <w:r w:rsidR="00C53458" w:rsidRPr="00C53458">
        <w:rPr>
          <w:rFonts w:ascii="Times New Roman" w:hAnsi="Times New Roman" w:cs="Times New Roman"/>
          <w:i/>
          <w:iCs/>
          <w:szCs w:val="24"/>
        </w:rPr>
        <w:t>K</w:t>
      </w:r>
      <w:r w:rsidR="00C53458">
        <w:rPr>
          <w:rFonts w:ascii="Times New Roman" w:hAnsi="Times New Roman" w:cs="Times New Roman"/>
          <w:i/>
          <w:iCs/>
          <w:szCs w:val="24"/>
        </w:rPr>
        <w:t>.</w:t>
      </w:r>
      <w:r w:rsidR="00C53458" w:rsidRPr="00C53458">
        <w:rPr>
          <w:rFonts w:ascii="Times New Roman" w:hAnsi="Times New Roman" w:cs="Times New Roman"/>
          <w:i/>
          <w:iCs/>
          <w:szCs w:val="24"/>
        </w:rPr>
        <w:t xml:space="preserve"> </w:t>
      </w:r>
      <w:proofErr w:type="spellStart"/>
      <w:r w:rsidR="00C53458" w:rsidRPr="00C53458">
        <w:rPr>
          <w:rFonts w:ascii="Times New Roman" w:hAnsi="Times New Roman" w:cs="Times New Roman"/>
          <w:i/>
          <w:iCs/>
          <w:szCs w:val="24"/>
        </w:rPr>
        <w:t>alvarezii</w:t>
      </w:r>
      <w:proofErr w:type="spellEnd"/>
      <w:r w:rsidR="00C53458" w:rsidRPr="00C53458">
        <w:rPr>
          <w:rFonts w:ascii="Times New Roman" w:hAnsi="Times New Roman" w:cs="Times New Roman"/>
          <w:szCs w:val="24"/>
        </w:rPr>
        <w:t xml:space="preserve"> sap exerted a positive influence on the haematological profile of </w:t>
      </w:r>
      <w:r w:rsidR="00C53458" w:rsidRPr="00C53458">
        <w:rPr>
          <w:rFonts w:ascii="Times New Roman" w:hAnsi="Times New Roman" w:cs="Times New Roman"/>
          <w:i/>
          <w:iCs/>
          <w:szCs w:val="24"/>
        </w:rPr>
        <w:t>L</w:t>
      </w:r>
      <w:r w:rsidR="00C53458">
        <w:rPr>
          <w:rFonts w:ascii="Times New Roman" w:hAnsi="Times New Roman" w:cs="Times New Roman"/>
          <w:i/>
          <w:iCs/>
          <w:szCs w:val="24"/>
        </w:rPr>
        <w:t>.</w:t>
      </w:r>
      <w:r w:rsidR="00C53458" w:rsidRPr="00C53458">
        <w:rPr>
          <w:rFonts w:ascii="Times New Roman" w:hAnsi="Times New Roman" w:cs="Times New Roman"/>
          <w:i/>
          <w:iCs/>
          <w:szCs w:val="24"/>
        </w:rPr>
        <w:t xml:space="preserve"> </w:t>
      </w:r>
      <w:proofErr w:type="spellStart"/>
      <w:r w:rsidR="00C53458" w:rsidRPr="00C53458">
        <w:rPr>
          <w:rFonts w:ascii="Times New Roman" w:hAnsi="Times New Roman" w:cs="Times New Roman"/>
          <w:i/>
          <w:iCs/>
          <w:szCs w:val="24"/>
        </w:rPr>
        <w:t>rohita</w:t>
      </w:r>
      <w:proofErr w:type="spellEnd"/>
      <w:r w:rsidR="00C53458" w:rsidRPr="00C53458">
        <w:rPr>
          <w:rFonts w:ascii="Times New Roman" w:hAnsi="Times New Roman" w:cs="Times New Roman"/>
          <w:szCs w:val="24"/>
        </w:rPr>
        <w:t xml:space="preserve"> fingerlings. Among the four dietary treatments evaluated, the 20% inclusion level (T4) consistently elicited the strongest haematological responses, suggesting that this level may be optimal for improving physiological condition and immune-related blood indices in the species. These results underscore the potential of seaweed-derived extracts as functional feed additives in aquaculture, particularly for enhancing fish health and haematological stability, with possible applications across a range of finfish and shellfish species.</w:t>
      </w:r>
    </w:p>
    <w:p w14:paraId="1C286B6E" w14:textId="77777777" w:rsidR="00F621ED" w:rsidRDefault="00F621ED" w:rsidP="009F6737">
      <w:pPr>
        <w:tabs>
          <w:tab w:val="left" w:pos="1066"/>
        </w:tabs>
        <w:jc w:val="both"/>
        <w:rPr>
          <w:rFonts w:ascii="Times New Roman" w:hAnsi="Times New Roman" w:cs="Times New Roman"/>
          <w:szCs w:val="24"/>
        </w:rPr>
      </w:pPr>
    </w:p>
    <w:p w14:paraId="55AE1E9F" w14:textId="77777777" w:rsidR="00F621ED" w:rsidRPr="00F621ED" w:rsidRDefault="00F621ED" w:rsidP="00F621ED">
      <w:pPr>
        <w:tabs>
          <w:tab w:val="left" w:pos="313"/>
        </w:tabs>
        <w:jc w:val="both"/>
        <w:rPr>
          <w:rFonts w:ascii="Times New Roman" w:hAnsi="Times New Roman" w:cs="Times New Roman"/>
          <w:b/>
          <w:szCs w:val="24"/>
        </w:rPr>
      </w:pPr>
      <w:r w:rsidRPr="00F621ED">
        <w:rPr>
          <w:rFonts w:ascii="Times New Roman" w:hAnsi="Times New Roman" w:cs="Times New Roman"/>
          <w:b/>
          <w:szCs w:val="24"/>
        </w:rPr>
        <w:t>Table 2. Blood Parameters of experimental fish</w:t>
      </w:r>
    </w:p>
    <w:tbl>
      <w:tblPr>
        <w:tblW w:w="5989" w:type="pct"/>
        <w:tblInd w:w="-885" w:type="dxa"/>
        <w:tblLayout w:type="fixed"/>
        <w:tblLook w:val="04A0" w:firstRow="1" w:lastRow="0" w:firstColumn="1" w:lastColumn="0" w:noHBand="0" w:noVBand="1"/>
      </w:tblPr>
      <w:tblGrid>
        <w:gridCol w:w="1554"/>
        <w:gridCol w:w="1687"/>
        <w:gridCol w:w="1620"/>
        <w:gridCol w:w="1618"/>
        <w:gridCol w:w="1486"/>
        <w:gridCol w:w="1078"/>
        <w:gridCol w:w="946"/>
        <w:gridCol w:w="810"/>
      </w:tblGrid>
      <w:tr w:rsidR="009F6737" w:rsidRPr="009C4E1F" w14:paraId="69E42A32" w14:textId="77777777" w:rsidTr="00F621ED">
        <w:trPr>
          <w:trHeight w:val="530"/>
        </w:trPr>
        <w:tc>
          <w:tcPr>
            <w:tcW w:w="720" w:type="pct"/>
            <w:tcBorders>
              <w:top w:val="single" w:sz="4" w:space="0" w:color="auto"/>
              <w:left w:val="single" w:sz="4" w:space="0" w:color="auto"/>
              <w:bottom w:val="single" w:sz="4" w:space="0" w:color="auto"/>
              <w:right w:val="single" w:sz="4" w:space="0" w:color="auto"/>
            </w:tcBorders>
            <w:noWrap/>
            <w:vAlign w:val="center"/>
            <w:hideMark/>
          </w:tcPr>
          <w:p w14:paraId="13D9946E"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eastAsia="Times New Roman" w:hAnsi="Times New Roman" w:cs="Times New Roman"/>
                <w:b/>
                <w:bCs/>
                <w:color w:val="000000"/>
                <w:szCs w:val="22"/>
              </w:rPr>
              <w:t>Treatments</w:t>
            </w:r>
          </w:p>
        </w:tc>
        <w:tc>
          <w:tcPr>
            <w:tcW w:w="781" w:type="pct"/>
            <w:tcBorders>
              <w:top w:val="single" w:sz="4" w:space="0" w:color="auto"/>
              <w:left w:val="nil"/>
              <w:bottom w:val="single" w:sz="4" w:space="0" w:color="auto"/>
              <w:right w:val="single" w:sz="4" w:space="0" w:color="auto"/>
            </w:tcBorders>
            <w:noWrap/>
            <w:vAlign w:val="center"/>
            <w:hideMark/>
          </w:tcPr>
          <w:p w14:paraId="1D1FEB32"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eastAsia="Times New Roman" w:hAnsi="Times New Roman" w:cs="Times New Roman"/>
                <w:b/>
                <w:bCs/>
                <w:color w:val="000000"/>
                <w:szCs w:val="22"/>
              </w:rPr>
              <w:t>WBC</w:t>
            </w:r>
          </w:p>
          <w:p w14:paraId="16DB5663" w14:textId="77777777" w:rsidR="004515BE" w:rsidRDefault="009F6737" w:rsidP="00D45CB9">
            <w:pPr>
              <w:spacing w:after="0" w:line="240" w:lineRule="auto"/>
              <w:jc w:val="center"/>
              <w:rPr>
                <w:rFonts w:ascii="Times New Roman" w:hAnsi="Times New Roman" w:cs="Times New Roman"/>
                <w:szCs w:val="22"/>
              </w:rPr>
            </w:pPr>
            <w:r w:rsidRPr="00DD5247">
              <w:rPr>
                <w:rFonts w:ascii="Times New Roman" w:hAnsi="Times New Roman" w:cs="Times New Roman"/>
                <w:szCs w:val="22"/>
              </w:rPr>
              <w:t>(10</w:t>
            </w:r>
            <w:r w:rsidRPr="00DD5247">
              <w:rPr>
                <w:rFonts w:ascii="Times New Roman" w:hAnsi="Times New Roman" w:cs="Times New Roman"/>
                <w:szCs w:val="22"/>
              </w:rPr>
              <w:softHyphen/>
            </w:r>
            <w:r w:rsidRPr="00DD5247">
              <w:rPr>
                <w:rFonts w:ascii="Times New Roman" w:hAnsi="Times New Roman" w:cs="Times New Roman"/>
                <w:szCs w:val="22"/>
              </w:rPr>
              <w:softHyphen/>
            </w:r>
            <w:r w:rsidRPr="00DD5247">
              <w:rPr>
                <w:rFonts w:ascii="Times New Roman" w:hAnsi="Times New Roman" w:cs="Times New Roman"/>
                <w:szCs w:val="22"/>
              </w:rPr>
              <w:softHyphen/>
              <w:t>³ cells</w:t>
            </w:r>
            <w:r w:rsidR="004515BE">
              <w:rPr>
                <w:rFonts w:ascii="Times New Roman" w:hAnsi="Times New Roman" w:cs="Times New Roman"/>
                <w:szCs w:val="22"/>
              </w:rPr>
              <w:t xml:space="preserve"> </w:t>
            </w:r>
          </w:p>
          <w:p w14:paraId="6C8EAF95" w14:textId="24EF995D"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hAnsi="Times New Roman" w:cs="Times New Roman"/>
                <w:szCs w:val="22"/>
              </w:rPr>
              <w:t>mm</w:t>
            </w:r>
            <w:r w:rsidR="004515BE">
              <w:rPr>
                <w:rFonts w:ascii="Times New Roman" w:hAnsi="Times New Roman" w:cs="Times New Roman"/>
                <w:szCs w:val="22"/>
                <w:vertAlign w:val="superscript"/>
              </w:rPr>
              <w:t>-</w:t>
            </w:r>
            <w:r w:rsidRPr="00DD5247">
              <w:rPr>
                <w:rFonts w:ascii="Times New Roman" w:hAnsi="Times New Roman" w:cs="Times New Roman"/>
                <w:szCs w:val="22"/>
              </w:rPr>
              <w:t>³)</w:t>
            </w:r>
          </w:p>
        </w:tc>
        <w:tc>
          <w:tcPr>
            <w:tcW w:w="750" w:type="pct"/>
            <w:tcBorders>
              <w:top w:val="single" w:sz="4" w:space="0" w:color="auto"/>
              <w:left w:val="nil"/>
              <w:bottom w:val="single" w:sz="4" w:space="0" w:color="auto"/>
              <w:right w:val="single" w:sz="4" w:space="0" w:color="auto"/>
            </w:tcBorders>
            <w:noWrap/>
            <w:vAlign w:val="center"/>
            <w:hideMark/>
          </w:tcPr>
          <w:p w14:paraId="38F2DFD7"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eastAsia="Times New Roman" w:hAnsi="Times New Roman" w:cs="Times New Roman"/>
                <w:b/>
                <w:bCs/>
                <w:color w:val="000000"/>
                <w:szCs w:val="22"/>
              </w:rPr>
              <w:t>RBC</w:t>
            </w:r>
          </w:p>
          <w:p w14:paraId="50B655AB" w14:textId="77777777" w:rsidR="004515BE" w:rsidRDefault="009F6737" w:rsidP="00D45CB9">
            <w:pPr>
              <w:spacing w:after="0" w:line="240" w:lineRule="auto"/>
              <w:jc w:val="center"/>
              <w:rPr>
                <w:rFonts w:ascii="Times New Roman" w:hAnsi="Times New Roman" w:cs="Times New Roman"/>
                <w:szCs w:val="22"/>
              </w:rPr>
            </w:pPr>
            <w:r w:rsidRPr="00DD5247">
              <w:rPr>
                <w:rFonts w:ascii="Times New Roman" w:hAnsi="Times New Roman" w:cs="Times New Roman"/>
                <w:szCs w:val="22"/>
              </w:rPr>
              <w:t>(10</w:t>
            </w:r>
            <w:r w:rsidRPr="00DD5247">
              <w:rPr>
                <w:rFonts w:ascii="Times New Roman" w:hAnsi="Times New Roman" w:cs="Times New Roman"/>
                <w:szCs w:val="22"/>
              </w:rPr>
              <w:softHyphen/>
            </w:r>
            <w:r w:rsidRPr="00DD5247">
              <w:rPr>
                <w:rFonts w:ascii="Times New Roman" w:hAnsi="Times New Roman" w:cs="Times New Roman"/>
                <w:szCs w:val="22"/>
              </w:rPr>
              <w:softHyphen/>
            </w:r>
            <w:r w:rsidRPr="00DD5247">
              <w:rPr>
                <w:rFonts w:ascii="Times New Roman" w:hAnsi="Times New Roman" w:cs="Times New Roman"/>
                <w:szCs w:val="22"/>
              </w:rPr>
              <w:softHyphen/>
            </w:r>
            <w:r w:rsidRPr="00DD5247">
              <w:rPr>
                <w:rFonts w:ascii="Times New Roman" w:hAnsi="Times New Roman" w:cs="Times New Roman"/>
                <w:szCs w:val="22"/>
                <w:vertAlign w:val="superscript"/>
              </w:rPr>
              <w:t>6</w:t>
            </w:r>
            <w:r w:rsidRPr="00DD5247">
              <w:rPr>
                <w:rFonts w:ascii="Times New Roman" w:hAnsi="Times New Roman" w:cs="Times New Roman"/>
                <w:szCs w:val="22"/>
              </w:rPr>
              <w:t>cells</w:t>
            </w:r>
            <w:r w:rsidR="004515BE">
              <w:rPr>
                <w:rFonts w:ascii="Times New Roman" w:hAnsi="Times New Roman" w:cs="Times New Roman"/>
                <w:szCs w:val="22"/>
              </w:rPr>
              <w:t xml:space="preserve"> </w:t>
            </w:r>
          </w:p>
          <w:p w14:paraId="5882068F" w14:textId="4D0EED67" w:rsidR="009F6737" w:rsidRPr="00DD5247" w:rsidRDefault="004515BE"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hAnsi="Times New Roman" w:cs="Times New Roman"/>
                <w:szCs w:val="22"/>
              </w:rPr>
              <w:t>mm</w:t>
            </w:r>
            <w:r>
              <w:rPr>
                <w:rFonts w:ascii="Times New Roman" w:hAnsi="Times New Roman" w:cs="Times New Roman"/>
                <w:szCs w:val="22"/>
                <w:vertAlign w:val="superscript"/>
              </w:rPr>
              <w:t>-</w:t>
            </w:r>
            <w:r w:rsidRPr="00DD5247">
              <w:rPr>
                <w:rFonts w:ascii="Times New Roman" w:hAnsi="Times New Roman" w:cs="Times New Roman"/>
                <w:szCs w:val="22"/>
              </w:rPr>
              <w:t>³)</w:t>
            </w:r>
          </w:p>
        </w:tc>
        <w:tc>
          <w:tcPr>
            <w:tcW w:w="749" w:type="pct"/>
            <w:tcBorders>
              <w:top w:val="single" w:sz="4" w:space="0" w:color="auto"/>
              <w:left w:val="nil"/>
              <w:bottom w:val="single" w:sz="4" w:space="0" w:color="auto"/>
              <w:right w:val="single" w:sz="4" w:space="0" w:color="auto"/>
            </w:tcBorders>
            <w:noWrap/>
            <w:vAlign w:val="center"/>
            <w:hideMark/>
          </w:tcPr>
          <w:p w14:paraId="0F42726B"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p>
          <w:p w14:paraId="032C3DE1"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p>
          <w:p w14:paraId="534E8D65"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eastAsia="Times New Roman" w:hAnsi="Times New Roman" w:cs="Times New Roman"/>
                <w:b/>
                <w:bCs/>
                <w:color w:val="000000"/>
                <w:szCs w:val="22"/>
              </w:rPr>
              <w:t>Platelets</w:t>
            </w:r>
          </w:p>
          <w:p w14:paraId="01939EDE" w14:textId="77777777" w:rsidR="004515BE" w:rsidRDefault="009F6737" w:rsidP="00D45CB9">
            <w:pPr>
              <w:tabs>
                <w:tab w:val="left" w:pos="313"/>
              </w:tabs>
              <w:spacing w:line="240" w:lineRule="auto"/>
              <w:jc w:val="both"/>
              <w:rPr>
                <w:rFonts w:ascii="Times New Roman" w:hAnsi="Times New Roman" w:cs="Times New Roman"/>
                <w:szCs w:val="22"/>
              </w:rPr>
            </w:pPr>
            <w:r w:rsidRPr="00DD5247">
              <w:rPr>
                <w:rFonts w:ascii="Times New Roman" w:hAnsi="Times New Roman" w:cs="Times New Roman"/>
                <w:szCs w:val="22"/>
              </w:rPr>
              <w:t>(10</w:t>
            </w:r>
            <w:r w:rsidRPr="00DD5247">
              <w:rPr>
                <w:rFonts w:ascii="Times New Roman" w:hAnsi="Times New Roman" w:cs="Times New Roman"/>
                <w:szCs w:val="22"/>
              </w:rPr>
              <w:softHyphen/>
            </w:r>
            <w:r w:rsidRPr="00DD5247">
              <w:rPr>
                <w:rFonts w:ascii="Times New Roman" w:hAnsi="Times New Roman" w:cs="Times New Roman"/>
                <w:szCs w:val="22"/>
              </w:rPr>
              <w:softHyphen/>
            </w:r>
            <w:r w:rsidRPr="00DD5247">
              <w:rPr>
                <w:rFonts w:ascii="Times New Roman" w:hAnsi="Times New Roman" w:cs="Times New Roman"/>
                <w:szCs w:val="22"/>
              </w:rPr>
              <w:softHyphen/>
              <w:t>³ cells</w:t>
            </w:r>
            <w:r w:rsidR="004515BE">
              <w:rPr>
                <w:rFonts w:ascii="Times New Roman" w:hAnsi="Times New Roman" w:cs="Times New Roman"/>
                <w:szCs w:val="22"/>
              </w:rPr>
              <w:t xml:space="preserve"> </w:t>
            </w:r>
          </w:p>
          <w:p w14:paraId="07933F6D" w14:textId="3AA9078E" w:rsidR="009F6737" w:rsidRPr="00DD5247" w:rsidRDefault="004515BE" w:rsidP="00D45CB9">
            <w:pPr>
              <w:tabs>
                <w:tab w:val="left" w:pos="313"/>
              </w:tabs>
              <w:spacing w:line="240" w:lineRule="auto"/>
              <w:jc w:val="both"/>
              <w:rPr>
                <w:rFonts w:ascii="Times New Roman" w:hAnsi="Times New Roman" w:cs="Times New Roman"/>
                <w:szCs w:val="22"/>
              </w:rPr>
            </w:pPr>
            <w:r w:rsidRPr="00DD5247">
              <w:rPr>
                <w:rFonts w:ascii="Times New Roman" w:hAnsi="Times New Roman" w:cs="Times New Roman"/>
                <w:szCs w:val="22"/>
              </w:rPr>
              <w:t>mm</w:t>
            </w:r>
            <w:r>
              <w:rPr>
                <w:rFonts w:ascii="Times New Roman" w:hAnsi="Times New Roman" w:cs="Times New Roman"/>
                <w:szCs w:val="22"/>
                <w:vertAlign w:val="superscript"/>
              </w:rPr>
              <w:t>-</w:t>
            </w:r>
            <w:r w:rsidRPr="00DD5247">
              <w:rPr>
                <w:rFonts w:ascii="Times New Roman" w:hAnsi="Times New Roman" w:cs="Times New Roman"/>
                <w:szCs w:val="22"/>
              </w:rPr>
              <w:t>³)</w:t>
            </w:r>
          </w:p>
          <w:p w14:paraId="36F4FA03"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p>
        </w:tc>
        <w:tc>
          <w:tcPr>
            <w:tcW w:w="688" w:type="pct"/>
            <w:tcBorders>
              <w:top w:val="single" w:sz="4" w:space="0" w:color="auto"/>
              <w:left w:val="nil"/>
              <w:bottom w:val="single" w:sz="4" w:space="0" w:color="auto"/>
              <w:right w:val="single" w:sz="4" w:space="0" w:color="auto"/>
            </w:tcBorders>
            <w:noWrap/>
            <w:vAlign w:val="center"/>
            <w:hideMark/>
          </w:tcPr>
          <w:p w14:paraId="6F280E84"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eastAsia="Times New Roman" w:hAnsi="Times New Roman" w:cs="Times New Roman"/>
                <w:b/>
                <w:bCs/>
                <w:color w:val="000000"/>
                <w:szCs w:val="22"/>
              </w:rPr>
              <w:t xml:space="preserve">Haemoglobin </w:t>
            </w:r>
          </w:p>
          <w:p w14:paraId="6EC1DE74"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hAnsi="Times New Roman" w:cs="Times New Roman"/>
                <w:szCs w:val="22"/>
              </w:rPr>
              <w:t>(gm %)</w:t>
            </w:r>
          </w:p>
          <w:p w14:paraId="1E7FF5C3"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p>
        </w:tc>
        <w:tc>
          <w:tcPr>
            <w:tcW w:w="499" w:type="pct"/>
            <w:tcBorders>
              <w:top w:val="single" w:sz="4" w:space="0" w:color="auto"/>
              <w:left w:val="nil"/>
              <w:bottom w:val="single" w:sz="4" w:space="0" w:color="auto"/>
              <w:right w:val="single" w:sz="4" w:space="0" w:color="auto"/>
            </w:tcBorders>
            <w:noWrap/>
            <w:vAlign w:val="center"/>
            <w:hideMark/>
          </w:tcPr>
          <w:p w14:paraId="2E0409CA"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eastAsia="Times New Roman" w:hAnsi="Times New Roman" w:cs="Times New Roman"/>
                <w:b/>
                <w:bCs/>
                <w:color w:val="000000"/>
                <w:szCs w:val="22"/>
              </w:rPr>
              <w:t>MCHC</w:t>
            </w:r>
          </w:p>
          <w:p w14:paraId="6BF85CF4" w14:textId="45F15EEA" w:rsidR="009F6737" w:rsidRPr="00DD5247" w:rsidRDefault="009F6737" w:rsidP="00D45CB9">
            <w:pPr>
              <w:tabs>
                <w:tab w:val="left" w:pos="313"/>
              </w:tabs>
              <w:spacing w:line="240" w:lineRule="auto"/>
              <w:jc w:val="both"/>
              <w:rPr>
                <w:rFonts w:ascii="Times New Roman" w:hAnsi="Times New Roman" w:cs="Times New Roman"/>
                <w:szCs w:val="22"/>
              </w:rPr>
            </w:pPr>
            <w:r w:rsidRPr="00DD5247">
              <w:rPr>
                <w:rFonts w:ascii="Times New Roman" w:hAnsi="Times New Roman" w:cs="Times New Roman"/>
                <w:szCs w:val="22"/>
              </w:rPr>
              <w:t>(gm</w:t>
            </w:r>
            <w:r w:rsidR="00565826">
              <w:rPr>
                <w:rFonts w:ascii="Times New Roman" w:hAnsi="Times New Roman" w:cs="Times New Roman"/>
                <w:szCs w:val="22"/>
              </w:rPr>
              <w:t xml:space="preserve"> </w:t>
            </w:r>
            <w:r w:rsidRPr="00DD5247">
              <w:rPr>
                <w:rFonts w:ascii="Times New Roman" w:hAnsi="Times New Roman" w:cs="Times New Roman"/>
                <w:szCs w:val="22"/>
              </w:rPr>
              <w:t>dl</w:t>
            </w:r>
            <w:r w:rsidR="00565826">
              <w:rPr>
                <w:rFonts w:ascii="Times New Roman" w:hAnsi="Times New Roman" w:cs="Times New Roman"/>
                <w:szCs w:val="22"/>
                <w:vertAlign w:val="superscript"/>
              </w:rPr>
              <w:t>-1</w:t>
            </w:r>
            <w:r w:rsidRPr="00DD5247">
              <w:rPr>
                <w:rFonts w:ascii="Times New Roman" w:hAnsi="Times New Roman" w:cs="Times New Roman"/>
                <w:szCs w:val="22"/>
              </w:rPr>
              <w:t>)</w:t>
            </w:r>
          </w:p>
          <w:p w14:paraId="3212DCED"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p>
        </w:tc>
        <w:tc>
          <w:tcPr>
            <w:tcW w:w="438" w:type="pct"/>
            <w:tcBorders>
              <w:top w:val="single" w:sz="4" w:space="0" w:color="auto"/>
              <w:left w:val="nil"/>
              <w:bottom w:val="single" w:sz="4" w:space="0" w:color="auto"/>
              <w:right w:val="single" w:sz="4" w:space="0" w:color="auto"/>
            </w:tcBorders>
            <w:noWrap/>
            <w:vAlign w:val="center"/>
            <w:hideMark/>
          </w:tcPr>
          <w:p w14:paraId="18B23350"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eastAsia="Times New Roman" w:hAnsi="Times New Roman" w:cs="Times New Roman"/>
                <w:b/>
                <w:bCs/>
                <w:color w:val="000000"/>
                <w:szCs w:val="22"/>
              </w:rPr>
              <w:t>MCV</w:t>
            </w:r>
          </w:p>
          <w:p w14:paraId="076734EB" w14:textId="7BAC18E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hAnsi="Times New Roman" w:cs="Times New Roman"/>
                <w:szCs w:val="22"/>
              </w:rPr>
              <w:t>(</w:t>
            </w:r>
            <w:proofErr w:type="spellStart"/>
            <w:r w:rsidRPr="00DD5247">
              <w:rPr>
                <w:rFonts w:ascii="Times New Roman" w:hAnsi="Times New Roman" w:cs="Times New Roman"/>
                <w:szCs w:val="22"/>
              </w:rPr>
              <w:t>f</w:t>
            </w:r>
            <w:r w:rsidR="00EF2CE8">
              <w:rPr>
                <w:rFonts w:ascii="Times New Roman" w:hAnsi="Times New Roman" w:cs="Times New Roman"/>
                <w:szCs w:val="22"/>
              </w:rPr>
              <w:t>L</w:t>
            </w:r>
            <w:proofErr w:type="spellEnd"/>
            <w:r w:rsidRPr="00DD5247">
              <w:rPr>
                <w:rFonts w:ascii="Times New Roman" w:hAnsi="Times New Roman" w:cs="Times New Roman"/>
                <w:szCs w:val="22"/>
              </w:rPr>
              <w:t>)</w:t>
            </w:r>
          </w:p>
        </w:tc>
        <w:tc>
          <w:tcPr>
            <w:tcW w:w="375" w:type="pct"/>
            <w:tcBorders>
              <w:top w:val="single" w:sz="4" w:space="0" w:color="auto"/>
              <w:left w:val="nil"/>
              <w:bottom w:val="single" w:sz="4" w:space="0" w:color="auto"/>
              <w:right w:val="single" w:sz="4" w:space="0" w:color="auto"/>
            </w:tcBorders>
            <w:noWrap/>
            <w:vAlign w:val="center"/>
            <w:hideMark/>
          </w:tcPr>
          <w:p w14:paraId="1D65DF55"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eastAsia="Times New Roman" w:hAnsi="Times New Roman" w:cs="Times New Roman"/>
                <w:b/>
                <w:bCs/>
                <w:color w:val="000000"/>
                <w:szCs w:val="22"/>
              </w:rPr>
              <w:t>HCT</w:t>
            </w:r>
          </w:p>
          <w:p w14:paraId="6835900D"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hAnsi="Times New Roman" w:cs="Times New Roman"/>
                <w:szCs w:val="22"/>
              </w:rPr>
              <w:t>(%)</w:t>
            </w:r>
          </w:p>
        </w:tc>
      </w:tr>
      <w:tr w:rsidR="009F6737" w:rsidRPr="009C4E1F" w14:paraId="064A35E0" w14:textId="77777777" w:rsidTr="00F621ED">
        <w:trPr>
          <w:trHeight w:val="449"/>
        </w:trPr>
        <w:tc>
          <w:tcPr>
            <w:tcW w:w="720" w:type="pct"/>
            <w:tcBorders>
              <w:top w:val="nil"/>
              <w:left w:val="single" w:sz="4" w:space="0" w:color="auto"/>
              <w:bottom w:val="single" w:sz="4" w:space="0" w:color="auto"/>
              <w:right w:val="single" w:sz="4" w:space="0" w:color="auto"/>
            </w:tcBorders>
            <w:noWrap/>
            <w:vAlign w:val="center"/>
            <w:hideMark/>
          </w:tcPr>
          <w:p w14:paraId="7133BA72" w14:textId="77777777" w:rsidR="009F6737" w:rsidRPr="00DD5247" w:rsidRDefault="009F6737" w:rsidP="00D45CB9">
            <w:pPr>
              <w:spacing w:after="0" w:line="240" w:lineRule="auto"/>
              <w:jc w:val="center"/>
              <w:rPr>
                <w:rFonts w:ascii="Times New Roman" w:eastAsia="Times New Roman" w:hAnsi="Times New Roman" w:cs="Times New Roman"/>
                <w:color w:val="000000"/>
                <w:szCs w:val="22"/>
              </w:rPr>
            </w:pPr>
            <w:r w:rsidRPr="00DD5247">
              <w:rPr>
                <w:rFonts w:ascii="Times New Roman" w:eastAsia="Times New Roman" w:hAnsi="Times New Roman" w:cs="Times New Roman"/>
                <w:color w:val="000000"/>
                <w:szCs w:val="22"/>
              </w:rPr>
              <w:t>Control</w:t>
            </w:r>
          </w:p>
        </w:tc>
        <w:tc>
          <w:tcPr>
            <w:tcW w:w="781" w:type="pct"/>
            <w:tcBorders>
              <w:top w:val="nil"/>
              <w:left w:val="nil"/>
              <w:bottom w:val="single" w:sz="4" w:space="0" w:color="auto"/>
              <w:right w:val="single" w:sz="4" w:space="0" w:color="auto"/>
            </w:tcBorders>
            <w:noWrap/>
            <w:vAlign w:val="center"/>
            <w:hideMark/>
          </w:tcPr>
          <w:p w14:paraId="68849209" w14:textId="77777777" w:rsidR="009F6737" w:rsidRPr="0046696E"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232.42</w:t>
            </w:r>
            <w:r w:rsidRPr="009C4E1F">
              <w:rPr>
                <w:rFonts w:ascii="Times New Roman" w:hAnsi="Times New Roman" w:cs="Times New Roman"/>
                <w:szCs w:val="24"/>
              </w:rPr>
              <w:t>±</w:t>
            </w:r>
            <w:r>
              <w:rPr>
                <w:rFonts w:ascii="Times New Roman" w:hAnsi="Times New Roman" w:cs="Times New Roman"/>
                <w:szCs w:val="24"/>
              </w:rPr>
              <w:t xml:space="preserve">0.59 </w:t>
            </w:r>
            <w:r>
              <w:rPr>
                <w:rFonts w:ascii="Times New Roman" w:hAnsi="Times New Roman" w:cs="Times New Roman"/>
                <w:szCs w:val="24"/>
                <w:vertAlign w:val="superscript"/>
              </w:rPr>
              <w:t>ab</w:t>
            </w:r>
          </w:p>
        </w:tc>
        <w:tc>
          <w:tcPr>
            <w:tcW w:w="750" w:type="pct"/>
            <w:tcBorders>
              <w:top w:val="nil"/>
              <w:left w:val="nil"/>
              <w:bottom w:val="single" w:sz="4" w:space="0" w:color="auto"/>
              <w:right w:val="single" w:sz="4" w:space="0" w:color="auto"/>
            </w:tcBorders>
            <w:noWrap/>
            <w:vAlign w:val="center"/>
            <w:hideMark/>
          </w:tcPr>
          <w:p w14:paraId="40E34F64" w14:textId="77777777" w:rsidR="009F6737" w:rsidRPr="00DD5247" w:rsidRDefault="009F6737" w:rsidP="00D45CB9">
            <w:pPr>
              <w:spacing w:after="0" w:line="240" w:lineRule="auto"/>
              <w:jc w:val="center"/>
              <w:rPr>
                <w:rFonts w:ascii="Times New Roman" w:eastAsia="Times New Roman" w:hAnsi="Times New Roman" w:cs="Times New Roman"/>
                <w:color w:val="000000"/>
                <w:szCs w:val="22"/>
              </w:rPr>
            </w:pPr>
            <w:r w:rsidRPr="00DD5247">
              <w:rPr>
                <w:rFonts w:ascii="Times New Roman" w:eastAsia="Times New Roman" w:hAnsi="Times New Roman" w:cs="Times New Roman"/>
                <w:color w:val="000000"/>
                <w:szCs w:val="22"/>
              </w:rPr>
              <w:t>1.13</w:t>
            </w:r>
            <w:r w:rsidRPr="009C4E1F">
              <w:rPr>
                <w:rFonts w:ascii="Times New Roman" w:hAnsi="Times New Roman" w:cs="Times New Roman"/>
                <w:szCs w:val="24"/>
              </w:rPr>
              <w:t>±</w:t>
            </w:r>
            <w:r>
              <w:rPr>
                <w:rFonts w:ascii="Times New Roman" w:hAnsi="Times New Roman" w:cs="Times New Roman"/>
                <w:szCs w:val="24"/>
              </w:rPr>
              <w:t xml:space="preserve">0.00 </w:t>
            </w:r>
            <w:r>
              <w:rPr>
                <w:rFonts w:ascii="Times New Roman" w:hAnsi="Times New Roman" w:cs="Times New Roman"/>
                <w:szCs w:val="24"/>
                <w:vertAlign w:val="superscript"/>
              </w:rPr>
              <w:t>a</w:t>
            </w:r>
            <w:r>
              <w:rPr>
                <w:rFonts w:ascii="Times New Roman" w:hAnsi="Times New Roman" w:cs="Times New Roman"/>
                <w:szCs w:val="24"/>
              </w:rPr>
              <w:t xml:space="preserve"> </w:t>
            </w:r>
          </w:p>
        </w:tc>
        <w:tc>
          <w:tcPr>
            <w:tcW w:w="749" w:type="pct"/>
            <w:tcBorders>
              <w:top w:val="nil"/>
              <w:left w:val="nil"/>
              <w:bottom w:val="single" w:sz="4" w:space="0" w:color="auto"/>
              <w:right w:val="single" w:sz="4" w:space="0" w:color="auto"/>
            </w:tcBorders>
            <w:noWrap/>
            <w:vAlign w:val="center"/>
            <w:hideMark/>
          </w:tcPr>
          <w:p w14:paraId="6B698D49" w14:textId="77777777" w:rsidR="009F6737" w:rsidRPr="008D30BE"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41</w:t>
            </w:r>
            <w:r w:rsidRPr="009C4E1F">
              <w:rPr>
                <w:rFonts w:ascii="Times New Roman" w:hAnsi="Times New Roman" w:cs="Times New Roman"/>
                <w:szCs w:val="24"/>
              </w:rPr>
              <w:t>±</w:t>
            </w:r>
            <w:r>
              <w:rPr>
                <w:rFonts w:ascii="Times New Roman" w:hAnsi="Times New Roman" w:cs="Times New Roman"/>
                <w:szCs w:val="24"/>
              </w:rPr>
              <w:t xml:space="preserve">0.57 </w:t>
            </w:r>
            <w:r>
              <w:rPr>
                <w:rFonts w:ascii="Times New Roman" w:hAnsi="Times New Roman" w:cs="Times New Roman"/>
                <w:szCs w:val="24"/>
                <w:vertAlign w:val="superscript"/>
              </w:rPr>
              <w:t>a</w:t>
            </w:r>
          </w:p>
        </w:tc>
        <w:tc>
          <w:tcPr>
            <w:tcW w:w="688" w:type="pct"/>
            <w:tcBorders>
              <w:top w:val="nil"/>
              <w:left w:val="nil"/>
              <w:bottom w:val="single" w:sz="4" w:space="0" w:color="auto"/>
              <w:right w:val="single" w:sz="4" w:space="0" w:color="auto"/>
            </w:tcBorders>
            <w:noWrap/>
            <w:vAlign w:val="center"/>
            <w:hideMark/>
          </w:tcPr>
          <w:p w14:paraId="4B5E212E" w14:textId="77777777" w:rsidR="009F6737" w:rsidRPr="002A425A"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5.82</w:t>
            </w:r>
            <w:r w:rsidRPr="009C4E1F">
              <w:rPr>
                <w:rFonts w:ascii="Times New Roman" w:hAnsi="Times New Roman" w:cs="Times New Roman"/>
                <w:szCs w:val="24"/>
              </w:rPr>
              <w:t>±</w:t>
            </w:r>
            <w:r>
              <w:rPr>
                <w:rFonts w:ascii="Times New Roman" w:hAnsi="Times New Roman" w:cs="Times New Roman"/>
                <w:szCs w:val="24"/>
              </w:rPr>
              <w:t xml:space="preserve">0.27 </w:t>
            </w:r>
            <w:r>
              <w:rPr>
                <w:rFonts w:ascii="Times New Roman" w:hAnsi="Times New Roman" w:cs="Times New Roman"/>
                <w:szCs w:val="24"/>
                <w:vertAlign w:val="superscript"/>
              </w:rPr>
              <w:t>a</w:t>
            </w:r>
          </w:p>
        </w:tc>
        <w:tc>
          <w:tcPr>
            <w:tcW w:w="499" w:type="pct"/>
            <w:tcBorders>
              <w:top w:val="nil"/>
              <w:left w:val="nil"/>
              <w:bottom w:val="single" w:sz="4" w:space="0" w:color="auto"/>
              <w:right w:val="single" w:sz="4" w:space="0" w:color="auto"/>
            </w:tcBorders>
            <w:noWrap/>
            <w:vAlign w:val="center"/>
            <w:hideMark/>
          </w:tcPr>
          <w:p w14:paraId="752BBEB2" w14:textId="77777777" w:rsidR="009F6737" w:rsidRPr="00F6240D"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23.3</w:t>
            </w:r>
            <w:r w:rsidRPr="009C4E1F">
              <w:rPr>
                <w:rFonts w:ascii="Times New Roman" w:hAnsi="Times New Roman" w:cs="Times New Roman"/>
                <w:szCs w:val="24"/>
              </w:rPr>
              <w:t>±</w:t>
            </w:r>
            <w:r>
              <w:rPr>
                <w:rFonts w:ascii="Times New Roman" w:hAnsi="Times New Roman" w:cs="Times New Roman"/>
                <w:szCs w:val="24"/>
              </w:rPr>
              <w:t xml:space="preserve">0.19 </w:t>
            </w:r>
            <w:r>
              <w:rPr>
                <w:rFonts w:ascii="Times New Roman" w:hAnsi="Times New Roman" w:cs="Times New Roman"/>
                <w:szCs w:val="24"/>
                <w:vertAlign w:val="superscript"/>
              </w:rPr>
              <w:t>a</w:t>
            </w:r>
          </w:p>
        </w:tc>
        <w:tc>
          <w:tcPr>
            <w:tcW w:w="438" w:type="pct"/>
            <w:tcBorders>
              <w:top w:val="nil"/>
              <w:left w:val="nil"/>
              <w:bottom w:val="single" w:sz="4" w:space="0" w:color="auto"/>
              <w:right w:val="single" w:sz="4" w:space="0" w:color="auto"/>
            </w:tcBorders>
            <w:noWrap/>
            <w:vAlign w:val="center"/>
            <w:hideMark/>
          </w:tcPr>
          <w:p w14:paraId="2A3F9C77" w14:textId="77777777" w:rsidR="009F6737" w:rsidRPr="00641452"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118.6</w:t>
            </w:r>
            <w:r w:rsidRPr="009C4E1F">
              <w:rPr>
                <w:rFonts w:ascii="Times New Roman" w:hAnsi="Times New Roman" w:cs="Times New Roman"/>
                <w:szCs w:val="24"/>
              </w:rPr>
              <w:t>±</w:t>
            </w:r>
            <w:r>
              <w:rPr>
                <w:rFonts w:ascii="Times New Roman" w:hAnsi="Times New Roman" w:cs="Times New Roman"/>
                <w:szCs w:val="24"/>
              </w:rPr>
              <w:t xml:space="preserve">0.16 </w:t>
            </w:r>
            <w:r>
              <w:rPr>
                <w:rFonts w:ascii="Times New Roman" w:hAnsi="Times New Roman" w:cs="Times New Roman"/>
                <w:szCs w:val="24"/>
                <w:vertAlign w:val="superscript"/>
              </w:rPr>
              <w:t>a</w:t>
            </w:r>
          </w:p>
        </w:tc>
        <w:tc>
          <w:tcPr>
            <w:tcW w:w="375" w:type="pct"/>
            <w:tcBorders>
              <w:top w:val="nil"/>
              <w:left w:val="nil"/>
              <w:bottom w:val="single" w:sz="4" w:space="0" w:color="auto"/>
              <w:right w:val="single" w:sz="4" w:space="0" w:color="auto"/>
            </w:tcBorders>
            <w:noWrap/>
            <w:vAlign w:val="center"/>
            <w:hideMark/>
          </w:tcPr>
          <w:p w14:paraId="656246FD" w14:textId="77777777" w:rsidR="009F6737" w:rsidRPr="00D04850"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20.6</w:t>
            </w:r>
            <w:r w:rsidRPr="009C4E1F">
              <w:rPr>
                <w:rFonts w:ascii="Times New Roman" w:hAnsi="Times New Roman" w:cs="Times New Roman"/>
                <w:szCs w:val="24"/>
              </w:rPr>
              <w:t>±</w:t>
            </w:r>
            <w:r>
              <w:rPr>
                <w:rFonts w:ascii="Times New Roman" w:hAnsi="Times New Roman" w:cs="Times New Roman"/>
                <w:szCs w:val="24"/>
              </w:rPr>
              <w:t xml:space="preserve">0.15 </w:t>
            </w:r>
            <w:r>
              <w:rPr>
                <w:rFonts w:ascii="Times New Roman" w:hAnsi="Times New Roman" w:cs="Times New Roman"/>
                <w:szCs w:val="24"/>
                <w:vertAlign w:val="superscript"/>
              </w:rPr>
              <w:t>a</w:t>
            </w:r>
          </w:p>
        </w:tc>
      </w:tr>
      <w:tr w:rsidR="009F6737" w:rsidRPr="009C4E1F" w14:paraId="355B8D93" w14:textId="77777777" w:rsidTr="00F621ED">
        <w:trPr>
          <w:trHeight w:val="449"/>
        </w:trPr>
        <w:tc>
          <w:tcPr>
            <w:tcW w:w="720" w:type="pct"/>
            <w:tcBorders>
              <w:top w:val="nil"/>
              <w:left w:val="single" w:sz="4" w:space="0" w:color="auto"/>
              <w:bottom w:val="single" w:sz="4" w:space="0" w:color="auto"/>
              <w:right w:val="single" w:sz="4" w:space="0" w:color="auto"/>
            </w:tcBorders>
            <w:noWrap/>
            <w:vAlign w:val="center"/>
            <w:hideMark/>
          </w:tcPr>
          <w:p w14:paraId="68017D4F" w14:textId="77777777" w:rsidR="009F6737" w:rsidRPr="00DD5247" w:rsidRDefault="009F6737" w:rsidP="00D45CB9">
            <w:pPr>
              <w:spacing w:after="0" w:line="240" w:lineRule="auto"/>
              <w:jc w:val="center"/>
              <w:rPr>
                <w:rFonts w:ascii="Times New Roman" w:eastAsia="Times New Roman" w:hAnsi="Times New Roman" w:cs="Times New Roman"/>
                <w:color w:val="000000"/>
                <w:szCs w:val="22"/>
              </w:rPr>
            </w:pPr>
            <w:r w:rsidRPr="00DD5247">
              <w:rPr>
                <w:rFonts w:ascii="Times New Roman" w:eastAsia="Times New Roman" w:hAnsi="Times New Roman" w:cs="Times New Roman"/>
                <w:color w:val="000000"/>
                <w:szCs w:val="22"/>
              </w:rPr>
              <w:t>T1</w:t>
            </w:r>
          </w:p>
        </w:tc>
        <w:tc>
          <w:tcPr>
            <w:tcW w:w="781" w:type="pct"/>
            <w:tcBorders>
              <w:top w:val="nil"/>
              <w:left w:val="nil"/>
              <w:bottom w:val="single" w:sz="4" w:space="0" w:color="auto"/>
              <w:right w:val="single" w:sz="4" w:space="0" w:color="auto"/>
            </w:tcBorders>
            <w:noWrap/>
            <w:vAlign w:val="center"/>
            <w:hideMark/>
          </w:tcPr>
          <w:p w14:paraId="1C311C9D" w14:textId="77777777" w:rsidR="009F6737" w:rsidRPr="0046696E"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235.59</w:t>
            </w:r>
            <w:r w:rsidRPr="009C4E1F">
              <w:rPr>
                <w:rFonts w:ascii="Times New Roman" w:hAnsi="Times New Roman" w:cs="Times New Roman"/>
                <w:szCs w:val="24"/>
              </w:rPr>
              <w:t>±</w:t>
            </w:r>
            <w:r>
              <w:rPr>
                <w:rFonts w:ascii="Times New Roman" w:hAnsi="Times New Roman" w:cs="Times New Roman"/>
                <w:szCs w:val="24"/>
              </w:rPr>
              <w:t xml:space="preserve">0.51 </w:t>
            </w:r>
            <w:r>
              <w:rPr>
                <w:rFonts w:ascii="Times New Roman" w:hAnsi="Times New Roman" w:cs="Times New Roman"/>
                <w:szCs w:val="24"/>
                <w:vertAlign w:val="superscript"/>
              </w:rPr>
              <w:t>b</w:t>
            </w:r>
          </w:p>
        </w:tc>
        <w:tc>
          <w:tcPr>
            <w:tcW w:w="750" w:type="pct"/>
            <w:tcBorders>
              <w:top w:val="nil"/>
              <w:left w:val="nil"/>
              <w:bottom w:val="single" w:sz="4" w:space="0" w:color="auto"/>
              <w:right w:val="single" w:sz="4" w:space="0" w:color="auto"/>
            </w:tcBorders>
            <w:noWrap/>
            <w:vAlign w:val="center"/>
            <w:hideMark/>
          </w:tcPr>
          <w:p w14:paraId="23236F81" w14:textId="77777777" w:rsidR="009F6737" w:rsidRPr="00CC3A56"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1.22</w:t>
            </w:r>
            <w:r w:rsidRPr="009C4E1F">
              <w:rPr>
                <w:rFonts w:ascii="Times New Roman" w:hAnsi="Times New Roman" w:cs="Times New Roman"/>
                <w:szCs w:val="24"/>
              </w:rPr>
              <w:t>±</w:t>
            </w:r>
            <w:r>
              <w:rPr>
                <w:rFonts w:ascii="Times New Roman" w:hAnsi="Times New Roman" w:cs="Times New Roman"/>
                <w:szCs w:val="24"/>
              </w:rPr>
              <w:t xml:space="preserve">0.01 </w:t>
            </w:r>
            <w:r>
              <w:rPr>
                <w:rFonts w:ascii="Times New Roman" w:hAnsi="Times New Roman" w:cs="Times New Roman"/>
                <w:szCs w:val="24"/>
                <w:vertAlign w:val="superscript"/>
              </w:rPr>
              <w:t>b</w:t>
            </w:r>
          </w:p>
        </w:tc>
        <w:tc>
          <w:tcPr>
            <w:tcW w:w="749" w:type="pct"/>
            <w:tcBorders>
              <w:top w:val="nil"/>
              <w:left w:val="nil"/>
              <w:bottom w:val="single" w:sz="4" w:space="0" w:color="auto"/>
              <w:right w:val="single" w:sz="4" w:space="0" w:color="auto"/>
            </w:tcBorders>
            <w:noWrap/>
            <w:vAlign w:val="center"/>
            <w:hideMark/>
          </w:tcPr>
          <w:p w14:paraId="217971BF" w14:textId="77777777" w:rsidR="009F6737" w:rsidRPr="008D30BE"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55.83</w:t>
            </w:r>
            <w:r w:rsidRPr="009C4E1F">
              <w:rPr>
                <w:rFonts w:ascii="Times New Roman" w:hAnsi="Times New Roman" w:cs="Times New Roman"/>
                <w:szCs w:val="24"/>
              </w:rPr>
              <w:t>±</w:t>
            </w:r>
            <w:r>
              <w:rPr>
                <w:rFonts w:ascii="Times New Roman" w:hAnsi="Times New Roman" w:cs="Times New Roman"/>
                <w:szCs w:val="24"/>
              </w:rPr>
              <w:t xml:space="preserve">1.19 </w:t>
            </w:r>
            <w:r>
              <w:rPr>
                <w:rFonts w:ascii="Times New Roman" w:hAnsi="Times New Roman" w:cs="Times New Roman"/>
                <w:szCs w:val="24"/>
                <w:vertAlign w:val="superscript"/>
              </w:rPr>
              <w:t>b</w:t>
            </w:r>
          </w:p>
        </w:tc>
        <w:tc>
          <w:tcPr>
            <w:tcW w:w="688" w:type="pct"/>
            <w:tcBorders>
              <w:top w:val="nil"/>
              <w:left w:val="nil"/>
              <w:bottom w:val="single" w:sz="4" w:space="0" w:color="auto"/>
              <w:right w:val="single" w:sz="4" w:space="0" w:color="auto"/>
            </w:tcBorders>
            <w:noWrap/>
            <w:vAlign w:val="center"/>
            <w:hideMark/>
          </w:tcPr>
          <w:p w14:paraId="4B0D639C" w14:textId="77777777" w:rsidR="009F6737" w:rsidRPr="002A425A"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6.84</w:t>
            </w:r>
            <w:r w:rsidRPr="009C4E1F">
              <w:rPr>
                <w:rFonts w:ascii="Times New Roman" w:hAnsi="Times New Roman" w:cs="Times New Roman"/>
                <w:szCs w:val="24"/>
              </w:rPr>
              <w:t>±</w:t>
            </w:r>
            <w:r>
              <w:rPr>
                <w:rFonts w:ascii="Times New Roman" w:hAnsi="Times New Roman" w:cs="Times New Roman"/>
                <w:szCs w:val="24"/>
              </w:rPr>
              <w:t xml:space="preserve">0.10 </w:t>
            </w:r>
            <w:r>
              <w:rPr>
                <w:rFonts w:ascii="Times New Roman" w:hAnsi="Times New Roman" w:cs="Times New Roman"/>
                <w:szCs w:val="24"/>
                <w:vertAlign w:val="superscript"/>
              </w:rPr>
              <w:t>ab</w:t>
            </w:r>
          </w:p>
        </w:tc>
        <w:tc>
          <w:tcPr>
            <w:tcW w:w="499" w:type="pct"/>
            <w:tcBorders>
              <w:top w:val="nil"/>
              <w:left w:val="nil"/>
              <w:bottom w:val="single" w:sz="4" w:space="0" w:color="auto"/>
              <w:right w:val="single" w:sz="4" w:space="0" w:color="auto"/>
            </w:tcBorders>
            <w:noWrap/>
            <w:vAlign w:val="center"/>
            <w:hideMark/>
          </w:tcPr>
          <w:p w14:paraId="5BB32C7D" w14:textId="77777777" w:rsidR="009F6737" w:rsidRPr="00F6240D"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27.02</w:t>
            </w:r>
            <w:r w:rsidRPr="009C4E1F">
              <w:rPr>
                <w:rFonts w:ascii="Times New Roman" w:hAnsi="Times New Roman" w:cs="Times New Roman"/>
                <w:szCs w:val="24"/>
              </w:rPr>
              <w:t>±</w:t>
            </w:r>
            <w:r>
              <w:rPr>
                <w:rFonts w:ascii="Times New Roman" w:hAnsi="Times New Roman" w:cs="Times New Roman"/>
                <w:szCs w:val="24"/>
              </w:rPr>
              <w:t xml:space="preserve">0.57 </w:t>
            </w:r>
            <w:r>
              <w:rPr>
                <w:rFonts w:ascii="Times New Roman" w:hAnsi="Times New Roman" w:cs="Times New Roman"/>
                <w:szCs w:val="24"/>
                <w:vertAlign w:val="superscript"/>
              </w:rPr>
              <w:t>b</w:t>
            </w:r>
          </w:p>
        </w:tc>
        <w:tc>
          <w:tcPr>
            <w:tcW w:w="438" w:type="pct"/>
            <w:tcBorders>
              <w:top w:val="nil"/>
              <w:left w:val="nil"/>
              <w:bottom w:val="single" w:sz="4" w:space="0" w:color="auto"/>
              <w:right w:val="single" w:sz="4" w:space="0" w:color="auto"/>
            </w:tcBorders>
            <w:noWrap/>
            <w:vAlign w:val="center"/>
            <w:hideMark/>
          </w:tcPr>
          <w:p w14:paraId="03BEA8EE" w14:textId="77777777" w:rsidR="009F6737" w:rsidRPr="00641452"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206.64</w:t>
            </w:r>
            <w:r w:rsidRPr="009C4E1F">
              <w:rPr>
                <w:rFonts w:ascii="Times New Roman" w:hAnsi="Times New Roman" w:cs="Times New Roman"/>
                <w:szCs w:val="24"/>
              </w:rPr>
              <w:t>±</w:t>
            </w:r>
            <w:r>
              <w:rPr>
                <w:rFonts w:ascii="Times New Roman" w:hAnsi="Times New Roman" w:cs="Times New Roman"/>
                <w:szCs w:val="24"/>
              </w:rPr>
              <w:t xml:space="preserve">1.24 </w:t>
            </w:r>
            <w:r>
              <w:rPr>
                <w:rFonts w:ascii="Times New Roman" w:hAnsi="Times New Roman" w:cs="Times New Roman"/>
                <w:szCs w:val="24"/>
                <w:vertAlign w:val="superscript"/>
              </w:rPr>
              <w:t>b</w:t>
            </w:r>
          </w:p>
        </w:tc>
        <w:tc>
          <w:tcPr>
            <w:tcW w:w="375" w:type="pct"/>
            <w:tcBorders>
              <w:top w:val="nil"/>
              <w:left w:val="nil"/>
              <w:bottom w:val="single" w:sz="4" w:space="0" w:color="auto"/>
              <w:right w:val="single" w:sz="4" w:space="0" w:color="auto"/>
            </w:tcBorders>
            <w:noWrap/>
            <w:vAlign w:val="center"/>
            <w:hideMark/>
          </w:tcPr>
          <w:p w14:paraId="44636D0E" w14:textId="77777777" w:rsidR="009F6737" w:rsidRPr="00D04850"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25.31</w:t>
            </w:r>
            <w:r w:rsidRPr="009C4E1F">
              <w:rPr>
                <w:rFonts w:ascii="Times New Roman" w:hAnsi="Times New Roman" w:cs="Times New Roman"/>
                <w:szCs w:val="24"/>
              </w:rPr>
              <w:t>±</w:t>
            </w:r>
            <w:r>
              <w:rPr>
                <w:rFonts w:ascii="Times New Roman" w:hAnsi="Times New Roman" w:cs="Times New Roman"/>
                <w:szCs w:val="24"/>
              </w:rPr>
              <w:t xml:space="preserve">2.15 </w:t>
            </w:r>
            <w:r>
              <w:rPr>
                <w:rFonts w:ascii="Times New Roman" w:hAnsi="Times New Roman" w:cs="Times New Roman"/>
                <w:szCs w:val="24"/>
                <w:vertAlign w:val="superscript"/>
              </w:rPr>
              <w:t>ab</w:t>
            </w:r>
          </w:p>
        </w:tc>
      </w:tr>
      <w:tr w:rsidR="009F6737" w:rsidRPr="009C4E1F" w14:paraId="53FF5BBF" w14:textId="77777777" w:rsidTr="00F621ED">
        <w:trPr>
          <w:trHeight w:val="449"/>
        </w:trPr>
        <w:tc>
          <w:tcPr>
            <w:tcW w:w="720" w:type="pct"/>
            <w:tcBorders>
              <w:top w:val="nil"/>
              <w:left w:val="single" w:sz="4" w:space="0" w:color="auto"/>
              <w:bottom w:val="single" w:sz="4" w:space="0" w:color="auto"/>
              <w:right w:val="single" w:sz="4" w:space="0" w:color="auto"/>
            </w:tcBorders>
            <w:noWrap/>
            <w:vAlign w:val="center"/>
            <w:hideMark/>
          </w:tcPr>
          <w:p w14:paraId="145311ED" w14:textId="77777777" w:rsidR="009F6737" w:rsidRPr="00DD5247" w:rsidRDefault="009F6737" w:rsidP="00D45CB9">
            <w:pPr>
              <w:spacing w:after="0" w:line="240" w:lineRule="auto"/>
              <w:jc w:val="center"/>
              <w:rPr>
                <w:rFonts w:ascii="Times New Roman" w:eastAsia="Times New Roman" w:hAnsi="Times New Roman" w:cs="Times New Roman"/>
                <w:color w:val="000000"/>
                <w:szCs w:val="22"/>
              </w:rPr>
            </w:pPr>
            <w:r w:rsidRPr="00DD5247">
              <w:rPr>
                <w:rFonts w:ascii="Times New Roman" w:eastAsia="Times New Roman" w:hAnsi="Times New Roman" w:cs="Times New Roman"/>
                <w:color w:val="000000"/>
                <w:szCs w:val="22"/>
              </w:rPr>
              <w:t>T2</w:t>
            </w:r>
          </w:p>
        </w:tc>
        <w:tc>
          <w:tcPr>
            <w:tcW w:w="781" w:type="pct"/>
            <w:tcBorders>
              <w:top w:val="nil"/>
              <w:left w:val="nil"/>
              <w:bottom w:val="single" w:sz="4" w:space="0" w:color="auto"/>
              <w:right w:val="single" w:sz="4" w:space="0" w:color="auto"/>
            </w:tcBorders>
            <w:noWrap/>
            <w:vAlign w:val="center"/>
            <w:hideMark/>
          </w:tcPr>
          <w:p w14:paraId="51E37C8D" w14:textId="77777777" w:rsidR="009F6737" w:rsidRPr="00DD5247" w:rsidRDefault="009F6737" w:rsidP="00D45CB9">
            <w:pPr>
              <w:spacing w:after="0" w:line="240" w:lineRule="auto"/>
              <w:jc w:val="center"/>
              <w:rPr>
                <w:rFonts w:ascii="Times New Roman" w:eastAsia="Times New Roman" w:hAnsi="Times New Roman" w:cs="Times New Roman"/>
                <w:color w:val="000000"/>
                <w:szCs w:val="22"/>
              </w:rPr>
            </w:pPr>
            <w:r w:rsidRPr="00DD5247">
              <w:rPr>
                <w:rFonts w:ascii="Times New Roman" w:eastAsia="Times New Roman" w:hAnsi="Times New Roman" w:cs="Times New Roman"/>
                <w:color w:val="000000"/>
                <w:szCs w:val="22"/>
              </w:rPr>
              <w:t>234.62</w:t>
            </w:r>
            <w:r w:rsidRPr="009C4E1F">
              <w:rPr>
                <w:rFonts w:ascii="Times New Roman" w:hAnsi="Times New Roman" w:cs="Times New Roman"/>
                <w:szCs w:val="24"/>
              </w:rPr>
              <w:t>±</w:t>
            </w:r>
            <w:r>
              <w:rPr>
                <w:rFonts w:ascii="Times New Roman" w:hAnsi="Times New Roman" w:cs="Times New Roman"/>
                <w:szCs w:val="24"/>
              </w:rPr>
              <w:t>1.04</w:t>
            </w:r>
            <w:r>
              <w:rPr>
                <w:rFonts w:ascii="Times New Roman" w:hAnsi="Times New Roman" w:cs="Times New Roman"/>
                <w:szCs w:val="24"/>
                <w:vertAlign w:val="superscript"/>
              </w:rPr>
              <w:t xml:space="preserve"> ab</w:t>
            </w:r>
          </w:p>
        </w:tc>
        <w:tc>
          <w:tcPr>
            <w:tcW w:w="750" w:type="pct"/>
            <w:tcBorders>
              <w:top w:val="nil"/>
              <w:left w:val="nil"/>
              <w:bottom w:val="single" w:sz="4" w:space="0" w:color="auto"/>
              <w:right w:val="single" w:sz="4" w:space="0" w:color="auto"/>
            </w:tcBorders>
            <w:noWrap/>
            <w:vAlign w:val="center"/>
            <w:hideMark/>
          </w:tcPr>
          <w:p w14:paraId="1F2E03B1" w14:textId="77777777" w:rsidR="009F6737" w:rsidRPr="00CC3A56"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1.27</w:t>
            </w:r>
            <w:r w:rsidRPr="009C4E1F">
              <w:rPr>
                <w:rFonts w:ascii="Times New Roman" w:hAnsi="Times New Roman" w:cs="Times New Roman"/>
                <w:szCs w:val="24"/>
              </w:rPr>
              <w:t>±</w:t>
            </w:r>
            <w:r>
              <w:rPr>
                <w:rFonts w:ascii="Times New Roman" w:hAnsi="Times New Roman" w:cs="Times New Roman"/>
                <w:szCs w:val="24"/>
              </w:rPr>
              <w:t xml:space="preserve">0.10 </w:t>
            </w:r>
            <w:r>
              <w:rPr>
                <w:rFonts w:ascii="Times New Roman" w:hAnsi="Times New Roman" w:cs="Times New Roman"/>
                <w:szCs w:val="24"/>
                <w:vertAlign w:val="superscript"/>
              </w:rPr>
              <w:t>c</w:t>
            </w:r>
          </w:p>
        </w:tc>
        <w:tc>
          <w:tcPr>
            <w:tcW w:w="749" w:type="pct"/>
            <w:tcBorders>
              <w:top w:val="nil"/>
              <w:left w:val="nil"/>
              <w:bottom w:val="single" w:sz="4" w:space="0" w:color="auto"/>
              <w:right w:val="single" w:sz="4" w:space="0" w:color="auto"/>
            </w:tcBorders>
            <w:noWrap/>
            <w:vAlign w:val="center"/>
            <w:hideMark/>
          </w:tcPr>
          <w:p w14:paraId="4350684E" w14:textId="77777777" w:rsidR="009F6737" w:rsidRPr="008D30BE"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58.63</w:t>
            </w:r>
            <w:r w:rsidRPr="009C4E1F">
              <w:rPr>
                <w:rFonts w:ascii="Times New Roman" w:hAnsi="Times New Roman" w:cs="Times New Roman"/>
                <w:szCs w:val="24"/>
              </w:rPr>
              <w:t>±</w:t>
            </w:r>
            <w:r>
              <w:rPr>
                <w:rFonts w:ascii="Times New Roman" w:hAnsi="Times New Roman" w:cs="Times New Roman"/>
                <w:szCs w:val="24"/>
              </w:rPr>
              <w:t xml:space="preserve">1.52 </w:t>
            </w:r>
            <w:proofErr w:type="spellStart"/>
            <w:r>
              <w:rPr>
                <w:rFonts w:ascii="Times New Roman" w:hAnsi="Times New Roman" w:cs="Times New Roman"/>
                <w:szCs w:val="24"/>
                <w:vertAlign w:val="superscript"/>
              </w:rPr>
              <w:t>bc</w:t>
            </w:r>
            <w:proofErr w:type="spellEnd"/>
          </w:p>
        </w:tc>
        <w:tc>
          <w:tcPr>
            <w:tcW w:w="688" w:type="pct"/>
            <w:tcBorders>
              <w:top w:val="nil"/>
              <w:left w:val="nil"/>
              <w:bottom w:val="single" w:sz="4" w:space="0" w:color="auto"/>
              <w:right w:val="single" w:sz="4" w:space="0" w:color="auto"/>
            </w:tcBorders>
            <w:noWrap/>
            <w:vAlign w:val="center"/>
            <w:hideMark/>
          </w:tcPr>
          <w:p w14:paraId="7EBE4B5A" w14:textId="77777777" w:rsidR="009F6737" w:rsidRPr="002A425A"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7.44</w:t>
            </w:r>
            <w:r w:rsidRPr="009C4E1F">
              <w:rPr>
                <w:rFonts w:ascii="Times New Roman" w:hAnsi="Times New Roman" w:cs="Times New Roman"/>
                <w:szCs w:val="24"/>
              </w:rPr>
              <w:t>±</w:t>
            </w:r>
            <w:r>
              <w:rPr>
                <w:rFonts w:ascii="Times New Roman" w:hAnsi="Times New Roman" w:cs="Times New Roman"/>
                <w:szCs w:val="24"/>
              </w:rPr>
              <w:t xml:space="preserve">0.39 </w:t>
            </w:r>
            <w:proofErr w:type="spellStart"/>
            <w:r>
              <w:rPr>
                <w:rFonts w:ascii="Times New Roman" w:hAnsi="Times New Roman" w:cs="Times New Roman"/>
                <w:szCs w:val="24"/>
                <w:vertAlign w:val="superscript"/>
              </w:rPr>
              <w:t>bc</w:t>
            </w:r>
            <w:proofErr w:type="spellEnd"/>
          </w:p>
        </w:tc>
        <w:tc>
          <w:tcPr>
            <w:tcW w:w="499" w:type="pct"/>
            <w:tcBorders>
              <w:top w:val="nil"/>
              <w:left w:val="nil"/>
              <w:bottom w:val="single" w:sz="4" w:space="0" w:color="auto"/>
              <w:right w:val="single" w:sz="4" w:space="0" w:color="auto"/>
            </w:tcBorders>
            <w:noWrap/>
            <w:vAlign w:val="center"/>
            <w:hideMark/>
          </w:tcPr>
          <w:p w14:paraId="655DC5C9" w14:textId="77777777" w:rsidR="009F6737" w:rsidRPr="00F6240D"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27.64</w:t>
            </w:r>
            <w:r w:rsidRPr="009C4E1F">
              <w:rPr>
                <w:rFonts w:ascii="Times New Roman" w:hAnsi="Times New Roman" w:cs="Times New Roman"/>
                <w:szCs w:val="24"/>
              </w:rPr>
              <w:t>±</w:t>
            </w:r>
            <w:r>
              <w:rPr>
                <w:rFonts w:ascii="Times New Roman" w:hAnsi="Times New Roman" w:cs="Times New Roman"/>
                <w:szCs w:val="24"/>
              </w:rPr>
              <w:t xml:space="preserve">0.78 </w:t>
            </w:r>
            <w:r>
              <w:rPr>
                <w:rFonts w:ascii="Times New Roman" w:hAnsi="Times New Roman" w:cs="Times New Roman"/>
                <w:szCs w:val="24"/>
                <w:vertAlign w:val="superscript"/>
              </w:rPr>
              <w:t>b</w:t>
            </w:r>
          </w:p>
        </w:tc>
        <w:tc>
          <w:tcPr>
            <w:tcW w:w="438" w:type="pct"/>
            <w:tcBorders>
              <w:top w:val="nil"/>
              <w:left w:val="nil"/>
              <w:bottom w:val="single" w:sz="4" w:space="0" w:color="auto"/>
              <w:right w:val="single" w:sz="4" w:space="0" w:color="auto"/>
            </w:tcBorders>
            <w:noWrap/>
            <w:vAlign w:val="center"/>
            <w:hideMark/>
          </w:tcPr>
          <w:p w14:paraId="5979A73B" w14:textId="77777777" w:rsidR="009F6737" w:rsidRPr="00641452"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212.1</w:t>
            </w:r>
            <w:r w:rsidRPr="009C4E1F">
              <w:rPr>
                <w:rFonts w:ascii="Times New Roman" w:hAnsi="Times New Roman" w:cs="Times New Roman"/>
                <w:szCs w:val="24"/>
              </w:rPr>
              <w:t>±</w:t>
            </w:r>
            <w:r>
              <w:rPr>
                <w:rFonts w:ascii="Times New Roman" w:hAnsi="Times New Roman" w:cs="Times New Roman"/>
                <w:szCs w:val="24"/>
              </w:rPr>
              <w:t xml:space="preserve">0.05 </w:t>
            </w:r>
            <w:r>
              <w:rPr>
                <w:rFonts w:ascii="Times New Roman" w:hAnsi="Times New Roman" w:cs="Times New Roman"/>
                <w:szCs w:val="24"/>
                <w:vertAlign w:val="superscript"/>
              </w:rPr>
              <w:t>c</w:t>
            </w:r>
          </w:p>
        </w:tc>
        <w:tc>
          <w:tcPr>
            <w:tcW w:w="375" w:type="pct"/>
            <w:tcBorders>
              <w:top w:val="nil"/>
              <w:left w:val="nil"/>
              <w:bottom w:val="single" w:sz="4" w:space="0" w:color="auto"/>
              <w:right w:val="single" w:sz="4" w:space="0" w:color="auto"/>
            </w:tcBorders>
            <w:noWrap/>
            <w:vAlign w:val="center"/>
            <w:hideMark/>
          </w:tcPr>
          <w:p w14:paraId="2B115BE6" w14:textId="77777777" w:rsidR="009F6737" w:rsidRPr="00D04850"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26.93</w:t>
            </w:r>
            <w:r w:rsidRPr="009C4E1F">
              <w:rPr>
                <w:rFonts w:ascii="Times New Roman" w:hAnsi="Times New Roman" w:cs="Times New Roman"/>
                <w:szCs w:val="24"/>
              </w:rPr>
              <w:t>±</w:t>
            </w:r>
            <w:r>
              <w:rPr>
                <w:rFonts w:ascii="Times New Roman" w:hAnsi="Times New Roman" w:cs="Times New Roman"/>
                <w:szCs w:val="24"/>
              </w:rPr>
              <w:t xml:space="preserve">0.12 </w:t>
            </w:r>
            <w:r>
              <w:rPr>
                <w:rFonts w:ascii="Times New Roman" w:hAnsi="Times New Roman" w:cs="Times New Roman"/>
                <w:szCs w:val="24"/>
                <w:vertAlign w:val="superscript"/>
              </w:rPr>
              <w:t>b</w:t>
            </w:r>
          </w:p>
        </w:tc>
      </w:tr>
      <w:tr w:rsidR="009F6737" w:rsidRPr="009C4E1F" w14:paraId="03CA1ECD" w14:textId="77777777" w:rsidTr="00F621ED">
        <w:trPr>
          <w:trHeight w:val="449"/>
        </w:trPr>
        <w:tc>
          <w:tcPr>
            <w:tcW w:w="720" w:type="pct"/>
            <w:tcBorders>
              <w:top w:val="nil"/>
              <w:left w:val="single" w:sz="4" w:space="0" w:color="auto"/>
              <w:bottom w:val="single" w:sz="4" w:space="0" w:color="auto"/>
              <w:right w:val="single" w:sz="4" w:space="0" w:color="auto"/>
            </w:tcBorders>
            <w:noWrap/>
            <w:vAlign w:val="center"/>
            <w:hideMark/>
          </w:tcPr>
          <w:p w14:paraId="066F9C63" w14:textId="77777777" w:rsidR="009F6737" w:rsidRPr="00DD5247" w:rsidRDefault="009F6737" w:rsidP="00D45CB9">
            <w:pPr>
              <w:spacing w:after="0" w:line="240" w:lineRule="auto"/>
              <w:jc w:val="center"/>
              <w:rPr>
                <w:rFonts w:ascii="Times New Roman" w:eastAsia="Times New Roman" w:hAnsi="Times New Roman" w:cs="Times New Roman"/>
                <w:color w:val="000000"/>
                <w:szCs w:val="22"/>
              </w:rPr>
            </w:pPr>
            <w:r w:rsidRPr="00DD5247">
              <w:rPr>
                <w:rFonts w:ascii="Times New Roman" w:eastAsia="Times New Roman" w:hAnsi="Times New Roman" w:cs="Times New Roman"/>
                <w:color w:val="000000"/>
                <w:szCs w:val="22"/>
              </w:rPr>
              <w:t>T3</w:t>
            </w:r>
          </w:p>
        </w:tc>
        <w:tc>
          <w:tcPr>
            <w:tcW w:w="781" w:type="pct"/>
            <w:tcBorders>
              <w:top w:val="nil"/>
              <w:left w:val="nil"/>
              <w:bottom w:val="single" w:sz="4" w:space="0" w:color="auto"/>
              <w:right w:val="single" w:sz="4" w:space="0" w:color="auto"/>
            </w:tcBorders>
            <w:noWrap/>
            <w:vAlign w:val="center"/>
            <w:hideMark/>
          </w:tcPr>
          <w:p w14:paraId="02CF27F5" w14:textId="77777777" w:rsidR="009F6737" w:rsidRPr="0046696E"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235.18</w:t>
            </w:r>
            <w:r w:rsidRPr="009C4E1F">
              <w:rPr>
                <w:rFonts w:ascii="Times New Roman" w:hAnsi="Times New Roman" w:cs="Times New Roman"/>
                <w:szCs w:val="24"/>
              </w:rPr>
              <w:t>±</w:t>
            </w:r>
            <w:r>
              <w:rPr>
                <w:rFonts w:ascii="Times New Roman" w:hAnsi="Times New Roman" w:cs="Times New Roman"/>
                <w:szCs w:val="24"/>
              </w:rPr>
              <w:t xml:space="preserve">0.56 </w:t>
            </w:r>
            <w:r>
              <w:rPr>
                <w:rFonts w:ascii="Times New Roman" w:hAnsi="Times New Roman" w:cs="Times New Roman"/>
                <w:szCs w:val="24"/>
                <w:vertAlign w:val="superscript"/>
              </w:rPr>
              <w:t>b</w:t>
            </w:r>
          </w:p>
        </w:tc>
        <w:tc>
          <w:tcPr>
            <w:tcW w:w="750" w:type="pct"/>
            <w:tcBorders>
              <w:top w:val="nil"/>
              <w:left w:val="nil"/>
              <w:bottom w:val="single" w:sz="4" w:space="0" w:color="auto"/>
              <w:right w:val="single" w:sz="4" w:space="0" w:color="auto"/>
            </w:tcBorders>
            <w:noWrap/>
            <w:vAlign w:val="center"/>
            <w:hideMark/>
          </w:tcPr>
          <w:p w14:paraId="603C9900" w14:textId="77777777" w:rsidR="009F6737" w:rsidRPr="00CC3A56"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1.29</w:t>
            </w:r>
            <w:r w:rsidRPr="009C4E1F">
              <w:rPr>
                <w:rFonts w:ascii="Times New Roman" w:hAnsi="Times New Roman" w:cs="Times New Roman"/>
                <w:szCs w:val="24"/>
              </w:rPr>
              <w:t>±</w:t>
            </w:r>
            <w:r>
              <w:rPr>
                <w:rFonts w:ascii="Times New Roman" w:hAnsi="Times New Roman" w:cs="Times New Roman"/>
                <w:szCs w:val="24"/>
              </w:rPr>
              <w:t xml:space="preserve">0.00 </w:t>
            </w:r>
            <w:r>
              <w:rPr>
                <w:rFonts w:ascii="Times New Roman" w:hAnsi="Times New Roman" w:cs="Times New Roman"/>
                <w:szCs w:val="24"/>
                <w:vertAlign w:val="superscript"/>
              </w:rPr>
              <w:t>cd</w:t>
            </w:r>
          </w:p>
        </w:tc>
        <w:tc>
          <w:tcPr>
            <w:tcW w:w="749" w:type="pct"/>
            <w:tcBorders>
              <w:top w:val="nil"/>
              <w:left w:val="nil"/>
              <w:bottom w:val="single" w:sz="4" w:space="0" w:color="auto"/>
              <w:right w:val="single" w:sz="4" w:space="0" w:color="auto"/>
            </w:tcBorders>
            <w:noWrap/>
            <w:vAlign w:val="center"/>
            <w:hideMark/>
          </w:tcPr>
          <w:p w14:paraId="0FC67B48" w14:textId="77777777" w:rsidR="009F6737" w:rsidRPr="008D30BE"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59</w:t>
            </w:r>
            <w:r w:rsidRPr="009C4E1F">
              <w:rPr>
                <w:rFonts w:ascii="Times New Roman" w:hAnsi="Times New Roman" w:cs="Times New Roman"/>
                <w:szCs w:val="24"/>
              </w:rPr>
              <w:t>±</w:t>
            </w:r>
            <w:r>
              <w:rPr>
                <w:rFonts w:ascii="Times New Roman" w:hAnsi="Times New Roman" w:cs="Times New Roman"/>
                <w:szCs w:val="24"/>
              </w:rPr>
              <w:t xml:space="preserve">1.15 </w:t>
            </w:r>
            <w:proofErr w:type="spellStart"/>
            <w:r>
              <w:rPr>
                <w:rFonts w:ascii="Times New Roman" w:hAnsi="Times New Roman" w:cs="Times New Roman"/>
                <w:szCs w:val="24"/>
                <w:vertAlign w:val="superscript"/>
              </w:rPr>
              <w:t>bc</w:t>
            </w:r>
            <w:proofErr w:type="spellEnd"/>
          </w:p>
        </w:tc>
        <w:tc>
          <w:tcPr>
            <w:tcW w:w="688" w:type="pct"/>
            <w:tcBorders>
              <w:top w:val="nil"/>
              <w:left w:val="nil"/>
              <w:bottom w:val="single" w:sz="4" w:space="0" w:color="auto"/>
              <w:right w:val="single" w:sz="4" w:space="0" w:color="auto"/>
            </w:tcBorders>
            <w:noWrap/>
            <w:vAlign w:val="center"/>
            <w:hideMark/>
          </w:tcPr>
          <w:p w14:paraId="4C744150" w14:textId="77777777" w:rsidR="009F6737" w:rsidRPr="002A425A"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7.64</w:t>
            </w:r>
            <w:r w:rsidRPr="009C4E1F">
              <w:rPr>
                <w:rFonts w:ascii="Times New Roman" w:hAnsi="Times New Roman" w:cs="Times New Roman"/>
                <w:szCs w:val="24"/>
              </w:rPr>
              <w:t>±</w:t>
            </w:r>
            <w:r>
              <w:rPr>
                <w:rFonts w:ascii="Times New Roman" w:hAnsi="Times New Roman" w:cs="Times New Roman"/>
                <w:szCs w:val="24"/>
              </w:rPr>
              <w:t xml:space="preserve">0.38 </w:t>
            </w:r>
            <w:proofErr w:type="spellStart"/>
            <w:r>
              <w:rPr>
                <w:rFonts w:ascii="Times New Roman" w:hAnsi="Times New Roman" w:cs="Times New Roman"/>
                <w:szCs w:val="24"/>
                <w:vertAlign w:val="superscript"/>
              </w:rPr>
              <w:t>bc</w:t>
            </w:r>
            <w:proofErr w:type="spellEnd"/>
          </w:p>
        </w:tc>
        <w:tc>
          <w:tcPr>
            <w:tcW w:w="499" w:type="pct"/>
            <w:tcBorders>
              <w:top w:val="nil"/>
              <w:left w:val="nil"/>
              <w:bottom w:val="single" w:sz="4" w:space="0" w:color="auto"/>
              <w:right w:val="single" w:sz="4" w:space="0" w:color="auto"/>
            </w:tcBorders>
            <w:noWrap/>
            <w:vAlign w:val="center"/>
            <w:hideMark/>
          </w:tcPr>
          <w:p w14:paraId="22FA70D5" w14:textId="77777777" w:rsidR="009F6737" w:rsidRPr="00F6240D"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27.79</w:t>
            </w:r>
            <w:r w:rsidRPr="009C4E1F">
              <w:rPr>
                <w:rFonts w:ascii="Times New Roman" w:hAnsi="Times New Roman" w:cs="Times New Roman"/>
                <w:szCs w:val="24"/>
              </w:rPr>
              <w:t>±</w:t>
            </w:r>
            <w:r>
              <w:rPr>
                <w:rFonts w:ascii="Times New Roman" w:hAnsi="Times New Roman" w:cs="Times New Roman"/>
                <w:szCs w:val="24"/>
              </w:rPr>
              <w:t xml:space="preserve">0.11 </w:t>
            </w:r>
            <w:r>
              <w:rPr>
                <w:rFonts w:ascii="Times New Roman" w:hAnsi="Times New Roman" w:cs="Times New Roman"/>
                <w:szCs w:val="24"/>
                <w:vertAlign w:val="superscript"/>
              </w:rPr>
              <w:t>b</w:t>
            </w:r>
          </w:p>
        </w:tc>
        <w:tc>
          <w:tcPr>
            <w:tcW w:w="438" w:type="pct"/>
            <w:tcBorders>
              <w:top w:val="nil"/>
              <w:left w:val="nil"/>
              <w:bottom w:val="single" w:sz="4" w:space="0" w:color="auto"/>
              <w:right w:val="single" w:sz="4" w:space="0" w:color="auto"/>
            </w:tcBorders>
            <w:noWrap/>
            <w:vAlign w:val="center"/>
            <w:hideMark/>
          </w:tcPr>
          <w:p w14:paraId="7CC75BE4" w14:textId="77777777" w:rsidR="009F6737" w:rsidRPr="00641452"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212.29</w:t>
            </w:r>
            <w:r w:rsidRPr="009C4E1F">
              <w:rPr>
                <w:rFonts w:ascii="Times New Roman" w:hAnsi="Times New Roman" w:cs="Times New Roman"/>
                <w:szCs w:val="24"/>
              </w:rPr>
              <w:t>±</w:t>
            </w:r>
            <w:r>
              <w:rPr>
                <w:rFonts w:ascii="Times New Roman" w:hAnsi="Times New Roman" w:cs="Times New Roman"/>
                <w:szCs w:val="24"/>
              </w:rPr>
              <w:t xml:space="preserve">1.57 </w:t>
            </w:r>
            <w:r>
              <w:rPr>
                <w:rFonts w:ascii="Times New Roman" w:hAnsi="Times New Roman" w:cs="Times New Roman"/>
                <w:szCs w:val="24"/>
                <w:vertAlign w:val="superscript"/>
              </w:rPr>
              <w:t>c</w:t>
            </w:r>
          </w:p>
        </w:tc>
        <w:tc>
          <w:tcPr>
            <w:tcW w:w="375" w:type="pct"/>
            <w:tcBorders>
              <w:top w:val="nil"/>
              <w:left w:val="nil"/>
              <w:bottom w:val="single" w:sz="4" w:space="0" w:color="auto"/>
              <w:right w:val="single" w:sz="4" w:space="0" w:color="auto"/>
            </w:tcBorders>
            <w:noWrap/>
            <w:vAlign w:val="center"/>
            <w:hideMark/>
          </w:tcPr>
          <w:p w14:paraId="071D22BB" w14:textId="77777777" w:rsidR="009F6737" w:rsidRPr="00D04850"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24.48</w:t>
            </w:r>
            <w:r w:rsidRPr="009C4E1F">
              <w:rPr>
                <w:rFonts w:ascii="Times New Roman" w:hAnsi="Times New Roman" w:cs="Times New Roman"/>
                <w:szCs w:val="24"/>
              </w:rPr>
              <w:t>±</w:t>
            </w:r>
            <w:r>
              <w:rPr>
                <w:rFonts w:ascii="Times New Roman" w:hAnsi="Times New Roman" w:cs="Times New Roman"/>
                <w:szCs w:val="24"/>
              </w:rPr>
              <w:t xml:space="preserve">1.03 </w:t>
            </w:r>
            <w:r>
              <w:rPr>
                <w:rFonts w:ascii="Times New Roman" w:hAnsi="Times New Roman" w:cs="Times New Roman"/>
                <w:szCs w:val="24"/>
                <w:vertAlign w:val="superscript"/>
              </w:rPr>
              <w:t>ab</w:t>
            </w:r>
          </w:p>
        </w:tc>
      </w:tr>
      <w:tr w:rsidR="009F6737" w:rsidRPr="009C4E1F" w14:paraId="07A4360E" w14:textId="77777777" w:rsidTr="00F621ED">
        <w:trPr>
          <w:trHeight w:val="449"/>
        </w:trPr>
        <w:tc>
          <w:tcPr>
            <w:tcW w:w="720" w:type="pct"/>
            <w:tcBorders>
              <w:top w:val="nil"/>
              <w:left w:val="single" w:sz="4" w:space="0" w:color="auto"/>
              <w:bottom w:val="single" w:sz="4" w:space="0" w:color="auto"/>
              <w:right w:val="single" w:sz="4" w:space="0" w:color="auto"/>
            </w:tcBorders>
            <w:noWrap/>
            <w:vAlign w:val="center"/>
            <w:hideMark/>
          </w:tcPr>
          <w:p w14:paraId="7C0C6128" w14:textId="77777777" w:rsidR="009F6737" w:rsidRPr="00DD5247" w:rsidRDefault="009F6737" w:rsidP="00D45CB9">
            <w:pPr>
              <w:spacing w:after="0" w:line="240" w:lineRule="auto"/>
              <w:jc w:val="center"/>
              <w:rPr>
                <w:rFonts w:ascii="Times New Roman" w:eastAsia="Times New Roman" w:hAnsi="Times New Roman" w:cs="Times New Roman"/>
                <w:color w:val="000000"/>
                <w:szCs w:val="22"/>
              </w:rPr>
            </w:pPr>
            <w:r w:rsidRPr="00DD5247">
              <w:rPr>
                <w:rFonts w:ascii="Times New Roman" w:eastAsia="Times New Roman" w:hAnsi="Times New Roman" w:cs="Times New Roman"/>
                <w:color w:val="000000"/>
                <w:szCs w:val="22"/>
              </w:rPr>
              <w:t>T4</w:t>
            </w:r>
          </w:p>
        </w:tc>
        <w:tc>
          <w:tcPr>
            <w:tcW w:w="781" w:type="pct"/>
            <w:tcBorders>
              <w:top w:val="nil"/>
              <w:left w:val="nil"/>
              <w:bottom w:val="single" w:sz="4" w:space="0" w:color="auto"/>
              <w:right w:val="single" w:sz="4" w:space="0" w:color="auto"/>
            </w:tcBorders>
            <w:noWrap/>
            <w:vAlign w:val="center"/>
            <w:hideMark/>
          </w:tcPr>
          <w:p w14:paraId="01F82EB3" w14:textId="77777777" w:rsidR="009F6737" w:rsidRPr="00DD5247" w:rsidRDefault="009F6737" w:rsidP="00D45CB9">
            <w:pPr>
              <w:spacing w:after="0" w:line="240" w:lineRule="auto"/>
              <w:jc w:val="center"/>
              <w:rPr>
                <w:rFonts w:ascii="Times New Roman" w:eastAsia="Times New Roman" w:hAnsi="Times New Roman" w:cs="Times New Roman"/>
                <w:color w:val="000000"/>
                <w:szCs w:val="22"/>
              </w:rPr>
            </w:pPr>
            <w:r w:rsidRPr="00DD5247">
              <w:rPr>
                <w:rFonts w:ascii="Times New Roman" w:eastAsia="Times New Roman" w:hAnsi="Times New Roman" w:cs="Times New Roman"/>
                <w:color w:val="000000"/>
                <w:szCs w:val="22"/>
              </w:rPr>
              <w:t>232.76</w:t>
            </w:r>
            <w:r w:rsidRPr="009C4E1F">
              <w:rPr>
                <w:rFonts w:ascii="Times New Roman" w:hAnsi="Times New Roman" w:cs="Times New Roman"/>
                <w:szCs w:val="24"/>
              </w:rPr>
              <w:t>±</w:t>
            </w:r>
            <w:r>
              <w:rPr>
                <w:rFonts w:ascii="Times New Roman" w:hAnsi="Times New Roman" w:cs="Times New Roman"/>
                <w:szCs w:val="24"/>
              </w:rPr>
              <w:t>0.05</w:t>
            </w:r>
            <w:r>
              <w:rPr>
                <w:rFonts w:ascii="Times New Roman" w:hAnsi="Times New Roman" w:cs="Times New Roman"/>
                <w:szCs w:val="24"/>
                <w:vertAlign w:val="superscript"/>
              </w:rPr>
              <w:t xml:space="preserve"> a</w:t>
            </w:r>
          </w:p>
        </w:tc>
        <w:tc>
          <w:tcPr>
            <w:tcW w:w="750" w:type="pct"/>
            <w:tcBorders>
              <w:top w:val="nil"/>
              <w:left w:val="nil"/>
              <w:bottom w:val="single" w:sz="4" w:space="0" w:color="auto"/>
              <w:right w:val="single" w:sz="4" w:space="0" w:color="auto"/>
            </w:tcBorders>
            <w:noWrap/>
            <w:vAlign w:val="center"/>
            <w:hideMark/>
          </w:tcPr>
          <w:p w14:paraId="2924438C" w14:textId="77777777" w:rsidR="009F6737" w:rsidRPr="00CC3A56"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1.33</w:t>
            </w:r>
            <w:r w:rsidRPr="009C4E1F">
              <w:rPr>
                <w:rFonts w:ascii="Times New Roman" w:hAnsi="Times New Roman" w:cs="Times New Roman"/>
                <w:szCs w:val="24"/>
              </w:rPr>
              <w:t>±</w:t>
            </w:r>
            <w:r>
              <w:rPr>
                <w:rFonts w:ascii="Times New Roman" w:hAnsi="Times New Roman" w:cs="Times New Roman"/>
                <w:szCs w:val="24"/>
              </w:rPr>
              <w:t xml:space="preserve">0.01 </w:t>
            </w:r>
            <w:r>
              <w:rPr>
                <w:rFonts w:ascii="Times New Roman" w:hAnsi="Times New Roman" w:cs="Times New Roman"/>
                <w:szCs w:val="24"/>
                <w:vertAlign w:val="superscript"/>
              </w:rPr>
              <w:t>d</w:t>
            </w:r>
          </w:p>
        </w:tc>
        <w:tc>
          <w:tcPr>
            <w:tcW w:w="749" w:type="pct"/>
            <w:tcBorders>
              <w:top w:val="nil"/>
              <w:left w:val="nil"/>
              <w:bottom w:val="single" w:sz="4" w:space="0" w:color="auto"/>
              <w:right w:val="single" w:sz="4" w:space="0" w:color="auto"/>
            </w:tcBorders>
            <w:noWrap/>
            <w:vAlign w:val="center"/>
            <w:hideMark/>
          </w:tcPr>
          <w:p w14:paraId="6F402661" w14:textId="77777777" w:rsidR="009F6737" w:rsidRPr="008D30BE"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62.67</w:t>
            </w:r>
            <w:r w:rsidRPr="009C4E1F">
              <w:rPr>
                <w:rFonts w:ascii="Times New Roman" w:hAnsi="Times New Roman" w:cs="Times New Roman"/>
                <w:szCs w:val="24"/>
              </w:rPr>
              <w:t>±</w:t>
            </w:r>
            <w:r>
              <w:rPr>
                <w:rFonts w:ascii="Times New Roman" w:hAnsi="Times New Roman" w:cs="Times New Roman"/>
                <w:szCs w:val="24"/>
              </w:rPr>
              <w:t xml:space="preserve">0.90 </w:t>
            </w:r>
            <w:r>
              <w:rPr>
                <w:rFonts w:ascii="Times New Roman" w:hAnsi="Times New Roman" w:cs="Times New Roman"/>
                <w:szCs w:val="24"/>
                <w:vertAlign w:val="superscript"/>
              </w:rPr>
              <w:t>c</w:t>
            </w:r>
          </w:p>
        </w:tc>
        <w:tc>
          <w:tcPr>
            <w:tcW w:w="688" w:type="pct"/>
            <w:tcBorders>
              <w:top w:val="nil"/>
              <w:left w:val="nil"/>
              <w:bottom w:val="single" w:sz="4" w:space="0" w:color="auto"/>
              <w:right w:val="single" w:sz="4" w:space="0" w:color="auto"/>
            </w:tcBorders>
            <w:noWrap/>
            <w:vAlign w:val="center"/>
            <w:hideMark/>
          </w:tcPr>
          <w:p w14:paraId="0B0D43E3" w14:textId="77777777" w:rsidR="009F6737" w:rsidRPr="002A425A"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8.36</w:t>
            </w:r>
            <w:r w:rsidRPr="009C4E1F">
              <w:rPr>
                <w:rFonts w:ascii="Times New Roman" w:hAnsi="Times New Roman" w:cs="Times New Roman"/>
                <w:szCs w:val="24"/>
              </w:rPr>
              <w:t>±</w:t>
            </w:r>
            <w:r>
              <w:rPr>
                <w:rFonts w:ascii="Times New Roman" w:hAnsi="Times New Roman" w:cs="Times New Roman"/>
                <w:szCs w:val="24"/>
              </w:rPr>
              <w:t xml:space="preserve">0.22 </w:t>
            </w:r>
            <w:r>
              <w:rPr>
                <w:rFonts w:ascii="Times New Roman" w:hAnsi="Times New Roman" w:cs="Times New Roman"/>
                <w:szCs w:val="24"/>
                <w:vertAlign w:val="superscript"/>
              </w:rPr>
              <w:t>c</w:t>
            </w:r>
          </w:p>
        </w:tc>
        <w:tc>
          <w:tcPr>
            <w:tcW w:w="499" w:type="pct"/>
            <w:tcBorders>
              <w:top w:val="nil"/>
              <w:left w:val="nil"/>
              <w:bottom w:val="single" w:sz="4" w:space="0" w:color="auto"/>
              <w:right w:val="single" w:sz="4" w:space="0" w:color="auto"/>
            </w:tcBorders>
            <w:noWrap/>
            <w:vAlign w:val="center"/>
            <w:hideMark/>
          </w:tcPr>
          <w:p w14:paraId="16F21DA1" w14:textId="77777777" w:rsidR="009F6737" w:rsidRPr="00F6240D"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29.33</w:t>
            </w:r>
            <w:r w:rsidRPr="009C4E1F">
              <w:rPr>
                <w:rFonts w:ascii="Times New Roman" w:hAnsi="Times New Roman" w:cs="Times New Roman"/>
                <w:szCs w:val="24"/>
              </w:rPr>
              <w:t>±</w:t>
            </w:r>
            <w:r>
              <w:rPr>
                <w:rFonts w:ascii="Times New Roman" w:hAnsi="Times New Roman" w:cs="Times New Roman"/>
                <w:szCs w:val="24"/>
              </w:rPr>
              <w:t xml:space="preserve">0.87 </w:t>
            </w:r>
            <w:r>
              <w:rPr>
                <w:rFonts w:ascii="Times New Roman" w:hAnsi="Times New Roman" w:cs="Times New Roman"/>
                <w:szCs w:val="24"/>
                <w:vertAlign w:val="superscript"/>
              </w:rPr>
              <w:t>b</w:t>
            </w:r>
          </w:p>
        </w:tc>
        <w:tc>
          <w:tcPr>
            <w:tcW w:w="438" w:type="pct"/>
            <w:tcBorders>
              <w:top w:val="nil"/>
              <w:left w:val="nil"/>
              <w:bottom w:val="single" w:sz="4" w:space="0" w:color="auto"/>
              <w:right w:val="single" w:sz="4" w:space="0" w:color="auto"/>
            </w:tcBorders>
            <w:noWrap/>
            <w:vAlign w:val="center"/>
            <w:hideMark/>
          </w:tcPr>
          <w:p w14:paraId="61676BDF" w14:textId="77777777" w:rsidR="009F6737" w:rsidRPr="00641452"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213.68</w:t>
            </w:r>
            <w:r w:rsidRPr="009C4E1F">
              <w:rPr>
                <w:rFonts w:ascii="Times New Roman" w:hAnsi="Times New Roman" w:cs="Times New Roman"/>
                <w:szCs w:val="24"/>
              </w:rPr>
              <w:t>±</w:t>
            </w:r>
            <w:r>
              <w:rPr>
                <w:rFonts w:ascii="Times New Roman" w:hAnsi="Times New Roman" w:cs="Times New Roman"/>
                <w:szCs w:val="24"/>
              </w:rPr>
              <w:t xml:space="preserve">0.59 </w:t>
            </w:r>
            <w:r>
              <w:rPr>
                <w:rFonts w:ascii="Times New Roman" w:hAnsi="Times New Roman" w:cs="Times New Roman"/>
                <w:szCs w:val="24"/>
                <w:vertAlign w:val="superscript"/>
              </w:rPr>
              <w:t>c</w:t>
            </w:r>
          </w:p>
        </w:tc>
        <w:tc>
          <w:tcPr>
            <w:tcW w:w="375" w:type="pct"/>
            <w:tcBorders>
              <w:top w:val="nil"/>
              <w:left w:val="nil"/>
              <w:bottom w:val="single" w:sz="4" w:space="0" w:color="auto"/>
              <w:right w:val="single" w:sz="4" w:space="0" w:color="auto"/>
            </w:tcBorders>
            <w:noWrap/>
            <w:vAlign w:val="center"/>
            <w:hideMark/>
          </w:tcPr>
          <w:p w14:paraId="57A247AA" w14:textId="77777777" w:rsidR="009F6737" w:rsidRPr="00D04850"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28.5</w:t>
            </w:r>
            <w:r w:rsidRPr="009C4E1F">
              <w:rPr>
                <w:rFonts w:ascii="Times New Roman" w:hAnsi="Times New Roman" w:cs="Times New Roman"/>
                <w:szCs w:val="24"/>
              </w:rPr>
              <w:t>±</w:t>
            </w:r>
            <w:r>
              <w:rPr>
                <w:rFonts w:ascii="Times New Roman" w:hAnsi="Times New Roman" w:cs="Times New Roman"/>
                <w:szCs w:val="24"/>
              </w:rPr>
              <w:t xml:space="preserve">0.78 </w:t>
            </w:r>
            <w:r>
              <w:rPr>
                <w:rFonts w:ascii="Times New Roman" w:hAnsi="Times New Roman" w:cs="Times New Roman"/>
                <w:szCs w:val="24"/>
                <w:vertAlign w:val="superscript"/>
              </w:rPr>
              <w:t>b</w:t>
            </w:r>
          </w:p>
        </w:tc>
      </w:tr>
    </w:tbl>
    <w:p w14:paraId="41BA5CC6" w14:textId="77777777" w:rsidR="009F6737" w:rsidRPr="003E11F6" w:rsidRDefault="009F6737" w:rsidP="009F6737">
      <w:pPr>
        <w:tabs>
          <w:tab w:val="left" w:pos="313"/>
        </w:tabs>
        <w:jc w:val="both"/>
        <w:rPr>
          <w:rFonts w:ascii="Times New Roman" w:hAnsi="Times New Roman" w:cs="Times New Roman"/>
          <w:bCs/>
          <w:szCs w:val="24"/>
        </w:rPr>
      </w:pPr>
    </w:p>
    <w:p w14:paraId="2585FFC8" w14:textId="77777777" w:rsidR="00C618AB" w:rsidRPr="0091255F" w:rsidRDefault="00C032C3" w:rsidP="00C618AB">
      <w:pPr>
        <w:jc w:val="both"/>
        <w:rPr>
          <w:rFonts w:ascii="Times New Roman" w:hAnsi="Times New Roman" w:cs="Times New Roman"/>
          <w:b/>
          <w:bCs/>
          <w:szCs w:val="24"/>
        </w:rPr>
      </w:pPr>
      <w:r w:rsidRPr="0091255F">
        <w:rPr>
          <w:rFonts w:ascii="Times New Roman" w:hAnsi="Times New Roman" w:cs="Times New Roman"/>
          <w:b/>
          <w:bCs/>
          <w:szCs w:val="24"/>
        </w:rPr>
        <w:t>DISCUSSION</w:t>
      </w:r>
    </w:p>
    <w:p w14:paraId="20B26C0E" w14:textId="6B5F233D" w:rsidR="00F621ED" w:rsidRDefault="00F621ED" w:rsidP="00F621ED">
      <w:pPr>
        <w:spacing w:line="240" w:lineRule="auto"/>
        <w:ind w:firstLine="720"/>
        <w:jc w:val="both"/>
        <w:rPr>
          <w:rFonts w:ascii="Times New Roman" w:hAnsi="Times New Roman" w:cs="Times New Roman"/>
          <w:szCs w:val="24"/>
        </w:rPr>
      </w:pPr>
      <w:r w:rsidRPr="00F621ED">
        <w:rPr>
          <w:rFonts w:ascii="Times New Roman" w:hAnsi="Times New Roman" w:cs="Times New Roman"/>
          <w:szCs w:val="24"/>
        </w:rPr>
        <w:t xml:space="preserve">The present study demonstrated that dietary supplementation with </w:t>
      </w:r>
      <w:r w:rsidRPr="00F621ED">
        <w:rPr>
          <w:rFonts w:ascii="Times New Roman" w:hAnsi="Times New Roman" w:cs="Times New Roman"/>
          <w:i/>
          <w:iCs/>
          <w:szCs w:val="24"/>
        </w:rPr>
        <w:t>K</w:t>
      </w:r>
      <w:r>
        <w:rPr>
          <w:rFonts w:ascii="Times New Roman" w:hAnsi="Times New Roman" w:cs="Times New Roman"/>
          <w:i/>
          <w:iCs/>
          <w:szCs w:val="24"/>
        </w:rPr>
        <w:t>.</w:t>
      </w:r>
      <w:r w:rsidRPr="00F621ED">
        <w:rPr>
          <w:rFonts w:ascii="Times New Roman" w:hAnsi="Times New Roman" w:cs="Times New Roman"/>
          <w:i/>
          <w:iCs/>
          <w:szCs w:val="24"/>
        </w:rPr>
        <w:t xml:space="preserve"> </w:t>
      </w:r>
      <w:proofErr w:type="spellStart"/>
      <w:r w:rsidRPr="00F621ED">
        <w:rPr>
          <w:rFonts w:ascii="Times New Roman" w:hAnsi="Times New Roman" w:cs="Times New Roman"/>
          <w:i/>
          <w:iCs/>
          <w:szCs w:val="24"/>
        </w:rPr>
        <w:t>alvarezii</w:t>
      </w:r>
      <w:proofErr w:type="spellEnd"/>
      <w:r w:rsidRPr="00F621ED">
        <w:rPr>
          <w:rFonts w:ascii="Times New Roman" w:hAnsi="Times New Roman" w:cs="Times New Roman"/>
          <w:szCs w:val="24"/>
        </w:rPr>
        <w:t xml:space="preserve"> sap significantly enhanced the haematological profile of </w:t>
      </w:r>
      <w:r w:rsidRPr="00F621ED">
        <w:rPr>
          <w:rFonts w:ascii="Times New Roman" w:hAnsi="Times New Roman" w:cs="Times New Roman"/>
          <w:i/>
          <w:iCs/>
          <w:szCs w:val="24"/>
        </w:rPr>
        <w:t xml:space="preserve">Labeo </w:t>
      </w:r>
      <w:proofErr w:type="spellStart"/>
      <w:r w:rsidRPr="00F621ED">
        <w:rPr>
          <w:rFonts w:ascii="Times New Roman" w:hAnsi="Times New Roman" w:cs="Times New Roman"/>
          <w:i/>
          <w:iCs/>
          <w:szCs w:val="24"/>
        </w:rPr>
        <w:t>rohita</w:t>
      </w:r>
      <w:proofErr w:type="spellEnd"/>
      <w:r w:rsidRPr="00F621ED">
        <w:rPr>
          <w:rFonts w:ascii="Times New Roman" w:hAnsi="Times New Roman" w:cs="Times New Roman"/>
          <w:szCs w:val="24"/>
        </w:rPr>
        <w:t xml:space="preserve"> fingerlings, with the highest inclusion level (T</w:t>
      </w:r>
      <w:r w:rsidRPr="00F621ED">
        <w:rPr>
          <w:rFonts w:ascii="Times New Roman" w:hAnsi="Times New Roman" w:cs="Times New Roman"/>
          <w:szCs w:val="24"/>
          <w:vertAlign w:val="subscript"/>
        </w:rPr>
        <w:t>4</w:t>
      </w:r>
      <w:r w:rsidRPr="00F621ED">
        <w:rPr>
          <w:rFonts w:ascii="Times New Roman" w:hAnsi="Times New Roman" w:cs="Times New Roman"/>
          <w:szCs w:val="24"/>
        </w:rPr>
        <w:t xml:space="preserve">, 20%) producing the most pronounced improvements in RBC, WBC, Hb, HCT, MCV and MCHC values. These findings align closely with </w:t>
      </w:r>
      <w:r>
        <w:rPr>
          <w:rFonts w:ascii="Times New Roman" w:hAnsi="Times New Roman" w:cs="Times New Roman"/>
          <w:szCs w:val="24"/>
        </w:rPr>
        <w:t xml:space="preserve">various </w:t>
      </w:r>
      <w:r w:rsidRPr="00F621ED">
        <w:rPr>
          <w:rFonts w:ascii="Times New Roman" w:hAnsi="Times New Roman" w:cs="Times New Roman"/>
          <w:szCs w:val="24"/>
        </w:rPr>
        <w:t>indicating that seaweed-derived feed additives exert strong immunostimulatory and physiological benefits in finfish species.</w:t>
      </w:r>
      <w:r>
        <w:rPr>
          <w:rFonts w:ascii="Times New Roman" w:hAnsi="Times New Roman" w:cs="Times New Roman"/>
          <w:szCs w:val="24"/>
        </w:rPr>
        <w:t xml:space="preserve"> </w:t>
      </w:r>
    </w:p>
    <w:p w14:paraId="77E82B1A" w14:textId="7BC2823D" w:rsidR="00BB2651" w:rsidRDefault="00F621ED" w:rsidP="00EC196B">
      <w:pPr>
        <w:spacing w:line="240" w:lineRule="auto"/>
        <w:ind w:firstLine="720"/>
        <w:jc w:val="both"/>
        <w:rPr>
          <w:rFonts w:ascii="Times New Roman" w:hAnsi="Times New Roman" w:cs="Times New Roman"/>
          <w:szCs w:val="24"/>
        </w:rPr>
      </w:pPr>
      <w:r w:rsidRPr="00F621ED">
        <w:rPr>
          <w:rFonts w:ascii="Times New Roman" w:hAnsi="Times New Roman" w:cs="Times New Roman"/>
          <w:szCs w:val="24"/>
        </w:rPr>
        <w:t xml:space="preserve">Improvements in RBC count, haemoglobin concentration and erythrocyte indices observed in the present study are consistent with the dose-dependent enhancements reported by Nur et al. (2020), who found that </w:t>
      </w:r>
      <w:proofErr w:type="spellStart"/>
      <w:r w:rsidRPr="00F621ED">
        <w:rPr>
          <w:rFonts w:ascii="Times New Roman" w:hAnsi="Times New Roman" w:cs="Times New Roman"/>
          <w:i/>
          <w:iCs/>
          <w:szCs w:val="24"/>
        </w:rPr>
        <w:t>Hypnea</w:t>
      </w:r>
      <w:proofErr w:type="spellEnd"/>
      <w:r w:rsidRPr="00F621ED">
        <w:rPr>
          <w:rFonts w:ascii="Times New Roman" w:hAnsi="Times New Roman" w:cs="Times New Roman"/>
          <w:i/>
          <w:iCs/>
          <w:szCs w:val="24"/>
        </w:rPr>
        <w:t xml:space="preserve"> </w:t>
      </w:r>
      <w:proofErr w:type="spellStart"/>
      <w:r w:rsidRPr="00F621ED">
        <w:rPr>
          <w:rFonts w:ascii="Times New Roman" w:hAnsi="Times New Roman" w:cs="Times New Roman"/>
          <w:i/>
          <w:iCs/>
          <w:szCs w:val="24"/>
        </w:rPr>
        <w:t>musciformis</w:t>
      </w:r>
      <w:proofErr w:type="spellEnd"/>
      <w:r w:rsidRPr="00F621ED">
        <w:rPr>
          <w:rFonts w:ascii="Times New Roman" w:hAnsi="Times New Roman" w:cs="Times New Roman"/>
          <w:szCs w:val="24"/>
        </w:rPr>
        <w:t xml:space="preserve"> supplementation substantially elevated RBC, WBC, Hb</w:t>
      </w:r>
      <w:r w:rsidR="00EC196B">
        <w:rPr>
          <w:rFonts w:ascii="Times New Roman" w:hAnsi="Times New Roman" w:cs="Times New Roman"/>
          <w:szCs w:val="24"/>
        </w:rPr>
        <w:t xml:space="preserve"> </w:t>
      </w:r>
      <w:r w:rsidRPr="00F621ED">
        <w:rPr>
          <w:rFonts w:ascii="Times New Roman" w:hAnsi="Times New Roman" w:cs="Times New Roman"/>
          <w:szCs w:val="24"/>
        </w:rPr>
        <w:t xml:space="preserve">and HCT levels in </w:t>
      </w:r>
      <w:r w:rsidRPr="00F621ED">
        <w:rPr>
          <w:rFonts w:ascii="Times New Roman" w:hAnsi="Times New Roman" w:cs="Times New Roman"/>
          <w:i/>
          <w:iCs/>
          <w:szCs w:val="24"/>
        </w:rPr>
        <w:t>O. niloticus</w:t>
      </w:r>
      <w:r w:rsidRPr="00F621ED">
        <w:rPr>
          <w:rFonts w:ascii="Times New Roman" w:hAnsi="Times New Roman" w:cs="Times New Roman"/>
          <w:szCs w:val="24"/>
        </w:rPr>
        <w:t xml:space="preserve">. Similar to </w:t>
      </w:r>
      <w:r>
        <w:rPr>
          <w:rFonts w:ascii="Times New Roman" w:hAnsi="Times New Roman" w:cs="Times New Roman"/>
          <w:szCs w:val="24"/>
        </w:rPr>
        <w:t>present study</w:t>
      </w:r>
      <w:r w:rsidRPr="00F621ED">
        <w:rPr>
          <w:rFonts w:ascii="Times New Roman" w:hAnsi="Times New Roman" w:cs="Times New Roman"/>
          <w:szCs w:val="24"/>
        </w:rPr>
        <w:t xml:space="preserve"> results, their highest inclusion level yielded the greatest erythropoietic response, suggesting that seaweed </w:t>
      </w:r>
      <w:proofErr w:type="spellStart"/>
      <w:r w:rsidRPr="00F621ED">
        <w:rPr>
          <w:rFonts w:ascii="Times New Roman" w:hAnsi="Times New Roman" w:cs="Times New Roman"/>
          <w:szCs w:val="24"/>
        </w:rPr>
        <w:t>bioactives</w:t>
      </w:r>
      <w:proofErr w:type="spellEnd"/>
      <w:r w:rsidRPr="00F621ED">
        <w:rPr>
          <w:rFonts w:ascii="Times New Roman" w:hAnsi="Times New Roman" w:cs="Times New Roman"/>
          <w:szCs w:val="24"/>
        </w:rPr>
        <w:t xml:space="preserve"> improve oxygen-transport capacity and support efficient metabolic functioning in </w:t>
      </w:r>
      <w:r w:rsidRPr="00F621ED">
        <w:rPr>
          <w:rFonts w:ascii="Times New Roman" w:hAnsi="Times New Roman" w:cs="Times New Roman"/>
          <w:szCs w:val="24"/>
        </w:rPr>
        <w:lastRenderedPageBreak/>
        <w:t>cultured fish. The substantial rise in haemoglobin and MCHC in T</w:t>
      </w:r>
      <w:r w:rsidRPr="00F621ED">
        <w:rPr>
          <w:rFonts w:ascii="Times New Roman" w:hAnsi="Times New Roman" w:cs="Times New Roman"/>
          <w:szCs w:val="24"/>
          <w:vertAlign w:val="subscript"/>
        </w:rPr>
        <w:t>4</w:t>
      </w:r>
      <w:r w:rsidRPr="00F621ED">
        <w:rPr>
          <w:rFonts w:ascii="Times New Roman" w:hAnsi="Times New Roman" w:cs="Times New Roman"/>
          <w:szCs w:val="24"/>
        </w:rPr>
        <w:t xml:space="preserve"> is also comparable to the increases observed by Shahabuddin et al. (2024), who documented a significant dose-responsive elevation in Hb following dietary inclusion of </w:t>
      </w:r>
      <w:proofErr w:type="spellStart"/>
      <w:r w:rsidRPr="00F621ED">
        <w:rPr>
          <w:rFonts w:ascii="Times New Roman" w:hAnsi="Times New Roman" w:cs="Times New Roman"/>
          <w:i/>
          <w:iCs/>
          <w:szCs w:val="24"/>
        </w:rPr>
        <w:t>Gracilariopsis</w:t>
      </w:r>
      <w:proofErr w:type="spellEnd"/>
      <w:r w:rsidRPr="00F621ED">
        <w:rPr>
          <w:rFonts w:ascii="Times New Roman" w:hAnsi="Times New Roman" w:cs="Times New Roman"/>
          <w:i/>
          <w:iCs/>
          <w:szCs w:val="24"/>
        </w:rPr>
        <w:t xml:space="preserve"> </w:t>
      </w:r>
      <w:proofErr w:type="spellStart"/>
      <w:r w:rsidRPr="00F621ED">
        <w:rPr>
          <w:rFonts w:ascii="Times New Roman" w:hAnsi="Times New Roman" w:cs="Times New Roman"/>
          <w:i/>
          <w:iCs/>
          <w:szCs w:val="24"/>
        </w:rPr>
        <w:t>lemaneiformis</w:t>
      </w:r>
      <w:proofErr w:type="spellEnd"/>
      <w:r w:rsidRPr="00F621ED">
        <w:rPr>
          <w:rFonts w:ascii="Times New Roman" w:hAnsi="Times New Roman" w:cs="Times New Roman"/>
          <w:szCs w:val="24"/>
        </w:rPr>
        <w:t xml:space="preserve"> extract. Such improvements are indicative of enhanced erythropoiesis and healthier erythrocyte development, likely mediated by sulphated polysaccharides and other seaweed-derived metabolites known to promote cellular function and immune activity (Shahabuddin et al., 2024).</w:t>
      </w:r>
      <w:r w:rsidR="00BB2651">
        <w:rPr>
          <w:rFonts w:ascii="Times New Roman" w:hAnsi="Times New Roman" w:cs="Times New Roman"/>
          <w:szCs w:val="24"/>
        </w:rPr>
        <w:t xml:space="preserve"> </w:t>
      </w:r>
      <w:r w:rsidRPr="00F621ED">
        <w:rPr>
          <w:rFonts w:ascii="Times New Roman" w:hAnsi="Times New Roman" w:cs="Times New Roman"/>
          <w:szCs w:val="24"/>
        </w:rPr>
        <w:t xml:space="preserve">The higher WBC counts in our study further corroborate the immunostimulatory capacity of seaweed additives. Ashour et al. (2020) noted that supplementation with </w:t>
      </w:r>
      <w:r w:rsidRPr="00F621ED">
        <w:rPr>
          <w:rFonts w:ascii="Times New Roman" w:hAnsi="Times New Roman" w:cs="Times New Roman"/>
          <w:i/>
          <w:iCs/>
          <w:szCs w:val="24"/>
        </w:rPr>
        <w:t>Ulva</w:t>
      </w:r>
      <w:r w:rsidRPr="00F621ED">
        <w:rPr>
          <w:rFonts w:ascii="Times New Roman" w:hAnsi="Times New Roman" w:cs="Times New Roman"/>
          <w:szCs w:val="24"/>
        </w:rPr>
        <w:t xml:space="preserve">, </w:t>
      </w:r>
      <w:r w:rsidRPr="00F621ED">
        <w:rPr>
          <w:rFonts w:ascii="Times New Roman" w:hAnsi="Times New Roman" w:cs="Times New Roman"/>
          <w:i/>
          <w:iCs/>
          <w:szCs w:val="24"/>
        </w:rPr>
        <w:t>Jania</w:t>
      </w:r>
      <w:r w:rsidRPr="00F621ED">
        <w:rPr>
          <w:rFonts w:ascii="Times New Roman" w:hAnsi="Times New Roman" w:cs="Times New Roman"/>
          <w:szCs w:val="24"/>
        </w:rPr>
        <w:t xml:space="preserve"> and </w:t>
      </w:r>
      <w:proofErr w:type="spellStart"/>
      <w:r w:rsidRPr="00F621ED">
        <w:rPr>
          <w:rFonts w:ascii="Times New Roman" w:hAnsi="Times New Roman" w:cs="Times New Roman"/>
          <w:i/>
          <w:iCs/>
          <w:szCs w:val="24"/>
        </w:rPr>
        <w:t>Pterocladia</w:t>
      </w:r>
      <w:proofErr w:type="spellEnd"/>
      <w:r w:rsidRPr="00F621ED">
        <w:rPr>
          <w:rFonts w:ascii="Times New Roman" w:hAnsi="Times New Roman" w:cs="Times New Roman"/>
          <w:szCs w:val="24"/>
        </w:rPr>
        <w:t xml:space="preserve"> extract significantly increased serum proteins, albumin</w:t>
      </w:r>
      <w:r w:rsidR="00EC196B">
        <w:rPr>
          <w:rFonts w:ascii="Times New Roman" w:hAnsi="Times New Roman" w:cs="Times New Roman"/>
          <w:szCs w:val="24"/>
        </w:rPr>
        <w:t xml:space="preserve"> </w:t>
      </w:r>
      <w:r w:rsidRPr="00F621ED">
        <w:rPr>
          <w:rFonts w:ascii="Times New Roman" w:hAnsi="Times New Roman" w:cs="Times New Roman"/>
          <w:szCs w:val="24"/>
        </w:rPr>
        <w:t xml:space="preserve">and globulins in tilapia, reflecting enhanced non-specific immune function. Such increases in immune-related proteins mirror the elevated WBC levels observed in our T4 group, suggesting that </w:t>
      </w:r>
      <w:r w:rsidRPr="00F621ED">
        <w:rPr>
          <w:rFonts w:ascii="Times New Roman" w:hAnsi="Times New Roman" w:cs="Times New Roman"/>
          <w:i/>
          <w:iCs/>
          <w:szCs w:val="24"/>
        </w:rPr>
        <w:t xml:space="preserve">K. </w:t>
      </w:r>
      <w:proofErr w:type="spellStart"/>
      <w:r w:rsidRPr="00F621ED">
        <w:rPr>
          <w:rFonts w:ascii="Times New Roman" w:hAnsi="Times New Roman" w:cs="Times New Roman"/>
          <w:i/>
          <w:iCs/>
          <w:szCs w:val="24"/>
        </w:rPr>
        <w:t>alvarezii</w:t>
      </w:r>
      <w:proofErr w:type="spellEnd"/>
      <w:r w:rsidRPr="00F621ED">
        <w:rPr>
          <w:rFonts w:ascii="Times New Roman" w:hAnsi="Times New Roman" w:cs="Times New Roman"/>
          <w:szCs w:val="24"/>
        </w:rPr>
        <w:t xml:space="preserve"> sap may similarly stimulate innate immune pathways, potentially through its polysaccharides, polyphenols, or mineral components.</w:t>
      </w:r>
    </w:p>
    <w:p w14:paraId="20CA725E" w14:textId="73ABF74E" w:rsidR="00BB2651" w:rsidRDefault="00F621ED" w:rsidP="00BB2651">
      <w:pPr>
        <w:spacing w:line="240" w:lineRule="auto"/>
        <w:ind w:firstLine="720"/>
        <w:jc w:val="both"/>
        <w:rPr>
          <w:rFonts w:ascii="Times New Roman" w:hAnsi="Times New Roman" w:cs="Times New Roman"/>
          <w:szCs w:val="24"/>
        </w:rPr>
      </w:pPr>
      <w:r w:rsidRPr="00F621ED">
        <w:rPr>
          <w:rFonts w:ascii="Times New Roman" w:hAnsi="Times New Roman" w:cs="Times New Roman"/>
          <w:szCs w:val="24"/>
        </w:rPr>
        <w:t xml:space="preserve">The improved haematological stability observed in our study also parallels the findings of </w:t>
      </w:r>
      <w:proofErr w:type="spellStart"/>
      <w:r w:rsidRPr="00F621ED">
        <w:rPr>
          <w:rFonts w:ascii="Times New Roman" w:hAnsi="Times New Roman" w:cs="Times New Roman"/>
          <w:szCs w:val="24"/>
        </w:rPr>
        <w:t>Siddik</w:t>
      </w:r>
      <w:proofErr w:type="spellEnd"/>
      <w:r w:rsidRPr="00F621ED">
        <w:rPr>
          <w:rFonts w:ascii="Times New Roman" w:hAnsi="Times New Roman" w:cs="Times New Roman"/>
          <w:szCs w:val="24"/>
        </w:rPr>
        <w:t xml:space="preserve"> et al. (2024), who demonstrated that </w:t>
      </w:r>
      <w:proofErr w:type="spellStart"/>
      <w:r w:rsidRPr="00F621ED">
        <w:rPr>
          <w:rFonts w:ascii="Times New Roman" w:hAnsi="Times New Roman" w:cs="Times New Roman"/>
          <w:i/>
          <w:iCs/>
          <w:szCs w:val="24"/>
        </w:rPr>
        <w:t>Gracilaria</w:t>
      </w:r>
      <w:proofErr w:type="spellEnd"/>
      <w:r w:rsidRPr="00F621ED">
        <w:rPr>
          <w:rFonts w:ascii="Times New Roman" w:hAnsi="Times New Roman" w:cs="Times New Roman"/>
          <w:i/>
          <w:iCs/>
          <w:szCs w:val="24"/>
        </w:rPr>
        <w:t xml:space="preserve"> </w:t>
      </w:r>
      <w:proofErr w:type="spellStart"/>
      <w:r w:rsidRPr="00F621ED">
        <w:rPr>
          <w:rFonts w:ascii="Times New Roman" w:hAnsi="Times New Roman" w:cs="Times New Roman"/>
          <w:i/>
          <w:iCs/>
          <w:szCs w:val="24"/>
        </w:rPr>
        <w:t>tenuistipitata</w:t>
      </w:r>
      <w:proofErr w:type="spellEnd"/>
      <w:r w:rsidRPr="00F621ED">
        <w:rPr>
          <w:rFonts w:ascii="Times New Roman" w:hAnsi="Times New Roman" w:cs="Times New Roman"/>
          <w:szCs w:val="24"/>
        </w:rPr>
        <w:t xml:space="preserve"> extract protected RBC integrity under acute thermal stress. Their work showed significantly higher RBC counts and markedly reduced cellular abnormalities in treated fish, attributable to the antioxidant and cytoprotective properties of seaweed </w:t>
      </w:r>
      <w:proofErr w:type="spellStart"/>
      <w:r w:rsidRPr="00F621ED">
        <w:rPr>
          <w:rFonts w:ascii="Times New Roman" w:hAnsi="Times New Roman" w:cs="Times New Roman"/>
          <w:szCs w:val="24"/>
        </w:rPr>
        <w:t>bioactives</w:t>
      </w:r>
      <w:proofErr w:type="spellEnd"/>
      <w:r w:rsidRPr="00F621ED">
        <w:rPr>
          <w:rFonts w:ascii="Times New Roman" w:hAnsi="Times New Roman" w:cs="Times New Roman"/>
          <w:szCs w:val="24"/>
        </w:rPr>
        <w:t>. Although our experiment did not involve stress induction, the elevated RBC indices (MCV and MCHC) in T</w:t>
      </w:r>
      <w:r w:rsidRPr="00F621ED">
        <w:rPr>
          <w:rFonts w:ascii="Times New Roman" w:hAnsi="Times New Roman" w:cs="Times New Roman"/>
          <w:szCs w:val="24"/>
          <w:vertAlign w:val="subscript"/>
        </w:rPr>
        <w:t>4</w:t>
      </w:r>
      <w:r w:rsidRPr="00F621ED">
        <w:rPr>
          <w:rFonts w:ascii="Times New Roman" w:hAnsi="Times New Roman" w:cs="Times New Roman"/>
          <w:szCs w:val="24"/>
        </w:rPr>
        <w:t xml:space="preserve"> suggest enhanced erythrocyte health and resilience, possibly reflecting a similar mechanism of membrane stabilization and oxidative defence.</w:t>
      </w:r>
      <w:r w:rsidR="002C4648">
        <w:rPr>
          <w:rFonts w:ascii="Times New Roman" w:hAnsi="Times New Roman" w:cs="Times New Roman"/>
          <w:szCs w:val="24"/>
        </w:rPr>
        <w:t xml:space="preserve"> </w:t>
      </w:r>
      <w:r w:rsidRPr="00F621ED">
        <w:rPr>
          <w:rFonts w:ascii="Times New Roman" w:hAnsi="Times New Roman" w:cs="Times New Roman"/>
          <w:szCs w:val="24"/>
        </w:rPr>
        <w:t>Taken together, these converging findings indicate that seaweed-based dietary supplements consistently enhance blood physiology in aquaculture species through two major mechanisms: (</w:t>
      </w:r>
      <w:proofErr w:type="spellStart"/>
      <w:r w:rsidRPr="00F621ED">
        <w:rPr>
          <w:rFonts w:ascii="Times New Roman" w:hAnsi="Times New Roman" w:cs="Times New Roman"/>
          <w:szCs w:val="24"/>
        </w:rPr>
        <w:t>i</w:t>
      </w:r>
      <w:proofErr w:type="spellEnd"/>
      <w:r w:rsidRPr="00F621ED">
        <w:rPr>
          <w:rFonts w:ascii="Times New Roman" w:hAnsi="Times New Roman" w:cs="Times New Roman"/>
          <w:szCs w:val="24"/>
        </w:rPr>
        <w:t xml:space="preserve">) </w:t>
      </w:r>
      <w:proofErr w:type="spellStart"/>
      <w:r w:rsidRPr="00F621ED">
        <w:rPr>
          <w:rFonts w:ascii="Times New Roman" w:hAnsi="Times New Roman" w:cs="Times New Roman"/>
          <w:szCs w:val="24"/>
        </w:rPr>
        <w:t>immunostimulation</w:t>
      </w:r>
      <w:proofErr w:type="spellEnd"/>
      <w:r w:rsidRPr="00F621ED">
        <w:rPr>
          <w:rFonts w:ascii="Times New Roman" w:hAnsi="Times New Roman" w:cs="Times New Roman"/>
          <w:szCs w:val="24"/>
        </w:rPr>
        <w:t xml:space="preserve"> mediated by bioactive polysaccharides and polyphenols, leading to increased WBCs, serum proteins</w:t>
      </w:r>
      <w:r w:rsidR="00EF2CE8">
        <w:rPr>
          <w:rFonts w:ascii="Times New Roman" w:hAnsi="Times New Roman" w:cs="Times New Roman"/>
          <w:szCs w:val="24"/>
        </w:rPr>
        <w:t xml:space="preserve"> </w:t>
      </w:r>
      <w:r w:rsidRPr="00F621ED">
        <w:rPr>
          <w:rFonts w:ascii="Times New Roman" w:hAnsi="Times New Roman" w:cs="Times New Roman"/>
          <w:szCs w:val="24"/>
        </w:rPr>
        <w:t xml:space="preserve">and lysozyme activity (Ashour et al., 2020; Nur et al., 2020; </w:t>
      </w:r>
      <w:proofErr w:type="spellStart"/>
      <w:r w:rsidRPr="00F621ED">
        <w:rPr>
          <w:rFonts w:ascii="Times New Roman" w:hAnsi="Times New Roman" w:cs="Times New Roman"/>
          <w:szCs w:val="24"/>
        </w:rPr>
        <w:t>Siddik</w:t>
      </w:r>
      <w:proofErr w:type="spellEnd"/>
      <w:r w:rsidRPr="00F621ED">
        <w:rPr>
          <w:rFonts w:ascii="Times New Roman" w:hAnsi="Times New Roman" w:cs="Times New Roman"/>
          <w:szCs w:val="24"/>
        </w:rPr>
        <w:t xml:space="preserve"> et al., 2024) and (ii) antioxidant protection that enhances erythrocyte stability, reduces cellular abnormalities, and improves haemoglobin content (</w:t>
      </w:r>
      <w:proofErr w:type="spellStart"/>
      <w:r w:rsidRPr="00F621ED">
        <w:rPr>
          <w:rFonts w:ascii="Times New Roman" w:hAnsi="Times New Roman" w:cs="Times New Roman"/>
          <w:szCs w:val="24"/>
        </w:rPr>
        <w:t>Siddik</w:t>
      </w:r>
      <w:proofErr w:type="spellEnd"/>
      <w:r w:rsidRPr="00F621ED">
        <w:rPr>
          <w:rFonts w:ascii="Times New Roman" w:hAnsi="Times New Roman" w:cs="Times New Roman"/>
          <w:szCs w:val="24"/>
        </w:rPr>
        <w:t xml:space="preserve"> et al., 2024; Shahabuddin et al., 2024). The haematological improvements observed in </w:t>
      </w:r>
      <w:r w:rsidRPr="00F621ED">
        <w:rPr>
          <w:rFonts w:ascii="Times New Roman" w:hAnsi="Times New Roman" w:cs="Times New Roman"/>
          <w:i/>
          <w:iCs/>
          <w:szCs w:val="24"/>
        </w:rPr>
        <w:t xml:space="preserve">L. </w:t>
      </w:r>
      <w:proofErr w:type="spellStart"/>
      <w:r w:rsidRPr="00F621ED">
        <w:rPr>
          <w:rFonts w:ascii="Times New Roman" w:hAnsi="Times New Roman" w:cs="Times New Roman"/>
          <w:i/>
          <w:iCs/>
          <w:szCs w:val="24"/>
        </w:rPr>
        <w:t>rohita</w:t>
      </w:r>
      <w:proofErr w:type="spellEnd"/>
      <w:r w:rsidRPr="00F621ED">
        <w:rPr>
          <w:rFonts w:ascii="Times New Roman" w:hAnsi="Times New Roman" w:cs="Times New Roman"/>
          <w:szCs w:val="24"/>
        </w:rPr>
        <w:t xml:space="preserve"> fed </w:t>
      </w:r>
      <w:r w:rsidRPr="00F621ED">
        <w:rPr>
          <w:rFonts w:ascii="Times New Roman" w:hAnsi="Times New Roman" w:cs="Times New Roman"/>
          <w:i/>
          <w:iCs/>
          <w:szCs w:val="24"/>
        </w:rPr>
        <w:t xml:space="preserve">K. </w:t>
      </w:r>
      <w:proofErr w:type="spellStart"/>
      <w:r w:rsidRPr="00F621ED">
        <w:rPr>
          <w:rFonts w:ascii="Times New Roman" w:hAnsi="Times New Roman" w:cs="Times New Roman"/>
          <w:i/>
          <w:iCs/>
          <w:szCs w:val="24"/>
        </w:rPr>
        <w:t>alvarezii</w:t>
      </w:r>
      <w:proofErr w:type="spellEnd"/>
      <w:r w:rsidRPr="00F621ED">
        <w:rPr>
          <w:rFonts w:ascii="Times New Roman" w:hAnsi="Times New Roman" w:cs="Times New Roman"/>
          <w:szCs w:val="24"/>
        </w:rPr>
        <w:t xml:space="preserve"> sap therefore reflect both enhanced immune capability and improved physiological robustness, which collectively support healthier metabolic performance and better resilience against environmental stressors.</w:t>
      </w:r>
      <w:r w:rsidR="00BB2651">
        <w:rPr>
          <w:rFonts w:ascii="Times New Roman" w:hAnsi="Times New Roman" w:cs="Times New Roman"/>
          <w:szCs w:val="24"/>
        </w:rPr>
        <w:t xml:space="preserve"> </w:t>
      </w:r>
    </w:p>
    <w:p w14:paraId="1192459C" w14:textId="273B6818" w:rsidR="00F621ED" w:rsidRPr="00F621ED" w:rsidRDefault="00F621ED" w:rsidP="00BB2651">
      <w:pPr>
        <w:spacing w:line="240" w:lineRule="auto"/>
        <w:ind w:firstLine="720"/>
        <w:jc w:val="both"/>
        <w:rPr>
          <w:rFonts w:ascii="Times New Roman" w:hAnsi="Times New Roman" w:cs="Times New Roman"/>
          <w:szCs w:val="24"/>
        </w:rPr>
      </w:pPr>
      <w:r w:rsidRPr="00F621ED">
        <w:rPr>
          <w:rFonts w:ascii="Times New Roman" w:hAnsi="Times New Roman" w:cs="Times New Roman"/>
          <w:szCs w:val="24"/>
        </w:rPr>
        <w:t xml:space="preserve">Overall, the positive haematological responses in the present study, supported by the extensive evidence from comparable seaweed supplementation research, indicate that </w:t>
      </w:r>
      <w:r w:rsidRPr="00F621ED">
        <w:rPr>
          <w:rFonts w:ascii="Times New Roman" w:hAnsi="Times New Roman" w:cs="Times New Roman"/>
          <w:i/>
          <w:iCs/>
          <w:szCs w:val="24"/>
        </w:rPr>
        <w:t xml:space="preserve">K. </w:t>
      </w:r>
      <w:proofErr w:type="spellStart"/>
      <w:r w:rsidRPr="00F621ED">
        <w:rPr>
          <w:rFonts w:ascii="Times New Roman" w:hAnsi="Times New Roman" w:cs="Times New Roman"/>
          <w:i/>
          <w:iCs/>
          <w:szCs w:val="24"/>
        </w:rPr>
        <w:t>alvarezii</w:t>
      </w:r>
      <w:proofErr w:type="spellEnd"/>
      <w:r w:rsidRPr="00F621ED">
        <w:rPr>
          <w:rFonts w:ascii="Times New Roman" w:hAnsi="Times New Roman" w:cs="Times New Roman"/>
          <w:szCs w:val="24"/>
        </w:rPr>
        <w:t xml:space="preserve"> sap is a promising functional feed additive. The superior performance of T4 suggests that a 20% inclusion level may be optimal for improving blood health, immune competence, and overall physiological condition in </w:t>
      </w:r>
      <w:r w:rsidRPr="00F621ED">
        <w:rPr>
          <w:rFonts w:ascii="Times New Roman" w:hAnsi="Times New Roman" w:cs="Times New Roman"/>
          <w:i/>
          <w:iCs/>
          <w:szCs w:val="24"/>
        </w:rPr>
        <w:t xml:space="preserve">L. </w:t>
      </w:r>
      <w:proofErr w:type="spellStart"/>
      <w:r w:rsidRPr="00F621ED">
        <w:rPr>
          <w:rFonts w:ascii="Times New Roman" w:hAnsi="Times New Roman" w:cs="Times New Roman"/>
          <w:i/>
          <w:iCs/>
          <w:szCs w:val="24"/>
        </w:rPr>
        <w:t>rohita</w:t>
      </w:r>
      <w:proofErr w:type="spellEnd"/>
      <w:r w:rsidRPr="00F621ED">
        <w:rPr>
          <w:rFonts w:ascii="Times New Roman" w:hAnsi="Times New Roman" w:cs="Times New Roman"/>
          <w:szCs w:val="24"/>
        </w:rPr>
        <w:t>. This aligns with the broader consensus that seaweed-derived products can play a significant role in enhancing fish health, productivity</w:t>
      </w:r>
      <w:r w:rsidR="00EC196B">
        <w:rPr>
          <w:rFonts w:ascii="Times New Roman" w:hAnsi="Times New Roman" w:cs="Times New Roman"/>
          <w:szCs w:val="24"/>
        </w:rPr>
        <w:t xml:space="preserve"> </w:t>
      </w:r>
      <w:r w:rsidRPr="00F621ED">
        <w:rPr>
          <w:rFonts w:ascii="Times New Roman" w:hAnsi="Times New Roman" w:cs="Times New Roman"/>
          <w:szCs w:val="24"/>
        </w:rPr>
        <w:t xml:space="preserve">and sustainability in aquaculture systems. Future studies investigating long-term effects, stress responses and mechanisms at the molecular level would further elucidate the full potential of </w:t>
      </w:r>
      <w:r w:rsidRPr="00F621ED">
        <w:rPr>
          <w:rFonts w:ascii="Times New Roman" w:hAnsi="Times New Roman" w:cs="Times New Roman"/>
          <w:i/>
          <w:iCs/>
          <w:szCs w:val="24"/>
        </w:rPr>
        <w:t xml:space="preserve">K. </w:t>
      </w:r>
      <w:proofErr w:type="spellStart"/>
      <w:r w:rsidRPr="00F621ED">
        <w:rPr>
          <w:rFonts w:ascii="Times New Roman" w:hAnsi="Times New Roman" w:cs="Times New Roman"/>
          <w:i/>
          <w:iCs/>
          <w:szCs w:val="24"/>
        </w:rPr>
        <w:t>alvarezii</w:t>
      </w:r>
      <w:proofErr w:type="spellEnd"/>
      <w:r w:rsidRPr="00F621ED">
        <w:rPr>
          <w:rFonts w:ascii="Times New Roman" w:hAnsi="Times New Roman" w:cs="Times New Roman"/>
          <w:szCs w:val="24"/>
        </w:rPr>
        <w:t xml:space="preserve"> sap as an aquafeed supplement.</w:t>
      </w:r>
    </w:p>
    <w:p w14:paraId="338533C2" w14:textId="12E8A707" w:rsidR="003E0144" w:rsidRPr="003E0144" w:rsidRDefault="00224372" w:rsidP="003E0144">
      <w:pPr>
        <w:spacing w:line="240" w:lineRule="auto"/>
        <w:jc w:val="both"/>
        <w:rPr>
          <w:rFonts w:ascii="Times New Roman" w:hAnsi="Times New Roman" w:cs="Times New Roman"/>
          <w:szCs w:val="24"/>
        </w:rPr>
      </w:pPr>
      <w:r w:rsidRPr="007908DC">
        <w:rPr>
          <w:rFonts w:ascii="Times New Roman" w:hAnsi="Times New Roman" w:cs="Times New Roman"/>
          <w:b/>
          <w:bCs/>
          <w:szCs w:val="24"/>
        </w:rPr>
        <w:t>CONCLUSION</w:t>
      </w:r>
      <w:r w:rsidR="007908DC" w:rsidRPr="007908DC">
        <w:rPr>
          <w:rFonts w:ascii="Times New Roman" w:hAnsi="Times New Roman" w:cs="Times New Roman"/>
          <w:b/>
          <w:bCs/>
          <w:szCs w:val="24"/>
        </w:rPr>
        <w:br/>
      </w:r>
      <w:r w:rsidR="007908DC">
        <w:rPr>
          <w:rFonts w:ascii="Times New Roman" w:hAnsi="Times New Roman" w:cs="Times New Roman"/>
          <w:b/>
          <w:bCs/>
          <w:szCs w:val="24"/>
        </w:rPr>
        <w:tab/>
      </w:r>
      <w:r w:rsidR="003E0144" w:rsidRPr="003E0144">
        <w:rPr>
          <w:rFonts w:ascii="Times New Roman" w:hAnsi="Times New Roman" w:cs="Times New Roman"/>
          <w:szCs w:val="24"/>
        </w:rPr>
        <w:t xml:space="preserve">This study demonstrates that supplementing the diet of </w:t>
      </w:r>
      <w:r w:rsidR="003E0144" w:rsidRPr="003E0144">
        <w:rPr>
          <w:rFonts w:ascii="Times New Roman" w:hAnsi="Times New Roman" w:cs="Times New Roman"/>
          <w:i/>
          <w:iCs/>
          <w:szCs w:val="24"/>
        </w:rPr>
        <w:t>L</w:t>
      </w:r>
      <w:r w:rsidR="003E0144">
        <w:rPr>
          <w:rFonts w:ascii="Times New Roman" w:hAnsi="Times New Roman" w:cs="Times New Roman"/>
          <w:i/>
          <w:iCs/>
          <w:szCs w:val="24"/>
        </w:rPr>
        <w:t>.</w:t>
      </w:r>
      <w:r w:rsidR="003E0144" w:rsidRPr="003E0144">
        <w:rPr>
          <w:rFonts w:ascii="Times New Roman" w:hAnsi="Times New Roman" w:cs="Times New Roman"/>
          <w:i/>
          <w:iCs/>
          <w:szCs w:val="24"/>
        </w:rPr>
        <w:t xml:space="preserve"> </w:t>
      </w:r>
      <w:proofErr w:type="spellStart"/>
      <w:r w:rsidR="003E0144" w:rsidRPr="003E0144">
        <w:rPr>
          <w:rFonts w:ascii="Times New Roman" w:hAnsi="Times New Roman" w:cs="Times New Roman"/>
          <w:i/>
          <w:iCs/>
          <w:szCs w:val="24"/>
        </w:rPr>
        <w:t>rohita</w:t>
      </w:r>
      <w:proofErr w:type="spellEnd"/>
      <w:r w:rsidR="003E0144" w:rsidRPr="003E0144">
        <w:rPr>
          <w:rFonts w:ascii="Times New Roman" w:hAnsi="Times New Roman" w:cs="Times New Roman"/>
          <w:szCs w:val="24"/>
        </w:rPr>
        <w:t xml:space="preserve"> fingerlings with </w:t>
      </w:r>
      <w:r w:rsidR="003E0144" w:rsidRPr="003E0144">
        <w:rPr>
          <w:rFonts w:ascii="Times New Roman" w:hAnsi="Times New Roman" w:cs="Times New Roman"/>
          <w:i/>
          <w:iCs/>
          <w:szCs w:val="24"/>
        </w:rPr>
        <w:t>K</w:t>
      </w:r>
      <w:r w:rsidR="003E0144">
        <w:rPr>
          <w:rFonts w:ascii="Times New Roman" w:hAnsi="Times New Roman" w:cs="Times New Roman"/>
          <w:i/>
          <w:iCs/>
          <w:szCs w:val="24"/>
        </w:rPr>
        <w:t>.</w:t>
      </w:r>
      <w:r w:rsidR="003E0144" w:rsidRPr="003E0144">
        <w:rPr>
          <w:rFonts w:ascii="Times New Roman" w:hAnsi="Times New Roman" w:cs="Times New Roman"/>
          <w:i/>
          <w:iCs/>
          <w:szCs w:val="24"/>
        </w:rPr>
        <w:t xml:space="preserve"> </w:t>
      </w:r>
      <w:proofErr w:type="spellStart"/>
      <w:r w:rsidR="003E0144" w:rsidRPr="003E0144">
        <w:rPr>
          <w:rFonts w:ascii="Times New Roman" w:hAnsi="Times New Roman" w:cs="Times New Roman"/>
          <w:i/>
          <w:iCs/>
          <w:szCs w:val="24"/>
        </w:rPr>
        <w:t>alvarezii</w:t>
      </w:r>
      <w:proofErr w:type="spellEnd"/>
      <w:r w:rsidR="003E0144" w:rsidRPr="003E0144">
        <w:rPr>
          <w:rFonts w:ascii="Times New Roman" w:hAnsi="Times New Roman" w:cs="Times New Roman"/>
          <w:szCs w:val="24"/>
        </w:rPr>
        <w:t xml:space="preserve"> sap significantly improves key haematological parameters, including RBC, WBC, haemoglobin, haematocrit, MCV</w:t>
      </w:r>
      <w:r w:rsidR="00EC196B">
        <w:rPr>
          <w:rFonts w:ascii="Times New Roman" w:hAnsi="Times New Roman" w:cs="Times New Roman"/>
          <w:szCs w:val="24"/>
        </w:rPr>
        <w:t xml:space="preserve"> </w:t>
      </w:r>
      <w:r w:rsidR="003E0144" w:rsidRPr="003E0144">
        <w:rPr>
          <w:rFonts w:ascii="Times New Roman" w:hAnsi="Times New Roman" w:cs="Times New Roman"/>
          <w:szCs w:val="24"/>
        </w:rPr>
        <w:t>and MCHC. The highest inclusion level (20%, T</w:t>
      </w:r>
      <w:r w:rsidR="003E0144" w:rsidRPr="003E0144">
        <w:rPr>
          <w:rFonts w:ascii="Times New Roman" w:hAnsi="Times New Roman" w:cs="Times New Roman"/>
          <w:szCs w:val="24"/>
          <w:vertAlign w:val="subscript"/>
        </w:rPr>
        <w:t>4</w:t>
      </w:r>
      <w:r w:rsidR="003E0144" w:rsidRPr="003E0144">
        <w:rPr>
          <w:rFonts w:ascii="Times New Roman" w:hAnsi="Times New Roman" w:cs="Times New Roman"/>
          <w:szCs w:val="24"/>
        </w:rPr>
        <w:t xml:space="preserve">) produced the strongest physiological and immunological benefits, indicating enhanced health and metabolic efficiency. These findings highlight the potential of </w:t>
      </w:r>
      <w:r w:rsidR="003E0144" w:rsidRPr="003E0144">
        <w:rPr>
          <w:rFonts w:ascii="Times New Roman" w:hAnsi="Times New Roman" w:cs="Times New Roman"/>
          <w:i/>
          <w:iCs/>
          <w:szCs w:val="24"/>
        </w:rPr>
        <w:t xml:space="preserve">K. </w:t>
      </w:r>
      <w:proofErr w:type="spellStart"/>
      <w:r w:rsidR="003E0144" w:rsidRPr="003E0144">
        <w:rPr>
          <w:rFonts w:ascii="Times New Roman" w:hAnsi="Times New Roman" w:cs="Times New Roman"/>
          <w:i/>
          <w:iCs/>
          <w:szCs w:val="24"/>
        </w:rPr>
        <w:t>alvarezii</w:t>
      </w:r>
      <w:proofErr w:type="spellEnd"/>
      <w:r w:rsidR="003E0144" w:rsidRPr="003E0144">
        <w:rPr>
          <w:rFonts w:ascii="Times New Roman" w:hAnsi="Times New Roman" w:cs="Times New Roman"/>
          <w:szCs w:val="24"/>
        </w:rPr>
        <w:t xml:space="preserve"> sap as an effective natural feed additive. Incorporating the sap at 20% in fish diets can therefore be recommended to promote better health and productivity in aquaculture systems.</w:t>
      </w:r>
    </w:p>
    <w:p w14:paraId="268E75BE" w14:textId="77777777" w:rsidR="008E1714" w:rsidRPr="00837B6C" w:rsidRDefault="008E1714" w:rsidP="008E1714">
      <w:pPr>
        <w:rPr>
          <w:rFonts w:ascii="Times New Roman" w:hAnsi="Times New Roman" w:cs="Times New Roman"/>
          <w:b/>
          <w:bCs/>
        </w:rPr>
      </w:pPr>
      <w:bookmarkStart w:id="2" w:name="_Hlk190852809"/>
      <w:bookmarkEnd w:id="1"/>
      <w:r w:rsidRPr="00837B6C">
        <w:rPr>
          <w:rFonts w:ascii="Times New Roman" w:hAnsi="Times New Roman" w:cs="Times New Roman"/>
          <w:b/>
          <w:bCs/>
        </w:rPr>
        <w:t>Disclaimer (Artificial intelligence)</w:t>
      </w:r>
    </w:p>
    <w:p w14:paraId="57BD20C9" w14:textId="6A130ECF" w:rsidR="008E1714" w:rsidRPr="00837B6C" w:rsidRDefault="008E1714" w:rsidP="008E1714">
      <w:pPr>
        <w:rPr>
          <w:rFonts w:ascii="Times New Roman" w:hAnsi="Times New Roman" w:cs="Times New Roman"/>
        </w:rPr>
      </w:pPr>
      <w:r w:rsidRPr="00837B6C">
        <w:rPr>
          <w:rFonts w:ascii="Times New Roman" w:hAnsi="Times New Roman" w:cs="Times New Roman"/>
        </w:rPr>
        <w:lastRenderedPageBreak/>
        <w:t xml:space="preserve">Author(s) hereby declare that NO generative AI technologies such as Large Language Models and text-to-image generators have been used during the writing or editing of this manuscript. </w:t>
      </w:r>
    </w:p>
    <w:bookmarkEnd w:id="2"/>
    <w:p w14:paraId="0AC86E65" w14:textId="77777777" w:rsidR="002D710A" w:rsidRPr="00355EE4" w:rsidRDefault="0091255F" w:rsidP="007908DC">
      <w:pPr>
        <w:jc w:val="both"/>
        <w:rPr>
          <w:rFonts w:ascii="Times New Roman" w:hAnsi="Times New Roman" w:cs="Times New Roman"/>
          <w:b/>
          <w:bCs/>
          <w:szCs w:val="24"/>
          <w:lang w:val="de-DE"/>
        </w:rPr>
      </w:pPr>
      <w:r w:rsidRPr="00355EE4">
        <w:rPr>
          <w:rFonts w:ascii="Times New Roman" w:hAnsi="Times New Roman" w:cs="Times New Roman"/>
          <w:b/>
          <w:bCs/>
          <w:szCs w:val="24"/>
          <w:lang w:val="de-DE"/>
        </w:rPr>
        <w:t>References</w:t>
      </w:r>
    </w:p>
    <w:p w14:paraId="463FBCE2" w14:textId="069AB229" w:rsidR="0047721A" w:rsidRDefault="001E00D4" w:rsidP="001E00D4">
      <w:pPr>
        <w:pStyle w:val="ListParagraph"/>
        <w:numPr>
          <w:ilvl w:val="0"/>
          <w:numId w:val="5"/>
        </w:numPr>
        <w:jc w:val="both"/>
        <w:rPr>
          <w:rFonts w:ascii="Times New Roman" w:hAnsi="Times New Roman" w:cs="Times New Roman"/>
          <w:szCs w:val="24"/>
        </w:rPr>
      </w:pPr>
      <w:r w:rsidRPr="001E00D4">
        <w:rPr>
          <w:rFonts w:ascii="Times New Roman" w:hAnsi="Times New Roman" w:cs="Times New Roman"/>
          <w:szCs w:val="24"/>
        </w:rPr>
        <w:t xml:space="preserve">FAO. (2024). The State of World Fisheries and Aquaculture 2024: Blue transformation in action. Rome: Food and Agriculture Organization of the United Nations. </w:t>
      </w:r>
      <w:hyperlink r:id="rId7" w:history="1">
        <w:r w:rsidRPr="005A4A15">
          <w:rPr>
            <w:rStyle w:val="Hyperlink"/>
            <w:rFonts w:ascii="Times New Roman" w:hAnsi="Times New Roman" w:cs="Times New Roman"/>
            <w:szCs w:val="24"/>
          </w:rPr>
          <w:t>https://doi.org/10.4060/cd0683en</w:t>
        </w:r>
      </w:hyperlink>
      <w:r>
        <w:rPr>
          <w:rFonts w:ascii="Times New Roman" w:hAnsi="Times New Roman" w:cs="Times New Roman"/>
          <w:szCs w:val="24"/>
        </w:rPr>
        <w:t xml:space="preserve"> </w:t>
      </w:r>
      <w:r w:rsidR="00112653">
        <w:rPr>
          <w:rFonts w:ascii="Times New Roman" w:hAnsi="Times New Roman" w:cs="Times New Roman"/>
          <w:szCs w:val="24"/>
        </w:rPr>
        <w:t xml:space="preserve"> </w:t>
      </w:r>
    </w:p>
    <w:p w14:paraId="45FB6FAE" w14:textId="61A66FF0" w:rsidR="000B3D8D" w:rsidRPr="006E27C6" w:rsidRDefault="000B3D8D" w:rsidP="000B3D8D">
      <w:pPr>
        <w:pStyle w:val="ListParagraph"/>
        <w:numPr>
          <w:ilvl w:val="0"/>
          <w:numId w:val="5"/>
        </w:numPr>
        <w:jc w:val="both"/>
        <w:rPr>
          <w:rFonts w:ascii="Times New Roman" w:hAnsi="Times New Roman" w:cs="Times New Roman"/>
          <w:szCs w:val="24"/>
        </w:rPr>
      </w:pPr>
      <w:r w:rsidRPr="006E27C6">
        <w:rPr>
          <w:rFonts w:ascii="Times New Roman" w:hAnsi="Times New Roman" w:cs="Times New Roman"/>
          <w:szCs w:val="24"/>
        </w:rPr>
        <w:t xml:space="preserve">FAO. (2022). </w:t>
      </w:r>
      <w:r w:rsidRPr="00FD0495">
        <w:rPr>
          <w:rFonts w:ascii="Times New Roman" w:hAnsi="Times New Roman" w:cs="Times New Roman"/>
          <w:szCs w:val="24"/>
        </w:rPr>
        <w:t>The State of World Fisheries and Aquaculture 2022: Towards blue transformation.</w:t>
      </w:r>
      <w:r w:rsidRPr="006E27C6">
        <w:rPr>
          <w:rFonts w:ascii="Times New Roman" w:hAnsi="Times New Roman" w:cs="Times New Roman"/>
          <w:szCs w:val="24"/>
        </w:rPr>
        <w:t xml:space="preserve"> Rome: Food and Agriculture Organization of the United Nations.</w:t>
      </w:r>
    </w:p>
    <w:p w14:paraId="54085720" w14:textId="2473C680" w:rsidR="006E27C6" w:rsidRPr="006E27C6" w:rsidRDefault="00EF589F" w:rsidP="006E27C6">
      <w:pPr>
        <w:pStyle w:val="ListParagraph"/>
        <w:numPr>
          <w:ilvl w:val="0"/>
          <w:numId w:val="5"/>
        </w:numPr>
        <w:jc w:val="both"/>
        <w:rPr>
          <w:rFonts w:ascii="Times New Roman" w:hAnsi="Times New Roman" w:cs="Times New Roman"/>
          <w:szCs w:val="24"/>
          <w:lang w:val="de-DE"/>
        </w:rPr>
      </w:pPr>
      <w:r w:rsidRPr="006E27C6">
        <w:rPr>
          <w:rFonts w:ascii="Times New Roman" w:hAnsi="Times New Roman" w:cs="Times New Roman"/>
          <w:szCs w:val="24"/>
        </w:rPr>
        <w:t xml:space="preserve">Jayasankar, P. (2018). Present status of freshwater aquaculture in India – A review. Indian </w:t>
      </w:r>
      <w:r w:rsidRPr="00A23605">
        <w:rPr>
          <w:rFonts w:ascii="Times New Roman" w:hAnsi="Times New Roman" w:cs="Times New Roman"/>
          <w:i/>
          <w:iCs/>
          <w:szCs w:val="24"/>
        </w:rPr>
        <w:t>Journal of Fisheries</w:t>
      </w:r>
      <w:r w:rsidRPr="006E27C6">
        <w:rPr>
          <w:rFonts w:ascii="Times New Roman" w:hAnsi="Times New Roman" w:cs="Times New Roman"/>
          <w:szCs w:val="24"/>
        </w:rPr>
        <w:t xml:space="preserve">, 65(4), 157–165. </w:t>
      </w:r>
      <w:hyperlink r:id="rId8" w:history="1">
        <w:r w:rsidRPr="006E27C6">
          <w:rPr>
            <w:rStyle w:val="Hyperlink"/>
            <w:rFonts w:ascii="Times New Roman" w:hAnsi="Times New Roman" w:cs="Times New Roman"/>
            <w:szCs w:val="24"/>
          </w:rPr>
          <w:t>https://doi.org/10.21077/ijf.2018.65.4.81300-20</w:t>
        </w:r>
      </w:hyperlink>
      <w:r w:rsidRPr="006E27C6">
        <w:rPr>
          <w:rFonts w:ascii="Times New Roman" w:hAnsi="Times New Roman" w:cs="Times New Roman"/>
          <w:szCs w:val="24"/>
        </w:rPr>
        <w:t xml:space="preserve"> </w:t>
      </w:r>
    </w:p>
    <w:p w14:paraId="3FE16BD5" w14:textId="77777777" w:rsidR="006E27C6" w:rsidRPr="00355EE4" w:rsidRDefault="006E27C6" w:rsidP="006E27C6">
      <w:pPr>
        <w:pStyle w:val="ListParagraph"/>
        <w:numPr>
          <w:ilvl w:val="0"/>
          <w:numId w:val="5"/>
        </w:numPr>
        <w:jc w:val="both"/>
        <w:rPr>
          <w:rFonts w:ascii="Times New Roman" w:hAnsi="Times New Roman" w:cs="Times New Roman"/>
          <w:szCs w:val="24"/>
        </w:rPr>
      </w:pPr>
      <w:r w:rsidRPr="00355EE4">
        <w:rPr>
          <w:rFonts w:ascii="Times New Roman" w:hAnsi="Times New Roman" w:cs="Times New Roman"/>
          <w:szCs w:val="24"/>
        </w:rPr>
        <w:t xml:space="preserve">FAO. (2020). </w:t>
      </w:r>
      <w:r w:rsidRPr="00FD0495">
        <w:rPr>
          <w:rFonts w:ascii="Times New Roman" w:hAnsi="Times New Roman" w:cs="Times New Roman"/>
          <w:szCs w:val="24"/>
        </w:rPr>
        <w:t>The State of World Fisheries and Aquaculture 2020: Sustainability in action</w:t>
      </w:r>
      <w:r w:rsidRPr="00355EE4">
        <w:rPr>
          <w:rFonts w:ascii="Times New Roman" w:hAnsi="Times New Roman" w:cs="Times New Roman"/>
          <w:szCs w:val="24"/>
        </w:rPr>
        <w:t xml:space="preserve">. Rome. </w:t>
      </w:r>
      <w:hyperlink r:id="rId9" w:tgtFrame="_new" w:history="1">
        <w:r w:rsidRPr="00355EE4">
          <w:rPr>
            <w:rStyle w:val="Hyperlink"/>
            <w:rFonts w:ascii="Times New Roman" w:hAnsi="Times New Roman" w:cs="Times New Roman"/>
            <w:szCs w:val="24"/>
          </w:rPr>
          <w:t>https://doi.org/10.4060/ca9229en</w:t>
        </w:r>
      </w:hyperlink>
    </w:p>
    <w:p w14:paraId="378EE714" w14:textId="53CD2E80" w:rsidR="0047721A" w:rsidRDefault="00E338DA" w:rsidP="00E338DA">
      <w:pPr>
        <w:pStyle w:val="ListParagraph"/>
        <w:numPr>
          <w:ilvl w:val="0"/>
          <w:numId w:val="5"/>
        </w:numPr>
        <w:jc w:val="both"/>
        <w:rPr>
          <w:rFonts w:ascii="Times New Roman" w:hAnsi="Times New Roman" w:cs="Times New Roman"/>
          <w:szCs w:val="24"/>
        </w:rPr>
      </w:pPr>
      <w:r w:rsidRPr="00E338DA">
        <w:rPr>
          <w:rFonts w:ascii="Times New Roman" w:hAnsi="Times New Roman" w:cs="Times New Roman"/>
          <w:szCs w:val="24"/>
        </w:rPr>
        <w:t xml:space="preserve">Nissa, M. U., Reddy, P. J., Pinto, N., Sun, Z., Ghosh, B., Moritz, R. L., et al. (2022). The Peptide Atlas of </w:t>
      </w:r>
      <w:r w:rsidRPr="00FD0495">
        <w:rPr>
          <w:rFonts w:ascii="Times New Roman" w:hAnsi="Times New Roman" w:cs="Times New Roman"/>
          <w:i/>
          <w:iCs/>
          <w:szCs w:val="24"/>
        </w:rPr>
        <w:t xml:space="preserve">Labeo </w:t>
      </w:r>
      <w:proofErr w:type="spellStart"/>
      <w:r w:rsidRPr="00FD0495">
        <w:rPr>
          <w:rFonts w:ascii="Times New Roman" w:hAnsi="Times New Roman" w:cs="Times New Roman"/>
          <w:i/>
          <w:iCs/>
          <w:szCs w:val="24"/>
        </w:rPr>
        <w:t>rohita</w:t>
      </w:r>
      <w:proofErr w:type="spellEnd"/>
      <w:r w:rsidRPr="00E338DA">
        <w:rPr>
          <w:rFonts w:ascii="Times New Roman" w:hAnsi="Times New Roman" w:cs="Times New Roman"/>
          <w:szCs w:val="24"/>
        </w:rPr>
        <w:t xml:space="preserve">: A resource for the aquaculture community. </w:t>
      </w:r>
      <w:r w:rsidRPr="00FD0495">
        <w:rPr>
          <w:rFonts w:ascii="Times New Roman" w:hAnsi="Times New Roman" w:cs="Times New Roman"/>
          <w:i/>
          <w:iCs/>
          <w:szCs w:val="24"/>
        </w:rPr>
        <w:t>Scientific Data</w:t>
      </w:r>
      <w:r w:rsidRPr="00E338DA">
        <w:rPr>
          <w:rFonts w:ascii="Times New Roman" w:hAnsi="Times New Roman" w:cs="Times New Roman"/>
          <w:szCs w:val="24"/>
        </w:rPr>
        <w:t xml:space="preserve">. </w:t>
      </w:r>
      <w:hyperlink r:id="rId10" w:history="1">
        <w:r w:rsidRPr="005A4A15">
          <w:rPr>
            <w:rStyle w:val="Hyperlink"/>
            <w:rFonts w:ascii="Times New Roman" w:hAnsi="Times New Roman" w:cs="Times New Roman"/>
            <w:szCs w:val="24"/>
          </w:rPr>
          <w:t>https://doi.org/10.1038/s41597-022-01322-6</w:t>
        </w:r>
      </w:hyperlink>
      <w:r>
        <w:rPr>
          <w:rFonts w:ascii="Times New Roman" w:hAnsi="Times New Roman" w:cs="Times New Roman"/>
          <w:szCs w:val="24"/>
        </w:rPr>
        <w:t xml:space="preserve"> </w:t>
      </w:r>
    </w:p>
    <w:p w14:paraId="0043AB88" w14:textId="572F97FC" w:rsidR="00F331AA" w:rsidRPr="0047721A" w:rsidRDefault="007C6085" w:rsidP="007C6085">
      <w:pPr>
        <w:pStyle w:val="ListParagraph"/>
        <w:numPr>
          <w:ilvl w:val="0"/>
          <w:numId w:val="5"/>
        </w:numPr>
        <w:jc w:val="both"/>
        <w:rPr>
          <w:rFonts w:ascii="Times New Roman" w:hAnsi="Times New Roman" w:cs="Times New Roman"/>
          <w:szCs w:val="24"/>
          <w:lang w:val="de-DE"/>
        </w:rPr>
      </w:pPr>
      <w:r w:rsidRPr="007C6085">
        <w:rPr>
          <w:rFonts w:ascii="Times New Roman" w:hAnsi="Times New Roman" w:cs="Times New Roman"/>
          <w:szCs w:val="24"/>
        </w:rPr>
        <w:t xml:space="preserve">Hardy, R. W. (2010). Utilization of plant proteins in fish diets: Effects of global demand and supplies of fishmeal. Aquaculture Research, 41(5), 770–776. </w:t>
      </w:r>
      <w:hyperlink r:id="rId11" w:history="1">
        <w:r w:rsidRPr="005A4A15">
          <w:rPr>
            <w:rStyle w:val="Hyperlink"/>
            <w:rFonts w:ascii="Times New Roman" w:hAnsi="Times New Roman" w:cs="Times New Roman"/>
            <w:szCs w:val="24"/>
          </w:rPr>
          <w:t>https://doi.org/10.1111/j.1365-2109.2009.02349.x</w:t>
        </w:r>
      </w:hyperlink>
      <w:r>
        <w:rPr>
          <w:rFonts w:ascii="Times New Roman" w:hAnsi="Times New Roman" w:cs="Times New Roman"/>
          <w:szCs w:val="24"/>
        </w:rPr>
        <w:t xml:space="preserve"> </w:t>
      </w:r>
    </w:p>
    <w:p w14:paraId="3F183BE6" w14:textId="5A9A0C2A" w:rsidR="0047721A" w:rsidRDefault="00285B06" w:rsidP="00285B06">
      <w:pPr>
        <w:pStyle w:val="ListParagraph"/>
        <w:numPr>
          <w:ilvl w:val="0"/>
          <w:numId w:val="5"/>
        </w:numPr>
        <w:jc w:val="both"/>
        <w:rPr>
          <w:rFonts w:ascii="Times New Roman" w:hAnsi="Times New Roman" w:cs="Times New Roman"/>
          <w:szCs w:val="24"/>
        </w:rPr>
      </w:pPr>
      <w:r w:rsidRPr="00285B06">
        <w:rPr>
          <w:rFonts w:ascii="Times New Roman" w:hAnsi="Times New Roman" w:cs="Times New Roman"/>
          <w:szCs w:val="24"/>
        </w:rPr>
        <w:t>Pereira, R., Valente, L. M. P., Sousa-Pinto, I., &amp; Rema, P. (2012). Apparent digestibility of nutrients from seaweed in rainbow trout (</w:t>
      </w:r>
      <w:r w:rsidRPr="00FD0495">
        <w:rPr>
          <w:rFonts w:ascii="Times New Roman" w:hAnsi="Times New Roman" w:cs="Times New Roman"/>
          <w:i/>
          <w:iCs/>
          <w:szCs w:val="24"/>
        </w:rPr>
        <w:t>Oncorhynchus mykiss</w:t>
      </w:r>
      <w:r w:rsidRPr="00285B06">
        <w:rPr>
          <w:rFonts w:ascii="Times New Roman" w:hAnsi="Times New Roman" w:cs="Times New Roman"/>
          <w:szCs w:val="24"/>
        </w:rPr>
        <w:t>) and Nile tilapia (</w:t>
      </w:r>
      <w:r w:rsidRPr="00FD0495">
        <w:rPr>
          <w:rFonts w:ascii="Times New Roman" w:hAnsi="Times New Roman" w:cs="Times New Roman"/>
          <w:i/>
          <w:iCs/>
          <w:szCs w:val="24"/>
        </w:rPr>
        <w:t>Oreochromis niloticus).</w:t>
      </w:r>
      <w:r w:rsidR="00FD0495">
        <w:rPr>
          <w:rFonts w:ascii="Times New Roman" w:hAnsi="Times New Roman" w:cs="Times New Roman"/>
          <w:szCs w:val="24"/>
        </w:rPr>
        <w:t xml:space="preserve"> </w:t>
      </w:r>
      <w:r w:rsidRPr="00FD0495">
        <w:rPr>
          <w:rFonts w:ascii="Times New Roman" w:hAnsi="Times New Roman" w:cs="Times New Roman"/>
          <w:i/>
          <w:iCs/>
          <w:szCs w:val="24"/>
        </w:rPr>
        <w:t>Algal Research</w:t>
      </w:r>
      <w:r w:rsidRPr="00285B06">
        <w:rPr>
          <w:rFonts w:ascii="Times New Roman" w:hAnsi="Times New Roman" w:cs="Times New Roman"/>
          <w:szCs w:val="24"/>
        </w:rPr>
        <w:t xml:space="preserve">, 1(1), 77–82. </w:t>
      </w:r>
      <w:hyperlink r:id="rId12" w:history="1">
        <w:r w:rsidRPr="005A4A15">
          <w:rPr>
            <w:rStyle w:val="Hyperlink"/>
            <w:rFonts w:ascii="Times New Roman" w:hAnsi="Times New Roman" w:cs="Times New Roman"/>
            <w:szCs w:val="24"/>
          </w:rPr>
          <w:t>https://doi.org/10.1016/j.algal.2012.04.002</w:t>
        </w:r>
      </w:hyperlink>
      <w:r>
        <w:rPr>
          <w:rFonts w:ascii="Times New Roman" w:hAnsi="Times New Roman" w:cs="Times New Roman"/>
          <w:szCs w:val="24"/>
        </w:rPr>
        <w:t xml:space="preserve"> </w:t>
      </w:r>
    </w:p>
    <w:p w14:paraId="1FBEC8F0" w14:textId="5B3E6CD6" w:rsidR="00F331AA" w:rsidRPr="00F331AA" w:rsidRDefault="00856F87" w:rsidP="00856F87">
      <w:pPr>
        <w:pStyle w:val="ListParagraph"/>
        <w:numPr>
          <w:ilvl w:val="0"/>
          <w:numId w:val="5"/>
        </w:numPr>
        <w:jc w:val="both"/>
        <w:rPr>
          <w:rFonts w:ascii="Times New Roman" w:hAnsi="Times New Roman" w:cs="Times New Roman"/>
          <w:szCs w:val="24"/>
        </w:rPr>
      </w:pPr>
      <w:r w:rsidRPr="00856F87">
        <w:rPr>
          <w:rFonts w:ascii="Times New Roman" w:hAnsi="Times New Roman" w:cs="Times New Roman"/>
          <w:szCs w:val="24"/>
        </w:rPr>
        <w:t xml:space="preserve">Ashour, M., Mabrouk, M. M., Abo-Taleb, H. A., </w:t>
      </w:r>
      <w:proofErr w:type="spellStart"/>
      <w:r w:rsidRPr="00856F87">
        <w:rPr>
          <w:rFonts w:ascii="Times New Roman" w:hAnsi="Times New Roman" w:cs="Times New Roman"/>
          <w:szCs w:val="24"/>
        </w:rPr>
        <w:t>Sharawy</w:t>
      </w:r>
      <w:proofErr w:type="spellEnd"/>
      <w:r w:rsidRPr="00856F87">
        <w:rPr>
          <w:rFonts w:ascii="Times New Roman" w:hAnsi="Times New Roman" w:cs="Times New Roman"/>
          <w:szCs w:val="24"/>
        </w:rPr>
        <w:t xml:space="preserve">, Z. Z., Ayoub, H. F., Van Doan, H., Davies, S. J., El-Haroun, E., &amp; Goda, A. M. A. (2021). A liquid seaweed extract (TAM®) improves aqueous rearing environment, diversity of zooplankton community, whilst enhancing growth and immune response of Nile tilapia, </w:t>
      </w:r>
      <w:r w:rsidRPr="00FD0495">
        <w:rPr>
          <w:rFonts w:ascii="Times New Roman" w:hAnsi="Times New Roman" w:cs="Times New Roman"/>
          <w:i/>
          <w:iCs/>
          <w:szCs w:val="24"/>
        </w:rPr>
        <w:t>Oreochromis niloticus</w:t>
      </w:r>
      <w:r w:rsidRPr="00856F87">
        <w:rPr>
          <w:rFonts w:ascii="Times New Roman" w:hAnsi="Times New Roman" w:cs="Times New Roman"/>
          <w:szCs w:val="24"/>
        </w:rPr>
        <w:t xml:space="preserve">, challenged by </w:t>
      </w:r>
      <w:r w:rsidRPr="00FD0495">
        <w:rPr>
          <w:rFonts w:ascii="Times New Roman" w:hAnsi="Times New Roman" w:cs="Times New Roman"/>
          <w:i/>
          <w:iCs/>
          <w:szCs w:val="24"/>
        </w:rPr>
        <w:t xml:space="preserve">Aeromonas </w:t>
      </w:r>
      <w:proofErr w:type="spellStart"/>
      <w:r w:rsidRPr="00FD0495">
        <w:rPr>
          <w:rFonts w:ascii="Times New Roman" w:hAnsi="Times New Roman" w:cs="Times New Roman"/>
          <w:i/>
          <w:iCs/>
          <w:szCs w:val="24"/>
        </w:rPr>
        <w:t>hydrophila</w:t>
      </w:r>
      <w:proofErr w:type="spellEnd"/>
      <w:r w:rsidRPr="00856F87">
        <w:rPr>
          <w:rFonts w:ascii="Times New Roman" w:hAnsi="Times New Roman" w:cs="Times New Roman"/>
          <w:szCs w:val="24"/>
        </w:rPr>
        <w:t xml:space="preserve">. </w:t>
      </w:r>
      <w:r w:rsidRPr="00FD0495">
        <w:rPr>
          <w:rFonts w:ascii="Times New Roman" w:hAnsi="Times New Roman" w:cs="Times New Roman"/>
          <w:i/>
          <w:iCs/>
          <w:szCs w:val="24"/>
        </w:rPr>
        <w:t>Aquaculture</w:t>
      </w:r>
      <w:r w:rsidRPr="00856F87">
        <w:rPr>
          <w:rFonts w:ascii="Times New Roman" w:hAnsi="Times New Roman" w:cs="Times New Roman"/>
          <w:szCs w:val="24"/>
        </w:rPr>
        <w:t xml:space="preserve">, 543, 736915. </w:t>
      </w:r>
      <w:hyperlink r:id="rId13" w:history="1">
        <w:r w:rsidRPr="005A4A15">
          <w:rPr>
            <w:rStyle w:val="Hyperlink"/>
            <w:rFonts w:ascii="Times New Roman" w:hAnsi="Times New Roman" w:cs="Times New Roman"/>
            <w:szCs w:val="24"/>
          </w:rPr>
          <w:t>https://doi.org/10.1016/j.aquaculture.2021.736915</w:t>
        </w:r>
      </w:hyperlink>
      <w:r>
        <w:rPr>
          <w:rFonts w:ascii="Times New Roman" w:hAnsi="Times New Roman" w:cs="Times New Roman"/>
          <w:szCs w:val="24"/>
        </w:rPr>
        <w:t xml:space="preserve"> </w:t>
      </w:r>
    </w:p>
    <w:p w14:paraId="752F7401" w14:textId="7F3C8BF6" w:rsidR="00F331AA" w:rsidRDefault="00CF4DA8" w:rsidP="00CF4DA8">
      <w:pPr>
        <w:pStyle w:val="ListParagraph"/>
        <w:numPr>
          <w:ilvl w:val="0"/>
          <w:numId w:val="5"/>
        </w:numPr>
        <w:jc w:val="both"/>
        <w:rPr>
          <w:rFonts w:ascii="Times New Roman" w:hAnsi="Times New Roman" w:cs="Times New Roman"/>
          <w:szCs w:val="24"/>
        </w:rPr>
      </w:pPr>
      <w:proofErr w:type="spellStart"/>
      <w:r w:rsidRPr="00CF4DA8">
        <w:rPr>
          <w:rFonts w:ascii="Times New Roman" w:hAnsi="Times New Roman" w:cs="Times New Roman"/>
          <w:szCs w:val="24"/>
        </w:rPr>
        <w:t>Siddik</w:t>
      </w:r>
      <w:proofErr w:type="spellEnd"/>
      <w:r w:rsidRPr="00CF4DA8">
        <w:rPr>
          <w:rFonts w:ascii="Times New Roman" w:hAnsi="Times New Roman" w:cs="Times New Roman"/>
          <w:szCs w:val="24"/>
        </w:rPr>
        <w:t xml:space="preserve">, M. A. B., Francis, P., </w:t>
      </w:r>
      <w:proofErr w:type="spellStart"/>
      <w:r w:rsidRPr="00CF4DA8">
        <w:rPr>
          <w:rFonts w:ascii="Times New Roman" w:hAnsi="Times New Roman" w:cs="Times New Roman"/>
          <w:szCs w:val="24"/>
        </w:rPr>
        <w:t>Foysal</w:t>
      </w:r>
      <w:proofErr w:type="spellEnd"/>
      <w:r w:rsidRPr="00CF4DA8">
        <w:rPr>
          <w:rFonts w:ascii="Times New Roman" w:hAnsi="Times New Roman" w:cs="Times New Roman"/>
          <w:szCs w:val="24"/>
        </w:rPr>
        <w:t xml:space="preserve">, M. J., &amp; Francis, D. S. (2024). Dietary seaweed extract mitigates oxidative stress in Nile tilapia by modulating inflammatory response and gut microbiota. </w:t>
      </w:r>
      <w:r w:rsidRPr="00FD0495">
        <w:rPr>
          <w:rFonts w:ascii="Times New Roman" w:hAnsi="Times New Roman" w:cs="Times New Roman"/>
          <w:i/>
          <w:iCs/>
          <w:szCs w:val="24"/>
        </w:rPr>
        <w:t>Frontiers in Immunology</w:t>
      </w:r>
      <w:r w:rsidRPr="00CF4DA8">
        <w:rPr>
          <w:rFonts w:ascii="Times New Roman" w:hAnsi="Times New Roman" w:cs="Times New Roman"/>
          <w:szCs w:val="24"/>
        </w:rPr>
        <w:t xml:space="preserve">, 15, 1471261. </w:t>
      </w:r>
      <w:hyperlink r:id="rId14" w:history="1">
        <w:r w:rsidRPr="005A4A15">
          <w:rPr>
            <w:rStyle w:val="Hyperlink"/>
            <w:rFonts w:ascii="Times New Roman" w:hAnsi="Times New Roman" w:cs="Times New Roman"/>
            <w:szCs w:val="24"/>
          </w:rPr>
          <w:t>https://doi.org/10.3389/fimmu.2024.1471261</w:t>
        </w:r>
      </w:hyperlink>
      <w:r>
        <w:rPr>
          <w:rFonts w:ascii="Times New Roman" w:hAnsi="Times New Roman" w:cs="Times New Roman"/>
          <w:szCs w:val="24"/>
        </w:rPr>
        <w:t xml:space="preserve"> </w:t>
      </w:r>
    </w:p>
    <w:p w14:paraId="774007C4" w14:textId="0B3089E4" w:rsidR="00F331AA" w:rsidRDefault="00B00622" w:rsidP="00B00622">
      <w:pPr>
        <w:pStyle w:val="ListParagraph"/>
        <w:numPr>
          <w:ilvl w:val="0"/>
          <w:numId w:val="5"/>
        </w:numPr>
        <w:jc w:val="both"/>
        <w:rPr>
          <w:rFonts w:ascii="Times New Roman" w:hAnsi="Times New Roman" w:cs="Times New Roman"/>
          <w:szCs w:val="24"/>
        </w:rPr>
      </w:pPr>
      <w:r w:rsidRPr="00B00622">
        <w:rPr>
          <w:rFonts w:ascii="Times New Roman" w:hAnsi="Times New Roman" w:cs="Times New Roman"/>
          <w:szCs w:val="24"/>
        </w:rPr>
        <w:t xml:space="preserve">CMFRI. (2024). Marine fish landings in India 2023 (Booklet Series No. 33/2024). ICAR–Central Marine Fisheries Research Institute. </w:t>
      </w:r>
      <w:hyperlink r:id="rId15" w:history="1">
        <w:r w:rsidRPr="005A4A15">
          <w:rPr>
            <w:rStyle w:val="Hyperlink"/>
            <w:rFonts w:ascii="Times New Roman" w:hAnsi="Times New Roman" w:cs="Times New Roman"/>
            <w:szCs w:val="24"/>
          </w:rPr>
          <w:t>https://eprints.cmfri.org.in/id/eprint/17090/</w:t>
        </w:r>
      </w:hyperlink>
      <w:r>
        <w:rPr>
          <w:rFonts w:ascii="Times New Roman" w:hAnsi="Times New Roman" w:cs="Times New Roman"/>
          <w:szCs w:val="24"/>
        </w:rPr>
        <w:t xml:space="preserve"> </w:t>
      </w:r>
    </w:p>
    <w:p w14:paraId="15806E11" w14:textId="4097E726" w:rsidR="00E43117" w:rsidRDefault="00E43117" w:rsidP="00B00622">
      <w:pPr>
        <w:pStyle w:val="ListParagraph"/>
        <w:numPr>
          <w:ilvl w:val="0"/>
          <w:numId w:val="5"/>
        </w:numPr>
        <w:jc w:val="both"/>
        <w:rPr>
          <w:rFonts w:ascii="Times New Roman" w:hAnsi="Times New Roman" w:cs="Times New Roman"/>
          <w:szCs w:val="24"/>
        </w:rPr>
      </w:pPr>
      <w:r w:rsidRPr="00E43117">
        <w:rPr>
          <w:rFonts w:ascii="Times New Roman" w:hAnsi="Times New Roman" w:cs="Times New Roman"/>
          <w:szCs w:val="24"/>
        </w:rPr>
        <w:t>Chen, H., &amp; Luo, D. (2023). Application of haematology parameters for health management in fish farms. </w:t>
      </w:r>
      <w:r w:rsidRPr="00E43117">
        <w:rPr>
          <w:rFonts w:ascii="Times New Roman" w:hAnsi="Times New Roman" w:cs="Times New Roman"/>
          <w:i/>
          <w:iCs/>
          <w:szCs w:val="24"/>
        </w:rPr>
        <w:t>Reviews in Aquaculture</w:t>
      </w:r>
      <w:r w:rsidRPr="00E43117">
        <w:rPr>
          <w:rFonts w:ascii="Times New Roman" w:hAnsi="Times New Roman" w:cs="Times New Roman"/>
          <w:szCs w:val="24"/>
        </w:rPr>
        <w:t>, </w:t>
      </w:r>
      <w:r w:rsidRPr="00E43117">
        <w:rPr>
          <w:rFonts w:ascii="Times New Roman" w:hAnsi="Times New Roman" w:cs="Times New Roman"/>
          <w:i/>
          <w:iCs/>
          <w:szCs w:val="24"/>
        </w:rPr>
        <w:t>15</w:t>
      </w:r>
      <w:r w:rsidRPr="00E43117">
        <w:rPr>
          <w:rFonts w:ascii="Times New Roman" w:hAnsi="Times New Roman" w:cs="Times New Roman"/>
          <w:szCs w:val="24"/>
        </w:rPr>
        <w:t>(2), 704-737.</w:t>
      </w:r>
      <w:r>
        <w:rPr>
          <w:rFonts w:ascii="Times New Roman" w:hAnsi="Times New Roman" w:cs="Times New Roman"/>
          <w:szCs w:val="24"/>
        </w:rPr>
        <w:t xml:space="preserve"> </w:t>
      </w:r>
      <w:hyperlink r:id="rId16" w:history="1">
        <w:r w:rsidRPr="008C4A37">
          <w:rPr>
            <w:rStyle w:val="Hyperlink"/>
            <w:rFonts w:ascii="Times New Roman" w:hAnsi="Times New Roman" w:cs="Times New Roman"/>
            <w:szCs w:val="24"/>
          </w:rPr>
          <w:t>https://doi.org/10.1111/raq.12753</w:t>
        </w:r>
      </w:hyperlink>
      <w:r>
        <w:rPr>
          <w:rFonts w:ascii="Times New Roman" w:hAnsi="Times New Roman" w:cs="Times New Roman"/>
          <w:szCs w:val="24"/>
        </w:rPr>
        <w:t xml:space="preserve"> </w:t>
      </w:r>
    </w:p>
    <w:p w14:paraId="06C000E4" w14:textId="3004A4EE" w:rsidR="00E43117" w:rsidRDefault="00E43117" w:rsidP="00B00622">
      <w:pPr>
        <w:pStyle w:val="ListParagraph"/>
        <w:numPr>
          <w:ilvl w:val="0"/>
          <w:numId w:val="5"/>
        </w:numPr>
        <w:jc w:val="both"/>
        <w:rPr>
          <w:rFonts w:ascii="Times New Roman" w:hAnsi="Times New Roman" w:cs="Times New Roman"/>
          <w:szCs w:val="24"/>
        </w:rPr>
      </w:pPr>
      <w:r w:rsidRPr="00E43117">
        <w:rPr>
          <w:rFonts w:ascii="Times New Roman" w:hAnsi="Times New Roman" w:cs="Times New Roman"/>
          <w:szCs w:val="24"/>
        </w:rPr>
        <w:t>Esmaeili, N. (2021). Blood performance: a new formula for fish growth and health. </w:t>
      </w:r>
      <w:r w:rsidRPr="00E43117">
        <w:rPr>
          <w:rFonts w:ascii="Times New Roman" w:hAnsi="Times New Roman" w:cs="Times New Roman"/>
          <w:i/>
          <w:iCs/>
          <w:szCs w:val="24"/>
        </w:rPr>
        <w:t>Biology</w:t>
      </w:r>
      <w:r w:rsidRPr="00E43117">
        <w:rPr>
          <w:rFonts w:ascii="Times New Roman" w:hAnsi="Times New Roman" w:cs="Times New Roman"/>
          <w:szCs w:val="24"/>
        </w:rPr>
        <w:t>, </w:t>
      </w:r>
      <w:r w:rsidRPr="00E43117">
        <w:rPr>
          <w:rFonts w:ascii="Times New Roman" w:hAnsi="Times New Roman" w:cs="Times New Roman"/>
          <w:i/>
          <w:iCs/>
          <w:szCs w:val="24"/>
        </w:rPr>
        <w:t>10</w:t>
      </w:r>
      <w:r w:rsidRPr="00E43117">
        <w:rPr>
          <w:rFonts w:ascii="Times New Roman" w:hAnsi="Times New Roman" w:cs="Times New Roman"/>
          <w:szCs w:val="24"/>
        </w:rPr>
        <w:t>(12), 1236.</w:t>
      </w:r>
      <w:r>
        <w:rPr>
          <w:rFonts w:ascii="Times New Roman" w:hAnsi="Times New Roman" w:cs="Times New Roman"/>
          <w:szCs w:val="24"/>
        </w:rPr>
        <w:t xml:space="preserve"> </w:t>
      </w:r>
      <w:hyperlink r:id="rId17" w:history="1">
        <w:r w:rsidRPr="008C4A37">
          <w:rPr>
            <w:rStyle w:val="Hyperlink"/>
            <w:rFonts w:ascii="Times New Roman" w:hAnsi="Times New Roman" w:cs="Times New Roman"/>
            <w:szCs w:val="24"/>
          </w:rPr>
          <w:t>https://doi.org/10.3390/biology10121236</w:t>
        </w:r>
      </w:hyperlink>
      <w:r>
        <w:rPr>
          <w:rFonts w:ascii="Times New Roman" w:hAnsi="Times New Roman" w:cs="Times New Roman"/>
          <w:szCs w:val="24"/>
        </w:rPr>
        <w:t xml:space="preserve"> </w:t>
      </w:r>
    </w:p>
    <w:p w14:paraId="0FAFEE54" w14:textId="06059545" w:rsidR="00E43117" w:rsidRDefault="00E43117" w:rsidP="00B00622">
      <w:pPr>
        <w:pStyle w:val="ListParagraph"/>
        <w:numPr>
          <w:ilvl w:val="0"/>
          <w:numId w:val="5"/>
        </w:numPr>
        <w:jc w:val="both"/>
        <w:rPr>
          <w:rFonts w:ascii="Times New Roman" w:hAnsi="Times New Roman" w:cs="Times New Roman"/>
          <w:szCs w:val="24"/>
        </w:rPr>
      </w:pPr>
      <w:proofErr w:type="spellStart"/>
      <w:r w:rsidRPr="00E43117">
        <w:rPr>
          <w:rFonts w:ascii="Times New Roman" w:hAnsi="Times New Roman" w:cs="Times New Roman"/>
          <w:szCs w:val="24"/>
        </w:rPr>
        <w:lastRenderedPageBreak/>
        <w:t>Witeska</w:t>
      </w:r>
      <w:proofErr w:type="spellEnd"/>
      <w:r w:rsidRPr="00E43117">
        <w:rPr>
          <w:rFonts w:ascii="Times New Roman" w:hAnsi="Times New Roman" w:cs="Times New Roman"/>
          <w:szCs w:val="24"/>
        </w:rPr>
        <w:t xml:space="preserve">, M., </w:t>
      </w:r>
      <w:proofErr w:type="spellStart"/>
      <w:r w:rsidRPr="00E43117">
        <w:rPr>
          <w:rFonts w:ascii="Times New Roman" w:hAnsi="Times New Roman" w:cs="Times New Roman"/>
          <w:szCs w:val="24"/>
        </w:rPr>
        <w:t>Kondera</w:t>
      </w:r>
      <w:proofErr w:type="spellEnd"/>
      <w:r w:rsidRPr="00E43117">
        <w:rPr>
          <w:rFonts w:ascii="Times New Roman" w:hAnsi="Times New Roman" w:cs="Times New Roman"/>
          <w:szCs w:val="24"/>
        </w:rPr>
        <w:t xml:space="preserve">, E., &amp; Bojarski, B. (2023). </w:t>
      </w:r>
      <w:proofErr w:type="spellStart"/>
      <w:r w:rsidRPr="00E43117">
        <w:rPr>
          <w:rFonts w:ascii="Times New Roman" w:hAnsi="Times New Roman" w:cs="Times New Roman"/>
          <w:szCs w:val="24"/>
        </w:rPr>
        <w:t>Hematological</w:t>
      </w:r>
      <w:proofErr w:type="spellEnd"/>
      <w:r w:rsidRPr="00E43117">
        <w:rPr>
          <w:rFonts w:ascii="Times New Roman" w:hAnsi="Times New Roman" w:cs="Times New Roman"/>
          <w:szCs w:val="24"/>
        </w:rPr>
        <w:t xml:space="preserve"> and hematopoietic analysis in fish toxicology—A review. </w:t>
      </w:r>
      <w:r w:rsidRPr="00E43117">
        <w:rPr>
          <w:rFonts w:ascii="Times New Roman" w:hAnsi="Times New Roman" w:cs="Times New Roman"/>
          <w:i/>
          <w:iCs/>
          <w:szCs w:val="24"/>
        </w:rPr>
        <w:t>Animals</w:t>
      </w:r>
      <w:r w:rsidRPr="00E43117">
        <w:rPr>
          <w:rFonts w:ascii="Times New Roman" w:hAnsi="Times New Roman" w:cs="Times New Roman"/>
          <w:szCs w:val="24"/>
        </w:rPr>
        <w:t>, </w:t>
      </w:r>
      <w:r w:rsidRPr="00E43117">
        <w:rPr>
          <w:rFonts w:ascii="Times New Roman" w:hAnsi="Times New Roman" w:cs="Times New Roman"/>
          <w:i/>
          <w:iCs/>
          <w:szCs w:val="24"/>
        </w:rPr>
        <w:t>13</w:t>
      </w:r>
      <w:r w:rsidRPr="00E43117">
        <w:rPr>
          <w:rFonts w:ascii="Times New Roman" w:hAnsi="Times New Roman" w:cs="Times New Roman"/>
          <w:szCs w:val="24"/>
        </w:rPr>
        <w:t>(16), 2625.</w:t>
      </w:r>
      <w:r>
        <w:rPr>
          <w:rFonts w:ascii="Times New Roman" w:hAnsi="Times New Roman" w:cs="Times New Roman"/>
          <w:szCs w:val="24"/>
        </w:rPr>
        <w:t xml:space="preserve"> </w:t>
      </w:r>
      <w:hyperlink r:id="rId18" w:history="1">
        <w:r w:rsidRPr="008C4A37">
          <w:rPr>
            <w:rStyle w:val="Hyperlink"/>
            <w:rFonts w:ascii="Times New Roman" w:hAnsi="Times New Roman" w:cs="Times New Roman"/>
            <w:szCs w:val="24"/>
          </w:rPr>
          <w:t>https://doi.org/10.3390/ani13162625</w:t>
        </w:r>
      </w:hyperlink>
      <w:r>
        <w:rPr>
          <w:rFonts w:ascii="Times New Roman" w:hAnsi="Times New Roman" w:cs="Times New Roman"/>
          <w:szCs w:val="24"/>
        </w:rPr>
        <w:t xml:space="preserve"> </w:t>
      </w:r>
    </w:p>
    <w:p w14:paraId="7FAEB4CD" w14:textId="3A806CDE" w:rsidR="00E43117" w:rsidRDefault="00E43117" w:rsidP="00B00622">
      <w:pPr>
        <w:pStyle w:val="ListParagraph"/>
        <w:numPr>
          <w:ilvl w:val="0"/>
          <w:numId w:val="5"/>
        </w:numPr>
        <w:jc w:val="both"/>
        <w:rPr>
          <w:rFonts w:ascii="Times New Roman" w:hAnsi="Times New Roman" w:cs="Times New Roman"/>
          <w:szCs w:val="24"/>
        </w:rPr>
      </w:pPr>
      <w:r w:rsidRPr="00E43117">
        <w:rPr>
          <w:rFonts w:ascii="Times New Roman" w:hAnsi="Times New Roman" w:cs="Times New Roman"/>
          <w:szCs w:val="24"/>
        </w:rPr>
        <w:t>Hasan, M. R., &amp; Chakrabarti, R. (2009). </w:t>
      </w:r>
      <w:r w:rsidRPr="00FD0495">
        <w:rPr>
          <w:rFonts w:ascii="Times New Roman" w:hAnsi="Times New Roman" w:cs="Times New Roman"/>
          <w:szCs w:val="24"/>
        </w:rPr>
        <w:t>Use of algae and aquatic macrophytes as feed in small-scale aquaculture-A review.</w:t>
      </w:r>
      <w:r w:rsidR="00FD0495">
        <w:rPr>
          <w:rFonts w:ascii="Times New Roman" w:hAnsi="Times New Roman" w:cs="Times New Roman"/>
          <w:szCs w:val="24"/>
        </w:rPr>
        <w:t xml:space="preserve"> </w:t>
      </w:r>
      <w:r w:rsidR="00FD0495" w:rsidRPr="001E00D4">
        <w:rPr>
          <w:rFonts w:ascii="Times New Roman" w:hAnsi="Times New Roman" w:cs="Times New Roman"/>
          <w:szCs w:val="24"/>
        </w:rPr>
        <w:t>Rome: Food and Agriculture Organization of the United Nations</w:t>
      </w:r>
      <w:r w:rsidR="00FD0495">
        <w:rPr>
          <w:rFonts w:ascii="Times New Roman" w:hAnsi="Times New Roman" w:cs="Times New Roman"/>
          <w:szCs w:val="24"/>
        </w:rPr>
        <w:t>.</w:t>
      </w:r>
    </w:p>
    <w:p w14:paraId="1E7896AA" w14:textId="46754428" w:rsidR="00B56BBF" w:rsidRDefault="00B56BBF" w:rsidP="00B00622">
      <w:pPr>
        <w:pStyle w:val="ListParagraph"/>
        <w:numPr>
          <w:ilvl w:val="0"/>
          <w:numId w:val="5"/>
        </w:numPr>
        <w:jc w:val="both"/>
        <w:rPr>
          <w:rFonts w:ascii="Times New Roman" w:hAnsi="Times New Roman" w:cs="Times New Roman"/>
          <w:szCs w:val="24"/>
        </w:rPr>
      </w:pPr>
      <w:r w:rsidRPr="00B56BBF">
        <w:rPr>
          <w:rFonts w:ascii="Times New Roman" w:hAnsi="Times New Roman" w:cs="Times New Roman"/>
          <w:szCs w:val="24"/>
        </w:rPr>
        <w:t>Ma, M., &amp; Hu, Q. (2024). Microalgae as feed sources and feed additives for sustainable aquaculture: Prospects and challenges. </w:t>
      </w:r>
      <w:r w:rsidRPr="00B56BBF">
        <w:rPr>
          <w:rFonts w:ascii="Times New Roman" w:hAnsi="Times New Roman" w:cs="Times New Roman"/>
          <w:i/>
          <w:iCs/>
          <w:szCs w:val="24"/>
        </w:rPr>
        <w:t>Reviews in Aquaculture</w:t>
      </w:r>
      <w:r w:rsidRPr="00B56BBF">
        <w:rPr>
          <w:rFonts w:ascii="Times New Roman" w:hAnsi="Times New Roman" w:cs="Times New Roman"/>
          <w:szCs w:val="24"/>
        </w:rPr>
        <w:t>, </w:t>
      </w:r>
      <w:r w:rsidRPr="00B56BBF">
        <w:rPr>
          <w:rFonts w:ascii="Times New Roman" w:hAnsi="Times New Roman" w:cs="Times New Roman"/>
          <w:i/>
          <w:iCs/>
          <w:szCs w:val="24"/>
        </w:rPr>
        <w:t>16</w:t>
      </w:r>
      <w:r w:rsidRPr="00B56BBF">
        <w:rPr>
          <w:rFonts w:ascii="Times New Roman" w:hAnsi="Times New Roman" w:cs="Times New Roman"/>
          <w:szCs w:val="24"/>
        </w:rPr>
        <w:t>(2), 818-835.</w:t>
      </w:r>
      <w:r>
        <w:rPr>
          <w:rFonts w:ascii="Times New Roman" w:hAnsi="Times New Roman" w:cs="Times New Roman"/>
          <w:szCs w:val="24"/>
        </w:rPr>
        <w:t xml:space="preserve"> </w:t>
      </w:r>
      <w:hyperlink r:id="rId19" w:history="1">
        <w:r w:rsidRPr="008C4A37">
          <w:rPr>
            <w:rStyle w:val="Hyperlink"/>
            <w:rFonts w:ascii="Times New Roman" w:hAnsi="Times New Roman" w:cs="Times New Roman"/>
            <w:szCs w:val="24"/>
          </w:rPr>
          <w:t>https://doi.org/10.1111/raq.12869</w:t>
        </w:r>
      </w:hyperlink>
      <w:r>
        <w:rPr>
          <w:rFonts w:ascii="Times New Roman" w:hAnsi="Times New Roman" w:cs="Times New Roman"/>
          <w:szCs w:val="24"/>
        </w:rPr>
        <w:t xml:space="preserve"> </w:t>
      </w:r>
    </w:p>
    <w:p w14:paraId="0699EF31" w14:textId="47358974" w:rsidR="00636C9F" w:rsidRPr="00A85CFD" w:rsidRDefault="00636C9F" w:rsidP="00B00622">
      <w:pPr>
        <w:pStyle w:val="ListParagraph"/>
        <w:numPr>
          <w:ilvl w:val="0"/>
          <w:numId w:val="5"/>
        </w:numPr>
        <w:jc w:val="both"/>
        <w:rPr>
          <w:rFonts w:ascii="Times New Roman" w:hAnsi="Times New Roman" w:cs="Times New Roman"/>
          <w:szCs w:val="24"/>
        </w:rPr>
      </w:pPr>
      <w:proofErr w:type="spellStart"/>
      <w:r w:rsidRPr="00636C9F">
        <w:rPr>
          <w:rFonts w:ascii="Times New Roman" w:hAnsi="Times New Roman" w:cs="Times New Roman"/>
          <w:szCs w:val="24"/>
        </w:rPr>
        <w:t>Shapawi</w:t>
      </w:r>
      <w:proofErr w:type="spellEnd"/>
      <w:r w:rsidRPr="00636C9F">
        <w:rPr>
          <w:rFonts w:ascii="Times New Roman" w:hAnsi="Times New Roman" w:cs="Times New Roman"/>
          <w:szCs w:val="24"/>
        </w:rPr>
        <w:t xml:space="preserve">, R., &amp; </w:t>
      </w:r>
      <w:proofErr w:type="spellStart"/>
      <w:r w:rsidRPr="00636C9F">
        <w:rPr>
          <w:rFonts w:ascii="Times New Roman" w:hAnsi="Times New Roman" w:cs="Times New Roman"/>
          <w:szCs w:val="24"/>
        </w:rPr>
        <w:t>Zamry</w:t>
      </w:r>
      <w:proofErr w:type="spellEnd"/>
      <w:r w:rsidRPr="00636C9F">
        <w:rPr>
          <w:rFonts w:ascii="Times New Roman" w:hAnsi="Times New Roman" w:cs="Times New Roman"/>
          <w:szCs w:val="24"/>
        </w:rPr>
        <w:t xml:space="preserve">, A. A. (2016). Response of Asian seabass, </w:t>
      </w:r>
      <w:r w:rsidRPr="00FD0495">
        <w:rPr>
          <w:rFonts w:ascii="Times New Roman" w:hAnsi="Times New Roman" w:cs="Times New Roman"/>
          <w:i/>
          <w:iCs/>
          <w:szCs w:val="24"/>
        </w:rPr>
        <w:t>Lates calcarifer</w:t>
      </w:r>
      <w:r w:rsidRPr="00636C9F">
        <w:rPr>
          <w:rFonts w:ascii="Times New Roman" w:hAnsi="Times New Roman" w:cs="Times New Roman"/>
          <w:szCs w:val="24"/>
        </w:rPr>
        <w:t xml:space="preserve"> juvenile fed with different seaweed-based diets. </w:t>
      </w:r>
      <w:r w:rsidRPr="00636C9F">
        <w:rPr>
          <w:rFonts w:ascii="Times New Roman" w:hAnsi="Times New Roman" w:cs="Times New Roman"/>
          <w:i/>
          <w:iCs/>
          <w:szCs w:val="24"/>
        </w:rPr>
        <w:t>Journal of Applied Animal Research</w:t>
      </w:r>
      <w:r w:rsidRPr="00636C9F">
        <w:rPr>
          <w:rFonts w:ascii="Times New Roman" w:hAnsi="Times New Roman" w:cs="Times New Roman"/>
          <w:szCs w:val="24"/>
        </w:rPr>
        <w:t>, </w:t>
      </w:r>
      <w:r w:rsidRPr="00636C9F">
        <w:rPr>
          <w:rFonts w:ascii="Times New Roman" w:hAnsi="Times New Roman" w:cs="Times New Roman"/>
          <w:i/>
          <w:iCs/>
          <w:szCs w:val="24"/>
        </w:rPr>
        <w:t>44</w:t>
      </w:r>
      <w:r w:rsidRPr="00636C9F">
        <w:rPr>
          <w:rFonts w:ascii="Times New Roman" w:hAnsi="Times New Roman" w:cs="Times New Roman"/>
          <w:szCs w:val="24"/>
        </w:rPr>
        <w:t>(1), 121-125.</w:t>
      </w:r>
      <w:r>
        <w:rPr>
          <w:rFonts w:ascii="Times New Roman" w:hAnsi="Times New Roman" w:cs="Times New Roman"/>
          <w:szCs w:val="24"/>
        </w:rPr>
        <w:t xml:space="preserve"> </w:t>
      </w:r>
      <w:hyperlink r:id="rId20" w:history="1">
        <w:r w:rsidR="00EE7B15" w:rsidRPr="008C4A37">
          <w:rPr>
            <w:rStyle w:val="Hyperlink"/>
            <w:rFonts w:ascii="Times New Roman" w:hAnsi="Times New Roman" w:cs="Times New Roman"/>
            <w:szCs w:val="24"/>
          </w:rPr>
          <w:t>https://doi.org/10.1080/09712119.2015.1021805</w:t>
        </w:r>
      </w:hyperlink>
      <w:r w:rsidR="00EE7B15">
        <w:rPr>
          <w:rFonts w:ascii="Times New Roman" w:hAnsi="Times New Roman" w:cs="Times New Roman"/>
          <w:szCs w:val="24"/>
        </w:rPr>
        <w:t xml:space="preserve"> </w:t>
      </w:r>
    </w:p>
    <w:p w14:paraId="6E76F305" w14:textId="5AA89967" w:rsidR="00F331AA" w:rsidRPr="00F331AA" w:rsidRDefault="00CD0C53" w:rsidP="00CD0C53">
      <w:pPr>
        <w:pStyle w:val="ListParagraph"/>
        <w:numPr>
          <w:ilvl w:val="0"/>
          <w:numId w:val="5"/>
        </w:numPr>
        <w:rPr>
          <w:rFonts w:ascii="Times New Roman" w:hAnsi="Times New Roman" w:cs="Times New Roman"/>
          <w:szCs w:val="24"/>
        </w:rPr>
      </w:pPr>
      <w:r w:rsidRPr="00CD0C53">
        <w:rPr>
          <w:rFonts w:ascii="Times New Roman" w:hAnsi="Times New Roman" w:cs="Times New Roman"/>
          <w:szCs w:val="24"/>
        </w:rPr>
        <w:t>American Public Health Association, American Water Works Association, &amp; Water Environment Federation. (2005). Standard methods for the examination of water and wastewater (21st ed.).</w:t>
      </w:r>
    </w:p>
    <w:p w14:paraId="6455FABB" w14:textId="6BDD4940" w:rsidR="00F331AA" w:rsidRDefault="0051169D" w:rsidP="0051169D">
      <w:pPr>
        <w:pStyle w:val="ListParagraph"/>
        <w:numPr>
          <w:ilvl w:val="0"/>
          <w:numId w:val="5"/>
        </w:numPr>
        <w:jc w:val="both"/>
        <w:rPr>
          <w:rFonts w:ascii="Times New Roman" w:hAnsi="Times New Roman" w:cs="Times New Roman"/>
          <w:szCs w:val="24"/>
        </w:rPr>
      </w:pPr>
      <w:r w:rsidRPr="0051169D">
        <w:rPr>
          <w:rFonts w:ascii="Times New Roman" w:hAnsi="Times New Roman" w:cs="Times New Roman"/>
          <w:szCs w:val="24"/>
        </w:rPr>
        <w:t xml:space="preserve">Nur, A., Hossain, M. F., Hasan, M. N., Zannat, S., </w:t>
      </w:r>
      <w:proofErr w:type="spellStart"/>
      <w:r w:rsidRPr="0051169D">
        <w:rPr>
          <w:rFonts w:ascii="Times New Roman" w:hAnsi="Times New Roman" w:cs="Times New Roman"/>
          <w:szCs w:val="24"/>
        </w:rPr>
        <w:t>Chakroborty</w:t>
      </w:r>
      <w:proofErr w:type="spellEnd"/>
      <w:r w:rsidRPr="0051169D">
        <w:rPr>
          <w:rFonts w:ascii="Times New Roman" w:hAnsi="Times New Roman" w:cs="Times New Roman"/>
          <w:szCs w:val="24"/>
        </w:rPr>
        <w:t xml:space="preserve">, K., &amp; </w:t>
      </w:r>
      <w:proofErr w:type="spellStart"/>
      <w:r w:rsidRPr="0051169D">
        <w:rPr>
          <w:rFonts w:ascii="Times New Roman" w:hAnsi="Times New Roman" w:cs="Times New Roman"/>
          <w:szCs w:val="24"/>
        </w:rPr>
        <w:t>Rafiquzzaman</w:t>
      </w:r>
      <w:proofErr w:type="spellEnd"/>
      <w:r w:rsidRPr="0051169D">
        <w:rPr>
          <w:rFonts w:ascii="Times New Roman" w:hAnsi="Times New Roman" w:cs="Times New Roman"/>
          <w:szCs w:val="24"/>
        </w:rPr>
        <w:t>, S. M. (2020). Effect of selected seaweed powder as a fish feed on growth and immune system of tilapia (</w:t>
      </w:r>
      <w:r w:rsidRPr="00FD0495">
        <w:rPr>
          <w:rFonts w:ascii="Times New Roman" w:hAnsi="Times New Roman" w:cs="Times New Roman"/>
          <w:i/>
          <w:iCs/>
          <w:szCs w:val="24"/>
        </w:rPr>
        <w:t>Oreochromis niloticus</w:t>
      </w:r>
      <w:r w:rsidRPr="0051169D">
        <w:rPr>
          <w:rFonts w:ascii="Times New Roman" w:hAnsi="Times New Roman" w:cs="Times New Roman"/>
          <w:szCs w:val="24"/>
        </w:rPr>
        <w:t xml:space="preserve">). </w:t>
      </w:r>
      <w:r w:rsidRPr="00A711B3">
        <w:rPr>
          <w:rFonts w:ascii="Times New Roman" w:hAnsi="Times New Roman" w:cs="Times New Roman"/>
          <w:i/>
          <w:iCs/>
          <w:szCs w:val="24"/>
        </w:rPr>
        <w:t>International Journal of Fisheries and Aquatic Studies</w:t>
      </w:r>
      <w:r w:rsidRPr="0051169D">
        <w:rPr>
          <w:rFonts w:ascii="Times New Roman" w:hAnsi="Times New Roman" w:cs="Times New Roman"/>
          <w:szCs w:val="24"/>
        </w:rPr>
        <w:t xml:space="preserve">, 8(4), 24-30. </w:t>
      </w:r>
    </w:p>
    <w:p w14:paraId="5180B1C6" w14:textId="4BAE68B0" w:rsidR="00355EE4" w:rsidRPr="008168B1" w:rsidRDefault="007B03FE" w:rsidP="007B03FE">
      <w:pPr>
        <w:pStyle w:val="ListParagraph"/>
        <w:numPr>
          <w:ilvl w:val="0"/>
          <w:numId w:val="5"/>
        </w:numPr>
        <w:jc w:val="both"/>
        <w:rPr>
          <w:rFonts w:ascii="Times New Roman" w:hAnsi="Times New Roman" w:cs="Times New Roman"/>
          <w:szCs w:val="24"/>
        </w:rPr>
      </w:pPr>
      <w:r w:rsidRPr="007B03FE">
        <w:rPr>
          <w:rFonts w:ascii="Times New Roman" w:hAnsi="Times New Roman" w:cs="Times New Roman"/>
          <w:szCs w:val="24"/>
        </w:rPr>
        <w:t>Shahabuddin, A. M., Hannan, M. A., Hossain, M. F., Hemal, S., Khanam, R., Afroz, T., &amp; Mustafa, A. (2024). Evaluation of ethanolic extract of red seaweed (</w:t>
      </w:r>
      <w:proofErr w:type="spellStart"/>
      <w:r w:rsidRPr="00FD0495">
        <w:rPr>
          <w:rFonts w:ascii="Times New Roman" w:hAnsi="Times New Roman" w:cs="Times New Roman"/>
          <w:i/>
          <w:iCs/>
          <w:szCs w:val="24"/>
        </w:rPr>
        <w:t>Gracilariopsis</w:t>
      </w:r>
      <w:proofErr w:type="spellEnd"/>
      <w:r w:rsidRPr="00FD0495">
        <w:rPr>
          <w:rFonts w:ascii="Times New Roman" w:hAnsi="Times New Roman" w:cs="Times New Roman"/>
          <w:i/>
          <w:iCs/>
          <w:szCs w:val="24"/>
        </w:rPr>
        <w:t xml:space="preserve"> </w:t>
      </w:r>
      <w:proofErr w:type="spellStart"/>
      <w:r w:rsidRPr="00FD0495">
        <w:rPr>
          <w:rFonts w:ascii="Times New Roman" w:hAnsi="Times New Roman" w:cs="Times New Roman"/>
          <w:i/>
          <w:iCs/>
          <w:szCs w:val="24"/>
        </w:rPr>
        <w:t>lemaneiformis</w:t>
      </w:r>
      <w:proofErr w:type="spellEnd"/>
      <w:r w:rsidRPr="007B03FE">
        <w:rPr>
          <w:rFonts w:ascii="Times New Roman" w:hAnsi="Times New Roman" w:cs="Times New Roman"/>
          <w:szCs w:val="24"/>
        </w:rPr>
        <w:t>) on Growth and Haematological Parameters of Nile Tilapia (</w:t>
      </w:r>
      <w:r w:rsidRPr="00FD0495">
        <w:rPr>
          <w:rFonts w:ascii="Times New Roman" w:hAnsi="Times New Roman" w:cs="Times New Roman"/>
          <w:i/>
          <w:iCs/>
          <w:szCs w:val="24"/>
        </w:rPr>
        <w:t>Oreochromis niloticus</w:t>
      </w:r>
      <w:r w:rsidRPr="007B03FE">
        <w:rPr>
          <w:rFonts w:ascii="Times New Roman" w:hAnsi="Times New Roman" w:cs="Times New Roman"/>
          <w:szCs w:val="24"/>
        </w:rPr>
        <w:t xml:space="preserve">). </w:t>
      </w:r>
      <w:r w:rsidRPr="00FD0495">
        <w:rPr>
          <w:rFonts w:ascii="Times New Roman" w:hAnsi="Times New Roman" w:cs="Times New Roman"/>
          <w:i/>
          <w:iCs/>
          <w:szCs w:val="24"/>
        </w:rPr>
        <w:t>Aquaculture, Fish and Fisheries</w:t>
      </w:r>
      <w:r w:rsidRPr="007B03FE">
        <w:rPr>
          <w:rFonts w:ascii="Times New Roman" w:hAnsi="Times New Roman" w:cs="Times New Roman"/>
          <w:szCs w:val="24"/>
        </w:rPr>
        <w:t xml:space="preserve">, 4(6), e70011. </w:t>
      </w:r>
      <w:hyperlink r:id="rId21" w:history="1">
        <w:r w:rsidRPr="005A4A15">
          <w:rPr>
            <w:rStyle w:val="Hyperlink"/>
            <w:rFonts w:ascii="Times New Roman" w:hAnsi="Times New Roman" w:cs="Times New Roman"/>
            <w:szCs w:val="24"/>
          </w:rPr>
          <w:t>https://doi.org/10.1002/aff2.70011</w:t>
        </w:r>
      </w:hyperlink>
      <w:r>
        <w:rPr>
          <w:rFonts w:ascii="Times New Roman" w:hAnsi="Times New Roman" w:cs="Times New Roman"/>
          <w:szCs w:val="24"/>
        </w:rPr>
        <w:t xml:space="preserve"> </w:t>
      </w:r>
    </w:p>
    <w:sectPr w:rsidR="00355EE4" w:rsidRPr="008168B1">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7E61A" w14:textId="77777777" w:rsidR="009752E9" w:rsidRDefault="009752E9" w:rsidP="0000494E">
      <w:pPr>
        <w:spacing w:after="0" w:line="240" w:lineRule="auto"/>
      </w:pPr>
      <w:r>
        <w:separator/>
      </w:r>
    </w:p>
  </w:endnote>
  <w:endnote w:type="continuationSeparator" w:id="0">
    <w:p w14:paraId="1002C14A" w14:textId="77777777" w:rsidR="009752E9" w:rsidRDefault="009752E9" w:rsidP="00004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F77DB" w14:textId="77777777" w:rsidR="0000494E" w:rsidRDefault="00004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6A7C" w14:textId="77777777" w:rsidR="0000494E" w:rsidRDefault="000049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013E" w14:textId="77777777" w:rsidR="0000494E" w:rsidRDefault="00004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4A87B" w14:textId="77777777" w:rsidR="009752E9" w:rsidRDefault="009752E9" w:rsidP="0000494E">
      <w:pPr>
        <w:spacing w:after="0" w:line="240" w:lineRule="auto"/>
      </w:pPr>
      <w:r>
        <w:separator/>
      </w:r>
    </w:p>
  </w:footnote>
  <w:footnote w:type="continuationSeparator" w:id="0">
    <w:p w14:paraId="2F7BCAAD" w14:textId="77777777" w:rsidR="009752E9" w:rsidRDefault="009752E9" w:rsidP="00004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19AB" w14:textId="40C49F3A" w:rsidR="0000494E" w:rsidRDefault="00000000">
    <w:pPr>
      <w:pStyle w:val="Header"/>
    </w:pPr>
    <w:r>
      <w:rPr>
        <w:noProof/>
      </w:rPr>
      <w:pict w14:anchorId="601FD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0959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E1AF" w14:textId="439BEBCB" w:rsidR="0000494E" w:rsidRDefault="00000000">
    <w:pPr>
      <w:pStyle w:val="Header"/>
    </w:pPr>
    <w:r>
      <w:rPr>
        <w:noProof/>
      </w:rPr>
      <w:pict w14:anchorId="180CF1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0959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A6AC" w14:textId="3E7738E1" w:rsidR="0000494E" w:rsidRDefault="00000000">
    <w:pPr>
      <w:pStyle w:val="Header"/>
    </w:pPr>
    <w:r>
      <w:rPr>
        <w:noProof/>
      </w:rPr>
      <w:pict w14:anchorId="06DBE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0959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1DF2"/>
    <w:multiLevelType w:val="multilevel"/>
    <w:tmpl w:val="FACE3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2E1505"/>
    <w:multiLevelType w:val="hybridMultilevel"/>
    <w:tmpl w:val="2A60F4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9C61B74"/>
    <w:multiLevelType w:val="hybridMultilevel"/>
    <w:tmpl w:val="21227518"/>
    <w:lvl w:ilvl="0" w:tplc="4770F7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7E0B8E"/>
    <w:multiLevelType w:val="multilevel"/>
    <w:tmpl w:val="FE34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4E433E"/>
    <w:multiLevelType w:val="multilevel"/>
    <w:tmpl w:val="BC88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965061">
    <w:abstractNumId w:val="0"/>
  </w:num>
  <w:num w:numId="2" w16cid:durableId="1186796448">
    <w:abstractNumId w:val="2"/>
  </w:num>
  <w:num w:numId="3" w16cid:durableId="1197963496">
    <w:abstractNumId w:val="3"/>
  </w:num>
  <w:num w:numId="4" w16cid:durableId="778992446">
    <w:abstractNumId w:val="4"/>
  </w:num>
  <w:num w:numId="5" w16cid:durableId="133642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4B6"/>
    <w:rsid w:val="0000494E"/>
    <w:rsid w:val="00015A6C"/>
    <w:rsid w:val="00027003"/>
    <w:rsid w:val="00031E51"/>
    <w:rsid w:val="00043F89"/>
    <w:rsid w:val="000443D9"/>
    <w:rsid w:val="000566F6"/>
    <w:rsid w:val="000644B6"/>
    <w:rsid w:val="000A6779"/>
    <w:rsid w:val="000B3D8D"/>
    <w:rsid w:val="000C6460"/>
    <w:rsid w:val="00112653"/>
    <w:rsid w:val="00175AE6"/>
    <w:rsid w:val="001C7FDF"/>
    <w:rsid w:val="001D2248"/>
    <w:rsid w:val="001E00D4"/>
    <w:rsid w:val="00205E89"/>
    <w:rsid w:val="00211BEE"/>
    <w:rsid w:val="00216202"/>
    <w:rsid w:val="00224372"/>
    <w:rsid w:val="002576C5"/>
    <w:rsid w:val="00271FDA"/>
    <w:rsid w:val="00276ECF"/>
    <w:rsid w:val="00285B06"/>
    <w:rsid w:val="002956FC"/>
    <w:rsid w:val="002B4C3F"/>
    <w:rsid w:val="002B6481"/>
    <w:rsid w:val="002C4648"/>
    <w:rsid w:val="002D710A"/>
    <w:rsid w:val="002E6B2E"/>
    <w:rsid w:val="00326806"/>
    <w:rsid w:val="00355EE4"/>
    <w:rsid w:val="003B29A9"/>
    <w:rsid w:val="003C09AB"/>
    <w:rsid w:val="003C3A8D"/>
    <w:rsid w:val="003E0099"/>
    <w:rsid w:val="003E0144"/>
    <w:rsid w:val="00424E8E"/>
    <w:rsid w:val="0043157E"/>
    <w:rsid w:val="004515BE"/>
    <w:rsid w:val="0045481E"/>
    <w:rsid w:val="0047721A"/>
    <w:rsid w:val="00485C7D"/>
    <w:rsid w:val="00491E62"/>
    <w:rsid w:val="004C04F5"/>
    <w:rsid w:val="004C0C06"/>
    <w:rsid w:val="004D5825"/>
    <w:rsid w:val="004F597F"/>
    <w:rsid w:val="0051169D"/>
    <w:rsid w:val="00565826"/>
    <w:rsid w:val="005A602A"/>
    <w:rsid w:val="005D56EC"/>
    <w:rsid w:val="00604C66"/>
    <w:rsid w:val="00636C9F"/>
    <w:rsid w:val="006C13CF"/>
    <w:rsid w:val="006E27C6"/>
    <w:rsid w:val="007136AA"/>
    <w:rsid w:val="007154DA"/>
    <w:rsid w:val="007908DC"/>
    <w:rsid w:val="007B03FE"/>
    <w:rsid w:val="007C6085"/>
    <w:rsid w:val="007F2E77"/>
    <w:rsid w:val="008168B1"/>
    <w:rsid w:val="00832941"/>
    <w:rsid w:val="008373F5"/>
    <w:rsid w:val="00837B6C"/>
    <w:rsid w:val="00856F87"/>
    <w:rsid w:val="008701A5"/>
    <w:rsid w:val="008706BA"/>
    <w:rsid w:val="008D18BC"/>
    <w:rsid w:val="008E1714"/>
    <w:rsid w:val="00904BD1"/>
    <w:rsid w:val="0091255F"/>
    <w:rsid w:val="009443F0"/>
    <w:rsid w:val="00945345"/>
    <w:rsid w:val="00954F1D"/>
    <w:rsid w:val="00957C21"/>
    <w:rsid w:val="00963CB0"/>
    <w:rsid w:val="00964A0F"/>
    <w:rsid w:val="009752E9"/>
    <w:rsid w:val="00977DC7"/>
    <w:rsid w:val="009A7B41"/>
    <w:rsid w:val="009C3E85"/>
    <w:rsid w:val="009D355B"/>
    <w:rsid w:val="009F6737"/>
    <w:rsid w:val="00A23605"/>
    <w:rsid w:val="00A54324"/>
    <w:rsid w:val="00A6730F"/>
    <w:rsid w:val="00A711B3"/>
    <w:rsid w:val="00A719D8"/>
    <w:rsid w:val="00A80C52"/>
    <w:rsid w:val="00A85CFD"/>
    <w:rsid w:val="00A97402"/>
    <w:rsid w:val="00AB40B2"/>
    <w:rsid w:val="00AD5873"/>
    <w:rsid w:val="00AE058A"/>
    <w:rsid w:val="00B00622"/>
    <w:rsid w:val="00B36DC6"/>
    <w:rsid w:val="00B46F37"/>
    <w:rsid w:val="00B56BBF"/>
    <w:rsid w:val="00B81332"/>
    <w:rsid w:val="00BA5381"/>
    <w:rsid w:val="00BB2651"/>
    <w:rsid w:val="00BB26F9"/>
    <w:rsid w:val="00BE4F05"/>
    <w:rsid w:val="00C032C3"/>
    <w:rsid w:val="00C13DAC"/>
    <w:rsid w:val="00C432A2"/>
    <w:rsid w:val="00C53458"/>
    <w:rsid w:val="00C618AB"/>
    <w:rsid w:val="00C64194"/>
    <w:rsid w:val="00CA460E"/>
    <w:rsid w:val="00CC1AB2"/>
    <w:rsid w:val="00CC4BE1"/>
    <w:rsid w:val="00CD0C53"/>
    <w:rsid w:val="00CF4DA8"/>
    <w:rsid w:val="00D201C3"/>
    <w:rsid w:val="00D213C6"/>
    <w:rsid w:val="00D65599"/>
    <w:rsid w:val="00DB2C8F"/>
    <w:rsid w:val="00DC00FA"/>
    <w:rsid w:val="00DD7FA8"/>
    <w:rsid w:val="00DF20AF"/>
    <w:rsid w:val="00E25494"/>
    <w:rsid w:val="00E26BC0"/>
    <w:rsid w:val="00E338DA"/>
    <w:rsid w:val="00E40FC1"/>
    <w:rsid w:val="00E41180"/>
    <w:rsid w:val="00E43117"/>
    <w:rsid w:val="00EC196B"/>
    <w:rsid w:val="00EE2C17"/>
    <w:rsid w:val="00EE5CA4"/>
    <w:rsid w:val="00EE7B15"/>
    <w:rsid w:val="00EF2CE8"/>
    <w:rsid w:val="00EF589F"/>
    <w:rsid w:val="00F147EC"/>
    <w:rsid w:val="00F15D45"/>
    <w:rsid w:val="00F331AA"/>
    <w:rsid w:val="00F621ED"/>
    <w:rsid w:val="00F729F2"/>
    <w:rsid w:val="00FC34FF"/>
    <w:rsid w:val="00FD0495"/>
    <w:rsid w:val="00FE1923"/>
    <w:rsid w:val="00FF586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C1B59"/>
  <w15:chartTrackingRefBased/>
  <w15:docId w15:val="{B1A54508-A762-4439-8478-A2123986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4B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0644B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0644B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0644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44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4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4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B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0644B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0644B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0644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44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4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4B6"/>
    <w:rPr>
      <w:rFonts w:eastAsiaTheme="majorEastAsia" w:cstheme="majorBidi"/>
      <w:color w:val="272727" w:themeColor="text1" w:themeTint="D8"/>
    </w:rPr>
  </w:style>
  <w:style w:type="paragraph" w:styleId="Title">
    <w:name w:val="Title"/>
    <w:basedOn w:val="Normal"/>
    <w:next w:val="Normal"/>
    <w:link w:val="TitleChar"/>
    <w:uiPriority w:val="10"/>
    <w:qFormat/>
    <w:rsid w:val="000644B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644B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644B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644B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644B6"/>
    <w:pPr>
      <w:spacing w:before="160"/>
      <w:jc w:val="center"/>
    </w:pPr>
    <w:rPr>
      <w:i/>
      <w:iCs/>
      <w:color w:val="404040" w:themeColor="text1" w:themeTint="BF"/>
    </w:rPr>
  </w:style>
  <w:style w:type="character" w:customStyle="1" w:styleId="QuoteChar">
    <w:name w:val="Quote Char"/>
    <w:basedOn w:val="DefaultParagraphFont"/>
    <w:link w:val="Quote"/>
    <w:uiPriority w:val="29"/>
    <w:rsid w:val="000644B6"/>
    <w:rPr>
      <w:i/>
      <w:iCs/>
      <w:color w:val="404040" w:themeColor="text1" w:themeTint="BF"/>
    </w:rPr>
  </w:style>
  <w:style w:type="paragraph" w:styleId="ListParagraph">
    <w:name w:val="List Paragraph"/>
    <w:basedOn w:val="Normal"/>
    <w:uiPriority w:val="34"/>
    <w:qFormat/>
    <w:rsid w:val="000644B6"/>
    <w:pPr>
      <w:ind w:left="720"/>
      <w:contextualSpacing/>
    </w:pPr>
  </w:style>
  <w:style w:type="character" w:styleId="IntenseEmphasis">
    <w:name w:val="Intense Emphasis"/>
    <w:basedOn w:val="DefaultParagraphFont"/>
    <w:uiPriority w:val="21"/>
    <w:qFormat/>
    <w:rsid w:val="000644B6"/>
    <w:rPr>
      <w:i/>
      <w:iCs/>
      <w:color w:val="2F5496" w:themeColor="accent1" w:themeShade="BF"/>
    </w:rPr>
  </w:style>
  <w:style w:type="paragraph" w:styleId="IntenseQuote">
    <w:name w:val="Intense Quote"/>
    <w:basedOn w:val="Normal"/>
    <w:next w:val="Normal"/>
    <w:link w:val="IntenseQuoteChar"/>
    <w:uiPriority w:val="30"/>
    <w:qFormat/>
    <w:rsid w:val="000644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44B6"/>
    <w:rPr>
      <w:i/>
      <w:iCs/>
      <w:color w:val="2F5496" w:themeColor="accent1" w:themeShade="BF"/>
    </w:rPr>
  </w:style>
  <w:style w:type="character" w:styleId="IntenseReference">
    <w:name w:val="Intense Reference"/>
    <w:basedOn w:val="DefaultParagraphFont"/>
    <w:uiPriority w:val="32"/>
    <w:qFormat/>
    <w:rsid w:val="000644B6"/>
    <w:rPr>
      <w:b/>
      <w:bCs/>
      <w:smallCaps/>
      <w:color w:val="2F5496" w:themeColor="accent1" w:themeShade="BF"/>
      <w:spacing w:val="5"/>
    </w:rPr>
  </w:style>
  <w:style w:type="character" w:styleId="Hyperlink">
    <w:name w:val="Hyperlink"/>
    <w:basedOn w:val="DefaultParagraphFont"/>
    <w:uiPriority w:val="99"/>
    <w:unhideWhenUsed/>
    <w:rsid w:val="00FF5868"/>
    <w:rPr>
      <w:color w:val="0563C1" w:themeColor="hyperlink"/>
      <w:u w:val="single"/>
    </w:rPr>
  </w:style>
  <w:style w:type="character" w:customStyle="1" w:styleId="UnresolvedMention1">
    <w:name w:val="Unresolved Mention1"/>
    <w:basedOn w:val="DefaultParagraphFont"/>
    <w:uiPriority w:val="99"/>
    <w:semiHidden/>
    <w:unhideWhenUsed/>
    <w:rsid w:val="00FF5868"/>
    <w:rPr>
      <w:color w:val="605E5C"/>
      <w:shd w:val="clear" w:color="auto" w:fill="E1DFDD"/>
    </w:rPr>
  </w:style>
  <w:style w:type="table" w:styleId="TableGrid">
    <w:name w:val="Table Grid"/>
    <w:basedOn w:val="TableNormal"/>
    <w:uiPriority w:val="39"/>
    <w:rsid w:val="0020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908DC"/>
    <w:rPr>
      <w:rFonts w:ascii="Times New Roman" w:hAnsi="Times New Roman" w:cs="Times New Roman"/>
    </w:rPr>
  </w:style>
  <w:style w:type="paragraph" w:styleId="Header">
    <w:name w:val="header"/>
    <w:basedOn w:val="Normal"/>
    <w:link w:val="HeaderChar"/>
    <w:uiPriority w:val="99"/>
    <w:unhideWhenUsed/>
    <w:rsid w:val="00004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94E"/>
  </w:style>
  <w:style w:type="paragraph" w:styleId="Footer">
    <w:name w:val="footer"/>
    <w:basedOn w:val="Normal"/>
    <w:link w:val="FooterChar"/>
    <w:uiPriority w:val="99"/>
    <w:unhideWhenUsed/>
    <w:rsid w:val="00004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94E"/>
  </w:style>
  <w:style w:type="character" w:styleId="UnresolvedMention">
    <w:name w:val="Unresolved Mention"/>
    <w:basedOn w:val="DefaultParagraphFont"/>
    <w:uiPriority w:val="99"/>
    <w:semiHidden/>
    <w:unhideWhenUsed/>
    <w:rsid w:val="00E43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077/ijf.2018.65.4.81300-20" TargetMode="External"/><Relationship Id="rId13" Type="http://schemas.openxmlformats.org/officeDocument/2006/relationships/hyperlink" Target="https://doi.org/10.1016/j.aquaculture.2021.736915" TargetMode="External"/><Relationship Id="rId18" Type="http://schemas.openxmlformats.org/officeDocument/2006/relationships/hyperlink" Target="https://doi.org/10.3390/ani13162625"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02/aff2.70011" TargetMode="External"/><Relationship Id="rId7" Type="http://schemas.openxmlformats.org/officeDocument/2006/relationships/hyperlink" Target="https://doi.org/10.4060/cd0683en" TargetMode="External"/><Relationship Id="rId12" Type="http://schemas.openxmlformats.org/officeDocument/2006/relationships/hyperlink" Target="https://doi.org/10.1016/j.algal.2012.04.002" TargetMode="External"/><Relationship Id="rId17" Type="http://schemas.openxmlformats.org/officeDocument/2006/relationships/hyperlink" Target="https://doi.org/10.3390/biology10121236"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111/raq.12753" TargetMode="External"/><Relationship Id="rId20" Type="http://schemas.openxmlformats.org/officeDocument/2006/relationships/hyperlink" Target="https://doi.org/10.1080/09712119.2015.102180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365-2109.2009.02349.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prints.cmfri.org.in/id/eprint/1709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38/s41597-022-01322-6" TargetMode="External"/><Relationship Id="rId19" Type="http://schemas.openxmlformats.org/officeDocument/2006/relationships/hyperlink" Target="https://doi.org/10.1111/raq.12869" TargetMode="External"/><Relationship Id="rId4" Type="http://schemas.openxmlformats.org/officeDocument/2006/relationships/webSettings" Target="webSettings.xml"/><Relationship Id="rId9" Type="http://schemas.openxmlformats.org/officeDocument/2006/relationships/hyperlink" Target="https://doi.org/10.4060/ca9229en" TargetMode="External"/><Relationship Id="rId14" Type="http://schemas.openxmlformats.org/officeDocument/2006/relationships/hyperlink" Target="https://doi.org/10.3389/fimmu.2024.1471261"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1069</TotalTime>
  <Pages>8</Pages>
  <Words>3713</Words>
  <Characters>21167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Krishna Patil</cp:lastModifiedBy>
  <cp:revision>166</cp:revision>
  <dcterms:created xsi:type="dcterms:W3CDTF">2025-10-31T15:50:00Z</dcterms:created>
  <dcterms:modified xsi:type="dcterms:W3CDTF">2025-12-16T05:59:00Z</dcterms:modified>
</cp:coreProperties>
</file>