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F85E" w14:textId="77777777" w:rsidR="008B2D60" w:rsidRPr="004C2CD4" w:rsidRDefault="008B2D60" w:rsidP="00E76FF6">
      <w:pPr>
        <w:pStyle w:val="BodyText"/>
        <w:spacing w:after="0"/>
        <w:jc w:val="both"/>
        <w:rPr>
          <w:color w:val="000000" w:themeColor="text1"/>
          <w:sz w:val="22"/>
          <w:szCs w:val="22"/>
        </w:rPr>
      </w:pPr>
    </w:p>
    <w:p w14:paraId="461B0DCA" w14:textId="525794C4" w:rsidR="00771EF8" w:rsidRPr="004C2CD4" w:rsidRDefault="008D6244" w:rsidP="00E76FF6">
      <w:pPr>
        <w:pStyle w:val="BodyText"/>
        <w:spacing w:after="0"/>
        <w:jc w:val="both"/>
        <w:rPr>
          <w:color w:val="000000" w:themeColor="text1"/>
          <w:sz w:val="22"/>
          <w:szCs w:val="22"/>
        </w:rPr>
      </w:pPr>
      <w:r w:rsidRPr="004C2CD4">
        <w:rPr>
          <w:color w:val="000000" w:themeColor="text1"/>
          <w:sz w:val="22"/>
          <w:szCs w:val="22"/>
        </w:rPr>
        <w:t>FEASIBILITY OF DIFFERENT VEGETABLE CROPS AS INTERCROP IN SANDALWOOD</w:t>
      </w:r>
    </w:p>
    <w:p w14:paraId="42E2C1BB" w14:textId="545560C9" w:rsidR="00E34A9E" w:rsidRDefault="00E34A9E" w:rsidP="004B21DA">
      <w:pPr>
        <w:pStyle w:val="Heading3"/>
        <w:rPr>
          <w:rFonts w:asciiTheme="minorHAnsi" w:hAnsiTheme="minorHAnsi" w:cstheme="minorBidi"/>
          <w:b w:val="0"/>
          <w:bCs w:val="0"/>
          <w:color w:val="000000" w:themeColor="text1"/>
        </w:rPr>
      </w:pPr>
    </w:p>
    <w:p w14:paraId="6A6EE871" w14:textId="77777777" w:rsidR="007663E6" w:rsidRPr="007663E6" w:rsidRDefault="007663E6" w:rsidP="007663E6"/>
    <w:p w14:paraId="10DAC353" w14:textId="3AAD39E1" w:rsidR="00F03BC0" w:rsidRPr="004C2CD4" w:rsidRDefault="00164594" w:rsidP="004B21DA">
      <w:pPr>
        <w:pStyle w:val="Heading3"/>
        <w:rPr>
          <w:color w:val="000000" w:themeColor="text1"/>
        </w:rPr>
      </w:pPr>
      <w:r w:rsidRPr="004C2CD4">
        <w:rPr>
          <w:color w:val="000000" w:themeColor="text1"/>
        </w:rPr>
        <w:t xml:space="preserve">ABSTRACT </w:t>
      </w:r>
    </w:p>
    <w:p w14:paraId="5471FBB0" w14:textId="3DF3FECC" w:rsidR="00DA7705" w:rsidRPr="004C2CD4" w:rsidRDefault="00324018"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Present study aimed to</w:t>
      </w:r>
      <w:r w:rsidRPr="004C2CD4">
        <w:rPr>
          <w:rFonts w:ascii="Times New Roman" w:eastAsia="Cambria" w:hAnsi="Times New Roman" w:cs="Times New Roman"/>
          <w:color w:val="000000" w:themeColor="text1"/>
          <w:sz w:val="20"/>
          <w:szCs w:val="20"/>
        </w:rPr>
        <w:t xml:space="preserve"> evaluate the influence of vegetable </w:t>
      </w:r>
      <w:r w:rsidR="00201559" w:rsidRPr="004C2CD4">
        <w:rPr>
          <w:rFonts w:ascii="Times New Roman" w:eastAsia="Cambria" w:hAnsi="Times New Roman" w:cs="Times New Roman"/>
          <w:color w:val="000000" w:themeColor="text1"/>
          <w:sz w:val="20"/>
          <w:szCs w:val="20"/>
        </w:rPr>
        <w:t xml:space="preserve">as </w:t>
      </w:r>
      <w:r w:rsidRPr="004C2CD4">
        <w:rPr>
          <w:rFonts w:ascii="Times New Roman" w:eastAsia="Cambria" w:hAnsi="Times New Roman" w:cs="Times New Roman"/>
          <w:color w:val="000000" w:themeColor="text1"/>
          <w:sz w:val="20"/>
          <w:szCs w:val="20"/>
        </w:rPr>
        <w:t>intercrop on growth</w:t>
      </w:r>
      <w:r w:rsidR="000850B5" w:rsidRPr="004C2CD4">
        <w:rPr>
          <w:rFonts w:ascii="Times New Roman" w:eastAsia="Cambria" w:hAnsi="Times New Roman" w:cs="Times New Roman"/>
          <w:color w:val="000000" w:themeColor="text1"/>
          <w:sz w:val="20"/>
          <w:szCs w:val="20"/>
        </w:rPr>
        <w:t xml:space="preserve"> and yield</w:t>
      </w:r>
      <w:r w:rsidRPr="004C2CD4">
        <w:rPr>
          <w:rFonts w:ascii="Times New Roman" w:eastAsia="Cambria" w:hAnsi="Times New Roman" w:cs="Times New Roman"/>
          <w:color w:val="000000" w:themeColor="text1"/>
          <w:sz w:val="20"/>
          <w:szCs w:val="20"/>
        </w:rPr>
        <w:t xml:space="preserve"> of sandalwood using </w:t>
      </w:r>
      <w:r w:rsidRPr="004C2CD4">
        <w:rPr>
          <w:rFonts w:ascii="Times New Roman" w:hAnsi="Times New Roman" w:cs="Times New Roman"/>
          <w:color w:val="000000" w:themeColor="text1"/>
          <w:sz w:val="20"/>
          <w:szCs w:val="20"/>
          <w:lang w:val="it-IT"/>
        </w:rPr>
        <w:t>Randomized Block Design with five treatments</w:t>
      </w:r>
      <w:r w:rsidR="00064621" w:rsidRPr="004C2CD4">
        <w:rPr>
          <w:rFonts w:ascii="Times New Roman" w:hAnsi="Times New Roman" w:cs="Times New Roman"/>
          <w:color w:val="000000" w:themeColor="text1"/>
          <w:sz w:val="20"/>
          <w:szCs w:val="20"/>
          <w:lang w:val="it-IT"/>
        </w:rPr>
        <w:t>. Different v</w:t>
      </w:r>
      <w:r w:rsidRPr="004C2CD4">
        <w:rPr>
          <w:rFonts w:ascii="Times New Roman" w:hAnsi="Times New Roman" w:cs="Times New Roman"/>
          <w:color w:val="000000" w:themeColor="text1"/>
          <w:sz w:val="20"/>
          <w:szCs w:val="20"/>
          <w:lang w:val="it-IT"/>
        </w:rPr>
        <w:t xml:space="preserve">egetable intercrops </w:t>
      </w:r>
      <w:r w:rsidR="00064621" w:rsidRPr="004C2CD4">
        <w:rPr>
          <w:rFonts w:ascii="Times New Roman" w:hAnsi="Times New Roman" w:cs="Times New Roman"/>
          <w:color w:val="000000" w:themeColor="text1"/>
          <w:sz w:val="20"/>
          <w:szCs w:val="20"/>
          <w:lang w:val="it-IT"/>
        </w:rPr>
        <w:t xml:space="preserve">were taken as a treatment </w:t>
      </w:r>
      <w:r w:rsidRPr="004C2CD4">
        <w:rPr>
          <w:rFonts w:ascii="Times New Roman" w:hAnsi="Times New Roman" w:cs="Times New Roman"/>
          <w:color w:val="000000" w:themeColor="text1"/>
          <w:sz w:val="20"/>
          <w:szCs w:val="20"/>
          <w:lang w:val="it-IT"/>
        </w:rPr>
        <w:t xml:space="preserve">i.e., </w:t>
      </w:r>
      <w:r w:rsidR="00C35762" w:rsidRPr="004C2CD4">
        <w:rPr>
          <w:rFonts w:ascii="Times New Roman" w:hAnsi="Times New Roman" w:cs="Times New Roman"/>
          <w:color w:val="000000" w:themeColor="text1"/>
          <w:sz w:val="20"/>
          <w:szCs w:val="20"/>
          <w:lang w:val="it-IT"/>
        </w:rPr>
        <w:t>(</w:t>
      </w: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00C35762"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Indian bean (</w:t>
      </w:r>
      <w:r w:rsidRPr="004C2CD4">
        <w:rPr>
          <w:rFonts w:ascii="Times New Roman" w:hAnsi="Times New Roman" w:cs="Times New Roman"/>
          <w:i/>
          <w:iCs/>
          <w:color w:val="000000" w:themeColor="text1"/>
          <w:sz w:val="20"/>
          <w:szCs w:val="20"/>
        </w:rPr>
        <w:t>Rabi</w:t>
      </w:r>
      <w:r w:rsidRPr="004C2CD4">
        <w:rPr>
          <w:rFonts w:ascii="Times New Roman" w:hAnsi="Times New Roman" w:cs="Times New Roman"/>
          <w:color w:val="000000" w:themeColor="text1"/>
          <w:sz w:val="20"/>
          <w:szCs w:val="20"/>
        </w:rPr>
        <w:t>) + Cow pea (Summer)</w:t>
      </w:r>
      <w:r w:rsidR="004F6503" w:rsidRPr="004C2CD4">
        <w:rPr>
          <w:rFonts w:ascii="Times New Roman" w:hAnsi="Times New Roman" w:cs="Times New Roman"/>
          <w:color w:val="000000" w:themeColor="text1"/>
          <w:sz w:val="20"/>
          <w:szCs w:val="20"/>
        </w:rPr>
        <w:t xml:space="preserve">, </w:t>
      </w:r>
      <w:r w:rsidR="004F6503" w:rsidRPr="004C2CD4">
        <w:rPr>
          <w:rFonts w:ascii="Times New Roman" w:hAnsi="Times New Roman" w:cs="Times New Roman"/>
          <w:color w:val="000000" w:themeColor="text1"/>
          <w:sz w:val="20"/>
          <w:szCs w:val="20"/>
          <w:lang w:val="it-IT"/>
        </w:rPr>
        <w:t>(</w:t>
      </w:r>
      <w:r w:rsidR="004F6503" w:rsidRPr="004C2CD4">
        <w:rPr>
          <w:rFonts w:ascii="Times New Roman" w:hAnsi="Times New Roman" w:cs="Times New Roman"/>
          <w:color w:val="000000" w:themeColor="text1"/>
          <w:sz w:val="20"/>
          <w:szCs w:val="20"/>
        </w:rPr>
        <w:t>T</w:t>
      </w:r>
      <w:r w:rsidR="004F6503" w:rsidRPr="004C2CD4">
        <w:rPr>
          <w:rFonts w:ascii="Times New Roman" w:hAnsi="Times New Roman" w:cs="Times New Roman"/>
          <w:color w:val="000000" w:themeColor="text1"/>
          <w:sz w:val="20"/>
          <w:szCs w:val="20"/>
          <w:vertAlign w:val="subscript"/>
        </w:rPr>
        <w:t>2</w:t>
      </w:r>
      <w:r w:rsidR="004F6503" w:rsidRPr="004C2CD4">
        <w:rPr>
          <w:rFonts w:ascii="Times New Roman" w:hAnsi="Times New Roman" w:cs="Times New Roman"/>
          <w:color w:val="000000" w:themeColor="text1"/>
          <w:sz w:val="20"/>
          <w:szCs w:val="20"/>
        </w:rPr>
        <w:t>)</w:t>
      </w:r>
      <w:r w:rsidR="00372F03" w:rsidRPr="004C2CD4">
        <w:rPr>
          <w:rFonts w:ascii="Times New Roman" w:hAnsi="Times New Roman" w:cs="Times New Roman"/>
          <w:color w:val="000000" w:themeColor="text1"/>
          <w:sz w:val="20"/>
          <w:szCs w:val="20"/>
        </w:rPr>
        <w:t xml:space="preserve"> French bean (Winter) + Cluster bean (Summer)</w:t>
      </w:r>
      <w:r w:rsidR="00730438" w:rsidRPr="004C2CD4">
        <w:rPr>
          <w:rFonts w:ascii="Times New Roman" w:hAnsi="Times New Roman" w:cs="Times New Roman"/>
          <w:color w:val="000000" w:themeColor="text1"/>
          <w:sz w:val="20"/>
          <w:szCs w:val="20"/>
        </w:rPr>
        <w:t xml:space="preserve">, </w:t>
      </w:r>
      <w:r w:rsidR="00730438" w:rsidRPr="004C2CD4">
        <w:rPr>
          <w:rFonts w:ascii="Times New Roman" w:hAnsi="Times New Roman" w:cs="Times New Roman"/>
          <w:color w:val="000000" w:themeColor="text1"/>
          <w:sz w:val="20"/>
          <w:szCs w:val="20"/>
          <w:lang w:val="it-IT"/>
        </w:rPr>
        <w:t>(</w:t>
      </w:r>
      <w:r w:rsidR="00730438" w:rsidRPr="004C2CD4">
        <w:rPr>
          <w:rFonts w:ascii="Times New Roman" w:hAnsi="Times New Roman" w:cs="Times New Roman"/>
          <w:color w:val="000000" w:themeColor="text1"/>
          <w:sz w:val="20"/>
          <w:szCs w:val="20"/>
        </w:rPr>
        <w:t>T</w:t>
      </w:r>
      <w:r w:rsidR="00730438" w:rsidRPr="004C2CD4">
        <w:rPr>
          <w:rFonts w:ascii="Times New Roman" w:hAnsi="Times New Roman" w:cs="Times New Roman"/>
          <w:color w:val="000000" w:themeColor="text1"/>
          <w:sz w:val="20"/>
          <w:szCs w:val="20"/>
          <w:vertAlign w:val="subscript"/>
        </w:rPr>
        <w:t>3</w:t>
      </w:r>
      <w:r w:rsidR="00730438" w:rsidRPr="004C2CD4">
        <w:rPr>
          <w:rFonts w:ascii="Times New Roman" w:hAnsi="Times New Roman" w:cs="Times New Roman"/>
          <w:color w:val="000000" w:themeColor="text1"/>
          <w:sz w:val="20"/>
          <w:szCs w:val="20"/>
        </w:rPr>
        <w:t>)</w:t>
      </w:r>
      <w:r w:rsidR="00DA7705" w:rsidRPr="004C2CD4">
        <w:rPr>
          <w:rFonts w:ascii="Times New Roman" w:hAnsi="Times New Roman" w:cs="Times New Roman"/>
          <w:color w:val="000000" w:themeColor="text1"/>
          <w:sz w:val="20"/>
          <w:szCs w:val="20"/>
        </w:rPr>
        <w:t xml:space="preserve"> Turmeric,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4</w:t>
      </w:r>
      <w:r w:rsidR="00DA7705" w:rsidRPr="004C2CD4">
        <w:rPr>
          <w:rFonts w:ascii="Times New Roman" w:hAnsi="Times New Roman" w:cs="Times New Roman"/>
          <w:color w:val="000000" w:themeColor="text1"/>
          <w:sz w:val="20"/>
          <w:szCs w:val="20"/>
        </w:rPr>
        <w:t xml:space="preserve">) Pigeon pea and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6</w:t>
      </w:r>
      <w:r w:rsidR="00DA7705" w:rsidRPr="004C2CD4">
        <w:rPr>
          <w:rFonts w:ascii="Times New Roman" w:hAnsi="Times New Roman" w:cs="Times New Roman"/>
          <w:color w:val="000000" w:themeColor="text1"/>
          <w:sz w:val="20"/>
          <w:szCs w:val="20"/>
        </w:rPr>
        <w:t>) Control (Sandal wood sole)</w:t>
      </w:r>
      <w:r w:rsidR="00070526" w:rsidRPr="004C2CD4">
        <w:rPr>
          <w:rFonts w:ascii="Times New Roman" w:hAnsi="Times New Roman" w:cs="Times New Roman"/>
          <w:color w:val="000000" w:themeColor="text1"/>
          <w:sz w:val="20"/>
          <w:szCs w:val="20"/>
        </w:rPr>
        <w:t xml:space="preserve"> which were grown </w:t>
      </w:r>
      <w:r w:rsidR="008A5014" w:rsidRPr="004C2CD4">
        <w:rPr>
          <w:rFonts w:ascii="Times New Roman" w:hAnsi="Times New Roman" w:cs="Times New Roman"/>
          <w:color w:val="000000" w:themeColor="text1"/>
          <w:sz w:val="20"/>
          <w:szCs w:val="20"/>
        </w:rPr>
        <w:t>in</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their g</w:t>
      </w:r>
      <w:r w:rsidR="00A736FF" w:rsidRPr="004C2CD4">
        <w:rPr>
          <w:rFonts w:ascii="Times New Roman" w:hAnsi="Times New Roman" w:cs="Times New Roman"/>
          <w:color w:val="000000" w:themeColor="text1"/>
          <w:sz w:val="20"/>
          <w:szCs w:val="20"/>
        </w:rPr>
        <w:t>row</w:t>
      </w:r>
      <w:r w:rsidR="008A5014" w:rsidRPr="004C2CD4">
        <w:rPr>
          <w:rFonts w:ascii="Times New Roman" w:hAnsi="Times New Roman" w:cs="Times New Roman"/>
          <w:color w:val="000000" w:themeColor="text1"/>
          <w:sz w:val="20"/>
          <w:szCs w:val="20"/>
        </w:rPr>
        <w:t xml:space="preserve">ing </w:t>
      </w:r>
      <w:r w:rsidR="00070526" w:rsidRPr="004C2CD4">
        <w:rPr>
          <w:rFonts w:ascii="Times New Roman" w:hAnsi="Times New Roman" w:cs="Times New Roman"/>
          <w:color w:val="000000" w:themeColor="text1"/>
          <w:sz w:val="20"/>
          <w:szCs w:val="20"/>
        </w:rPr>
        <w:t>season</w:t>
      </w:r>
      <w:r w:rsidR="008A5014" w:rsidRPr="004C2CD4">
        <w:rPr>
          <w:rFonts w:ascii="Times New Roman" w:hAnsi="Times New Roman" w:cs="Times New Roman"/>
          <w:color w:val="000000" w:themeColor="text1"/>
          <w:sz w:val="20"/>
          <w:szCs w:val="20"/>
        </w:rPr>
        <w:t xml:space="preserve"> at appropriate</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distance.</w:t>
      </w:r>
      <w:r w:rsidR="00392BDC" w:rsidRPr="004C2CD4">
        <w:rPr>
          <w:rFonts w:ascii="Times New Roman" w:hAnsi="Times New Roman" w:cs="Times New Roman"/>
          <w:color w:val="000000" w:themeColor="text1"/>
          <w:sz w:val="20"/>
          <w:szCs w:val="20"/>
          <w:lang w:val="it-IT"/>
        </w:rPr>
        <w:t xml:space="preserve"> All treatments were replicated four times.</w:t>
      </w:r>
      <w:r w:rsidR="00BD5016" w:rsidRPr="004C2CD4">
        <w:rPr>
          <w:rFonts w:ascii="Times New Roman" w:hAnsi="Times New Roman" w:cs="Times New Roman"/>
          <w:color w:val="000000" w:themeColor="text1"/>
          <w:sz w:val="20"/>
          <w:szCs w:val="20"/>
          <w:lang w:val="it-IT"/>
        </w:rPr>
        <w:t xml:space="preserve"> Among the different </w:t>
      </w:r>
      <w:r w:rsidR="00BD5016" w:rsidRPr="004C2CD4">
        <w:rPr>
          <w:rFonts w:ascii="Times New Roman" w:eastAsia="Cambria" w:hAnsi="Times New Roman" w:cs="Times New Roman"/>
          <w:color w:val="000000" w:themeColor="text1"/>
          <w:sz w:val="20"/>
          <w:szCs w:val="20"/>
        </w:rPr>
        <w:t xml:space="preserve">vegetable intercrops, </w:t>
      </w:r>
      <w:r w:rsidR="00F01FED" w:rsidRPr="004C2CD4">
        <w:rPr>
          <w:rFonts w:ascii="Times New Roman" w:eastAsia="Cambria" w:hAnsi="Times New Roman" w:cs="Times New Roman"/>
          <w:color w:val="000000" w:themeColor="text1"/>
          <w:sz w:val="20"/>
          <w:szCs w:val="20"/>
        </w:rPr>
        <w:t>maximum</w:t>
      </w:r>
      <w:r w:rsidR="00D950AD" w:rsidRPr="004C2CD4">
        <w:rPr>
          <w:rFonts w:ascii="Times New Roman" w:eastAsia="Cambria" w:hAnsi="Times New Roman" w:cs="Times New Roman"/>
          <w:color w:val="000000" w:themeColor="text1"/>
          <w:sz w:val="20"/>
          <w:szCs w:val="20"/>
        </w:rPr>
        <w:t xml:space="preserve"> </w:t>
      </w:r>
      <w:r w:rsidR="00D950AD" w:rsidRPr="004C2CD4">
        <w:rPr>
          <w:rFonts w:ascii="Times New Roman" w:hAnsi="Times New Roman" w:cs="Times New Roman"/>
          <w:color w:val="000000" w:themeColor="text1"/>
          <w:sz w:val="20"/>
          <w:szCs w:val="20"/>
        </w:rPr>
        <w:t>incremental stem girth</w:t>
      </w:r>
      <w:r w:rsidR="00E7529A" w:rsidRPr="004C2CD4">
        <w:rPr>
          <w:rFonts w:ascii="Times New Roman" w:hAnsi="Times New Roman" w:cs="Times New Roman"/>
          <w:color w:val="000000" w:themeColor="text1"/>
          <w:sz w:val="20"/>
          <w:szCs w:val="20"/>
        </w:rPr>
        <w:t xml:space="preserve"> (July to December and January to June)</w:t>
      </w:r>
      <w:r w:rsidR="00A910FD" w:rsidRPr="004C2CD4">
        <w:rPr>
          <w:rFonts w:ascii="Times New Roman" w:hAnsi="Times New Roman" w:cs="Times New Roman"/>
          <w:color w:val="000000" w:themeColor="text1"/>
          <w:sz w:val="20"/>
          <w:szCs w:val="20"/>
        </w:rPr>
        <w:t xml:space="preserve">, </w:t>
      </w:r>
      <w:r w:rsidR="00797BC0" w:rsidRPr="004C2CD4">
        <w:rPr>
          <w:rFonts w:ascii="Times New Roman" w:hAnsi="Times New Roman" w:cs="Times New Roman"/>
          <w:color w:val="000000" w:themeColor="text1"/>
          <w:sz w:val="20"/>
          <w:szCs w:val="20"/>
        </w:rPr>
        <w:t xml:space="preserve">incremental plant height (July to December and January to June), </w:t>
      </w:r>
      <w:r w:rsidR="00684304" w:rsidRPr="004C2CD4">
        <w:rPr>
          <w:rFonts w:ascii="Times New Roman" w:hAnsi="Times New Roman" w:cs="Times New Roman"/>
          <w:color w:val="000000" w:themeColor="text1"/>
          <w:sz w:val="20"/>
          <w:szCs w:val="20"/>
        </w:rPr>
        <w:t>t</w:t>
      </w:r>
      <w:r w:rsidR="004446A1" w:rsidRPr="004C2CD4">
        <w:rPr>
          <w:rFonts w:ascii="Times New Roman" w:hAnsi="Times New Roman" w:cs="Times New Roman"/>
          <w:color w:val="000000" w:themeColor="text1"/>
          <w:sz w:val="20"/>
          <w:szCs w:val="20"/>
        </w:rPr>
        <w:t>otal incremental stem girth,</w:t>
      </w:r>
      <w:r w:rsidR="00684304" w:rsidRPr="004C2CD4">
        <w:rPr>
          <w:rFonts w:ascii="Times New Roman" w:hAnsi="Times New Roman" w:cs="Times New Roman"/>
          <w:color w:val="000000" w:themeColor="text1"/>
          <w:sz w:val="20"/>
          <w:szCs w:val="20"/>
        </w:rPr>
        <w:t xml:space="preserve"> t</w:t>
      </w:r>
      <w:r w:rsidR="00883A37" w:rsidRPr="004C2CD4">
        <w:rPr>
          <w:rFonts w:ascii="Times New Roman" w:hAnsi="Times New Roman" w:cs="Times New Roman"/>
          <w:color w:val="000000" w:themeColor="text1"/>
          <w:sz w:val="20"/>
          <w:szCs w:val="20"/>
        </w:rPr>
        <w:t>otal incremental plant height</w:t>
      </w:r>
      <w:r w:rsidR="00C76933" w:rsidRPr="004C2CD4">
        <w:rPr>
          <w:rFonts w:ascii="Times New Roman" w:hAnsi="Times New Roman" w:cs="Times New Roman"/>
          <w:color w:val="000000" w:themeColor="text1"/>
          <w:sz w:val="20"/>
          <w:szCs w:val="20"/>
        </w:rPr>
        <w:t xml:space="preserve">, </w:t>
      </w:r>
      <w:r w:rsidR="005365F7" w:rsidRPr="004C2CD4">
        <w:rPr>
          <w:rFonts w:ascii="Times New Roman" w:hAnsi="Times New Roman" w:cs="Times New Roman"/>
          <w:color w:val="000000" w:themeColor="text1"/>
          <w:sz w:val="20"/>
          <w:szCs w:val="20"/>
        </w:rPr>
        <w:t>s</w:t>
      </w:r>
      <w:r w:rsidR="00684304" w:rsidRPr="004C2CD4">
        <w:rPr>
          <w:rFonts w:ascii="Times New Roman" w:hAnsi="Times New Roman" w:cs="Times New Roman"/>
          <w:color w:val="000000" w:themeColor="text1"/>
          <w:sz w:val="20"/>
          <w:szCs w:val="20"/>
        </w:rPr>
        <w:t>andalwood yield, t</w:t>
      </w:r>
      <w:r w:rsidR="00177333" w:rsidRPr="004C2CD4">
        <w:rPr>
          <w:rFonts w:ascii="Times New Roman" w:hAnsi="Times New Roman" w:cs="Times New Roman"/>
          <w:color w:val="000000" w:themeColor="text1"/>
          <w:sz w:val="20"/>
          <w:szCs w:val="20"/>
        </w:rPr>
        <w:t>otal crop equivalent yield and</w:t>
      </w:r>
      <w:r w:rsidR="00684304" w:rsidRPr="004C2CD4">
        <w:rPr>
          <w:rFonts w:ascii="Times New Roman" w:hAnsi="Times New Roman" w:cs="Times New Roman"/>
          <w:color w:val="000000" w:themeColor="text1"/>
          <w:sz w:val="20"/>
          <w:szCs w:val="20"/>
        </w:rPr>
        <w:t xml:space="preserve"> the</w:t>
      </w:r>
      <w:r w:rsidR="00177333" w:rsidRPr="004C2CD4">
        <w:rPr>
          <w:rFonts w:ascii="Times New Roman" w:hAnsi="Times New Roman" w:cs="Times New Roman"/>
          <w:color w:val="000000" w:themeColor="text1"/>
          <w:sz w:val="20"/>
          <w:szCs w:val="20"/>
        </w:rPr>
        <w:t xml:space="preserve"> highe</w:t>
      </w:r>
      <w:r w:rsidR="00D01681" w:rsidRPr="004C2CD4">
        <w:rPr>
          <w:rFonts w:ascii="Times New Roman" w:hAnsi="Times New Roman" w:cs="Times New Roman"/>
          <w:color w:val="000000" w:themeColor="text1"/>
          <w:sz w:val="20"/>
          <w:szCs w:val="20"/>
        </w:rPr>
        <w:t>st</w:t>
      </w:r>
      <w:r w:rsidR="00177333" w:rsidRPr="004C2CD4">
        <w:rPr>
          <w:rFonts w:ascii="Times New Roman" w:hAnsi="Times New Roman" w:cs="Times New Roman"/>
          <w:color w:val="000000" w:themeColor="text1"/>
          <w:sz w:val="20"/>
          <w:szCs w:val="20"/>
        </w:rPr>
        <w:t xml:space="preserve"> benefit cost ratio were recorded with sandalwood as a main crop with T</w:t>
      </w:r>
      <w:r w:rsidR="00177333" w:rsidRPr="004C2CD4">
        <w:rPr>
          <w:rFonts w:ascii="Times New Roman" w:hAnsi="Times New Roman" w:cs="Times New Roman"/>
          <w:color w:val="000000" w:themeColor="text1"/>
          <w:sz w:val="20"/>
          <w:szCs w:val="20"/>
          <w:vertAlign w:val="subscript"/>
        </w:rPr>
        <w:t>4</w:t>
      </w:r>
      <w:r w:rsidR="002F696E" w:rsidRPr="004C2CD4">
        <w:rPr>
          <w:rFonts w:ascii="Times New Roman" w:hAnsi="Times New Roman" w:cs="Times New Roman"/>
          <w:color w:val="000000" w:themeColor="text1"/>
          <w:sz w:val="20"/>
          <w:szCs w:val="20"/>
        </w:rPr>
        <w:t xml:space="preserve"> i.e. </w:t>
      </w:r>
      <w:r w:rsidR="00177333" w:rsidRPr="004C2CD4">
        <w:rPr>
          <w:rFonts w:ascii="Times New Roman" w:hAnsi="Times New Roman" w:cs="Times New Roman"/>
          <w:color w:val="000000" w:themeColor="text1"/>
          <w:sz w:val="20"/>
          <w:szCs w:val="20"/>
        </w:rPr>
        <w:t xml:space="preserve">pigeon pea as </w:t>
      </w:r>
      <w:r w:rsidR="000E1C1D" w:rsidRPr="004C2CD4">
        <w:rPr>
          <w:rFonts w:ascii="Times New Roman" w:hAnsi="Times New Roman" w:cs="Times New Roman"/>
          <w:color w:val="000000" w:themeColor="text1"/>
          <w:sz w:val="20"/>
          <w:szCs w:val="20"/>
        </w:rPr>
        <w:t xml:space="preserve">a </w:t>
      </w:r>
      <w:r w:rsidR="00177333" w:rsidRPr="004C2CD4">
        <w:rPr>
          <w:rFonts w:ascii="Times New Roman" w:hAnsi="Times New Roman" w:cs="Times New Roman"/>
          <w:color w:val="000000" w:themeColor="text1"/>
          <w:sz w:val="20"/>
          <w:szCs w:val="20"/>
        </w:rPr>
        <w:t>vegetable intercrop.</w:t>
      </w:r>
    </w:p>
    <w:p w14:paraId="7D2B9AB8" w14:textId="32D63DCD" w:rsidR="00324018" w:rsidRPr="004C2CD4" w:rsidRDefault="009E454B"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b/>
          <w:bCs/>
          <w:color w:val="000000" w:themeColor="text1"/>
          <w:sz w:val="20"/>
          <w:szCs w:val="20"/>
        </w:rPr>
        <w:t>Keywords:</w:t>
      </w:r>
      <w:r w:rsidRPr="004C2CD4">
        <w:rPr>
          <w:rFonts w:ascii="Times New Roman" w:hAnsi="Times New Roman" w:cs="Times New Roman"/>
          <w:color w:val="000000" w:themeColor="text1"/>
          <w:sz w:val="20"/>
          <w:szCs w:val="20"/>
        </w:rPr>
        <w:t xml:space="preserve"> Intercrop, Sandalwood, Pigeon pea, </w:t>
      </w:r>
      <w:r w:rsidR="00A25C67" w:rsidRPr="004C2CD4">
        <w:rPr>
          <w:rFonts w:ascii="Times New Roman" w:hAnsi="Times New Roman" w:cs="Times New Roman"/>
          <w:color w:val="000000" w:themeColor="text1"/>
          <w:sz w:val="20"/>
          <w:szCs w:val="20"/>
        </w:rPr>
        <w:t>A</w:t>
      </w:r>
      <w:r w:rsidR="000F1417" w:rsidRPr="004C2CD4">
        <w:rPr>
          <w:rFonts w:ascii="Times New Roman" w:hAnsi="Times New Roman" w:cs="Times New Roman"/>
          <w:color w:val="000000" w:themeColor="text1"/>
          <w:sz w:val="20"/>
          <w:szCs w:val="20"/>
        </w:rPr>
        <w:t>gro</w:t>
      </w:r>
      <w:r w:rsidR="00783547" w:rsidRPr="004C2CD4">
        <w:rPr>
          <w:rFonts w:ascii="Times New Roman" w:hAnsi="Times New Roman" w:cs="Times New Roman"/>
          <w:color w:val="000000" w:themeColor="text1"/>
          <w:sz w:val="20"/>
          <w:szCs w:val="20"/>
        </w:rPr>
        <w:t>-</w:t>
      </w:r>
      <w:r w:rsidR="000F1417" w:rsidRPr="004C2CD4">
        <w:rPr>
          <w:rFonts w:ascii="Times New Roman" w:hAnsi="Times New Roman" w:cs="Times New Roman"/>
          <w:color w:val="000000" w:themeColor="text1"/>
          <w:sz w:val="20"/>
          <w:szCs w:val="20"/>
        </w:rPr>
        <w:t>forestry</w:t>
      </w:r>
      <w:r w:rsidR="002622BF" w:rsidRPr="004C2CD4">
        <w:rPr>
          <w:rFonts w:ascii="Times New Roman" w:hAnsi="Times New Roman" w:cs="Times New Roman"/>
          <w:color w:val="000000" w:themeColor="text1"/>
          <w:sz w:val="20"/>
          <w:szCs w:val="20"/>
        </w:rPr>
        <w:t xml:space="preserve">, </w:t>
      </w:r>
      <w:r w:rsidR="00D32DB1" w:rsidRPr="004C2CD4">
        <w:rPr>
          <w:rFonts w:ascii="Times New Roman" w:hAnsi="Times New Roman" w:cs="Times New Roman"/>
          <w:color w:val="000000" w:themeColor="text1"/>
          <w:sz w:val="20"/>
          <w:szCs w:val="20"/>
        </w:rPr>
        <w:t>Crop equivalent yield</w:t>
      </w:r>
    </w:p>
    <w:p w14:paraId="5E972161" w14:textId="77777777" w:rsidR="00F749E0" w:rsidRPr="004C2CD4" w:rsidRDefault="00F749E0" w:rsidP="00372F03">
      <w:pPr>
        <w:spacing w:after="0" w:line="360" w:lineRule="auto"/>
        <w:jc w:val="both"/>
        <w:rPr>
          <w:rFonts w:ascii="Times New Roman" w:hAnsi="Times New Roman" w:cs="Times New Roman"/>
          <w:color w:val="000000" w:themeColor="text1"/>
          <w:sz w:val="20"/>
          <w:szCs w:val="20"/>
        </w:rPr>
      </w:pPr>
    </w:p>
    <w:p w14:paraId="5485600F" w14:textId="0D56772E" w:rsidR="00F03BC0" w:rsidRPr="004C2CD4" w:rsidRDefault="00916D00" w:rsidP="0060236F">
      <w:pPr>
        <w:pStyle w:val="ListParagraph"/>
        <w:numPr>
          <w:ilvl w:val="0"/>
          <w:numId w:val="5"/>
        </w:numPr>
        <w:spacing w:after="0" w:line="360" w:lineRule="auto"/>
        <w:ind w:left="284" w:hanging="284"/>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INTRODUCTION</w:t>
      </w:r>
    </w:p>
    <w:p w14:paraId="2233EF70" w14:textId="3756EF5B" w:rsidR="0060236F" w:rsidRPr="004C2CD4" w:rsidRDefault="00CD0AE4"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i/>
          <w:iCs/>
          <w:color w:val="000000" w:themeColor="text1"/>
          <w:sz w:val="20"/>
          <w:szCs w:val="20"/>
        </w:rPr>
        <w:t>S</w:t>
      </w:r>
      <w:r w:rsidR="0060236F" w:rsidRPr="004C2CD4">
        <w:rPr>
          <w:rFonts w:ascii="Times New Roman" w:hAnsi="Times New Roman" w:cs="Times New Roman"/>
          <w:i/>
          <w:iCs/>
          <w:color w:val="000000" w:themeColor="text1"/>
          <w:sz w:val="20"/>
          <w:szCs w:val="20"/>
        </w:rPr>
        <w:t>antalum album</w:t>
      </w:r>
      <w:r w:rsidR="0060236F" w:rsidRPr="004C2CD4">
        <w:rPr>
          <w:rFonts w:ascii="Times New Roman" w:hAnsi="Times New Roman" w:cs="Times New Roman"/>
          <w:color w:val="000000" w:themeColor="text1"/>
          <w:sz w:val="20"/>
          <w:szCs w:val="20"/>
        </w:rPr>
        <w:t xml:space="preserve"> L. is </w:t>
      </w:r>
      <w:r w:rsidR="00BD476A" w:rsidRPr="004C2CD4">
        <w:rPr>
          <w:rFonts w:ascii="Times New Roman" w:hAnsi="Times New Roman" w:cs="Times New Roman"/>
          <w:color w:val="000000" w:themeColor="text1"/>
          <w:sz w:val="20"/>
          <w:szCs w:val="20"/>
        </w:rPr>
        <w:t xml:space="preserve">commonly </w:t>
      </w:r>
      <w:r w:rsidR="0060236F" w:rsidRPr="004C2CD4">
        <w:rPr>
          <w:rFonts w:ascii="Times New Roman" w:hAnsi="Times New Roman" w:cs="Times New Roman"/>
          <w:color w:val="000000" w:themeColor="text1"/>
          <w:sz w:val="20"/>
          <w:szCs w:val="20"/>
        </w:rPr>
        <w:t>referred to as "Chandan" or Indian Sandalwood.  The tree belongs to the Santalaceae</w:t>
      </w:r>
      <w:r w:rsidR="001E0FAA" w:rsidRPr="004C2CD4">
        <w:rPr>
          <w:rFonts w:ascii="Times New Roman" w:hAnsi="Times New Roman" w:cs="Times New Roman"/>
          <w:color w:val="000000" w:themeColor="text1"/>
          <w:sz w:val="20"/>
          <w:szCs w:val="20"/>
        </w:rPr>
        <w:t xml:space="preserve"> family of semi-root parasites, n</w:t>
      </w:r>
      <w:r w:rsidR="00A20C35" w:rsidRPr="004C2CD4">
        <w:rPr>
          <w:rFonts w:ascii="Times New Roman" w:hAnsi="Times New Roman" w:cs="Times New Roman"/>
          <w:color w:val="000000" w:themeColor="text1"/>
          <w:sz w:val="20"/>
          <w:szCs w:val="20"/>
        </w:rPr>
        <w:t>ative to South India.</w:t>
      </w:r>
      <w:r w:rsidR="0060236F" w:rsidRPr="004C2CD4">
        <w:rPr>
          <w:rFonts w:ascii="Times New Roman" w:hAnsi="Times New Roman" w:cs="Times New Roman"/>
          <w:color w:val="000000" w:themeColor="text1"/>
          <w:sz w:val="20"/>
          <w:szCs w:val="20"/>
        </w:rPr>
        <w:t xml:space="preserve"> Indian sandalwood is a vulnerable species that grows in the Western Ghats and a few other mountain ranges, such as the Kalrayan and Shevaroy hills, spanning from Uttar Pradesh in the</w:t>
      </w:r>
      <w:r w:rsidR="00A56A50" w:rsidRPr="004C2CD4">
        <w:rPr>
          <w:rFonts w:ascii="Times New Roman" w:hAnsi="Times New Roman" w:cs="Times New Roman"/>
          <w:color w:val="000000" w:themeColor="text1"/>
          <w:sz w:val="20"/>
          <w:szCs w:val="20"/>
        </w:rPr>
        <w:t xml:space="preserve"> north to Kerala in the south. </w:t>
      </w:r>
      <w:r w:rsidR="0060236F" w:rsidRPr="004C2CD4">
        <w:rPr>
          <w:rFonts w:ascii="Times New Roman" w:hAnsi="Times New Roman" w:cs="Times New Roman"/>
          <w:color w:val="000000" w:themeColor="text1"/>
          <w:sz w:val="20"/>
          <w:szCs w:val="20"/>
        </w:rPr>
        <w:t>The majority of sandal species have been used for their fragrant heartwood, which is used in various eastern civilizations for r</w:t>
      </w:r>
      <w:r w:rsidR="00A8215F" w:rsidRPr="004C2CD4">
        <w:rPr>
          <w:rFonts w:ascii="Times New Roman" w:hAnsi="Times New Roman" w:cs="Times New Roman"/>
          <w:color w:val="000000" w:themeColor="text1"/>
          <w:sz w:val="20"/>
          <w:szCs w:val="20"/>
        </w:rPr>
        <w:t>eligious, medicinal</w:t>
      </w:r>
      <w:r w:rsidR="0060236F" w:rsidRPr="004C2CD4">
        <w:rPr>
          <w:rFonts w:ascii="Times New Roman" w:hAnsi="Times New Roman" w:cs="Times New Roman"/>
          <w:color w:val="000000" w:themeColor="text1"/>
          <w:sz w:val="20"/>
          <w:szCs w:val="20"/>
        </w:rPr>
        <w:t xml:space="preserve"> and traditional purposes (Srinivasan </w:t>
      </w:r>
      <w:r w:rsidR="0060236F" w:rsidRPr="004C2CD4">
        <w:rPr>
          <w:rFonts w:ascii="Times New Roman" w:hAnsi="Times New Roman" w:cs="Times New Roman"/>
          <w:i/>
          <w:iCs/>
          <w:color w:val="000000" w:themeColor="text1"/>
          <w:sz w:val="20"/>
          <w:szCs w:val="20"/>
        </w:rPr>
        <w:t>et al.</w:t>
      </w:r>
      <w:r w:rsidR="0060236F" w:rsidRPr="004C2CD4">
        <w:rPr>
          <w:rFonts w:ascii="Times New Roman" w:hAnsi="Times New Roman" w:cs="Times New Roman"/>
          <w:color w:val="000000" w:themeColor="text1"/>
          <w:sz w:val="20"/>
          <w:szCs w:val="20"/>
        </w:rPr>
        <w:t>, 1992).</w:t>
      </w:r>
      <w:r w:rsidR="005D0BD8" w:rsidRPr="004C2CD4">
        <w:rPr>
          <w:rFonts w:ascii="Times New Roman" w:hAnsi="Times New Roman" w:cs="Times New Roman"/>
          <w:color w:val="000000" w:themeColor="text1"/>
          <w:sz w:val="20"/>
          <w:szCs w:val="20"/>
        </w:rPr>
        <w:t xml:space="preserve"> According to Nelson </w:t>
      </w:r>
      <w:r w:rsidR="005D0BD8" w:rsidRPr="004C2CD4">
        <w:rPr>
          <w:rFonts w:ascii="Times New Roman" w:hAnsi="Times New Roman" w:cs="Times New Roman"/>
          <w:i/>
          <w:iCs/>
          <w:color w:val="000000" w:themeColor="text1"/>
          <w:sz w:val="20"/>
          <w:szCs w:val="20"/>
        </w:rPr>
        <w:t>et al.</w:t>
      </w:r>
      <w:r w:rsidR="005D0BD8" w:rsidRPr="004C2CD4">
        <w:rPr>
          <w:rFonts w:ascii="Times New Roman" w:hAnsi="Times New Roman" w:cs="Times New Roman"/>
          <w:color w:val="000000" w:themeColor="text1"/>
          <w:sz w:val="20"/>
          <w:szCs w:val="20"/>
        </w:rPr>
        <w:t xml:space="preserve"> (2000), sandalwood is found throughout the nation (9600 km</w:t>
      </w:r>
      <w:r w:rsidR="005D0BD8" w:rsidRPr="004C2CD4">
        <w:rPr>
          <w:rFonts w:ascii="Times New Roman" w:hAnsi="Times New Roman" w:cs="Times New Roman"/>
          <w:color w:val="000000" w:themeColor="text1"/>
          <w:sz w:val="20"/>
          <w:szCs w:val="20"/>
          <w:vertAlign w:val="superscript"/>
        </w:rPr>
        <w:t>2</w:t>
      </w:r>
      <w:r w:rsidR="005D0BD8" w:rsidRPr="004C2CD4">
        <w:rPr>
          <w:rFonts w:ascii="Times New Roman" w:hAnsi="Times New Roman" w:cs="Times New Roman"/>
          <w:color w:val="000000" w:themeColor="text1"/>
          <w:sz w:val="20"/>
          <w:szCs w:val="20"/>
        </w:rPr>
        <w:t>), with more than 90% of the land in Karnataka and Tamil Nadu. The remaining portion is in Andhra Pradesh, Orissa, Madhya Pradesh and Maharashtra</w:t>
      </w:r>
      <w:r w:rsidR="004856C6" w:rsidRPr="004C2CD4">
        <w:rPr>
          <w:rFonts w:ascii="Times New Roman" w:hAnsi="Times New Roman" w:cs="Times New Roman"/>
          <w:color w:val="000000" w:themeColor="text1"/>
          <w:sz w:val="20"/>
          <w:szCs w:val="20"/>
        </w:rPr>
        <w:t>.</w:t>
      </w:r>
    </w:p>
    <w:p w14:paraId="63274C05" w14:textId="3436CCDB" w:rsidR="00434EAF" w:rsidRPr="004C2CD4" w:rsidRDefault="00A1108D"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Sandalwood has diverse medicinal uses, primarily in Ayurvedic traditions, for its anti-infla</w:t>
      </w:r>
      <w:r w:rsidR="00863B76" w:rsidRPr="004C2CD4">
        <w:rPr>
          <w:rFonts w:ascii="Times New Roman" w:hAnsi="Times New Roman" w:cs="Times New Roman"/>
          <w:color w:val="000000" w:themeColor="text1"/>
          <w:sz w:val="20"/>
          <w:szCs w:val="20"/>
        </w:rPr>
        <w:t>mmatory, antiseptic, astringent</w:t>
      </w:r>
      <w:r w:rsidRPr="004C2CD4">
        <w:rPr>
          <w:rFonts w:ascii="Times New Roman" w:hAnsi="Times New Roman" w:cs="Times New Roman"/>
          <w:color w:val="000000" w:themeColor="text1"/>
          <w:sz w:val="20"/>
          <w:szCs w:val="20"/>
        </w:rPr>
        <w:t xml:space="preserve"> and sedative properties. It is used topically for skin conditions like acne and eczema and to reduce signs of aging, while inhalation and consumption can aid respiratory health, alleviate headaches, and promote mental calmness and better sleep (</w:t>
      </w:r>
      <w:r w:rsidRPr="004C2CD4">
        <w:rPr>
          <w:rFonts w:ascii="Times New Roman" w:hAnsi="Times New Roman" w:cs="Times New Roman"/>
          <w:color w:val="000000" w:themeColor="text1"/>
          <w:sz w:val="20"/>
          <w:szCs w:val="20"/>
          <w:shd w:val="clear" w:color="auto" w:fill="FFFFFF"/>
        </w:rPr>
        <w:t xml:space="preserve">Francois-Newton </w:t>
      </w:r>
      <w:r w:rsidRPr="004C2CD4">
        <w:rPr>
          <w:rFonts w:ascii="Times New Roman" w:hAnsi="Times New Roman" w:cs="Times New Roman"/>
          <w:i/>
          <w:iCs/>
          <w:color w:val="000000" w:themeColor="text1"/>
          <w:sz w:val="20"/>
          <w:szCs w:val="20"/>
          <w:shd w:val="clear" w:color="auto" w:fill="FFFFFF"/>
        </w:rPr>
        <w:t>et al.,</w:t>
      </w:r>
      <w:r w:rsidRPr="004C2CD4">
        <w:rPr>
          <w:rFonts w:ascii="Times New Roman" w:hAnsi="Times New Roman" w:cs="Times New Roman"/>
          <w:color w:val="000000" w:themeColor="text1"/>
          <w:sz w:val="20"/>
          <w:szCs w:val="20"/>
          <w:shd w:val="clear" w:color="auto" w:fill="FFFFFF"/>
        </w:rPr>
        <w:t xml:space="preserve"> 2021).</w:t>
      </w:r>
      <w:r w:rsidR="00275B99"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The highly valued aromatic heartwood of Indian sandals has higher levels of santalols (up to 90%) and oil (up to 6%) than other species.</w:t>
      </w:r>
      <w:r w:rsidR="0092651B"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It is stated to be 1.6% to 3.6% from stem</w:t>
      </w:r>
      <w:r w:rsidR="00A20C35"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 xml:space="preserve">heartwood under cultivation due to the influence of tree age (Srikantaprasad </w:t>
      </w:r>
      <w:r w:rsidR="007A72F1" w:rsidRPr="004C2CD4">
        <w:rPr>
          <w:rFonts w:ascii="Times New Roman" w:hAnsi="Times New Roman" w:cs="Times New Roman"/>
          <w:i/>
          <w:iCs/>
          <w:color w:val="000000" w:themeColor="text1"/>
          <w:sz w:val="20"/>
          <w:szCs w:val="20"/>
        </w:rPr>
        <w:t>et al.</w:t>
      </w:r>
      <w:r w:rsidR="00E31906" w:rsidRPr="004C2CD4">
        <w:rPr>
          <w:rFonts w:ascii="Times New Roman" w:hAnsi="Times New Roman" w:cs="Times New Roman"/>
          <w:i/>
          <w:iCs/>
          <w:color w:val="000000" w:themeColor="text1"/>
          <w:sz w:val="20"/>
          <w:szCs w:val="20"/>
        </w:rPr>
        <w:t>,</w:t>
      </w:r>
      <w:r w:rsidR="007A72F1" w:rsidRPr="004C2CD4">
        <w:rPr>
          <w:rFonts w:ascii="Times New Roman" w:hAnsi="Times New Roman" w:cs="Times New Roman"/>
          <w:color w:val="000000" w:themeColor="text1"/>
          <w:sz w:val="20"/>
          <w:szCs w:val="20"/>
        </w:rPr>
        <w:t xml:space="preserve"> 2022).</w:t>
      </w:r>
      <w:r w:rsidR="00434EAF" w:rsidRPr="004C2CD4">
        <w:rPr>
          <w:rFonts w:ascii="Times New Roman" w:hAnsi="Times New Roman" w:cs="Times New Roman"/>
          <w:color w:val="000000" w:themeColor="text1"/>
          <w:sz w:val="20"/>
          <w:szCs w:val="20"/>
        </w:rPr>
        <w:t xml:space="preserve"> The tree's importance extends to its cultural and spiritual role, its use in high-value pro</w:t>
      </w:r>
      <w:r w:rsidR="004909A6" w:rsidRPr="004C2CD4">
        <w:rPr>
          <w:rFonts w:ascii="Times New Roman" w:hAnsi="Times New Roman" w:cs="Times New Roman"/>
          <w:color w:val="000000" w:themeColor="text1"/>
          <w:sz w:val="20"/>
          <w:szCs w:val="20"/>
        </w:rPr>
        <w:t>ducts, its medicinal properties</w:t>
      </w:r>
      <w:r w:rsidR="00434EAF" w:rsidRPr="004C2CD4">
        <w:rPr>
          <w:rFonts w:ascii="Times New Roman" w:hAnsi="Times New Roman" w:cs="Times New Roman"/>
          <w:color w:val="000000" w:themeColor="text1"/>
          <w:sz w:val="20"/>
          <w:szCs w:val="20"/>
        </w:rPr>
        <w:t xml:space="preserve"> and its potential as a long-term, profitable investment for farmers and landowners.</w:t>
      </w:r>
    </w:p>
    <w:p w14:paraId="52731611" w14:textId="541772E8" w:rsidR="001C574E" w:rsidRPr="004C2CD4" w:rsidRDefault="001C574E" w:rsidP="008D7AA2">
      <w:pPr>
        <w:pStyle w:val="BodyText2"/>
        <w:tabs>
          <w:tab w:val="clear" w:pos="284"/>
          <w:tab w:val="clear" w:pos="426"/>
          <w:tab w:val="left" w:pos="-142"/>
          <w:tab w:val="left" w:pos="0"/>
          <w:tab w:val="left" w:pos="142"/>
        </w:tabs>
        <w:rPr>
          <w:color w:val="000000" w:themeColor="text1"/>
        </w:rPr>
      </w:pPr>
      <w:r w:rsidRPr="004C2CD4">
        <w:rPr>
          <w:color w:val="000000" w:themeColor="text1"/>
        </w:rPr>
        <w:t xml:space="preserve">     </w:t>
      </w:r>
      <w:r w:rsidR="00506DAE" w:rsidRPr="004C2CD4">
        <w:rPr>
          <w:color w:val="000000" w:themeColor="text1"/>
        </w:rPr>
        <w:tab/>
      </w:r>
      <w:r w:rsidR="00F03BC0" w:rsidRPr="004C2CD4">
        <w:rPr>
          <w:color w:val="000000" w:themeColor="text1"/>
        </w:rPr>
        <w:t xml:space="preserve">Since liberalization of rules regarding sandalwood growing in 2001 and 2002 there has been tremendous interest among farmers and stakeholders across India in farming this tree. </w:t>
      </w:r>
      <w:r w:rsidR="001510E5" w:rsidRPr="004C2CD4">
        <w:rPr>
          <w:color w:val="000000" w:themeColor="text1"/>
        </w:rPr>
        <w:t>Sandalwood’s hemiparasitic nature, which allows it to derive nutrients and water from compatible host plants, combined with its adaptability to diverse soil types and challenging environmental conditions, makes it particularly suitable for plantation and agroforestry systems. In addition, its natural resistance to many pests and diseases, along with its high economic value due to aromatic heartwood and oil, enhances its appeal as a sustainable and profitable crop for both small</w:t>
      </w:r>
      <w:r w:rsidR="004326C0" w:rsidRPr="004C2CD4">
        <w:rPr>
          <w:color w:val="000000" w:themeColor="text1"/>
        </w:rPr>
        <w:t xml:space="preserve"> </w:t>
      </w:r>
      <w:r w:rsidR="001510E5" w:rsidRPr="004C2CD4">
        <w:rPr>
          <w:color w:val="000000" w:themeColor="text1"/>
        </w:rPr>
        <w:t>and large</w:t>
      </w:r>
      <w:r w:rsidR="004326C0" w:rsidRPr="004C2CD4">
        <w:rPr>
          <w:color w:val="000000" w:themeColor="text1"/>
        </w:rPr>
        <w:t xml:space="preserve"> </w:t>
      </w:r>
      <w:r w:rsidR="001510E5" w:rsidRPr="004C2CD4">
        <w:rPr>
          <w:color w:val="000000" w:themeColor="text1"/>
        </w:rPr>
        <w:t xml:space="preserve">scale cultivation. </w:t>
      </w:r>
      <w:r w:rsidR="003A5B24" w:rsidRPr="004C2CD4">
        <w:rPr>
          <w:color w:val="000000" w:themeColor="text1"/>
        </w:rPr>
        <w:t>(Viswanath and Chakraborty</w:t>
      </w:r>
      <w:r w:rsidR="00C3416F" w:rsidRPr="004C2CD4">
        <w:rPr>
          <w:color w:val="000000" w:themeColor="text1"/>
        </w:rPr>
        <w:t>,</w:t>
      </w:r>
      <w:r w:rsidR="003A5B24" w:rsidRPr="004C2CD4">
        <w:rPr>
          <w:color w:val="000000" w:themeColor="text1"/>
        </w:rPr>
        <w:t xml:space="preserve"> 2022).</w:t>
      </w:r>
    </w:p>
    <w:p w14:paraId="7977D1C3" w14:textId="03EEF321" w:rsidR="0032279A" w:rsidRPr="004C2CD4" w:rsidRDefault="001C574E" w:rsidP="001F1FF1">
      <w:pPr>
        <w:pStyle w:val="BodyText2"/>
        <w:tabs>
          <w:tab w:val="left" w:pos="-142"/>
          <w:tab w:val="left" w:pos="0"/>
          <w:tab w:val="left" w:pos="142"/>
        </w:tabs>
        <w:rPr>
          <w:color w:val="000000" w:themeColor="text1"/>
        </w:rPr>
      </w:pPr>
      <w:r w:rsidRPr="004C2CD4">
        <w:rPr>
          <w:color w:val="000000" w:themeColor="text1"/>
        </w:rPr>
        <w:tab/>
        <w:t xml:space="preserve">  </w:t>
      </w:r>
      <w:r w:rsidR="00506DAE" w:rsidRPr="004C2CD4">
        <w:rPr>
          <w:color w:val="000000" w:themeColor="text1"/>
        </w:rPr>
        <w:tab/>
      </w:r>
      <w:r w:rsidRPr="004C2CD4">
        <w:rPr>
          <w:color w:val="000000" w:themeColor="text1"/>
        </w:rPr>
        <w:t xml:space="preserve"> </w:t>
      </w:r>
      <w:r w:rsidR="00293CD3" w:rsidRPr="004C2CD4">
        <w:rPr>
          <w:color w:val="000000" w:themeColor="text1"/>
        </w:rPr>
        <w:tab/>
      </w:r>
      <w:r w:rsidR="00293CD3" w:rsidRPr="004C2CD4">
        <w:rPr>
          <w:color w:val="000000" w:themeColor="text1"/>
        </w:rPr>
        <w:tab/>
      </w:r>
      <w:r w:rsidR="00E47F23" w:rsidRPr="004C2CD4">
        <w:rPr>
          <w:color w:val="000000" w:themeColor="text1"/>
        </w:rPr>
        <w:t>A long-standing agricultural practice, intercropping involves growing two or more crops on the same piece of land at the same time in order to optimise the growth resources available.</w:t>
      </w:r>
      <w:r w:rsidR="004007B8" w:rsidRPr="004C2CD4">
        <w:rPr>
          <w:color w:val="000000" w:themeColor="text1"/>
        </w:rPr>
        <w:t xml:space="preserve"> </w:t>
      </w:r>
      <w:r w:rsidR="001E3372" w:rsidRPr="004C2CD4">
        <w:rPr>
          <w:color w:val="000000" w:themeColor="text1"/>
        </w:rPr>
        <w:t xml:space="preserve">For sandalwood cultivation to </w:t>
      </w:r>
      <w:r w:rsidR="001E3372" w:rsidRPr="004C2CD4">
        <w:rPr>
          <w:color w:val="000000" w:themeColor="text1"/>
        </w:rPr>
        <w:lastRenderedPageBreak/>
        <w:t xml:space="preserve">be economically viable, it is essential to choose suitable host plants that enhance its growth while generating additional financial benefits. </w:t>
      </w:r>
      <w:r w:rsidR="00E47F23" w:rsidRPr="004C2CD4">
        <w:rPr>
          <w:color w:val="000000" w:themeColor="text1"/>
        </w:rPr>
        <w:t>Choosing</w:t>
      </w:r>
      <w:r w:rsidR="00FE712F" w:rsidRPr="004C2CD4">
        <w:rPr>
          <w:color w:val="000000" w:themeColor="text1"/>
        </w:rPr>
        <w:t xml:space="preserve"> the right crops is essential for</w:t>
      </w:r>
      <w:r w:rsidR="00E47F23" w:rsidRPr="004C2CD4">
        <w:rPr>
          <w:color w:val="000000" w:themeColor="text1"/>
        </w:rPr>
        <w:t xml:space="preserve"> raising intercropping yields.</w:t>
      </w:r>
      <w:r w:rsidR="00B144F2" w:rsidRPr="004C2CD4">
        <w:rPr>
          <w:color w:val="000000" w:themeColor="text1"/>
        </w:rPr>
        <w:t xml:space="preserve"> Furthermore, compared to solo cropping, intercropping increases ground cover, increases soil fertility through biological nitrogen fixation with legumes, and increases lodging resistance for crops that are more vulnerable to lodging than when grown in monoculture</w:t>
      </w:r>
      <w:r w:rsidR="00197F70" w:rsidRPr="004C2CD4">
        <w:rPr>
          <w:color w:val="000000" w:themeColor="text1"/>
        </w:rPr>
        <w:t xml:space="preserve"> (Kaur and Sharma, 2025).</w:t>
      </w:r>
      <w:r w:rsidR="00D57670" w:rsidRPr="004C2CD4">
        <w:rPr>
          <w:color w:val="000000" w:themeColor="text1"/>
        </w:rPr>
        <w:t xml:space="preserve"> </w:t>
      </w:r>
      <w:r w:rsidR="00F03BC0" w:rsidRPr="004C2CD4">
        <w:rPr>
          <w:color w:val="000000" w:themeColor="text1"/>
        </w:rPr>
        <w:t xml:space="preserve">Sandalwood in general </w:t>
      </w:r>
      <w:r w:rsidR="00F03BC0" w:rsidRPr="005D1462">
        <w:rPr>
          <w:color w:val="FF0000"/>
        </w:rPr>
        <w:t>exhibit</w:t>
      </w:r>
      <w:r w:rsidR="00754022" w:rsidRPr="005D1462">
        <w:rPr>
          <w:color w:val="FF0000"/>
        </w:rPr>
        <w:t>s</w:t>
      </w:r>
      <w:r w:rsidR="00F03BC0" w:rsidRPr="004C2CD4">
        <w:rPr>
          <w:color w:val="000000" w:themeColor="text1"/>
        </w:rPr>
        <w:t xml:space="preserve"> better growth when grown with a leguminous host</w:t>
      </w:r>
      <w:r w:rsidR="003C3D6E" w:rsidRPr="004C2CD4">
        <w:rPr>
          <w:color w:val="000000" w:themeColor="text1"/>
        </w:rPr>
        <w:t>.</w:t>
      </w:r>
      <w:r w:rsidR="008B2AD4" w:rsidRPr="004C2CD4">
        <w:rPr>
          <w:color w:val="000000" w:themeColor="text1"/>
        </w:rPr>
        <w:t xml:space="preserve"> Because of their capacity to fix nitrogen, legumes have long been recognised as a soil conditioner.</w:t>
      </w:r>
      <w:r w:rsidR="00DF0FEC" w:rsidRPr="004C2CD4">
        <w:rPr>
          <w:color w:val="000000" w:themeColor="text1"/>
        </w:rPr>
        <w:t xml:space="preserve"> </w:t>
      </w:r>
      <w:r w:rsidR="008B2AD4" w:rsidRPr="004C2CD4">
        <w:rPr>
          <w:color w:val="000000" w:themeColor="text1"/>
        </w:rPr>
        <w:t xml:space="preserve">The </w:t>
      </w:r>
      <w:r w:rsidR="00FA4426" w:rsidRPr="004C2CD4">
        <w:rPr>
          <w:color w:val="000000" w:themeColor="text1"/>
        </w:rPr>
        <w:t xml:space="preserve">main </w:t>
      </w:r>
      <w:r w:rsidR="00FE2B4D" w:rsidRPr="004C2CD4">
        <w:rPr>
          <w:color w:val="000000" w:themeColor="text1"/>
        </w:rPr>
        <w:t>host for sandalwood plants is</w:t>
      </w:r>
      <w:r w:rsidR="008B2AD4" w:rsidRPr="004C2CD4">
        <w:rPr>
          <w:color w:val="000000" w:themeColor="text1"/>
        </w:rPr>
        <w:t xml:space="preserve"> legumes, which can be either wood or nuts</w:t>
      </w:r>
      <w:r w:rsidR="00550CCA" w:rsidRPr="004C2CD4">
        <w:rPr>
          <w:color w:val="000000" w:themeColor="text1"/>
        </w:rPr>
        <w:t xml:space="preserve"> (Gomes and </w:t>
      </w:r>
      <w:r w:rsidR="00C7751E" w:rsidRPr="004C2CD4">
        <w:rPr>
          <w:color w:val="000000" w:themeColor="text1"/>
        </w:rPr>
        <w:t>Adnyana, 2017).</w:t>
      </w:r>
      <w:r w:rsidR="00B355F6" w:rsidRPr="004C2CD4">
        <w:rPr>
          <w:color w:val="000000" w:themeColor="text1"/>
        </w:rPr>
        <w:t xml:space="preserve"> </w:t>
      </w:r>
      <w:r w:rsidR="001F1FF1" w:rsidRPr="004C2CD4">
        <w:rPr>
          <w:color w:val="000000" w:themeColor="text1"/>
        </w:rPr>
        <w:t>Legumes enhance soil fertility by supporting the activity of microorganisms, which play a crucial role in modi</w:t>
      </w:r>
      <w:r w:rsidR="00FE3263" w:rsidRPr="004C2CD4">
        <w:rPr>
          <w:color w:val="000000" w:themeColor="text1"/>
        </w:rPr>
        <w:t>fying soil biological, chemical</w:t>
      </w:r>
      <w:r w:rsidR="001F1FF1" w:rsidRPr="004C2CD4">
        <w:rPr>
          <w:color w:val="000000" w:themeColor="text1"/>
        </w:rPr>
        <w:t xml:space="preserve"> and physical characteristics (Stagnari </w:t>
      </w:r>
      <w:r w:rsidR="001F1FF1" w:rsidRPr="004C2CD4">
        <w:rPr>
          <w:i/>
          <w:iCs/>
          <w:color w:val="000000" w:themeColor="text1"/>
        </w:rPr>
        <w:t>et al</w:t>
      </w:r>
      <w:r w:rsidR="001F1FF1" w:rsidRPr="004C2CD4">
        <w:rPr>
          <w:color w:val="000000" w:themeColor="text1"/>
        </w:rPr>
        <w:t xml:space="preserve">., 2017; Nanganoa </w:t>
      </w:r>
      <w:r w:rsidR="001F1FF1" w:rsidRPr="004C2CD4">
        <w:rPr>
          <w:i/>
          <w:iCs/>
          <w:color w:val="000000" w:themeColor="text1"/>
        </w:rPr>
        <w:t>et al</w:t>
      </w:r>
      <w:r w:rsidR="001F1FF1" w:rsidRPr="004C2CD4">
        <w:rPr>
          <w:color w:val="000000" w:themeColor="text1"/>
        </w:rPr>
        <w:t xml:space="preserve">., 2019; Vasconcelos </w:t>
      </w:r>
      <w:r w:rsidR="001F1FF1" w:rsidRPr="004C2CD4">
        <w:rPr>
          <w:i/>
          <w:iCs/>
          <w:color w:val="000000" w:themeColor="text1"/>
        </w:rPr>
        <w:t>et al.,</w:t>
      </w:r>
      <w:r w:rsidR="001F1FF1" w:rsidRPr="004C2CD4">
        <w:rPr>
          <w:color w:val="000000" w:themeColor="text1"/>
        </w:rPr>
        <w:t xml:space="preserve"> 2020).</w:t>
      </w:r>
    </w:p>
    <w:p w14:paraId="525FAE73" w14:textId="57990518" w:rsidR="00DF5D1E" w:rsidRPr="004C2CD4" w:rsidRDefault="00DF5D1E" w:rsidP="00DF5D1E">
      <w:pPr>
        <w:pStyle w:val="BodyText2"/>
        <w:tabs>
          <w:tab w:val="clear" w:pos="284"/>
          <w:tab w:val="clear" w:pos="426"/>
          <w:tab w:val="left" w:pos="-142"/>
          <w:tab w:val="left" w:pos="0"/>
          <w:tab w:val="left" w:pos="142"/>
        </w:tabs>
        <w:rPr>
          <w:color w:val="000000" w:themeColor="text1"/>
        </w:rPr>
      </w:pPr>
      <w:r w:rsidRPr="004C2CD4">
        <w:rPr>
          <w:color w:val="000000" w:themeColor="text1"/>
        </w:rPr>
        <w:tab/>
      </w:r>
      <w:r w:rsidR="00B107A1" w:rsidRPr="004C2CD4">
        <w:rPr>
          <w:color w:val="000000" w:themeColor="text1"/>
        </w:rPr>
        <w:tab/>
      </w:r>
      <w:r w:rsidR="0032279A" w:rsidRPr="004C2CD4">
        <w:rPr>
          <w:color w:val="000000" w:themeColor="text1"/>
        </w:rPr>
        <w:t xml:space="preserve">Various vegetable intercrops are known to exert beneficial effects on the growth and development of sandalwood, primarily through improved soil fertility, nutrient cycling and microclimatic moderation. Considering these potential advantages, a study was undertaken to evaluate the feasibility and performance of different vegetable crops as intercrops with sandalwood, with the objective of </w:t>
      </w:r>
      <w:r w:rsidRPr="004C2CD4">
        <w:rPr>
          <w:color w:val="000000" w:themeColor="text1"/>
        </w:rPr>
        <w:t>to study the influence of vegetable intercrop on growth of sandalwood.</w:t>
      </w:r>
    </w:p>
    <w:p w14:paraId="53C9CA99" w14:textId="21C2F102" w:rsidR="00252DE1" w:rsidRPr="004C2CD4" w:rsidRDefault="00D8470E" w:rsidP="000058CA">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 </w:t>
      </w:r>
      <w:r w:rsidRPr="004C2CD4">
        <w:rPr>
          <w:rFonts w:ascii="Times New Roman" w:hAnsi="Times New Roman" w:cs="Times New Roman"/>
          <w:b/>
          <w:bCs/>
          <w:color w:val="000000" w:themeColor="text1"/>
        </w:rPr>
        <w:tab/>
      </w:r>
      <w:r w:rsidR="00B4266E" w:rsidRPr="004C2CD4">
        <w:rPr>
          <w:rFonts w:ascii="Times New Roman" w:hAnsi="Times New Roman" w:cs="Times New Roman"/>
          <w:b/>
          <w:bCs/>
          <w:color w:val="000000" w:themeColor="text1"/>
        </w:rPr>
        <w:t>MATERIALS AND METHODS</w:t>
      </w:r>
    </w:p>
    <w:p w14:paraId="0CA2391C" w14:textId="6D9C5E36" w:rsidR="00727065" w:rsidRPr="004C2CD4" w:rsidRDefault="00BA6628" w:rsidP="00727065">
      <w:pPr>
        <w:tabs>
          <w:tab w:val="left" w:pos="426"/>
        </w:tabs>
        <w:spacing w:after="0" w:line="360" w:lineRule="auto"/>
        <w:jc w:val="both"/>
        <w:rPr>
          <w:rFonts w:ascii="Times New Roman" w:hAnsi="Times New Roman" w:cs="Times New Roman"/>
          <w:color w:val="000000" w:themeColor="text1"/>
        </w:rPr>
      </w:pPr>
      <w:r w:rsidRPr="004C2CD4">
        <w:rPr>
          <w:rFonts w:ascii="Times New Roman" w:hAnsi="Times New Roman" w:cs="Times New Roman"/>
          <w:b/>
          <w:bCs/>
          <w:color w:val="000000" w:themeColor="text1"/>
        </w:rPr>
        <w:t>2.1</w:t>
      </w:r>
      <w:r w:rsidRPr="004C2CD4">
        <w:rPr>
          <w:rFonts w:ascii="Times New Roman" w:hAnsi="Times New Roman" w:cs="Times New Roman"/>
          <w:b/>
          <w:bCs/>
          <w:color w:val="000000" w:themeColor="text1"/>
        </w:rPr>
        <w:tab/>
      </w:r>
      <w:r w:rsidR="0037497C" w:rsidRPr="004C2CD4">
        <w:rPr>
          <w:rFonts w:ascii="Times New Roman" w:hAnsi="Times New Roman" w:cs="Times New Roman"/>
          <w:b/>
          <w:bCs/>
          <w:color w:val="000000" w:themeColor="text1"/>
        </w:rPr>
        <w:t>Experiment sites</w:t>
      </w:r>
    </w:p>
    <w:p w14:paraId="3E8575DF" w14:textId="2A9C6865" w:rsidR="005D35A5" w:rsidRPr="004C2CD4" w:rsidRDefault="006737E7" w:rsidP="00727065">
      <w:pPr>
        <w:tabs>
          <w:tab w:val="left" w:pos="426"/>
        </w:tabs>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 xml:space="preserve"> </w:t>
      </w:r>
      <w:r w:rsidR="00727065"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Pr="004C2CD4">
        <w:rPr>
          <w:rFonts w:ascii="Times New Roman" w:hAnsi="Times New Roman" w:cs="Times New Roman"/>
          <w:color w:val="000000" w:themeColor="text1"/>
          <w:sz w:val="20"/>
          <w:szCs w:val="20"/>
        </w:rPr>
        <w:t>The present investigation was carried out at Horticulture Research Farm, Anand Agricult</w:t>
      </w:r>
      <w:r w:rsidR="00B12957" w:rsidRPr="004C2CD4">
        <w:rPr>
          <w:rFonts w:ascii="Times New Roman" w:hAnsi="Times New Roman" w:cs="Times New Roman"/>
          <w:color w:val="000000" w:themeColor="text1"/>
          <w:sz w:val="20"/>
          <w:szCs w:val="20"/>
        </w:rPr>
        <w:t xml:space="preserve">ural University, Anand, Gujarat during the year </w:t>
      </w:r>
      <w:r w:rsidR="002C642F" w:rsidRPr="004C2CD4">
        <w:rPr>
          <w:rFonts w:ascii="Times New Roman" w:hAnsi="Times New Roman" w:cs="Times New Roman"/>
          <w:color w:val="000000" w:themeColor="text1"/>
          <w:kern w:val="24"/>
          <w:sz w:val="20"/>
          <w:szCs w:val="20"/>
          <w:lang w:eastAsia="en-IN"/>
        </w:rPr>
        <w:t xml:space="preserve">2021-22, 2022-23 and </w:t>
      </w:r>
      <w:r w:rsidR="00B12957" w:rsidRPr="004C2CD4">
        <w:rPr>
          <w:rFonts w:ascii="Times New Roman" w:hAnsi="Times New Roman" w:cs="Times New Roman"/>
          <w:color w:val="000000" w:themeColor="text1"/>
          <w:kern w:val="24"/>
          <w:sz w:val="20"/>
          <w:szCs w:val="20"/>
          <w:lang w:eastAsia="en-IN"/>
        </w:rPr>
        <w:t>2023-24</w:t>
      </w:r>
      <w:r w:rsidR="002C642F" w:rsidRPr="004C2CD4">
        <w:rPr>
          <w:rFonts w:ascii="Times New Roman" w:hAnsi="Times New Roman" w:cs="Times New Roman"/>
          <w:color w:val="000000" w:themeColor="text1"/>
          <w:kern w:val="24"/>
          <w:sz w:val="20"/>
          <w:szCs w:val="20"/>
          <w:lang w:eastAsia="en-IN"/>
        </w:rPr>
        <w:t>.</w:t>
      </w:r>
      <w:r w:rsidR="0093079D" w:rsidRPr="004C2CD4">
        <w:rPr>
          <w:rFonts w:ascii="Times New Roman" w:hAnsi="Times New Roman" w:cs="Times New Roman"/>
          <w:color w:val="000000" w:themeColor="text1"/>
          <w:kern w:val="24"/>
          <w:sz w:val="20"/>
          <w:szCs w:val="20"/>
          <w:lang w:eastAsia="en-IN"/>
        </w:rPr>
        <w:t xml:space="preserve"> Anand is </w:t>
      </w:r>
      <w:r w:rsidR="002F42B8" w:rsidRPr="004C2CD4">
        <w:rPr>
          <w:rFonts w:ascii="Times New Roman" w:hAnsi="Times New Roman" w:cs="Times New Roman"/>
          <w:color w:val="000000" w:themeColor="text1"/>
          <w:kern w:val="24"/>
          <w:sz w:val="20"/>
          <w:szCs w:val="20"/>
          <w:lang w:eastAsia="en-IN"/>
        </w:rPr>
        <w:t xml:space="preserve">located at </w:t>
      </w:r>
      <w:r w:rsidR="002F42B8" w:rsidRPr="004C2CD4">
        <w:rPr>
          <w:rFonts w:ascii="Times New Roman" w:hAnsi="Times New Roman" w:cs="Times New Roman"/>
          <w:color w:val="000000" w:themeColor="text1"/>
          <w:sz w:val="20"/>
          <w:szCs w:val="20"/>
        </w:rPr>
        <w:t>22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35' North latitude and 72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56' East longitude with an altitude of about 45.1 m above the mean sea level.</w:t>
      </w:r>
      <w:r w:rsidR="00D72195" w:rsidRPr="004C2CD4">
        <w:rPr>
          <w:rFonts w:ascii="Times New Roman" w:hAnsi="Times New Roman" w:cs="Times New Roman"/>
          <w:color w:val="000000" w:themeColor="text1"/>
          <w:sz w:val="20"/>
          <w:szCs w:val="20"/>
        </w:rPr>
        <w:t xml:space="preserve"> The climate of middle Gujarat zone is semi-arid and subtropical type. October to May is sunny months generally receiving an average of eight hours sunshine per day. Temperature during hot weather commences by end of February and ends by about middle of June. Winter sets in the middle of October and continues till the end of February. Monsoon is generally starts from second fortnight of June and retreats by middle of September with an annual rainfall of 860 mm. The soil of the experimental site was loamy sand, locally known as </w:t>
      </w:r>
      <w:r w:rsidR="00D72195" w:rsidRPr="004C2CD4">
        <w:rPr>
          <w:rFonts w:ascii="Times New Roman" w:hAnsi="Times New Roman" w:cs="Times New Roman"/>
          <w:i/>
          <w:iCs/>
          <w:color w:val="000000" w:themeColor="text1"/>
          <w:sz w:val="20"/>
          <w:szCs w:val="20"/>
        </w:rPr>
        <w:t>“Goradu”.</w:t>
      </w:r>
    </w:p>
    <w:p w14:paraId="6674CAB0" w14:textId="6776EE42" w:rsidR="00737C93" w:rsidRPr="004C2CD4" w:rsidRDefault="00727065" w:rsidP="00727065">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2.2 </w:t>
      </w:r>
      <w:r w:rsidRPr="004C2CD4">
        <w:rPr>
          <w:rFonts w:ascii="Times New Roman" w:hAnsi="Times New Roman" w:cs="Times New Roman"/>
          <w:b/>
          <w:bCs/>
          <w:color w:val="000000" w:themeColor="text1"/>
        </w:rPr>
        <w:tab/>
      </w:r>
      <w:r w:rsidR="00737C93" w:rsidRPr="004C2CD4">
        <w:rPr>
          <w:rFonts w:ascii="Times New Roman" w:hAnsi="Times New Roman" w:cs="Times New Roman"/>
          <w:b/>
          <w:bCs/>
          <w:color w:val="000000" w:themeColor="text1"/>
        </w:rPr>
        <w:t>Experimental design and treatments</w:t>
      </w:r>
    </w:p>
    <w:p w14:paraId="0457B79A" w14:textId="0436ECF3" w:rsidR="000058CA" w:rsidRPr="004C2CD4" w:rsidRDefault="00CE233A" w:rsidP="00CE233A">
      <w:pPr>
        <w:pStyle w:val="ListParagraph"/>
        <w:tabs>
          <w:tab w:val="left" w:pos="426"/>
        </w:tabs>
        <w:spacing w:after="0" w:line="360" w:lineRule="auto"/>
        <w:ind w:left="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00FE712F" w:rsidRPr="004C2CD4">
        <w:rPr>
          <w:rFonts w:ascii="Times New Roman" w:hAnsi="Times New Roman" w:cs="Times New Roman"/>
          <w:color w:val="000000" w:themeColor="text1"/>
          <w:sz w:val="20"/>
          <w:szCs w:val="20"/>
        </w:rPr>
        <w:t>There was</w:t>
      </w:r>
      <w:r w:rsidR="000058CA" w:rsidRPr="004C2CD4">
        <w:rPr>
          <w:rFonts w:ascii="Times New Roman" w:hAnsi="Times New Roman" w:cs="Times New Roman"/>
          <w:color w:val="000000" w:themeColor="text1"/>
          <w:sz w:val="20"/>
          <w:szCs w:val="20"/>
        </w:rPr>
        <w:t xml:space="preserve"> an existing healthy and uniform plantation of sandal wood of 3 year old under “Evaluation of existing plantation, establishment of agro forestry trails and capacity building to promote sandal wood (</w:t>
      </w:r>
      <w:r w:rsidR="000058CA" w:rsidRPr="004C2CD4">
        <w:rPr>
          <w:rFonts w:ascii="Times New Roman" w:hAnsi="Times New Roman" w:cs="Times New Roman"/>
          <w:i/>
          <w:iCs/>
          <w:color w:val="000000" w:themeColor="text1"/>
          <w:sz w:val="20"/>
          <w:szCs w:val="20"/>
        </w:rPr>
        <w:t>Santalum album</w:t>
      </w:r>
      <w:r w:rsidR="000058CA" w:rsidRPr="004C2CD4">
        <w:rPr>
          <w:rFonts w:ascii="Times New Roman" w:hAnsi="Times New Roman" w:cs="Times New Roman"/>
          <w:color w:val="000000" w:themeColor="text1"/>
          <w:sz w:val="20"/>
          <w:szCs w:val="20"/>
        </w:rPr>
        <w:t xml:space="preserve">) cultivation in Gujarat and Rajastan”, </w:t>
      </w:r>
      <w:r w:rsidR="009604ED" w:rsidRPr="004C2CD4">
        <w:rPr>
          <w:rFonts w:ascii="Times New Roman" w:hAnsi="Times New Roman" w:cs="Times New Roman"/>
          <w:color w:val="000000" w:themeColor="text1"/>
          <w:sz w:val="20"/>
          <w:szCs w:val="20"/>
        </w:rPr>
        <w:t>which was</w:t>
      </w:r>
      <w:r w:rsidR="000058CA" w:rsidRPr="004C2CD4">
        <w:rPr>
          <w:rFonts w:ascii="Times New Roman" w:hAnsi="Times New Roman" w:cs="Times New Roman"/>
          <w:color w:val="000000" w:themeColor="text1"/>
          <w:sz w:val="20"/>
          <w:szCs w:val="20"/>
        </w:rPr>
        <w:t xml:space="preserve"> funded by Arid Forest Research Institute, Jodhpu</w:t>
      </w:r>
      <w:r w:rsidR="00E8231B" w:rsidRPr="004C2CD4">
        <w:rPr>
          <w:rFonts w:ascii="Times New Roman" w:hAnsi="Times New Roman" w:cs="Times New Roman"/>
          <w:color w:val="000000" w:themeColor="text1"/>
          <w:sz w:val="20"/>
          <w:szCs w:val="20"/>
        </w:rPr>
        <w:t>r (Rajasthan) in c</w:t>
      </w:r>
      <w:r w:rsidR="003E09D6" w:rsidRPr="004C2CD4">
        <w:rPr>
          <w:rFonts w:ascii="Times New Roman" w:hAnsi="Times New Roman" w:cs="Times New Roman"/>
          <w:color w:val="000000" w:themeColor="text1"/>
          <w:sz w:val="20"/>
          <w:szCs w:val="20"/>
        </w:rPr>
        <w:t>ollaboration w</w:t>
      </w:r>
      <w:r w:rsidR="000058CA" w:rsidRPr="004C2CD4">
        <w:rPr>
          <w:rFonts w:ascii="Times New Roman" w:hAnsi="Times New Roman" w:cs="Times New Roman"/>
          <w:color w:val="000000" w:themeColor="text1"/>
          <w:sz w:val="20"/>
          <w:szCs w:val="20"/>
        </w:rPr>
        <w:t>ith Anand Agricultural University, Anand (Gujarat).</w:t>
      </w:r>
    </w:p>
    <w:p w14:paraId="15179942" w14:textId="299CBC50" w:rsidR="000D0A02" w:rsidRPr="004C2CD4" w:rsidRDefault="00727065"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ab/>
      </w:r>
      <w:r w:rsidR="00E35B34"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The experiment was laid out in a Randomized Block Design (RBD)</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with four replications to ensure statistical accuracy and minimize field variation.</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Sandalwood served as the main crop, while different intercrop species and their respective varieties were planted at appropriate spacing</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to facilitate proper growth and reliable comparison among treatments.</w:t>
      </w:r>
      <w:r w:rsidR="008D43BF" w:rsidRPr="004C2CD4">
        <w:rPr>
          <w:rFonts w:ascii="Times New Roman" w:hAnsi="Times New Roman" w:cs="Times New Roman"/>
          <w:color w:val="000000" w:themeColor="text1"/>
          <w:sz w:val="20"/>
          <w:szCs w:val="20"/>
        </w:rPr>
        <w:t xml:space="preserve"> </w:t>
      </w:r>
    </w:p>
    <w:p w14:paraId="6C5F326F" w14:textId="54152E98" w:rsidR="00704591" w:rsidRPr="004C2CD4" w:rsidRDefault="000D0A02"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EB4F4D">
        <w:rPr>
          <w:rFonts w:ascii="Times New Roman" w:hAnsi="Times New Roman" w:cs="Times New Roman"/>
          <w:color w:val="000000" w:themeColor="text1"/>
          <w:sz w:val="20"/>
          <w:szCs w:val="20"/>
        </w:rPr>
        <w:t xml:space="preserve">List 1: </w:t>
      </w:r>
      <w:r w:rsidRPr="004C2CD4">
        <w:rPr>
          <w:rFonts w:ascii="Times New Roman" w:hAnsi="Times New Roman" w:cs="Times New Roman"/>
          <w:color w:val="000000" w:themeColor="text1"/>
          <w:sz w:val="20"/>
          <w:szCs w:val="20"/>
        </w:rPr>
        <w:t xml:space="preserve"> </w:t>
      </w:r>
      <w:r w:rsidR="002D3886" w:rsidRPr="004C2CD4">
        <w:rPr>
          <w:rFonts w:ascii="Times New Roman" w:hAnsi="Times New Roman" w:cs="Times New Roman"/>
          <w:color w:val="000000" w:themeColor="text1"/>
          <w:sz w:val="20"/>
          <w:szCs w:val="20"/>
        </w:rPr>
        <w:t>The t</w:t>
      </w:r>
      <w:r w:rsidR="006F645B" w:rsidRPr="004C2CD4">
        <w:rPr>
          <w:rFonts w:ascii="Times New Roman" w:hAnsi="Times New Roman" w:cs="Times New Roman"/>
          <w:color w:val="000000" w:themeColor="text1"/>
          <w:sz w:val="20"/>
          <w:szCs w:val="20"/>
        </w:rPr>
        <w:t>reatment details are as under</w:t>
      </w:r>
    </w:p>
    <w:tbl>
      <w:tblPr>
        <w:tblpPr w:leftFromText="180" w:rightFromText="180" w:vertAnchor="text" w:horzAnchor="margin" w:tblpX="108" w:tblpY="46"/>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4"/>
        <w:gridCol w:w="3774"/>
        <w:gridCol w:w="2000"/>
        <w:gridCol w:w="2251"/>
      </w:tblGrid>
      <w:tr w:rsidR="004C2CD4" w:rsidRPr="004C2CD4" w14:paraId="08BC174A" w14:textId="77777777" w:rsidTr="00753EF6">
        <w:trPr>
          <w:trHeight w:val="282"/>
        </w:trPr>
        <w:tc>
          <w:tcPr>
            <w:tcW w:w="643" w:type="pct"/>
          </w:tcPr>
          <w:p w14:paraId="2D479D8E" w14:textId="77777777" w:rsidR="00727065" w:rsidRPr="004C2CD4" w:rsidRDefault="00727065" w:rsidP="00753EF6">
            <w:pPr>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Sr. No.</w:t>
            </w:r>
          </w:p>
        </w:tc>
        <w:tc>
          <w:tcPr>
            <w:tcW w:w="2049" w:type="pct"/>
          </w:tcPr>
          <w:p w14:paraId="2F741E70"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Treatments</w:t>
            </w:r>
          </w:p>
        </w:tc>
        <w:tc>
          <w:tcPr>
            <w:tcW w:w="1086" w:type="pct"/>
          </w:tcPr>
          <w:p w14:paraId="14C07DF7"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Variety</w:t>
            </w:r>
          </w:p>
        </w:tc>
        <w:tc>
          <w:tcPr>
            <w:tcW w:w="1222" w:type="pct"/>
          </w:tcPr>
          <w:p w14:paraId="37AD26F3"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Distance</w:t>
            </w:r>
          </w:p>
        </w:tc>
      </w:tr>
      <w:tr w:rsidR="004C2CD4" w:rsidRPr="004C2CD4" w14:paraId="1B138059" w14:textId="77777777" w:rsidTr="00753EF6">
        <w:trPr>
          <w:trHeight w:val="514"/>
        </w:trPr>
        <w:tc>
          <w:tcPr>
            <w:tcW w:w="643" w:type="pct"/>
          </w:tcPr>
          <w:p w14:paraId="32D631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
        </w:tc>
        <w:tc>
          <w:tcPr>
            <w:tcW w:w="2049" w:type="pct"/>
          </w:tcPr>
          <w:p w14:paraId="5E3B76E2"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Indian bean (Rabi) + </w:t>
            </w:r>
          </w:p>
          <w:p w14:paraId="2A4CA42E"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1086" w:type="pct"/>
          </w:tcPr>
          <w:p w14:paraId="594337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GP-1</w:t>
            </w:r>
          </w:p>
          <w:p w14:paraId="02BACB5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AVCP 1</w:t>
            </w:r>
          </w:p>
        </w:tc>
        <w:tc>
          <w:tcPr>
            <w:tcW w:w="1222" w:type="pct"/>
          </w:tcPr>
          <w:p w14:paraId="5316F7D5"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332E8790"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30 cm</w:t>
            </w:r>
          </w:p>
        </w:tc>
      </w:tr>
      <w:tr w:rsidR="004C2CD4" w:rsidRPr="004C2CD4" w14:paraId="4F7AC4A3" w14:textId="77777777" w:rsidTr="00753EF6">
        <w:trPr>
          <w:trHeight w:val="247"/>
        </w:trPr>
        <w:tc>
          <w:tcPr>
            <w:tcW w:w="643" w:type="pct"/>
          </w:tcPr>
          <w:p w14:paraId="562F926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
        </w:tc>
        <w:tc>
          <w:tcPr>
            <w:tcW w:w="2049" w:type="pct"/>
          </w:tcPr>
          <w:p w14:paraId="7A112CFF" w14:textId="1D101DE0"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French bean (Winter) + </w:t>
            </w:r>
          </w:p>
          <w:p w14:paraId="7FF824D3"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Cluster bean (Summer)</w:t>
            </w:r>
          </w:p>
        </w:tc>
        <w:tc>
          <w:tcPr>
            <w:tcW w:w="1086" w:type="pct"/>
          </w:tcPr>
          <w:p w14:paraId="6DA9ABF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Local</w:t>
            </w:r>
          </w:p>
          <w:p w14:paraId="2136D93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GVG 11</w:t>
            </w:r>
          </w:p>
        </w:tc>
        <w:tc>
          <w:tcPr>
            <w:tcW w:w="1222" w:type="pct"/>
          </w:tcPr>
          <w:p w14:paraId="50377BD4"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7B9648FB"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15 cm</w:t>
            </w:r>
          </w:p>
        </w:tc>
      </w:tr>
      <w:tr w:rsidR="004C2CD4" w:rsidRPr="004C2CD4" w14:paraId="19E5A01D" w14:textId="77777777" w:rsidTr="00753EF6">
        <w:trPr>
          <w:trHeight w:val="198"/>
        </w:trPr>
        <w:tc>
          <w:tcPr>
            <w:tcW w:w="643" w:type="pct"/>
          </w:tcPr>
          <w:p w14:paraId="33D67A02"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
        </w:tc>
        <w:tc>
          <w:tcPr>
            <w:tcW w:w="2049" w:type="pct"/>
          </w:tcPr>
          <w:p w14:paraId="46135B91"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Turmeric </w:t>
            </w:r>
          </w:p>
        </w:tc>
        <w:tc>
          <w:tcPr>
            <w:tcW w:w="1086" w:type="pct"/>
          </w:tcPr>
          <w:p w14:paraId="6FACB66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Sugandham</w:t>
            </w:r>
          </w:p>
        </w:tc>
        <w:tc>
          <w:tcPr>
            <w:tcW w:w="1222" w:type="pct"/>
          </w:tcPr>
          <w:p w14:paraId="4FDE3009"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60 × 20 cm</w:t>
            </w:r>
          </w:p>
        </w:tc>
      </w:tr>
      <w:tr w:rsidR="004C2CD4" w:rsidRPr="004C2CD4" w14:paraId="23CA11BF" w14:textId="77777777" w:rsidTr="00753EF6">
        <w:trPr>
          <w:trHeight w:val="198"/>
        </w:trPr>
        <w:tc>
          <w:tcPr>
            <w:tcW w:w="643" w:type="pct"/>
          </w:tcPr>
          <w:p w14:paraId="193C400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
        </w:tc>
        <w:tc>
          <w:tcPr>
            <w:tcW w:w="2049" w:type="pct"/>
          </w:tcPr>
          <w:p w14:paraId="3770BE3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Pigeon pea </w:t>
            </w:r>
          </w:p>
        </w:tc>
        <w:tc>
          <w:tcPr>
            <w:tcW w:w="1086" w:type="pct"/>
          </w:tcPr>
          <w:p w14:paraId="7B3EC308"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AVPP 1</w:t>
            </w:r>
          </w:p>
        </w:tc>
        <w:tc>
          <w:tcPr>
            <w:tcW w:w="1222" w:type="pct"/>
          </w:tcPr>
          <w:p w14:paraId="31CD15C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90 × 60 cm</w:t>
            </w:r>
          </w:p>
        </w:tc>
      </w:tr>
      <w:tr w:rsidR="004C2CD4" w:rsidRPr="004C2CD4" w14:paraId="7AA71FFA" w14:textId="77777777" w:rsidTr="00753EF6">
        <w:trPr>
          <w:trHeight w:val="315"/>
        </w:trPr>
        <w:tc>
          <w:tcPr>
            <w:tcW w:w="643" w:type="pct"/>
          </w:tcPr>
          <w:p w14:paraId="1A178FAD"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
        </w:tc>
        <w:tc>
          <w:tcPr>
            <w:tcW w:w="2049" w:type="pct"/>
          </w:tcPr>
          <w:p w14:paraId="14EF97A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Control (Sandal wood sole)</w:t>
            </w:r>
          </w:p>
        </w:tc>
        <w:tc>
          <w:tcPr>
            <w:tcW w:w="1086" w:type="pct"/>
          </w:tcPr>
          <w:p w14:paraId="469A6153"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w:t>
            </w:r>
          </w:p>
        </w:tc>
        <w:tc>
          <w:tcPr>
            <w:tcW w:w="1222" w:type="pct"/>
          </w:tcPr>
          <w:p w14:paraId="2B947DB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5.0 × 5.0 m</w:t>
            </w:r>
          </w:p>
        </w:tc>
      </w:tr>
    </w:tbl>
    <w:p w14:paraId="50C7793C" w14:textId="7A2BCC48" w:rsidR="00B901FE" w:rsidRPr="004C2CD4" w:rsidRDefault="00B901FE" w:rsidP="0095102D">
      <w:pPr>
        <w:pStyle w:val="BodyTextIndent"/>
        <w:spacing w:line="360" w:lineRule="auto"/>
        <w:ind w:left="0" w:right="-90" w:firstLine="720"/>
        <w:rPr>
          <w:color w:val="000000" w:themeColor="text1"/>
          <w:sz w:val="20"/>
          <w:szCs w:val="20"/>
        </w:rPr>
      </w:pPr>
      <w:r w:rsidRPr="004C2CD4">
        <w:rPr>
          <w:color w:val="000000" w:themeColor="text1"/>
          <w:sz w:val="20"/>
          <w:szCs w:val="20"/>
        </w:rPr>
        <w:lastRenderedPageBreak/>
        <w:t>The fertilizer schedules for the various intercrops, along with their respective seed rates and recommended sowing times, are presented below to outline the specific agronomic practices followed for each treatment.</w:t>
      </w:r>
    </w:p>
    <w:p w14:paraId="29891E40" w14:textId="00D43E6C" w:rsidR="00CD346D" w:rsidRDefault="00AC2BC4" w:rsidP="00DD298F">
      <w:pPr>
        <w:spacing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When field was vacant green manuring with sunhemp was done.</w:t>
      </w:r>
      <w:r w:rsidRPr="004C2CD4">
        <w:rPr>
          <w:color w:val="000000" w:themeColor="text1"/>
        </w:rPr>
        <w:t xml:space="preserve"> </w:t>
      </w:r>
      <w:r w:rsidRPr="004C2CD4">
        <w:rPr>
          <w:rFonts w:ascii="Times New Roman" w:hAnsi="Times New Roman" w:cs="Times New Roman"/>
          <w:color w:val="000000" w:themeColor="text1"/>
          <w:sz w:val="20"/>
          <w:szCs w:val="20"/>
        </w:rPr>
        <w:t>The incorporation of sunhemp biomass enhanced soil organic matter, nutrient availability and overall soil structure, thereby creating favorable conditions for subsequent crop establishment.</w:t>
      </w:r>
    </w:p>
    <w:p w14:paraId="4F7D48ED" w14:textId="58840567" w:rsidR="00EB4F4D" w:rsidRPr="004C2CD4" w:rsidRDefault="00EB4F4D" w:rsidP="00DD298F">
      <w:pPr>
        <w:spacing w:line="36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List 2: </w:t>
      </w:r>
      <w:r w:rsidR="00DB0EA8">
        <w:rPr>
          <w:rFonts w:ascii="Times New Roman" w:hAnsi="Times New Roman" w:cs="Times New Roman"/>
          <w:color w:val="000000" w:themeColor="text1"/>
          <w:sz w:val="20"/>
          <w:szCs w:val="20"/>
        </w:rPr>
        <w:t>Treatment details encompassing crops, seed rate, sowing time and fertilizer dose</w:t>
      </w:r>
    </w:p>
    <w:tbl>
      <w:tblPr>
        <w:tblW w:w="4942" w:type="pct"/>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51"/>
        <w:gridCol w:w="979"/>
        <w:gridCol w:w="1115"/>
        <w:gridCol w:w="4123"/>
      </w:tblGrid>
      <w:tr w:rsidR="004C2CD4" w:rsidRPr="004C2CD4" w14:paraId="7A5E54AA" w14:textId="77777777" w:rsidTr="00AC7250">
        <w:trPr>
          <w:trHeight w:val="489"/>
        </w:trPr>
        <w:tc>
          <w:tcPr>
            <w:tcW w:w="342" w:type="pct"/>
            <w:vAlign w:val="center"/>
          </w:tcPr>
          <w:p w14:paraId="1E5A9B06" w14:textId="77777777" w:rsidR="003B3055" w:rsidRPr="004C2CD4" w:rsidRDefault="003B3055" w:rsidP="00AC7250">
            <w:pPr>
              <w:tabs>
                <w:tab w:val="left" w:pos="426"/>
              </w:tabs>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Sr. No.</w:t>
            </w:r>
          </w:p>
        </w:tc>
        <w:tc>
          <w:tcPr>
            <w:tcW w:w="1278" w:type="pct"/>
            <w:vAlign w:val="center"/>
          </w:tcPr>
          <w:p w14:paraId="14FA03C8" w14:textId="77777777" w:rsidR="003B3055" w:rsidRPr="004C2CD4" w:rsidRDefault="003B3055" w:rsidP="00AC7250">
            <w:pPr>
              <w:pStyle w:val="Heading4"/>
              <w:rPr>
                <w:color w:val="000000" w:themeColor="text1"/>
              </w:rPr>
            </w:pPr>
            <w:r w:rsidRPr="004C2CD4">
              <w:rPr>
                <w:color w:val="000000" w:themeColor="text1"/>
              </w:rPr>
              <w:t>Crops</w:t>
            </w:r>
          </w:p>
        </w:tc>
        <w:tc>
          <w:tcPr>
            <w:tcW w:w="532" w:type="pct"/>
            <w:vAlign w:val="center"/>
          </w:tcPr>
          <w:p w14:paraId="566FD7E3" w14:textId="77777777" w:rsidR="003B3055" w:rsidRPr="004C2CD4" w:rsidRDefault="003B3055" w:rsidP="00AC7250">
            <w:pPr>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Seed rate (kg/ha)</w:t>
            </w:r>
          </w:p>
        </w:tc>
        <w:tc>
          <w:tcPr>
            <w:tcW w:w="606" w:type="pct"/>
            <w:vAlign w:val="center"/>
          </w:tcPr>
          <w:p w14:paraId="1BB9FD34" w14:textId="2B8E3985"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Time of</w:t>
            </w:r>
          </w:p>
          <w:p w14:paraId="49337048" w14:textId="77777777"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sowing</w:t>
            </w:r>
          </w:p>
        </w:tc>
        <w:tc>
          <w:tcPr>
            <w:tcW w:w="2241" w:type="pct"/>
            <w:vAlign w:val="center"/>
          </w:tcPr>
          <w:p w14:paraId="5567636E" w14:textId="77777777" w:rsidR="003B3055" w:rsidRPr="004C2CD4" w:rsidRDefault="003B3055" w:rsidP="00AC7250">
            <w:pPr>
              <w:pStyle w:val="Heading4"/>
              <w:rPr>
                <w:color w:val="000000" w:themeColor="text1"/>
              </w:rPr>
            </w:pPr>
            <w:r w:rsidRPr="004C2CD4">
              <w:rPr>
                <w:color w:val="000000" w:themeColor="text1"/>
              </w:rPr>
              <w:t>Fertilizer dose</w:t>
            </w:r>
          </w:p>
        </w:tc>
      </w:tr>
      <w:tr w:rsidR="004C2CD4" w:rsidRPr="00DB0EA8" w14:paraId="0213BFDB" w14:textId="77777777" w:rsidTr="00727065">
        <w:trPr>
          <w:trHeight w:val="242"/>
        </w:trPr>
        <w:tc>
          <w:tcPr>
            <w:tcW w:w="342" w:type="pct"/>
          </w:tcPr>
          <w:p w14:paraId="0FE2F892"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1</w:t>
            </w:r>
          </w:p>
        </w:tc>
        <w:tc>
          <w:tcPr>
            <w:tcW w:w="1278" w:type="pct"/>
          </w:tcPr>
          <w:p w14:paraId="1166A16E"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Indian bean (Rabi)</w:t>
            </w:r>
          </w:p>
        </w:tc>
        <w:tc>
          <w:tcPr>
            <w:tcW w:w="532" w:type="pct"/>
          </w:tcPr>
          <w:p w14:paraId="294BA8C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5</w:t>
            </w:r>
          </w:p>
        </w:tc>
        <w:tc>
          <w:tcPr>
            <w:tcW w:w="606" w:type="pct"/>
          </w:tcPr>
          <w:p w14:paraId="56963CB2" w14:textId="0EB5DDD4"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5CA35C2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8FF5C13" w14:textId="77777777" w:rsidTr="00727065">
        <w:trPr>
          <w:trHeight w:val="371"/>
        </w:trPr>
        <w:tc>
          <w:tcPr>
            <w:tcW w:w="342" w:type="pct"/>
          </w:tcPr>
          <w:p w14:paraId="4AB3ED0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739A0A47"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532" w:type="pct"/>
          </w:tcPr>
          <w:p w14:paraId="77892E9D"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14</w:t>
            </w:r>
          </w:p>
        </w:tc>
        <w:tc>
          <w:tcPr>
            <w:tcW w:w="606" w:type="pct"/>
          </w:tcPr>
          <w:p w14:paraId="64CE41BB"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 22</w:t>
            </w:r>
          </w:p>
        </w:tc>
        <w:tc>
          <w:tcPr>
            <w:tcW w:w="2241" w:type="pct"/>
          </w:tcPr>
          <w:p w14:paraId="57BC9725"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DA8DA0A" w14:textId="77777777" w:rsidTr="00727065">
        <w:trPr>
          <w:trHeight w:val="352"/>
        </w:trPr>
        <w:tc>
          <w:tcPr>
            <w:tcW w:w="342" w:type="pct"/>
          </w:tcPr>
          <w:p w14:paraId="777C4BD8"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2</w:t>
            </w:r>
          </w:p>
        </w:tc>
        <w:tc>
          <w:tcPr>
            <w:tcW w:w="1278" w:type="pct"/>
          </w:tcPr>
          <w:p w14:paraId="7676A2EA"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French bean (Winter)</w:t>
            </w:r>
          </w:p>
        </w:tc>
        <w:tc>
          <w:tcPr>
            <w:tcW w:w="532" w:type="pct"/>
          </w:tcPr>
          <w:p w14:paraId="4054D82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11F62937" w14:textId="2D396A75"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2B97E7E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1E98F1D4" w14:textId="77777777" w:rsidTr="00727065">
        <w:trPr>
          <w:trHeight w:val="269"/>
        </w:trPr>
        <w:tc>
          <w:tcPr>
            <w:tcW w:w="342" w:type="pct"/>
          </w:tcPr>
          <w:p w14:paraId="51C1B043"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0E93D348" w14:textId="4E53DD6A" w:rsidR="003B3055" w:rsidRPr="004C2CD4" w:rsidRDefault="00836451"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Cluster bean </w:t>
            </w:r>
            <w:r w:rsidR="003B3055" w:rsidRPr="004C2CD4">
              <w:rPr>
                <w:rFonts w:ascii="Times New Roman" w:hAnsi="Times New Roman" w:cs="Times New Roman"/>
                <w:color w:val="000000" w:themeColor="text1"/>
                <w:sz w:val="20"/>
                <w:szCs w:val="20"/>
              </w:rPr>
              <w:t>(Summer)</w:t>
            </w:r>
          </w:p>
        </w:tc>
        <w:tc>
          <w:tcPr>
            <w:tcW w:w="532" w:type="pct"/>
          </w:tcPr>
          <w:p w14:paraId="581D3BEF"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8</w:t>
            </w:r>
          </w:p>
        </w:tc>
        <w:tc>
          <w:tcPr>
            <w:tcW w:w="606" w:type="pct"/>
          </w:tcPr>
          <w:p w14:paraId="7491244D" w14:textId="09C3FBB4" w:rsidR="003B3055" w:rsidRPr="004C2CD4" w:rsidRDefault="003B3055" w:rsidP="00D16FCB">
            <w:pPr>
              <w:spacing w:after="0" w:line="360" w:lineRule="auto"/>
              <w:ind w:left="-109" w:right="4"/>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w:t>
            </w:r>
            <w:r w:rsidR="00ED3BCE"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22</w:t>
            </w:r>
          </w:p>
        </w:tc>
        <w:tc>
          <w:tcPr>
            <w:tcW w:w="2241" w:type="pct"/>
          </w:tcPr>
          <w:p w14:paraId="7F2A8E10"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F93B2F0" w14:textId="77777777" w:rsidTr="00727065">
        <w:trPr>
          <w:trHeight w:val="305"/>
        </w:trPr>
        <w:tc>
          <w:tcPr>
            <w:tcW w:w="342" w:type="pct"/>
          </w:tcPr>
          <w:p w14:paraId="6C8208C9"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3</w:t>
            </w:r>
          </w:p>
        </w:tc>
        <w:tc>
          <w:tcPr>
            <w:tcW w:w="1278" w:type="pct"/>
          </w:tcPr>
          <w:p w14:paraId="5397FEC1"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Turmeric </w:t>
            </w:r>
          </w:p>
        </w:tc>
        <w:tc>
          <w:tcPr>
            <w:tcW w:w="532" w:type="pct"/>
          </w:tcPr>
          <w:p w14:paraId="0915162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3 t/ha</w:t>
            </w:r>
          </w:p>
        </w:tc>
        <w:tc>
          <w:tcPr>
            <w:tcW w:w="606" w:type="pct"/>
          </w:tcPr>
          <w:p w14:paraId="08FF4FB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May 21</w:t>
            </w:r>
          </w:p>
        </w:tc>
        <w:tc>
          <w:tcPr>
            <w:tcW w:w="2241" w:type="pct"/>
          </w:tcPr>
          <w:p w14:paraId="45A25495" w14:textId="611235DE"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lang w:val="it-IT"/>
              </w:rPr>
              <w:t>40-50 t</w:t>
            </w:r>
            <w:r w:rsidRPr="004C2CD4">
              <w:rPr>
                <w:rFonts w:ascii="Times New Roman" w:hAnsi="Times New Roman" w:cs="Times New Roman"/>
                <w:color w:val="000000" w:themeColor="text1"/>
                <w:sz w:val="20"/>
                <w:szCs w:val="20"/>
                <w:shd w:val="clear" w:color="auto" w:fill="FFFFFF"/>
                <w:lang w:val="it-IT" w:bidi="en-US"/>
              </w:rPr>
              <w:t>/ha</w:t>
            </w:r>
            <w:r w:rsidR="004E7108" w:rsidRPr="004C2CD4">
              <w:rPr>
                <w:rFonts w:ascii="Times New Roman" w:hAnsi="Times New Roman" w:cs="Times New Roman"/>
                <w:color w:val="000000" w:themeColor="text1"/>
                <w:sz w:val="20"/>
                <w:szCs w:val="20"/>
                <w:lang w:val="it-IT"/>
              </w:rPr>
              <w:t xml:space="preserve"> FYM, 100:60:60 NPK </w:t>
            </w:r>
            <w:r w:rsidRPr="004C2CD4">
              <w:rPr>
                <w:rFonts w:ascii="Times New Roman" w:hAnsi="Times New Roman" w:cs="Times New Roman"/>
                <w:color w:val="000000" w:themeColor="text1"/>
                <w:sz w:val="20"/>
                <w:szCs w:val="20"/>
                <w:lang w:val="it-IT"/>
              </w:rPr>
              <w:t>kg/ha</w:t>
            </w:r>
          </w:p>
        </w:tc>
      </w:tr>
      <w:tr w:rsidR="004E7108" w:rsidRPr="00DB0EA8" w14:paraId="7E5F82D6" w14:textId="77777777" w:rsidTr="00727065">
        <w:trPr>
          <w:trHeight w:val="56"/>
        </w:trPr>
        <w:tc>
          <w:tcPr>
            <w:tcW w:w="342" w:type="pct"/>
          </w:tcPr>
          <w:p w14:paraId="6044A71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4</w:t>
            </w:r>
          </w:p>
        </w:tc>
        <w:tc>
          <w:tcPr>
            <w:tcW w:w="1278" w:type="pct"/>
          </w:tcPr>
          <w:p w14:paraId="44CAC13F"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Pigeon pea </w:t>
            </w:r>
          </w:p>
        </w:tc>
        <w:tc>
          <w:tcPr>
            <w:tcW w:w="532" w:type="pct"/>
          </w:tcPr>
          <w:p w14:paraId="316467F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73F4BBD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July 21</w:t>
            </w:r>
          </w:p>
        </w:tc>
        <w:tc>
          <w:tcPr>
            <w:tcW w:w="2241" w:type="pct"/>
          </w:tcPr>
          <w:p w14:paraId="0ED78D97"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bl>
    <w:p w14:paraId="796327A9" w14:textId="77777777" w:rsidR="00F60BD5" w:rsidRPr="00DB0EA8" w:rsidRDefault="00F60BD5" w:rsidP="00FD68B9">
      <w:pPr>
        <w:spacing w:after="0" w:line="360" w:lineRule="auto"/>
        <w:ind w:left="1080" w:right="-360" w:hanging="1080"/>
        <w:jc w:val="both"/>
        <w:rPr>
          <w:rFonts w:ascii="Times New Roman" w:hAnsi="Times New Roman" w:cs="Times New Roman"/>
          <w:b/>
          <w:color w:val="000000" w:themeColor="text1"/>
          <w:lang w:val="es-US"/>
        </w:rPr>
      </w:pPr>
    </w:p>
    <w:p w14:paraId="583050B3" w14:textId="1799912D" w:rsidR="005B0DB3" w:rsidRPr="004C2CD4" w:rsidRDefault="00E72394" w:rsidP="00FD68B9">
      <w:pPr>
        <w:spacing w:after="0" w:line="360" w:lineRule="auto"/>
        <w:ind w:left="1080"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rPr>
        <w:t xml:space="preserve">3. </w:t>
      </w:r>
      <w:r w:rsidR="00B24D6C" w:rsidRPr="004C2CD4">
        <w:rPr>
          <w:rFonts w:ascii="Times New Roman" w:hAnsi="Times New Roman" w:cs="Times New Roman"/>
          <w:b/>
          <w:color w:val="000000" w:themeColor="text1"/>
        </w:rPr>
        <w:t>RESULT</w:t>
      </w:r>
      <w:r w:rsidR="001D09EC" w:rsidRPr="004C2CD4">
        <w:rPr>
          <w:rFonts w:ascii="Times New Roman" w:hAnsi="Times New Roman" w:cs="Times New Roman"/>
          <w:b/>
          <w:color w:val="000000" w:themeColor="text1"/>
        </w:rPr>
        <w:t xml:space="preserve"> AND DISCUSSION</w:t>
      </w:r>
    </w:p>
    <w:p w14:paraId="78295F45" w14:textId="1FD8F071" w:rsidR="005B0DB3" w:rsidRPr="004C2CD4" w:rsidRDefault="00E72394" w:rsidP="00FD68B9">
      <w:pPr>
        <w:spacing w:after="0" w:line="360" w:lineRule="auto"/>
        <w:ind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sz w:val="24"/>
          <w:szCs w:val="24"/>
        </w:rPr>
        <w:t xml:space="preserve">           </w:t>
      </w:r>
      <w:r w:rsidR="00FD68B9" w:rsidRPr="004C2CD4">
        <w:rPr>
          <w:rFonts w:ascii="Times New Roman" w:hAnsi="Times New Roman" w:cs="Times New Roman"/>
          <w:b/>
          <w:color w:val="000000" w:themeColor="text1"/>
        </w:rPr>
        <w:tab/>
      </w:r>
      <w:r w:rsidRPr="004C2CD4">
        <w:rPr>
          <w:rFonts w:ascii="Times New Roman" w:hAnsi="Times New Roman" w:cs="Times New Roman"/>
          <w:b/>
          <w:color w:val="000000" w:themeColor="text1"/>
        </w:rPr>
        <w:t xml:space="preserve">3.1 </w:t>
      </w:r>
      <w:r w:rsidR="000E6179" w:rsidRPr="004C2CD4">
        <w:rPr>
          <w:rFonts w:ascii="Times New Roman" w:hAnsi="Times New Roman" w:cs="Times New Roman"/>
          <w:b/>
          <w:color w:val="000000" w:themeColor="text1"/>
        </w:rPr>
        <w:t>Growth parameters</w:t>
      </w:r>
    </w:p>
    <w:p w14:paraId="593F92FE" w14:textId="7345C4E7" w:rsidR="000A58F8" w:rsidRPr="004C2CD4" w:rsidRDefault="00413EE9" w:rsidP="00413EE9">
      <w:pPr>
        <w:pStyle w:val="ListParagraph"/>
        <w:spacing w:after="0" w:line="360" w:lineRule="auto"/>
        <w:ind w:left="0" w:right="-90"/>
        <w:jc w:val="both"/>
        <w:rPr>
          <w:rFonts w:ascii="Times New Roman" w:hAnsi="Times New Roman" w:cs="Times New Roman"/>
          <w:bCs/>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Pr="004C2CD4">
        <w:rPr>
          <w:rFonts w:ascii="Times New Roman" w:hAnsi="Times New Roman" w:cs="Times New Roman"/>
          <w:bCs/>
          <w:color w:val="000000" w:themeColor="text1"/>
          <w:sz w:val="20"/>
          <w:szCs w:val="20"/>
        </w:rPr>
        <w:t xml:space="preserve">  </w:t>
      </w:r>
      <w:r w:rsidR="000A58F8" w:rsidRPr="004C2CD4">
        <w:rPr>
          <w:rFonts w:ascii="Times New Roman" w:hAnsi="Times New Roman" w:cs="Times New Roman"/>
          <w:bCs/>
          <w:color w:val="000000" w:themeColor="text1"/>
          <w:sz w:val="20"/>
          <w:szCs w:val="20"/>
        </w:rPr>
        <w:t xml:space="preserve">The difference in growth parameters </w:t>
      </w:r>
      <w:r w:rsidR="000A58F8" w:rsidRPr="004C2CD4">
        <w:rPr>
          <w:rFonts w:ascii="Times New Roman" w:hAnsi="Times New Roman" w:cs="Times New Roman"/>
          <w:bCs/>
          <w:i/>
          <w:iCs/>
          <w:color w:val="000000" w:themeColor="text1"/>
          <w:sz w:val="20"/>
          <w:szCs w:val="20"/>
        </w:rPr>
        <w:t>viz.,</w:t>
      </w:r>
      <w:r w:rsidR="008035CD" w:rsidRPr="004C2CD4">
        <w:rPr>
          <w:rFonts w:ascii="Times New Roman" w:hAnsi="Times New Roman" w:cs="Times New Roman"/>
          <w:bCs/>
          <w:color w:val="000000" w:themeColor="text1"/>
          <w:sz w:val="20"/>
          <w:szCs w:val="20"/>
        </w:rPr>
        <w:t xml:space="preserve"> i</w:t>
      </w:r>
      <w:r w:rsidR="000A58F8" w:rsidRPr="004C2CD4">
        <w:rPr>
          <w:rFonts w:ascii="Times New Roman" w:hAnsi="Times New Roman" w:cs="Times New Roman"/>
          <w:bCs/>
          <w:color w:val="000000" w:themeColor="text1"/>
          <w:sz w:val="20"/>
          <w:szCs w:val="20"/>
        </w:rPr>
        <w:t>ncremental stem girth (July to December</w:t>
      </w:r>
      <w:r w:rsidR="00045128" w:rsidRPr="004C2CD4">
        <w:rPr>
          <w:rFonts w:ascii="Times New Roman" w:hAnsi="Times New Roman" w:cs="Times New Roman"/>
          <w:bCs/>
          <w:color w:val="000000" w:themeColor="text1"/>
          <w:sz w:val="20"/>
          <w:szCs w:val="20"/>
        </w:rPr>
        <w:t xml:space="preserve"> and January to June), i</w:t>
      </w:r>
      <w:r w:rsidR="000A58F8" w:rsidRPr="004C2CD4">
        <w:rPr>
          <w:rFonts w:ascii="Times New Roman" w:hAnsi="Times New Roman" w:cs="Times New Roman"/>
          <w:bCs/>
          <w:color w:val="000000" w:themeColor="text1"/>
          <w:sz w:val="20"/>
          <w:szCs w:val="20"/>
        </w:rPr>
        <w:t>ncremental plant height (July to December and January to June)</w:t>
      </w:r>
      <w:r w:rsidR="00E34A57" w:rsidRPr="004C2CD4">
        <w:rPr>
          <w:rFonts w:ascii="Times New Roman" w:hAnsi="Times New Roman" w:cs="Times New Roman"/>
          <w:bCs/>
          <w:color w:val="000000" w:themeColor="text1"/>
          <w:sz w:val="20"/>
          <w:szCs w:val="20"/>
        </w:rPr>
        <w:t xml:space="preserve">, </w:t>
      </w:r>
      <w:r w:rsidR="00CA5ACB" w:rsidRPr="004C2CD4">
        <w:rPr>
          <w:rFonts w:ascii="Times New Roman" w:hAnsi="Times New Roman" w:cs="Times New Roman"/>
          <w:bCs/>
          <w:color w:val="000000" w:themeColor="text1"/>
          <w:sz w:val="20"/>
          <w:szCs w:val="20"/>
        </w:rPr>
        <w:t>t</w:t>
      </w:r>
      <w:r w:rsidR="002C4A9E" w:rsidRPr="004C2CD4">
        <w:rPr>
          <w:rFonts w:ascii="Times New Roman" w:hAnsi="Times New Roman" w:cs="Times New Roman"/>
          <w:bCs/>
          <w:color w:val="000000" w:themeColor="text1"/>
          <w:sz w:val="20"/>
          <w:szCs w:val="20"/>
        </w:rPr>
        <w:t>otal incremental stem girth and total incremental plant height of sandalwood trees significantly influenced by different vegetable intercrops</w:t>
      </w:r>
      <w:r w:rsidR="00CB2D0E" w:rsidRPr="004C2CD4">
        <w:rPr>
          <w:rFonts w:ascii="Times New Roman" w:hAnsi="Times New Roman" w:cs="Times New Roman"/>
          <w:color w:val="000000" w:themeColor="text1"/>
          <w:sz w:val="20"/>
          <w:szCs w:val="20"/>
        </w:rPr>
        <w:t xml:space="preserve"> (Table 1).</w:t>
      </w:r>
    </w:p>
    <w:p w14:paraId="4458C6FB" w14:textId="3AE62794" w:rsidR="00B64954" w:rsidRDefault="00413EE9" w:rsidP="00413EE9">
      <w:pPr>
        <w:spacing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00420945" w:rsidRPr="004C2CD4">
        <w:rPr>
          <w:rFonts w:ascii="Times New Roman" w:hAnsi="Times New Roman" w:cs="Times New Roman"/>
          <w:color w:val="000000" w:themeColor="text1"/>
          <w:sz w:val="20"/>
          <w:szCs w:val="20"/>
        </w:rPr>
        <w:t xml:space="preserve">The plant growth </w:t>
      </w:r>
      <w:r w:rsidR="00CA5ACB" w:rsidRPr="004C2CD4">
        <w:rPr>
          <w:rFonts w:ascii="Times New Roman" w:hAnsi="Times New Roman" w:cs="Times New Roman"/>
          <w:color w:val="000000" w:themeColor="text1"/>
          <w:sz w:val="20"/>
          <w:szCs w:val="20"/>
        </w:rPr>
        <w:t xml:space="preserve">of sandalwood </w:t>
      </w:r>
      <w:r w:rsidR="00420945" w:rsidRPr="004C2CD4">
        <w:rPr>
          <w:rFonts w:ascii="Times New Roman" w:hAnsi="Times New Roman" w:cs="Times New Roman"/>
          <w:color w:val="000000" w:themeColor="text1"/>
          <w:sz w:val="20"/>
          <w:szCs w:val="20"/>
        </w:rPr>
        <w:t>in terms of incremental stem girth (3.7</w:t>
      </w:r>
      <w:r w:rsidR="00074290" w:rsidRPr="004C2CD4">
        <w:rPr>
          <w:rFonts w:ascii="Times New Roman" w:hAnsi="Times New Roman" w:cs="Times New Roman"/>
          <w:color w:val="000000" w:themeColor="text1"/>
          <w:sz w:val="20"/>
          <w:szCs w:val="20"/>
        </w:rPr>
        <w:t>9</w:t>
      </w:r>
      <w:r w:rsidR="00420945" w:rsidRPr="004C2CD4">
        <w:rPr>
          <w:rFonts w:ascii="Times New Roman" w:hAnsi="Times New Roman" w:cs="Times New Roman"/>
          <w:color w:val="000000" w:themeColor="text1"/>
          <w:sz w:val="20"/>
          <w:szCs w:val="20"/>
        </w:rPr>
        <w:t xml:space="preserve"> cm) during July to December</w:t>
      </w:r>
      <w:r w:rsidR="00074290"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was found maximum with treatment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(intercrop with pigeon pea). Similarly,</w:t>
      </w:r>
      <w:r w:rsidR="007959F4"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maximum incremental stem girth (</w:t>
      </w:r>
      <w:r w:rsidR="00074290" w:rsidRPr="004C2CD4">
        <w:rPr>
          <w:rFonts w:ascii="Times New Roman" w:hAnsi="Times New Roman" w:cs="Times New Roman"/>
          <w:color w:val="000000" w:themeColor="text1"/>
          <w:sz w:val="20"/>
          <w:szCs w:val="20"/>
        </w:rPr>
        <w:t>2.17</w:t>
      </w:r>
      <w:r w:rsidR="0073483E"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 xml:space="preserve">cm) during </w:t>
      </w:r>
      <w:r w:rsidR="00766828" w:rsidRPr="004C2CD4">
        <w:rPr>
          <w:rFonts w:ascii="Times New Roman" w:hAnsi="Times New Roman" w:cs="Times New Roman"/>
          <w:color w:val="000000" w:themeColor="text1"/>
          <w:sz w:val="20"/>
          <w:szCs w:val="20"/>
        </w:rPr>
        <w:t>January to June</w:t>
      </w:r>
      <w:r w:rsidR="00420945" w:rsidRPr="004C2CD4">
        <w:rPr>
          <w:rFonts w:ascii="Times New Roman" w:hAnsi="Times New Roman" w:cs="Times New Roman"/>
          <w:color w:val="000000" w:themeColor="text1"/>
          <w:sz w:val="20"/>
          <w:szCs w:val="20"/>
        </w:rPr>
        <w:t>, incremental plant height (50.82 cm) during July to December, incremental plant height (</w:t>
      </w:r>
      <w:r w:rsidR="00766828" w:rsidRPr="004C2CD4">
        <w:rPr>
          <w:rFonts w:ascii="Times New Roman" w:hAnsi="Times New Roman" w:cs="Times New Roman"/>
          <w:color w:val="000000" w:themeColor="text1"/>
          <w:sz w:val="20"/>
          <w:szCs w:val="20"/>
        </w:rPr>
        <w:t>38.04</w:t>
      </w:r>
      <w:r w:rsidR="00420945" w:rsidRPr="004C2CD4">
        <w:rPr>
          <w:rFonts w:ascii="Times New Roman" w:hAnsi="Times New Roman" w:cs="Times New Roman"/>
          <w:color w:val="000000" w:themeColor="text1"/>
          <w:sz w:val="20"/>
          <w:szCs w:val="20"/>
        </w:rPr>
        <w:t xml:space="preserve"> cm) during January to June, total incremental stem girth (6.02 cm) and total </w:t>
      </w:r>
      <w:r w:rsidR="00C846D2" w:rsidRPr="004C2CD4">
        <w:rPr>
          <w:rFonts w:ascii="Times New Roman" w:hAnsi="Times New Roman" w:cs="Times New Roman"/>
          <w:color w:val="000000" w:themeColor="text1"/>
          <w:sz w:val="20"/>
          <w:szCs w:val="20"/>
        </w:rPr>
        <w:t xml:space="preserve">incremental plant height (88.89 </w:t>
      </w:r>
      <w:r w:rsidR="00420945" w:rsidRPr="004C2CD4">
        <w:rPr>
          <w:rFonts w:ascii="Times New Roman" w:hAnsi="Times New Roman" w:cs="Times New Roman"/>
          <w:color w:val="000000" w:themeColor="text1"/>
          <w:sz w:val="20"/>
          <w:szCs w:val="20"/>
        </w:rPr>
        <w:t xml:space="preserve">cm) </w:t>
      </w:r>
      <w:r w:rsidR="00883078" w:rsidRPr="004C2CD4">
        <w:rPr>
          <w:rFonts w:ascii="Times New Roman" w:hAnsi="Times New Roman" w:cs="Times New Roman"/>
          <w:color w:val="000000" w:themeColor="text1"/>
          <w:sz w:val="20"/>
          <w:szCs w:val="20"/>
        </w:rPr>
        <w:t xml:space="preserve">were </w:t>
      </w:r>
      <w:r w:rsidR="00420945" w:rsidRPr="004C2CD4">
        <w:rPr>
          <w:rFonts w:ascii="Times New Roman" w:hAnsi="Times New Roman" w:cs="Times New Roman"/>
          <w:color w:val="000000" w:themeColor="text1"/>
          <w:sz w:val="20"/>
          <w:szCs w:val="20"/>
        </w:rPr>
        <w:t>observed with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i.e. intercropping with pigeon pea.</w:t>
      </w:r>
      <w:r w:rsidR="00B94CBA" w:rsidRPr="004C2CD4">
        <w:rPr>
          <w:rFonts w:ascii="Times New Roman" w:hAnsi="Times New Roman" w:cs="Times New Roman"/>
          <w:color w:val="000000" w:themeColor="text1"/>
          <w:sz w:val="20"/>
          <w:szCs w:val="20"/>
        </w:rPr>
        <w:t xml:space="preserve"> However, minimum plant growth parameters </w:t>
      </w:r>
      <w:r w:rsidR="00032A58" w:rsidRPr="004C2CD4">
        <w:rPr>
          <w:rFonts w:ascii="Times New Roman" w:hAnsi="Times New Roman" w:cs="Times New Roman"/>
          <w:color w:val="000000" w:themeColor="text1"/>
          <w:sz w:val="20"/>
          <w:szCs w:val="20"/>
        </w:rPr>
        <w:t>of sandalwood found with treatment control (Sandal wood sole).</w:t>
      </w:r>
    </w:p>
    <w:p w14:paraId="44F5A15F" w14:textId="74D71FCB" w:rsidR="00EB4F4D" w:rsidRPr="00440B74" w:rsidRDefault="00440B74" w:rsidP="00440B74">
      <w:pPr>
        <w:spacing w:after="0" w:line="360" w:lineRule="auto"/>
        <w:ind w:left="720" w:right="-124" w:hanging="900"/>
        <w:jc w:val="both"/>
        <w:rPr>
          <w:rFonts w:ascii="Times New Roman" w:hAnsi="Times New Roman" w:cs="Times New Roman"/>
          <w:color w:val="000000" w:themeColor="text1"/>
        </w:rPr>
      </w:pPr>
      <w:r w:rsidRPr="004C2CD4">
        <w:rPr>
          <w:rFonts w:ascii="Times New Roman" w:hAnsi="Times New Roman" w:cs="Times New Roman"/>
          <w:b/>
          <w:color w:val="000000" w:themeColor="text1"/>
        </w:rPr>
        <w:t xml:space="preserve">  Table 1: </w:t>
      </w:r>
      <w:r w:rsidRPr="004C2CD4">
        <w:rPr>
          <w:rFonts w:ascii="Times New Roman" w:hAnsi="Times New Roman" w:cs="Times New Roman"/>
          <w:b/>
          <w:bCs/>
          <w:color w:val="000000" w:themeColor="text1"/>
        </w:rPr>
        <w:t>Influence of vegetable crops as intercrop on growth parameters of sandalwood (Pooled of three years)</w:t>
      </w:r>
    </w:p>
    <w:tbl>
      <w:tblPr>
        <w:tblpPr w:leftFromText="180" w:rightFromText="180" w:vertAnchor="text" w:horzAnchor="margin" w:tblpXSpec="center" w:tblpY="812"/>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134"/>
        <w:gridCol w:w="993"/>
        <w:gridCol w:w="1134"/>
        <w:gridCol w:w="993"/>
        <w:gridCol w:w="1276"/>
        <w:gridCol w:w="1276"/>
      </w:tblGrid>
      <w:tr w:rsidR="004C2CD4" w:rsidRPr="004C2CD4" w14:paraId="0EAFC44D" w14:textId="77777777" w:rsidTr="00BA36C2">
        <w:trPr>
          <w:trHeight w:val="558"/>
        </w:trPr>
        <w:tc>
          <w:tcPr>
            <w:tcW w:w="1458" w:type="pct"/>
            <w:vMerge w:val="restart"/>
            <w:vAlign w:val="center"/>
          </w:tcPr>
          <w:p w14:paraId="63B64E78" w14:textId="77777777" w:rsidR="0073047B" w:rsidRPr="004C2CD4" w:rsidRDefault="0073047B" w:rsidP="003F1A9D">
            <w:pPr>
              <w:pStyle w:val="Heading8"/>
              <w:framePr w:hSpace="0" w:wrap="auto" w:vAnchor="margin" w:hAnchor="text" w:xAlign="left" w:yAlign="inline"/>
              <w:rPr>
                <w:color w:val="000000" w:themeColor="text1"/>
              </w:rPr>
            </w:pPr>
            <w:r w:rsidRPr="004C2CD4">
              <w:rPr>
                <w:color w:val="000000" w:themeColor="text1"/>
              </w:rPr>
              <w:t>Treatments</w:t>
            </w:r>
          </w:p>
        </w:tc>
        <w:tc>
          <w:tcPr>
            <w:tcW w:w="1107" w:type="pct"/>
            <w:gridSpan w:val="2"/>
            <w:vAlign w:val="center"/>
          </w:tcPr>
          <w:p w14:paraId="63ED4AE7"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stem girth (cm)</w:t>
            </w:r>
          </w:p>
        </w:tc>
        <w:tc>
          <w:tcPr>
            <w:tcW w:w="1107" w:type="pct"/>
            <w:gridSpan w:val="2"/>
            <w:vAlign w:val="center"/>
          </w:tcPr>
          <w:p w14:paraId="215F5CAE"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plant height (cm)</w:t>
            </w:r>
          </w:p>
        </w:tc>
        <w:tc>
          <w:tcPr>
            <w:tcW w:w="664" w:type="pct"/>
            <w:vMerge w:val="restart"/>
            <w:vAlign w:val="center"/>
          </w:tcPr>
          <w:p w14:paraId="6273541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stem girth (cm)</w:t>
            </w:r>
          </w:p>
        </w:tc>
        <w:tc>
          <w:tcPr>
            <w:tcW w:w="664" w:type="pct"/>
            <w:vMerge w:val="restart"/>
            <w:vAlign w:val="center"/>
          </w:tcPr>
          <w:p w14:paraId="7D6E61ED"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plant height (cm)</w:t>
            </w:r>
          </w:p>
        </w:tc>
      </w:tr>
      <w:tr w:rsidR="004C2CD4" w:rsidRPr="004C2CD4" w14:paraId="248376DB" w14:textId="77777777" w:rsidTr="00BA36C2">
        <w:trPr>
          <w:trHeight w:val="457"/>
        </w:trPr>
        <w:tc>
          <w:tcPr>
            <w:tcW w:w="1458" w:type="pct"/>
            <w:vMerge/>
            <w:vAlign w:val="center"/>
          </w:tcPr>
          <w:p w14:paraId="080A738D" w14:textId="77777777" w:rsidR="0073047B" w:rsidRPr="004C2CD4" w:rsidRDefault="0073047B" w:rsidP="0073047B">
            <w:pPr>
              <w:tabs>
                <w:tab w:val="left" w:pos="426"/>
              </w:tabs>
              <w:spacing w:after="0" w:line="240" w:lineRule="auto"/>
              <w:ind w:left="-200" w:firstLine="200"/>
              <w:jc w:val="center"/>
              <w:rPr>
                <w:rFonts w:ascii="Times New Roman" w:hAnsi="Times New Roman" w:cs="Times New Roman"/>
                <w:b/>
                <w:bCs/>
                <w:color w:val="000000" w:themeColor="text1"/>
                <w:sz w:val="20"/>
                <w:szCs w:val="20"/>
              </w:rPr>
            </w:pPr>
          </w:p>
        </w:tc>
        <w:tc>
          <w:tcPr>
            <w:tcW w:w="590" w:type="pct"/>
            <w:vAlign w:val="center"/>
          </w:tcPr>
          <w:p w14:paraId="13FF96D5" w14:textId="43B7B853" w:rsidR="0073047B" w:rsidRPr="004C2CD4" w:rsidRDefault="0073047B" w:rsidP="003F1A9D">
            <w:pPr>
              <w:pStyle w:val="Heading7"/>
              <w:framePr w:hSpace="0" w:wrap="auto" w:vAnchor="margin" w:hAnchor="text" w:xAlign="left" w:yAlign="inline"/>
              <w:rPr>
                <w:color w:val="000000" w:themeColor="text1"/>
              </w:rPr>
            </w:pPr>
            <w:r w:rsidRPr="004C2CD4">
              <w:rPr>
                <w:color w:val="000000" w:themeColor="text1"/>
              </w:rPr>
              <w:t>During</w:t>
            </w:r>
          </w:p>
          <w:p w14:paraId="4F4A1C1B"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6" w:type="pct"/>
            <w:vAlign w:val="center"/>
          </w:tcPr>
          <w:p w14:paraId="69251086" w14:textId="7A27206A"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4DF7C0E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590" w:type="pct"/>
            <w:vAlign w:val="center"/>
          </w:tcPr>
          <w:p w14:paraId="34B0C1DA" w14:textId="42FECAD2"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7C0990CC"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7" w:type="pct"/>
            <w:vAlign w:val="center"/>
          </w:tcPr>
          <w:p w14:paraId="1604E2B0"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54794816"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664" w:type="pct"/>
            <w:vMerge/>
          </w:tcPr>
          <w:p w14:paraId="4BCF5F24"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c>
          <w:tcPr>
            <w:tcW w:w="664" w:type="pct"/>
            <w:vMerge/>
          </w:tcPr>
          <w:p w14:paraId="6D81B82D"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r>
      <w:tr w:rsidR="004C2CD4" w:rsidRPr="004C2CD4" w14:paraId="1458B69F" w14:textId="77777777" w:rsidTr="00BA36C2">
        <w:trPr>
          <w:trHeight w:val="414"/>
        </w:trPr>
        <w:tc>
          <w:tcPr>
            <w:tcW w:w="1458" w:type="pct"/>
            <w:vAlign w:val="center"/>
          </w:tcPr>
          <w:p w14:paraId="62738799"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590" w:type="pct"/>
            <w:vAlign w:val="center"/>
          </w:tcPr>
          <w:p w14:paraId="0525E2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3.50</w:t>
            </w:r>
          </w:p>
        </w:tc>
        <w:tc>
          <w:tcPr>
            <w:tcW w:w="516" w:type="pct"/>
            <w:vAlign w:val="center"/>
          </w:tcPr>
          <w:p w14:paraId="197BCE9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2.12</w:t>
            </w:r>
          </w:p>
        </w:tc>
        <w:tc>
          <w:tcPr>
            <w:tcW w:w="590" w:type="pct"/>
            <w:vAlign w:val="center"/>
          </w:tcPr>
          <w:p w14:paraId="3DB115B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47.54</w:t>
            </w:r>
          </w:p>
        </w:tc>
        <w:tc>
          <w:tcPr>
            <w:tcW w:w="517" w:type="pct"/>
            <w:vAlign w:val="center"/>
          </w:tcPr>
          <w:p w14:paraId="4D9B541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35.38</w:t>
            </w:r>
          </w:p>
        </w:tc>
        <w:tc>
          <w:tcPr>
            <w:tcW w:w="664" w:type="pct"/>
            <w:vAlign w:val="center"/>
          </w:tcPr>
          <w:p w14:paraId="5AF6CAA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5.62</w:t>
            </w:r>
          </w:p>
        </w:tc>
        <w:tc>
          <w:tcPr>
            <w:tcW w:w="664" w:type="pct"/>
            <w:vAlign w:val="center"/>
          </w:tcPr>
          <w:p w14:paraId="48CA4F8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82.92</w:t>
            </w:r>
          </w:p>
        </w:tc>
      </w:tr>
      <w:tr w:rsidR="004C2CD4" w:rsidRPr="004C2CD4" w14:paraId="4352309E" w14:textId="77777777" w:rsidTr="00BA36C2">
        <w:trPr>
          <w:trHeight w:val="310"/>
        </w:trPr>
        <w:tc>
          <w:tcPr>
            <w:tcW w:w="1458" w:type="pct"/>
            <w:vAlign w:val="center"/>
          </w:tcPr>
          <w:p w14:paraId="2A62B26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 Cluster bean</w:t>
            </w:r>
          </w:p>
        </w:tc>
        <w:tc>
          <w:tcPr>
            <w:tcW w:w="590" w:type="pct"/>
            <w:vAlign w:val="center"/>
          </w:tcPr>
          <w:p w14:paraId="2763D01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3.44</w:t>
            </w:r>
          </w:p>
        </w:tc>
        <w:tc>
          <w:tcPr>
            <w:tcW w:w="516" w:type="pct"/>
            <w:vAlign w:val="center"/>
          </w:tcPr>
          <w:p w14:paraId="3B321F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2.08</w:t>
            </w:r>
          </w:p>
        </w:tc>
        <w:tc>
          <w:tcPr>
            <w:tcW w:w="590" w:type="pct"/>
            <w:vAlign w:val="center"/>
          </w:tcPr>
          <w:p w14:paraId="0CF0417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45.02</w:t>
            </w:r>
          </w:p>
        </w:tc>
        <w:tc>
          <w:tcPr>
            <w:tcW w:w="517" w:type="pct"/>
            <w:vAlign w:val="center"/>
          </w:tcPr>
          <w:p w14:paraId="780CD17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34.13</w:t>
            </w:r>
          </w:p>
        </w:tc>
        <w:tc>
          <w:tcPr>
            <w:tcW w:w="664" w:type="pct"/>
            <w:vAlign w:val="center"/>
          </w:tcPr>
          <w:p w14:paraId="1ECBBA0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c>
          <w:tcPr>
            <w:tcW w:w="664" w:type="pct"/>
            <w:vAlign w:val="center"/>
          </w:tcPr>
          <w:p w14:paraId="08ABD6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79.15</w:t>
            </w:r>
          </w:p>
        </w:tc>
      </w:tr>
      <w:tr w:rsidR="004C2CD4" w:rsidRPr="004C2CD4" w14:paraId="0AF809A5" w14:textId="77777777" w:rsidTr="00BA36C2">
        <w:trPr>
          <w:trHeight w:val="313"/>
        </w:trPr>
        <w:tc>
          <w:tcPr>
            <w:tcW w:w="1458" w:type="pct"/>
            <w:vAlign w:val="center"/>
          </w:tcPr>
          <w:p w14:paraId="431FF7F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590" w:type="pct"/>
            <w:vAlign w:val="center"/>
          </w:tcPr>
          <w:p w14:paraId="3C796F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3.46</w:t>
            </w:r>
          </w:p>
        </w:tc>
        <w:tc>
          <w:tcPr>
            <w:tcW w:w="516" w:type="pct"/>
            <w:vAlign w:val="center"/>
          </w:tcPr>
          <w:p w14:paraId="19B8D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1.98</w:t>
            </w:r>
          </w:p>
        </w:tc>
        <w:tc>
          <w:tcPr>
            <w:tcW w:w="590" w:type="pct"/>
            <w:vAlign w:val="center"/>
          </w:tcPr>
          <w:p w14:paraId="6336D9D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45.99</w:t>
            </w:r>
          </w:p>
        </w:tc>
        <w:tc>
          <w:tcPr>
            <w:tcW w:w="517" w:type="pct"/>
            <w:vAlign w:val="center"/>
          </w:tcPr>
          <w:p w14:paraId="4A4F1C3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35.17</w:t>
            </w:r>
          </w:p>
        </w:tc>
        <w:tc>
          <w:tcPr>
            <w:tcW w:w="664" w:type="pct"/>
            <w:vAlign w:val="center"/>
          </w:tcPr>
          <w:p w14:paraId="57F941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5.39</w:t>
            </w:r>
          </w:p>
        </w:tc>
        <w:tc>
          <w:tcPr>
            <w:tcW w:w="664" w:type="pct"/>
            <w:vAlign w:val="center"/>
          </w:tcPr>
          <w:p w14:paraId="10543EC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81.16</w:t>
            </w:r>
          </w:p>
        </w:tc>
      </w:tr>
      <w:tr w:rsidR="004C2CD4" w:rsidRPr="004C2CD4" w14:paraId="1596D52C" w14:textId="77777777" w:rsidTr="00BA36C2">
        <w:trPr>
          <w:trHeight w:val="303"/>
        </w:trPr>
        <w:tc>
          <w:tcPr>
            <w:tcW w:w="1458" w:type="pct"/>
            <w:vAlign w:val="center"/>
          </w:tcPr>
          <w:p w14:paraId="6896B3C4"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590" w:type="pct"/>
            <w:vAlign w:val="center"/>
          </w:tcPr>
          <w:p w14:paraId="787B423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3.79</w:t>
            </w:r>
          </w:p>
        </w:tc>
        <w:tc>
          <w:tcPr>
            <w:tcW w:w="516" w:type="pct"/>
            <w:vAlign w:val="center"/>
          </w:tcPr>
          <w:p w14:paraId="2BA813E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2.17</w:t>
            </w:r>
          </w:p>
        </w:tc>
        <w:tc>
          <w:tcPr>
            <w:tcW w:w="590" w:type="pct"/>
            <w:vAlign w:val="center"/>
          </w:tcPr>
          <w:p w14:paraId="6A10F36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50.82</w:t>
            </w:r>
          </w:p>
        </w:tc>
        <w:tc>
          <w:tcPr>
            <w:tcW w:w="517" w:type="pct"/>
            <w:vAlign w:val="center"/>
          </w:tcPr>
          <w:p w14:paraId="2757099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38.07</w:t>
            </w:r>
          </w:p>
        </w:tc>
        <w:tc>
          <w:tcPr>
            <w:tcW w:w="664" w:type="pct"/>
            <w:vAlign w:val="center"/>
          </w:tcPr>
          <w:p w14:paraId="5116D44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6.02</w:t>
            </w:r>
          </w:p>
        </w:tc>
        <w:tc>
          <w:tcPr>
            <w:tcW w:w="664" w:type="pct"/>
            <w:vAlign w:val="center"/>
          </w:tcPr>
          <w:p w14:paraId="73DA3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88.89</w:t>
            </w:r>
          </w:p>
        </w:tc>
      </w:tr>
      <w:tr w:rsidR="004C2CD4" w:rsidRPr="004C2CD4" w14:paraId="64E5E449" w14:textId="77777777" w:rsidTr="00BA36C2">
        <w:trPr>
          <w:trHeight w:val="322"/>
        </w:trPr>
        <w:tc>
          <w:tcPr>
            <w:tcW w:w="1458" w:type="pct"/>
            <w:vAlign w:val="center"/>
          </w:tcPr>
          <w:p w14:paraId="567CAD0F"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lastRenderedPageBreak/>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590" w:type="pct"/>
            <w:vAlign w:val="center"/>
          </w:tcPr>
          <w:p w14:paraId="0807FB8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3.28</w:t>
            </w:r>
          </w:p>
        </w:tc>
        <w:tc>
          <w:tcPr>
            <w:tcW w:w="516" w:type="pct"/>
            <w:vAlign w:val="center"/>
          </w:tcPr>
          <w:p w14:paraId="354862A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1.78</w:t>
            </w:r>
          </w:p>
        </w:tc>
        <w:tc>
          <w:tcPr>
            <w:tcW w:w="590" w:type="pct"/>
            <w:vAlign w:val="center"/>
          </w:tcPr>
          <w:p w14:paraId="34FD4B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43.58</w:t>
            </w:r>
          </w:p>
        </w:tc>
        <w:tc>
          <w:tcPr>
            <w:tcW w:w="517" w:type="pct"/>
            <w:vAlign w:val="center"/>
          </w:tcPr>
          <w:p w14:paraId="74474FF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29.13</w:t>
            </w:r>
          </w:p>
        </w:tc>
        <w:tc>
          <w:tcPr>
            <w:tcW w:w="664" w:type="pct"/>
            <w:vAlign w:val="center"/>
          </w:tcPr>
          <w:p w14:paraId="6ED45D7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5.07</w:t>
            </w:r>
          </w:p>
        </w:tc>
        <w:tc>
          <w:tcPr>
            <w:tcW w:w="664" w:type="pct"/>
            <w:vAlign w:val="center"/>
          </w:tcPr>
          <w:p w14:paraId="6413C12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72.79</w:t>
            </w:r>
          </w:p>
        </w:tc>
      </w:tr>
      <w:tr w:rsidR="004C2CD4" w:rsidRPr="004C2CD4" w14:paraId="05FC9345" w14:textId="77777777" w:rsidTr="00BA36C2">
        <w:trPr>
          <w:trHeight w:val="296"/>
        </w:trPr>
        <w:tc>
          <w:tcPr>
            <w:tcW w:w="1458" w:type="pct"/>
            <w:vAlign w:val="center"/>
          </w:tcPr>
          <w:p w14:paraId="6273AC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 Em.±</w:t>
            </w:r>
          </w:p>
        </w:tc>
        <w:tc>
          <w:tcPr>
            <w:tcW w:w="590" w:type="pct"/>
            <w:vAlign w:val="center"/>
          </w:tcPr>
          <w:p w14:paraId="0AB4086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c>
          <w:tcPr>
            <w:tcW w:w="516" w:type="pct"/>
            <w:vAlign w:val="center"/>
          </w:tcPr>
          <w:p w14:paraId="37B2D03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0.06</w:t>
            </w:r>
          </w:p>
        </w:tc>
        <w:tc>
          <w:tcPr>
            <w:tcW w:w="590" w:type="pct"/>
            <w:vAlign w:val="center"/>
          </w:tcPr>
          <w:p w14:paraId="61EB0A2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1.48</w:t>
            </w:r>
          </w:p>
        </w:tc>
        <w:tc>
          <w:tcPr>
            <w:tcW w:w="517" w:type="pct"/>
            <w:vAlign w:val="center"/>
          </w:tcPr>
          <w:p w14:paraId="10F04B4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1.09</w:t>
            </w:r>
          </w:p>
        </w:tc>
        <w:tc>
          <w:tcPr>
            <w:tcW w:w="664" w:type="pct"/>
            <w:vAlign w:val="center"/>
          </w:tcPr>
          <w:p w14:paraId="6D850B4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0.14</w:t>
            </w:r>
          </w:p>
        </w:tc>
        <w:tc>
          <w:tcPr>
            <w:tcW w:w="664" w:type="pct"/>
            <w:vAlign w:val="center"/>
          </w:tcPr>
          <w:p w14:paraId="240F9C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1.93</w:t>
            </w:r>
          </w:p>
        </w:tc>
      </w:tr>
      <w:tr w:rsidR="004C2CD4" w:rsidRPr="004C2CD4" w14:paraId="5DF05FAD" w14:textId="77777777" w:rsidTr="00BA36C2">
        <w:trPr>
          <w:trHeight w:val="314"/>
        </w:trPr>
        <w:tc>
          <w:tcPr>
            <w:tcW w:w="1458" w:type="pct"/>
            <w:vAlign w:val="center"/>
          </w:tcPr>
          <w:p w14:paraId="45AA6F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590" w:type="pct"/>
            <w:vAlign w:val="center"/>
          </w:tcPr>
          <w:p w14:paraId="368AD66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0.28</w:t>
            </w:r>
          </w:p>
        </w:tc>
        <w:tc>
          <w:tcPr>
            <w:tcW w:w="516" w:type="pct"/>
            <w:vAlign w:val="center"/>
          </w:tcPr>
          <w:p w14:paraId="074FFAB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0.19</w:t>
            </w:r>
          </w:p>
        </w:tc>
        <w:tc>
          <w:tcPr>
            <w:tcW w:w="590" w:type="pct"/>
            <w:vAlign w:val="center"/>
          </w:tcPr>
          <w:p w14:paraId="2253363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4.25</w:t>
            </w:r>
          </w:p>
        </w:tc>
        <w:tc>
          <w:tcPr>
            <w:tcW w:w="517" w:type="pct"/>
            <w:vAlign w:val="center"/>
          </w:tcPr>
          <w:p w14:paraId="6D54E5F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3.10</w:t>
            </w:r>
          </w:p>
        </w:tc>
        <w:tc>
          <w:tcPr>
            <w:tcW w:w="664" w:type="pct"/>
            <w:vAlign w:val="center"/>
          </w:tcPr>
          <w:p w14:paraId="6D069E0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0.39</w:t>
            </w:r>
          </w:p>
        </w:tc>
        <w:tc>
          <w:tcPr>
            <w:tcW w:w="664" w:type="pct"/>
            <w:vAlign w:val="center"/>
          </w:tcPr>
          <w:p w14:paraId="31E94B0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r>
      <w:tr w:rsidR="004C2CD4" w:rsidRPr="004C2CD4" w14:paraId="09016146" w14:textId="77777777" w:rsidTr="00BA36C2">
        <w:trPr>
          <w:trHeight w:val="306"/>
        </w:trPr>
        <w:tc>
          <w:tcPr>
            <w:tcW w:w="1458" w:type="pct"/>
            <w:vAlign w:val="center"/>
          </w:tcPr>
          <w:p w14:paraId="69934DA8"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590" w:type="pct"/>
            <w:vAlign w:val="center"/>
          </w:tcPr>
          <w:p w14:paraId="53170FC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6" w:type="pct"/>
            <w:vAlign w:val="center"/>
          </w:tcPr>
          <w:p w14:paraId="36C44444"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90" w:type="pct"/>
            <w:vAlign w:val="center"/>
          </w:tcPr>
          <w:p w14:paraId="227BC6C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7" w:type="pct"/>
            <w:vAlign w:val="center"/>
          </w:tcPr>
          <w:p w14:paraId="0185DDF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07A046F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2AD0029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4C2CD4" w:rsidRPr="004C2CD4" w14:paraId="63E696AC" w14:textId="77777777" w:rsidTr="00BA36C2">
        <w:trPr>
          <w:trHeight w:val="308"/>
        </w:trPr>
        <w:tc>
          <w:tcPr>
            <w:tcW w:w="1458" w:type="pct"/>
            <w:vAlign w:val="center"/>
          </w:tcPr>
          <w:p w14:paraId="14FD6B8C"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 × T</w:t>
            </w:r>
          </w:p>
        </w:tc>
        <w:tc>
          <w:tcPr>
            <w:tcW w:w="590" w:type="pct"/>
            <w:vAlign w:val="center"/>
          </w:tcPr>
          <w:p w14:paraId="5913A30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6" w:type="pct"/>
            <w:vAlign w:val="center"/>
          </w:tcPr>
          <w:p w14:paraId="6162187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90" w:type="pct"/>
            <w:vAlign w:val="center"/>
          </w:tcPr>
          <w:p w14:paraId="0B51C2B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7" w:type="pct"/>
            <w:vAlign w:val="center"/>
          </w:tcPr>
          <w:p w14:paraId="5AA7710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64A8A44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34B376F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r>
      <w:tr w:rsidR="004C2CD4" w:rsidRPr="004C2CD4" w14:paraId="2A4C0389" w14:textId="77777777" w:rsidTr="00BA36C2">
        <w:trPr>
          <w:trHeight w:val="330"/>
        </w:trPr>
        <w:tc>
          <w:tcPr>
            <w:tcW w:w="1458" w:type="pct"/>
            <w:vAlign w:val="center"/>
          </w:tcPr>
          <w:p w14:paraId="202F3B3F"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590" w:type="pct"/>
            <w:vAlign w:val="center"/>
          </w:tcPr>
          <w:p w14:paraId="4F00B5E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10.44</w:t>
            </w:r>
          </w:p>
        </w:tc>
        <w:tc>
          <w:tcPr>
            <w:tcW w:w="516" w:type="pct"/>
            <w:vAlign w:val="center"/>
          </w:tcPr>
          <w:p w14:paraId="694F4C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11.49</w:t>
            </w:r>
          </w:p>
        </w:tc>
        <w:tc>
          <w:tcPr>
            <w:tcW w:w="590" w:type="pct"/>
            <w:vAlign w:val="center"/>
          </w:tcPr>
          <w:p w14:paraId="2243997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11.05</w:t>
            </w:r>
          </w:p>
        </w:tc>
        <w:tc>
          <w:tcPr>
            <w:tcW w:w="517" w:type="pct"/>
            <w:vAlign w:val="center"/>
          </w:tcPr>
          <w:p w14:paraId="166431E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11.97</w:t>
            </w:r>
          </w:p>
        </w:tc>
        <w:tc>
          <w:tcPr>
            <w:tcW w:w="664" w:type="pct"/>
            <w:vAlign w:val="center"/>
          </w:tcPr>
          <w:p w14:paraId="1CDADD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10.02</w:t>
            </w:r>
          </w:p>
        </w:tc>
        <w:tc>
          <w:tcPr>
            <w:tcW w:w="664" w:type="pct"/>
            <w:vAlign w:val="center"/>
          </w:tcPr>
          <w:p w14:paraId="137929F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8.95</w:t>
            </w:r>
          </w:p>
        </w:tc>
      </w:tr>
    </w:tbl>
    <w:p w14:paraId="0002F7F3" w14:textId="34237747" w:rsidR="00124536" w:rsidRPr="004C2CD4" w:rsidRDefault="00D237F5" w:rsidP="00792F91">
      <w:pPr>
        <w:spacing w:after="0" w:line="240" w:lineRule="auto"/>
        <w:ind w:left="-142" w:right="-266" w:firstLine="142"/>
        <w:jc w:val="both"/>
        <w:rPr>
          <w:rFonts w:ascii="Times New Roman" w:hAnsi="Times New Roman" w:cs="Times New Roman"/>
          <w:color w:val="000000" w:themeColor="text1"/>
          <w:sz w:val="24"/>
          <w:szCs w:val="24"/>
        </w:rPr>
      </w:pPr>
      <w:r w:rsidRPr="004C2CD4">
        <w:rPr>
          <w:rFonts w:ascii="Times New Roman" w:hAnsi="Times New Roman" w:cs="Times New Roman"/>
          <w:color w:val="000000" w:themeColor="text1"/>
          <w:sz w:val="24"/>
          <w:szCs w:val="24"/>
        </w:rPr>
        <w:tab/>
      </w:r>
    </w:p>
    <w:p w14:paraId="18DDBE03" w14:textId="4CBF05EE" w:rsidR="002F7BE9" w:rsidRPr="004C2CD4" w:rsidRDefault="002F7BE9" w:rsidP="00834E10">
      <w:pPr>
        <w:spacing w:after="0" w:line="360" w:lineRule="auto"/>
        <w:ind w:left="-142" w:right="-266" w:firstLine="851"/>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Intercropping sandalwood with leguminous species</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particularly pigeon pea</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significantly enhances the growth attributes of sandalwood due to several complementary physiological and ecological interactions. As a partial root parasite, sandalwood develops haustorial connections with neighboring host plants, enabling it to derive essential nutrients, water and biochemical compounds that support its early establishment and vigor. Leguminous crops such as pigeon pea are especially effective hosts because they fix atmospheric nitrogen through symbiotic rhizobia, thereby enriching the soil nitrogen pool. This biologically fixed nitrogen becomes available to sandalwood through both the rhizosphere and haustorial linkages, improving its nutrient status.</w:t>
      </w:r>
    </w:p>
    <w:p w14:paraId="6123FA61" w14:textId="15524B0A" w:rsidR="002F7BE9" w:rsidRPr="004C2CD4" w:rsidRDefault="002F7BE9" w:rsidP="002F7BE9">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Additionally, pigeon pea contributes to better soil moisture conservation, improved soil structure and enhanced microbial activity, all of which create a more favorable microenvironment for sandalwood development. These combined effects ultimately lead to significant increases in plant height and stem girth, as observed in the present study.</w:t>
      </w:r>
    </w:p>
    <w:p w14:paraId="4DB61AC0" w14:textId="5142FADA" w:rsidR="00BB3DB7" w:rsidRPr="004C2CD4" w:rsidRDefault="002F7BE9" w:rsidP="00BB3DB7">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 findings are consistent with earlier research, which also reported improved sandalwood growth and physiological performance when intercropped with suitable leguminous hosts (Surata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1997; Divakara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Gomes &amp; Adnyana, 2017; Mohapatra &amp; Anil, 2022; Nakandalage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2021; Das &amp; Jagatpati, 2017; Rot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2022; Sahoo &amp; Patil, 2020; Subbarao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1990; Rocha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2014</w:t>
      </w:r>
      <w:r w:rsidR="000F4555" w:rsidRPr="004C2CD4">
        <w:rPr>
          <w:rFonts w:ascii="Times New Roman" w:hAnsi="Times New Roman" w:cs="Times New Roman"/>
          <w:color w:val="000000" w:themeColor="text1"/>
          <w:sz w:val="20"/>
          <w:szCs w:val="20"/>
        </w:rPr>
        <w:t xml:space="preserve">; Annapurna </w:t>
      </w:r>
      <w:r w:rsidR="000F4555" w:rsidRPr="004C2CD4">
        <w:rPr>
          <w:rFonts w:ascii="Times New Roman" w:hAnsi="Times New Roman" w:cs="Times New Roman"/>
          <w:i/>
          <w:iCs/>
          <w:color w:val="000000" w:themeColor="text1"/>
          <w:sz w:val="20"/>
          <w:szCs w:val="20"/>
        </w:rPr>
        <w:t>et al</w:t>
      </w:r>
      <w:r w:rsidR="000F4555" w:rsidRPr="004C2CD4">
        <w:rPr>
          <w:rFonts w:ascii="Times New Roman" w:hAnsi="Times New Roman" w:cs="Times New Roman"/>
          <w:color w:val="000000" w:themeColor="text1"/>
          <w:sz w:val="20"/>
          <w:szCs w:val="20"/>
        </w:rPr>
        <w:t>., 2004</w:t>
      </w:r>
      <w:r w:rsidR="004920A9" w:rsidRPr="004C2CD4">
        <w:rPr>
          <w:rFonts w:ascii="Times New Roman" w:hAnsi="Times New Roman" w:cs="Times New Roman"/>
          <w:color w:val="000000" w:themeColor="text1"/>
          <w:sz w:val="20"/>
          <w:szCs w:val="20"/>
        </w:rPr>
        <w:t xml:space="preserve">; </w:t>
      </w:r>
      <w:r w:rsidR="004920A9" w:rsidRPr="004C2CD4">
        <w:rPr>
          <w:rFonts w:ascii="Times New Roman" w:hAnsi="Times New Roman" w:cs="Times New Roman"/>
          <w:color w:val="000000" w:themeColor="text1"/>
          <w:sz w:val="20"/>
          <w:szCs w:val="20"/>
          <w:lang w:bidi="hi-IN"/>
        </w:rPr>
        <w:t>Sharma, 2025</w:t>
      </w:r>
      <w:r w:rsidR="009436EB" w:rsidRPr="004C2CD4">
        <w:rPr>
          <w:rFonts w:ascii="Times New Roman" w:hAnsi="Times New Roman" w:cs="Times New Roman"/>
          <w:color w:val="000000" w:themeColor="text1"/>
          <w:sz w:val="20"/>
          <w:szCs w:val="20"/>
          <w:lang w:bidi="hi-IN"/>
        </w:rPr>
        <w:t xml:space="preserve">; </w:t>
      </w:r>
      <w:r w:rsidR="009436EB" w:rsidRPr="004C2CD4">
        <w:rPr>
          <w:rFonts w:ascii="Times New Roman" w:hAnsi="Times New Roman" w:cs="Times New Roman"/>
          <w:color w:val="000000" w:themeColor="text1"/>
          <w:sz w:val="20"/>
          <w:szCs w:val="20"/>
        </w:rPr>
        <w:t>Deepa &amp;</w:t>
      </w:r>
      <w:r w:rsidR="008A154D" w:rsidRPr="004C2CD4">
        <w:rPr>
          <w:rFonts w:ascii="Times New Roman" w:hAnsi="Times New Roman" w:cs="Times New Roman"/>
          <w:color w:val="000000" w:themeColor="text1"/>
          <w:sz w:val="20"/>
          <w:szCs w:val="20"/>
        </w:rPr>
        <w:t xml:space="preserve"> </w:t>
      </w:r>
      <w:r w:rsidR="009436EB" w:rsidRPr="004C2CD4">
        <w:rPr>
          <w:rFonts w:ascii="Times New Roman" w:hAnsi="Times New Roman" w:cs="Times New Roman"/>
          <w:color w:val="000000" w:themeColor="text1"/>
          <w:sz w:val="20"/>
          <w:szCs w:val="20"/>
        </w:rPr>
        <w:t>Yusuf, 2016)</w:t>
      </w:r>
      <w:r w:rsidR="00701399" w:rsidRPr="004C2CD4">
        <w:rPr>
          <w:rFonts w:ascii="Times New Roman" w:hAnsi="Times New Roman" w:cs="Times New Roman"/>
          <w:color w:val="000000" w:themeColor="text1"/>
          <w:sz w:val="20"/>
          <w:szCs w:val="20"/>
        </w:rPr>
        <w:t>.</w:t>
      </w:r>
    </w:p>
    <w:p w14:paraId="7AA32BA3" w14:textId="364574E1" w:rsidR="00D237F5" w:rsidRPr="004C2CD4" w:rsidRDefault="00D237F5" w:rsidP="00BB3DB7">
      <w:pPr>
        <w:spacing w:after="0" w:line="360" w:lineRule="auto"/>
        <w:ind w:left="-180" w:right="-266"/>
        <w:jc w:val="both"/>
        <w:rPr>
          <w:rFonts w:ascii="Times New Roman" w:hAnsi="Times New Roman" w:cs="Times New Roman"/>
          <w:color w:val="000000" w:themeColor="text1"/>
          <w:sz w:val="20"/>
          <w:szCs w:val="20"/>
        </w:rPr>
      </w:pPr>
      <w:r w:rsidRPr="004C2CD4">
        <w:rPr>
          <w:rFonts w:ascii="Times New Roman" w:hAnsi="Times New Roman" w:cs="Times New Roman"/>
          <w:b/>
          <w:color w:val="000000" w:themeColor="text1"/>
        </w:rPr>
        <w:t>3.2 Yield and Economics</w:t>
      </w:r>
    </w:p>
    <w:p w14:paraId="60CE0E10" w14:textId="5B744DA5" w:rsidR="00D237F5" w:rsidRPr="004C2CD4" w:rsidRDefault="00413EE9" w:rsidP="00ED6E2C">
      <w:pPr>
        <w:spacing w:after="0"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00D237F5" w:rsidRPr="004C2CD4">
        <w:rPr>
          <w:rFonts w:ascii="Times New Roman" w:hAnsi="Times New Roman" w:cs="Times New Roman"/>
          <w:bCs/>
          <w:color w:val="000000" w:themeColor="text1"/>
          <w:sz w:val="20"/>
          <w:szCs w:val="20"/>
        </w:rPr>
        <w:t>In pooled data, yield parameters of sandalwood were significantly influenced due to different vegetable intercrops (Table 2). Maximum sandalwood yield (0.20 t/ha) and total crop equivalent yield (2.98 t/ha) were recorded with treatment T</w:t>
      </w:r>
      <w:r w:rsidR="00D237F5" w:rsidRPr="004C2CD4">
        <w:rPr>
          <w:rFonts w:ascii="Times New Roman" w:hAnsi="Times New Roman" w:cs="Times New Roman"/>
          <w:bCs/>
          <w:color w:val="000000" w:themeColor="text1"/>
          <w:sz w:val="20"/>
          <w:szCs w:val="20"/>
          <w:vertAlign w:val="subscript"/>
        </w:rPr>
        <w:t>4</w:t>
      </w:r>
      <w:r w:rsidR="00D237F5" w:rsidRPr="004C2CD4">
        <w:rPr>
          <w:rFonts w:ascii="Times New Roman" w:hAnsi="Times New Roman" w:cs="Times New Roman"/>
          <w:bCs/>
          <w:color w:val="000000" w:themeColor="text1"/>
          <w:sz w:val="20"/>
          <w:szCs w:val="20"/>
        </w:rPr>
        <w:t xml:space="preserve"> i. e. pigeon pea vegetable intercrop</w:t>
      </w:r>
      <w:r w:rsidR="00D237F5" w:rsidRPr="004C2CD4">
        <w:rPr>
          <w:rFonts w:ascii="Times New Roman" w:hAnsi="Times New Roman" w:cs="Times New Roman"/>
          <w:color w:val="000000" w:themeColor="text1"/>
          <w:sz w:val="20"/>
          <w:szCs w:val="20"/>
        </w:rPr>
        <w:t>.</w:t>
      </w:r>
      <w:r w:rsidR="00ED6E2C" w:rsidRPr="004C2CD4">
        <w:rPr>
          <w:rFonts w:ascii="Times New Roman" w:hAnsi="Times New Roman" w:cs="Times New Roman"/>
          <w:color w:val="000000" w:themeColor="text1"/>
          <w:sz w:val="20"/>
          <w:szCs w:val="20"/>
        </w:rPr>
        <w:t xml:space="preserve"> While, minimum yield parameters of sandalwood found with treatment control (Sandal wood sole).</w:t>
      </w:r>
    </w:p>
    <w:p w14:paraId="5DA86556" w14:textId="77777777"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This enhancement in sandalwood growth under pigeon pea intercropping may be attributed to the ability of pigeon pea to improve the physiological and nutritional status of sandalwood. As a nitrogen-fixing legume, pigeon pea enriches the soil with biologically available nitrogen and supports a more active rhizosphere, thereby improving the nutrient uptake efficiency of sandalwood. Through haustorial associations, sandalwood can access these nutrients directly, which contributes to increases in plant height, stem girth and overall vigor. Improved nutrient availability promotes greater chlorophyll synthesis and enhances photosynthetic efficiency, resulting in higher biomass accumulation. Consequently, the overall productivity including sandalwood yield and total crop equivalent yield is elevated under the pigeon pea–sandalwood intercropping system.</w:t>
      </w:r>
    </w:p>
    <w:p w14:paraId="096F737D" w14:textId="7C016C65"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These observations align closely with the findings of Divakara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who also reported significant improvements in sandalwood growth and productivity when grown in association with compatible leguminous host species.</w:t>
      </w:r>
    </w:p>
    <w:p w14:paraId="5DD7BB10" w14:textId="104FBA6D" w:rsidR="00C52716" w:rsidRPr="004C2CD4" w:rsidRDefault="00C52716" w:rsidP="00987E3F">
      <w:pPr>
        <w:pStyle w:val="BlockText"/>
        <w:spacing w:before="0"/>
        <w:ind w:left="709" w:right="-180" w:hanging="889"/>
        <w:rPr>
          <w:color w:val="000000" w:themeColor="text1"/>
        </w:rPr>
      </w:pPr>
      <w:r w:rsidRPr="004C2CD4">
        <w:rPr>
          <w:color w:val="000000" w:themeColor="text1"/>
        </w:rPr>
        <w:t xml:space="preserve">Table </w:t>
      </w:r>
      <w:r w:rsidR="00C66FC2" w:rsidRPr="004C2CD4">
        <w:rPr>
          <w:color w:val="000000" w:themeColor="text1"/>
        </w:rPr>
        <w:t>2</w:t>
      </w:r>
      <w:r w:rsidRPr="004C2CD4">
        <w:rPr>
          <w:color w:val="000000" w:themeColor="text1"/>
        </w:rPr>
        <w:t xml:space="preserve">: Influence of vegetable crops as intercrop on </w:t>
      </w:r>
      <w:r w:rsidR="00C66FC2" w:rsidRPr="004C2CD4">
        <w:rPr>
          <w:color w:val="000000" w:themeColor="text1"/>
        </w:rPr>
        <w:t xml:space="preserve">yield parameters </w:t>
      </w:r>
      <w:r w:rsidRPr="004C2CD4">
        <w:rPr>
          <w:color w:val="000000" w:themeColor="text1"/>
        </w:rPr>
        <w:t xml:space="preserve">of sandalwood </w:t>
      </w:r>
      <w:r w:rsidR="00B128AD" w:rsidRPr="004C2CD4">
        <w:rPr>
          <w:color w:val="000000" w:themeColor="text1"/>
        </w:rPr>
        <w:t xml:space="preserve">(Pooled of </w:t>
      </w:r>
      <w:r w:rsidR="00987E3F" w:rsidRPr="004C2CD4">
        <w:rPr>
          <w:color w:val="000000" w:themeColor="text1"/>
        </w:rPr>
        <w:t xml:space="preserve">  </w:t>
      </w:r>
      <w:r w:rsidR="00C66FC2" w:rsidRPr="004C2CD4">
        <w:rPr>
          <w:color w:val="000000" w:themeColor="text1"/>
        </w:rPr>
        <w:t>three</w:t>
      </w:r>
      <w:r w:rsidR="00CD0184" w:rsidRPr="004C2CD4">
        <w:rPr>
          <w:color w:val="000000" w:themeColor="text1"/>
        </w:rPr>
        <w:t xml:space="preserve"> </w:t>
      </w:r>
      <w:r w:rsidR="00C66FC2" w:rsidRPr="004C2CD4">
        <w:rPr>
          <w:color w:val="000000" w:themeColor="text1"/>
        </w:rPr>
        <w:t>years)</w:t>
      </w: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378"/>
        <w:gridCol w:w="3215"/>
      </w:tblGrid>
      <w:tr w:rsidR="002034A8" w:rsidRPr="004C2CD4" w14:paraId="4553E311" w14:textId="77777777" w:rsidTr="00945855">
        <w:trPr>
          <w:trHeight w:val="303"/>
        </w:trPr>
        <w:tc>
          <w:tcPr>
            <w:tcW w:w="2015" w:type="pct"/>
            <w:vAlign w:val="center"/>
          </w:tcPr>
          <w:p w14:paraId="60116847" w14:textId="77777777" w:rsidR="0063129A" w:rsidRPr="004C2CD4" w:rsidRDefault="0063129A" w:rsidP="00945855">
            <w:pPr>
              <w:pStyle w:val="Heading4"/>
              <w:spacing w:line="240" w:lineRule="auto"/>
              <w:rPr>
                <w:color w:val="000000" w:themeColor="text1"/>
                <w:shd w:val="clear" w:color="auto" w:fill="auto"/>
                <w:lang w:bidi="gu-IN"/>
              </w:rPr>
            </w:pPr>
            <w:r w:rsidRPr="004C2CD4">
              <w:rPr>
                <w:color w:val="000000" w:themeColor="text1"/>
                <w:shd w:val="clear" w:color="auto" w:fill="auto"/>
                <w:lang w:bidi="gu-IN"/>
              </w:rPr>
              <w:t>Treatments</w:t>
            </w:r>
          </w:p>
        </w:tc>
        <w:tc>
          <w:tcPr>
            <w:tcW w:w="1269" w:type="pct"/>
            <w:vAlign w:val="center"/>
          </w:tcPr>
          <w:p w14:paraId="7A2CAC98" w14:textId="5538FCAF"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Sandalwood yield (t/ha)</w:t>
            </w:r>
          </w:p>
        </w:tc>
        <w:tc>
          <w:tcPr>
            <w:tcW w:w="1716" w:type="pct"/>
            <w:vAlign w:val="center"/>
          </w:tcPr>
          <w:p w14:paraId="006532A0" w14:textId="0F6FACCC"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crop equivalent yield (t/ha)</w:t>
            </w:r>
          </w:p>
        </w:tc>
      </w:tr>
      <w:tr w:rsidR="002034A8" w:rsidRPr="004C2CD4" w14:paraId="4180FEA8" w14:textId="77777777" w:rsidTr="00945855">
        <w:trPr>
          <w:trHeight w:val="304"/>
        </w:trPr>
        <w:tc>
          <w:tcPr>
            <w:tcW w:w="2015" w:type="pct"/>
            <w:vAlign w:val="center"/>
          </w:tcPr>
          <w:p w14:paraId="3E3ACCD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1269" w:type="pct"/>
            <w:vAlign w:val="center"/>
          </w:tcPr>
          <w:p w14:paraId="50B66BF6" w14:textId="3E4FC0D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0.17</w:t>
            </w:r>
          </w:p>
        </w:tc>
        <w:tc>
          <w:tcPr>
            <w:tcW w:w="1716" w:type="pct"/>
            <w:vAlign w:val="center"/>
          </w:tcPr>
          <w:p w14:paraId="0158AA11" w14:textId="637F1B4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r>
      <w:tr w:rsidR="002034A8" w:rsidRPr="004C2CD4" w14:paraId="0D6992D6" w14:textId="77777777" w:rsidTr="00945855">
        <w:trPr>
          <w:trHeight w:val="240"/>
        </w:trPr>
        <w:tc>
          <w:tcPr>
            <w:tcW w:w="2015" w:type="pct"/>
            <w:vAlign w:val="center"/>
          </w:tcPr>
          <w:p w14:paraId="0CB63A84" w14:textId="2F1514C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lastRenderedPageBreak/>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w:t>
            </w:r>
            <w:r w:rsidR="000A6CF7"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1269" w:type="pct"/>
            <w:vAlign w:val="center"/>
          </w:tcPr>
          <w:p w14:paraId="11A47B8D" w14:textId="51DCFDE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6E249B60" w14:textId="08CBC1FA"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r>
      <w:tr w:rsidR="002034A8" w:rsidRPr="004C2CD4" w14:paraId="6439319A" w14:textId="77777777" w:rsidTr="00945855">
        <w:trPr>
          <w:trHeight w:val="279"/>
        </w:trPr>
        <w:tc>
          <w:tcPr>
            <w:tcW w:w="2015" w:type="pct"/>
            <w:vAlign w:val="center"/>
          </w:tcPr>
          <w:p w14:paraId="2632D10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1269" w:type="pct"/>
            <w:vAlign w:val="center"/>
          </w:tcPr>
          <w:p w14:paraId="015E8C90" w14:textId="537E6030"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23433446" w14:textId="43F0B5A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r>
      <w:tr w:rsidR="002034A8" w:rsidRPr="004C2CD4" w14:paraId="0BACE128" w14:textId="77777777" w:rsidTr="00945855">
        <w:trPr>
          <w:trHeight w:val="279"/>
        </w:trPr>
        <w:tc>
          <w:tcPr>
            <w:tcW w:w="2015" w:type="pct"/>
            <w:vAlign w:val="center"/>
          </w:tcPr>
          <w:p w14:paraId="0130D3E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1269" w:type="pct"/>
            <w:vAlign w:val="center"/>
          </w:tcPr>
          <w:p w14:paraId="175F45F7" w14:textId="65827B5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0.20</w:t>
            </w:r>
          </w:p>
        </w:tc>
        <w:tc>
          <w:tcPr>
            <w:tcW w:w="1716" w:type="pct"/>
            <w:vAlign w:val="center"/>
          </w:tcPr>
          <w:p w14:paraId="3D0BE069" w14:textId="5348B0B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r>
      <w:tr w:rsidR="002034A8" w:rsidRPr="004C2CD4" w14:paraId="09681F5A" w14:textId="77777777" w:rsidTr="00945855">
        <w:trPr>
          <w:trHeight w:val="288"/>
        </w:trPr>
        <w:tc>
          <w:tcPr>
            <w:tcW w:w="2015" w:type="pct"/>
            <w:vAlign w:val="center"/>
          </w:tcPr>
          <w:p w14:paraId="02467A2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1269" w:type="pct"/>
            <w:vAlign w:val="center"/>
          </w:tcPr>
          <w:p w14:paraId="6A57BBDA" w14:textId="79E5B13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1716" w:type="pct"/>
            <w:vAlign w:val="center"/>
          </w:tcPr>
          <w:p w14:paraId="42CE8F9C" w14:textId="4BFC34B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r>
      <w:tr w:rsidR="002034A8" w:rsidRPr="004C2CD4" w14:paraId="66B70CD8" w14:textId="77777777" w:rsidTr="00945855">
        <w:trPr>
          <w:trHeight w:val="279"/>
        </w:trPr>
        <w:tc>
          <w:tcPr>
            <w:tcW w:w="2015" w:type="pct"/>
            <w:vAlign w:val="center"/>
          </w:tcPr>
          <w:p w14:paraId="7A8784B3"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 Em.±</w:t>
            </w:r>
          </w:p>
        </w:tc>
        <w:tc>
          <w:tcPr>
            <w:tcW w:w="1269" w:type="pct"/>
            <w:vAlign w:val="center"/>
          </w:tcPr>
          <w:p w14:paraId="0DD22AE9" w14:textId="10A00FD9"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0.008</w:t>
            </w:r>
          </w:p>
        </w:tc>
        <w:tc>
          <w:tcPr>
            <w:tcW w:w="1716" w:type="pct"/>
            <w:vAlign w:val="center"/>
          </w:tcPr>
          <w:p w14:paraId="52C4E5F7" w14:textId="791CDE55"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r>
      <w:tr w:rsidR="002034A8" w:rsidRPr="004C2CD4" w14:paraId="38CD3AD8" w14:textId="77777777" w:rsidTr="00945855">
        <w:trPr>
          <w:trHeight w:val="288"/>
        </w:trPr>
        <w:tc>
          <w:tcPr>
            <w:tcW w:w="2015" w:type="pct"/>
            <w:vAlign w:val="center"/>
          </w:tcPr>
          <w:p w14:paraId="1774ABB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1269" w:type="pct"/>
            <w:vAlign w:val="center"/>
          </w:tcPr>
          <w:p w14:paraId="5570987B" w14:textId="1A5B49F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0.024</w:t>
            </w:r>
          </w:p>
        </w:tc>
        <w:tc>
          <w:tcPr>
            <w:tcW w:w="1716" w:type="pct"/>
            <w:vAlign w:val="center"/>
          </w:tcPr>
          <w:p w14:paraId="5B968731" w14:textId="4D2AC3D8"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0.29</w:t>
            </w:r>
          </w:p>
        </w:tc>
      </w:tr>
      <w:tr w:rsidR="002034A8" w:rsidRPr="004C2CD4" w14:paraId="2065308E" w14:textId="77777777" w:rsidTr="00945855">
        <w:trPr>
          <w:trHeight w:val="286"/>
        </w:trPr>
        <w:tc>
          <w:tcPr>
            <w:tcW w:w="2015" w:type="pct"/>
            <w:vAlign w:val="center"/>
          </w:tcPr>
          <w:p w14:paraId="3457345B"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1269" w:type="pct"/>
            <w:vAlign w:val="center"/>
          </w:tcPr>
          <w:p w14:paraId="3AB49BBC" w14:textId="65E9081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1716" w:type="pct"/>
            <w:vAlign w:val="center"/>
          </w:tcPr>
          <w:p w14:paraId="3DC74314" w14:textId="5662FB3E"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4DDAFF97" w14:textId="77777777" w:rsidTr="00945855">
        <w:trPr>
          <w:trHeight w:val="288"/>
        </w:trPr>
        <w:tc>
          <w:tcPr>
            <w:tcW w:w="2015" w:type="pct"/>
            <w:vAlign w:val="center"/>
          </w:tcPr>
          <w:p w14:paraId="65048CB4" w14:textId="54041605"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Y </w:t>
            </w:r>
            <w:r w:rsidR="00684AF5"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T</w:t>
            </w:r>
          </w:p>
        </w:tc>
        <w:tc>
          <w:tcPr>
            <w:tcW w:w="1269" w:type="pct"/>
            <w:vAlign w:val="center"/>
          </w:tcPr>
          <w:p w14:paraId="09F07E1C" w14:textId="5F195703"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1716" w:type="pct"/>
            <w:vAlign w:val="center"/>
          </w:tcPr>
          <w:p w14:paraId="6A22A32E" w14:textId="66D77037"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08D527B7" w14:textId="77777777" w:rsidTr="00945855">
        <w:trPr>
          <w:trHeight w:val="280"/>
        </w:trPr>
        <w:tc>
          <w:tcPr>
            <w:tcW w:w="2015" w:type="pct"/>
            <w:vAlign w:val="center"/>
          </w:tcPr>
          <w:p w14:paraId="658C229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1269" w:type="pct"/>
            <w:vAlign w:val="center"/>
          </w:tcPr>
          <w:p w14:paraId="71333D41" w14:textId="329E196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23.92</w:t>
            </w:r>
          </w:p>
        </w:tc>
        <w:tc>
          <w:tcPr>
            <w:tcW w:w="1716" w:type="pct"/>
            <w:vAlign w:val="center"/>
          </w:tcPr>
          <w:p w14:paraId="55C1DA00" w14:textId="7294B83F"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6.33</w:t>
            </w:r>
          </w:p>
        </w:tc>
      </w:tr>
    </w:tbl>
    <w:p w14:paraId="21C5A11D" w14:textId="7B5ABB7B" w:rsidR="00007435" w:rsidRPr="004C2CD4" w:rsidRDefault="000003DA" w:rsidP="00890132">
      <w:pPr>
        <w:pStyle w:val="Heading5"/>
        <w:ind w:firstLine="0"/>
        <w:rPr>
          <w:color w:val="000000" w:themeColor="text1"/>
        </w:rPr>
      </w:pPr>
      <w:r w:rsidRPr="004C2CD4">
        <w:rPr>
          <w:color w:val="000000" w:themeColor="text1"/>
        </w:rPr>
        <w:t>Economics</w:t>
      </w:r>
    </w:p>
    <w:p w14:paraId="24AC173B" w14:textId="5517F58C" w:rsidR="00882E92" w:rsidRPr="00C03268" w:rsidRDefault="0025475D" w:rsidP="0025475D">
      <w:pPr>
        <w:spacing w:after="0" w:line="360" w:lineRule="auto"/>
        <w:ind w:right="-360"/>
        <w:jc w:val="both"/>
        <w:rPr>
          <w:rFonts w:ascii="Times New Roman" w:hAnsi="Times New Roman" w:cs="Times New Roman"/>
          <w:color w:val="FF0000"/>
          <w:sz w:val="20"/>
          <w:szCs w:val="20"/>
        </w:rPr>
      </w:pPr>
      <w:r w:rsidRPr="004C2CD4">
        <w:rPr>
          <w:rFonts w:ascii="Times New Roman" w:hAnsi="Times New Roman" w:cs="Times New Roman"/>
          <w:color w:val="000000" w:themeColor="text1"/>
        </w:rPr>
        <w:t xml:space="preserve">          </w:t>
      </w:r>
      <w:r w:rsidR="00696CD7" w:rsidRPr="004C2CD4">
        <w:rPr>
          <w:rFonts w:ascii="Times New Roman" w:hAnsi="Times New Roman" w:cs="Times New Roman"/>
          <w:color w:val="000000" w:themeColor="text1"/>
        </w:rPr>
        <w:tab/>
      </w:r>
      <w:r w:rsidR="00882E92" w:rsidRPr="004C2CD4">
        <w:rPr>
          <w:rFonts w:ascii="Times New Roman" w:hAnsi="Times New Roman" w:cs="Times New Roman"/>
          <w:color w:val="000000" w:themeColor="text1"/>
          <w:sz w:val="20"/>
          <w:szCs w:val="20"/>
        </w:rPr>
        <w:t>The economics of different treatments depicted in Table 3 shows that the max</w:t>
      </w:r>
      <w:r w:rsidR="00AB338E" w:rsidRPr="004C2CD4">
        <w:rPr>
          <w:rFonts w:ascii="Times New Roman" w:hAnsi="Times New Roman" w:cs="Times New Roman"/>
          <w:color w:val="000000" w:themeColor="text1"/>
          <w:sz w:val="20"/>
          <w:szCs w:val="20"/>
        </w:rPr>
        <w:t>imum net return of Rs. 1,42,257</w:t>
      </w:r>
      <w:r w:rsidR="00882E92" w:rsidRPr="004C2CD4">
        <w:rPr>
          <w:rFonts w:ascii="Times New Roman" w:hAnsi="Times New Roman" w:cs="Times New Roman"/>
          <w:color w:val="000000" w:themeColor="text1"/>
          <w:sz w:val="20"/>
          <w:szCs w:val="20"/>
        </w:rPr>
        <w:t xml:space="preserve"> was obtained in treatment T</w:t>
      </w:r>
      <w:r w:rsidR="00882E92" w:rsidRPr="004C2CD4">
        <w:rPr>
          <w:rFonts w:ascii="Times New Roman" w:hAnsi="Times New Roman" w:cs="Times New Roman"/>
          <w:color w:val="000000" w:themeColor="text1"/>
          <w:sz w:val="20"/>
          <w:szCs w:val="20"/>
          <w:vertAlign w:val="subscript"/>
        </w:rPr>
        <w:t>1</w:t>
      </w:r>
      <w:r w:rsidR="00882E92" w:rsidRPr="004C2CD4">
        <w:rPr>
          <w:rFonts w:ascii="Times New Roman" w:hAnsi="Times New Roman" w:cs="Times New Roman"/>
          <w:color w:val="000000" w:themeColor="text1"/>
          <w:sz w:val="20"/>
          <w:szCs w:val="20"/>
        </w:rPr>
        <w:t xml:space="preserve"> (Indian bean + Cow pea) followed by treatment T</w:t>
      </w:r>
      <w:r w:rsidR="00882E92" w:rsidRPr="004C2CD4">
        <w:rPr>
          <w:rFonts w:ascii="Times New Roman" w:hAnsi="Times New Roman" w:cs="Times New Roman"/>
          <w:color w:val="000000" w:themeColor="text1"/>
          <w:sz w:val="20"/>
          <w:szCs w:val="20"/>
          <w:vertAlign w:val="subscript"/>
        </w:rPr>
        <w:t>2</w:t>
      </w:r>
      <w:r w:rsidR="00882E92" w:rsidRPr="004C2CD4">
        <w:rPr>
          <w:rFonts w:ascii="Times New Roman" w:hAnsi="Times New Roman" w:cs="Times New Roman"/>
          <w:color w:val="000000" w:themeColor="text1"/>
          <w:sz w:val="20"/>
          <w:szCs w:val="20"/>
        </w:rPr>
        <w:t xml:space="preserve"> (French bean + Cl</w:t>
      </w:r>
      <w:r w:rsidR="00AB338E" w:rsidRPr="004C2CD4">
        <w:rPr>
          <w:rFonts w:ascii="Times New Roman" w:hAnsi="Times New Roman" w:cs="Times New Roman"/>
          <w:color w:val="000000" w:themeColor="text1"/>
          <w:sz w:val="20"/>
          <w:szCs w:val="20"/>
        </w:rPr>
        <w:t>uster bean) i.e. Rs. 1,34,126</w:t>
      </w:r>
      <w:r w:rsidR="00882E92" w:rsidRPr="004C2CD4">
        <w:rPr>
          <w:rFonts w:ascii="Times New Roman" w:hAnsi="Times New Roman" w:cs="Times New Roman"/>
          <w:color w:val="000000" w:themeColor="text1"/>
          <w:sz w:val="20"/>
          <w:szCs w:val="20"/>
        </w:rPr>
        <w:t xml:space="preserve">. </w:t>
      </w:r>
      <w:r w:rsidR="00252827" w:rsidRPr="004C2CD4">
        <w:rPr>
          <w:rFonts w:ascii="Times New Roman" w:hAnsi="Times New Roman" w:cs="Times New Roman"/>
          <w:color w:val="000000" w:themeColor="text1"/>
          <w:sz w:val="20"/>
          <w:szCs w:val="20"/>
        </w:rPr>
        <w:t xml:space="preserve">This indicates that the inclusion of dual leguminous crops in the system significantly enhances overall productivity and economic gains, likely due to their nitrogen-fixing ability and higher market value. </w:t>
      </w:r>
      <w:r w:rsidR="0013660A" w:rsidRPr="004C2CD4">
        <w:rPr>
          <w:rFonts w:ascii="Times New Roman" w:hAnsi="Times New Roman" w:cs="Times New Roman"/>
          <w:color w:val="000000" w:themeColor="text1"/>
          <w:sz w:val="20"/>
          <w:szCs w:val="20"/>
        </w:rPr>
        <w:t>Whereas, t</w:t>
      </w:r>
      <w:r w:rsidR="00882E92" w:rsidRPr="004C2CD4">
        <w:rPr>
          <w:rFonts w:ascii="Times New Roman" w:hAnsi="Times New Roman" w:cs="Times New Roman"/>
          <w:color w:val="000000" w:themeColor="text1"/>
          <w:sz w:val="20"/>
          <w:szCs w:val="20"/>
        </w:rPr>
        <w:t>he minimum net return (Rs.</w:t>
      </w:r>
      <w:r w:rsidR="00B65983" w:rsidRPr="004C2CD4">
        <w:rPr>
          <w:rFonts w:ascii="Times New Roman" w:hAnsi="Times New Roman" w:cs="Times New Roman"/>
          <w:color w:val="000000" w:themeColor="text1"/>
          <w:sz w:val="20"/>
          <w:szCs w:val="20"/>
        </w:rPr>
        <w:t xml:space="preserve"> </w:t>
      </w:r>
      <w:r w:rsidR="00882E92" w:rsidRPr="004C2CD4">
        <w:rPr>
          <w:rFonts w:ascii="Times New Roman" w:hAnsi="Times New Roman" w:cs="Times New Roman"/>
          <w:color w:val="000000" w:themeColor="text1"/>
          <w:sz w:val="20"/>
          <w:szCs w:val="20"/>
        </w:rPr>
        <w:t xml:space="preserve">11, </w:t>
      </w:r>
      <w:r w:rsidR="00AB338E" w:rsidRPr="004C2CD4">
        <w:rPr>
          <w:rFonts w:ascii="Times New Roman" w:hAnsi="Times New Roman" w:cs="Times New Roman"/>
          <w:color w:val="000000" w:themeColor="text1"/>
          <w:sz w:val="20"/>
          <w:szCs w:val="20"/>
        </w:rPr>
        <w:t>177</w:t>
      </w:r>
      <w:r w:rsidR="00882E92" w:rsidRPr="004C2CD4">
        <w:rPr>
          <w:rFonts w:ascii="Times New Roman" w:hAnsi="Times New Roman" w:cs="Times New Roman"/>
          <w:color w:val="000000" w:themeColor="text1"/>
          <w:sz w:val="20"/>
          <w:szCs w:val="20"/>
        </w:rPr>
        <w:t xml:space="preserve">) was recorded with </w:t>
      </w:r>
      <w:r w:rsidR="00D70F76" w:rsidRPr="004C2CD4">
        <w:rPr>
          <w:rFonts w:ascii="Times New Roman" w:hAnsi="Times New Roman" w:cs="Times New Roman"/>
          <w:color w:val="000000" w:themeColor="text1"/>
          <w:sz w:val="20"/>
          <w:szCs w:val="20"/>
        </w:rPr>
        <w:t xml:space="preserve">the </w:t>
      </w:r>
      <w:r w:rsidR="00882E92" w:rsidRPr="004C2CD4">
        <w:rPr>
          <w:rFonts w:ascii="Times New Roman" w:hAnsi="Times New Roman" w:cs="Times New Roman"/>
          <w:color w:val="000000" w:themeColor="text1"/>
          <w:sz w:val="20"/>
          <w:szCs w:val="20"/>
        </w:rPr>
        <w:t>treatment T</w:t>
      </w:r>
      <w:r w:rsidR="00882E92" w:rsidRPr="004C2CD4">
        <w:rPr>
          <w:rFonts w:ascii="Times New Roman" w:hAnsi="Times New Roman" w:cs="Times New Roman"/>
          <w:color w:val="000000" w:themeColor="text1"/>
          <w:sz w:val="20"/>
          <w:szCs w:val="20"/>
          <w:vertAlign w:val="subscript"/>
        </w:rPr>
        <w:t>3</w:t>
      </w:r>
      <w:r w:rsidR="00882E92" w:rsidRPr="004C2CD4">
        <w:rPr>
          <w:rFonts w:ascii="Times New Roman" w:hAnsi="Times New Roman" w:cs="Times New Roman"/>
          <w:color w:val="000000" w:themeColor="text1"/>
          <w:sz w:val="20"/>
          <w:szCs w:val="20"/>
        </w:rPr>
        <w:t xml:space="preserve"> (Turmeric). </w:t>
      </w:r>
      <w:r w:rsidR="00440B74" w:rsidRPr="00C03268">
        <w:rPr>
          <w:rFonts w:ascii="Times New Roman" w:hAnsi="Times New Roman" w:cs="Times New Roman"/>
          <w:color w:val="FF0000"/>
          <w:sz w:val="20"/>
          <w:szCs w:val="20"/>
        </w:rPr>
        <w:t xml:space="preserve">Highest </w:t>
      </w:r>
      <w:r w:rsidR="00882E92" w:rsidRPr="00C03268">
        <w:rPr>
          <w:rFonts w:ascii="Times New Roman" w:hAnsi="Times New Roman" w:cs="Times New Roman"/>
          <w:color w:val="FF0000"/>
          <w:sz w:val="20"/>
          <w:szCs w:val="20"/>
        </w:rPr>
        <w:t>benefit</w:t>
      </w:r>
      <w:r w:rsidR="00440B74" w:rsidRPr="00C03268">
        <w:rPr>
          <w:rFonts w:ascii="Times New Roman" w:hAnsi="Times New Roman" w:cs="Times New Roman"/>
          <w:color w:val="FF0000"/>
          <w:sz w:val="20"/>
          <w:szCs w:val="20"/>
        </w:rPr>
        <w:t>-</w:t>
      </w:r>
      <w:r w:rsidR="00882E92" w:rsidRPr="00C03268">
        <w:rPr>
          <w:rFonts w:ascii="Times New Roman" w:hAnsi="Times New Roman" w:cs="Times New Roman"/>
          <w:color w:val="FF0000"/>
          <w:sz w:val="20"/>
          <w:szCs w:val="20"/>
        </w:rPr>
        <w:t>cost ratio (2.09)</w:t>
      </w:r>
      <w:r w:rsidR="00440B74" w:rsidRPr="00C03268">
        <w:rPr>
          <w:rFonts w:ascii="Times New Roman" w:hAnsi="Times New Roman" w:cs="Times New Roman"/>
          <w:color w:val="FF0000"/>
          <w:sz w:val="20"/>
          <w:szCs w:val="20"/>
        </w:rPr>
        <w:t xml:space="preserve"> </w:t>
      </w:r>
      <w:r w:rsidR="00882E92" w:rsidRPr="00C03268">
        <w:rPr>
          <w:rFonts w:ascii="Times New Roman" w:hAnsi="Times New Roman" w:cs="Times New Roman"/>
          <w:color w:val="FF0000"/>
          <w:sz w:val="20"/>
          <w:szCs w:val="20"/>
        </w:rPr>
        <w:t xml:space="preserve">was </w:t>
      </w:r>
      <w:r w:rsidR="00440B74" w:rsidRPr="00C03268">
        <w:rPr>
          <w:rFonts w:ascii="Times New Roman" w:hAnsi="Times New Roman" w:cs="Times New Roman"/>
          <w:color w:val="FF0000"/>
          <w:sz w:val="20"/>
          <w:szCs w:val="20"/>
        </w:rPr>
        <w:t xml:space="preserve">observed </w:t>
      </w:r>
      <w:r w:rsidR="00882E92" w:rsidRPr="00C03268">
        <w:rPr>
          <w:rFonts w:ascii="Times New Roman" w:hAnsi="Times New Roman" w:cs="Times New Roman"/>
          <w:color w:val="FF0000"/>
          <w:sz w:val="20"/>
          <w:szCs w:val="20"/>
        </w:rPr>
        <w:t>in treatment T</w:t>
      </w:r>
      <w:r w:rsidR="00882E92" w:rsidRPr="00C03268">
        <w:rPr>
          <w:rFonts w:ascii="Times New Roman" w:hAnsi="Times New Roman" w:cs="Times New Roman"/>
          <w:color w:val="FF0000"/>
          <w:sz w:val="20"/>
          <w:szCs w:val="20"/>
          <w:vertAlign w:val="subscript"/>
        </w:rPr>
        <w:t>4</w:t>
      </w:r>
      <w:r w:rsidR="00882E92" w:rsidRPr="00C03268">
        <w:rPr>
          <w:rFonts w:ascii="Times New Roman" w:hAnsi="Times New Roman" w:cs="Times New Roman"/>
          <w:color w:val="FF0000"/>
          <w:sz w:val="20"/>
          <w:szCs w:val="20"/>
        </w:rPr>
        <w:t xml:space="preserve"> </w:t>
      </w:r>
      <w:r w:rsidR="00B65983" w:rsidRPr="00C03268">
        <w:rPr>
          <w:rFonts w:ascii="Times New Roman" w:hAnsi="Times New Roman" w:cs="Times New Roman"/>
          <w:color w:val="FF0000"/>
          <w:sz w:val="20"/>
          <w:szCs w:val="20"/>
        </w:rPr>
        <w:t xml:space="preserve">i.e. intercropping with </w:t>
      </w:r>
      <w:r w:rsidR="00C11C23" w:rsidRPr="00C03268">
        <w:rPr>
          <w:rFonts w:ascii="Times New Roman" w:hAnsi="Times New Roman" w:cs="Times New Roman"/>
          <w:color w:val="FF0000"/>
          <w:sz w:val="20"/>
          <w:szCs w:val="20"/>
        </w:rPr>
        <w:t>p</w:t>
      </w:r>
      <w:r w:rsidR="00882E92" w:rsidRPr="00C03268">
        <w:rPr>
          <w:rFonts w:ascii="Times New Roman" w:hAnsi="Times New Roman" w:cs="Times New Roman"/>
          <w:color w:val="FF0000"/>
          <w:sz w:val="20"/>
          <w:szCs w:val="20"/>
        </w:rPr>
        <w:t xml:space="preserve">igeon pea. </w:t>
      </w:r>
    </w:p>
    <w:p w14:paraId="6BC7C36B" w14:textId="3B0F21BA" w:rsidR="00E52085" w:rsidRPr="004C2CD4" w:rsidRDefault="00E52085" w:rsidP="00A776FF">
      <w:pPr>
        <w:spacing w:after="0" w:line="276" w:lineRule="auto"/>
        <w:rPr>
          <w:rFonts w:ascii="Times New Roman" w:hAnsi="Times New Roman" w:cs="Times New Roman"/>
          <w:b/>
          <w:bCs/>
          <w:color w:val="000000" w:themeColor="text1"/>
        </w:rPr>
      </w:pPr>
    </w:p>
    <w:p w14:paraId="683ED261" w14:textId="5170B475" w:rsidR="00926D1A" w:rsidRPr="004C2CD4" w:rsidRDefault="00007435" w:rsidP="00A776FF">
      <w:pPr>
        <w:pStyle w:val="Heading6"/>
        <w:rPr>
          <w:color w:val="000000" w:themeColor="text1"/>
        </w:rPr>
      </w:pPr>
      <w:r w:rsidRPr="004C2CD4">
        <w:rPr>
          <w:color w:val="000000" w:themeColor="text1"/>
        </w:rPr>
        <w:t xml:space="preserve">Table 3: </w:t>
      </w:r>
      <w:r w:rsidR="00926D1A" w:rsidRPr="004C2CD4">
        <w:rPr>
          <w:color w:val="000000" w:themeColor="text1"/>
        </w:rPr>
        <w:t>Economics of various treatments</w:t>
      </w:r>
    </w:p>
    <w:tbl>
      <w:tblPr>
        <w:tblW w:w="514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351"/>
        <w:gridCol w:w="1263"/>
        <w:gridCol w:w="1351"/>
        <w:gridCol w:w="1445"/>
        <w:gridCol w:w="903"/>
      </w:tblGrid>
      <w:tr w:rsidR="00660732" w:rsidRPr="004C2CD4" w14:paraId="5D141F95" w14:textId="77777777" w:rsidTr="00B8266B">
        <w:trPr>
          <w:trHeight w:val="1078"/>
        </w:trPr>
        <w:tc>
          <w:tcPr>
            <w:tcW w:w="1701" w:type="pct"/>
            <w:vAlign w:val="center"/>
          </w:tcPr>
          <w:p w14:paraId="4D19C86D"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Treatment</w:t>
            </w:r>
          </w:p>
        </w:tc>
        <w:tc>
          <w:tcPr>
            <w:tcW w:w="706" w:type="pct"/>
            <w:vAlign w:val="center"/>
          </w:tcPr>
          <w:p w14:paraId="712ADAB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Equivalent Yield (t/ha)</w:t>
            </w:r>
          </w:p>
        </w:tc>
        <w:tc>
          <w:tcPr>
            <w:tcW w:w="660" w:type="pct"/>
            <w:vAlign w:val="center"/>
          </w:tcPr>
          <w:p w14:paraId="6E87C7FB" w14:textId="710DDC85" w:rsidR="007D026A" w:rsidRPr="004C2CD4" w:rsidRDefault="007D026A" w:rsidP="00A776FF">
            <w:pPr>
              <w:pStyle w:val="Heading4"/>
              <w:rPr>
                <w:color w:val="000000" w:themeColor="text1"/>
                <w:shd w:val="clear" w:color="auto" w:fill="auto"/>
                <w:lang w:bidi="gu-IN"/>
              </w:rPr>
            </w:pPr>
            <w:r w:rsidRPr="004C2CD4">
              <w:rPr>
                <w:color w:val="000000" w:themeColor="text1"/>
                <w:shd w:val="clear" w:color="auto" w:fill="auto"/>
                <w:lang w:bidi="gu-IN"/>
              </w:rPr>
              <w:t>Total cost</w:t>
            </w:r>
          </w:p>
          <w:p w14:paraId="6A0FC7B7" w14:textId="28242E06"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706" w:type="pct"/>
            <w:vAlign w:val="center"/>
          </w:tcPr>
          <w:p w14:paraId="7A6DA818" w14:textId="5C8C64B8"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 xml:space="preserve">Gross realization </w:t>
            </w:r>
            <w:r w:rsidR="002E258D" w:rsidRPr="004C2CD4">
              <w:rPr>
                <w:rFonts w:ascii="Times New Roman" w:hAnsi="Times New Roman" w:cs="Times New Roman"/>
                <w:b/>
                <w:bCs/>
                <w:color w:val="000000" w:themeColor="text1"/>
                <w:sz w:val="20"/>
                <w:szCs w:val="20"/>
              </w:rPr>
              <w:t>(Rs/ha)</w:t>
            </w:r>
          </w:p>
        </w:tc>
        <w:tc>
          <w:tcPr>
            <w:tcW w:w="755" w:type="pct"/>
            <w:vAlign w:val="center"/>
          </w:tcPr>
          <w:p w14:paraId="67D8299F" w14:textId="3BD1D07B" w:rsidR="002E258D"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Net Realization</w:t>
            </w:r>
          </w:p>
          <w:p w14:paraId="5BD6A125" w14:textId="1F782BBD"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472" w:type="pct"/>
            <w:vAlign w:val="center"/>
          </w:tcPr>
          <w:p w14:paraId="53F0EF2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B:C Ratio</w:t>
            </w:r>
          </w:p>
        </w:tc>
      </w:tr>
      <w:tr w:rsidR="00660732" w:rsidRPr="004C2CD4" w14:paraId="1A7A3F6D" w14:textId="77777777" w:rsidTr="00B8266B">
        <w:trPr>
          <w:trHeight w:val="20"/>
        </w:trPr>
        <w:tc>
          <w:tcPr>
            <w:tcW w:w="1701" w:type="pct"/>
            <w:vAlign w:val="center"/>
          </w:tcPr>
          <w:p w14:paraId="680C8499"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706" w:type="pct"/>
            <w:vAlign w:val="center"/>
          </w:tcPr>
          <w:p w14:paraId="4347C9E2"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c>
          <w:tcPr>
            <w:tcW w:w="660" w:type="pct"/>
            <w:vAlign w:val="center"/>
          </w:tcPr>
          <w:p w14:paraId="378CBBD8" w14:textId="5160869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181092</w:t>
            </w:r>
          </w:p>
        </w:tc>
        <w:tc>
          <w:tcPr>
            <w:tcW w:w="706" w:type="pct"/>
            <w:vAlign w:val="center"/>
          </w:tcPr>
          <w:p w14:paraId="2D0F2416" w14:textId="678270D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323348</w:t>
            </w:r>
          </w:p>
        </w:tc>
        <w:tc>
          <w:tcPr>
            <w:tcW w:w="755" w:type="pct"/>
            <w:vAlign w:val="center"/>
          </w:tcPr>
          <w:p w14:paraId="38E838EF" w14:textId="17E6ED35"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142257</w:t>
            </w:r>
          </w:p>
        </w:tc>
        <w:tc>
          <w:tcPr>
            <w:tcW w:w="472" w:type="pct"/>
            <w:vAlign w:val="center"/>
          </w:tcPr>
          <w:p w14:paraId="3FDCF39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w:t>
            </w:r>
          </w:p>
        </w:tc>
      </w:tr>
      <w:tr w:rsidR="00660732" w:rsidRPr="004C2CD4" w14:paraId="2B6FDE68" w14:textId="77777777" w:rsidTr="00B8266B">
        <w:trPr>
          <w:trHeight w:val="20"/>
        </w:trPr>
        <w:tc>
          <w:tcPr>
            <w:tcW w:w="1701" w:type="pct"/>
            <w:vAlign w:val="center"/>
          </w:tcPr>
          <w:p w14:paraId="5EE00253" w14:textId="7B37C364"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w:t>
            </w:r>
            <w:r w:rsidR="00660732"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706" w:type="pct"/>
            <w:vAlign w:val="center"/>
          </w:tcPr>
          <w:p w14:paraId="52C6202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c>
          <w:tcPr>
            <w:tcW w:w="660" w:type="pct"/>
            <w:vAlign w:val="center"/>
          </w:tcPr>
          <w:p w14:paraId="31998BCD" w14:textId="31ADEFF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179809</w:t>
            </w:r>
          </w:p>
        </w:tc>
        <w:tc>
          <w:tcPr>
            <w:tcW w:w="706" w:type="pct"/>
            <w:vAlign w:val="center"/>
          </w:tcPr>
          <w:p w14:paraId="6A9515CE" w14:textId="79E0B98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313935</w:t>
            </w:r>
          </w:p>
        </w:tc>
        <w:tc>
          <w:tcPr>
            <w:tcW w:w="755" w:type="pct"/>
            <w:vAlign w:val="center"/>
          </w:tcPr>
          <w:p w14:paraId="747273F9" w14:textId="7E3F6272"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134126</w:t>
            </w:r>
          </w:p>
        </w:tc>
        <w:tc>
          <w:tcPr>
            <w:tcW w:w="472" w:type="pct"/>
            <w:vAlign w:val="center"/>
          </w:tcPr>
          <w:p w14:paraId="65D80620"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1.75</w:t>
            </w:r>
          </w:p>
        </w:tc>
      </w:tr>
      <w:tr w:rsidR="00660732" w:rsidRPr="004C2CD4" w14:paraId="2E79DE41" w14:textId="77777777" w:rsidTr="00B8266B">
        <w:trPr>
          <w:trHeight w:val="20"/>
        </w:trPr>
        <w:tc>
          <w:tcPr>
            <w:tcW w:w="1701" w:type="pct"/>
            <w:vAlign w:val="center"/>
          </w:tcPr>
          <w:p w14:paraId="7DB3FB04"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706" w:type="pct"/>
            <w:vAlign w:val="center"/>
          </w:tcPr>
          <w:p w14:paraId="7CB1D45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c>
          <w:tcPr>
            <w:tcW w:w="660" w:type="pct"/>
            <w:vAlign w:val="center"/>
          </w:tcPr>
          <w:p w14:paraId="5DAB9046" w14:textId="301507A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219056</w:t>
            </w:r>
          </w:p>
        </w:tc>
        <w:tc>
          <w:tcPr>
            <w:tcW w:w="706" w:type="pct"/>
            <w:vAlign w:val="center"/>
          </w:tcPr>
          <w:p w14:paraId="19CAAF83" w14:textId="0BF4B18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230233</w:t>
            </w:r>
          </w:p>
        </w:tc>
        <w:tc>
          <w:tcPr>
            <w:tcW w:w="755" w:type="pct"/>
            <w:vAlign w:val="center"/>
          </w:tcPr>
          <w:p w14:paraId="0FBC0584" w14:textId="039425B7"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11176</w:t>
            </w:r>
          </w:p>
        </w:tc>
        <w:tc>
          <w:tcPr>
            <w:tcW w:w="472" w:type="pct"/>
            <w:vAlign w:val="center"/>
          </w:tcPr>
          <w:p w14:paraId="3B2C5306"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1.05</w:t>
            </w:r>
          </w:p>
        </w:tc>
      </w:tr>
      <w:tr w:rsidR="00660732" w:rsidRPr="004C2CD4" w14:paraId="2E9E0DB4" w14:textId="77777777" w:rsidTr="00B8266B">
        <w:trPr>
          <w:trHeight w:val="20"/>
        </w:trPr>
        <w:tc>
          <w:tcPr>
            <w:tcW w:w="1701" w:type="pct"/>
            <w:vAlign w:val="center"/>
          </w:tcPr>
          <w:p w14:paraId="14502B9F"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706" w:type="pct"/>
            <w:vAlign w:val="center"/>
          </w:tcPr>
          <w:p w14:paraId="62A63B9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c>
          <w:tcPr>
            <w:tcW w:w="660" w:type="pct"/>
            <w:vAlign w:val="center"/>
          </w:tcPr>
          <w:p w14:paraId="1D87EC95" w14:textId="1430BC1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114038</w:t>
            </w:r>
          </w:p>
        </w:tc>
        <w:tc>
          <w:tcPr>
            <w:tcW w:w="706" w:type="pct"/>
            <w:vAlign w:val="center"/>
          </w:tcPr>
          <w:p w14:paraId="028BD5BE" w14:textId="0AB2F44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238598</w:t>
            </w:r>
          </w:p>
        </w:tc>
        <w:tc>
          <w:tcPr>
            <w:tcW w:w="755" w:type="pct"/>
            <w:vAlign w:val="center"/>
          </w:tcPr>
          <w:p w14:paraId="499383AF" w14:textId="6DE1BFCC"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124560</w:t>
            </w:r>
          </w:p>
        </w:tc>
        <w:tc>
          <w:tcPr>
            <w:tcW w:w="472" w:type="pct"/>
            <w:vAlign w:val="center"/>
          </w:tcPr>
          <w:p w14:paraId="3B2FAA1E"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2.09</w:t>
            </w:r>
          </w:p>
        </w:tc>
      </w:tr>
      <w:tr w:rsidR="00660732" w:rsidRPr="004C2CD4" w14:paraId="0D0E2B9D" w14:textId="77777777" w:rsidTr="00B8266B">
        <w:trPr>
          <w:trHeight w:val="20"/>
        </w:trPr>
        <w:tc>
          <w:tcPr>
            <w:tcW w:w="1701" w:type="pct"/>
            <w:vAlign w:val="center"/>
          </w:tcPr>
          <w:p w14:paraId="00806CD7"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706" w:type="pct"/>
            <w:vAlign w:val="center"/>
          </w:tcPr>
          <w:p w14:paraId="59DC1B4B"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660" w:type="pct"/>
            <w:vAlign w:val="center"/>
          </w:tcPr>
          <w:p w14:paraId="1709D49F" w14:textId="35EBAB6A"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37419</w:t>
            </w:r>
          </w:p>
        </w:tc>
        <w:tc>
          <w:tcPr>
            <w:tcW w:w="706" w:type="pct"/>
            <w:vAlign w:val="center"/>
          </w:tcPr>
          <w:p w14:paraId="6F2EA2D6" w14:textId="47A50FB4"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9654</w:t>
            </w:r>
          </w:p>
        </w:tc>
        <w:tc>
          <w:tcPr>
            <w:tcW w:w="755" w:type="pct"/>
            <w:vAlign w:val="center"/>
          </w:tcPr>
          <w:p w14:paraId="6B29EC18" w14:textId="684DFF2B"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-27765</w:t>
            </w:r>
          </w:p>
        </w:tc>
        <w:tc>
          <w:tcPr>
            <w:tcW w:w="472" w:type="pct"/>
            <w:vAlign w:val="center"/>
          </w:tcPr>
          <w:p w14:paraId="4253346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0.26</w:t>
            </w:r>
          </w:p>
        </w:tc>
      </w:tr>
    </w:tbl>
    <w:p w14:paraId="7F7D19F7" w14:textId="77656ABB" w:rsidR="00F321FF" w:rsidRPr="004C2CD4" w:rsidRDefault="00F321FF" w:rsidP="00832313">
      <w:pPr>
        <w:spacing w:after="0" w:line="360" w:lineRule="auto"/>
        <w:rPr>
          <w:rFonts w:ascii="Times New Roman" w:hAnsi="Times New Roman" w:cs="Times New Roman"/>
          <w:b/>
          <w:bCs/>
          <w:color w:val="000000" w:themeColor="text1"/>
        </w:rPr>
      </w:pPr>
    </w:p>
    <w:p w14:paraId="279918D7" w14:textId="597156C1" w:rsidR="00E00BC6" w:rsidRPr="004C2CD4" w:rsidRDefault="00E00BC6" w:rsidP="00832313">
      <w:pPr>
        <w:spacing w:after="0" w:line="360" w:lineRule="auto"/>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4. </w:t>
      </w:r>
      <w:r w:rsidR="00A776FF" w:rsidRPr="004C2CD4">
        <w:rPr>
          <w:rFonts w:ascii="Times New Roman" w:hAnsi="Times New Roman" w:cs="Times New Roman"/>
          <w:b/>
          <w:bCs/>
          <w:color w:val="000000" w:themeColor="text1"/>
        </w:rPr>
        <w:t>CONCLUSION</w:t>
      </w:r>
    </w:p>
    <w:p w14:paraId="2CB68938" w14:textId="1B5D363C" w:rsidR="00A6648C" w:rsidRDefault="00285F56" w:rsidP="00285F56">
      <w:pPr>
        <w:spacing w:line="360" w:lineRule="auto"/>
        <w:ind w:right="-408"/>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Pr="004C2CD4">
        <w:rPr>
          <w:rFonts w:ascii="Times New Roman" w:hAnsi="Times New Roman" w:cs="Times New Roman"/>
          <w:color w:val="000000" w:themeColor="text1"/>
          <w:sz w:val="20"/>
          <w:szCs w:val="20"/>
        </w:rPr>
        <w:t xml:space="preserve"> </w:t>
      </w:r>
      <w:r w:rsidR="00765E9C" w:rsidRPr="004C2CD4">
        <w:rPr>
          <w:rFonts w:ascii="Times New Roman" w:hAnsi="Times New Roman" w:cs="Times New Roman"/>
          <w:color w:val="000000" w:themeColor="text1"/>
          <w:sz w:val="20"/>
          <w:szCs w:val="20"/>
        </w:rPr>
        <w:t>From the three years of study, it can be concluded that white sandalwood plantation</w:t>
      </w:r>
      <w:r w:rsidR="00765E9C" w:rsidRPr="0093295F">
        <w:rPr>
          <w:rFonts w:ascii="Times New Roman" w:hAnsi="Times New Roman" w:cs="Times New Roman"/>
          <w:color w:val="FF0000"/>
          <w:sz w:val="20"/>
          <w:szCs w:val="20"/>
        </w:rPr>
        <w:t xml:space="preserve"> </w:t>
      </w:r>
      <w:r w:rsidR="0093295F" w:rsidRPr="0093295F">
        <w:rPr>
          <w:rFonts w:ascii="Times New Roman" w:hAnsi="Times New Roman" w:cs="Times New Roman"/>
          <w:color w:val="FF0000"/>
          <w:sz w:val="20"/>
          <w:szCs w:val="20"/>
        </w:rPr>
        <w:t>is</w:t>
      </w:r>
      <w:r w:rsidR="00765E9C" w:rsidRPr="0093295F">
        <w:rPr>
          <w:rFonts w:ascii="Times New Roman" w:hAnsi="Times New Roman" w:cs="Times New Roman"/>
          <w:color w:val="FF0000"/>
          <w:sz w:val="20"/>
          <w:szCs w:val="20"/>
        </w:rPr>
        <w:t xml:space="preserve"> </w:t>
      </w:r>
      <w:r w:rsidR="00765E9C" w:rsidRPr="004C2CD4">
        <w:rPr>
          <w:rFonts w:ascii="Times New Roman" w:hAnsi="Times New Roman" w:cs="Times New Roman"/>
          <w:color w:val="000000" w:themeColor="text1"/>
          <w:sz w:val="20"/>
          <w:szCs w:val="20"/>
        </w:rPr>
        <w:t xml:space="preserve">recommended to take pigeon pea as vegetable intercrop at 90 </w:t>
      </w:r>
      <w:r w:rsidR="00FA1492" w:rsidRPr="004C2CD4">
        <w:rPr>
          <w:rFonts w:ascii="Times New Roman" w:hAnsi="Times New Roman" w:cs="Times New Roman"/>
          <w:color w:val="000000" w:themeColor="text1"/>
          <w:sz w:val="20"/>
          <w:szCs w:val="20"/>
        </w:rPr>
        <w:t>×</w:t>
      </w:r>
      <w:r w:rsidR="00765E9C" w:rsidRPr="004C2CD4">
        <w:rPr>
          <w:rFonts w:ascii="Times New Roman" w:hAnsi="Times New Roman" w:cs="Times New Roman"/>
          <w:color w:val="000000" w:themeColor="text1"/>
          <w:sz w:val="20"/>
          <w:szCs w:val="20"/>
        </w:rPr>
        <w:t xml:space="preserve"> 60 cm distance (both sides of sandalwood </w:t>
      </w:r>
      <w:r w:rsidR="0063188C" w:rsidRPr="004C2CD4">
        <w:rPr>
          <w:rFonts w:ascii="Times New Roman" w:hAnsi="Times New Roman" w:cs="Times New Roman"/>
          <w:color w:val="000000" w:themeColor="text1"/>
          <w:sz w:val="20"/>
          <w:szCs w:val="20"/>
        </w:rPr>
        <w:t xml:space="preserve">trunk leaving 0.5 m distance) </w:t>
      </w:r>
      <w:r w:rsidR="00765E9C" w:rsidRPr="004C2CD4">
        <w:rPr>
          <w:rFonts w:ascii="Times New Roman" w:hAnsi="Times New Roman" w:cs="Times New Roman"/>
          <w:color w:val="000000" w:themeColor="text1"/>
          <w:sz w:val="20"/>
          <w:szCs w:val="20"/>
        </w:rPr>
        <w:t>for better growth of sandalwood as well as to get higher income</w:t>
      </w:r>
      <w:r w:rsidR="00765E9C" w:rsidRPr="004C2CD4">
        <w:rPr>
          <w:rFonts w:ascii="Times New Roman" w:hAnsi="Times New Roman" w:cs="Times New Roman"/>
          <w:color w:val="000000" w:themeColor="text1"/>
          <w:sz w:val="20"/>
          <w:szCs w:val="20"/>
          <w:cs/>
        </w:rPr>
        <w:t xml:space="preserve"> </w:t>
      </w:r>
      <w:r w:rsidR="00765E9C" w:rsidRPr="004C2CD4">
        <w:rPr>
          <w:rFonts w:ascii="Times New Roman" w:hAnsi="Times New Roman" w:cs="Times New Roman"/>
          <w:color w:val="000000" w:themeColor="text1"/>
          <w:sz w:val="20"/>
          <w:szCs w:val="20"/>
        </w:rPr>
        <w:t xml:space="preserve">with low cost. </w:t>
      </w:r>
    </w:p>
    <w:p w14:paraId="6B3645F9" w14:textId="1C2747E3" w:rsidR="00083101" w:rsidRDefault="00083101" w:rsidP="00285F56">
      <w:pPr>
        <w:spacing w:line="360" w:lineRule="auto"/>
        <w:ind w:right="-408"/>
        <w:jc w:val="both"/>
        <w:rPr>
          <w:rFonts w:ascii="Times New Roman" w:hAnsi="Times New Roman" w:cs="Times New Roman"/>
          <w:color w:val="000000" w:themeColor="text1"/>
          <w:sz w:val="20"/>
          <w:szCs w:val="20"/>
        </w:rPr>
      </w:pPr>
    </w:p>
    <w:p w14:paraId="29FD8EA2" w14:textId="7F55950B" w:rsidR="00083101" w:rsidRDefault="00083101" w:rsidP="00285F56">
      <w:pPr>
        <w:spacing w:line="360" w:lineRule="auto"/>
        <w:ind w:right="-408"/>
        <w:jc w:val="both"/>
        <w:rPr>
          <w:rFonts w:ascii="Times New Roman" w:hAnsi="Times New Roman" w:cs="Times New Roman"/>
          <w:color w:val="000000" w:themeColor="text1"/>
          <w:sz w:val="20"/>
          <w:szCs w:val="20"/>
        </w:rPr>
      </w:pPr>
    </w:p>
    <w:p w14:paraId="7190F203" w14:textId="77777777" w:rsidR="00083101" w:rsidRDefault="00083101" w:rsidP="00083101">
      <w:pPr>
        <w:rPr>
          <w:rFonts w:ascii="Calibri" w:eastAsia="Calibri" w:hAnsi="Calibri" w:cs="Times New Roman"/>
          <w:kern w:val="2"/>
          <w:highlight w:val="yellow"/>
        </w:rPr>
      </w:pPr>
      <w:bookmarkStart w:id="0" w:name="_Hlk204003461"/>
      <w:bookmarkStart w:id="1" w:name="_Hlk213070710"/>
      <w:bookmarkStart w:id="2" w:name="_Hlk213852003"/>
      <w:r>
        <w:rPr>
          <w:rFonts w:ascii="Calibri" w:eastAsia="Calibri" w:hAnsi="Calibri" w:cs="Times New Roman"/>
          <w:kern w:val="2"/>
          <w:highlight w:val="yellow"/>
        </w:rPr>
        <w:t>Disclaimer (Artificial intelligence)</w:t>
      </w:r>
    </w:p>
    <w:p w14:paraId="60A149E2"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Option 1:</w:t>
      </w:r>
    </w:p>
    <w:p w14:paraId="269C596A"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71F0A14"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5CD2818C"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generative AI technologies such as Large Language Models, etc. have been used during the writing or editing of manuscripts. This explanation will include the name, </w:t>
      </w:r>
      <w:r>
        <w:rPr>
          <w:rFonts w:ascii="Calibri" w:eastAsia="Calibri" w:hAnsi="Calibri" w:cs="Times New Roman"/>
          <w:kern w:val="2"/>
          <w:highlight w:val="yellow"/>
        </w:rPr>
        <w:lastRenderedPageBreak/>
        <w:t>version, model, and source of the generative AI technology and as well as all input prompts provided to the generative AI technology</w:t>
      </w:r>
    </w:p>
    <w:p w14:paraId="12C0C15D"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07C6B6AD"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1.</w:t>
      </w:r>
    </w:p>
    <w:p w14:paraId="6D5AAC90"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2.</w:t>
      </w:r>
    </w:p>
    <w:p w14:paraId="4A9B0679" w14:textId="77777777" w:rsidR="00083101" w:rsidRDefault="00083101" w:rsidP="00083101">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38543B08" w14:textId="77777777" w:rsidR="00083101" w:rsidRDefault="00083101" w:rsidP="00083101">
      <w:pPr>
        <w:rPr>
          <w:rFonts w:ascii="Calibri" w:eastAsia="Calibri" w:hAnsi="Calibri" w:cs="Times New Roman"/>
          <w:kern w:val="2"/>
          <w:highlight w:val="yellow"/>
        </w:rPr>
      </w:pPr>
    </w:p>
    <w:bookmarkEnd w:id="2"/>
    <w:p w14:paraId="1143D00B" w14:textId="77777777" w:rsidR="00083101" w:rsidRPr="004C2CD4" w:rsidRDefault="00083101" w:rsidP="00285F56">
      <w:pPr>
        <w:spacing w:line="360" w:lineRule="auto"/>
        <w:ind w:right="-408"/>
        <w:jc w:val="both"/>
        <w:rPr>
          <w:rFonts w:ascii="Times New Roman" w:hAnsi="Times New Roman" w:cs="Times New Roman"/>
          <w:color w:val="000000" w:themeColor="text1"/>
          <w:sz w:val="20"/>
          <w:szCs w:val="20"/>
        </w:rPr>
      </w:pPr>
    </w:p>
    <w:p w14:paraId="71BAE9EE" w14:textId="3FAA00CC" w:rsidR="00A6648C" w:rsidRPr="004C2CD4" w:rsidRDefault="005D31C5" w:rsidP="00A6648C">
      <w:pPr>
        <w:tabs>
          <w:tab w:val="left" w:pos="426"/>
        </w:tabs>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5. </w:t>
      </w:r>
      <w:r w:rsidR="00FB7B5D" w:rsidRPr="004C2CD4">
        <w:rPr>
          <w:rFonts w:ascii="Times New Roman" w:hAnsi="Times New Roman" w:cs="Times New Roman"/>
          <w:b/>
          <w:bCs/>
          <w:color w:val="000000" w:themeColor="text1"/>
        </w:rPr>
        <w:t>REFERENCES</w:t>
      </w:r>
    </w:p>
    <w:p w14:paraId="1C6EE56E" w14:textId="0E36539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Annapurna, D., Rathore, T. S., &amp; Joshi, G. (2006). Modern nursery practices in the production of quality seedlings of Indian sandalwood (Santalum album L.) - Stage of host requirement and screening of primary host species. *Journal of Sustainable Forestry*, *22*(3-4), 33–55. </w:t>
      </w:r>
      <w:hyperlink r:id="rId8" w:history="1">
        <w:r w:rsidRPr="00C430E2">
          <w:rPr>
            <w:rStyle w:val="Hyperlink"/>
            <w:rFonts w:ascii="Times New Roman" w:hAnsi="Times New Roman" w:cs="Times New Roman"/>
            <w:sz w:val="20"/>
            <w:szCs w:val="20"/>
          </w:rPr>
          <w:t>https://doi.org/10.1300/J091v22n03_03</w:t>
        </w:r>
      </w:hyperlink>
    </w:p>
    <w:p w14:paraId="12215411" w14:textId="6E957BC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Das, S. C., &amp; Tah, J. (2017). Role of host plants for white sandal (santalum album L.) cultivation in West Bengal. Asian Journal of Science and Technology, 8(10), 6060-67. </w:t>
      </w:r>
      <w:hyperlink r:id="rId9" w:history="1">
        <w:r w:rsidRPr="00C430E2">
          <w:rPr>
            <w:rStyle w:val="Hyperlink"/>
            <w:rFonts w:ascii="Times New Roman" w:hAnsi="Times New Roman" w:cs="Times New Roman"/>
            <w:sz w:val="20"/>
            <w:szCs w:val="20"/>
          </w:rPr>
          <w:t>https://journalasjt.com/upload/4596.pdf</w:t>
        </w:r>
      </w:hyperlink>
    </w:p>
    <w:p w14:paraId="0C7B0082" w14:textId="259A8D62"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Deepa, P., &amp; Yusuf, A. (2016). Influence of different host associations on glutamine synthetase activity and ammonium transporter in Santalum album L. Physiology and Molecular Biology of Plants. </w:t>
      </w:r>
      <w:hyperlink r:id="rId10" w:history="1">
        <w:r w:rsidRPr="00C430E2">
          <w:rPr>
            <w:rStyle w:val="Hyperlink"/>
            <w:rFonts w:ascii="Times New Roman" w:hAnsi="Times New Roman" w:cs="Times New Roman"/>
            <w:sz w:val="20"/>
            <w:szCs w:val="20"/>
          </w:rPr>
          <w:t>https://doi.org/10.1007/s12298-016-0368-9</w:t>
        </w:r>
      </w:hyperlink>
    </w:p>
    <w:p w14:paraId="08B5F7BC" w14:textId="5FB6AF1B"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Divakara, B. N., Viswanath, S., Nikhitha, C. U., &amp; Kumar, S. (2018). Economics of Santalum album L. Cultivation Under Semiarid Tropics of Karnataka, India. Forest Research, 7, 223. </w:t>
      </w:r>
      <w:hyperlink r:id="rId11" w:history="1">
        <w:r w:rsidRPr="00C430E2">
          <w:rPr>
            <w:rStyle w:val="Hyperlink"/>
            <w:rFonts w:ascii="Times New Roman" w:hAnsi="Times New Roman" w:cs="Times New Roman"/>
            <w:sz w:val="20"/>
            <w:szCs w:val="20"/>
          </w:rPr>
          <w:t>https://doi.org/10.4172/2168-9776.1000223</w:t>
        </w:r>
      </w:hyperlink>
    </w:p>
    <w:p w14:paraId="6522AE46" w14:textId="59C37E09"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Francois-Newton, V., Brown, A., Andres, P., Mandary, M. B., Weyers, C., Latouche-Veerapen, M., &amp; Hettiarachchi, D. (2021). Antioxidant and anti-aging potential of Indian sandalwood oil against environmental stressors in vitro and ex vivo. Cosmetics, 8(2), 53. </w:t>
      </w:r>
      <w:hyperlink r:id="rId12" w:history="1">
        <w:r w:rsidRPr="00C430E2">
          <w:rPr>
            <w:rStyle w:val="Hyperlink"/>
            <w:rFonts w:ascii="Times New Roman" w:hAnsi="Times New Roman" w:cs="Times New Roman"/>
            <w:sz w:val="20"/>
            <w:szCs w:val="20"/>
          </w:rPr>
          <w:t>https://doi.org/10.3390/cosmetics8020053</w:t>
        </w:r>
      </w:hyperlink>
    </w:p>
    <w:p w14:paraId="26102964" w14:textId="28C5F85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Gomes, D., &amp; Adnyana, A. (2017). The effect of legume and non-legume to the sandalwood (Santalum album Linn.) growth in Timor Leste. International Journal of Sciences: Basic and Applied Research, 32(1), 207-237. </w:t>
      </w:r>
      <w:hyperlink r:id="rId13" w:history="1">
        <w:r w:rsidRPr="00C430E2">
          <w:rPr>
            <w:rStyle w:val="Hyperlink"/>
            <w:rFonts w:ascii="Times New Roman" w:hAnsi="Times New Roman" w:cs="Times New Roman"/>
            <w:sz w:val="20"/>
            <w:szCs w:val="20"/>
            <w:lang w:bidi="hi-IN"/>
          </w:rPr>
          <w:t>https://gssrr.org/JournalOfBasicAndApplied/article/view/6903</w:t>
        </w:r>
      </w:hyperlink>
    </w:p>
    <w:p w14:paraId="6A2C4BF9" w14:textId="09714A56"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Anchal, A., Kaur, A. A., &amp; Sharma, S. (2025). Intercropping a sustainable holistic approach for improving growth and productivity of crops. International Journal of Research in Agronomy, 8(4), 133-139. </w:t>
      </w:r>
      <w:hyperlink r:id="rId14" w:history="1">
        <w:r w:rsidRPr="00C430E2">
          <w:rPr>
            <w:rStyle w:val="Hyperlink"/>
            <w:rFonts w:ascii="Times New Roman" w:hAnsi="Times New Roman" w:cs="Times New Roman"/>
            <w:sz w:val="20"/>
            <w:szCs w:val="20"/>
          </w:rPr>
          <w:t>https://doi.org/10.33545/2618060X.2025.v8.i4b.2757</w:t>
        </w:r>
      </w:hyperlink>
    </w:p>
    <w:p w14:paraId="2A076BEA" w14:textId="13F647C7"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eastAsia="CIDFont+F1" w:hAnsi="Times New Roman" w:cs="Times New Roman"/>
          <w:color w:val="000000" w:themeColor="text1"/>
          <w:sz w:val="20"/>
          <w:szCs w:val="20"/>
          <w:lang w:bidi="hi-IN"/>
        </w:rPr>
        <w:t xml:space="preserve">Mohapatra, U. </w:t>
      </w:r>
      <w:r w:rsidRPr="00C430E2">
        <w:rPr>
          <w:rFonts w:ascii="Times New Roman" w:hAnsi="Times New Roman" w:cs="Times New Roman"/>
          <w:color w:val="000000" w:themeColor="text1"/>
          <w:sz w:val="20"/>
          <w:szCs w:val="20"/>
        </w:rPr>
        <w:t xml:space="preserve">&amp; </w:t>
      </w:r>
      <w:r w:rsidRPr="00C430E2">
        <w:rPr>
          <w:rFonts w:ascii="Times New Roman" w:eastAsia="CIDFont+F1" w:hAnsi="Times New Roman" w:cs="Times New Roman"/>
          <w:color w:val="000000" w:themeColor="text1"/>
          <w:sz w:val="20"/>
          <w:szCs w:val="20"/>
          <w:lang w:bidi="hi-IN"/>
        </w:rPr>
        <w:t>Anil, V. S. (2022). Primary host interaction of root parasite sandalwood (</w:t>
      </w:r>
      <w:r w:rsidRPr="00C430E2">
        <w:rPr>
          <w:rFonts w:ascii="Times New Roman" w:eastAsia="CIDFont+F1" w:hAnsi="Times New Roman" w:cs="Times New Roman"/>
          <w:i/>
          <w:iCs/>
          <w:color w:val="000000" w:themeColor="text1"/>
          <w:sz w:val="20"/>
          <w:szCs w:val="20"/>
          <w:lang w:bidi="hi-IN"/>
        </w:rPr>
        <w:t>Santalum album</w:t>
      </w:r>
      <w:r w:rsidRPr="00C430E2">
        <w:rPr>
          <w:rFonts w:ascii="Times New Roman" w:eastAsia="CIDFont+F1" w:hAnsi="Times New Roman" w:cs="Times New Roman"/>
          <w:color w:val="000000" w:themeColor="text1"/>
          <w:sz w:val="20"/>
          <w:szCs w:val="20"/>
          <w:lang w:bidi="hi-IN"/>
        </w:rPr>
        <w:t xml:space="preserve"> L): Morphological and biochemical responses during interaction with legume host </w:t>
      </w:r>
      <w:r w:rsidRPr="00C430E2">
        <w:rPr>
          <w:rFonts w:ascii="Times New Roman" w:eastAsia="CIDFont+F1" w:hAnsi="Times New Roman" w:cs="Times New Roman"/>
          <w:i/>
          <w:iCs/>
          <w:color w:val="000000" w:themeColor="text1"/>
          <w:sz w:val="20"/>
          <w:szCs w:val="20"/>
          <w:lang w:bidi="hi-IN"/>
        </w:rPr>
        <w:t xml:space="preserve">cajanus </w:t>
      </w:r>
      <w:r w:rsidRPr="00C430E2">
        <w:rPr>
          <w:rFonts w:ascii="Times New Roman" w:eastAsia="CIDFont+F1" w:hAnsi="Times New Roman" w:cs="Times New Roman"/>
          <w:color w:val="000000" w:themeColor="text1"/>
          <w:sz w:val="20"/>
          <w:szCs w:val="20"/>
          <w:lang w:bidi="hi-IN"/>
        </w:rPr>
        <w:t xml:space="preserve">and non-legume host </w:t>
      </w:r>
      <w:r w:rsidRPr="00C430E2">
        <w:rPr>
          <w:rFonts w:ascii="Times New Roman" w:eastAsia="CIDFont+F1" w:hAnsi="Times New Roman" w:cs="Times New Roman"/>
          <w:i/>
          <w:iCs/>
          <w:color w:val="000000" w:themeColor="text1"/>
          <w:sz w:val="20"/>
          <w:szCs w:val="20"/>
          <w:lang w:bidi="hi-IN"/>
        </w:rPr>
        <w:t>alternanthera</w:t>
      </w:r>
      <w:r w:rsidRPr="00C430E2">
        <w:rPr>
          <w:rFonts w:ascii="Times New Roman" w:eastAsia="CIDFont+F1" w:hAnsi="Times New Roman" w:cs="Times New Roman"/>
          <w:color w:val="000000" w:themeColor="text1"/>
          <w:sz w:val="20"/>
          <w:szCs w:val="20"/>
          <w:lang w:bidi="hi-IN"/>
        </w:rPr>
        <w:t xml:space="preserve">. </w:t>
      </w:r>
      <w:r w:rsidRPr="00C430E2">
        <w:rPr>
          <w:rFonts w:ascii="Times New Roman" w:hAnsi="Times New Roman" w:cs="Times New Roman"/>
          <w:i/>
          <w:iCs/>
          <w:color w:val="000000" w:themeColor="text1"/>
          <w:sz w:val="20"/>
          <w:szCs w:val="20"/>
          <w:lang w:bidi="hi-IN"/>
        </w:rPr>
        <w:t>Mysore J. Agric. Sci.,</w:t>
      </w:r>
      <w:r w:rsidRPr="00C430E2">
        <w:rPr>
          <w:rFonts w:ascii="Times New Roman" w:hAnsi="Times New Roman" w:cs="Times New Roman"/>
          <w:color w:val="000000" w:themeColor="text1"/>
          <w:sz w:val="20"/>
          <w:szCs w:val="20"/>
          <w:lang w:bidi="hi-IN"/>
        </w:rPr>
        <w:t xml:space="preserve"> 56 (1), 367-380.</w:t>
      </w:r>
    </w:p>
    <w:p w14:paraId="53826A36" w14:textId="49FDF7B5"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bCs/>
          <w:color w:val="000000" w:themeColor="text1"/>
          <w:sz w:val="20"/>
          <w:szCs w:val="20"/>
          <w:lang w:bidi="hi-IN"/>
        </w:rPr>
        <w:t xml:space="preserve">Nakandalage, N., Sampath, A. M. U., Anuruddi, H. I. G. K., &amp; Subasinghe, S. (2021). Growth performance of sandalwood during nursery stage as affected by different host plants. Tropical Agricultural Research &amp; Extension, 24(4), 360-367. </w:t>
      </w:r>
      <w:hyperlink r:id="rId15" w:history="1">
        <w:r w:rsidRPr="00C430E2">
          <w:rPr>
            <w:rStyle w:val="Hyperlink"/>
            <w:rFonts w:ascii="Times New Roman" w:hAnsi="Times New Roman" w:cs="Times New Roman"/>
            <w:bCs/>
            <w:sz w:val="20"/>
            <w:szCs w:val="20"/>
            <w:lang w:bidi="hi-IN"/>
          </w:rPr>
          <w:t>https://doi.org/10.4038/tare.v24i4.5548</w:t>
        </w:r>
      </w:hyperlink>
    </w:p>
    <w:p w14:paraId="1B67856F" w14:textId="7B6F2F1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Nanganoa, L. T., Njukeng, J. N., Ngosong, C., Atache, S. K. E., Yinda, G. S., Ebonlo, J. N., Ngong, J. N., &amp; Ngome, F. A. (2019). Short-term benefits of grain legume fallow systems on soil fertility and farmers livelihood in the humid forest zone of cameroon. International Journal of Sustainable Agricultural Research, 6(4), 213-223. </w:t>
      </w:r>
      <w:hyperlink r:id="rId16" w:history="1">
        <w:r w:rsidRPr="00C430E2">
          <w:rPr>
            <w:rStyle w:val="Hyperlink"/>
            <w:rFonts w:ascii="Times New Roman" w:hAnsi="Times New Roman" w:cs="Times New Roman"/>
            <w:sz w:val="20"/>
            <w:szCs w:val="20"/>
          </w:rPr>
          <w:t>https://doi.org/10.18488/journal.70.2019.64.213.223</w:t>
        </w:r>
      </w:hyperlink>
    </w:p>
    <w:p w14:paraId="46B38DA0" w14:textId="5D017161"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Nelson, R., Krishnamurthy, K. V. &amp; Senthilkumar, S. (2000). Growth stimulation of </w:t>
      </w:r>
      <w:r w:rsidRPr="00C430E2">
        <w:rPr>
          <w:rFonts w:ascii="Times New Roman" w:hAnsi="Times New Roman" w:cs="Times New Roman"/>
          <w:i/>
          <w:iCs/>
          <w:color w:val="000000" w:themeColor="text1"/>
          <w:sz w:val="20"/>
          <w:szCs w:val="20"/>
        </w:rPr>
        <w:t>Santalum</w:t>
      </w:r>
      <w:r w:rsidRPr="00C430E2">
        <w:rPr>
          <w:rFonts w:ascii="Times New Roman" w:hAnsi="Times New Roman" w:cs="Times New Roman"/>
          <w:color w:val="000000" w:themeColor="text1"/>
          <w:sz w:val="20"/>
          <w:szCs w:val="20"/>
        </w:rPr>
        <w:t xml:space="preserve"> seedlings by VAM fungi, Pudukottai. </w:t>
      </w:r>
      <w:r w:rsidRPr="00C430E2">
        <w:rPr>
          <w:rFonts w:ascii="Times New Roman" w:hAnsi="Times New Roman" w:cs="Times New Roman"/>
          <w:i/>
          <w:iCs/>
          <w:color w:val="000000" w:themeColor="text1"/>
          <w:sz w:val="20"/>
          <w:szCs w:val="20"/>
        </w:rPr>
        <w:t>Mycorrhiza News</w:t>
      </w:r>
      <w:r w:rsidRPr="00C430E2">
        <w:rPr>
          <w:rFonts w:ascii="Times New Roman" w:hAnsi="Times New Roman" w:cs="Times New Roman"/>
          <w:color w:val="000000" w:themeColor="text1"/>
          <w:sz w:val="20"/>
          <w:szCs w:val="20"/>
        </w:rPr>
        <w:t>, 12 (2), 14-15.</w:t>
      </w:r>
    </w:p>
    <w:p w14:paraId="0586F3FD" w14:textId="5596CB0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lastRenderedPageBreak/>
        <w:t xml:space="preserve">Rocha, D., Ashokan, P. K., Santhoshkumar, A. V., Anoop, E. V., &amp; Sureshkumar, P. (2014). Influence of host plant on the physiological attributes of field-grown sandal tree (Santalum album). Journal of Tropical Forest Science, 26(2), 166–172. </w:t>
      </w:r>
      <w:hyperlink r:id="rId17" w:history="1">
        <w:r w:rsidRPr="00C430E2">
          <w:rPr>
            <w:rStyle w:val="Hyperlink"/>
            <w:rFonts w:ascii="Times New Roman" w:hAnsi="Times New Roman" w:cs="Times New Roman"/>
            <w:sz w:val="20"/>
            <w:szCs w:val="20"/>
            <w:lang w:bidi="hi-IN"/>
          </w:rPr>
          <w:t>https://www.jstor.org/stable/23723901</w:t>
        </w:r>
      </w:hyperlink>
    </w:p>
    <w:p w14:paraId="616CFCBD" w14:textId="59490FE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Rot, J. R., Prajapati, D. R., Mevada, R. J., Jani, M., Jha, S. K., Vanapariya, H. P., &amp; Sasikumar, K. (2022). Growth performance of Santalum album L. in Association with different Host species in South Gujarat Region. Indian Forester, 148(11), 1117-1120. </w:t>
      </w:r>
      <w:hyperlink r:id="rId18" w:history="1">
        <w:r w:rsidRPr="00C430E2">
          <w:rPr>
            <w:rStyle w:val="Hyperlink"/>
            <w:rFonts w:ascii="Times New Roman" w:hAnsi="Times New Roman" w:cs="Times New Roman"/>
            <w:sz w:val="20"/>
            <w:szCs w:val="20"/>
          </w:rPr>
          <w:t>https://doi.org/10.36808/if/2022/v148i11/156796</w:t>
        </w:r>
      </w:hyperlink>
    </w:p>
    <w:p w14:paraId="69743E27" w14:textId="0BF05DF0"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Sahoo, P., &amp; Patil, S. J. (2020). Host plant species influencing the growth performance of sandalwood (Santalum album L.) seedlings in the nursery. J. Farm Sci., 33(3), 418-420. </w:t>
      </w:r>
      <w:hyperlink r:id="rId19" w:history="1">
        <w:r w:rsidRPr="00C430E2">
          <w:rPr>
            <w:rStyle w:val="Hyperlink"/>
            <w:rFonts w:ascii="Times New Roman" w:hAnsi="Times New Roman" w:cs="Times New Roman"/>
            <w:sz w:val="20"/>
            <w:szCs w:val="20"/>
          </w:rPr>
          <w:t>https://www.uasd.in/journal-of-farm-sciences/archives/vol-33-no-3-2020</w:t>
        </w:r>
      </w:hyperlink>
    </w:p>
    <w:p w14:paraId="1C11CA42" w14:textId="77777777"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Sharma, D. (2015). Growth response of sandalwood (Santalum album) under Agro-Forestry practices &amp; tending operation in SFRTI campus, Raipur, Chhattisgarh. International Journal of Scientific Progress and Research (IJSPR), 07(01), 17-21.</w:t>
      </w:r>
    </w:p>
    <w:p w14:paraId="7FB3C108" w14:textId="17E49709"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Srikantaprasad, D., Gowda, A. P. M., Pushpa, T. N., Thimmegowda, M. N., Umesha, K., Ravikumar, R. L., &amp; Prasanna, K. T. (2022). Identification of suitable host for sandalwood cultivation in Northern dry zone of Karnataka. Industrial Crops and Products, 182, 114874. </w:t>
      </w:r>
      <w:hyperlink r:id="rId20" w:history="1">
        <w:r w:rsidRPr="00C430E2">
          <w:rPr>
            <w:rStyle w:val="Hyperlink"/>
            <w:rFonts w:ascii="Times New Roman" w:hAnsi="Times New Roman" w:cs="Times New Roman"/>
            <w:sz w:val="20"/>
            <w:szCs w:val="20"/>
          </w:rPr>
          <w:t>https://doi.org/10.1016/j.indcrop.2022.114874</w:t>
        </w:r>
      </w:hyperlink>
    </w:p>
    <w:p w14:paraId="26AF0480" w14:textId="3BA9E49A"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Srinivasan, V. V., Sivaramakrishnan, V. R., Rangaswamy, C. R., Anantha-padmanabha, H. S. &amp; Shankaranarayana,  K. H. (1992). Sandal (</w:t>
      </w:r>
      <w:r w:rsidRPr="00C430E2">
        <w:rPr>
          <w:rFonts w:ascii="Times New Roman" w:hAnsi="Times New Roman" w:cs="Times New Roman"/>
          <w:i/>
          <w:iCs/>
          <w:color w:val="000000" w:themeColor="text1"/>
          <w:sz w:val="20"/>
          <w:szCs w:val="20"/>
        </w:rPr>
        <w:t>Santalum album</w:t>
      </w:r>
      <w:r w:rsidRPr="00C430E2">
        <w:rPr>
          <w:rFonts w:ascii="Times New Roman" w:hAnsi="Times New Roman" w:cs="Times New Roman"/>
          <w:color w:val="000000" w:themeColor="text1"/>
          <w:sz w:val="20"/>
          <w:szCs w:val="20"/>
        </w:rPr>
        <w:t xml:space="preserve"> L.). Indian Council of Forestry Research and Education, Dehradun, p.233.</w:t>
      </w:r>
    </w:p>
    <w:p w14:paraId="5CD15AA1" w14:textId="7D9793A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val="es-US"/>
        </w:rPr>
        <w:t xml:space="preserve">Stagnari, F., Maggio, A., Galieni, A., &amp; Pisante, M. (2017). Multiple benefits of legumes for agriculture sustainability: An overview. Chemical and Biological Technologies in Agriculture, 4(2), Article 2. </w:t>
      </w:r>
      <w:hyperlink r:id="rId21" w:history="1">
        <w:r w:rsidRPr="00C430E2">
          <w:rPr>
            <w:rStyle w:val="Hyperlink"/>
            <w:rFonts w:ascii="Times New Roman" w:hAnsi="Times New Roman" w:cs="Times New Roman"/>
            <w:sz w:val="20"/>
            <w:szCs w:val="20"/>
            <w:lang w:val="es-US"/>
          </w:rPr>
          <w:t>https://doi.org/10.1186/s40538-016-0085-1</w:t>
        </w:r>
      </w:hyperlink>
    </w:p>
    <w:p w14:paraId="387F651B" w14:textId="1146C26E" w:rsidR="00C430E2" w:rsidRPr="00C430E2" w:rsidRDefault="00C430E2"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r w:rsidRPr="00C430E2">
        <w:rPr>
          <w:rFonts w:ascii="Times New Roman" w:hAnsi="Times New Roman" w:cs="Times New Roman"/>
          <w:color w:val="000000" w:themeColor="text1"/>
          <w:sz w:val="20"/>
          <w:szCs w:val="20"/>
        </w:rPr>
        <w:t xml:space="preserve">Subbarao, N. S., Yadav, D., Padmanabha, A., Nagaveni, C. S. Singh, &amp; Kavimandan, S. K. (1990). Nodule haustoria and microbial features of Cajanus and Pongamia parasitized by sandal (sandal wood). Plant and Soil, 128, 249-256. </w:t>
      </w:r>
      <w:hyperlink r:id="rId22" w:history="1">
        <w:r w:rsidRPr="00C430E2">
          <w:rPr>
            <w:rStyle w:val="Hyperlink"/>
            <w:rFonts w:ascii="Times New Roman" w:hAnsi="Times New Roman" w:cs="Times New Roman"/>
            <w:sz w:val="20"/>
            <w:szCs w:val="20"/>
          </w:rPr>
          <w:t>https://doi.org/10.1007/BF00011116</w:t>
        </w:r>
      </w:hyperlink>
    </w:p>
    <w:p w14:paraId="33CA2BAF" w14:textId="4B91EEB5" w:rsidR="0081328B" w:rsidRPr="00C430E2" w:rsidRDefault="0081328B"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r w:rsidRPr="00C430E2">
        <w:rPr>
          <w:rFonts w:ascii="Times New Roman" w:hAnsi="Times New Roman" w:cs="Times New Roman"/>
          <w:color w:val="000000" w:themeColor="text1"/>
          <w:sz w:val="20"/>
          <w:szCs w:val="20"/>
        </w:rPr>
        <w:t xml:space="preserve">Surata, I. K., Harisetijono, H. &amp; Sinaga, M. (1997). </w:t>
      </w:r>
      <w:r w:rsidRPr="00C430E2">
        <w:rPr>
          <w:rFonts w:ascii="Times New Roman" w:eastAsia="Times New Roman" w:hAnsi="Times New Roman" w:cs="Times New Roman"/>
          <w:color w:val="000000" w:themeColor="text1"/>
          <w:kern w:val="36"/>
          <w:sz w:val="20"/>
          <w:szCs w:val="20"/>
          <w:lang w:bidi="hi-IN"/>
        </w:rPr>
        <w:t>Effect of intercropping on growth of sandalwood (</w:t>
      </w:r>
      <w:r w:rsidRPr="00C430E2">
        <w:rPr>
          <w:rFonts w:ascii="Times New Roman" w:eastAsia="Times New Roman" w:hAnsi="Times New Roman" w:cs="Times New Roman"/>
          <w:i/>
          <w:iCs/>
          <w:color w:val="000000" w:themeColor="text1"/>
          <w:kern w:val="36"/>
          <w:sz w:val="20"/>
          <w:szCs w:val="20"/>
          <w:lang w:bidi="hi-IN"/>
        </w:rPr>
        <w:t>Santalum album </w:t>
      </w:r>
      <w:r w:rsidRPr="00C430E2">
        <w:rPr>
          <w:rFonts w:ascii="Times New Roman" w:eastAsia="Times New Roman" w:hAnsi="Times New Roman" w:cs="Times New Roman"/>
          <w:color w:val="000000" w:themeColor="text1"/>
          <w:kern w:val="36"/>
          <w:sz w:val="20"/>
          <w:szCs w:val="20"/>
          <w:lang w:bidi="hi-IN"/>
        </w:rPr>
        <w:t>L.).</w:t>
      </w:r>
      <w:r w:rsidRPr="00C430E2">
        <w:rPr>
          <w:rFonts w:ascii="Times New Roman" w:hAnsi="Times New Roman" w:cs="Times New Roman"/>
          <w:color w:val="000000" w:themeColor="text1"/>
          <w:sz w:val="20"/>
          <w:szCs w:val="20"/>
        </w:rPr>
        <w:t xml:space="preserve"> </w:t>
      </w:r>
      <w:hyperlink r:id="rId23" w:history="1">
        <w:r w:rsidRPr="00C430E2">
          <w:rPr>
            <w:rFonts w:ascii="Times New Roman" w:eastAsia="Times New Roman" w:hAnsi="Times New Roman" w:cs="Times New Roman"/>
            <w:i/>
            <w:iCs/>
            <w:color w:val="000000" w:themeColor="text1"/>
            <w:sz w:val="20"/>
            <w:szCs w:val="20"/>
            <w:lang w:val="es-US" w:bidi="hi-IN"/>
          </w:rPr>
          <w:t>Santalum</w:t>
        </w:r>
      </w:hyperlink>
      <w:r w:rsidRPr="00C430E2">
        <w:rPr>
          <w:rFonts w:ascii="Times New Roman" w:eastAsia="Times New Roman" w:hAnsi="Times New Roman" w:cs="Times New Roman"/>
          <w:i/>
          <w:iCs/>
          <w:color w:val="000000" w:themeColor="text1"/>
          <w:sz w:val="20"/>
          <w:szCs w:val="20"/>
          <w:lang w:val="es-US" w:bidi="hi-IN"/>
        </w:rPr>
        <w:t xml:space="preserve">, </w:t>
      </w:r>
      <w:r w:rsidRPr="00C430E2">
        <w:rPr>
          <w:rFonts w:ascii="Times New Roman" w:eastAsia="Times New Roman" w:hAnsi="Times New Roman" w:cs="Times New Roman"/>
          <w:color w:val="000000" w:themeColor="text1"/>
          <w:sz w:val="20"/>
          <w:szCs w:val="20"/>
          <w:lang w:val="es-US" w:bidi="hi-IN"/>
        </w:rPr>
        <w:t>20 (9), 17-24.</w:t>
      </w:r>
    </w:p>
    <w:p w14:paraId="506F4337" w14:textId="13F586E5" w:rsidR="00A249C3" w:rsidRDefault="00A249C3"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val="es-US"/>
        </w:rPr>
      </w:pPr>
      <w:r w:rsidRPr="00A249C3">
        <w:rPr>
          <w:rFonts w:ascii="Times New Roman" w:hAnsi="Times New Roman" w:cs="Times New Roman"/>
          <w:color w:val="000000" w:themeColor="text1"/>
          <w:sz w:val="20"/>
          <w:szCs w:val="20"/>
          <w:lang w:val="es-US"/>
        </w:rPr>
        <w:t xml:space="preserve">Vasconcelos, M. W., Grusak, M. A., Pinto, E., Gomes, A., Ferreira, H., Balázs, B., Centofanti, T., Ntatsi, G., Savvas, D., Karkanis, A., Williams, M., Vandenberg, A., Toma, L., Shrestha, S., Akaichi, F., Barrios, C. O., Gruber, S., James, E. K., Maluk, M., ... Iannetta, P. (2020). The biology of legumes and their agronomic, economic, and social impact: Economic impact of legume. In M. Hasanuzzaman, S. Araújo, &amp; S. S. Gill (Eds.), *The Plant Family Fabaceae: Biology and physiological responses to environmental stresses* (pp. 3-25). Springer. </w:t>
      </w:r>
      <w:hyperlink r:id="rId24" w:history="1">
        <w:r w:rsidRPr="00E23629">
          <w:rPr>
            <w:rStyle w:val="Hyperlink"/>
            <w:rFonts w:ascii="Times New Roman" w:hAnsi="Times New Roman" w:cs="Times New Roman"/>
            <w:sz w:val="20"/>
            <w:szCs w:val="20"/>
            <w:lang w:val="es-US"/>
          </w:rPr>
          <w:t>https://doi.org/10.1007/978-981-15-4752-2_1</w:t>
        </w:r>
      </w:hyperlink>
    </w:p>
    <w:p w14:paraId="4C05029B" w14:textId="49AE2EDF" w:rsidR="0054387D" w:rsidRPr="001A326A" w:rsidRDefault="00BC748C" w:rsidP="009F2752">
      <w:pPr>
        <w:autoSpaceDE w:val="0"/>
        <w:autoSpaceDN w:val="0"/>
        <w:adjustRightInd w:val="0"/>
        <w:spacing w:after="0" w:line="360" w:lineRule="auto"/>
        <w:jc w:val="both"/>
        <w:rPr>
          <w:rFonts w:ascii="Times New Roman" w:hAnsi="Times New Roman" w:cs="Times New Roman"/>
          <w:color w:val="FF0000"/>
          <w:sz w:val="20"/>
          <w:szCs w:val="20"/>
          <w:shd w:val="clear" w:color="auto" w:fill="FFFFFF"/>
        </w:rPr>
      </w:pPr>
      <w:r w:rsidRPr="001A326A">
        <w:rPr>
          <w:rFonts w:ascii="Times New Roman" w:hAnsi="Times New Roman" w:cs="Times New Roman"/>
          <w:color w:val="FF0000"/>
          <w:sz w:val="20"/>
          <w:szCs w:val="20"/>
          <w:shd w:val="clear" w:color="auto" w:fill="FFFFFF"/>
        </w:rPr>
        <w:t xml:space="preserve">Viswanath, S., &amp; Chakraborty, S. (2022). Indian Sandalwood Cultivation Prospects in India. In A. N. Arunkumar, G. Joshi, R. R. Warrier, &amp; N. N. Karaba (Eds.), Indian Sandalwood (pp. 281-292). Springer, Singapore. </w:t>
      </w:r>
      <w:hyperlink r:id="rId25" w:history="1">
        <w:r w:rsidRPr="001A326A">
          <w:rPr>
            <w:rStyle w:val="Hyperlink"/>
            <w:rFonts w:ascii="Times New Roman" w:hAnsi="Times New Roman" w:cs="Times New Roman"/>
            <w:color w:val="FF0000"/>
            <w:sz w:val="20"/>
            <w:szCs w:val="20"/>
            <w:shd w:val="clear" w:color="auto" w:fill="FFFFFF"/>
          </w:rPr>
          <w:t>https://doi.org/10.1007/978-981-16-6565-3_19</w:t>
        </w:r>
      </w:hyperlink>
    </w:p>
    <w:p w14:paraId="717B67AC" w14:textId="77777777" w:rsidR="00BC748C" w:rsidRPr="004C2CD4" w:rsidRDefault="00BC748C" w:rsidP="009F2752">
      <w:pPr>
        <w:autoSpaceDE w:val="0"/>
        <w:autoSpaceDN w:val="0"/>
        <w:adjustRightInd w:val="0"/>
        <w:spacing w:after="0" w:line="360" w:lineRule="auto"/>
        <w:jc w:val="both"/>
        <w:rPr>
          <w:rFonts w:ascii="Times New Roman" w:eastAsia="CIDFont+F1" w:hAnsi="Times New Roman" w:cs="Times New Roman"/>
          <w:color w:val="000000" w:themeColor="text1"/>
          <w:sz w:val="24"/>
          <w:szCs w:val="24"/>
          <w:lang w:bidi="hi-IN"/>
        </w:rPr>
      </w:pPr>
    </w:p>
    <w:sectPr w:rsidR="00BC748C" w:rsidRPr="004C2CD4" w:rsidSect="00F435D3">
      <w:headerReference w:type="even" r:id="rId26"/>
      <w:headerReference w:type="default" r:id="rId27"/>
      <w:footerReference w:type="even" r:id="rId28"/>
      <w:footerReference w:type="default" r:id="rId29"/>
      <w:headerReference w:type="first" r:id="rId30"/>
      <w:footerReference w:type="first" r:id="rId31"/>
      <w:pgSz w:w="11906" w:h="16838" w:code="9"/>
      <w:pgMar w:top="540" w:right="1376"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948B" w14:textId="77777777" w:rsidR="0086462D" w:rsidRDefault="0086462D" w:rsidP="00B64954">
      <w:pPr>
        <w:spacing w:after="0" w:line="240" w:lineRule="auto"/>
      </w:pPr>
      <w:r>
        <w:separator/>
      </w:r>
    </w:p>
  </w:endnote>
  <w:endnote w:type="continuationSeparator" w:id="0">
    <w:p w14:paraId="5D8B2F97" w14:textId="77777777" w:rsidR="0086462D" w:rsidRDefault="0086462D" w:rsidP="00B6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15DC" w14:textId="77777777" w:rsidR="007663E6" w:rsidRDefault="0076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7CBC" w14:textId="77777777" w:rsidR="007663E6" w:rsidRDefault="00766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6FD5" w14:textId="77777777" w:rsidR="007663E6" w:rsidRDefault="0076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8BDB" w14:textId="77777777" w:rsidR="0086462D" w:rsidRDefault="0086462D" w:rsidP="00B64954">
      <w:pPr>
        <w:spacing w:after="0" w:line="240" w:lineRule="auto"/>
      </w:pPr>
      <w:r>
        <w:separator/>
      </w:r>
    </w:p>
  </w:footnote>
  <w:footnote w:type="continuationSeparator" w:id="0">
    <w:p w14:paraId="01121886" w14:textId="77777777" w:rsidR="0086462D" w:rsidRDefault="0086462D" w:rsidP="00B6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6DD" w14:textId="79C45A54" w:rsidR="007663E6" w:rsidRDefault="004B042D">
    <w:pPr>
      <w:pStyle w:val="Header"/>
    </w:pPr>
    <w:r>
      <w:rPr>
        <w:noProof/>
      </w:rPr>
      <w:pict w14:anchorId="71698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6" o:spid="_x0000_s2050" type="#_x0000_t136" style="position:absolute;margin-left:0;margin-top:0;width:539.1pt;height:10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DB0F" w14:textId="2C1A2AA0" w:rsidR="007663E6" w:rsidRDefault="004B042D">
    <w:pPr>
      <w:pStyle w:val="Header"/>
    </w:pPr>
    <w:r>
      <w:rPr>
        <w:noProof/>
      </w:rPr>
      <w:pict w14:anchorId="5D3A9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7" o:spid="_x0000_s2051" type="#_x0000_t136" style="position:absolute;margin-left:0;margin-top:0;width:539.1pt;height:10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4239" w14:textId="4174DD53" w:rsidR="007663E6" w:rsidRDefault="004B042D">
    <w:pPr>
      <w:pStyle w:val="Header"/>
    </w:pPr>
    <w:r>
      <w:rPr>
        <w:noProof/>
      </w:rPr>
      <w:pict w14:anchorId="3483D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5" o:spid="_x0000_s2049" type="#_x0000_t136" style="position:absolute;margin-left:0;margin-top:0;width:539.1pt;height:10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638B"/>
    <w:multiLevelType w:val="hybridMultilevel"/>
    <w:tmpl w:val="8584B15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A962C8"/>
    <w:multiLevelType w:val="hybridMultilevel"/>
    <w:tmpl w:val="DE88B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E136EF"/>
    <w:multiLevelType w:val="hybridMultilevel"/>
    <w:tmpl w:val="DFB23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E7AFA"/>
    <w:multiLevelType w:val="hybridMultilevel"/>
    <w:tmpl w:val="3F88A34E"/>
    <w:lvl w:ilvl="0" w:tplc="7CA414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C2632"/>
    <w:multiLevelType w:val="hybridMultilevel"/>
    <w:tmpl w:val="BA58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63B6"/>
    <w:multiLevelType w:val="hybridMultilevel"/>
    <w:tmpl w:val="A92E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tTAzsrAwNDE1NDBX0lEKTi0uzszPAykwrAUAqMTd5ywAAAA="/>
  </w:docVars>
  <w:rsids>
    <w:rsidRoot w:val="00EC168B"/>
    <w:rsid w:val="000003DA"/>
    <w:rsid w:val="00002088"/>
    <w:rsid w:val="00002B85"/>
    <w:rsid w:val="00002BB7"/>
    <w:rsid w:val="000058CA"/>
    <w:rsid w:val="00007435"/>
    <w:rsid w:val="000116B0"/>
    <w:rsid w:val="00012D0C"/>
    <w:rsid w:val="0001641C"/>
    <w:rsid w:val="00017CA9"/>
    <w:rsid w:val="000232BA"/>
    <w:rsid w:val="00032A58"/>
    <w:rsid w:val="00035794"/>
    <w:rsid w:val="00035C09"/>
    <w:rsid w:val="00045128"/>
    <w:rsid w:val="00057945"/>
    <w:rsid w:val="000644FF"/>
    <w:rsid w:val="00064621"/>
    <w:rsid w:val="00065764"/>
    <w:rsid w:val="00067289"/>
    <w:rsid w:val="00070526"/>
    <w:rsid w:val="00070C31"/>
    <w:rsid w:val="00072583"/>
    <w:rsid w:val="00074290"/>
    <w:rsid w:val="00080212"/>
    <w:rsid w:val="00083101"/>
    <w:rsid w:val="000831CC"/>
    <w:rsid w:val="000850B5"/>
    <w:rsid w:val="000853E8"/>
    <w:rsid w:val="00085762"/>
    <w:rsid w:val="00085F13"/>
    <w:rsid w:val="00086BAB"/>
    <w:rsid w:val="00090FC6"/>
    <w:rsid w:val="00093937"/>
    <w:rsid w:val="000951AB"/>
    <w:rsid w:val="00096700"/>
    <w:rsid w:val="000A337F"/>
    <w:rsid w:val="000A3C7F"/>
    <w:rsid w:val="000A4735"/>
    <w:rsid w:val="000A4FE9"/>
    <w:rsid w:val="000A58F8"/>
    <w:rsid w:val="000A6CF7"/>
    <w:rsid w:val="000B21CC"/>
    <w:rsid w:val="000B2897"/>
    <w:rsid w:val="000C5966"/>
    <w:rsid w:val="000C7601"/>
    <w:rsid w:val="000D0304"/>
    <w:rsid w:val="000D0A02"/>
    <w:rsid w:val="000D1751"/>
    <w:rsid w:val="000D24A6"/>
    <w:rsid w:val="000D73AD"/>
    <w:rsid w:val="000E078A"/>
    <w:rsid w:val="000E1C1D"/>
    <w:rsid w:val="000E1EF9"/>
    <w:rsid w:val="000E49D7"/>
    <w:rsid w:val="000E60F1"/>
    <w:rsid w:val="000E6179"/>
    <w:rsid w:val="000F1417"/>
    <w:rsid w:val="000F2C4D"/>
    <w:rsid w:val="000F441D"/>
    <w:rsid w:val="000F4555"/>
    <w:rsid w:val="000F465C"/>
    <w:rsid w:val="000F5A5D"/>
    <w:rsid w:val="000F785A"/>
    <w:rsid w:val="00100624"/>
    <w:rsid w:val="00100ABD"/>
    <w:rsid w:val="001022C3"/>
    <w:rsid w:val="001075F5"/>
    <w:rsid w:val="00107CAA"/>
    <w:rsid w:val="00110B28"/>
    <w:rsid w:val="001113C1"/>
    <w:rsid w:val="00115F1E"/>
    <w:rsid w:val="00116AA5"/>
    <w:rsid w:val="0012022E"/>
    <w:rsid w:val="0012366F"/>
    <w:rsid w:val="00124536"/>
    <w:rsid w:val="00126F85"/>
    <w:rsid w:val="00133D38"/>
    <w:rsid w:val="00136014"/>
    <w:rsid w:val="0013660A"/>
    <w:rsid w:val="00141F75"/>
    <w:rsid w:val="001422F2"/>
    <w:rsid w:val="001430DB"/>
    <w:rsid w:val="00143113"/>
    <w:rsid w:val="0014322C"/>
    <w:rsid w:val="001446D2"/>
    <w:rsid w:val="001457ED"/>
    <w:rsid w:val="001510E5"/>
    <w:rsid w:val="00151501"/>
    <w:rsid w:val="0015354D"/>
    <w:rsid w:val="001554D7"/>
    <w:rsid w:val="00155EBF"/>
    <w:rsid w:val="00156A32"/>
    <w:rsid w:val="00162458"/>
    <w:rsid w:val="001628A1"/>
    <w:rsid w:val="00164594"/>
    <w:rsid w:val="00165A33"/>
    <w:rsid w:val="00177333"/>
    <w:rsid w:val="00187165"/>
    <w:rsid w:val="00187AEF"/>
    <w:rsid w:val="0019053B"/>
    <w:rsid w:val="00190D2D"/>
    <w:rsid w:val="00192604"/>
    <w:rsid w:val="00195B54"/>
    <w:rsid w:val="00197F70"/>
    <w:rsid w:val="001A326A"/>
    <w:rsid w:val="001C1F43"/>
    <w:rsid w:val="001C30A9"/>
    <w:rsid w:val="001C50BB"/>
    <w:rsid w:val="001C574E"/>
    <w:rsid w:val="001D09EC"/>
    <w:rsid w:val="001D16CD"/>
    <w:rsid w:val="001D1F1B"/>
    <w:rsid w:val="001D2BB3"/>
    <w:rsid w:val="001D35C7"/>
    <w:rsid w:val="001D398B"/>
    <w:rsid w:val="001E0FAA"/>
    <w:rsid w:val="001E24FD"/>
    <w:rsid w:val="001E3372"/>
    <w:rsid w:val="001E4162"/>
    <w:rsid w:val="001E5FA9"/>
    <w:rsid w:val="001F1773"/>
    <w:rsid w:val="001F1FF1"/>
    <w:rsid w:val="001F2477"/>
    <w:rsid w:val="001F2ACD"/>
    <w:rsid w:val="001F4EC7"/>
    <w:rsid w:val="001F5AA5"/>
    <w:rsid w:val="00201559"/>
    <w:rsid w:val="00202A8D"/>
    <w:rsid w:val="002034A8"/>
    <w:rsid w:val="00207339"/>
    <w:rsid w:val="00214BE1"/>
    <w:rsid w:val="00216219"/>
    <w:rsid w:val="00222217"/>
    <w:rsid w:val="00226F4A"/>
    <w:rsid w:val="00231843"/>
    <w:rsid w:val="0023650E"/>
    <w:rsid w:val="00246BEC"/>
    <w:rsid w:val="0024768D"/>
    <w:rsid w:val="00251231"/>
    <w:rsid w:val="002523E0"/>
    <w:rsid w:val="002523E1"/>
    <w:rsid w:val="00252827"/>
    <w:rsid w:val="00252DE1"/>
    <w:rsid w:val="0025475D"/>
    <w:rsid w:val="00256D6E"/>
    <w:rsid w:val="0026065C"/>
    <w:rsid w:val="002622BF"/>
    <w:rsid w:val="0026530E"/>
    <w:rsid w:val="00274F25"/>
    <w:rsid w:val="00275B99"/>
    <w:rsid w:val="00277B30"/>
    <w:rsid w:val="002806B3"/>
    <w:rsid w:val="00280E22"/>
    <w:rsid w:val="00281BEB"/>
    <w:rsid w:val="00284C43"/>
    <w:rsid w:val="00285F56"/>
    <w:rsid w:val="00287243"/>
    <w:rsid w:val="00292C0E"/>
    <w:rsid w:val="00293CD3"/>
    <w:rsid w:val="0029449D"/>
    <w:rsid w:val="00297368"/>
    <w:rsid w:val="002A4EA6"/>
    <w:rsid w:val="002B1E0E"/>
    <w:rsid w:val="002B2DE0"/>
    <w:rsid w:val="002B3002"/>
    <w:rsid w:val="002B33AF"/>
    <w:rsid w:val="002C2517"/>
    <w:rsid w:val="002C3173"/>
    <w:rsid w:val="002C35AA"/>
    <w:rsid w:val="002C3F2D"/>
    <w:rsid w:val="002C4A9E"/>
    <w:rsid w:val="002C642F"/>
    <w:rsid w:val="002C6DE2"/>
    <w:rsid w:val="002D1DD2"/>
    <w:rsid w:val="002D1E82"/>
    <w:rsid w:val="002D3886"/>
    <w:rsid w:val="002D4EB3"/>
    <w:rsid w:val="002D4ED3"/>
    <w:rsid w:val="002E02D8"/>
    <w:rsid w:val="002E1D5F"/>
    <w:rsid w:val="002E1F8F"/>
    <w:rsid w:val="002E258D"/>
    <w:rsid w:val="002E620B"/>
    <w:rsid w:val="002F0BDF"/>
    <w:rsid w:val="002F26DD"/>
    <w:rsid w:val="002F391C"/>
    <w:rsid w:val="002F42B8"/>
    <w:rsid w:val="002F4B10"/>
    <w:rsid w:val="002F582A"/>
    <w:rsid w:val="002F5B88"/>
    <w:rsid w:val="002F696E"/>
    <w:rsid w:val="002F7B59"/>
    <w:rsid w:val="002F7BE9"/>
    <w:rsid w:val="00302842"/>
    <w:rsid w:val="003101D8"/>
    <w:rsid w:val="00311EFF"/>
    <w:rsid w:val="003125A5"/>
    <w:rsid w:val="00315145"/>
    <w:rsid w:val="0031556E"/>
    <w:rsid w:val="00315A64"/>
    <w:rsid w:val="00315E6A"/>
    <w:rsid w:val="00316ADD"/>
    <w:rsid w:val="0032279A"/>
    <w:rsid w:val="00324018"/>
    <w:rsid w:val="003271B9"/>
    <w:rsid w:val="00333D50"/>
    <w:rsid w:val="00333DB2"/>
    <w:rsid w:val="003346F5"/>
    <w:rsid w:val="00335422"/>
    <w:rsid w:val="003362FC"/>
    <w:rsid w:val="00342D7F"/>
    <w:rsid w:val="00343ADF"/>
    <w:rsid w:val="0034598F"/>
    <w:rsid w:val="0034721B"/>
    <w:rsid w:val="00351259"/>
    <w:rsid w:val="00351E95"/>
    <w:rsid w:val="003715E8"/>
    <w:rsid w:val="003724C7"/>
    <w:rsid w:val="003729C5"/>
    <w:rsid w:val="00372F03"/>
    <w:rsid w:val="00374948"/>
    <w:rsid w:val="0037497C"/>
    <w:rsid w:val="0037578C"/>
    <w:rsid w:val="00377CA5"/>
    <w:rsid w:val="00380256"/>
    <w:rsid w:val="00382AA8"/>
    <w:rsid w:val="00392BDC"/>
    <w:rsid w:val="003955DB"/>
    <w:rsid w:val="003A26F1"/>
    <w:rsid w:val="003A4870"/>
    <w:rsid w:val="003A5B24"/>
    <w:rsid w:val="003B0A0A"/>
    <w:rsid w:val="003B198B"/>
    <w:rsid w:val="003B2271"/>
    <w:rsid w:val="003B2498"/>
    <w:rsid w:val="003B3055"/>
    <w:rsid w:val="003C3D6E"/>
    <w:rsid w:val="003C542E"/>
    <w:rsid w:val="003C637D"/>
    <w:rsid w:val="003C7EF4"/>
    <w:rsid w:val="003D2D4A"/>
    <w:rsid w:val="003D37F1"/>
    <w:rsid w:val="003D59C4"/>
    <w:rsid w:val="003D5ADB"/>
    <w:rsid w:val="003D62F7"/>
    <w:rsid w:val="003D6391"/>
    <w:rsid w:val="003E09D6"/>
    <w:rsid w:val="003E14FE"/>
    <w:rsid w:val="003E6382"/>
    <w:rsid w:val="003E7286"/>
    <w:rsid w:val="003F0E41"/>
    <w:rsid w:val="003F1A9D"/>
    <w:rsid w:val="003F638E"/>
    <w:rsid w:val="003F664B"/>
    <w:rsid w:val="004007B8"/>
    <w:rsid w:val="004030AC"/>
    <w:rsid w:val="00410805"/>
    <w:rsid w:val="00412D38"/>
    <w:rsid w:val="00413EE9"/>
    <w:rsid w:val="0041596B"/>
    <w:rsid w:val="00420945"/>
    <w:rsid w:val="004249E7"/>
    <w:rsid w:val="00425738"/>
    <w:rsid w:val="00426D61"/>
    <w:rsid w:val="004302E5"/>
    <w:rsid w:val="004322CB"/>
    <w:rsid w:val="004326C0"/>
    <w:rsid w:val="00433E00"/>
    <w:rsid w:val="004346A6"/>
    <w:rsid w:val="00434EAF"/>
    <w:rsid w:val="004354BE"/>
    <w:rsid w:val="00435F3A"/>
    <w:rsid w:val="00440B74"/>
    <w:rsid w:val="004410BE"/>
    <w:rsid w:val="004446A1"/>
    <w:rsid w:val="00444B3F"/>
    <w:rsid w:val="00446777"/>
    <w:rsid w:val="004479E0"/>
    <w:rsid w:val="004510FE"/>
    <w:rsid w:val="0045184A"/>
    <w:rsid w:val="0045282F"/>
    <w:rsid w:val="0045768F"/>
    <w:rsid w:val="004578B6"/>
    <w:rsid w:val="00457FC8"/>
    <w:rsid w:val="00463E73"/>
    <w:rsid w:val="00466675"/>
    <w:rsid w:val="004704A0"/>
    <w:rsid w:val="004723C8"/>
    <w:rsid w:val="004742D8"/>
    <w:rsid w:val="004756E8"/>
    <w:rsid w:val="00482102"/>
    <w:rsid w:val="004831F4"/>
    <w:rsid w:val="00485584"/>
    <w:rsid w:val="004855CD"/>
    <w:rsid w:val="004856C6"/>
    <w:rsid w:val="004863F9"/>
    <w:rsid w:val="004909A6"/>
    <w:rsid w:val="004912D3"/>
    <w:rsid w:val="00491F7E"/>
    <w:rsid w:val="004920A9"/>
    <w:rsid w:val="00495982"/>
    <w:rsid w:val="00497723"/>
    <w:rsid w:val="004A1678"/>
    <w:rsid w:val="004A2CC2"/>
    <w:rsid w:val="004A5019"/>
    <w:rsid w:val="004A5862"/>
    <w:rsid w:val="004A675F"/>
    <w:rsid w:val="004A6C88"/>
    <w:rsid w:val="004B042D"/>
    <w:rsid w:val="004B0E50"/>
    <w:rsid w:val="004B18FE"/>
    <w:rsid w:val="004B21DA"/>
    <w:rsid w:val="004B5F75"/>
    <w:rsid w:val="004C2CD4"/>
    <w:rsid w:val="004D2DD8"/>
    <w:rsid w:val="004D37AA"/>
    <w:rsid w:val="004D5FD0"/>
    <w:rsid w:val="004E5B7F"/>
    <w:rsid w:val="004E5BF6"/>
    <w:rsid w:val="004E7108"/>
    <w:rsid w:val="004F3229"/>
    <w:rsid w:val="004F5F07"/>
    <w:rsid w:val="004F6503"/>
    <w:rsid w:val="00506DAE"/>
    <w:rsid w:val="00520A75"/>
    <w:rsid w:val="005211D2"/>
    <w:rsid w:val="00524248"/>
    <w:rsid w:val="005244CA"/>
    <w:rsid w:val="00525749"/>
    <w:rsid w:val="00532A1B"/>
    <w:rsid w:val="0053495C"/>
    <w:rsid w:val="00534D1E"/>
    <w:rsid w:val="005351E8"/>
    <w:rsid w:val="005363BD"/>
    <w:rsid w:val="005365F7"/>
    <w:rsid w:val="00537762"/>
    <w:rsid w:val="00537A13"/>
    <w:rsid w:val="0054180E"/>
    <w:rsid w:val="0054387D"/>
    <w:rsid w:val="00545CFB"/>
    <w:rsid w:val="005471A0"/>
    <w:rsid w:val="00550005"/>
    <w:rsid w:val="00550161"/>
    <w:rsid w:val="00550CCA"/>
    <w:rsid w:val="005511F7"/>
    <w:rsid w:val="00551EC3"/>
    <w:rsid w:val="005528CC"/>
    <w:rsid w:val="00553C52"/>
    <w:rsid w:val="0055514C"/>
    <w:rsid w:val="00560D9C"/>
    <w:rsid w:val="00561A24"/>
    <w:rsid w:val="00562550"/>
    <w:rsid w:val="005641D4"/>
    <w:rsid w:val="005647FE"/>
    <w:rsid w:val="00566A5F"/>
    <w:rsid w:val="00566BB9"/>
    <w:rsid w:val="0057210D"/>
    <w:rsid w:val="00572E1D"/>
    <w:rsid w:val="00573F73"/>
    <w:rsid w:val="00576ADA"/>
    <w:rsid w:val="0058012F"/>
    <w:rsid w:val="00580EB0"/>
    <w:rsid w:val="00581C30"/>
    <w:rsid w:val="0058238F"/>
    <w:rsid w:val="00584010"/>
    <w:rsid w:val="00585321"/>
    <w:rsid w:val="005910F6"/>
    <w:rsid w:val="0059257A"/>
    <w:rsid w:val="00594DCE"/>
    <w:rsid w:val="0059724A"/>
    <w:rsid w:val="00597DA7"/>
    <w:rsid w:val="005A31DF"/>
    <w:rsid w:val="005A38FA"/>
    <w:rsid w:val="005A5210"/>
    <w:rsid w:val="005A6811"/>
    <w:rsid w:val="005B0DB3"/>
    <w:rsid w:val="005B16C5"/>
    <w:rsid w:val="005B29B8"/>
    <w:rsid w:val="005B4C03"/>
    <w:rsid w:val="005B67B8"/>
    <w:rsid w:val="005B74F1"/>
    <w:rsid w:val="005C2176"/>
    <w:rsid w:val="005C710B"/>
    <w:rsid w:val="005C7D32"/>
    <w:rsid w:val="005D0BD8"/>
    <w:rsid w:val="005D1462"/>
    <w:rsid w:val="005D1E4C"/>
    <w:rsid w:val="005D31C5"/>
    <w:rsid w:val="005D340E"/>
    <w:rsid w:val="005D35A5"/>
    <w:rsid w:val="005E1F14"/>
    <w:rsid w:val="005E63F2"/>
    <w:rsid w:val="005E77C4"/>
    <w:rsid w:val="005F31D8"/>
    <w:rsid w:val="0060236F"/>
    <w:rsid w:val="006026B4"/>
    <w:rsid w:val="00603EAF"/>
    <w:rsid w:val="00604C1C"/>
    <w:rsid w:val="00604F5F"/>
    <w:rsid w:val="00607D33"/>
    <w:rsid w:val="00615910"/>
    <w:rsid w:val="006202AE"/>
    <w:rsid w:val="006212D8"/>
    <w:rsid w:val="006236ED"/>
    <w:rsid w:val="00625D1F"/>
    <w:rsid w:val="00627C4F"/>
    <w:rsid w:val="00627F61"/>
    <w:rsid w:val="00630636"/>
    <w:rsid w:val="0063098C"/>
    <w:rsid w:val="0063129A"/>
    <w:rsid w:val="0063188C"/>
    <w:rsid w:val="0064348A"/>
    <w:rsid w:val="006434A0"/>
    <w:rsid w:val="00645E11"/>
    <w:rsid w:val="00647C99"/>
    <w:rsid w:val="00652796"/>
    <w:rsid w:val="00653584"/>
    <w:rsid w:val="006571F9"/>
    <w:rsid w:val="00657CE8"/>
    <w:rsid w:val="00660732"/>
    <w:rsid w:val="00661671"/>
    <w:rsid w:val="00662E7C"/>
    <w:rsid w:val="006664FC"/>
    <w:rsid w:val="006671BB"/>
    <w:rsid w:val="00670B11"/>
    <w:rsid w:val="00671169"/>
    <w:rsid w:val="00672DDB"/>
    <w:rsid w:val="006737E7"/>
    <w:rsid w:val="00674382"/>
    <w:rsid w:val="006769E1"/>
    <w:rsid w:val="006819D6"/>
    <w:rsid w:val="006833EB"/>
    <w:rsid w:val="00684304"/>
    <w:rsid w:val="00684AF5"/>
    <w:rsid w:val="00686200"/>
    <w:rsid w:val="006950AC"/>
    <w:rsid w:val="00695442"/>
    <w:rsid w:val="00695CCD"/>
    <w:rsid w:val="00696CD7"/>
    <w:rsid w:val="006979B0"/>
    <w:rsid w:val="006A17BA"/>
    <w:rsid w:val="006A1ACD"/>
    <w:rsid w:val="006A4393"/>
    <w:rsid w:val="006A4B91"/>
    <w:rsid w:val="006B1204"/>
    <w:rsid w:val="006B1235"/>
    <w:rsid w:val="006B206F"/>
    <w:rsid w:val="006B4E11"/>
    <w:rsid w:val="006D2017"/>
    <w:rsid w:val="006D5442"/>
    <w:rsid w:val="006D6A4D"/>
    <w:rsid w:val="006D7FD3"/>
    <w:rsid w:val="006E4DD0"/>
    <w:rsid w:val="006E560E"/>
    <w:rsid w:val="006E591E"/>
    <w:rsid w:val="006E6234"/>
    <w:rsid w:val="006E6F55"/>
    <w:rsid w:val="006F08D0"/>
    <w:rsid w:val="006F162C"/>
    <w:rsid w:val="006F2962"/>
    <w:rsid w:val="006F645B"/>
    <w:rsid w:val="00701399"/>
    <w:rsid w:val="00703711"/>
    <w:rsid w:val="00703AB9"/>
    <w:rsid w:val="00704591"/>
    <w:rsid w:val="007055AD"/>
    <w:rsid w:val="0070701B"/>
    <w:rsid w:val="007130A7"/>
    <w:rsid w:val="00716553"/>
    <w:rsid w:val="007214E1"/>
    <w:rsid w:val="0072236A"/>
    <w:rsid w:val="0072368E"/>
    <w:rsid w:val="00727065"/>
    <w:rsid w:val="0072724C"/>
    <w:rsid w:val="00730438"/>
    <w:rsid w:val="0073047B"/>
    <w:rsid w:val="007306EC"/>
    <w:rsid w:val="0073483E"/>
    <w:rsid w:val="00735153"/>
    <w:rsid w:val="00735A14"/>
    <w:rsid w:val="00735D47"/>
    <w:rsid w:val="0073616F"/>
    <w:rsid w:val="00736962"/>
    <w:rsid w:val="00737BD8"/>
    <w:rsid w:val="00737C93"/>
    <w:rsid w:val="00740941"/>
    <w:rsid w:val="00741676"/>
    <w:rsid w:val="00741F8A"/>
    <w:rsid w:val="007448BA"/>
    <w:rsid w:val="00745709"/>
    <w:rsid w:val="00746E32"/>
    <w:rsid w:val="0075201E"/>
    <w:rsid w:val="007539BC"/>
    <w:rsid w:val="00753EF6"/>
    <w:rsid w:val="00753FD4"/>
    <w:rsid w:val="00754022"/>
    <w:rsid w:val="00756668"/>
    <w:rsid w:val="007601D0"/>
    <w:rsid w:val="00765E9C"/>
    <w:rsid w:val="007663E6"/>
    <w:rsid w:val="00766828"/>
    <w:rsid w:val="007703C5"/>
    <w:rsid w:val="007708D3"/>
    <w:rsid w:val="00770B12"/>
    <w:rsid w:val="00771EF8"/>
    <w:rsid w:val="00775158"/>
    <w:rsid w:val="00776FDD"/>
    <w:rsid w:val="00781FF2"/>
    <w:rsid w:val="00783547"/>
    <w:rsid w:val="00784420"/>
    <w:rsid w:val="007864A1"/>
    <w:rsid w:val="00792531"/>
    <w:rsid w:val="00792F91"/>
    <w:rsid w:val="007938A6"/>
    <w:rsid w:val="00794AEF"/>
    <w:rsid w:val="0079553E"/>
    <w:rsid w:val="007957AE"/>
    <w:rsid w:val="007959F4"/>
    <w:rsid w:val="00796A05"/>
    <w:rsid w:val="00797BC0"/>
    <w:rsid w:val="007A03BF"/>
    <w:rsid w:val="007A321F"/>
    <w:rsid w:val="007A4447"/>
    <w:rsid w:val="007A567A"/>
    <w:rsid w:val="007A5971"/>
    <w:rsid w:val="007A72F1"/>
    <w:rsid w:val="007B2431"/>
    <w:rsid w:val="007B2AE7"/>
    <w:rsid w:val="007B6096"/>
    <w:rsid w:val="007C1E34"/>
    <w:rsid w:val="007C2177"/>
    <w:rsid w:val="007C2AB0"/>
    <w:rsid w:val="007C70A3"/>
    <w:rsid w:val="007C730A"/>
    <w:rsid w:val="007D026A"/>
    <w:rsid w:val="007D19F8"/>
    <w:rsid w:val="007D35CD"/>
    <w:rsid w:val="007E32AA"/>
    <w:rsid w:val="007E4BE8"/>
    <w:rsid w:val="007E5294"/>
    <w:rsid w:val="007E6B55"/>
    <w:rsid w:val="007F025D"/>
    <w:rsid w:val="008014B5"/>
    <w:rsid w:val="008035CD"/>
    <w:rsid w:val="00807B56"/>
    <w:rsid w:val="00807B5F"/>
    <w:rsid w:val="0081328B"/>
    <w:rsid w:val="00813495"/>
    <w:rsid w:val="008154F6"/>
    <w:rsid w:val="008237DF"/>
    <w:rsid w:val="00823B1F"/>
    <w:rsid w:val="008242D9"/>
    <w:rsid w:val="00824A5B"/>
    <w:rsid w:val="008252F0"/>
    <w:rsid w:val="00832313"/>
    <w:rsid w:val="00834E10"/>
    <w:rsid w:val="00835737"/>
    <w:rsid w:val="00835C42"/>
    <w:rsid w:val="00835F67"/>
    <w:rsid w:val="00836451"/>
    <w:rsid w:val="00840C00"/>
    <w:rsid w:val="00842F62"/>
    <w:rsid w:val="00847A1A"/>
    <w:rsid w:val="008537F7"/>
    <w:rsid w:val="00855BA5"/>
    <w:rsid w:val="00857222"/>
    <w:rsid w:val="00857F16"/>
    <w:rsid w:val="0086362D"/>
    <w:rsid w:val="00863B76"/>
    <w:rsid w:val="0086446B"/>
    <w:rsid w:val="0086462D"/>
    <w:rsid w:val="00864BCE"/>
    <w:rsid w:val="008667BC"/>
    <w:rsid w:val="008677A5"/>
    <w:rsid w:val="008710AA"/>
    <w:rsid w:val="0087294C"/>
    <w:rsid w:val="008774FC"/>
    <w:rsid w:val="0088006F"/>
    <w:rsid w:val="00882E92"/>
    <w:rsid w:val="00883078"/>
    <w:rsid w:val="00883A37"/>
    <w:rsid w:val="0088448A"/>
    <w:rsid w:val="00890132"/>
    <w:rsid w:val="00890DB1"/>
    <w:rsid w:val="00895BD8"/>
    <w:rsid w:val="00896E29"/>
    <w:rsid w:val="00896EFC"/>
    <w:rsid w:val="008A154D"/>
    <w:rsid w:val="008A18B8"/>
    <w:rsid w:val="008A2249"/>
    <w:rsid w:val="008A2607"/>
    <w:rsid w:val="008A2FC5"/>
    <w:rsid w:val="008A5014"/>
    <w:rsid w:val="008A5856"/>
    <w:rsid w:val="008A77FC"/>
    <w:rsid w:val="008B2AD4"/>
    <w:rsid w:val="008B2D60"/>
    <w:rsid w:val="008B3E00"/>
    <w:rsid w:val="008B4086"/>
    <w:rsid w:val="008B568E"/>
    <w:rsid w:val="008C1E69"/>
    <w:rsid w:val="008C4E24"/>
    <w:rsid w:val="008C61B2"/>
    <w:rsid w:val="008C62A5"/>
    <w:rsid w:val="008D0958"/>
    <w:rsid w:val="008D0DE2"/>
    <w:rsid w:val="008D2E6E"/>
    <w:rsid w:val="008D2FCA"/>
    <w:rsid w:val="008D4139"/>
    <w:rsid w:val="008D43BF"/>
    <w:rsid w:val="008D6244"/>
    <w:rsid w:val="008D7AA2"/>
    <w:rsid w:val="008E2FEB"/>
    <w:rsid w:val="008E592A"/>
    <w:rsid w:val="008E6C9B"/>
    <w:rsid w:val="008E757B"/>
    <w:rsid w:val="008F09FF"/>
    <w:rsid w:val="008F0AC3"/>
    <w:rsid w:val="008F193D"/>
    <w:rsid w:val="008F6F2B"/>
    <w:rsid w:val="008F718D"/>
    <w:rsid w:val="008F72AA"/>
    <w:rsid w:val="0090193E"/>
    <w:rsid w:val="009021FE"/>
    <w:rsid w:val="009034CB"/>
    <w:rsid w:val="00903FC2"/>
    <w:rsid w:val="009042BA"/>
    <w:rsid w:val="0090578E"/>
    <w:rsid w:val="00911384"/>
    <w:rsid w:val="00911518"/>
    <w:rsid w:val="00913952"/>
    <w:rsid w:val="00916D00"/>
    <w:rsid w:val="0092556B"/>
    <w:rsid w:val="0092572D"/>
    <w:rsid w:val="0092651B"/>
    <w:rsid w:val="00926D1A"/>
    <w:rsid w:val="009300AF"/>
    <w:rsid w:val="009302D6"/>
    <w:rsid w:val="0093079D"/>
    <w:rsid w:val="00931AB9"/>
    <w:rsid w:val="0093295F"/>
    <w:rsid w:val="00937D47"/>
    <w:rsid w:val="00941D3D"/>
    <w:rsid w:val="009436EB"/>
    <w:rsid w:val="00944E56"/>
    <w:rsid w:val="00945855"/>
    <w:rsid w:val="0094760D"/>
    <w:rsid w:val="00950443"/>
    <w:rsid w:val="0095102D"/>
    <w:rsid w:val="00954800"/>
    <w:rsid w:val="00954BB1"/>
    <w:rsid w:val="009604ED"/>
    <w:rsid w:val="00960C8A"/>
    <w:rsid w:val="00964260"/>
    <w:rsid w:val="00965635"/>
    <w:rsid w:val="00966474"/>
    <w:rsid w:val="00966D67"/>
    <w:rsid w:val="0097256E"/>
    <w:rsid w:val="00974799"/>
    <w:rsid w:val="00976688"/>
    <w:rsid w:val="00980AC8"/>
    <w:rsid w:val="00982A39"/>
    <w:rsid w:val="00982FA8"/>
    <w:rsid w:val="00983E4E"/>
    <w:rsid w:val="00984D14"/>
    <w:rsid w:val="00987E3F"/>
    <w:rsid w:val="00990D10"/>
    <w:rsid w:val="00990EE1"/>
    <w:rsid w:val="0099249E"/>
    <w:rsid w:val="009943F0"/>
    <w:rsid w:val="0099628D"/>
    <w:rsid w:val="009A0198"/>
    <w:rsid w:val="009A1D84"/>
    <w:rsid w:val="009A531B"/>
    <w:rsid w:val="009B3F6B"/>
    <w:rsid w:val="009C279F"/>
    <w:rsid w:val="009C3F0D"/>
    <w:rsid w:val="009C5FCC"/>
    <w:rsid w:val="009D0078"/>
    <w:rsid w:val="009D0DE0"/>
    <w:rsid w:val="009D249F"/>
    <w:rsid w:val="009E262F"/>
    <w:rsid w:val="009E286A"/>
    <w:rsid w:val="009E2910"/>
    <w:rsid w:val="009E454B"/>
    <w:rsid w:val="009E6235"/>
    <w:rsid w:val="009E66C3"/>
    <w:rsid w:val="009E6839"/>
    <w:rsid w:val="009E7157"/>
    <w:rsid w:val="009F1FAF"/>
    <w:rsid w:val="009F2752"/>
    <w:rsid w:val="009F38EC"/>
    <w:rsid w:val="009F44C3"/>
    <w:rsid w:val="00A0522F"/>
    <w:rsid w:val="00A1108D"/>
    <w:rsid w:val="00A11139"/>
    <w:rsid w:val="00A15298"/>
    <w:rsid w:val="00A20C35"/>
    <w:rsid w:val="00A21ADF"/>
    <w:rsid w:val="00A232A1"/>
    <w:rsid w:val="00A237C9"/>
    <w:rsid w:val="00A249C3"/>
    <w:rsid w:val="00A25C67"/>
    <w:rsid w:val="00A30E7C"/>
    <w:rsid w:val="00A315B1"/>
    <w:rsid w:val="00A34074"/>
    <w:rsid w:val="00A3560B"/>
    <w:rsid w:val="00A37012"/>
    <w:rsid w:val="00A442B5"/>
    <w:rsid w:val="00A45FF8"/>
    <w:rsid w:val="00A46E32"/>
    <w:rsid w:val="00A51BFA"/>
    <w:rsid w:val="00A529B0"/>
    <w:rsid w:val="00A541A1"/>
    <w:rsid w:val="00A56A50"/>
    <w:rsid w:val="00A6648C"/>
    <w:rsid w:val="00A66D4A"/>
    <w:rsid w:val="00A67440"/>
    <w:rsid w:val="00A71A33"/>
    <w:rsid w:val="00A72D7A"/>
    <w:rsid w:val="00A736FF"/>
    <w:rsid w:val="00A75A8C"/>
    <w:rsid w:val="00A776FF"/>
    <w:rsid w:val="00A77C66"/>
    <w:rsid w:val="00A77D6F"/>
    <w:rsid w:val="00A77DEA"/>
    <w:rsid w:val="00A81B6E"/>
    <w:rsid w:val="00A8215F"/>
    <w:rsid w:val="00A83BE3"/>
    <w:rsid w:val="00A910FD"/>
    <w:rsid w:val="00A94B71"/>
    <w:rsid w:val="00A9719A"/>
    <w:rsid w:val="00AA0C64"/>
    <w:rsid w:val="00AA6CFD"/>
    <w:rsid w:val="00AA7153"/>
    <w:rsid w:val="00AB338E"/>
    <w:rsid w:val="00AB500D"/>
    <w:rsid w:val="00AB6C42"/>
    <w:rsid w:val="00AB79BF"/>
    <w:rsid w:val="00AC2BC4"/>
    <w:rsid w:val="00AC347F"/>
    <w:rsid w:val="00AC5228"/>
    <w:rsid w:val="00AC7250"/>
    <w:rsid w:val="00AD25EE"/>
    <w:rsid w:val="00AD32A0"/>
    <w:rsid w:val="00AD4E59"/>
    <w:rsid w:val="00AD664D"/>
    <w:rsid w:val="00AD7B34"/>
    <w:rsid w:val="00AE0414"/>
    <w:rsid w:val="00AE0E0B"/>
    <w:rsid w:val="00AE0EE9"/>
    <w:rsid w:val="00AE3986"/>
    <w:rsid w:val="00AE4FF9"/>
    <w:rsid w:val="00AF11A0"/>
    <w:rsid w:val="00AF3E21"/>
    <w:rsid w:val="00AF70BA"/>
    <w:rsid w:val="00B01CA0"/>
    <w:rsid w:val="00B0268C"/>
    <w:rsid w:val="00B03B8F"/>
    <w:rsid w:val="00B05712"/>
    <w:rsid w:val="00B0696E"/>
    <w:rsid w:val="00B107A1"/>
    <w:rsid w:val="00B128AD"/>
    <w:rsid w:val="00B12957"/>
    <w:rsid w:val="00B138D4"/>
    <w:rsid w:val="00B144F2"/>
    <w:rsid w:val="00B22C2B"/>
    <w:rsid w:val="00B244C3"/>
    <w:rsid w:val="00B24D6C"/>
    <w:rsid w:val="00B259A2"/>
    <w:rsid w:val="00B334CE"/>
    <w:rsid w:val="00B35286"/>
    <w:rsid w:val="00B355F6"/>
    <w:rsid w:val="00B37AF4"/>
    <w:rsid w:val="00B4266E"/>
    <w:rsid w:val="00B4597F"/>
    <w:rsid w:val="00B46BC4"/>
    <w:rsid w:val="00B538EE"/>
    <w:rsid w:val="00B64954"/>
    <w:rsid w:val="00B65983"/>
    <w:rsid w:val="00B72B0D"/>
    <w:rsid w:val="00B72FB5"/>
    <w:rsid w:val="00B74C55"/>
    <w:rsid w:val="00B75F65"/>
    <w:rsid w:val="00B7740E"/>
    <w:rsid w:val="00B80F42"/>
    <w:rsid w:val="00B81876"/>
    <w:rsid w:val="00B8266B"/>
    <w:rsid w:val="00B8571D"/>
    <w:rsid w:val="00B901FE"/>
    <w:rsid w:val="00B90C9A"/>
    <w:rsid w:val="00B92979"/>
    <w:rsid w:val="00B94CBA"/>
    <w:rsid w:val="00B95D3D"/>
    <w:rsid w:val="00BA0679"/>
    <w:rsid w:val="00BA06F2"/>
    <w:rsid w:val="00BA07AE"/>
    <w:rsid w:val="00BA2EEC"/>
    <w:rsid w:val="00BA36C2"/>
    <w:rsid w:val="00BA5B54"/>
    <w:rsid w:val="00BA6628"/>
    <w:rsid w:val="00BA6CEF"/>
    <w:rsid w:val="00BB3194"/>
    <w:rsid w:val="00BB344D"/>
    <w:rsid w:val="00BB3DB7"/>
    <w:rsid w:val="00BB4D7A"/>
    <w:rsid w:val="00BC3C9F"/>
    <w:rsid w:val="00BC4EFA"/>
    <w:rsid w:val="00BC6C02"/>
    <w:rsid w:val="00BC748C"/>
    <w:rsid w:val="00BC74CF"/>
    <w:rsid w:val="00BD476A"/>
    <w:rsid w:val="00BD5016"/>
    <w:rsid w:val="00BD7E41"/>
    <w:rsid w:val="00BE052F"/>
    <w:rsid w:val="00BE759B"/>
    <w:rsid w:val="00BF18AD"/>
    <w:rsid w:val="00BF588D"/>
    <w:rsid w:val="00BF62ED"/>
    <w:rsid w:val="00C00BA2"/>
    <w:rsid w:val="00C02F5B"/>
    <w:rsid w:val="00C03268"/>
    <w:rsid w:val="00C04FA5"/>
    <w:rsid w:val="00C057B6"/>
    <w:rsid w:val="00C0608D"/>
    <w:rsid w:val="00C0672A"/>
    <w:rsid w:val="00C10C49"/>
    <w:rsid w:val="00C10ECC"/>
    <w:rsid w:val="00C11C23"/>
    <w:rsid w:val="00C134C3"/>
    <w:rsid w:val="00C16A5A"/>
    <w:rsid w:val="00C17D86"/>
    <w:rsid w:val="00C212BE"/>
    <w:rsid w:val="00C213EB"/>
    <w:rsid w:val="00C231B0"/>
    <w:rsid w:val="00C2408A"/>
    <w:rsid w:val="00C247D9"/>
    <w:rsid w:val="00C26BD8"/>
    <w:rsid w:val="00C3009A"/>
    <w:rsid w:val="00C3218C"/>
    <w:rsid w:val="00C3416F"/>
    <w:rsid w:val="00C35762"/>
    <w:rsid w:val="00C430E2"/>
    <w:rsid w:val="00C4365F"/>
    <w:rsid w:val="00C446C9"/>
    <w:rsid w:val="00C44C52"/>
    <w:rsid w:val="00C45398"/>
    <w:rsid w:val="00C464A8"/>
    <w:rsid w:val="00C47167"/>
    <w:rsid w:val="00C51BA8"/>
    <w:rsid w:val="00C52716"/>
    <w:rsid w:val="00C52A4D"/>
    <w:rsid w:val="00C567A1"/>
    <w:rsid w:val="00C56C14"/>
    <w:rsid w:val="00C62369"/>
    <w:rsid w:val="00C6377C"/>
    <w:rsid w:val="00C66FC2"/>
    <w:rsid w:val="00C67AE6"/>
    <w:rsid w:val="00C67C50"/>
    <w:rsid w:val="00C71B1A"/>
    <w:rsid w:val="00C758A5"/>
    <w:rsid w:val="00C7591C"/>
    <w:rsid w:val="00C76933"/>
    <w:rsid w:val="00C7751E"/>
    <w:rsid w:val="00C77C42"/>
    <w:rsid w:val="00C8175F"/>
    <w:rsid w:val="00C81D1A"/>
    <w:rsid w:val="00C846D2"/>
    <w:rsid w:val="00C86778"/>
    <w:rsid w:val="00C90190"/>
    <w:rsid w:val="00C91899"/>
    <w:rsid w:val="00C94725"/>
    <w:rsid w:val="00CA16EB"/>
    <w:rsid w:val="00CA2AD0"/>
    <w:rsid w:val="00CA5ACB"/>
    <w:rsid w:val="00CA63B4"/>
    <w:rsid w:val="00CA745F"/>
    <w:rsid w:val="00CB0ECE"/>
    <w:rsid w:val="00CB19AD"/>
    <w:rsid w:val="00CB2798"/>
    <w:rsid w:val="00CB2D0E"/>
    <w:rsid w:val="00CB3AA2"/>
    <w:rsid w:val="00CB5817"/>
    <w:rsid w:val="00CB58FB"/>
    <w:rsid w:val="00CB5C9B"/>
    <w:rsid w:val="00CB79D5"/>
    <w:rsid w:val="00CC26BB"/>
    <w:rsid w:val="00CC6903"/>
    <w:rsid w:val="00CD0184"/>
    <w:rsid w:val="00CD0AE4"/>
    <w:rsid w:val="00CD346D"/>
    <w:rsid w:val="00CD40D8"/>
    <w:rsid w:val="00CD4BD4"/>
    <w:rsid w:val="00CD7ED1"/>
    <w:rsid w:val="00CE1AAE"/>
    <w:rsid w:val="00CE233A"/>
    <w:rsid w:val="00CE2C68"/>
    <w:rsid w:val="00CE3154"/>
    <w:rsid w:val="00CE3922"/>
    <w:rsid w:val="00CE4237"/>
    <w:rsid w:val="00CE4DE1"/>
    <w:rsid w:val="00CF13A6"/>
    <w:rsid w:val="00CF27FD"/>
    <w:rsid w:val="00CF3A6A"/>
    <w:rsid w:val="00CF579E"/>
    <w:rsid w:val="00D01681"/>
    <w:rsid w:val="00D02431"/>
    <w:rsid w:val="00D02943"/>
    <w:rsid w:val="00D04BBA"/>
    <w:rsid w:val="00D1674F"/>
    <w:rsid w:val="00D16FCB"/>
    <w:rsid w:val="00D21D36"/>
    <w:rsid w:val="00D237F5"/>
    <w:rsid w:val="00D24440"/>
    <w:rsid w:val="00D26B9F"/>
    <w:rsid w:val="00D27E09"/>
    <w:rsid w:val="00D32DB1"/>
    <w:rsid w:val="00D33731"/>
    <w:rsid w:val="00D34DDB"/>
    <w:rsid w:val="00D370C0"/>
    <w:rsid w:val="00D37F54"/>
    <w:rsid w:val="00D4271C"/>
    <w:rsid w:val="00D4504E"/>
    <w:rsid w:val="00D46002"/>
    <w:rsid w:val="00D46577"/>
    <w:rsid w:val="00D47530"/>
    <w:rsid w:val="00D476FB"/>
    <w:rsid w:val="00D506B2"/>
    <w:rsid w:val="00D517E0"/>
    <w:rsid w:val="00D51EC6"/>
    <w:rsid w:val="00D53B9B"/>
    <w:rsid w:val="00D53C4E"/>
    <w:rsid w:val="00D544A8"/>
    <w:rsid w:val="00D56B26"/>
    <w:rsid w:val="00D57670"/>
    <w:rsid w:val="00D605A4"/>
    <w:rsid w:val="00D62686"/>
    <w:rsid w:val="00D6292D"/>
    <w:rsid w:val="00D70F76"/>
    <w:rsid w:val="00D72195"/>
    <w:rsid w:val="00D724B7"/>
    <w:rsid w:val="00D75D33"/>
    <w:rsid w:val="00D76F95"/>
    <w:rsid w:val="00D77FF1"/>
    <w:rsid w:val="00D80C60"/>
    <w:rsid w:val="00D8241E"/>
    <w:rsid w:val="00D82464"/>
    <w:rsid w:val="00D838EB"/>
    <w:rsid w:val="00D8470E"/>
    <w:rsid w:val="00D91FE5"/>
    <w:rsid w:val="00D9424A"/>
    <w:rsid w:val="00D950AD"/>
    <w:rsid w:val="00D95B0B"/>
    <w:rsid w:val="00D97344"/>
    <w:rsid w:val="00DA00F3"/>
    <w:rsid w:val="00DA6BD6"/>
    <w:rsid w:val="00DA747F"/>
    <w:rsid w:val="00DA7705"/>
    <w:rsid w:val="00DB0EA8"/>
    <w:rsid w:val="00DB10F0"/>
    <w:rsid w:val="00DB17BC"/>
    <w:rsid w:val="00DB1BEC"/>
    <w:rsid w:val="00DB3D8F"/>
    <w:rsid w:val="00DB40AC"/>
    <w:rsid w:val="00DC09BD"/>
    <w:rsid w:val="00DC10D5"/>
    <w:rsid w:val="00DC3063"/>
    <w:rsid w:val="00DC4252"/>
    <w:rsid w:val="00DC7759"/>
    <w:rsid w:val="00DD02AC"/>
    <w:rsid w:val="00DD1C64"/>
    <w:rsid w:val="00DD297B"/>
    <w:rsid w:val="00DD298F"/>
    <w:rsid w:val="00DD3161"/>
    <w:rsid w:val="00DD7019"/>
    <w:rsid w:val="00DD766F"/>
    <w:rsid w:val="00DF0FEC"/>
    <w:rsid w:val="00DF218F"/>
    <w:rsid w:val="00DF38CC"/>
    <w:rsid w:val="00DF4054"/>
    <w:rsid w:val="00DF5D1E"/>
    <w:rsid w:val="00DF6531"/>
    <w:rsid w:val="00DF6B4B"/>
    <w:rsid w:val="00E007DF"/>
    <w:rsid w:val="00E00BC6"/>
    <w:rsid w:val="00E00C85"/>
    <w:rsid w:val="00E04D67"/>
    <w:rsid w:val="00E06503"/>
    <w:rsid w:val="00E1472F"/>
    <w:rsid w:val="00E20DF1"/>
    <w:rsid w:val="00E219D8"/>
    <w:rsid w:val="00E23131"/>
    <w:rsid w:val="00E23DEC"/>
    <w:rsid w:val="00E27EF4"/>
    <w:rsid w:val="00E31906"/>
    <w:rsid w:val="00E31B86"/>
    <w:rsid w:val="00E32058"/>
    <w:rsid w:val="00E337DE"/>
    <w:rsid w:val="00E34A57"/>
    <w:rsid w:val="00E34A9E"/>
    <w:rsid w:val="00E35B34"/>
    <w:rsid w:val="00E36D03"/>
    <w:rsid w:val="00E41071"/>
    <w:rsid w:val="00E41AE2"/>
    <w:rsid w:val="00E41B53"/>
    <w:rsid w:val="00E44863"/>
    <w:rsid w:val="00E44A2D"/>
    <w:rsid w:val="00E47661"/>
    <w:rsid w:val="00E47F23"/>
    <w:rsid w:val="00E50993"/>
    <w:rsid w:val="00E50C36"/>
    <w:rsid w:val="00E52085"/>
    <w:rsid w:val="00E53034"/>
    <w:rsid w:val="00E56B5F"/>
    <w:rsid w:val="00E56FAF"/>
    <w:rsid w:val="00E652B2"/>
    <w:rsid w:val="00E6740A"/>
    <w:rsid w:val="00E70249"/>
    <w:rsid w:val="00E72394"/>
    <w:rsid w:val="00E7301C"/>
    <w:rsid w:val="00E7529A"/>
    <w:rsid w:val="00E76FF6"/>
    <w:rsid w:val="00E8231B"/>
    <w:rsid w:val="00E849F6"/>
    <w:rsid w:val="00E85D34"/>
    <w:rsid w:val="00E90321"/>
    <w:rsid w:val="00E92AE0"/>
    <w:rsid w:val="00E92B6E"/>
    <w:rsid w:val="00E94279"/>
    <w:rsid w:val="00E94DFF"/>
    <w:rsid w:val="00E96757"/>
    <w:rsid w:val="00E975EE"/>
    <w:rsid w:val="00E97968"/>
    <w:rsid w:val="00EA2196"/>
    <w:rsid w:val="00EA32B4"/>
    <w:rsid w:val="00EA5787"/>
    <w:rsid w:val="00EA6F7B"/>
    <w:rsid w:val="00EB4AF9"/>
    <w:rsid w:val="00EB4F4D"/>
    <w:rsid w:val="00EB6D64"/>
    <w:rsid w:val="00EB75ED"/>
    <w:rsid w:val="00EC168B"/>
    <w:rsid w:val="00EC2C98"/>
    <w:rsid w:val="00EC2E52"/>
    <w:rsid w:val="00EC439D"/>
    <w:rsid w:val="00EC447B"/>
    <w:rsid w:val="00EC4E1C"/>
    <w:rsid w:val="00EC515A"/>
    <w:rsid w:val="00EC5A7F"/>
    <w:rsid w:val="00ED3BCE"/>
    <w:rsid w:val="00ED54E7"/>
    <w:rsid w:val="00ED5667"/>
    <w:rsid w:val="00ED6E2C"/>
    <w:rsid w:val="00EE25E6"/>
    <w:rsid w:val="00EE37AC"/>
    <w:rsid w:val="00EE7111"/>
    <w:rsid w:val="00EF1A7B"/>
    <w:rsid w:val="00EF2BB1"/>
    <w:rsid w:val="00EF55BC"/>
    <w:rsid w:val="00EF6BA0"/>
    <w:rsid w:val="00F014FC"/>
    <w:rsid w:val="00F01FED"/>
    <w:rsid w:val="00F02C4D"/>
    <w:rsid w:val="00F03243"/>
    <w:rsid w:val="00F03BC0"/>
    <w:rsid w:val="00F06655"/>
    <w:rsid w:val="00F10530"/>
    <w:rsid w:val="00F1152F"/>
    <w:rsid w:val="00F13F0B"/>
    <w:rsid w:val="00F14703"/>
    <w:rsid w:val="00F15313"/>
    <w:rsid w:val="00F159C9"/>
    <w:rsid w:val="00F1644B"/>
    <w:rsid w:val="00F2573B"/>
    <w:rsid w:val="00F25ADA"/>
    <w:rsid w:val="00F264B8"/>
    <w:rsid w:val="00F26937"/>
    <w:rsid w:val="00F26A06"/>
    <w:rsid w:val="00F321FF"/>
    <w:rsid w:val="00F329DC"/>
    <w:rsid w:val="00F3673C"/>
    <w:rsid w:val="00F36ABA"/>
    <w:rsid w:val="00F36D2F"/>
    <w:rsid w:val="00F3733C"/>
    <w:rsid w:val="00F4159E"/>
    <w:rsid w:val="00F42864"/>
    <w:rsid w:val="00F435D3"/>
    <w:rsid w:val="00F45348"/>
    <w:rsid w:val="00F46F04"/>
    <w:rsid w:val="00F47F1B"/>
    <w:rsid w:val="00F51AE8"/>
    <w:rsid w:val="00F55847"/>
    <w:rsid w:val="00F60BD5"/>
    <w:rsid w:val="00F61AB8"/>
    <w:rsid w:val="00F627D5"/>
    <w:rsid w:val="00F64495"/>
    <w:rsid w:val="00F65C52"/>
    <w:rsid w:val="00F66169"/>
    <w:rsid w:val="00F71F58"/>
    <w:rsid w:val="00F72E64"/>
    <w:rsid w:val="00F749E0"/>
    <w:rsid w:val="00F771D6"/>
    <w:rsid w:val="00F772AA"/>
    <w:rsid w:val="00F774F2"/>
    <w:rsid w:val="00F82681"/>
    <w:rsid w:val="00F8586D"/>
    <w:rsid w:val="00F93AE2"/>
    <w:rsid w:val="00F95A23"/>
    <w:rsid w:val="00FA1492"/>
    <w:rsid w:val="00FA4426"/>
    <w:rsid w:val="00FA6128"/>
    <w:rsid w:val="00FA63FB"/>
    <w:rsid w:val="00FA6C39"/>
    <w:rsid w:val="00FA706B"/>
    <w:rsid w:val="00FB0972"/>
    <w:rsid w:val="00FB2080"/>
    <w:rsid w:val="00FB2FED"/>
    <w:rsid w:val="00FB394D"/>
    <w:rsid w:val="00FB6F64"/>
    <w:rsid w:val="00FB7B5D"/>
    <w:rsid w:val="00FB7E99"/>
    <w:rsid w:val="00FC08FF"/>
    <w:rsid w:val="00FC0C4F"/>
    <w:rsid w:val="00FC1408"/>
    <w:rsid w:val="00FC205B"/>
    <w:rsid w:val="00FC280B"/>
    <w:rsid w:val="00FC2997"/>
    <w:rsid w:val="00FC4B82"/>
    <w:rsid w:val="00FC6202"/>
    <w:rsid w:val="00FC6D67"/>
    <w:rsid w:val="00FD0C7E"/>
    <w:rsid w:val="00FD45F1"/>
    <w:rsid w:val="00FD68B9"/>
    <w:rsid w:val="00FD7CF2"/>
    <w:rsid w:val="00FE2B4D"/>
    <w:rsid w:val="00FE3263"/>
    <w:rsid w:val="00FE36CC"/>
    <w:rsid w:val="00FE4667"/>
    <w:rsid w:val="00FE5E34"/>
    <w:rsid w:val="00FE712F"/>
    <w:rsid w:val="00FF120A"/>
    <w:rsid w:val="00FF1398"/>
    <w:rsid w:val="00FF31E5"/>
    <w:rsid w:val="00FF3FFF"/>
    <w:rsid w:val="00FF59B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FD034"/>
  <w15:docId w15:val="{3D651686-AE77-48C6-80C9-3BE995C8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gu-IN"/>
    </w:rPr>
  </w:style>
  <w:style w:type="paragraph" w:styleId="Heading1">
    <w:name w:val="heading 1"/>
    <w:basedOn w:val="Normal"/>
    <w:link w:val="Heading1Char"/>
    <w:uiPriority w:val="9"/>
    <w:qFormat/>
    <w:rsid w:val="006159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7A321F"/>
    <w:pPr>
      <w:keepNext/>
      <w:spacing w:after="0" w:line="360" w:lineRule="auto"/>
      <w:ind w:right="-180"/>
      <w:jc w:val="cente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4B21DA"/>
    <w:pPr>
      <w:keepNext/>
      <w:spacing w:after="0" w:line="360" w:lineRule="auto"/>
      <w:jc w:val="both"/>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067289"/>
    <w:pPr>
      <w:keepNext/>
      <w:tabs>
        <w:tab w:val="left" w:pos="426"/>
      </w:tabs>
      <w:spacing w:after="0" w:line="360" w:lineRule="auto"/>
      <w:jc w:val="center"/>
      <w:outlineLvl w:val="3"/>
    </w:pPr>
    <w:rPr>
      <w:rFonts w:ascii="Times New Roman" w:hAnsi="Times New Roman" w:cs="Times New Roman"/>
      <w:b/>
      <w:bCs/>
      <w:sz w:val="20"/>
      <w:szCs w:val="20"/>
      <w:shd w:val="clear" w:color="auto" w:fill="FFFFFF"/>
      <w:lang w:bidi="en-US"/>
    </w:rPr>
  </w:style>
  <w:style w:type="paragraph" w:styleId="Heading5">
    <w:name w:val="heading 5"/>
    <w:basedOn w:val="Normal"/>
    <w:next w:val="Normal"/>
    <w:link w:val="Heading5Char"/>
    <w:uiPriority w:val="9"/>
    <w:unhideWhenUsed/>
    <w:qFormat/>
    <w:rsid w:val="00A776FF"/>
    <w:pPr>
      <w:keepNext/>
      <w:spacing w:after="0" w:line="360" w:lineRule="auto"/>
      <w:ind w:right="-360" w:hanging="90"/>
      <w:jc w:val="both"/>
      <w:outlineLvl w:val="4"/>
    </w:pPr>
    <w:rPr>
      <w:rFonts w:ascii="Times New Roman" w:hAnsi="Times New Roman" w:cs="Times New Roman"/>
      <w:b/>
    </w:rPr>
  </w:style>
  <w:style w:type="paragraph" w:styleId="Heading6">
    <w:name w:val="heading 6"/>
    <w:basedOn w:val="Normal"/>
    <w:next w:val="Normal"/>
    <w:link w:val="Heading6Char"/>
    <w:uiPriority w:val="9"/>
    <w:unhideWhenUsed/>
    <w:qFormat/>
    <w:rsid w:val="00A776FF"/>
    <w:pPr>
      <w:keepNext/>
      <w:spacing w:after="0" w:line="276" w:lineRule="auto"/>
      <w:ind w:left="1080" w:hanging="1080"/>
      <w:outlineLvl w:val="5"/>
    </w:pPr>
    <w:rPr>
      <w:rFonts w:ascii="Times New Roman" w:hAnsi="Times New Roman" w:cs="Times New Roman"/>
      <w:b/>
      <w:bCs/>
    </w:rPr>
  </w:style>
  <w:style w:type="paragraph" w:styleId="Heading7">
    <w:name w:val="heading 7"/>
    <w:basedOn w:val="Normal"/>
    <w:next w:val="Normal"/>
    <w:link w:val="Heading7Char"/>
    <w:uiPriority w:val="9"/>
    <w:unhideWhenUsed/>
    <w:qFormat/>
    <w:rsid w:val="000116B0"/>
    <w:pPr>
      <w:keepNext/>
      <w:framePr w:hSpace="180" w:wrap="around" w:vAnchor="text" w:hAnchor="margin" w:xAlign="center" w:y="424"/>
      <w:tabs>
        <w:tab w:val="left" w:pos="426"/>
      </w:tabs>
      <w:spacing w:after="0" w:line="240" w:lineRule="auto"/>
      <w:jc w:val="center"/>
      <w:outlineLvl w:val="6"/>
    </w:pPr>
    <w:rPr>
      <w:rFonts w:ascii="Times New Roman" w:hAnsi="Times New Roman" w:cs="Times New Roman"/>
      <w:b/>
      <w:bCs/>
      <w:sz w:val="20"/>
      <w:szCs w:val="20"/>
    </w:rPr>
  </w:style>
  <w:style w:type="paragraph" w:styleId="Heading8">
    <w:name w:val="heading 8"/>
    <w:basedOn w:val="Normal"/>
    <w:next w:val="Normal"/>
    <w:link w:val="Heading8Char"/>
    <w:uiPriority w:val="9"/>
    <w:unhideWhenUsed/>
    <w:qFormat/>
    <w:rsid w:val="003F1A9D"/>
    <w:pPr>
      <w:keepNext/>
      <w:framePr w:hSpace="180" w:wrap="around" w:vAnchor="text" w:hAnchor="margin" w:xAlign="center" w:y="812"/>
      <w:tabs>
        <w:tab w:val="left" w:pos="426"/>
      </w:tabs>
      <w:spacing w:after="0" w:line="240" w:lineRule="auto"/>
      <w:ind w:left="-200" w:firstLine="200"/>
      <w:jc w:val="center"/>
      <w:outlineLvl w:val="7"/>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FYP bullets"/>
    <w:basedOn w:val="Normal"/>
    <w:uiPriority w:val="34"/>
    <w:qFormat/>
    <w:rsid w:val="00F03BC0"/>
    <w:pPr>
      <w:spacing w:after="200" w:line="276" w:lineRule="auto"/>
      <w:ind w:left="720"/>
      <w:contextualSpacing/>
    </w:pPr>
    <w:rPr>
      <w:rFonts w:ascii="Cambria" w:eastAsia="MS Mincho" w:hAnsi="Cambria" w:cs="Mangal"/>
    </w:rPr>
  </w:style>
  <w:style w:type="paragraph" w:styleId="BodyTextIndent">
    <w:name w:val="Body Text Indent"/>
    <w:basedOn w:val="Normal"/>
    <w:link w:val="BodyTextIndentChar"/>
    <w:uiPriority w:val="99"/>
    <w:unhideWhenUsed/>
    <w:rsid w:val="00836451"/>
    <w:pPr>
      <w:spacing w:after="0" w:line="240" w:lineRule="auto"/>
      <w:ind w:left="1080"/>
      <w:jc w:val="both"/>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836451"/>
    <w:rPr>
      <w:rFonts w:ascii="Times New Roman" w:hAnsi="Times New Roman" w:cs="Times New Roman"/>
      <w:bCs/>
      <w:sz w:val="24"/>
      <w:szCs w:val="24"/>
      <w:lang w:bidi="gu-IN"/>
    </w:rPr>
  </w:style>
  <w:style w:type="paragraph" w:styleId="Header">
    <w:name w:val="header"/>
    <w:basedOn w:val="Normal"/>
    <w:link w:val="HeaderChar"/>
    <w:uiPriority w:val="99"/>
    <w:unhideWhenUsed/>
    <w:rsid w:val="00B6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54"/>
    <w:rPr>
      <w:lang w:bidi="gu-IN"/>
    </w:rPr>
  </w:style>
  <w:style w:type="paragraph" w:styleId="Footer">
    <w:name w:val="footer"/>
    <w:basedOn w:val="Normal"/>
    <w:link w:val="FooterChar"/>
    <w:uiPriority w:val="99"/>
    <w:unhideWhenUsed/>
    <w:rsid w:val="00B6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54"/>
    <w:rPr>
      <w:lang w:bidi="gu-IN"/>
    </w:rPr>
  </w:style>
  <w:style w:type="paragraph" w:customStyle="1" w:styleId="Default">
    <w:name w:val="Default"/>
    <w:rsid w:val="001C1F43"/>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1Char">
    <w:name w:val="Heading 1 Char"/>
    <w:basedOn w:val="DefaultParagraphFont"/>
    <w:link w:val="Heading1"/>
    <w:uiPriority w:val="9"/>
    <w:rsid w:val="00615910"/>
    <w:rPr>
      <w:rFonts w:ascii="Times New Roman" w:eastAsia="Times New Roman" w:hAnsi="Times New Roman" w:cs="Times New Roman"/>
      <w:b/>
      <w:bCs/>
      <w:kern w:val="36"/>
      <w:sz w:val="48"/>
      <w:szCs w:val="48"/>
      <w:lang w:bidi="hi-IN"/>
    </w:rPr>
  </w:style>
  <w:style w:type="character" w:customStyle="1" w:styleId="heading">
    <w:name w:val="heading"/>
    <w:basedOn w:val="DefaultParagraphFont"/>
    <w:rsid w:val="00615910"/>
  </w:style>
  <w:style w:type="character" w:styleId="Hyperlink">
    <w:name w:val="Hyperlink"/>
    <w:basedOn w:val="DefaultParagraphFont"/>
    <w:uiPriority w:val="99"/>
    <w:unhideWhenUsed/>
    <w:rsid w:val="00615910"/>
    <w:rPr>
      <w:color w:val="0000FF"/>
      <w:u w:val="single"/>
    </w:rPr>
  </w:style>
  <w:style w:type="paragraph" w:styleId="BodyText">
    <w:name w:val="Body Text"/>
    <w:basedOn w:val="Normal"/>
    <w:link w:val="BodyTextChar"/>
    <w:uiPriority w:val="99"/>
    <w:unhideWhenUsed/>
    <w:rsid w:val="00911384"/>
    <w:pPr>
      <w:spacing w:line="360" w:lineRule="auto"/>
      <w:ind w:right="-18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11384"/>
    <w:rPr>
      <w:rFonts w:ascii="Times New Roman" w:hAnsi="Times New Roman" w:cs="Times New Roman"/>
      <w:b/>
      <w:bCs/>
      <w:sz w:val="28"/>
      <w:szCs w:val="28"/>
      <w:lang w:bidi="gu-IN"/>
    </w:rPr>
  </w:style>
  <w:style w:type="character" w:customStyle="1" w:styleId="Heading2Char">
    <w:name w:val="Heading 2 Char"/>
    <w:basedOn w:val="DefaultParagraphFont"/>
    <w:link w:val="Heading2"/>
    <w:uiPriority w:val="9"/>
    <w:rsid w:val="007A321F"/>
    <w:rPr>
      <w:rFonts w:ascii="Times New Roman" w:hAnsi="Times New Roman" w:cs="Times New Roman"/>
      <w:b/>
      <w:bCs/>
      <w:lang w:bidi="gu-IN"/>
    </w:rPr>
  </w:style>
  <w:style w:type="character" w:customStyle="1" w:styleId="Heading3Char">
    <w:name w:val="Heading 3 Char"/>
    <w:basedOn w:val="DefaultParagraphFont"/>
    <w:link w:val="Heading3"/>
    <w:uiPriority w:val="9"/>
    <w:rsid w:val="004B21DA"/>
    <w:rPr>
      <w:rFonts w:ascii="Times New Roman" w:hAnsi="Times New Roman" w:cs="Times New Roman"/>
      <w:b/>
      <w:bCs/>
      <w:lang w:bidi="gu-IN"/>
    </w:rPr>
  </w:style>
  <w:style w:type="character" w:customStyle="1" w:styleId="Heading4Char">
    <w:name w:val="Heading 4 Char"/>
    <w:basedOn w:val="DefaultParagraphFont"/>
    <w:link w:val="Heading4"/>
    <w:uiPriority w:val="9"/>
    <w:rsid w:val="00067289"/>
    <w:rPr>
      <w:rFonts w:ascii="Times New Roman" w:hAnsi="Times New Roman" w:cs="Times New Roman"/>
      <w:b/>
      <w:bCs/>
      <w:sz w:val="20"/>
      <w:szCs w:val="20"/>
      <w:lang w:bidi="en-US"/>
    </w:rPr>
  </w:style>
  <w:style w:type="paragraph" w:styleId="BlockText">
    <w:name w:val="Block Text"/>
    <w:basedOn w:val="Normal"/>
    <w:uiPriority w:val="99"/>
    <w:unhideWhenUsed/>
    <w:rsid w:val="000003DA"/>
    <w:pPr>
      <w:spacing w:before="240" w:after="0" w:line="360" w:lineRule="auto"/>
      <w:ind w:left="990" w:right="-360" w:hanging="990"/>
      <w:jc w:val="both"/>
    </w:pPr>
    <w:rPr>
      <w:rFonts w:ascii="Times New Roman" w:hAnsi="Times New Roman" w:cs="Times New Roman"/>
      <w:b/>
      <w:bCs/>
    </w:rPr>
  </w:style>
  <w:style w:type="character" w:customStyle="1" w:styleId="Heading5Char">
    <w:name w:val="Heading 5 Char"/>
    <w:basedOn w:val="DefaultParagraphFont"/>
    <w:link w:val="Heading5"/>
    <w:uiPriority w:val="9"/>
    <w:rsid w:val="00A776FF"/>
    <w:rPr>
      <w:rFonts w:ascii="Times New Roman" w:hAnsi="Times New Roman" w:cs="Times New Roman"/>
      <w:b/>
      <w:lang w:bidi="gu-IN"/>
    </w:rPr>
  </w:style>
  <w:style w:type="character" w:customStyle="1" w:styleId="Heading6Char">
    <w:name w:val="Heading 6 Char"/>
    <w:basedOn w:val="DefaultParagraphFont"/>
    <w:link w:val="Heading6"/>
    <w:uiPriority w:val="9"/>
    <w:rsid w:val="00A776FF"/>
    <w:rPr>
      <w:rFonts w:ascii="Times New Roman" w:hAnsi="Times New Roman" w:cs="Times New Roman"/>
      <w:b/>
      <w:bCs/>
      <w:lang w:bidi="gu-IN"/>
    </w:rPr>
  </w:style>
  <w:style w:type="character" w:customStyle="1" w:styleId="Heading7Char">
    <w:name w:val="Heading 7 Char"/>
    <w:basedOn w:val="DefaultParagraphFont"/>
    <w:link w:val="Heading7"/>
    <w:uiPriority w:val="9"/>
    <w:rsid w:val="000116B0"/>
    <w:rPr>
      <w:rFonts w:ascii="Times New Roman" w:hAnsi="Times New Roman" w:cs="Times New Roman"/>
      <w:b/>
      <w:bCs/>
      <w:sz w:val="20"/>
      <w:szCs w:val="20"/>
      <w:lang w:bidi="gu-IN"/>
    </w:rPr>
  </w:style>
  <w:style w:type="character" w:customStyle="1" w:styleId="Heading8Char">
    <w:name w:val="Heading 8 Char"/>
    <w:basedOn w:val="DefaultParagraphFont"/>
    <w:link w:val="Heading8"/>
    <w:uiPriority w:val="9"/>
    <w:rsid w:val="003F1A9D"/>
    <w:rPr>
      <w:rFonts w:ascii="Times New Roman" w:hAnsi="Times New Roman" w:cs="Times New Roman"/>
      <w:b/>
      <w:bCs/>
      <w:sz w:val="20"/>
      <w:szCs w:val="20"/>
      <w:lang w:bidi="gu-IN"/>
    </w:rPr>
  </w:style>
  <w:style w:type="paragraph" w:styleId="BodyText2">
    <w:name w:val="Body Text 2"/>
    <w:basedOn w:val="Normal"/>
    <w:link w:val="BodyText2Char"/>
    <w:uiPriority w:val="99"/>
    <w:unhideWhenUsed/>
    <w:rsid w:val="001C574E"/>
    <w:pPr>
      <w:tabs>
        <w:tab w:val="left" w:pos="284"/>
        <w:tab w:val="left" w:pos="426"/>
      </w:tabs>
      <w:spacing w:after="0" w:line="36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1C574E"/>
    <w:rPr>
      <w:rFonts w:ascii="Times New Roman" w:hAnsi="Times New Roman" w:cs="Times New Roman"/>
      <w:sz w:val="20"/>
      <w:szCs w:val="20"/>
      <w:lang w:bidi="gu-IN"/>
    </w:rPr>
  </w:style>
  <w:style w:type="character" w:customStyle="1" w:styleId="A3">
    <w:name w:val="A3"/>
    <w:uiPriority w:val="99"/>
    <w:rsid w:val="003346F5"/>
    <w:rPr>
      <w:rFonts w:cs="New Baskerville"/>
      <w:b/>
      <w:bCs/>
      <w:color w:val="000000"/>
      <w:sz w:val="22"/>
      <w:szCs w:val="22"/>
    </w:rPr>
  </w:style>
  <w:style w:type="character" w:styleId="UnresolvedMention">
    <w:name w:val="Unresolved Mention"/>
    <w:basedOn w:val="DefaultParagraphFont"/>
    <w:uiPriority w:val="99"/>
    <w:semiHidden/>
    <w:unhideWhenUsed/>
    <w:rsid w:val="0025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691">
      <w:bodyDiv w:val="1"/>
      <w:marLeft w:val="0"/>
      <w:marRight w:val="0"/>
      <w:marTop w:val="0"/>
      <w:marBottom w:val="0"/>
      <w:divBdr>
        <w:top w:val="none" w:sz="0" w:space="0" w:color="auto"/>
        <w:left w:val="none" w:sz="0" w:space="0" w:color="auto"/>
        <w:bottom w:val="none" w:sz="0" w:space="0" w:color="auto"/>
        <w:right w:val="none" w:sz="0" w:space="0" w:color="auto"/>
      </w:divBdr>
    </w:div>
    <w:div w:id="55786278">
      <w:bodyDiv w:val="1"/>
      <w:marLeft w:val="0"/>
      <w:marRight w:val="0"/>
      <w:marTop w:val="0"/>
      <w:marBottom w:val="0"/>
      <w:divBdr>
        <w:top w:val="none" w:sz="0" w:space="0" w:color="auto"/>
        <w:left w:val="none" w:sz="0" w:space="0" w:color="auto"/>
        <w:bottom w:val="none" w:sz="0" w:space="0" w:color="auto"/>
        <w:right w:val="none" w:sz="0" w:space="0" w:color="auto"/>
      </w:divBdr>
    </w:div>
    <w:div w:id="83651161">
      <w:bodyDiv w:val="1"/>
      <w:marLeft w:val="0"/>
      <w:marRight w:val="0"/>
      <w:marTop w:val="0"/>
      <w:marBottom w:val="0"/>
      <w:divBdr>
        <w:top w:val="none" w:sz="0" w:space="0" w:color="auto"/>
        <w:left w:val="none" w:sz="0" w:space="0" w:color="auto"/>
        <w:bottom w:val="none" w:sz="0" w:space="0" w:color="auto"/>
        <w:right w:val="none" w:sz="0" w:space="0" w:color="auto"/>
      </w:divBdr>
      <w:divsChild>
        <w:div w:id="963005343">
          <w:marLeft w:val="0"/>
          <w:marRight w:val="0"/>
          <w:marTop w:val="0"/>
          <w:marBottom w:val="0"/>
          <w:divBdr>
            <w:top w:val="none" w:sz="0" w:space="0" w:color="auto"/>
            <w:left w:val="none" w:sz="0" w:space="0" w:color="auto"/>
            <w:bottom w:val="none" w:sz="0" w:space="0" w:color="auto"/>
            <w:right w:val="none" w:sz="0" w:space="0" w:color="auto"/>
          </w:divBdr>
        </w:div>
        <w:div w:id="823007719">
          <w:marLeft w:val="0"/>
          <w:marRight w:val="0"/>
          <w:marTop w:val="0"/>
          <w:marBottom w:val="0"/>
          <w:divBdr>
            <w:top w:val="none" w:sz="0" w:space="0" w:color="auto"/>
            <w:left w:val="none" w:sz="0" w:space="0" w:color="auto"/>
            <w:bottom w:val="none" w:sz="0" w:space="0" w:color="auto"/>
            <w:right w:val="none" w:sz="0" w:space="0" w:color="auto"/>
          </w:divBdr>
        </w:div>
        <w:div w:id="856038395">
          <w:marLeft w:val="0"/>
          <w:marRight w:val="0"/>
          <w:marTop w:val="0"/>
          <w:marBottom w:val="0"/>
          <w:divBdr>
            <w:top w:val="none" w:sz="0" w:space="0" w:color="auto"/>
            <w:left w:val="none" w:sz="0" w:space="0" w:color="auto"/>
            <w:bottom w:val="none" w:sz="0" w:space="0" w:color="auto"/>
            <w:right w:val="none" w:sz="0" w:space="0" w:color="auto"/>
          </w:divBdr>
        </w:div>
        <w:div w:id="2117557708">
          <w:marLeft w:val="0"/>
          <w:marRight w:val="0"/>
          <w:marTop w:val="0"/>
          <w:marBottom w:val="0"/>
          <w:divBdr>
            <w:top w:val="none" w:sz="0" w:space="0" w:color="auto"/>
            <w:left w:val="none" w:sz="0" w:space="0" w:color="auto"/>
            <w:bottom w:val="none" w:sz="0" w:space="0" w:color="auto"/>
            <w:right w:val="none" w:sz="0" w:space="0" w:color="auto"/>
          </w:divBdr>
        </w:div>
        <w:div w:id="1974094160">
          <w:marLeft w:val="0"/>
          <w:marRight w:val="0"/>
          <w:marTop w:val="0"/>
          <w:marBottom w:val="0"/>
          <w:divBdr>
            <w:top w:val="none" w:sz="0" w:space="0" w:color="auto"/>
            <w:left w:val="none" w:sz="0" w:space="0" w:color="auto"/>
            <w:bottom w:val="none" w:sz="0" w:space="0" w:color="auto"/>
            <w:right w:val="none" w:sz="0" w:space="0" w:color="auto"/>
          </w:divBdr>
        </w:div>
        <w:div w:id="486553357">
          <w:marLeft w:val="0"/>
          <w:marRight w:val="0"/>
          <w:marTop w:val="0"/>
          <w:marBottom w:val="0"/>
          <w:divBdr>
            <w:top w:val="none" w:sz="0" w:space="0" w:color="auto"/>
            <w:left w:val="none" w:sz="0" w:space="0" w:color="auto"/>
            <w:bottom w:val="none" w:sz="0" w:space="0" w:color="auto"/>
            <w:right w:val="none" w:sz="0" w:space="0" w:color="auto"/>
          </w:divBdr>
        </w:div>
        <w:div w:id="26178130">
          <w:marLeft w:val="0"/>
          <w:marRight w:val="0"/>
          <w:marTop w:val="0"/>
          <w:marBottom w:val="0"/>
          <w:divBdr>
            <w:top w:val="none" w:sz="0" w:space="0" w:color="auto"/>
            <w:left w:val="none" w:sz="0" w:space="0" w:color="auto"/>
            <w:bottom w:val="none" w:sz="0" w:space="0" w:color="auto"/>
            <w:right w:val="none" w:sz="0" w:space="0" w:color="auto"/>
          </w:divBdr>
        </w:div>
        <w:div w:id="1787264165">
          <w:marLeft w:val="0"/>
          <w:marRight w:val="0"/>
          <w:marTop w:val="0"/>
          <w:marBottom w:val="0"/>
          <w:divBdr>
            <w:top w:val="none" w:sz="0" w:space="0" w:color="auto"/>
            <w:left w:val="none" w:sz="0" w:space="0" w:color="auto"/>
            <w:bottom w:val="none" w:sz="0" w:space="0" w:color="auto"/>
            <w:right w:val="none" w:sz="0" w:space="0" w:color="auto"/>
          </w:divBdr>
        </w:div>
        <w:div w:id="2051295097">
          <w:marLeft w:val="0"/>
          <w:marRight w:val="0"/>
          <w:marTop w:val="0"/>
          <w:marBottom w:val="0"/>
          <w:divBdr>
            <w:top w:val="none" w:sz="0" w:space="0" w:color="auto"/>
            <w:left w:val="none" w:sz="0" w:space="0" w:color="auto"/>
            <w:bottom w:val="none" w:sz="0" w:space="0" w:color="auto"/>
            <w:right w:val="none" w:sz="0" w:space="0" w:color="auto"/>
          </w:divBdr>
        </w:div>
      </w:divsChild>
    </w:div>
    <w:div w:id="109672511">
      <w:bodyDiv w:val="1"/>
      <w:marLeft w:val="0"/>
      <w:marRight w:val="0"/>
      <w:marTop w:val="0"/>
      <w:marBottom w:val="0"/>
      <w:divBdr>
        <w:top w:val="none" w:sz="0" w:space="0" w:color="auto"/>
        <w:left w:val="none" w:sz="0" w:space="0" w:color="auto"/>
        <w:bottom w:val="none" w:sz="0" w:space="0" w:color="auto"/>
        <w:right w:val="none" w:sz="0" w:space="0" w:color="auto"/>
      </w:divBdr>
    </w:div>
    <w:div w:id="176164667">
      <w:bodyDiv w:val="1"/>
      <w:marLeft w:val="0"/>
      <w:marRight w:val="0"/>
      <w:marTop w:val="0"/>
      <w:marBottom w:val="0"/>
      <w:divBdr>
        <w:top w:val="none" w:sz="0" w:space="0" w:color="auto"/>
        <w:left w:val="none" w:sz="0" w:space="0" w:color="auto"/>
        <w:bottom w:val="none" w:sz="0" w:space="0" w:color="auto"/>
        <w:right w:val="none" w:sz="0" w:space="0" w:color="auto"/>
      </w:divBdr>
      <w:divsChild>
        <w:div w:id="2054041816">
          <w:marLeft w:val="0"/>
          <w:marRight w:val="0"/>
          <w:marTop w:val="0"/>
          <w:marBottom w:val="0"/>
          <w:divBdr>
            <w:top w:val="none" w:sz="0" w:space="0" w:color="auto"/>
            <w:left w:val="none" w:sz="0" w:space="0" w:color="auto"/>
            <w:bottom w:val="none" w:sz="0" w:space="0" w:color="auto"/>
            <w:right w:val="none" w:sz="0" w:space="0" w:color="auto"/>
          </w:divBdr>
          <w:divsChild>
            <w:div w:id="1083407732">
              <w:marLeft w:val="0"/>
              <w:marRight w:val="0"/>
              <w:marTop w:val="0"/>
              <w:marBottom w:val="0"/>
              <w:divBdr>
                <w:top w:val="none" w:sz="0" w:space="0" w:color="auto"/>
                <w:left w:val="none" w:sz="0" w:space="0" w:color="auto"/>
                <w:bottom w:val="none" w:sz="0" w:space="0" w:color="auto"/>
                <w:right w:val="none" w:sz="0" w:space="0" w:color="auto"/>
              </w:divBdr>
              <w:divsChild>
                <w:div w:id="1789279932">
                  <w:marLeft w:val="0"/>
                  <w:marRight w:val="0"/>
                  <w:marTop w:val="0"/>
                  <w:marBottom w:val="0"/>
                  <w:divBdr>
                    <w:top w:val="none" w:sz="0" w:space="0" w:color="auto"/>
                    <w:left w:val="none" w:sz="0" w:space="0" w:color="auto"/>
                    <w:bottom w:val="none" w:sz="0" w:space="0" w:color="auto"/>
                    <w:right w:val="none" w:sz="0" w:space="0" w:color="auto"/>
                  </w:divBdr>
                  <w:divsChild>
                    <w:div w:id="422844197">
                      <w:marLeft w:val="0"/>
                      <w:marRight w:val="0"/>
                      <w:marTop w:val="0"/>
                      <w:marBottom w:val="0"/>
                      <w:divBdr>
                        <w:top w:val="none" w:sz="0" w:space="0" w:color="auto"/>
                        <w:left w:val="none" w:sz="0" w:space="0" w:color="auto"/>
                        <w:bottom w:val="none" w:sz="0" w:space="0" w:color="auto"/>
                        <w:right w:val="none" w:sz="0" w:space="0" w:color="auto"/>
                      </w:divBdr>
                      <w:divsChild>
                        <w:div w:id="188833886">
                          <w:marLeft w:val="0"/>
                          <w:marRight w:val="0"/>
                          <w:marTop w:val="0"/>
                          <w:marBottom w:val="0"/>
                          <w:divBdr>
                            <w:top w:val="none" w:sz="0" w:space="0" w:color="auto"/>
                            <w:left w:val="none" w:sz="0" w:space="0" w:color="auto"/>
                            <w:bottom w:val="none" w:sz="0" w:space="0" w:color="auto"/>
                            <w:right w:val="none" w:sz="0" w:space="0" w:color="auto"/>
                          </w:divBdr>
                          <w:divsChild>
                            <w:div w:id="144009951">
                              <w:marLeft w:val="0"/>
                              <w:marRight w:val="0"/>
                              <w:marTop w:val="0"/>
                              <w:marBottom w:val="0"/>
                              <w:divBdr>
                                <w:top w:val="none" w:sz="0" w:space="0" w:color="auto"/>
                                <w:left w:val="none" w:sz="0" w:space="0" w:color="auto"/>
                                <w:bottom w:val="none" w:sz="0" w:space="0" w:color="auto"/>
                                <w:right w:val="none" w:sz="0" w:space="0" w:color="auto"/>
                              </w:divBdr>
                              <w:divsChild>
                                <w:div w:id="1644197953">
                                  <w:marLeft w:val="0"/>
                                  <w:marRight w:val="0"/>
                                  <w:marTop w:val="0"/>
                                  <w:marBottom w:val="0"/>
                                  <w:divBdr>
                                    <w:top w:val="none" w:sz="0" w:space="0" w:color="auto"/>
                                    <w:left w:val="none" w:sz="0" w:space="0" w:color="auto"/>
                                    <w:bottom w:val="none" w:sz="0" w:space="0" w:color="auto"/>
                                    <w:right w:val="none" w:sz="0" w:space="0" w:color="auto"/>
                                  </w:divBdr>
                                  <w:divsChild>
                                    <w:div w:id="193421598">
                                      <w:marLeft w:val="0"/>
                                      <w:marRight w:val="0"/>
                                      <w:marTop w:val="0"/>
                                      <w:marBottom w:val="0"/>
                                      <w:divBdr>
                                        <w:top w:val="none" w:sz="0" w:space="0" w:color="auto"/>
                                        <w:left w:val="none" w:sz="0" w:space="0" w:color="auto"/>
                                        <w:bottom w:val="none" w:sz="0" w:space="0" w:color="auto"/>
                                        <w:right w:val="none" w:sz="0" w:space="0" w:color="auto"/>
                                      </w:divBdr>
                                      <w:divsChild>
                                        <w:div w:id="446895272">
                                          <w:marLeft w:val="0"/>
                                          <w:marRight w:val="0"/>
                                          <w:marTop w:val="0"/>
                                          <w:marBottom w:val="0"/>
                                          <w:divBdr>
                                            <w:top w:val="none" w:sz="0" w:space="0" w:color="auto"/>
                                            <w:left w:val="none" w:sz="0" w:space="0" w:color="auto"/>
                                            <w:bottom w:val="none" w:sz="0" w:space="0" w:color="auto"/>
                                            <w:right w:val="none" w:sz="0" w:space="0" w:color="auto"/>
                                          </w:divBdr>
                                          <w:divsChild>
                                            <w:div w:id="1481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5677">
          <w:marLeft w:val="0"/>
          <w:marRight w:val="0"/>
          <w:marTop w:val="0"/>
          <w:marBottom w:val="0"/>
          <w:divBdr>
            <w:top w:val="none" w:sz="0" w:space="0" w:color="auto"/>
            <w:left w:val="none" w:sz="0" w:space="0" w:color="auto"/>
            <w:bottom w:val="none" w:sz="0" w:space="0" w:color="auto"/>
            <w:right w:val="none" w:sz="0" w:space="0" w:color="auto"/>
          </w:divBdr>
          <w:divsChild>
            <w:div w:id="1644502070">
              <w:marLeft w:val="0"/>
              <w:marRight w:val="0"/>
              <w:marTop w:val="0"/>
              <w:marBottom w:val="0"/>
              <w:divBdr>
                <w:top w:val="none" w:sz="0" w:space="0" w:color="auto"/>
                <w:left w:val="none" w:sz="0" w:space="0" w:color="auto"/>
                <w:bottom w:val="none" w:sz="0" w:space="0" w:color="auto"/>
                <w:right w:val="none" w:sz="0" w:space="0" w:color="auto"/>
              </w:divBdr>
              <w:divsChild>
                <w:div w:id="1390878574">
                  <w:marLeft w:val="0"/>
                  <w:marRight w:val="0"/>
                  <w:marTop w:val="0"/>
                  <w:marBottom w:val="0"/>
                  <w:divBdr>
                    <w:top w:val="none" w:sz="0" w:space="0" w:color="auto"/>
                    <w:left w:val="none" w:sz="0" w:space="0" w:color="auto"/>
                    <w:bottom w:val="none" w:sz="0" w:space="0" w:color="auto"/>
                    <w:right w:val="none" w:sz="0" w:space="0" w:color="auto"/>
                  </w:divBdr>
                  <w:divsChild>
                    <w:div w:id="1398819410">
                      <w:marLeft w:val="0"/>
                      <w:marRight w:val="0"/>
                      <w:marTop w:val="0"/>
                      <w:marBottom w:val="0"/>
                      <w:divBdr>
                        <w:top w:val="none" w:sz="0" w:space="0" w:color="auto"/>
                        <w:left w:val="none" w:sz="0" w:space="0" w:color="auto"/>
                        <w:bottom w:val="none" w:sz="0" w:space="0" w:color="auto"/>
                        <w:right w:val="none" w:sz="0" w:space="0" w:color="auto"/>
                      </w:divBdr>
                      <w:divsChild>
                        <w:div w:id="2024672699">
                          <w:marLeft w:val="0"/>
                          <w:marRight w:val="0"/>
                          <w:marTop w:val="0"/>
                          <w:marBottom w:val="0"/>
                          <w:divBdr>
                            <w:top w:val="none" w:sz="0" w:space="0" w:color="auto"/>
                            <w:left w:val="none" w:sz="0" w:space="0" w:color="auto"/>
                            <w:bottom w:val="none" w:sz="0" w:space="0" w:color="auto"/>
                            <w:right w:val="none" w:sz="0" w:space="0" w:color="auto"/>
                          </w:divBdr>
                          <w:divsChild>
                            <w:div w:id="462508244">
                              <w:marLeft w:val="0"/>
                              <w:marRight w:val="0"/>
                              <w:marTop w:val="0"/>
                              <w:marBottom w:val="0"/>
                              <w:divBdr>
                                <w:top w:val="none" w:sz="0" w:space="0" w:color="auto"/>
                                <w:left w:val="none" w:sz="0" w:space="0" w:color="auto"/>
                                <w:bottom w:val="none" w:sz="0" w:space="0" w:color="auto"/>
                                <w:right w:val="none" w:sz="0" w:space="0" w:color="auto"/>
                              </w:divBdr>
                              <w:divsChild>
                                <w:div w:id="611591942">
                                  <w:marLeft w:val="0"/>
                                  <w:marRight w:val="0"/>
                                  <w:marTop w:val="0"/>
                                  <w:marBottom w:val="0"/>
                                  <w:divBdr>
                                    <w:top w:val="none" w:sz="0" w:space="0" w:color="auto"/>
                                    <w:left w:val="none" w:sz="0" w:space="0" w:color="auto"/>
                                    <w:bottom w:val="none" w:sz="0" w:space="0" w:color="auto"/>
                                    <w:right w:val="none" w:sz="0" w:space="0" w:color="auto"/>
                                  </w:divBdr>
                                  <w:divsChild>
                                    <w:div w:id="1500341923">
                                      <w:marLeft w:val="0"/>
                                      <w:marRight w:val="0"/>
                                      <w:marTop w:val="0"/>
                                      <w:marBottom w:val="0"/>
                                      <w:divBdr>
                                        <w:top w:val="none" w:sz="0" w:space="0" w:color="auto"/>
                                        <w:left w:val="none" w:sz="0" w:space="0" w:color="auto"/>
                                        <w:bottom w:val="none" w:sz="0" w:space="0" w:color="auto"/>
                                        <w:right w:val="none" w:sz="0" w:space="0" w:color="auto"/>
                                      </w:divBdr>
                                      <w:divsChild>
                                        <w:div w:id="175002001">
                                          <w:marLeft w:val="0"/>
                                          <w:marRight w:val="0"/>
                                          <w:marTop w:val="0"/>
                                          <w:marBottom w:val="0"/>
                                          <w:divBdr>
                                            <w:top w:val="none" w:sz="0" w:space="0" w:color="auto"/>
                                            <w:left w:val="none" w:sz="0" w:space="0" w:color="auto"/>
                                            <w:bottom w:val="none" w:sz="0" w:space="0" w:color="auto"/>
                                            <w:right w:val="none" w:sz="0" w:space="0" w:color="auto"/>
                                          </w:divBdr>
                                          <w:divsChild>
                                            <w:div w:id="16894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886237">
      <w:bodyDiv w:val="1"/>
      <w:marLeft w:val="0"/>
      <w:marRight w:val="0"/>
      <w:marTop w:val="0"/>
      <w:marBottom w:val="0"/>
      <w:divBdr>
        <w:top w:val="none" w:sz="0" w:space="0" w:color="auto"/>
        <w:left w:val="none" w:sz="0" w:space="0" w:color="auto"/>
        <w:bottom w:val="none" w:sz="0" w:space="0" w:color="auto"/>
        <w:right w:val="none" w:sz="0" w:space="0" w:color="auto"/>
      </w:divBdr>
    </w:div>
    <w:div w:id="862479450">
      <w:bodyDiv w:val="1"/>
      <w:marLeft w:val="0"/>
      <w:marRight w:val="0"/>
      <w:marTop w:val="0"/>
      <w:marBottom w:val="0"/>
      <w:divBdr>
        <w:top w:val="none" w:sz="0" w:space="0" w:color="auto"/>
        <w:left w:val="none" w:sz="0" w:space="0" w:color="auto"/>
        <w:bottom w:val="none" w:sz="0" w:space="0" w:color="auto"/>
        <w:right w:val="none" w:sz="0" w:space="0" w:color="auto"/>
      </w:divBdr>
    </w:div>
    <w:div w:id="1092822893">
      <w:bodyDiv w:val="1"/>
      <w:marLeft w:val="0"/>
      <w:marRight w:val="0"/>
      <w:marTop w:val="0"/>
      <w:marBottom w:val="0"/>
      <w:divBdr>
        <w:top w:val="none" w:sz="0" w:space="0" w:color="auto"/>
        <w:left w:val="none" w:sz="0" w:space="0" w:color="auto"/>
        <w:bottom w:val="none" w:sz="0" w:space="0" w:color="auto"/>
        <w:right w:val="none" w:sz="0" w:space="0" w:color="auto"/>
      </w:divBdr>
    </w:div>
    <w:div w:id="1199470137">
      <w:bodyDiv w:val="1"/>
      <w:marLeft w:val="0"/>
      <w:marRight w:val="0"/>
      <w:marTop w:val="0"/>
      <w:marBottom w:val="0"/>
      <w:divBdr>
        <w:top w:val="none" w:sz="0" w:space="0" w:color="auto"/>
        <w:left w:val="none" w:sz="0" w:space="0" w:color="auto"/>
        <w:bottom w:val="none" w:sz="0" w:space="0" w:color="auto"/>
        <w:right w:val="none" w:sz="0" w:space="0" w:color="auto"/>
      </w:divBdr>
    </w:div>
    <w:div w:id="1327513941">
      <w:bodyDiv w:val="1"/>
      <w:marLeft w:val="0"/>
      <w:marRight w:val="0"/>
      <w:marTop w:val="0"/>
      <w:marBottom w:val="0"/>
      <w:divBdr>
        <w:top w:val="none" w:sz="0" w:space="0" w:color="auto"/>
        <w:left w:val="none" w:sz="0" w:space="0" w:color="auto"/>
        <w:bottom w:val="none" w:sz="0" w:space="0" w:color="auto"/>
        <w:right w:val="none" w:sz="0" w:space="0" w:color="auto"/>
      </w:divBdr>
      <w:divsChild>
        <w:div w:id="1733772063">
          <w:marLeft w:val="0"/>
          <w:marRight w:val="0"/>
          <w:marTop w:val="0"/>
          <w:marBottom w:val="0"/>
          <w:divBdr>
            <w:top w:val="none" w:sz="0" w:space="0" w:color="auto"/>
            <w:left w:val="single" w:sz="24" w:space="0" w:color="D9D9D9"/>
            <w:bottom w:val="none" w:sz="0" w:space="0" w:color="auto"/>
            <w:right w:val="none" w:sz="0" w:space="0" w:color="auto"/>
          </w:divBdr>
        </w:div>
        <w:div w:id="659894267">
          <w:marLeft w:val="0"/>
          <w:marRight w:val="0"/>
          <w:marTop w:val="0"/>
          <w:marBottom w:val="0"/>
          <w:divBdr>
            <w:top w:val="none" w:sz="0" w:space="0" w:color="auto"/>
            <w:left w:val="none" w:sz="0" w:space="0" w:color="auto"/>
            <w:bottom w:val="none" w:sz="0" w:space="0" w:color="auto"/>
            <w:right w:val="none" w:sz="0" w:space="0" w:color="auto"/>
          </w:divBdr>
          <w:divsChild>
            <w:div w:id="506212031">
              <w:marLeft w:val="0"/>
              <w:marRight w:val="0"/>
              <w:marTop w:val="0"/>
              <w:marBottom w:val="0"/>
              <w:divBdr>
                <w:top w:val="none" w:sz="0" w:space="0" w:color="auto"/>
                <w:left w:val="none" w:sz="0" w:space="0" w:color="auto"/>
                <w:bottom w:val="none" w:sz="0" w:space="0" w:color="auto"/>
                <w:right w:val="none" w:sz="0" w:space="0" w:color="auto"/>
              </w:divBdr>
            </w:div>
            <w:div w:id="1669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939">
      <w:bodyDiv w:val="1"/>
      <w:marLeft w:val="0"/>
      <w:marRight w:val="0"/>
      <w:marTop w:val="0"/>
      <w:marBottom w:val="0"/>
      <w:divBdr>
        <w:top w:val="none" w:sz="0" w:space="0" w:color="auto"/>
        <w:left w:val="none" w:sz="0" w:space="0" w:color="auto"/>
        <w:bottom w:val="none" w:sz="0" w:space="0" w:color="auto"/>
        <w:right w:val="none" w:sz="0" w:space="0" w:color="auto"/>
      </w:divBdr>
    </w:div>
    <w:div w:id="1612785376">
      <w:bodyDiv w:val="1"/>
      <w:marLeft w:val="0"/>
      <w:marRight w:val="0"/>
      <w:marTop w:val="0"/>
      <w:marBottom w:val="0"/>
      <w:divBdr>
        <w:top w:val="none" w:sz="0" w:space="0" w:color="auto"/>
        <w:left w:val="none" w:sz="0" w:space="0" w:color="auto"/>
        <w:bottom w:val="none" w:sz="0" w:space="0" w:color="auto"/>
        <w:right w:val="none" w:sz="0" w:space="0" w:color="auto"/>
      </w:divBdr>
    </w:div>
    <w:div w:id="1783501052">
      <w:bodyDiv w:val="1"/>
      <w:marLeft w:val="0"/>
      <w:marRight w:val="0"/>
      <w:marTop w:val="0"/>
      <w:marBottom w:val="0"/>
      <w:divBdr>
        <w:top w:val="none" w:sz="0" w:space="0" w:color="auto"/>
        <w:left w:val="none" w:sz="0" w:space="0" w:color="auto"/>
        <w:bottom w:val="none" w:sz="0" w:space="0" w:color="auto"/>
        <w:right w:val="none" w:sz="0" w:space="0" w:color="auto"/>
      </w:divBdr>
    </w:div>
    <w:div w:id="1838880961">
      <w:bodyDiv w:val="1"/>
      <w:marLeft w:val="0"/>
      <w:marRight w:val="0"/>
      <w:marTop w:val="0"/>
      <w:marBottom w:val="0"/>
      <w:divBdr>
        <w:top w:val="none" w:sz="0" w:space="0" w:color="auto"/>
        <w:left w:val="none" w:sz="0" w:space="0" w:color="auto"/>
        <w:bottom w:val="none" w:sz="0" w:space="0" w:color="auto"/>
        <w:right w:val="none" w:sz="0" w:space="0" w:color="auto"/>
      </w:divBdr>
    </w:div>
    <w:div w:id="18796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0/J091v22n03_03" TargetMode="External"/><Relationship Id="rId13" Type="http://schemas.openxmlformats.org/officeDocument/2006/relationships/hyperlink" Target="https://gssrr.org/JournalOfBasicAndApplied/article/view/6903" TargetMode="External"/><Relationship Id="rId18" Type="http://schemas.openxmlformats.org/officeDocument/2006/relationships/hyperlink" Target="https://doi.org/10.36808/if/2022/v148i11/15679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40538-016-0085-1" TargetMode="External"/><Relationship Id="rId7" Type="http://schemas.openxmlformats.org/officeDocument/2006/relationships/endnotes" Target="endnotes.xml"/><Relationship Id="rId12" Type="http://schemas.openxmlformats.org/officeDocument/2006/relationships/hyperlink" Target="https://doi.org/10.3390/cosmetics8020053" TargetMode="External"/><Relationship Id="rId17" Type="http://schemas.openxmlformats.org/officeDocument/2006/relationships/hyperlink" Target="https://www.jstor.org/stable/23723901" TargetMode="External"/><Relationship Id="rId25" Type="http://schemas.openxmlformats.org/officeDocument/2006/relationships/hyperlink" Target="https://doi.org/10.1007/978-981-16-6565-3_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488/journal.70.2019.64.213.223" TargetMode="External"/><Relationship Id="rId20" Type="http://schemas.openxmlformats.org/officeDocument/2006/relationships/hyperlink" Target="https://doi.org/10.1016/j.indcrop.2022.11487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72/2168-9776.1000223" TargetMode="External"/><Relationship Id="rId24" Type="http://schemas.openxmlformats.org/officeDocument/2006/relationships/hyperlink" Target="https://doi.org/10.1007/978-981-15-4752-2_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038/tare.v24i4.5548" TargetMode="External"/><Relationship Id="rId23" Type="http://schemas.openxmlformats.org/officeDocument/2006/relationships/hyperlink" Target="https://www.cabidigitallibrary.org/action/doSearch?do=Santalum" TargetMode="External"/><Relationship Id="rId28" Type="http://schemas.openxmlformats.org/officeDocument/2006/relationships/footer" Target="footer1.xml"/><Relationship Id="rId10" Type="http://schemas.openxmlformats.org/officeDocument/2006/relationships/hyperlink" Target="https://doi.org/10.1007/s12298-016-0368-9" TargetMode="External"/><Relationship Id="rId19" Type="http://schemas.openxmlformats.org/officeDocument/2006/relationships/hyperlink" Target="https://www.uasd.in/journal-of-farm-sciences/archives/vol-33-no-3-202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asjt.com/upload/4596.pdf" TargetMode="External"/><Relationship Id="rId14" Type="http://schemas.openxmlformats.org/officeDocument/2006/relationships/hyperlink" Target="https://doi.org/10.33545/2618060X.2025.v8.i4b.2757" TargetMode="External"/><Relationship Id="rId22" Type="http://schemas.openxmlformats.org/officeDocument/2006/relationships/hyperlink" Target="https://doi.org/10.1007/BF00011116"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51A5-0107-4227-813D-F5EDD05E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khushbu</dc:creator>
  <cp:keywords/>
  <dc:description/>
  <cp:lastModifiedBy>khushbu</cp:lastModifiedBy>
  <cp:revision>353</cp:revision>
  <dcterms:created xsi:type="dcterms:W3CDTF">2025-11-30T14:47:00Z</dcterms:created>
  <dcterms:modified xsi:type="dcterms:W3CDTF">2025-12-16T00:45:00Z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8c6a4484-8158-4031-bfb8-6b1b891f8aa4</vt:lpwstr>
  </property>
</Properties>
</file>