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BD998" w14:textId="77777777" w:rsidR="002D7381" w:rsidRPr="00A858DB" w:rsidRDefault="002D7381" w:rsidP="00A858DB">
      <w:pPr>
        <w:pStyle w:val="NormalWeb"/>
        <w:spacing w:before="0" w:beforeAutospacing="0" w:after="120" w:afterAutospacing="0"/>
        <w:jc w:val="center"/>
        <w:rPr>
          <w:b/>
          <w:sz w:val="22"/>
          <w:szCs w:val="22"/>
        </w:rPr>
      </w:pPr>
      <w:r w:rsidRPr="00A858DB">
        <w:rPr>
          <w:b/>
          <w:sz w:val="22"/>
          <w:szCs w:val="22"/>
        </w:rPr>
        <w:t>Seasonal Assessment of Chemical Properties of Borehole Water in Enugu North Local Government Area, Enugu State, Nigeria</w:t>
      </w:r>
    </w:p>
    <w:p w14:paraId="7A9013D0" w14:textId="77777777" w:rsidR="002D7381" w:rsidRPr="002E7599" w:rsidRDefault="002D7381" w:rsidP="002E7599">
      <w:pPr>
        <w:pStyle w:val="NormalWeb"/>
        <w:spacing w:before="0" w:beforeAutospacing="0" w:after="120" w:afterAutospacing="0"/>
        <w:jc w:val="both"/>
        <w:rPr>
          <w:sz w:val="22"/>
          <w:szCs w:val="22"/>
        </w:rPr>
      </w:pPr>
    </w:p>
    <w:p w14:paraId="0455171D" w14:textId="77777777" w:rsidR="002D7381" w:rsidRPr="00D61C37" w:rsidRDefault="002D7381" w:rsidP="002E7599">
      <w:pPr>
        <w:pStyle w:val="NormalWeb"/>
        <w:spacing w:before="0" w:beforeAutospacing="0" w:after="120" w:afterAutospacing="0"/>
        <w:jc w:val="both"/>
        <w:rPr>
          <w:b/>
          <w:sz w:val="22"/>
          <w:szCs w:val="22"/>
        </w:rPr>
      </w:pPr>
      <w:r w:rsidRPr="00D61C37">
        <w:rPr>
          <w:b/>
          <w:sz w:val="22"/>
          <w:szCs w:val="22"/>
        </w:rPr>
        <w:t xml:space="preserve">Abstract </w:t>
      </w:r>
    </w:p>
    <w:p w14:paraId="4F647373" w14:textId="77777777" w:rsidR="00D61C37" w:rsidRDefault="00D61C37" w:rsidP="00D61C37">
      <w:pPr>
        <w:pStyle w:val="NormalWeb"/>
        <w:spacing w:before="0" w:beforeAutospacing="0" w:after="120" w:afterAutospacing="0"/>
        <w:jc w:val="both"/>
        <w:rPr>
          <w:sz w:val="22"/>
        </w:rPr>
      </w:pPr>
      <w:r w:rsidRPr="00D61C37">
        <w:rPr>
          <w:sz w:val="22"/>
        </w:rPr>
        <w:t>This study assessed the seasonal variation in the chemical properties of borehole water from twelve sampled locations in Enugu North Local Government Area over a six-month period covering the wet season (June–August 2023) and the dry season (November 2023–January 2024). The analysis focused on key chemical parameters, including dissolved oxygen (DO), chemical oxygen demand (COD), biochemical oxygen demand (BOD), chloride, sulphate, nitrate, total hardness, and total alkalinity, in order to understand the influence of seasonal changes on groundwater quality. The results clearly demonstrate that seasonality has a significant impact on the chemical composition of groundwater in the study area. Paired sample t-test analysis revealed statistically significant differences between wet and dry season values for all parameters investigated. Most parameters, including total hardness, BOD, chloride, sulphate, nitrate, and total alkalinity, recorded higher concentrations during the dry season, which can be attributed to reduced groundwater recharge, increased evaporation, and limited dilution of dissolved substances. In contrast, dissolved oxygen and chemical oxygen demand were higher during the wet season, likely due to increased recharge, surface runoff, and enhanced transport of organic and inorganic materials into the aquifer system. The observed seasonal trends highlight potential water quality concerns, particularly during the dry season when elevated concentrations of hardness-forming ions and nutrients such as nitrate may pose health and aesthetic challenges for domestic water use. These findings underscore the need for regular and season-based monitoring of borehole water quality in Enugu North LGA. Implementing appropriate groundwater protection strategies and public awareness programs will help ensure the sustainability and safety of groundwater resources in the area.</w:t>
      </w:r>
    </w:p>
    <w:p w14:paraId="5BADDA4B" w14:textId="77777777" w:rsidR="00D61C37" w:rsidRPr="00D61C37" w:rsidRDefault="00D61C37" w:rsidP="00D61C37">
      <w:pPr>
        <w:pStyle w:val="NormalWeb"/>
        <w:spacing w:before="0" w:beforeAutospacing="0" w:after="120" w:afterAutospacing="0"/>
        <w:jc w:val="both"/>
        <w:rPr>
          <w:sz w:val="22"/>
        </w:rPr>
      </w:pPr>
      <w:r w:rsidRPr="00C13BD1">
        <w:rPr>
          <w:b/>
          <w:sz w:val="22"/>
        </w:rPr>
        <w:t>Keywords:</w:t>
      </w:r>
      <w:r>
        <w:rPr>
          <w:sz w:val="22"/>
        </w:rPr>
        <w:t xml:space="preserve"> </w:t>
      </w:r>
      <w:r w:rsidR="00C13BD1">
        <w:rPr>
          <w:sz w:val="22"/>
        </w:rPr>
        <w:t>Groundwater quality, Seasonal variation, Borehole water, Chemical Properties, Enugu North LGA</w:t>
      </w:r>
    </w:p>
    <w:p w14:paraId="379C4F15" w14:textId="77777777" w:rsidR="002D7381" w:rsidRPr="00A858DB" w:rsidRDefault="002E7599" w:rsidP="002E7599">
      <w:pPr>
        <w:pStyle w:val="NormalWeb"/>
        <w:spacing w:before="0" w:beforeAutospacing="0" w:after="120" w:afterAutospacing="0"/>
        <w:jc w:val="both"/>
        <w:rPr>
          <w:b/>
          <w:sz w:val="22"/>
          <w:szCs w:val="22"/>
        </w:rPr>
      </w:pPr>
      <w:r w:rsidRPr="00A858DB">
        <w:rPr>
          <w:b/>
          <w:sz w:val="22"/>
          <w:szCs w:val="22"/>
        </w:rPr>
        <w:t xml:space="preserve">1. </w:t>
      </w:r>
      <w:r w:rsidR="002D7381" w:rsidRPr="00A858DB">
        <w:rPr>
          <w:b/>
          <w:sz w:val="22"/>
          <w:szCs w:val="22"/>
        </w:rPr>
        <w:t xml:space="preserve">Introduction </w:t>
      </w:r>
    </w:p>
    <w:p w14:paraId="02929852"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Access to safe and potable water remains a critical public health and environmental challenge, particularly in developing countries where reliance on groundwater sources is steadily increasing. Groundwater, accessed mainly through boreholes, constitutes a major source of drinking water for both urban and rural populations due to its relative availability, perceived purity, and protection from direct surface contamination</w:t>
      </w:r>
      <w:r w:rsidR="005E6951" w:rsidRPr="000519F0">
        <w:rPr>
          <w:sz w:val="22"/>
          <w:szCs w:val="22"/>
        </w:rPr>
        <w:t xml:space="preserve"> (</w:t>
      </w:r>
      <w:proofErr w:type="spellStart"/>
      <w:r w:rsidR="005E6951" w:rsidRPr="000519F0">
        <w:rPr>
          <w:color w:val="222222"/>
          <w:sz w:val="22"/>
          <w:szCs w:val="22"/>
          <w:shd w:val="clear" w:color="auto" w:fill="FFFFFF"/>
        </w:rPr>
        <w:t>Masindi</w:t>
      </w:r>
      <w:proofErr w:type="spellEnd"/>
      <w:r w:rsidR="005E6951" w:rsidRPr="000519F0">
        <w:rPr>
          <w:color w:val="222222"/>
          <w:sz w:val="22"/>
          <w:szCs w:val="22"/>
          <w:shd w:val="clear" w:color="auto" w:fill="FFFFFF"/>
        </w:rPr>
        <w:t xml:space="preserve"> &amp; </w:t>
      </w:r>
      <w:proofErr w:type="spellStart"/>
      <w:r w:rsidR="005E6951" w:rsidRPr="000519F0">
        <w:rPr>
          <w:color w:val="222222"/>
          <w:sz w:val="22"/>
          <w:szCs w:val="22"/>
          <w:shd w:val="clear" w:color="auto" w:fill="FFFFFF"/>
        </w:rPr>
        <w:t>Foteinis</w:t>
      </w:r>
      <w:proofErr w:type="spellEnd"/>
      <w:r w:rsidR="005E6951" w:rsidRPr="000519F0">
        <w:rPr>
          <w:color w:val="222222"/>
          <w:sz w:val="22"/>
          <w:szCs w:val="22"/>
          <w:shd w:val="clear" w:color="auto" w:fill="FFFFFF"/>
        </w:rPr>
        <w:t>, 2021</w:t>
      </w:r>
      <w:r w:rsidR="00C87CCC" w:rsidRPr="000519F0">
        <w:rPr>
          <w:color w:val="222222"/>
          <w:sz w:val="22"/>
          <w:szCs w:val="22"/>
          <w:shd w:val="clear" w:color="auto" w:fill="FFFFFF"/>
        </w:rPr>
        <w:t xml:space="preserve">; </w:t>
      </w:r>
      <w:proofErr w:type="spellStart"/>
      <w:r w:rsidR="00C87CCC" w:rsidRPr="000519F0">
        <w:rPr>
          <w:color w:val="222222"/>
          <w:sz w:val="22"/>
          <w:szCs w:val="22"/>
          <w:shd w:val="clear" w:color="auto" w:fill="FFFFFF"/>
        </w:rPr>
        <w:t>Lapworth</w:t>
      </w:r>
      <w:proofErr w:type="spellEnd"/>
      <w:r w:rsidR="00C87CCC" w:rsidRPr="000519F0">
        <w:rPr>
          <w:color w:val="222222"/>
          <w:sz w:val="22"/>
          <w:szCs w:val="22"/>
          <w:shd w:val="clear" w:color="auto" w:fill="FFFFFF"/>
        </w:rPr>
        <w:t xml:space="preserve"> et al., 2017</w:t>
      </w:r>
      <w:r w:rsidR="005E6951" w:rsidRPr="000519F0">
        <w:rPr>
          <w:sz w:val="22"/>
          <w:szCs w:val="22"/>
        </w:rPr>
        <w:t>)</w:t>
      </w:r>
      <w:r w:rsidRPr="000519F0">
        <w:rPr>
          <w:sz w:val="22"/>
          <w:szCs w:val="22"/>
        </w:rPr>
        <w:t>. In many Nigerian cities, including Enugu, borehole water serves as the primary source of domestic water supply owing to the inadequacy of municipal water systems. However, despite its widespread use, groundwater quality is not immune to contamination and can be significantly influenced by natural geological processes and anthropogenic activities</w:t>
      </w:r>
      <w:r w:rsidR="00C87CCC" w:rsidRPr="000519F0">
        <w:rPr>
          <w:sz w:val="22"/>
          <w:szCs w:val="22"/>
        </w:rPr>
        <w:t xml:space="preserve"> (</w:t>
      </w:r>
      <w:r w:rsidR="00C87CCC" w:rsidRPr="000519F0">
        <w:rPr>
          <w:color w:val="222222"/>
          <w:sz w:val="22"/>
          <w:szCs w:val="22"/>
          <w:shd w:val="clear" w:color="auto" w:fill="FFFFFF"/>
        </w:rPr>
        <w:t>Akhtar et al., 2021</w:t>
      </w:r>
      <w:r w:rsidR="001D03A7" w:rsidRPr="000519F0">
        <w:rPr>
          <w:color w:val="222222"/>
          <w:sz w:val="22"/>
          <w:szCs w:val="22"/>
          <w:shd w:val="clear" w:color="auto" w:fill="FFFFFF"/>
        </w:rPr>
        <w:t>; Khatri &amp; Tyagi, 2015</w:t>
      </w:r>
      <w:r w:rsidR="00C87CCC" w:rsidRPr="000519F0">
        <w:rPr>
          <w:sz w:val="22"/>
          <w:szCs w:val="22"/>
        </w:rPr>
        <w:t>)</w:t>
      </w:r>
      <w:r w:rsidRPr="000519F0">
        <w:rPr>
          <w:sz w:val="22"/>
          <w:szCs w:val="22"/>
        </w:rPr>
        <w:t>.</w:t>
      </w:r>
    </w:p>
    <w:p w14:paraId="4CEA4466"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The chemical quality of groundwater is a vital determinant of its suitability for drinking, domestic, agricultural, and industrial uses. Chemical para</w:t>
      </w:r>
      <w:r w:rsidR="002B7BD1" w:rsidRPr="000519F0">
        <w:rPr>
          <w:sz w:val="22"/>
          <w:szCs w:val="22"/>
        </w:rPr>
        <w:t>meters such as dissolved oxygen, biochemical oxygen demand</w:t>
      </w:r>
      <w:r w:rsidRPr="000519F0">
        <w:rPr>
          <w:sz w:val="22"/>
          <w:szCs w:val="22"/>
        </w:rPr>
        <w:t>, chemical o</w:t>
      </w:r>
      <w:r w:rsidR="002B7BD1" w:rsidRPr="000519F0">
        <w:rPr>
          <w:sz w:val="22"/>
          <w:szCs w:val="22"/>
        </w:rPr>
        <w:t>xygen demand</w:t>
      </w:r>
      <w:r w:rsidRPr="000519F0">
        <w:rPr>
          <w:sz w:val="22"/>
          <w:szCs w:val="22"/>
        </w:rPr>
        <w:t xml:space="preserve">, chloride, sulphate, nitrate, total hardness, and total alkalinity play crucial roles in assessing the overall </w:t>
      </w:r>
      <w:proofErr w:type="spellStart"/>
      <w:r w:rsidRPr="000519F0">
        <w:rPr>
          <w:sz w:val="22"/>
          <w:szCs w:val="22"/>
        </w:rPr>
        <w:t>hydrochemical</w:t>
      </w:r>
      <w:proofErr w:type="spellEnd"/>
      <w:r w:rsidRPr="000519F0">
        <w:rPr>
          <w:sz w:val="22"/>
          <w:szCs w:val="22"/>
        </w:rPr>
        <w:t xml:space="preserve"> status of water resources</w:t>
      </w:r>
      <w:r w:rsidR="00431A9A" w:rsidRPr="000519F0">
        <w:rPr>
          <w:sz w:val="22"/>
          <w:szCs w:val="22"/>
        </w:rPr>
        <w:t xml:space="preserve"> (</w:t>
      </w:r>
      <w:r w:rsidR="00431A9A" w:rsidRPr="000519F0">
        <w:rPr>
          <w:color w:val="222222"/>
          <w:sz w:val="22"/>
          <w:szCs w:val="22"/>
          <w:shd w:val="clear" w:color="auto" w:fill="FFFFFF"/>
        </w:rPr>
        <w:t xml:space="preserve">Kumar et al., 2022; </w:t>
      </w:r>
      <w:proofErr w:type="spellStart"/>
      <w:r w:rsidR="00431A9A" w:rsidRPr="000519F0">
        <w:rPr>
          <w:color w:val="222222"/>
          <w:sz w:val="22"/>
          <w:szCs w:val="22"/>
          <w:shd w:val="clear" w:color="auto" w:fill="FFFFFF"/>
        </w:rPr>
        <w:t>Nayar</w:t>
      </w:r>
      <w:proofErr w:type="spellEnd"/>
      <w:r w:rsidR="00431A9A" w:rsidRPr="000519F0">
        <w:rPr>
          <w:color w:val="222222"/>
          <w:sz w:val="22"/>
          <w:szCs w:val="22"/>
          <w:shd w:val="clear" w:color="auto" w:fill="FFFFFF"/>
        </w:rPr>
        <w:t xml:space="preserve">, 2020; </w:t>
      </w:r>
      <w:proofErr w:type="spellStart"/>
      <w:r w:rsidR="00431A9A" w:rsidRPr="000519F0">
        <w:rPr>
          <w:color w:val="222222"/>
          <w:sz w:val="22"/>
          <w:szCs w:val="22"/>
          <w:shd w:val="clear" w:color="auto" w:fill="FFFFFF"/>
        </w:rPr>
        <w:t>SHaRma</w:t>
      </w:r>
      <w:proofErr w:type="spellEnd"/>
      <w:r w:rsidR="00431A9A" w:rsidRPr="000519F0">
        <w:rPr>
          <w:color w:val="222222"/>
          <w:sz w:val="22"/>
          <w:szCs w:val="22"/>
          <w:shd w:val="clear" w:color="auto" w:fill="FFFFFF"/>
        </w:rPr>
        <w:t xml:space="preserve"> &amp; </w:t>
      </w:r>
      <w:proofErr w:type="spellStart"/>
      <w:r w:rsidR="00431A9A" w:rsidRPr="000519F0">
        <w:rPr>
          <w:color w:val="222222"/>
          <w:sz w:val="22"/>
          <w:szCs w:val="22"/>
          <w:shd w:val="clear" w:color="auto" w:fill="FFFFFF"/>
        </w:rPr>
        <w:t>WalIa</w:t>
      </w:r>
      <w:proofErr w:type="spellEnd"/>
      <w:r w:rsidR="00431A9A" w:rsidRPr="000519F0">
        <w:rPr>
          <w:color w:val="222222"/>
          <w:sz w:val="22"/>
          <w:szCs w:val="22"/>
          <w:shd w:val="clear" w:color="auto" w:fill="FFFFFF"/>
        </w:rPr>
        <w:t>, 2017</w:t>
      </w:r>
      <w:r w:rsidR="00F06D83" w:rsidRPr="000519F0">
        <w:rPr>
          <w:color w:val="222222"/>
          <w:sz w:val="22"/>
          <w:szCs w:val="22"/>
          <w:shd w:val="clear" w:color="auto" w:fill="FFFFFF"/>
        </w:rPr>
        <w:t xml:space="preserve">; Sharma, </w:t>
      </w:r>
      <w:proofErr w:type="spellStart"/>
      <w:r w:rsidR="00F06D83" w:rsidRPr="000519F0">
        <w:rPr>
          <w:color w:val="222222"/>
          <w:sz w:val="22"/>
          <w:szCs w:val="22"/>
          <w:shd w:val="clear" w:color="auto" w:fill="FFFFFF"/>
        </w:rPr>
        <w:t>Walia</w:t>
      </w:r>
      <w:proofErr w:type="spellEnd"/>
      <w:r w:rsidR="00F06D83" w:rsidRPr="000519F0">
        <w:rPr>
          <w:color w:val="222222"/>
          <w:sz w:val="22"/>
          <w:szCs w:val="22"/>
          <w:shd w:val="clear" w:color="auto" w:fill="FFFFFF"/>
        </w:rPr>
        <w:t>, &amp; Kumar, 2015</w:t>
      </w:r>
      <w:r w:rsidR="00431A9A" w:rsidRPr="000519F0">
        <w:rPr>
          <w:sz w:val="22"/>
          <w:szCs w:val="22"/>
        </w:rPr>
        <w:t>)</w:t>
      </w:r>
      <w:r w:rsidRPr="000519F0">
        <w:rPr>
          <w:sz w:val="22"/>
          <w:szCs w:val="22"/>
        </w:rPr>
        <w:t>. These parameters provide insights into the presence of organic and inorganic pollutants, salinity levels, nutrient enrichment, and buffering capacity of water. Elevated concentrations of certain chemical constituents, especially nitrate, chloride, and sulphate, have been associated with adverse health effects, including methemoglobinemia, gastrointestinal disorders, and long-term chronic illnesses, while high BOD and COD values indicate organic pollution that can compromise water quality and ecosystem health</w:t>
      </w:r>
      <w:r w:rsidR="00684A03" w:rsidRPr="000519F0">
        <w:rPr>
          <w:sz w:val="22"/>
          <w:szCs w:val="22"/>
        </w:rPr>
        <w:t xml:space="preserve"> (</w:t>
      </w:r>
      <w:r w:rsidR="001A2957" w:rsidRPr="000519F0">
        <w:rPr>
          <w:color w:val="222222"/>
          <w:sz w:val="22"/>
          <w:szCs w:val="22"/>
          <w:shd w:val="clear" w:color="auto" w:fill="FFFFFF"/>
        </w:rPr>
        <w:t xml:space="preserve">Verma et al., 2025; </w:t>
      </w:r>
      <w:r w:rsidR="00684A03" w:rsidRPr="000519F0">
        <w:rPr>
          <w:color w:val="222222"/>
          <w:sz w:val="22"/>
          <w:szCs w:val="22"/>
          <w:shd w:val="clear" w:color="auto" w:fill="FFFFFF"/>
        </w:rPr>
        <w:t xml:space="preserve">Sokal-Dembowska et al., 2025; </w:t>
      </w:r>
      <w:proofErr w:type="spellStart"/>
      <w:r w:rsidR="00481DDA" w:rsidRPr="000519F0">
        <w:rPr>
          <w:color w:val="222222"/>
          <w:sz w:val="22"/>
          <w:szCs w:val="22"/>
          <w:shd w:val="clear" w:color="auto" w:fill="FFFFFF"/>
        </w:rPr>
        <w:t>Lv</w:t>
      </w:r>
      <w:proofErr w:type="spellEnd"/>
      <w:r w:rsidR="00481DDA" w:rsidRPr="000519F0">
        <w:rPr>
          <w:color w:val="222222"/>
          <w:sz w:val="22"/>
          <w:szCs w:val="22"/>
          <w:shd w:val="clear" w:color="auto" w:fill="FFFFFF"/>
        </w:rPr>
        <w:t xml:space="preserve"> et al., 2024; Bader, Hussein, &amp; Jabar, 2022; </w:t>
      </w:r>
      <w:r w:rsidR="00684A03" w:rsidRPr="000519F0">
        <w:rPr>
          <w:color w:val="222222"/>
          <w:sz w:val="22"/>
          <w:szCs w:val="22"/>
          <w:shd w:val="clear" w:color="auto" w:fill="FFFFFF"/>
        </w:rPr>
        <w:t>Brender, 2020</w:t>
      </w:r>
      <w:r w:rsidR="001A2957" w:rsidRPr="000519F0">
        <w:rPr>
          <w:color w:val="222222"/>
          <w:sz w:val="22"/>
          <w:szCs w:val="22"/>
          <w:shd w:val="clear" w:color="auto" w:fill="FFFFFF"/>
        </w:rPr>
        <w:t>; Lee et al., 2016</w:t>
      </w:r>
      <w:r w:rsidR="00684A03" w:rsidRPr="000519F0">
        <w:rPr>
          <w:sz w:val="22"/>
          <w:szCs w:val="22"/>
        </w:rPr>
        <w:t>)</w:t>
      </w:r>
      <w:r w:rsidRPr="000519F0">
        <w:rPr>
          <w:sz w:val="22"/>
          <w:szCs w:val="22"/>
        </w:rPr>
        <w:t>.</w:t>
      </w:r>
    </w:p>
    <w:p w14:paraId="524EE941"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lastRenderedPageBreak/>
        <w:t>Seasonal variation is one of the most significant factors affecting groundwater chemistry, particularly in tropical regions characterized by distinct wet and dry seasons. During the wet season, increased rainfall enhances surface runoff and infiltration, which can introduce contaminants from agricultural lands, waste dumps, septic systems, and urban runoff into groundwater aquifers</w:t>
      </w:r>
      <w:r w:rsidR="001B0112" w:rsidRPr="000519F0">
        <w:rPr>
          <w:sz w:val="22"/>
          <w:szCs w:val="22"/>
        </w:rPr>
        <w:t xml:space="preserve"> (</w:t>
      </w:r>
      <w:r w:rsidR="001B0112" w:rsidRPr="000519F0">
        <w:rPr>
          <w:color w:val="222222"/>
          <w:sz w:val="22"/>
          <w:szCs w:val="22"/>
          <w:shd w:val="clear" w:color="auto" w:fill="FFFFFF"/>
        </w:rPr>
        <w:t>Brindha &amp; Schneider, 2019</w:t>
      </w:r>
      <w:r w:rsidR="001B0112" w:rsidRPr="000519F0">
        <w:rPr>
          <w:sz w:val="22"/>
          <w:szCs w:val="22"/>
        </w:rPr>
        <w:t>)</w:t>
      </w:r>
      <w:r w:rsidRPr="000519F0">
        <w:rPr>
          <w:sz w:val="22"/>
          <w:szCs w:val="22"/>
        </w:rPr>
        <w:t>. Conversely, during the dry season, reduced recharge and increased evaporation may lead to higher concentrations of dissolved ions due to limited dilution</w:t>
      </w:r>
      <w:r w:rsidR="009D5505" w:rsidRPr="000519F0">
        <w:rPr>
          <w:sz w:val="22"/>
          <w:szCs w:val="22"/>
        </w:rPr>
        <w:t xml:space="preserve"> (</w:t>
      </w:r>
      <w:r w:rsidR="009D5505" w:rsidRPr="000519F0">
        <w:rPr>
          <w:color w:val="222222"/>
          <w:sz w:val="22"/>
          <w:szCs w:val="22"/>
          <w:shd w:val="clear" w:color="auto" w:fill="FFFFFF"/>
        </w:rPr>
        <w:t>Meredith</w:t>
      </w:r>
      <w:r w:rsidR="00302727" w:rsidRPr="000519F0">
        <w:rPr>
          <w:color w:val="222222"/>
          <w:sz w:val="22"/>
          <w:szCs w:val="22"/>
          <w:shd w:val="clear" w:color="auto" w:fill="FFFFFF"/>
        </w:rPr>
        <w:t xml:space="preserve"> </w:t>
      </w:r>
      <w:r w:rsidR="009D5505" w:rsidRPr="000519F0">
        <w:rPr>
          <w:color w:val="222222"/>
          <w:sz w:val="22"/>
          <w:szCs w:val="22"/>
          <w:shd w:val="clear" w:color="auto" w:fill="FFFFFF"/>
        </w:rPr>
        <w:t>et al., 2015</w:t>
      </w:r>
      <w:r w:rsidR="009D5505" w:rsidRPr="000519F0">
        <w:rPr>
          <w:sz w:val="22"/>
          <w:szCs w:val="22"/>
        </w:rPr>
        <w:t>)</w:t>
      </w:r>
      <w:r w:rsidRPr="000519F0">
        <w:rPr>
          <w:sz w:val="22"/>
          <w:szCs w:val="22"/>
        </w:rPr>
        <w:t>. As a result, the chemical composition of borehole water often exhibits notable temporal variations, underscoring the importance of seasonal monitoring in groundwater quality studies.</w:t>
      </w:r>
    </w:p>
    <w:p w14:paraId="3857382F"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Enugu North Local Government Area (LGA), located in Enugu State, southeastern Nigeria, is an urbanizing area experiencing rapid population growth, infrastructural expansion, and increased human activities. These developments have intensified pressure on groundwater resources through indiscriminate waste disposal, sewage discharge, agricultural practices, and unregulated borehole drilling. The geological formation of the area, dominated by sedimentary rocks, further influences groundwater chemistry through mineral dissolution and ion exchange processes</w:t>
      </w:r>
      <w:r w:rsidR="00302727" w:rsidRPr="000519F0">
        <w:rPr>
          <w:sz w:val="22"/>
          <w:szCs w:val="22"/>
        </w:rPr>
        <w:t xml:space="preserve"> (</w:t>
      </w:r>
      <w:r w:rsidR="00302727" w:rsidRPr="000519F0">
        <w:rPr>
          <w:color w:val="222222"/>
          <w:sz w:val="22"/>
          <w:szCs w:val="22"/>
          <w:shd w:val="clear" w:color="auto" w:fill="FFFFFF"/>
        </w:rPr>
        <w:t>Nnaemeka-Okeke &amp; Okeke, 2024)</w:t>
      </w:r>
      <w:r w:rsidRPr="000519F0">
        <w:rPr>
          <w:sz w:val="22"/>
          <w:szCs w:val="22"/>
        </w:rPr>
        <w:t>. Despite the heavy dependence on borehole water in Enugu North LGA, comprehensive data on the seasonal chemical characteristics of groundwater in the area remain limited.</w:t>
      </w:r>
    </w:p>
    <w:p w14:paraId="05132730"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 xml:space="preserve">There is a notable gap in detailed assessments that specifically examine seasonal variations in key chemical parameters related to organic pollution, nutrient loading, and water hardness. Understanding the </w:t>
      </w:r>
      <w:proofErr w:type="spellStart"/>
      <w:r w:rsidRPr="000519F0">
        <w:rPr>
          <w:sz w:val="22"/>
          <w:szCs w:val="22"/>
        </w:rPr>
        <w:t>behavio</w:t>
      </w:r>
      <w:r w:rsidR="005503FE" w:rsidRPr="000519F0">
        <w:rPr>
          <w:sz w:val="22"/>
          <w:szCs w:val="22"/>
        </w:rPr>
        <w:t>u</w:t>
      </w:r>
      <w:r w:rsidRPr="000519F0">
        <w:rPr>
          <w:sz w:val="22"/>
          <w:szCs w:val="22"/>
        </w:rPr>
        <w:t>r</w:t>
      </w:r>
      <w:proofErr w:type="spellEnd"/>
      <w:r w:rsidRPr="000519F0">
        <w:rPr>
          <w:sz w:val="22"/>
          <w:szCs w:val="22"/>
        </w:rPr>
        <w:t xml:space="preserve"> of dissolved oxygen, BOD, and COD is particularly important, as these parameters are closely linked to organic matter decomposition and overall water quality status. Similarly, the assessment of anions such as chloride, sulphate, and nitrate, alongside total hardness and alkalinity, provides a holistic understanding of the </w:t>
      </w:r>
      <w:proofErr w:type="spellStart"/>
      <w:r w:rsidRPr="000519F0">
        <w:rPr>
          <w:sz w:val="22"/>
          <w:szCs w:val="22"/>
        </w:rPr>
        <w:t>hydrochemical</w:t>
      </w:r>
      <w:proofErr w:type="spellEnd"/>
      <w:r w:rsidRPr="000519F0">
        <w:rPr>
          <w:sz w:val="22"/>
          <w:szCs w:val="22"/>
        </w:rPr>
        <w:t xml:space="preserve"> processes and suitability of groundwater for domestic consumption.</w:t>
      </w:r>
    </w:p>
    <w:p w14:paraId="4AD3142F"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In response to this knowledge gap, the present study investigates the chemical properties of borehole water from twelve selected locations within Enugu North LGA across wet and dry seasons over a six-month period. The wet season sampling covers June to August 2023, while the dry season sampling spans November 2023 to January 2024. By comparing the seasonal variations in the selected chemical parameters, the study aims to evaluate the influence of climatic conditions and human activities on groundwater quality in the area.</w:t>
      </w:r>
    </w:p>
    <w:p w14:paraId="1EBA2E4F"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The findings of this study are expected to provide valuable baseline data for water resource management, public health protection, and environmental monitoring in Enugu North LGA. Furthermore, the results will contribute to informed decision-making by regulatory agencies, policymakers, and community stakeholders regarding groundwater protection strategies and sustainable water use. Ultimately, this research underscores the importance of continuous groundwater quality assessment as a means of ensuring access to safe and potable water in rapidly urbanizing environments.</w:t>
      </w:r>
    </w:p>
    <w:p w14:paraId="678F615E" w14:textId="77777777" w:rsidR="002E7599" w:rsidRPr="00A82EAF" w:rsidRDefault="002E7599" w:rsidP="002E7599">
      <w:pPr>
        <w:pStyle w:val="NormalWeb"/>
        <w:spacing w:before="0" w:beforeAutospacing="0" w:after="120" w:afterAutospacing="0"/>
        <w:jc w:val="both"/>
        <w:rPr>
          <w:b/>
          <w:sz w:val="22"/>
          <w:szCs w:val="22"/>
        </w:rPr>
      </w:pPr>
      <w:r w:rsidRPr="00A82EAF">
        <w:rPr>
          <w:b/>
          <w:sz w:val="22"/>
          <w:szCs w:val="22"/>
        </w:rPr>
        <w:t>2. Materials and Methods</w:t>
      </w:r>
    </w:p>
    <w:p w14:paraId="029736BB" w14:textId="77777777" w:rsidR="002E7599" w:rsidRPr="00A82EAF" w:rsidRDefault="002E7599" w:rsidP="002E7599">
      <w:pPr>
        <w:pStyle w:val="NormalWeb"/>
        <w:spacing w:before="0" w:beforeAutospacing="0" w:after="120" w:afterAutospacing="0"/>
        <w:jc w:val="both"/>
        <w:rPr>
          <w:b/>
          <w:sz w:val="22"/>
          <w:szCs w:val="22"/>
        </w:rPr>
      </w:pPr>
      <w:r w:rsidRPr="00A82EAF">
        <w:rPr>
          <w:b/>
          <w:sz w:val="22"/>
          <w:szCs w:val="22"/>
        </w:rPr>
        <w:t>2.1 Study Area</w:t>
      </w:r>
    </w:p>
    <w:p w14:paraId="7E1B66C4"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The study was conducted in Enugu North Local Government Area (LGA) of Enugu State, Nigeria. Enugu North LGA is one of the seventeen local government areas in Enugu State and forms part of the three LGAs that constitute Enugu metropolis, alongside Enugu East and Enugu South. The administrative headquarters of Enugu North is located at Okpara Avenue, Enugu.</w:t>
      </w:r>
    </w:p>
    <w:p w14:paraId="66E5CE2E" w14:textId="1923BB37" w:rsidR="0037306C" w:rsidRPr="002E7599" w:rsidRDefault="002E7599" w:rsidP="002E7599">
      <w:pPr>
        <w:pStyle w:val="NormalWeb"/>
        <w:spacing w:before="0" w:beforeAutospacing="0" w:after="120" w:afterAutospacing="0"/>
        <w:jc w:val="both"/>
        <w:rPr>
          <w:sz w:val="22"/>
          <w:szCs w:val="22"/>
        </w:rPr>
      </w:pPr>
      <w:r w:rsidRPr="002E7599">
        <w:rPr>
          <w:sz w:val="22"/>
          <w:szCs w:val="22"/>
        </w:rPr>
        <w:t>Geographically, Enugu North LGA lies between longitude 7°31′E and latitude 6°28′N, covering an estimated land area of 106 km². According to the 2006 population census, the LGA has a population of 244,852 people. The area experiences a tropical climate with an average temperature of approximately 27°C and a mean relative humidity of about 69%. Two distinct seasons prevail in the area, namely the rainy (wet) season and the dry season, with a brief harmattan period occurring during the dry season.</w:t>
      </w:r>
    </w:p>
    <w:p w14:paraId="1B8E95E8"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lastRenderedPageBreak/>
        <w:t>Enugu North LGA compr</w:t>
      </w:r>
      <w:bookmarkStart w:id="0" w:name="_GoBack"/>
      <w:bookmarkEnd w:id="0"/>
      <w:r w:rsidRPr="002E7599">
        <w:rPr>
          <w:sz w:val="22"/>
          <w:szCs w:val="22"/>
        </w:rPr>
        <w:t xml:space="preserve">ises several wards and residential districts, including </w:t>
      </w:r>
      <w:proofErr w:type="spellStart"/>
      <w:r w:rsidRPr="002E7599">
        <w:rPr>
          <w:sz w:val="22"/>
          <w:szCs w:val="22"/>
        </w:rPr>
        <w:t>Amaigbo</w:t>
      </w:r>
      <w:proofErr w:type="spellEnd"/>
      <w:r w:rsidRPr="002E7599">
        <w:rPr>
          <w:sz w:val="22"/>
          <w:szCs w:val="22"/>
        </w:rPr>
        <w:t xml:space="preserve"> Lane, </w:t>
      </w:r>
      <w:proofErr w:type="spellStart"/>
      <w:r w:rsidRPr="002E7599">
        <w:rPr>
          <w:sz w:val="22"/>
          <w:szCs w:val="22"/>
        </w:rPr>
        <w:t>Onuato</w:t>
      </w:r>
      <w:proofErr w:type="spellEnd"/>
      <w:r w:rsidRPr="002E7599">
        <w:rPr>
          <w:sz w:val="22"/>
          <w:szCs w:val="22"/>
        </w:rPr>
        <w:t xml:space="preserve">, </w:t>
      </w:r>
      <w:proofErr w:type="spellStart"/>
      <w:r w:rsidRPr="002E7599">
        <w:rPr>
          <w:sz w:val="22"/>
          <w:szCs w:val="22"/>
        </w:rPr>
        <w:t>Umunevo</w:t>
      </w:r>
      <w:proofErr w:type="spellEnd"/>
      <w:r w:rsidRPr="002E7599">
        <w:rPr>
          <w:sz w:val="22"/>
          <w:szCs w:val="22"/>
        </w:rPr>
        <w:t xml:space="preserve">, </w:t>
      </w:r>
      <w:proofErr w:type="spellStart"/>
      <w:r w:rsidRPr="002E7599">
        <w:rPr>
          <w:sz w:val="22"/>
          <w:szCs w:val="22"/>
        </w:rPr>
        <w:t>Enugwu-Ngwo</w:t>
      </w:r>
      <w:proofErr w:type="spellEnd"/>
      <w:r w:rsidRPr="002E7599">
        <w:rPr>
          <w:sz w:val="22"/>
          <w:szCs w:val="22"/>
        </w:rPr>
        <w:t xml:space="preserve">, </w:t>
      </w:r>
      <w:proofErr w:type="spellStart"/>
      <w:r w:rsidRPr="002E7599">
        <w:rPr>
          <w:sz w:val="22"/>
          <w:szCs w:val="22"/>
        </w:rPr>
        <w:t>Ihenwuzi</w:t>
      </w:r>
      <w:proofErr w:type="spellEnd"/>
      <w:r w:rsidRPr="002E7599">
        <w:rPr>
          <w:sz w:val="22"/>
          <w:szCs w:val="22"/>
        </w:rPr>
        <w:t xml:space="preserve">, </w:t>
      </w:r>
      <w:proofErr w:type="spellStart"/>
      <w:r w:rsidRPr="002E7599">
        <w:rPr>
          <w:sz w:val="22"/>
          <w:szCs w:val="22"/>
        </w:rPr>
        <w:t>Asata</w:t>
      </w:r>
      <w:proofErr w:type="spellEnd"/>
      <w:r w:rsidRPr="002E7599">
        <w:rPr>
          <w:sz w:val="22"/>
          <w:szCs w:val="22"/>
        </w:rPr>
        <w:t xml:space="preserve"> Township, Chime Town, G.R.A, </w:t>
      </w:r>
      <w:proofErr w:type="spellStart"/>
      <w:r w:rsidRPr="002E7599">
        <w:rPr>
          <w:sz w:val="22"/>
          <w:szCs w:val="22"/>
        </w:rPr>
        <w:t>Ogui</w:t>
      </w:r>
      <w:proofErr w:type="spellEnd"/>
      <w:r w:rsidRPr="002E7599">
        <w:rPr>
          <w:sz w:val="22"/>
          <w:szCs w:val="22"/>
        </w:rPr>
        <w:t xml:space="preserve"> New Layout, Independence Layout, New Haven, </w:t>
      </w:r>
      <w:proofErr w:type="spellStart"/>
      <w:r w:rsidRPr="002E7599">
        <w:rPr>
          <w:sz w:val="22"/>
          <w:szCs w:val="22"/>
        </w:rPr>
        <w:t>Ogbete</w:t>
      </w:r>
      <w:proofErr w:type="spellEnd"/>
      <w:r w:rsidRPr="002E7599">
        <w:rPr>
          <w:sz w:val="22"/>
          <w:szCs w:val="22"/>
        </w:rPr>
        <w:t xml:space="preserve"> East and West, </w:t>
      </w:r>
      <w:proofErr w:type="spellStart"/>
      <w:r w:rsidRPr="002E7599">
        <w:rPr>
          <w:sz w:val="22"/>
          <w:szCs w:val="22"/>
        </w:rPr>
        <w:t>Ogui</w:t>
      </w:r>
      <w:proofErr w:type="spellEnd"/>
      <w:r w:rsidRPr="002E7599">
        <w:rPr>
          <w:sz w:val="22"/>
          <w:szCs w:val="22"/>
        </w:rPr>
        <w:t xml:space="preserve"> Township, </w:t>
      </w:r>
      <w:proofErr w:type="spellStart"/>
      <w:r w:rsidRPr="002E7599">
        <w:rPr>
          <w:sz w:val="22"/>
          <w:szCs w:val="22"/>
        </w:rPr>
        <w:t>Onu-Asata</w:t>
      </w:r>
      <w:proofErr w:type="spellEnd"/>
      <w:r w:rsidRPr="002E7599">
        <w:rPr>
          <w:sz w:val="22"/>
          <w:szCs w:val="22"/>
        </w:rPr>
        <w:t xml:space="preserve">, </w:t>
      </w:r>
      <w:proofErr w:type="spellStart"/>
      <w:r w:rsidRPr="002E7599">
        <w:rPr>
          <w:sz w:val="22"/>
          <w:szCs w:val="22"/>
        </w:rPr>
        <w:t>Udi</w:t>
      </w:r>
      <w:proofErr w:type="spellEnd"/>
      <w:r w:rsidRPr="002E7599">
        <w:rPr>
          <w:sz w:val="22"/>
          <w:szCs w:val="22"/>
        </w:rPr>
        <w:t xml:space="preserve"> Siding/Iva Valley, and </w:t>
      </w:r>
      <w:proofErr w:type="spellStart"/>
      <w:r w:rsidRPr="002E7599">
        <w:rPr>
          <w:sz w:val="22"/>
          <w:szCs w:val="22"/>
        </w:rPr>
        <w:t>Umunevo</w:t>
      </w:r>
      <w:proofErr w:type="spellEnd"/>
      <w:r w:rsidRPr="002E7599">
        <w:rPr>
          <w:sz w:val="22"/>
          <w:szCs w:val="22"/>
        </w:rPr>
        <w:t>. Groundwater accessed through boreholes constitutes a major source of domestic water supply within these areas due to the limited availability of public water infrastructure.</w:t>
      </w:r>
    </w:p>
    <w:p w14:paraId="4819AA97" w14:textId="77777777" w:rsidR="002E7599" w:rsidRPr="00A82EAF" w:rsidRDefault="00050E78" w:rsidP="002E7599">
      <w:pPr>
        <w:pStyle w:val="NormalWeb"/>
        <w:spacing w:before="0" w:beforeAutospacing="0" w:after="120" w:afterAutospacing="0"/>
        <w:jc w:val="both"/>
        <w:rPr>
          <w:b/>
          <w:sz w:val="22"/>
          <w:szCs w:val="22"/>
        </w:rPr>
      </w:pPr>
      <w:r w:rsidRPr="00A82EAF">
        <w:rPr>
          <w:b/>
          <w:sz w:val="22"/>
          <w:szCs w:val="22"/>
        </w:rPr>
        <w:t>2</w:t>
      </w:r>
      <w:r w:rsidR="002E7599" w:rsidRPr="00A82EAF">
        <w:rPr>
          <w:b/>
          <w:sz w:val="22"/>
          <w:szCs w:val="22"/>
        </w:rPr>
        <w:t>.2 Sample Selection and Sampling Locations</w:t>
      </w:r>
    </w:p>
    <w:p w14:paraId="1BB23D5F"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A preliminary reconnaissance survey of the study area was carried out to identify active and frequently used boreholes. Based on accessibility, spatial distribution, and intensity of use, twelve (12) borehole locations were purposively selected across major residential areas within Enugu North LGA. The geographic coordinates of each sampling point were recorded using a Global Positioning System (GPS). The sample identification, locations, and corresponding coord</w:t>
      </w:r>
      <w:r w:rsidR="00B04C8B">
        <w:rPr>
          <w:sz w:val="22"/>
          <w:szCs w:val="22"/>
        </w:rPr>
        <w:t>inates are presented in Table 1 and shown in Figure 1, while Figure 2 shows an example of borehole water drilling in Enugu North LGA.</w:t>
      </w:r>
    </w:p>
    <w:p w14:paraId="1FE9292D" w14:textId="77777777" w:rsidR="002E7599" w:rsidRPr="00A82EAF" w:rsidRDefault="002E7599" w:rsidP="002E7599">
      <w:pPr>
        <w:pStyle w:val="NormalWeb"/>
        <w:spacing w:before="0" w:beforeAutospacing="0" w:after="120" w:afterAutospacing="0"/>
        <w:jc w:val="both"/>
        <w:rPr>
          <w:b/>
          <w:sz w:val="22"/>
          <w:szCs w:val="22"/>
        </w:rPr>
      </w:pPr>
      <w:r w:rsidRPr="00A82EAF">
        <w:rPr>
          <w:b/>
          <w:sz w:val="22"/>
          <w:szCs w:val="22"/>
        </w:rPr>
        <w:t>Table</w:t>
      </w:r>
      <w:r w:rsidR="00A82EAF" w:rsidRPr="00A82EAF">
        <w:rPr>
          <w:b/>
          <w:sz w:val="22"/>
          <w:szCs w:val="22"/>
        </w:rPr>
        <w:t xml:space="preserve"> 1.</w:t>
      </w:r>
      <w:r w:rsidRPr="00A82EAF">
        <w:rPr>
          <w:b/>
          <w:sz w:val="22"/>
          <w:szCs w:val="22"/>
        </w:rPr>
        <w:t xml:space="preserve"> Sampl</w:t>
      </w:r>
      <w:r w:rsidR="00A8747F" w:rsidRPr="00A82EAF">
        <w:rPr>
          <w:b/>
          <w:sz w:val="22"/>
          <w:szCs w:val="22"/>
        </w:rPr>
        <w:t>e ID, Locations, and Coordinates</w:t>
      </w:r>
    </w:p>
    <w:tbl>
      <w:tblPr>
        <w:tblStyle w:val="TableGrid"/>
        <w:tblW w:w="93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3084"/>
        <w:gridCol w:w="1815"/>
        <w:gridCol w:w="1970"/>
      </w:tblGrid>
      <w:tr w:rsidR="0060254D" w14:paraId="65C05704" w14:textId="77777777" w:rsidTr="0060254D">
        <w:trPr>
          <w:trHeight w:val="146"/>
        </w:trPr>
        <w:tc>
          <w:tcPr>
            <w:tcW w:w="2466" w:type="dxa"/>
            <w:tcBorders>
              <w:top w:val="single" w:sz="4" w:space="0" w:color="auto"/>
              <w:bottom w:val="single" w:sz="4" w:space="0" w:color="auto"/>
            </w:tcBorders>
          </w:tcPr>
          <w:p w14:paraId="4EDD57A6" w14:textId="77777777" w:rsidR="0060254D" w:rsidRPr="0060254D" w:rsidRDefault="0060254D" w:rsidP="0060254D">
            <w:pPr>
              <w:ind w:left="3"/>
              <w:jc w:val="both"/>
              <w:rPr>
                <w:rFonts w:ascii="Times New Roman" w:hAnsi="Times New Roman" w:cs="Times New Roman"/>
                <w:sz w:val="18"/>
                <w:szCs w:val="18"/>
              </w:rPr>
            </w:pPr>
            <w:r w:rsidRPr="0060254D">
              <w:rPr>
                <w:rFonts w:ascii="Times New Roman" w:hAnsi="Times New Roman" w:cs="Times New Roman"/>
                <w:b/>
                <w:sz w:val="18"/>
                <w:szCs w:val="18"/>
              </w:rPr>
              <w:t xml:space="preserve">SAMPLE ID </w:t>
            </w:r>
          </w:p>
        </w:tc>
        <w:tc>
          <w:tcPr>
            <w:tcW w:w="3084" w:type="dxa"/>
            <w:tcBorders>
              <w:top w:val="single" w:sz="4" w:space="0" w:color="auto"/>
              <w:bottom w:val="single" w:sz="4" w:space="0" w:color="auto"/>
            </w:tcBorders>
          </w:tcPr>
          <w:p w14:paraId="1C784CE7"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b/>
                <w:sz w:val="18"/>
                <w:szCs w:val="18"/>
              </w:rPr>
              <w:t xml:space="preserve">LOCATIONS </w:t>
            </w:r>
          </w:p>
        </w:tc>
        <w:tc>
          <w:tcPr>
            <w:tcW w:w="1815" w:type="dxa"/>
            <w:tcBorders>
              <w:top w:val="single" w:sz="4" w:space="0" w:color="auto"/>
              <w:bottom w:val="single" w:sz="4" w:space="0" w:color="auto"/>
            </w:tcBorders>
          </w:tcPr>
          <w:p w14:paraId="4E2B0C5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b/>
                <w:sz w:val="18"/>
                <w:szCs w:val="18"/>
              </w:rPr>
              <w:t xml:space="preserve">LONGITUDE (E) </w:t>
            </w:r>
          </w:p>
        </w:tc>
        <w:tc>
          <w:tcPr>
            <w:tcW w:w="1970" w:type="dxa"/>
            <w:tcBorders>
              <w:top w:val="single" w:sz="4" w:space="0" w:color="auto"/>
              <w:bottom w:val="single" w:sz="4" w:space="0" w:color="auto"/>
            </w:tcBorders>
          </w:tcPr>
          <w:p w14:paraId="648537F3"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b/>
                <w:sz w:val="18"/>
                <w:szCs w:val="18"/>
              </w:rPr>
              <w:t xml:space="preserve">LATITUDE (N) </w:t>
            </w:r>
          </w:p>
        </w:tc>
      </w:tr>
      <w:tr w:rsidR="0060254D" w14:paraId="7A81CAEE" w14:textId="77777777" w:rsidTr="0060254D">
        <w:trPr>
          <w:trHeight w:val="146"/>
        </w:trPr>
        <w:tc>
          <w:tcPr>
            <w:tcW w:w="2466" w:type="dxa"/>
            <w:tcBorders>
              <w:top w:val="single" w:sz="4" w:space="0" w:color="auto"/>
              <w:bottom w:val="nil"/>
            </w:tcBorders>
          </w:tcPr>
          <w:p w14:paraId="1ED72A51"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 </w:t>
            </w:r>
          </w:p>
        </w:tc>
        <w:tc>
          <w:tcPr>
            <w:tcW w:w="3084" w:type="dxa"/>
            <w:tcBorders>
              <w:top w:val="single" w:sz="4" w:space="0" w:color="auto"/>
              <w:bottom w:val="nil"/>
            </w:tcBorders>
          </w:tcPr>
          <w:p w14:paraId="3F7F348D"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Coal camp (a)  </w:t>
            </w:r>
          </w:p>
        </w:tc>
        <w:tc>
          <w:tcPr>
            <w:tcW w:w="1815" w:type="dxa"/>
            <w:tcBorders>
              <w:top w:val="single" w:sz="4" w:space="0" w:color="auto"/>
              <w:bottom w:val="nil"/>
            </w:tcBorders>
          </w:tcPr>
          <w:p w14:paraId="0E0FD7DF"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28I 42II </w:t>
            </w:r>
          </w:p>
        </w:tc>
        <w:tc>
          <w:tcPr>
            <w:tcW w:w="1970" w:type="dxa"/>
            <w:tcBorders>
              <w:top w:val="single" w:sz="4" w:space="0" w:color="auto"/>
              <w:bottom w:val="nil"/>
            </w:tcBorders>
          </w:tcPr>
          <w:p w14:paraId="10D946E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24II </w:t>
            </w:r>
          </w:p>
        </w:tc>
      </w:tr>
      <w:tr w:rsidR="0060254D" w14:paraId="593850D7" w14:textId="77777777" w:rsidTr="0060254D">
        <w:trPr>
          <w:trHeight w:val="146"/>
        </w:trPr>
        <w:tc>
          <w:tcPr>
            <w:tcW w:w="2466" w:type="dxa"/>
            <w:tcBorders>
              <w:top w:val="nil"/>
            </w:tcBorders>
          </w:tcPr>
          <w:p w14:paraId="60530372"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2 </w:t>
            </w:r>
          </w:p>
        </w:tc>
        <w:tc>
          <w:tcPr>
            <w:tcW w:w="3084" w:type="dxa"/>
            <w:tcBorders>
              <w:top w:val="nil"/>
            </w:tcBorders>
          </w:tcPr>
          <w:p w14:paraId="6BB81756"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Coal camp (b) </w:t>
            </w:r>
          </w:p>
        </w:tc>
        <w:tc>
          <w:tcPr>
            <w:tcW w:w="1815" w:type="dxa"/>
            <w:tcBorders>
              <w:top w:val="nil"/>
            </w:tcBorders>
          </w:tcPr>
          <w:p w14:paraId="10641FC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28I 30II </w:t>
            </w:r>
          </w:p>
        </w:tc>
        <w:tc>
          <w:tcPr>
            <w:tcW w:w="1970" w:type="dxa"/>
            <w:tcBorders>
              <w:top w:val="nil"/>
            </w:tcBorders>
          </w:tcPr>
          <w:p w14:paraId="6C24C221"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41II </w:t>
            </w:r>
          </w:p>
        </w:tc>
      </w:tr>
      <w:tr w:rsidR="0060254D" w14:paraId="33D14420" w14:textId="77777777" w:rsidTr="0060254D">
        <w:trPr>
          <w:trHeight w:val="146"/>
        </w:trPr>
        <w:tc>
          <w:tcPr>
            <w:tcW w:w="2466" w:type="dxa"/>
          </w:tcPr>
          <w:p w14:paraId="608234D3"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3 </w:t>
            </w:r>
          </w:p>
        </w:tc>
        <w:tc>
          <w:tcPr>
            <w:tcW w:w="3084" w:type="dxa"/>
          </w:tcPr>
          <w:p w14:paraId="7E3171FE"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Coal camp (c) </w:t>
            </w:r>
          </w:p>
        </w:tc>
        <w:tc>
          <w:tcPr>
            <w:tcW w:w="1815" w:type="dxa"/>
          </w:tcPr>
          <w:p w14:paraId="49EF1A54"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28I 11II </w:t>
            </w:r>
          </w:p>
        </w:tc>
        <w:tc>
          <w:tcPr>
            <w:tcW w:w="1970" w:type="dxa"/>
          </w:tcPr>
          <w:p w14:paraId="74D1E87F"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56II </w:t>
            </w:r>
          </w:p>
        </w:tc>
      </w:tr>
      <w:tr w:rsidR="0060254D" w14:paraId="02B85374" w14:textId="77777777" w:rsidTr="0060254D">
        <w:trPr>
          <w:trHeight w:val="146"/>
        </w:trPr>
        <w:tc>
          <w:tcPr>
            <w:tcW w:w="2466" w:type="dxa"/>
          </w:tcPr>
          <w:p w14:paraId="7E2F605B"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4 </w:t>
            </w:r>
          </w:p>
        </w:tc>
        <w:tc>
          <w:tcPr>
            <w:tcW w:w="3084" w:type="dxa"/>
          </w:tcPr>
          <w:p w14:paraId="7A907000"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Asata (a) </w:t>
            </w:r>
          </w:p>
        </w:tc>
        <w:tc>
          <w:tcPr>
            <w:tcW w:w="1815" w:type="dxa"/>
          </w:tcPr>
          <w:p w14:paraId="1225B46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30I 27II </w:t>
            </w:r>
          </w:p>
        </w:tc>
        <w:tc>
          <w:tcPr>
            <w:tcW w:w="1970" w:type="dxa"/>
          </w:tcPr>
          <w:p w14:paraId="4B868565"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19II </w:t>
            </w:r>
          </w:p>
        </w:tc>
      </w:tr>
      <w:tr w:rsidR="0060254D" w14:paraId="79A1A7D7" w14:textId="77777777" w:rsidTr="0060254D">
        <w:trPr>
          <w:trHeight w:val="146"/>
        </w:trPr>
        <w:tc>
          <w:tcPr>
            <w:tcW w:w="2466" w:type="dxa"/>
          </w:tcPr>
          <w:p w14:paraId="746641DC"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5 </w:t>
            </w:r>
          </w:p>
        </w:tc>
        <w:tc>
          <w:tcPr>
            <w:tcW w:w="3084" w:type="dxa"/>
          </w:tcPr>
          <w:p w14:paraId="11F98206"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Asata (b) </w:t>
            </w:r>
          </w:p>
        </w:tc>
        <w:tc>
          <w:tcPr>
            <w:tcW w:w="1815" w:type="dxa"/>
          </w:tcPr>
          <w:p w14:paraId="2BFDD65B"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30I 26II </w:t>
            </w:r>
          </w:p>
        </w:tc>
        <w:tc>
          <w:tcPr>
            <w:tcW w:w="1970" w:type="dxa"/>
          </w:tcPr>
          <w:p w14:paraId="4415210C"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42II </w:t>
            </w:r>
          </w:p>
        </w:tc>
      </w:tr>
      <w:tr w:rsidR="0060254D" w14:paraId="1447B36C" w14:textId="77777777" w:rsidTr="0060254D">
        <w:trPr>
          <w:trHeight w:val="146"/>
        </w:trPr>
        <w:tc>
          <w:tcPr>
            <w:tcW w:w="2466" w:type="dxa"/>
          </w:tcPr>
          <w:p w14:paraId="49B0E52E"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6 </w:t>
            </w:r>
          </w:p>
        </w:tc>
        <w:tc>
          <w:tcPr>
            <w:tcW w:w="3084" w:type="dxa"/>
          </w:tcPr>
          <w:p w14:paraId="2254FC24"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Asata (c) </w:t>
            </w:r>
          </w:p>
        </w:tc>
        <w:tc>
          <w:tcPr>
            <w:tcW w:w="1815" w:type="dxa"/>
          </w:tcPr>
          <w:p w14:paraId="3159B02B"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4II </w:t>
            </w:r>
          </w:p>
        </w:tc>
        <w:tc>
          <w:tcPr>
            <w:tcW w:w="1970" w:type="dxa"/>
          </w:tcPr>
          <w:p w14:paraId="58C83936"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32II </w:t>
            </w:r>
          </w:p>
        </w:tc>
      </w:tr>
      <w:tr w:rsidR="0060254D" w14:paraId="07903224" w14:textId="77777777" w:rsidTr="0060254D">
        <w:trPr>
          <w:trHeight w:val="146"/>
        </w:trPr>
        <w:tc>
          <w:tcPr>
            <w:tcW w:w="2466" w:type="dxa"/>
          </w:tcPr>
          <w:p w14:paraId="1DBAF1CE"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7 </w:t>
            </w:r>
          </w:p>
        </w:tc>
        <w:tc>
          <w:tcPr>
            <w:tcW w:w="3084" w:type="dxa"/>
          </w:tcPr>
          <w:p w14:paraId="27DB2ED3"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Independence layout (a) </w:t>
            </w:r>
          </w:p>
        </w:tc>
        <w:tc>
          <w:tcPr>
            <w:tcW w:w="1815" w:type="dxa"/>
          </w:tcPr>
          <w:p w14:paraId="1EA016F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32II </w:t>
            </w:r>
          </w:p>
        </w:tc>
        <w:tc>
          <w:tcPr>
            <w:tcW w:w="1970" w:type="dxa"/>
          </w:tcPr>
          <w:p w14:paraId="7E9DD20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1II </w:t>
            </w:r>
          </w:p>
        </w:tc>
      </w:tr>
      <w:tr w:rsidR="0060254D" w14:paraId="2DD39D42" w14:textId="77777777" w:rsidTr="0060254D">
        <w:trPr>
          <w:trHeight w:val="146"/>
        </w:trPr>
        <w:tc>
          <w:tcPr>
            <w:tcW w:w="2466" w:type="dxa"/>
          </w:tcPr>
          <w:p w14:paraId="41E03478"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8 </w:t>
            </w:r>
          </w:p>
        </w:tc>
        <w:tc>
          <w:tcPr>
            <w:tcW w:w="3084" w:type="dxa"/>
          </w:tcPr>
          <w:p w14:paraId="5149AB92"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Independence layout (b) </w:t>
            </w:r>
          </w:p>
        </w:tc>
        <w:tc>
          <w:tcPr>
            <w:tcW w:w="1815" w:type="dxa"/>
          </w:tcPr>
          <w:p w14:paraId="1247E0E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44II </w:t>
            </w:r>
          </w:p>
        </w:tc>
        <w:tc>
          <w:tcPr>
            <w:tcW w:w="1970" w:type="dxa"/>
          </w:tcPr>
          <w:p w14:paraId="6A8C9240"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31II </w:t>
            </w:r>
          </w:p>
        </w:tc>
      </w:tr>
      <w:tr w:rsidR="0060254D" w14:paraId="0F52FAA3" w14:textId="77777777" w:rsidTr="0060254D">
        <w:trPr>
          <w:trHeight w:val="146"/>
        </w:trPr>
        <w:tc>
          <w:tcPr>
            <w:tcW w:w="2466" w:type="dxa"/>
          </w:tcPr>
          <w:p w14:paraId="2A44B80E"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9 </w:t>
            </w:r>
          </w:p>
        </w:tc>
        <w:tc>
          <w:tcPr>
            <w:tcW w:w="3084" w:type="dxa"/>
          </w:tcPr>
          <w:p w14:paraId="2955CB14"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Independence layout (c) </w:t>
            </w:r>
          </w:p>
        </w:tc>
        <w:tc>
          <w:tcPr>
            <w:tcW w:w="1815" w:type="dxa"/>
          </w:tcPr>
          <w:p w14:paraId="5B5C7782"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8II </w:t>
            </w:r>
          </w:p>
        </w:tc>
        <w:tc>
          <w:tcPr>
            <w:tcW w:w="1970" w:type="dxa"/>
          </w:tcPr>
          <w:p w14:paraId="0561ADBE"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25I 52II </w:t>
            </w:r>
          </w:p>
        </w:tc>
      </w:tr>
      <w:tr w:rsidR="0060254D" w14:paraId="40562712" w14:textId="77777777" w:rsidTr="0060254D">
        <w:trPr>
          <w:trHeight w:val="146"/>
        </w:trPr>
        <w:tc>
          <w:tcPr>
            <w:tcW w:w="2466" w:type="dxa"/>
          </w:tcPr>
          <w:p w14:paraId="7D6603EC"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10 </w:t>
            </w:r>
          </w:p>
        </w:tc>
        <w:tc>
          <w:tcPr>
            <w:tcW w:w="3084" w:type="dxa"/>
          </w:tcPr>
          <w:p w14:paraId="4DB1643A"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New heaven ( a) </w:t>
            </w:r>
          </w:p>
        </w:tc>
        <w:tc>
          <w:tcPr>
            <w:tcW w:w="1815" w:type="dxa"/>
          </w:tcPr>
          <w:p w14:paraId="295EE9B3"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31II </w:t>
            </w:r>
          </w:p>
        </w:tc>
        <w:tc>
          <w:tcPr>
            <w:tcW w:w="1970" w:type="dxa"/>
          </w:tcPr>
          <w:p w14:paraId="39384FB2"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46II </w:t>
            </w:r>
          </w:p>
        </w:tc>
      </w:tr>
      <w:tr w:rsidR="0060254D" w14:paraId="03D96231" w14:textId="77777777" w:rsidTr="0060254D">
        <w:trPr>
          <w:trHeight w:val="146"/>
        </w:trPr>
        <w:tc>
          <w:tcPr>
            <w:tcW w:w="2466" w:type="dxa"/>
          </w:tcPr>
          <w:p w14:paraId="4425BB59"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11 </w:t>
            </w:r>
          </w:p>
        </w:tc>
        <w:tc>
          <w:tcPr>
            <w:tcW w:w="3084" w:type="dxa"/>
          </w:tcPr>
          <w:p w14:paraId="76912F0E"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New heaven (b) </w:t>
            </w:r>
          </w:p>
        </w:tc>
        <w:tc>
          <w:tcPr>
            <w:tcW w:w="1815" w:type="dxa"/>
          </w:tcPr>
          <w:p w14:paraId="3AC7113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34II </w:t>
            </w:r>
          </w:p>
        </w:tc>
        <w:tc>
          <w:tcPr>
            <w:tcW w:w="1970" w:type="dxa"/>
          </w:tcPr>
          <w:p w14:paraId="01ED3365"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22II </w:t>
            </w:r>
          </w:p>
        </w:tc>
      </w:tr>
      <w:tr w:rsidR="0060254D" w14:paraId="39C0890F" w14:textId="77777777" w:rsidTr="0060254D">
        <w:trPr>
          <w:trHeight w:val="146"/>
        </w:trPr>
        <w:tc>
          <w:tcPr>
            <w:tcW w:w="2466" w:type="dxa"/>
          </w:tcPr>
          <w:p w14:paraId="4598A3A1"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12 </w:t>
            </w:r>
          </w:p>
        </w:tc>
        <w:tc>
          <w:tcPr>
            <w:tcW w:w="3084" w:type="dxa"/>
          </w:tcPr>
          <w:p w14:paraId="0BCA404F"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New heaven (c) </w:t>
            </w:r>
          </w:p>
        </w:tc>
        <w:tc>
          <w:tcPr>
            <w:tcW w:w="1815" w:type="dxa"/>
          </w:tcPr>
          <w:p w14:paraId="6911BF4F"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32I 4II </w:t>
            </w:r>
          </w:p>
        </w:tc>
        <w:tc>
          <w:tcPr>
            <w:tcW w:w="1970" w:type="dxa"/>
          </w:tcPr>
          <w:p w14:paraId="68E524C5"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22II </w:t>
            </w:r>
          </w:p>
        </w:tc>
      </w:tr>
    </w:tbl>
    <w:p w14:paraId="2A56E914" w14:textId="77777777" w:rsidR="0060254D" w:rsidRDefault="0060254D" w:rsidP="002E7599">
      <w:pPr>
        <w:pStyle w:val="NormalWeb"/>
        <w:spacing w:before="0" w:beforeAutospacing="0" w:after="120" w:afterAutospacing="0"/>
        <w:jc w:val="both"/>
        <w:rPr>
          <w:sz w:val="22"/>
          <w:szCs w:val="22"/>
        </w:rPr>
      </w:pPr>
    </w:p>
    <w:p w14:paraId="63387BEE" w14:textId="77777777" w:rsidR="004D750F" w:rsidRDefault="004D750F" w:rsidP="002E7599">
      <w:pPr>
        <w:pStyle w:val="NormalWeb"/>
        <w:spacing w:before="0" w:beforeAutospacing="0" w:after="120" w:afterAutospacing="0"/>
        <w:jc w:val="both"/>
        <w:rPr>
          <w:sz w:val="22"/>
          <w:szCs w:val="22"/>
        </w:rPr>
      </w:pPr>
    </w:p>
    <w:p w14:paraId="08F7473C" w14:textId="77777777" w:rsidR="00B04C8B" w:rsidRDefault="00B04C8B" w:rsidP="004D750F">
      <w:pPr>
        <w:pStyle w:val="NormalWeb"/>
        <w:spacing w:before="0" w:beforeAutospacing="0" w:after="120" w:afterAutospacing="0"/>
        <w:jc w:val="center"/>
        <w:rPr>
          <w:rFonts w:ascii="Arial" w:eastAsia="Calibri" w:hAnsi="Arial" w:cs="Arial"/>
          <w:noProof/>
          <w:sz w:val="20"/>
          <w:szCs w:val="20"/>
        </w:rPr>
      </w:pPr>
      <w:r w:rsidRPr="00EF74A3">
        <w:rPr>
          <w:rFonts w:ascii="Arial" w:eastAsia="Calibri" w:hAnsi="Arial" w:cs="Arial"/>
          <w:noProof/>
          <w:sz w:val="20"/>
          <w:szCs w:val="20"/>
        </w:rPr>
        <w:drawing>
          <wp:inline distT="0" distB="0" distL="0" distR="0" wp14:anchorId="7EF10579" wp14:editId="7F6BEB37">
            <wp:extent cx="5148072"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48072" cy="3429000"/>
                    </a:xfrm>
                    <a:prstGeom prst="rect">
                      <a:avLst/>
                    </a:prstGeom>
                  </pic:spPr>
                </pic:pic>
              </a:graphicData>
            </a:graphic>
          </wp:inline>
        </w:drawing>
      </w:r>
    </w:p>
    <w:p w14:paraId="1174803F" w14:textId="77777777" w:rsidR="00B04C8B" w:rsidRPr="001D61FB" w:rsidRDefault="00B04C8B" w:rsidP="004D750F">
      <w:pPr>
        <w:pStyle w:val="NormalWeb"/>
        <w:spacing w:before="0" w:beforeAutospacing="0" w:after="120" w:afterAutospacing="0"/>
        <w:jc w:val="center"/>
        <w:rPr>
          <w:rFonts w:eastAsia="Calibri"/>
          <w:b/>
          <w:noProof/>
          <w:sz w:val="22"/>
          <w:szCs w:val="20"/>
        </w:rPr>
      </w:pPr>
      <w:r w:rsidRPr="001D61FB">
        <w:rPr>
          <w:rFonts w:eastAsia="Calibri"/>
          <w:b/>
          <w:noProof/>
          <w:sz w:val="22"/>
          <w:szCs w:val="20"/>
        </w:rPr>
        <w:lastRenderedPageBreak/>
        <w:t xml:space="preserve">Figure 1. Map of Enugu LGA Showing the Sample </w:t>
      </w:r>
      <w:r w:rsidR="00B4656D" w:rsidRPr="001D61FB">
        <w:rPr>
          <w:rFonts w:eastAsia="Calibri"/>
          <w:b/>
          <w:noProof/>
          <w:sz w:val="22"/>
          <w:szCs w:val="20"/>
        </w:rPr>
        <w:t xml:space="preserve">Borehole </w:t>
      </w:r>
      <w:r w:rsidRPr="001D61FB">
        <w:rPr>
          <w:rFonts w:eastAsia="Calibri"/>
          <w:b/>
          <w:noProof/>
          <w:sz w:val="22"/>
          <w:szCs w:val="20"/>
        </w:rPr>
        <w:t>Locations</w:t>
      </w:r>
    </w:p>
    <w:p w14:paraId="3D68B43F" w14:textId="77777777" w:rsidR="004D750F" w:rsidRPr="004D750F" w:rsidRDefault="004D750F" w:rsidP="004D750F">
      <w:pPr>
        <w:pStyle w:val="NormalWeb"/>
        <w:spacing w:before="0" w:beforeAutospacing="0" w:after="120" w:afterAutospacing="0"/>
        <w:jc w:val="center"/>
        <w:rPr>
          <w:rFonts w:eastAsia="Calibri"/>
          <w:b/>
          <w:noProof/>
          <w:sz w:val="20"/>
          <w:szCs w:val="20"/>
        </w:rPr>
      </w:pPr>
    </w:p>
    <w:p w14:paraId="74D7BA09" w14:textId="77777777" w:rsidR="003A64DE" w:rsidRDefault="003A64DE" w:rsidP="00B04C8B">
      <w:pPr>
        <w:pStyle w:val="NormalWeb"/>
        <w:spacing w:before="0" w:beforeAutospacing="0" w:after="120" w:afterAutospacing="0"/>
        <w:jc w:val="both"/>
        <w:rPr>
          <w:rFonts w:eastAsia="Calibri"/>
          <w:noProof/>
          <w:sz w:val="20"/>
          <w:szCs w:val="20"/>
        </w:rPr>
      </w:pPr>
    </w:p>
    <w:p w14:paraId="1308F3B8" w14:textId="77777777" w:rsidR="003A64DE" w:rsidRDefault="003A64DE" w:rsidP="004D750F">
      <w:pPr>
        <w:pStyle w:val="NormalWeb"/>
        <w:spacing w:before="0" w:beforeAutospacing="0" w:after="120" w:afterAutospacing="0"/>
        <w:jc w:val="center"/>
        <w:rPr>
          <w:rFonts w:eastAsia="Calibri"/>
          <w:noProof/>
          <w:sz w:val="20"/>
          <w:szCs w:val="20"/>
        </w:rPr>
      </w:pPr>
      <w:r w:rsidRPr="00740BD2">
        <w:rPr>
          <w:b/>
          <w:noProof/>
        </w:rPr>
        <w:drawing>
          <wp:inline distT="0" distB="0" distL="0" distR="0" wp14:anchorId="6A2B8B59" wp14:editId="238DC49A">
            <wp:extent cx="4999817" cy="2457450"/>
            <wp:effectExtent l="0" t="0" r="0" b="0"/>
            <wp:docPr id="26" name="Picture 26" descr="Typical borehole drilling showing water flow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ical borehole drilling showing water flow | Downloa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4068" cy="2484115"/>
                    </a:xfrm>
                    <a:prstGeom prst="rect">
                      <a:avLst/>
                    </a:prstGeom>
                    <a:noFill/>
                    <a:ln>
                      <a:noFill/>
                    </a:ln>
                  </pic:spPr>
                </pic:pic>
              </a:graphicData>
            </a:graphic>
          </wp:inline>
        </w:drawing>
      </w:r>
    </w:p>
    <w:p w14:paraId="597A847A" w14:textId="77777777" w:rsidR="003A64DE" w:rsidRPr="001D61FB" w:rsidRDefault="003A64DE" w:rsidP="004D750F">
      <w:pPr>
        <w:pStyle w:val="NormalWeb"/>
        <w:spacing w:before="0" w:beforeAutospacing="0" w:after="120" w:afterAutospacing="0"/>
        <w:jc w:val="center"/>
        <w:rPr>
          <w:rFonts w:eastAsia="Calibri"/>
          <w:b/>
          <w:noProof/>
          <w:sz w:val="22"/>
          <w:szCs w:val="20"/>
        </w:rPr>
      </w:pPr>
      <w:r w:rsidRPr="001D61FB">
        <w:rPr>
          <w:rFonts w:eastAsia="Calibri"/>
          <w:b/>
          <w:noProof/>
          <w:sz w:val="22"/>
          <w:szCs w:val="20"/>
        </w:rPr>
        <w:t>Figure 2. Sample of Borehole Drilling in Enugu North LGA</w:t>
      </w:r>
    </w:p>
    <w:p w14:paraId="4C3923B9" w14:textId="77777777" w:rsidR="004D750F" w:rsidRPr="00B04C8B" w:rsidRDefault="004D750F" w:rsidP="00B04C8B">
      <w:pPr>
        <w:pStyle w:val="NormalWeb"/>
        <w:spacing w:before="0" w:beforeAutospacing="0" w:after="120" w:afterAutospacing="0"/>
        <w:jc w:val="both"/>
        <w:rPr>
          <w:sz w:val="22"/>
          <w:szCs w:val="22"/>
        </w:rPr>
      </w:pPr>
    </w:p>
    <w:p w14:paraId="471C3D29" w14:textId="77777777" w:rsidR="002E7599" w:rsidRPr="005439A0" w:rsidRDefault="00050E78" w:rsidP="002E7599">
      <w:pPr>
        <w:pStyle w:val="NormalWeb"/>
        <w:spacing w:before="0" w:beforeAutospacing="0" w:after="120" w:afterAutospacing="0"/>
        <w:jc w:val="both"/>
        <w:rPr>
          <w:b/>
          <w:sz w:val="22"/>
          <w:szCs w:val="22"/>
        </w:rPr>
      </w:pPr>
      <w:r w:rsidRPr="005439A0">
        <w:rPr>
          <w:b/>
          <w:sz w:val="22"/>
          <w:szCs w:val="22"/>
        </w:rPr>
        <w:t>2</w:t>
      </w:r>
      <w:r w:rsidR="002E7599" w:rsidRPr="005439A0">
        <w:rPr>
          <w:b/>
          <w:sz w:val="22"/>
          <w:szCs w:val="22"/>
        </w:rPr>
        <w:t>.3 Sample Collection and Preservation</w:t>
      </w:r>
    </w:p>
    <w:p w14:paraId="21631647"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Water samples were collected from the selected boreholes during both the wet season (June–August 2023) and the dry season (November 2023–January 2024), covering a total study period of six months. Sampling was conducted between 07:00 and 11:00 a.m. to minimize diurnal variations in water quality parameters.</w:t>
      </w:r>
    </w:p>
    <w:p w14:paraId="715A6719"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During the study period, several field trips were undertaken, and six (6) sets of water samples were collected from each borehole location. These samples were subsequently pooled together to form a representative composite sample for each borehole. Samples were collected using clean, sterile bottles that were thoroughly rinsed with the borehole water prior to collection. All samples were properly labeled and transported to the laboratory for analysis following standard procedures.</w:t>
      </w:r>
    </w:p>
    <w:p w14:paraId="34322AF6" w14:textId="77777777" w:rsidR="002E7599" w:rsidRPr="005439A0" w:rsidRDefault="005439A0" w:rsidP="002E7599">
      <w:pPr>
        <w:pStyle w:val="NormalWeb"/>
        <w:spacing w:before="0" w:beforeAutospacing="0" w:after="120" w:afterAutospacing="0"/>
        <w:jc w:val="both"/>
        <w:rPr>
          <w:b/>
          <w:sz w:val="22"/>
          <w:szCs w:val="22"/>
        </w:rPr>
      </w:pPr>
      <w:r w:rsidRPr="005439A0">
        <w:rPr>
          <w:b/>
          <w:sz w:val="22"/>
          <w:szCs w:val="22"/>
        </w:rPr>
        <w:t>2</w:t>
      </w:r>
      <w:r w:rsidR="002E7599" w:rsidRPr="005439A0">
        <w:rPr>
          <w:b/>
          <w:sz w:val="22"/>
          <w:szCs w:val="22"/>
        </w:rPr>
        <w:t>.4 Materials and Equipment</w:t>
      </w:r>
    </w:p>
    <w:p w14:paraId="03A6E308"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The equipment used in this study included a thermometer, pH meter (Hanna HI-1991300), electrical conductivity meter (DDS-307), nephelometer (HV-3560), UV spectrophotometer (PD303), Agilent Atomic Absorption Spectrophotometer (AA240), analytical weighing balance, oven, muffle furnace, water bath, desiccator, reflux condenser, evaporating dish, burette, pipette, volumetric flask, beakers, conical flask, funnel, filter paper, measuring cylinder, test tubes, electric heater, magnetic stirrer, and electric hot plate (A-3232).</w:t>
      </w:r>
    </w:p>
    <w:p w14:paraId="34605E35"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 xml:space="preserve">All reagents and chemicals used were of analytical grade and included distilled water, anhydrous sodium sulphate, silver nitrate, sodium hydroxide, potassium dichromate, </w:t>
      </w:r>
      <w:proofErr w:type="spellStart"/>
      <w:r w:rsidRPr="002E7599">
        <w:rPr>
          <w:sz w:val="22"/>
          <w:szCs w:val="22"/>
        </w:rPr>
        <w:t>sulphuric</w:t>
      </w:r>
      <w:proofErr w:type="spellEnd"/>
      <w:r w:rsidRPr="002E7599">
        <w:rPr>
          <w:sz w:val="22"/>
          <w:szCs w:val="22"/>
        </w:rPr>
        <w:t xml:space="preserve"> acid, nitric acid, ferrous sulphate, ferroin solution, mercuric sulphate solution, ammonium iron (II) sulphate, manganese sulphate, sodium thiosulphate, starch indicator, phenol </w:t>
      </w:r>
      <w:proofErr w:type="spellStart"/>
      <w:r w:rsidRPr="002E7599">
        <w:rPr>
          <w:sz w:val="22"/>
          <w:szCs w:val="22"/>
        </w:rPr>
        <w:t>disulphonic</w:t>
      </w:r>
      <w:proofErr w:type="spellEnd"/>
      <w:r w:rsidRPr="002E7599">
        <w:rPr>
          <w:sz w:val="22"/>
          <w:szCs w:val="22"/>
        </w:rPr>
        <w:t xml:space="preserve"> acid, hydrochloric acid, barium chloride, barium sulphate, phenolphthalein, perchloric acid, potassium hydroxide, potassium iodide, and nitrogen gas.</w:t>
      </w:r>
    </w:p>
    <w:p w14:paraId="700AE8D9" w14:textId="77777777" w:rsidR="002E7599" w:rsidRPr="005439A0" w:rsidRDefault="005439A0" w:rsidP="002E7599">
      <w:pPr>
        <w:pStyle w:val="NormalWeb"/>
        <w:spacing w:before="0" w:beforeAutospacing="0" w:after="120" w:afterAutospacing="0"/>
        <w:jc w:val="both"/>
        <w:rPr>
          <w:b/>
          <w:sz w:val="22"/>
          <w:szCs w:val="22"/>
        </w:rPr>
      </w:pPr>
      <w:r w:rsidRPr="005439A0">
        <w:rPr>
          <w:b/>
          <w:sz w:val="22"/>
          <w:szCs w:val="22"/>
        </w:rPr>
        <w:t>2</w:t>
      </w:r>
      <w:r w:rsidR="002E7599" w:rsidRPr="005439A0">
        <w:rPr>
          <w:b/>
          <w:sz w:val="22"/>
          <w:szCs w:val="22"/>
        </w:rPr>
        <w:t>.5 Laboratory Analysis of Chemical Parameters</w:t>
      </w:r>
    </w:p>
    <w:p w14:paraId="6D93C59D"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All laboratory analyses were carried out in accordance with standard analytical procedures as outlined by the American Public Health Association (APHA, 2017).</w:t>
      </w:r>
    </w:p>
    <w:p w14:paraId="591110BE" w14:textId="77777777" w:rsidR="002E7599" w:rsidRPr="005439A0" w:rsidRDefault="005439A0" w:rsidP="002E7599">
      <w:pPr>
        <w:pStyle w:val="NormalWeb"/>
        <w:spacing w:before="0" w:beforeAutospacing="0" w:after="120" w:afterAutospacing="0"/>
        <w:jc w:val="both"/>
        <w:rPr>
          <w:b/>
          <w:sz w:val="22"/>
          <w:szCs w:val="22"/>
        </w:rPr>
      </w:pPr>
      <w:r w:rsidRPr="005439A0">
        <w:rPr>
          <w:b/>
          <w:sz w:val="22"/>
          <w:szCs w:val="22"/>
        </w:rPr>
        <w:lastRenderedPageBreak/>
        <w:t>2</w:t>
      </w:r>
      <w:r w:rsidR="002E7599" w:rsidRPr="005439A0">
        <w:rPr>
          <w:b/>
          <w:sz w:val="22"/>
          <w:szCs w:val="22"/>
        </w:rPr>
        <w:t>.5.1 Determination of Dissolved Oxygen (DO)</w:t>
      </w:r>
    </w:p>
    <w:p w14:paraId="7EBC3AD6" w14:textId="5D3731FD" w:rsidR="002E7599" w:rsidRDefault="002E7599" w:rsidP="002E7599">
      <w:pPr>
        <w:pStyle w:val="NormalWeb"/>
        <w:spacing w:before="0" w:beforeAutospacing="0" w:after="120" w:afterAutospacing="0"/>
        <w:jc w:val="both"/>
        <w:rPr>
          <w:sz w:val="22"/>
          <w:szCs w:val="22"/>
        </w:rPr>
      </w:pPr>
      <w:r w:rsidRPr="002E7599">
        <w:rPr>
          <w:sz w:val="22"/>
          <w:szCs w:val="22"/>
        </w:rPr>
        <w:t xml:space="preserve">Dissolved oxygen was determined using the Winkler titrimetric method. In the laboratory, 2 mL of concentrated </w:t>
      </w:r>
      <w:proofErr w:type="spellStart"/>
      <w:r w:rsidRPr="002E7599">
        <w:rPr>
          <w:sz w:val="22"/>
          <w:szCs w:val="22"/>
        </w:rPr>
        <w:t>tetraoxosulphate</w:t>
      </w:r>
      <w:proofErr w:type="spellEnd"/>
      <w:r w:rsidRPr="002E7599">
        <w:rPr>
          <w:sz w:val="22"/>
          <w:szCs w:val="22"/>
        </w:rPr>
        <w:t xml:space="preserve"> (VI) acid (H₂SO₄) was added to the fixed sample to dissolve the brown precipitate, producing a golden-yellow coloration indicative of liberated iodine. A 100 mL aliquot of the solution was transferred into a conical flask, followed by the addition of 2 mL of starch indicator, which turned the solution dark blue. The solution was titrated with sodium </w:t>
      </w:r>
      <w:proofErr w:type="spellStart"/>
      <w:r w:rsidRPr="002E7599">
        <w:rPr>
          <w:sz w:val="22"/>
          <w:szCs w:val="22"/>
        </w:rPr>
        <w:t>thiosulphate</w:t>
      </w:r>
      <w:proofErr w:type="spellEnd"/>
      <w:r w:rsidRPr="002E7599">
        <w:rPr>
          <w:sz w:val="22"/>
          <w:szCs w:val="22"/>
        </w:rPr>
        <w:t xml:space="preserve"> (</w:t>
      </w:r>
      <w:proofErr w:type="spellStart"/>
      <w:r w:rsidRPr="002E7599">
        <w:rPr>
          <w:sz w:val="22"/>
          <w:szCs w:val="22"/>
        </w:rPr>
        <w:t>Na₂S₂O</w:t>
      </w:r>
      <w:proofErr w:type="spellEnd"/>
      <w:r w:rsidRPr="002E7599">
        <w:rPr>
          <w:sz w:val="22"/>
          <w:szCs w:val="22"/>
        </w:rPr>
        <w:t>₃) until the blue color disappeared. The volume of titrant used corresponded to the dissolved oxygen concentration, expressed in mg/L.</w:t>
      </w:r>
      <w:r w:rsidR="00D74900">
        <w:rPr>
          <w:sz w:val="22"/>
          <w:szCs w:val="22"/>
        </w:rPr>
        <w:t xml:space="preserve"> The DO is computed as:</w:t>
      </w:r>
    </w:p>
    <w:p w14:paraId="2985A462" w14:textId="71B53469" w:rsidR="00D74900" w:rsidRPr="00D74900" w:rsidRDefault="00D74900" w:rsidP="002E7599">
      <w:pPr>
        <w:pStyle w:val="NormalWeb"/>
        <w:spacing w:before="0" w:beforeAutospacing="0" w:after="120" w:afterAutospacing="0"/>
        <w:jc w:val="both"/>
        <w:rPr>
          <w:sz w:val="22"/>
          <w:szCs w:val="22"/>
        </w:rPr>
      </w:pPr>
      <m:oMathPara>
        <m:oMathParaPr>
          <m:jc m:val="right"/>
        </m:oMathParaPr>
        <m:oMath>
          <m:r>
            <w:rPr>
              <w:rFonts w:ascii="Cambria Math" w:hAnsi="Cambria Math"/>
              <w:sz w:val="22"/>
              <w:szCs w:val="22"/>
            </w:rPr>
            <m:t>DO=V×0.2                                                                                          (1</m:t>
          </m:r>
          <m:r>
            <w:rPr>
              <w:rFonts w:ascii="Cambria Math" w:hAnsi="Cambria Math"/>
              <w:sz w:val="22"/>
              <w:szCs w:val="22"/>
            </w:rPr>
            <m:t>)</m:t>
          </m:r>
        </m:oMath>
      </m:oMathPara>
    </w:p>
    <w:p w14:paraId="4FA88BF7" w14:textId="778F2507" w:rsidR="00D74900" w:rsidRPr="00D74900" w:rsidRDefault="00D74900" w:rsidP="002E7599">
      <w:pPr>
        <w:pStyle w:val="NormalWeb"/>
        <w:spacing w:before="0" w:beforeAutospacing="0" w:after="120" w:afterAutospacing="0"/>
        <w:jc w:val="both"/>
        <w:rPr>
          <w:sz w:val="22"/>
          <w:szCs w:val="22"/>
        </w:rPr>
      </w:pPr>
      <w:proofErr w:type="gramStart"/>
      <w:r>
        <w:rPr>
          <w:sz w:val="22"/>
          <w:szCs w:val="22"/>
        </w:rPr>
        <w:t>where</w:t>
      </w:r>
      <w:proofErr w:type="gramEnd"/>
      <w:r>
        <w:rPr>
          <w:sz w:val="22"/>
          <w:szCs w:val="22"/>
        </w:rPr>
        <w:t xml:space="preserve"> </w:t>
      </w:r>
      <m:oMath>
        <m:r>
          <w:rPr>
            <w:rFonts w:ascii="Cambria Math" w:hAnsi="Cambria Math"/>
            <w:sz w:val="22"/>
            <w:szCs w:val="22"/>
          </w:rPr>
          <m:t>V=mL</m:t>
        </m:r>
      </m:oMath>
      <w:r>
        <w:rPr>
          <w:sz w:val="22"/>
          <w:szCs w:val="22"/>
        </w:rPr>
        <w:t xml:space="preserve"> of titrant used.</w:t>
      </w:r>
    </w:p>
    <w:p w14:paraId="162A2093" w14:textId="77777777" w:rsidR="002E7599" w:rsidRPr="0050298A" w:rsidRDefault="00F51C39" w:rsidP="002E7599">
      <w:pPr>
        <w:pStyle w:val="NormalWeb"/>
        <w:spacing w:before="0" w:beforeAutospacing="0" w:after="120" w:afterAutospacing="0"/>
        <w:jc w:val="both"/>
        <w:rPr>
          <w:b/>
          <w:sz w:val="22"/>
          <w:szCs w:val="22"/>
        </w:rPr>
      </w:pPr>
      <w:r w:rsidRPr="0050298A">
        <w:rPr>
          <w:b/>
          <w:sz w:val="22"/>
          <w:szCs w:val="22"/>
        </w:rPr>
        <w:t>2</w:t>
      </w:r>
      <w:r w:rsidR="002E7599" w:rsidRPr="0050298A">
        <w:rPr>
          <w:b/>
          <w:sz w:val="22"/>
          <w:szCs w:val="22"/>
        </w:rPr>
        <w:t>.5.2 Determination of Biochemical Oxygen Demand (BOD)</w:t>
      </w:r>
    </w:p>
    <w:p w14:paraId="6930728E" w14:textId="77777777" w:rsidR="00E26BC5" w:rsidRDefault="002E7599" w:rsidP="00E26BC5">
      <w:pPr>
        <w:pStyle w:val="NormalWeb"/>
        <w:spacing w:before="0" w:beforeAutospacing="0" w:after="120" w:afterAutospacing="0"/>
        <w:jc w:val="both"/>
        <w:rPr>
          <w:sz w:val="22"/>
          <w:szCs w:val="22"/>
        </w:rPr>
      </w:pPr>
      <w:r w:rsidRPr="002E7599">
        <w:rPr>
          <w:sz w:val="22"/>
          <w:szCs w:val="22"/>
        </w:rPr>
        <w:t xml:space="preserve">Biochemical oxygen demand was determined by incubating the water samples at 20°C for five (5) days. After incubation, the samples were fixed using Winkler’s solutions A and B, and the dissolved oxygen was determined as described above. The BOD value was calculated as the difference between the initial and final dissolved oxygen concentrations, following the method described by </w:t>
      </w:r>
      <w:proofErr w:type="spellStart"/>
      <w:r w:rsidRPr="002E7599">
        <w:rPr>
          <w:sz w:val="22"/>
          <w:szCs w:val="22"/>
        </w:rPr>
        <w:t>Ademoroti</w:t>
      </w:r>
      <w:proofErr w:type="spellEnd"/>
      <w:r w:rsidRPr="002E7599">
        <w:rPr>
          <w:sz w:val="22"/>
          <w:szCs w:val="22"/>
        </w:rPr>
        <w:t xml:space="preserve"> (1996).</w:t>
      </w:r>
      <w:r w:rsidR="00E26BC5">
        <w:rPr>
          <w:sz w:val="22"/>
          <w:szCs w:val="22"/>
        </w:rPr>
        <w:t xml:space="preserve"> The BOD is computed as follows:</w:t>
      </w:r>
    </w:p>
    <w:p w14:paraId="02A7928C" w14:textId="77777777" w:rsidR="00E26BC5" w:rsidRDefault="00E26BC5" w:rsidP="002E7599">
      <w:pPr>
        <w:pStyle w:val="NormalWeb"/>
        <w:spacing w:before="0" w:beforeAutospacing="0" w:after="120" w:afterAutospacing="0"/>
        <w:jc w:val="both"/>
        <w:rPr>
          <w:sz w:val="22"/>
          <w:szCs w:val="22"/>
        </w:rPr>
      </w:pPr>
    </w:p>
    <w:p w14:paraId="71ADB9FB" w14:textId="42D38E11" w:rsidR="00E26BC5" w:rsidRPr="00E26BC5" w:rsidRDefault="00E26BC5" w:rsidP="00E26BC5">
      <w:pPr>
        <w:pStyle w:val="NormalWeb"/>
        <w:spacing w:before="0" w:beforeAutospacing="0" w:after="120" w:afterAutospacing="0"/>
        <w:jc w:val="right"/>
      </w:pPr>
      <m:oMathPara>
        <m:oMathParaPr>
          <m:jc m:val="right"/>
        </m:oMathParaPr>
        <m:oMath>
          <m:r>
            <w:rPr>
              <w:rFonts w:ascii="Cambria Math" w:eastAsia="Cambria Math" w:hAnsi="Cambria Math" w:cs="Cambria Math"/>
            </w:rPr>
            <m:t xml:space="preserve">BOD = </m:t>
          </m:r>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0</m:t>
              </m:r>
            </m:sub>
          </m:sSub>
          <m:r>
            <w:rPr>
              <w:rFonts w:ascii="Cambria Math" w:eastAsia="Cambria Math" w:hAnsi="Cambria Math" w:cs="Cambria Math"/>
            </w:rPr>
            <m:t xml:space="preserve"> - </m:t>
          </m:r>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5</m:t>
              </m:r>
            </m:sub>
          </m:sSub>
          <m:r>
            <w:rPr>
              <w:rFonts w:ascii="Cambria Math" w:eastAsia="Cambria Math" w:hAnsi="Cambria Math" w:cs="Cambria Math"/>
            </w:rPr>
            <m:t xml:space="preserve">               </m:t>
          </m:r>
          <m:r>
            <w:rPr>
              <w:rFonts w:ascii="Cambria Math" w:eastAsia="Cambria Math" w:hAnsi="Cambria Math" w:cs="Cambria Math"/>
            </w:rPr>
            <m:t xml:space="preserve">  </m:t>
          </m:r>
          <m:r>
            <w:rPr>
              <w:rFonts w:ascii="Cambria Math" w:eastAsia="Cambria Math" w:hAnsi="Cambria Math" w:cs="Cambria Math"/>
            </w:rPr>
            <m:t xml:space="preserve">                      </m:t>
          </m:r>
          <m:r>
            <w:rPr>
              <w:rFonts w:ascii="Cambria Math" w:eastAsia="Cambria Math" w:hAnsi="Cambria Math" w:cs="Cambria Math"/>
            </w:rPr>
            <m:t xml:space="preserve">                              (2</m:t>
          </m:r>
          <m:r>
            <w:rPr>
              <w:rFonts w:ascii="Cambria Math" w:eastAsia="Cambria Math" w:hAnsi="Cambria Math" w:cs="Cambria Math"/>
            </w:rPr>
            <m:t>)</m:t>
          </m:r>
        </m:oMath>
      </m:oMathPara>
    </w:p>
    <w:p w14:paraId="30C4CA13" w14:textId="77777777" w:rsidR="00E26BC5" w:rsidRPr="00E26BC5" w:rsidRDefault="00E26BC5" w:rsidP="00E26BC5">
      <w:pPr>
        <w:pStyle w:val="NormalWeb"/>
        <w:spacing w:before="0" w:beforeAutospacing="0" w:after="120" w:afterAutospacing="0"/>
        <w:jc w:val="both"/>
        <w:rPr>
          <w:sz w:val="22"/>
          <w:szCs w:val="22"/>
        </w:rPr>
      </w:pPr>
      <w:r>
        <w:t xml:space="preserve">where </w:t>
      </w:r>
      <w:r>
        <w:rPr>
          <w:rFonts w:ascii="Cambria Math" w:eastAsia="Cambria Math" w:hAnsi="Cambria Math" w:cs="Cambria Math"/>
        </w:rPr>
        <w:t>𝐵𝑂𝐷</w:t>
      </w:r>
      <w:r>
        <w:t xml:space="preserve"> is the biochemical oxygen demand (mg/l), </w:t>
      </w:r>
      <m:oMath>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0</m:t>
            </m:r>
          </m:sub>
        </m:sSub>
      </m:oMath>
      <w:r>
        <w:t xml:space="preserve"> is the dissolved oxygen at day 1, and </w:t>
      </w:r>
      <m:oMath>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5</m:t>
            </m:r>
          </m:sub>
        </m:sSub>
      </m:oMath>
      <w:r>
        <w:t xml:space="preserve"> is the dissolved oxygen at the end of 5 days.</w:t>
      </w:r>
    </w:p>
    <w:p w14:paraId="0888F713" w14:textId="77777777" w:rsidR="002E7599" w:rsidRPr="00172731" w:rsidRDefault="0050298A" w:rsidP="002E7599">
      <w:pPr>
        <w:pStyle w:val="NormalWeb"/>
        <w:spacing w:before="0" w:beforeAutospacing="0" w:after="120" w:afterAutospacing="0"/>
        <w:jc w:val="both"/>
        <w:rPr>
          <w:b/>
          <w:sz w:val="22"/>
          <w:szCs w:val="22"/>
        </w:rPr>
      </w:pPr>
      <w:r w:rsidRPr="00172731">
        <w:rPr>
          <w:b/>
          <w:sz w:val="22"/>
          <w:szCs w:val="22"/>
        </w:rPr>
        <w:t>2</w:t>
      </w:r>
      <w:r w:rsidR="002E7599" w:rsidRPr="00172731">
        <w:rPr>
          <w:b/>
          <w:sz w:val="22"/>
          <w:szCs w:val="22"/>
        </w:rPr>
        <w:t>.5.3 Determination of Chemical Oxygen Demand (COD)</w:t>
      </w:r>
    </w:p>
    <w:p w14:paraId="097B41E9" w14:textId="77777777" w:rsidR="002E7599" w:rsidRDefault="002E7599" w:rsidP="002E7599">
      <w:pPr>
        <w:pStyle w:val="NormalWeb"/>
        <w:spacing w:before="0" w:beforeAutospacing="0" w:after="120" w:afterAutospacing="0"/>
        <w:jc w:val="both"/>
        <w:rPr>
          <w:sz w:val="22"/>
          <w:szCs w:val="22"/>
        </w:rPr>
      </w:pPr>
      <w:r w:rsidRPr="002E7599">
        <w:rPr>
          <w:sz w:val="22"/>
          <w:szCs w:val="22"/>
        </w:rPr>
        <w:t xml:space="preserve">Chemical oxygen demand was determined using the permanganate oxidation method. A 250 mL volume of the water sample was warmed to 27°C and transferred into a clean flask. Thereafter, 10 mL of 0.0125 M </w:t>
      </w:r>
      <w:proofErr w:type="spellStart"/>
      <w:r w:rsidRPr="002E7599">
        <w:rPr>
          <w:sz w:val="22"/>
          <w:szCs w:val="22"/>
        </w:rPr>
        <w:t>KMnO</w:t>
      </w:r>
      <w:proofErr w:type="spellEnd"/>
      <w:r w:rsidRPr="002E7599">
        <w:rPr>
          <w:sz w:val="22"/>
          <w:szCs w:val="22"/>
        </w:rPr>
        <w:t xml:space="preserve">₄ and 10 mL of 20% (v/v) H₂SO₄ were added, mixed gently, and incubated at 27°C for four (4) hours. When the pink color of permanganate faded, additional </w:t>
      </w:r>
      <w:proofErr w:type="spellStart"/>
      <w:r w:rsidRPr="002E7599">
        <w:rPr>
          <w:sz w:val="22"/>
          <w:szCs w:val="22"/>
        </w:rPr>
        <w:t>KMnO</w:t>
      </w:r>
      <w:proofErr w:type="spellEnd"/>
      <w:r w:rsidRPr="002E7599">
        <w:rPr>
          <w:sz w:val="22"/>
          <w:szCs w:val="22"/>
        </w:rPr>
        <w:t xml:space="preserve">₄ was added. After incubation, 1 mL of potassium iodide solution was added and titrated against 0.0125 M </w:t>
      </w:r>
      <w:proofErr w:type="spellStart"/>
      <w:r w:rsidRPr="002E7599">
        <w:rPr>
          <w:sz w:val="22"/>
          <w:szCs w:val="22"/>
        </w:rPr>
        <w:t>Na₂S₂O</w:t>
      </w:r>
      <w:proofErr w:type="spellEnd"/>
      <w:r w:rsidRPr="002E7599">
        <w:rPr>
          <w:sz w:val="22"/>
          <w:szCs w:val="22"/>
        </w:rPr>
        <w:t>₃ using starch as an indicator until the blue color disappeared.</w:t>
      </w:r>
      <w:r w:rsidR="00D50AC8">
        <w:rPr>
          <w:sz w:val="22"/>
          <w:szCs w:val="22"/>
        </w:rPr>
        <w:t xml:space="preserve"> COD is calculated as follows:</w:t>
      </w:r>
    </w:p>
    <w:p w14:paraId="589C4F5A" w14:textId="510ACA86" w:rsidR="00FB0280" w:rsidRPr="00FB0280" w:rsidRDefault="00FB0280" w:rsidP="002E7599">
      <w:pPr>
        <w:pStyle w:val="NormalWeb"/>
        <w:spacing w:before="0" w:beforeAutospacing="0" w:after="120" w:afterAutospacing="0"/>
        <w:jc w:val="both"/>
        <w:rPr>
          <w:sz w:val="22"/>
          <w:szCs w:val="22"/>
        </w:rPr>
      </w:pPr>
      <m:oMathPara>
        <m:oMathParaPr>
          <m:jc m:val="right"/>
        </m:oMathParaPr>
        <m:oMath>
          <m:r>
            <w:rPr>
              <w:rFonts w:ascii="Cambria Math" w:hAnsi="Cambria Math"/>
              <w:sz w:val="22"/>
              <w:szCs w:val="22"/>
            </w:rPr>
            <m:t>COD=</m:t>
          </m:r>
          <m:f>
            <m:fPr>
              <m:ctrlPr>
                <w:rPr>
                  <w:rFonts w:ascii="Cambria Math" w:hAnsi="Cambria Math"/>
                  <w:i/>
                  <w:sz w:val="22"/>
                  <w:szCs w:val="22"/>
                </w:rPr>
              </m:ctrlPr>
            </m:fPr>
            <m:num>
              <m:r>
                <w:rPr>
                  <w:rFonts w:ascii="Cambria Math" w:hAnsi="Cambria Math"/>
                  <w:sz w:val="22"/>
                  <w:szCs w:val="22"/>
                </w:rPr>
                <m:t>ml of blank-ml required of sample</m:t>
              </m:r>
            </m:num>
            <m:den>
              <m:r>
                <w:rPr>
                  <w:rFonts w:ascii="Cambria Math" w:hAnsi="Cambria Math"/>
                  <w:sz w:val="22"/>
                  <w:szCs w:val="22"/>
                </w:rPr>
                <m:t>A×vol. of the sample</m:t>
              </m:r>
            </m:den>
          </m:f>
          <m:r>
            <w:rPr>
              <w:rFonts w:ascii="Cambria Math" w:hAnsi="Cambria Math"/>
              <w:sz w:val="22"/>
              <w:szCs w:val="22"/>
            </w:rPr>
            <m:t xml:space="preserve">                 </m:t>
          </m:r>
          <m:r>
            <w:rPr>
              <w:rFonts w:ascii="Cambria Math" w:hAnsi="Cambria Math"/>
              <w:sz w:val="22"/>
              <w:szCs w:val="22"/>
            </w:rPr>
            <m:t xml:space="preserve">                              (3</m:t>
          </m:r>
          <m:r>
            <w:rPr>
              <w:rFonts w:ascii="Cambria Math" w:hAnsi="Cambria Math"/>
              <w:sz w:val="22"/>
              <w:szCs w:val="22"/>
            </w:rPr>
            <m:t>)</m:t>
          </m:r>
        </m:oMath>
      </m:oMathPara>
    </w:p>
    <w:p w14:paraId="7F9D0303" w14:textId="77777777" w:rsidR="00FB0280" w:rsidRPr="00FB0280" w:rsidRDefault="00FB0280" w:rsidP="002E7599">
      <w:pPr>
        <w:pStyle w:val="NormalWeb"/>
        <w:spacing w:before="0" w:beforeAutospacing="0" w:after="120" w:afterAutospacing="0"/>
        <w:jc w:val="both"/>
        <w:rPr>
          <w:sz w:val="22"/>
          <w:szCs w:val="22"/>
        </w:rPr>
      </w:pPr>
      <w:r>
        <w:rPr>
          <w:sz w:val="22"/>
          <w:szCs w:val="22"/>
        </w:rPr>
        <w:t xml:space="preserve">where </w:t>
      </w:r>
      <m:oMath>
        <m:r>
          <w:rPr>
            <w:rFonts w:ascii="Cambria Math" w:hAnsi="Cambria Math"/>
            <w:sz w:val="22"/>
            <w:szCs w:val="22"/>
          </w:rPr>
          <m:t>COD</m:t>
        </m:r>
      </m:oMath>
      <w:r>
        <w:rPr>
          <w:sz w:val="22"/>
          <w:szCs w:val="22"/>
        </w:rPr>
        <w:t xml:space="preserve"> is the chemical oxygen demand (mg/l) and </w:t>
      </w:r>
      <m:oMath>
        <m:r>
          <w:rPr>
            <w:rFonts w:ascii="Cambria Math" w:hAnsi="Cambria Math"/>
            <w:sz w:val="22"/>
            <w:szCs w:val="22"/>
          </w:rPr>
          <m:t>A</m:t>
        </m:r>
      </m:oMath>
      <w:r>
        <w:rPr>
          <w:sz w:val="22"/>
          <w:szCs w:val="22"/>
        </w:rPr>
        <w:t xml:space="preserve"> is the total vol. of </w:t>
      </w:r>
      <w:proofErr w:type="spellStart"/>
      <w:r w:rsidRPr="002E7599">
        <w:rPr>
          <w:sz w:val="22"/>
          <w:szCs w:val="22"/>
        </w:rPr>
        <w:t>KMnO</w:t>
      </w:r>
      <w:proofErr w:type="spellEnd"/>
      <w:r w:rsidRPr="002E7599">
        <w:rPr>
          <w:sz w:val="22"/>
          <w:szCs w:val="22"/>
        </w:rPr>
        <w:t>₄</w:t>
      </w:r>
      <w:r>
        <w:rPr>
          <w:sz w:val="22"/>
          <w:szCs w:val="22"/>
        </w:rPr>
        <w:t xml:space="preserve"> (0.0125M) added to samples.</w:t>
      </w:r>
    </w:p>
    <w:p w14:paraId="458989B1" w14:textId="77777777" w:rsidR="002E7599" w:rsidRPr="00D50AC8" w:rsidRDefault="0050298A" w:rsidP="002E7599">
      <w:pPr>
        <w:pStyle w:val="NormalWeb"/>
        <w:spacing w:before="0" w:beforeAutospacing="0" w:after="120" w:afterAutospacing="0"/>
        <w:jc w:val="both"/>
        <w:rPr>
          <w:b/>
          <w:sz w:val="22"/>
          <w:szCs w:val="22"/>
        </w:rPr>
      </w:pPr>
      <w:r w:rsidRPr="00D50AC8">
        <w:rPr>
          <w:b/>
          <w:sz w:val="22"/>
          <w:szCs w:val="22"/>
        </w:rPr>
        <w:t>2</w:t>
      </w:r>
      <w:r w:rsidR="002E7599" w:rsidRPr="00D50AC8">
        <w:rPr>
          <w:b/>
          <w:sz w:val="22"/>
          <w:szCs w:val="22"/>
        </w:rPr>
        <w:t>.5.4 Determination of Chloride</w:t>
      </w:r>
    </w:p>
    <w:p w14:paraId="48743207" w14:textId="77777777" w:rsidR="002E7599" w:rsidRDefault="002E7599" w:rsidP="002E7599">
      <w:pPr>
        <w:pStyle w:val="NormalWeb"/>
        <w:spacing w:before="0" w:beforeAutospacing="0" w:after="120" w:afterAutospacing="0"/>
        <w:jc w:val="both"/>
        <w:rPr>
          <w:sz w:val="22"/>
          <w:szCs w:val="22"/>
        </w:rPr>
      </w:pPr>
      <w:r w:rsidRPr="002E7599">
        <w:rPr>
          <w:sz w:val="22"/>
          <w:szCs w:val="22"/>
        </w:rPr>
        <w:t>Chloride concentration was determined using the argentometric titration method. A 100 mL aliquot of the clear water sample was transferred into an Erlenmeyer flask, and the pH was adjusted to between 7 and 10 using NaOH. One milliliter of potassium chromate (</w:t>
      </w:r>
      <w:proofErr w:type="spellStart"/>
      <w:r w:rsidRPr="002E7599">
        <w:rPr>
          <w:sz w:val="22"/>
          <w:szCs w:val="22"/>
        </w:rPr>
        <w:t>K₂CrO</w:t>
      </w:r>
      <w:proofErr w:type="spellEnd"/>
      <w:r w:rsidRPr="002E7599">
        <w:rPr>
          <w:sz w:val="22"/>
          <w:szCs w:val="22"/>
        </w:rPr>
        <w:t xml:space="preserve">₄) indicator was added, and the solution was titrated with 0.01 M </w:t>
      </w:r>
      <w:proofErr w:type="spellStart"/>
      <w:r w:rsidRPr="002E7599">
        <w:rPr>
          <w:sz w:val="22"/>
          <w:szCs w:val="22"/>
        </w:rPr>
        <w:t>AgNO</w:t>
      </w:r>
      <w:proofErr w:type="spellEnd"/>
      <w:r w:rsidRPr="002E7599">
        <w:rPr>
          <w:sz w:val="22"/>
          <w:szCs w:val="22"/>
        </w:rPr>
        <w:t>₃ until a permanent reddish-brown endpoint was observed. A reagent blank of 0.3 mL was applied.</w:t>
      </w:r>
      <w:r w:rsidR="00D50AC8">
        <w:rPr>
          <w:sz w:val="22"/>
          <w:szCs w:val="22"/>
        </w:rPr>
        <w:t xml:space="preserve"> The concentration of the chloride ion in the water samples were calculated using:</w:t>
      </w:r>
    </w:p>
    <w:p w14:paraId="2CB01182" w14:textId="289B4944" w:rsidR="00D50AC8" w:rsidRPr="002302E5" w:rsidRDefault="00D74900" w:rsidP="002E7599">
      <w:pPr>
        <w:pStyle w:val="NormalWeb"/>
        <w:spacing w:before="0" w:beforeAutospacing="0" w:after="120" w:afterAutospacing="0"/>
        <w:jc w:val="both"/>
        <w:rPr>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Cl</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V×M×35.45×1000</m:t>
              </m:r>
            </m:num>
            <m:den>
              <m:r>
                <w:rPr>
                  <w:rFonts w:ascii="Cambria Math" w:hAnsi="Cambria Math"/>
                  <w:sz w:val="22"/>
                  <w:szCs w:val="22"/>
                </w:rPr>
                <m:t>vol. of the sample used</m:t>
              </m:r>
            </m:den>
          </m:f>
          <m:r>
            <w:rPr>
              <w:rFonts w:ascii="Cambria Math" w:hAnsi="Cambria Math"/>
              <w:sz w:val="22"/>
              <w:szCs w:val="22"/>
            </w:rPr>
            <m:t xml:space="preserve">                                                             </m:t>
          </m:r>
          <m:r>
            <w:rPr>
              <w:rFonts w:ascii="Cambria Math" w:hAnsi="Cambria Math"/>
              <w:sz w:val="22"/>
              <w:szCs w:val="22"/>
            </w:rPr>
            <m:t xml:space="preserve">       (4</m:t>
          </m:r>
          <m:r>
            <w:rPr>
              <w:rFonts w:ascii="Cambria Math" w:hAnsi="Cambria Math"/>
              <w:sz w:val="22"/>
              <w:szCs w:val="22"/>
            </w:rPr>
            <m:t>)</m:t>
          </m:r>
        </m:oMath>
      </m:oMathPara>
    </w:p>
    <w:p w14:paraId="799C6F55" w14:textId="77777777" w:rsidR="002302E5" w:rsidRPr="002302E5" w:rsidRDefault="00EF01E1" w:rsidP="002E7599">
      <w:pPr>
        <w:pStyle w:val="NormalWeb"/>
        <w:spacing w:before="0" w:beforeAutospacing="0" w:after="120" w:afterAutospacing="0"/>
        <w:jc w:val="both"/>
        <w:rPr>
          <w:sz w:val="22"/>
          <w:szCs w:val="22"/>
        </w:rPr>
      </w:pPr>
      <w:r>
        <w:rPr>
          <w:sz w:val="22"/>
          <w:szCs w:val="22"/>
        </w:rPr>
        <w:t xml:space="preserve">where </w:t>
      </w:r>
      <m:oMath>
        <m:r>
          <w:rPr>
            <w:rFonts w:ascii="Cambria Math" w:hAnsi="Cambria Math"/>
            <w:sz w:val="22"/>
            <w:szCs w:val="22"/>
          </w:rPr>
          <m:t>V</m:t>
        </m:r>
      </m:oMath>
      <w:r>
        <w:rPr>
          <w:sz w:val="22"/>
          <w:szCs w:val="22"/>
        </w:rPr>
        <w:t xml:space="preserve"> is the volume of </w:t>
      </w:r>
      <w:proofErr w:type="spellStart"/>
      <w:r w:rsidRPr="002E7599">
        <w:rPr>
          <w:sz w:val="22"/>
          <w:szCs w:val="22"/>
        </w:rPr>
        <w:t>AgNO</w:t>
      </w:r>
      <w:proofErr w:type="spellEnd"/>
      <w:r w:rsidRPr="002E7599">
        <w:rPr>
          <w:sz w:val="22"/>
          <w:szCs w:val="22"/>
        </w:rPr>
        <w:t>₃</w:t>
      </w:r>
      <w:r>
        <w:rPr>
          <w:sz w:val="22"/>
          <w:szCs w:val="22"/>
        </w:rPr>
        <w:t xml:space="preserve"> used, </w:t>
      </w:r>
      <m:oMath>
        <m:r>
          <w:rPr>
            <w:rFonts w:ascii="Cambria Math" w:hAnsi="Cambria Math"/>
            <w:sz w:val="22"/>
            <w:szCs w:val="22"/>
          </w:rPr>
          <m:t>M</m:t>
        </m:r>
      </m:oMath>
      <w:r>
        <w:rPr>
          <w:sz w:val="22"/>
          <w:szCs w:val="22"/>
        </w:rPr>
        <w:t xml:space="preserve"> is the molarity of </w:t>
      </w:r>
      <w:proofErr w:type="spellStart"/>
      <w:r w:rsidRPr="002E7599">
        <w:rPr>
          <w:sz w:val="22"/>
          <w:szCs w:val="22"/>
        </w:rPr>
        <w:t>AgNO</w:t>
      </w:r>
      <w:proofErr w:type="spellEnd"/>
      <w:r w:rsidRPr="002E7599">
        <w:rPr>
          <w:sz w:val="22"/>
          <w:szCs w:val="22"/>
        </w:rPr>
        <w:t>₃</w:t>
      </w:r>
      <w:r w:rsidR="00FC0FFF">
        <w:rPr>
          <w:sz w:val="22"/>
          <w:szCs w:val="22"/>
        </w:rPr>
        <w:t>,</w:t>
      </w:r>
      <w:r>
        <w:rPr>
          <w:sz w:val="22"/>
          <w:szCs w:val="22"/>
        </w:rPr>
        <w:t xml:space="preserve"> 35.45 is the molar mass of Cl (g/mol)</w:t>
      </w:r>
      <w:r w:rsidR="00FC0FFF">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Cl</m:t>
            </m:r>
          </m:sub>
        </m:sSub>
      </m:oMath>
      <w:r w:rsidR="00FC0FFF">
        <w:rPr>
          <w:sz w:val="22"/>
          <w:szCs w:val="22"/>
        </w:rPr>
        <w:t xml:space="preserve"> is the chloride concentration.</w:t>
      </w:r>
    </w:p>
    <w:p w14:paraId="0167F82F" w14:textId="77777777" w:rsidR="002E7599" w:rsidRPr="00B65B92" w:rsidRDefault="0050298A" w:rsidP="002E7599">
      <w:pPr>
        <w:pStyle w:val="NormalWeb"/>
        <w:spacing w:before="0" w:beforeAutospacing="0" w:after="120" w:afterAutospacing="0"/>
        <w:jc w:val="both"/>
        <w:rPr>
          <w:b/>
          <w:sz w:val="22"/>
          <w:szCs w:val="22"/>
        </w:rPr>
      </w:pPr>
      <w:r w:rsidRPr="00B65B92">
        <w:rPr>
          <w:b/>
          <w:sz w:val="22"/>
          <w:szCs w:val="22"/>
        </w:rPr>
        <w:t>2</w:t>
      </w:r>
      <w:r w:rsidR="002E7599" w:rsidRPr="00B65B92">
        <w:rPr>
          <w:b/>
          <w:sz w:val="22"/>
          <w:szCs w:val="22"/>
        </w:rPr>
        <w:t>.5.5 Determination of Sulphate</w:t>
      </w:r>
    </w:p>
    <w:p w14:paraId="0CA8D08F" w14:textId="77777777" w:rsidR="002E7599" w:rsidRDefault="002E7599" w:rsidP="002E7599">
      <w:pPr>
        <w:pStyle w:val="NormalWeb"/>
        <w:spacing w:before="0" w:beforeAutospacing="0" w:after="120" w:afterAutospacing="0"/>
        <w:jc w:val="both"/>
        <w:rPr>
          <w:sz w:val="22"/>
          <w:szCs w:val="22"/>
        </w:rPr>
      </w:pPr>
      <w:r w:rsidRPr="002E7599">
        <w:rPr>
          <w:sz w:val="22"/>
          <w:szCs w:val="22"/>
        </w:rPr>
        <w:lastRenderedPageBreak/>
        <w:t>Sulphate was analyzed using the gravimetric method. A 250 mL sample was evaporated to dryness, treated with concentrated HCl, and redissolved in distilled water. After boiling and filtration, barium chloride solution was added dropwise to precipitate barium sulphate. The precipitate was digested, filtered, ignited, cooled, and weighed. Sulphate concentration was calculated gravimetrically.</w:t>
      </w:r>
      <w:r w:rsidR="000A2A18">
        <w:rPr>
          <w:sz w:val="22"/>
          <w:szCs w:val="22"/>
        </w:rPr>
        <w:t xml:space="preserve"> This was computed using:</w:t>
      </w:r>
    </w:p>
    <w:p w14:paraId="4355BB3E" w14:textId="755EFD43" w:rsidR="000A2A18" w:rsidRPr="00CA436F" w:rsidRDefault="00D74900" w:rsidP="002E7599">
      <w:pPr>
        <w:pStyle w:val="NormalWeb"/>
        <w:spacing w:before="0" w:beforeAutospacing="0" w:after="120" w:afterAutospacing="0"/>
        <w:jc w:val="both"/>
        <w:rPr>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Residue of Ba</m:t>
              </m:r>
              <m:sSub>
                <m:sSubPr>
                  <m:ctrlPr>
                    <w:rPr>
                      <w:rFonts w:ascii="Cambria Math" w:hAnsi="Cambria Math"/>
                      <w:i/>
                      <w:sz w:val="22"/>
                      <w:szCs w:val="22"/>
                    </w:rPr>
                  </m:ctrlPr>
                </m:sSubPr>
                <m:e>
                  <m:r>
                    <w:rPr>
                      <w:rFonts w:ascii="Cambria Math" w:hAnsi="Cambria Math"/>
                      <w:sz w:val="22"/>
                      <w:szCs w:val="22"/>
                    </w:rPr>
                    <m:t>SO</m:t>
                  </m:r>
                </m:e>
                <m:sub>
                  <m:r>
                    <w:rPr>
                      <w:rFonts w:ascii="Cambria Math" w:hAnsi="Cambria Math"/>
                      <w:sz w:val="22"/>
                      <w:szCs w:val="22"/>
                    </w:rPr>
                    <m:t>4</m:t>
                  </m:r>
                </m:sub>
              </m:sSub>
              <m:r>
                <w:rPr>
                  <w:rFonts w:ascii="Cambria Math" w:hAnsi="Cambria Math"/>
                  <w:sz w:val="22"/>
                  <w:szCs w:val="22"/>
                </w:rPr>
                <m:t>(mL)×411.5</m:t>
              </m:r>
            </m:num>
            <m:den>
              <m:r>
                <w:rPr>
                  <w:rFonts w:ascii="Cambria Math" w:hAnsi="Cambria Math"/>
                  <w:sz w:val="22"/>
                  <w:szCs w:val="22"/>
                </w:rPr>
                <m:t>vol. of the sample used</m:t>
              </m:r>
            </m:den>
          </m:f>
          <m:r>
            <w:rPr>
              <w:rFonts w:ascii="Cambria Math" w:hAnsi="Cambria Math"/>
              <w:sz w:val="22"/>
              <w:szCs w:val="22"/>
            </w:rPr>
            <m:t xml:space="preserve">                           </m:t>
          </m:r>
          <m:r>
            <w:rPr>
              <w:rFonts w:ascii="Cambria Math" w:hAnsi="Cambria Math"/>
              <w:sz w:val="22"/>
              <w:szCs w:val="22"/>
            </w:rPr>
            <m:t xml:space="preserve">                              (5</m:t>
          </m:r>
          <m:r>
            <w:rPr>
              <w:rFonts w:ascii="Cambria Math" w:hAnsi="Cambria Math"/>
              <w:sz w:val="22"/>
              <w:szCs w:val="22"/>
            </w:rPr>
            <m:t>)</m:t>
          </m:r>
        </m:oMath>
      </m:oMathPara>
    </w:p>
    <w:p w14:paraId="4AFD0ED4" w14:textId="77777777" w:rsidR="00CA436F" w:rsidRPr="00CA436F" w:rsidRDefault="00CA436F" w:rsidP="002E7599">
      <w:pPr>
        <w:pStyle w:val="NormalWeb"/>
        <w:spacing w:before="0" w:beforeAutospacing="0" w:after="120" w:afterAutospacing="0"/>
        <w:jc w:val="both"/>
        <w:rPr>
          <w:sz w:val="22"/>
          <w:szCs w:val="22"/>
        </w:rPr>
      </w:pPr>
      <w:r>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m:t>
            </m:r>
          </m:sub>
        </m:sSub>
      </m:oMath>
      <w:r>
        <w:rPr>
          <w:sz w:val="22"/>
          <w:szCs w:val="22"/>
        </w:rPr>
        <w:t xml:space="preserve"> is the Sulphate concentration and 411.5 is the conversion factor based on the molar mass ratio.</w:t>
      </w:r>
    </w:p>
    <w:p w14:paraId="692EC051" w14:textId="77777777" w:rsidR="002E7599" w:rsidRPr="00222036" w:rsidRDefault="00605BE8" w:rsidP="002E7599">
      <w:pPr>
        <w:pStyle w:val="NormalWeb"/>
        <w:spacing w:before="0" w:beforeAutospacing="0" w:after="120" w:afterAutospacing="0"/>
        <w:jc w:val="both"/>
        <w:rPr>
          <w:b/>
          <w:sz w:val="22"/>
          <w:szCs w:val="22"/>
        </w:rPr>
      </w:pPr>
      <w:r w:rsidRPr="00222036">
        <w:rPr>
          <w:b/>
          <w:sz w:val="22"/>
          <w:szCs w:val="22"/>
        </w:rPr>
        <w:t>2</w:t>
      </w:r>
      <w:r w:rsidR="002E7599" w:rsidRPr="00222036">
        <w:rPr>
          <w:b/>
          <w:sz w:val="22"/>
          <w:szCs w:val="22"/>
        </w:rPr>
        <w:t>.5.6 Determination of Nitrate</w:t>
      </w:r>
    </w:p>
    <w:p w14:paraId="4194D372"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 xml:space="preserve">Nitrate concentration was determined using a UV spectrophotometric method. A 50 mL sample was evaporated to dryness, treated with phenol </w:t>
      </w:r>
      <w:proofErr w:type="spellStart"/>
      <w:r w:rsidRPr="002E7599">
        <w:rPr>
          <w:sz w:val="22"/>
          <w:szCs w:val="22"/>
        </w:rPr>
        <w:t>disulphonic</w:t>
      </w:r>
      <w:proofErr w:type="spellEnd"/>
      <w:r w:rsidRPr="002E7599">
        <w:rPr>
          <w:sz w:val="22"/>
          <w:szCs w:val="22"/>
        </w:rPr>
        <w:t xml:space="preserve"> acid, neutralized with sodium hydroxide, filtered, and made up to volume. Absorbance was measured at 410 nm using a PD303 spectrophotometer. Nitrate concentration was obtained from a standard calibration curve and expressed in mg/L.</w:t>
      </w:r>
      <w:r w:rsidR="00605BE8">
        <w:rPr>
          <w:sz w:val="22"/>
          <w:szCs w:val="22"/>
        </w:rPr>
        <w:t xml:space="preserve"> </w:t>
      </w:r>
    </w:p>
    <w:p w14:paraId="05808519" w14:textId="77777777" w:rsidR="002E7599" w:rsidRPr="00222036" w:rsidRDefault="00605BE8" w:rsidP="002E7599">
      <w:pPr>
        <w:pStyle w:val="NormalWeb"/>
        <w:spacing w:before="0" w:beforeAutospacing="0" w:after="120" w:afterAutospacing="0"/>
        <w:jc w:val="both"/>
        <w:rPr>
          <w:b/>
          <w:sz w:val="22"/>
          <w:szCs w:val="22"/>
        </w:rPr>
      </w:pPr>
      <w:r w:rsidRPr="00222036">
        <w:rPr>
          <w:b/>
          <w:sz w:val="22"/>
          <w:szCs w:val="22"/>
        </w:rPr>
        <w:t>2</w:t>
      </w:r>
      <w:r w:rsidR="002E7599" w:rsidRPr="00222036">
        <w:rPr>
          <w:b/>
          <w:sz w:val="22"/>
          <w:szCs w:val="22"/>
        </w:rPr>
        <w:t>.5.7 Determination of Total Hardness</w:t>
      </w:r>
    </w:p>
    <w:p w14:paraId="2E7ECAE7" w14:textId="77777777" w:rsidR="002E7599" w:rsidRDefault="002E7599" w:rsidP="002E7599">
      <w:pPr>
        <w:pStyle w:val="NormalWeb"/>
        <w:spacing w:before="0" w:beforeAutospacing="0" w:after="120" w:afterAutospacing="0"/>
        <w:jc w:val="both"/>
        <w:rPr>
          <w:sz w:val="22"/>
          <w:szCs w:val="22"/>
        </w:rPr>
      </w:pPr>
      <w:r w:rsidRPr="002E7599">
        <w:rPr>
          <w:sz w:val="22"/>
          <w:szCs w:val="22"/>
        </w:rPr>
        <w:t>Total hardness was determined using the EDTA titrimetric method. A 50 mL sample was buffered with ammonium buffer, followed by the addition of Solocrome Black T indicator. The solution was titrated with 0.01 M EDTA until the color changed from wine red to pure blue.</w:t>
      </w:r>
      <w:r w:rsidR="00653E50">
        <w:rPr>
          <w:sz w:val="22"/>
          <w:szCs w:val="22"/>
        </w:rPr>
        <w:t xml:space="preserve"> The total hardness of the water sample was calculated using:</w:t>
      </w:r>
    </w:p>
    <w:p w14:paraId="513AC9F2" w14:textId="69514D8E" w:rsidR="00653E50" w:rsidRPr="00B01346" w:rsidRDefault="00B01346" w:rsidP="002E7599">
      <w:pPr>
        <w:pStyle w:val="NormalWeb"/>
        <w:spacing w:before="0" w:beforeAutospacing="0" w:after="120" w:afterAutospacing="0"/>
        <w:jc w:val="both"/>
        <w:rPr>
          <w:sz w:val="22"/>
          <w:szCs w:val="22"/>
        </w:rPr>
      </w:pPr>
      <m:oMathPara>
        <m:oMathParaPr>
          <m:jc m:val="right"/>
        </m:oMathParaPr>
        <m:oMath>
          <m:r>
            <w:rPr>
              <w:rFonts w:ascii="Cambria Math" w:hAnsi="Cambria Math"/>
              <w:sz w:val="22"/>
              <w:szCs w:val="22"/>
            </w:rPr>
            <m:t>TH (mg/</m:t>
          </m:r>
          <m:sSub>
            <m:sSubPr>
              <m:ctrlPr>
                <w:rPr>
                  <w:rFonts w:ascii="Cambria Math" w:hAnsi="Cambria Math"/>
                  <w:i/>
                  <w:sz w:val="22"/>
                  <w:szCs w:val="22"/>
                </w:rPr>
              </m:ctrlPr>
            </m:sSubPr>
            <m:e>
              <m:r>
                <w:rPr>
                  <w:rFonts w:ascii="Cambria Math" w:hAnsi="Cambria Math"/>
                  <w:sz w:val="22"/>
                  <w:szCs w:val="22"/>
                </w:rPr>
                <m:t>CaCO</m:t>
              </m:r>
            </m:e>
            <m:sub>
              <m:r>
                <w:rPr>
                  <w:rFonts w:ascii="Cambria Math" w:hAnsi="Cambria Math"/>
                  <w:sz w:val="22"/>
                  <w:szCs w:val="22"/>
                </w:rPr>
                <m:t>3</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V×M×35.45×1000</m:t>
              </m:r>
            </m:num>
            <m:den>
              <m:r>
                <w:rPr>
                  <w:rFonts w:ascii="Cambria Math" w:hAnsi="Cambria Math"/>
                  <w:sz w:val="22"/>
                  <w:szCs w:val="22"/>
                </w:rPr>
                <m:t>vol. of the sample used</m:t>
              </m:r>
            </m:den>
          </m:f>
          <m:r>
            <w:rPr>
              <w:rFonts w:ascii="Cambria Math" w:hAnsi="Cambria Math"/>
              <w:sz w:val="22"/>
              <w:szCs w:val="22"/>
            </w:rPr>
            <m:t xml:space="preserve">               </m:t>
          </m:r>
          <m:r>
            <w:rPr>
              <w:rFonts w:ascii="Cambria Math" w:hAnsi="Cambria Math"/>
              <w:sz w:val="22"/>
              <w:szCs w:val="22"/>
            </w:rPr>
            <m:t xml:space="preserve">                              (6</m:t>
          </m:r>
          <m:r>
            <w:rPr>
              <w:rFonts w:ascii="Cambria Math" w:hAnsi="Cambria Math"/>
              <w:sz w:val="22"/>
              <w:szCs w:val="22"/>
            </w:rPr>
            <m:t>)</m:t>
          </m:r>
        </m:oMath>
      </m:oMathPara>
    </w:p>
    <w:p w14:paraId="5762346F" w14:textId="77777777" w:rsidR="00B01346" w:rsidRPr="00B01346" w:rsidRDefault="00B01346" w:rsidP="002E7599">
      <w:pPr>
        <w:pStyle w:val="NormalWeb"/>
        <w:spacing w:before="0" w:beforeAutospacing="0" w:after="120" w:afterAutospacing="0"/>
        <w:jc w:val="both"/>
        <w:rPr>
          <w:sz w:val="22"/>
          <w:szCs w:val="22"/>
        </w:rPr>
      </w:pPr>
    </w:p>
    <w:p w14:paraId="6D827943" w14:textId="77777777" w:rsidR="002E7599" w:rsidRPr="00B01346" w:rsidRDefault="00605BE8" w:rsidP="002E7599">
      <w:pPr>
        <w:pStyle w:val="NormalWeb"/>
        <w:spacing w:before="0" w:beforeAutospacing="0" w:after="120" w:afterAutospacing="0"/>
        <w:jc w:val="both"/>
        <w:rPr>
          <w:b/>
          <w:sz w:val="22"/>
          <w:szCs w:val="22"/>
        </w:rPr>
      </w:pPr>
      <w:r w:rsidRPr="00B01346">
        <w:rPr>
          <w:b/>
          <w:sz w:val="22"/>
          <w:szCs w:val="22"/>
        </w:rPr>
        <w:t>2</w:t>
      </w:r>
      <w:r w:rsidR="002E7599" w:rsidRPr="00B01346">
        <w:rPr>
          <w:b/>
          <w:sz w:val="22"/>
          <w:szCs w:val="22"/>
        </w:rPr>
        <w:t>.5.8 Determination of Total Alkalinity</w:t>
      </w:r>
    </w:p>
    <w:p w14:paraId="4172F19B" w14:textId="77777777" w:rsidR="002E7599" w:rsidRDefault="002E7599" w:rsidP="002E7599">
      <w:pPr>
        <w:pStyle w:val="NormalWeb"/>
        <w:spacing w:before="0" w:beforeAutospacing="0" w:after="120" w:afterAutospacing="0"/>
        <w:jc w:val="both"/>
        <w:rPr>
          <w:sz w:val="22"/>
          <w:szCs w:val="22"/>
        </w:rPr>
      </w:pPr>
      <w:r w:rsidRPr="002E7599">
        <w:rPr>
          <w:sz w:val="22"/>
          <w:szCs w:val="22"/>
        </w:rPr>
        <w:t xml:space="preserve">Total alkalinity was determined by titration. A 100 mL sample was measured into a conical flask, and two drops of phenolphthalein indicator were added. The solution was titrated with 0.02 N H₂SO₄ until the pink color disappeared. The </w:t>
      </w:r>
      <w:r w:rsidR="00B01346">
        <w:rPr>
          <w:sz w:val="22"/>
          <w:szCs w:val="22"/>
        </w:rPr>
        <w:t xml:space="preserve">total </w:t>
      </w:r>
      <w:r w:rsidRPr="002E7599">
        <w:rPr>
          <w:sz w:val="22"/>
          <w:szCs w:val="22"/>
        </w:rPr>
        <w:t xml:space="preserve">alkalinity </w:t>
      </w:r>
      <w:r w:rsidR="00B01346">
        <w:rPr>
          <w:sz w:val="22"/>
          <w:szCs w:val="22"/>
        </w:rPr>
        <w:t>of the water sample was calculated using:</w:t>
      </w:r>
    </w:p>
    <w:p w14:paraId="71ABA14B" w14:textId="32E0A4B5" w:rsidR="00B01346" w:rsidRPr="004D5C54" w:rsidRDefault="004D5C54" w:rsidP="002E7599">
      <w:pPr>
        <w:pStyle w:val="NormalWeb"/>
        <w:spacing w:before="0" w:beforeAutospacing="0" w:after="120" w:afterAutospacing="0"/>
        <w:jc w:val="both"/>
        <w:rPr>
          <w:sz w:val="22"/>
          <w:szCs w:val="22"/>
        </w:rPr>
      </w:pPr>
      <m:oMathPara>
        <m:oMathParaPr>
          <m:jc m:val="right"/>
        </m:oMathParaPr>
        <m:oMath>
          <m:r>
            <w:rPr>
              <w:rFonts w:ascii="Cambria Math" w:hAnsi="Cambria Math"/>
              <w:sz w:val="22"/>
              <w:szCs w:val="22"/>
            </w:rPr>
            <m:t>Total alkalinity=</m:t>
          </m:r>
          <m:f>
            <m:fPr>
              <m:ctrlPr>
                <w:rPr>
                  <w:rFonts w:ascii="Cambria Math" w:hAnsi="Cambria Math"/>
                  <w:i/>
                  <w:sz w:val="22"/>
                  <w:szCs w:val="22"/>
                </w:rPr>
              </m:ctrlPr>
            </m:fPr>
            <m:num>
              <m:r>
                <w:rPr>
                  <w:rFonts w:ascii="Cambria Math" w:hAnsi="Cambria Math"/>
                  <w:sz w:val="22"/>
                  <w:szCs w:val="22"/>
                </w:rPr>
                <m:t>mL</m:t>
              </m:r>
              <m:r>
                <m:rPr>
                  <m:sty m:val="p"/>
                </m:rPr>
                <w:rPr>
                  <w:rFonts w:ascii="Cambria Math" w:hAnsi="Cambria Math"/>
                  <w:sz w:val="22"/>
                  <w:szCs w:val="22"/>
                </w:rPr>
                <m:t xml:space="preserve">0.02 </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2</m:t>
                  </m:r>
                </m:sub>
              </m:sSub>
              <m:sSub>
                <m:sSubPr>
                  <m:ctrlPr>
                    <w:rPr>
                      <w:rFonts w:ascii="Cambria Math" w:hAnsi="Cambria Math"/>
                      <w:sz w:val="22"/>
                      <w:szCs w:val="22"/>
                    </w:rPr>
                  </m:ctrlPr>
                </m:sSubPr>
                <m:e>
                  <m:r>
                    <w:rPr>
                      <w:rFonts w:ascii="Cambria Math" w:hAnsi="Cambria Math"/>
                      <w:sz w:val="22"/>
                      <w:szCs w:val="22"/>
                    </w:rPr>
                    <m:t>SO</m:t>
                  </m:r>
                </m:e>
                <m:sub>
                  <m:r>
                    <w:rPr>
                      <w:rFonts w:ascii="Cambria Math" w:hAnsi="Cambria Math"/>
                      <w:sz w:val="22"/>
                      <w:szCs w:val="22"/>
                    </w:rPr>
                    <m:t>4</m:t>
                  </m:r>
                </m:sub>
              </m:sSub>
              <m:r>
                <m:rPr>
                  <m:sty m:val="p"/>
                </m:rPr>
                <w:rPr>
                  <w:rFonts w:ascii="Cambria Math" w:hAnsi="Cambria Math"/>
                  <w:sz w:val="22"/>
                  <w:szCs w:val="22"/>
                </w:rPr>
                <m:t xml:space="preserve"> </m:t>
              </m:r>
              <m:r>
                <m:rPr>
                  <m:sty m:val="p"/>
                </m:rPr>
                <w:rPr>
                  <w:rFonts w:ascii="Cambria Math"/>
                  <w:sz w:val="22"/>
                  <w:szCs w:val="22"/>
                </w:rPr>
                <m:t>total alkalinity end point</m:t>
              </m:r>
              <m:r>
                <m:rPr>
                  <m:sty m:val="p"/>
                </m:rPr>
                <w:rPr>
                  <w:rFonts w:ascii="Cambria Math" w:hAnsi="Cambria Math"/>
                  <w:sz w:val="22"/>
                  <w:szCs w:val="22"/>
                </w:rPr>
                <m:t>×</m:t>
              </m:r>
              <m:r>
                <m:rPr>
                  <m:sty m:val="p"/>
                </m:rPr>
                <w:rPr>
                  <w:rFonts w:ascii="Cambria Math"/>
                  <w:sz w:val="22"/>
                  <w:szCs w:val="22"/>
                </w:rPr>
                <m:t>1</m:t>
              </m:r>
              <m:r>
                <w:rPr>
                  <w:rFonts w:ascii="Cambria Math" w:hAnsi="Cambria Math"/>
                  <w:sz w:val="22"/>
                  <w:szCs w:val="22"/>
                </w:rPr>
                <m:t>×1000</m:t>
              </m:r>
            </m:num>
            <m:den>
              <m:r>
                <w:rPr>
                  <w:rFonts w:ascii="Cambria Math" w:hAnsi="Cambria Math"/>
                  <w:sz w:val="22"/>
                  <w:szCs w:val="22"/>
                </w:rPr>
                <m:t>mL sample taken for titration</m:t>
              </m:r>
            </m:den>
          </m:f>
          <m:r>
            <w:rPr>
              <w:rFonts w:ascii="Cambria Math" w:hAnsi="Cambria Math"/>
              <w:sz w:val="22"/>
              <w:szCs w:val="22"/>
            </w:rPr>
            <m:t xml:space="preserve">                 (7</m:t>
          </m:r>
          <m:r>
            <w:rPr>
              <w:rFonts w:ascii="Cambria Math" w:hAnsi="Cambria Math"/>
              <w:sz w:val="22"/>
              <w:szCs w:val="22"/>
            </w:rPr>
            <m:t>)</m:t>
          </m:r>
        </m:oMath>
      </m:oMathPara>
    </w:p>
    <w:p w14:paraId="6057C037" w14:textId="77777777" w:rsidR="00502827" w:rsidRPr="003F0E98" w:rsidRDefault="00072C17" w:rsidP="002E7599">
      <w:pPr>
        <w:pStyle w:val="NormalWeb"/>
        <w:spacing w:before="0" w:beforeAutospacing="0" w:after="120" w:afterAutospacing="0"/>
        <w:jc w:val="both"/>
        <w:rPr>
          <w:b/>
          <w:sz w:val="22"/>
          <w:szCs w:val="22"/>
        </w:rPr>
      </w:pPr>
      <w:r w:rsidRPr="003F0E98">
        <w:rPr>
          <w:b/>
          <w:sz w:val="22"/>
          <w:szCs w:val="22"/>
        </w:rPr>
        <w:t>3. Results and Discussion</w:t>
      </w:r>
    </w:p>
    <w:p w14:paraId="2175F57E" w14:textId="77777777" w:rsidR="001D5843" w:rsidRPr="00AC1B7C" w:rsidRDefault="001D5843" w:rsidP="001D5843">
      <w:pPr>
        <w:pStyle w:val="NormalWeb"/>
        <w:spacing w:before="0" w:beforeAutospacing="0" w:after="120" w:afterAutospacing="0"/>
        <w:jc w:val="both"/>
        <w:rPr>
          <w:b/>
          <w:sz w:val="22"/>
          <w:szCs w:val="22"/>
        </w:rPr>
      </w:pPr>
      <w:r w:rsidRPr="00AC1B7C">
        <w:rPr>
          <w:b/>
          <w:sz w:val="22"/>
          <w:szCs w:val="22"/>
        </w:rPr>
        <w:t>Table 2. Assessment and Seasonal Variations in Total Hardness</w:t>
      </w:r>
    </w:p>
    <w:tbl>
      <w:tblPr>
        <w:tblStyle w:val="TableGrid"/>
        <w:tblW w:w="93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211"/>
        <w:gridCol w:w="1252"/>
        <w:gridCol w:w="1357"/>
        <w:gridCol w:w="1357"/>
        <w:gridCol w:w="1454"/>
        <w:gridCol w:w="1454"/>
      </w:tblGrid>
      <w:tr w:rsidR="00DB12D6" w:rsidRPr="001D5843" w14:paraId="2F6C2544" w14:textId="77777777" w:rsidTr="00586760">
        <w:trPr>
          <w:trHeight w:val="70"/>
        </w:trPr>
        <w:tc>
          <w:tcPr>
            <w:tcW w:w="1311" w:type="dxa"/>
            <w:tcBorders>
              <w:top w:val="single" w:sz="4" w:space="0" w:color="auto"/>
              <w:bottom w:val="single" w:sz="4" w:space="0" w:color="auto"/>
            </w:tcBorders>
          </w:tcPr>
          <w:p w14:paraId="4557B1BF" w14:textId="77777777" w:rsidR="00DB12D6" w:rsidRPr="001D5843" w:rsidRDefault="00DB12D6" w:rsidP="00DB12D6">
            <w:pPr>
              <w:ind w:left="122"/>
              <w:jc w:val="both"/>
              <w:rPr>
                <w:rFonts w:ascii="Times New Roman" w:hAnsi="Times New Roman" w:cs="Times New Roman"/>
                <w:b/>
                <w:sz w:val="18"/>
                <w:szCs w:val="18"/>
              </w:rPr>
            </w:pPr>
            <w:r>
              <w:rPr>
                <w:rFonts w:ascii="Times New Roman" w:hAnsi="Times New Roman" w:cs="Times New Roman"/>
                <w:b/>
                <w:sz w:val="18"/>
                <w:szCs w:val="18"/>
              </w:rPr>
              <w:t>TH (mg/l)</w:t>
            </w:r>
          </w:p>
        </w:tc>
        <w:tc>
          <w:tcPr>
            <w:tcW w:w="3820" w:type="dxa"/>
            <w:gridSpan w:val="3"/>
            <w:tcBorders>
              <w:top w:val="single" w:sz="4" w:space="0" w:color="auto"/>
              <w:bottom w:val="single" w:sz="4" w:space="0" w:color="auto"/>
            </w:tcBorders>
          </w:tcPr>
          <w:p w14:paraId="504AD775" w14:textId="77777777" w:rsidR="00DB12D6" w:rsidRPr="001D5843" w:rsidRDefault="00DB12D6" w:rsidP="00DB12D6">
            <w:pPr>
              <w:jc w:val="center"/>
              <w:rPr>
                <w:rFonts w:ascii="Times New Roman" w:hAnsi="Times New Roman" w:cs="Times New Roman"/>
                <w:b/>
                <w:sz w:val="18"/>
                <w:szCs w:val="18"/>
              </w:rPr>
            </w:pPr>
            <w:r>
              <w:rPr>
                <w:rFonts w:ascii="Times New Roman" w:hAnsi="Times New Roman" w:cs="Times New Roman"/>
                <w:b/>
                <w:sz w:val="18"/>
                <w:szCs w:val="18"/>
              </w:rPr>
              <w:t>Wet Season</w:t>
            </w:r>
          </w:p>
        </w:tc>
        <w:tc>
          <w:tcPr>
            <w:tcW w:w="4265" w:type="dxa"/>
            <w:gridSpan w:val="3"/>
            <w:tcBorders>
              <w:top w:val="single" w:sz="4" w:space="0" w:color="auto"/>
              <w:bottom w:val="single" w:sz="4" w:space="0" w:color="auto"/>
            </w:tcBorders>
          </w:tcPr>
          <w:p w14:paraId="623892FF" w14:textId="77777777" w:rsidR="00DB12D6" w:rsidRPr="001D5843" w:rsidRDefault="00DB12D6" w:rsidP="00DB12D6">
            <w:pPr>
              <w:jc w:val="center"/>
              <w:rPr>
                <w:rFonts w:ascii="Times New Roman" w:hAnsi="Times New Roman" w:cs="Times New Roman"/>
                <w:b/>
                <w:sz w:val="18"/>
                <w:szCs w:val="18"/>
              </w:rPr>
            </w:pPr>
            <w:r>
              <w:rPr>
                <w:rFonts w:ascii="Times New Roman" w:hAnsi="Times New Roman" w:cs="Times New Roman"/>
                <w:b/>
                <w:sz w:val="18"/>
                <w:szCs w:val="18"/>
              </w:rPr>
              <w:t>Dry Season</w:t>
            </w:r>
          </w:p>
        </w:tc>
      </w:tr>
      <w:tr w:rsidR="001D5843" w:rsidRPr="001D5843" w14:paraId="26099E0A" w14:textId="77777777" w:rsidTr="00586760">
        <w:trPr>
          <w:trHeight w:val="70"/>
        </w:trPr>
        <w:tc>
          <w:tcPr>
            <w:tcW w:w="1311" w:type="dxa"/>
            <w:tcBorders>
              <w:top w:val="single" w:sz="4" w:space="0" w:color="auto"/>
              <w:bottom w:val="single" w:sz="4" w:space="0" w:color="auto"/>
            </w:tcBorders>
          </w:tcPr>
          <w:p w14:paraId="62DE795E"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b/>
                <w:sz w:val="18"/>
                <w:szCs w:val="18"/>
              </w:rPr>
              <w:t xml:space="preserve">Sample </w:t>
            </w:r>
          </w:p>
        </w:tc>
        <w:tc>
          <w:tcPr>
            <w:tcW w:w="1211" w:type="dxa"/>
            <w:tcBorders>
              <w:top w:val="single" w:sz="4" w:space="0" w:color="auto"/>
              <w:bottom w:val="single" w:sz="4" w:space="0" w:color="auto"/>
            </w:tcBorders>
          </w:tcPr>
          <w:p w14:paraId="0BE2F8EC"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June</w:t>
            </w:r>
          </w:p>
        </w:tc>
        <w:tc>
          <w:tcPr>
            <w:tcW w:w="1252" w:type="dxa"/>
            <w:tcBorders>
              <w:top w:val="single" w:sz="4" w:space="0" w:color="auto"/>
              <w:bottom w:val="single" w:sz="4" w:space="0" w:color="auto"/>
            </w:tcBorders>
          </w:tcPr>
          <w:p w14:paraId="1D742D2F"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July</w:t>
            </w:r>
          </w:p>
        </w:tc>
        <w:tc>
          <w:tcPr>
            <w:tcW w:w="1357" w:type="dxa"/>
            <w:tcBorders>
              <w:top w:val="single" w:sz="4" w:space="0" w:color="auto"/>
              <w:bottom w:val="single" w:sz="4" w:space="0" w:color="auto"/>
            </w:tcBorders>
          </w:tcPr>
          <w:p w14:paraId="0CF62770"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August</w:t>
            </w:r>
          </w:p>
        </w:tc>
        <w:tc>
          <w:tcPr>
            <w:tcW w:w="1357" w:type="dxa"/>
            <w:tcBorders>
              <w:top w:val="single" w:sz="4" w:space="0" w:color="auto"/>
              <w:bottom w:val="single" w:sz="4" w:space="0" w:color="auto"/>
            </w:tcBorders>
          </w:tcPr>
          <w:p w14:paraId="5A53B27A"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November</w:t>
            </w:r>
          </w:p>
        </w:tc>
        <w:tc>
          <w:tcPr>
            <w:tcW w:w="1454" w:type="dxa"/>
            <w:tcBorders>
              <w:top w:val="single" w:sz="4" w:space="0" w:color="auto"/>
              <w:bottom w:val="single" w:sz="4" w:space="0" w:color="auto"/>
            </w:tcBorders>
          </w:tcPr>
          <w:p w14:paraId="57F2D466"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December</w:t>
            </w:r>
          </w:p>
        </w:tc>
        <w:tc>
          <w:tcPr>
            <w:tcW w:w="1454" w:type="dxa"/>
            <w:tcBorders>
              <w:top w:val="single" w:sz="4" w:space="0" w:color="auto"/>
              <w:bottom w:val="single" w:sz="4" w:space="0" w:color="auto"/>
            </w:tcBorders>
          </w:tcPr>
          <w:p w14:paraId="19CB445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b/>
                <w:sz w:val="18"/>
                <w:szCs w:val="18"/>
              </w:rPr>
              <w:t xml:space="preserve">January </w:t>
            </w:r>
          </w:p>
        </w:tc>
      </w:tr>
      <w:tr w:rsidR="001D5843" w:rsidRPr="001D5843" w14:paraId="466C3155" w14:textId="77777777" w:rsidTr="00586760">
        <w:trPr>
          <w:trHeight w:val="70"/>
        </w:trPr>
        <w:tc>
          <w:tcPr>
            <w:tcW w:w="1311" w:type="dxa"/>
            <w:tcBorders>
              <w:top w:val="single" w:sz="4" w:space="0" w:color="auto"/>
              <w:bottom w:val="nil"/>
            </w:tcBorders>
          </w:tcPr>
          <w:p w14:paraId="5A00B6B4"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 </w:t>
            </w:r>
          </w:p>
        </w:tc>
        <w:tc>
          <w:tcPr>
            <w:tcW w:w="1211" w:type="dxa"/>
            <w:tcBorders>
              <w:top w:val="single" w:sz="4" w:space="0" w:color="auto"/>
              <w:bottom w:val="nil"/>
            </w:tcBorders>
          </w:tcPr>
          <w:p w14:paraId="686E05C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9.20±12.118 </w:t>
            </w:r>
          </w:p>
        </w:tc>
        <w:tc>
          <w:tcPr>
            <w:tcW w:w="1252" w:type="dxa"/>
            <w:tcBorders>
              <w:top w:val="single" w:sz="4" w:space="0" w:color="auto"/>
              <w:bottom w:val="nil"/>
            </w:tcBorders>
          </w:tcPr>
          <w:p w14:paraId="5FDFD2A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5.20±12.118 </w:t>
            </w:r>
          </w:p>
        </w:tc>
        <w:tc>
          <w:tcPr>
            <w:tcW w:w="1357" w:type="dxa"/>
            <w:tcBorders>
              <w:top w:val="single" w:sz="4" w:space="0" w:color="auto"/>
              <w:bottom w:val="nil"/>
            </w:tcBorders>
          </w:tcPr>
          <w:p w14:paraId="28A1D93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29.00±12.118 </w:t>
            </w:r>
          </w:p>
        </w:tc>
        <w:tc>
          <w:tcPr>
            <w:tcW w:w="1357" w:type="dxa"/>
            <w:tcBorders>
              <w:top w:val="single" w:sz="4" w:space="0" w:color="auto"/>
              <w:bottom w:val="nil"/>
            </w:tcBorders>
          </w:tcPr>
          <w:p w14:paraId="6417E14F"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26.70±29.586 </w:t>
            </w:r>
          </w:p>
        </w:tc>
        <w:tc>
          <w:tcPr>
            <w:tcW w:w="1454" w:type="dxa"/>
            <w:tcBorders>
              <w:top w:val="single" w:sz="4" w:space="0" w:color="auto"/>
              <w:bottom w:val="nil"/>
            </w:tcBorders>
          </w:tcPr>
          <w:p w14:paraId="032B7FFA"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52.00±29.586 </w:t>
            </w:r>
          </w:p>
        </w:tc>
        <w:tc>
          <w:tcPr>
            <w:tcW w:w="1454" w:type="dxa"/>
            <w:tcBorders>
              <w:top w:val="single" w:sz="4" w:space="0" w:color="auto"/>
              <w:bottom w:val="nil"/>
            </w:tcBorders>
          </w:tcPr>
          <w:p w14:paraId="36D938F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84.40±29.586 </w:t>
            </w:r>
          </w:p>
        </w:tc>
      </w:tr>
      <w:tr w:rsidR="001D5843" w:rsidRPr="001D5843" w14:paraId="4B7404A8" w14:textId="77777777" w:rsidTr="00586760">
        <w:trPr>
          <w:trHeight w:val="70"/>
        </w:trPr>
        <w:tc>
          <w:tcPr>
            <w:tcW w:w="1311" w:type="dxa"/>
            <w:tcBorders>
              <w:top w:val="nil"/>
            </w:tcBorders>
          </w:tcPr>
          <w:p w14:paraId="3FAD582E"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2 </w:t>
            </w:r>
          </w:p>
        </w:tc>
        <w:tc>
          <w:tcPr>
            <w:tcW w:w="1211" w:type="dxa"/>
            <w:tcBorders>
              <w:top w:val="nil"/>
            </w:tcBorders>
          </w:tcPr>
          <w:p w14:paraId="781CAF6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6.40±3.454 </w:t>
            </w:r>
          </w:p>
        </w:tc>
        <w:tc>
          <w:tcPr>
            <w:tcW w:w="1252" w:type="dxa"/>
            <w:tcBorders>
              <w:top w:val="nil"/>
            </w:tcBorders>
          </w:tcPr>
          <w:p w14:paraId="7F82FD2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0.40±3.454 </w:t>
            </w:r>
          </w:p>
        </w:tc>
        <w:tc>
          <w:tcPr>
            <w:tcW w:w="1357" w:type="dxa"/>
            <w:tcBorders>
              <w:top w:val="nil"/>
            </w:tcBorders>
          </w:tcPr>
          <w:p w14:paraId="5F37AF0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7.00±3.454 </w:t>
            </w:r>
          </w:p>
        </w:tc>
        <w:tc>
          <w:tcPr>
            <w:tcW w:w="1357" w:type="dxa"/>
            <w:tcBorders>
              <w:top w:val="nil"/>
            </w:tcBorders>
          </w:tcPr>
          <w:p w14:paraId="7643110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26.11±45.095 </w:t>
            </w:r>
          </w:p>
        </w:tc>
        <w:tc>
          <w:tcPr>
            <w:tcW w:w="1454" w:type="dxa"/>
            <w:tcBorders>
              <w:top w:val="nil"/>
            </w:tcBorders>
          </w:tcPr>
          <w:p w14:paraId="05F1708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110.00±45.095 </w:t>
            </w:r>
          </w:p>
        </w:tc>
        <w:tc>
          <w:tcPr>
            <w:tcW w:w="1454" w:type="dxa"/>
            <w:tcBorders>
              <w:top w:val="nil"/>
            </w:tcBorders>
          </w:tcPr>
          <w:p w14:paraId="1A7667A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102.21±45.095 </w:t>
            </w:r>
          </w:p>
        </w:tc>
      </w:tr>
      <w:tr w:rsidR="001D5843" w:rsidRPr="001D5843" w14:paraId="3350B2EB" w14:textId="77777777" w:rsidTr="00586760">
        <w:trPr>
          <w:trHeight w:val="70"/>
        </w:trPr>
        <w:tc>
          <w:tcPr>
            <w:tcW w:w="1311" w:type="dxa"/>
          </w:tcPr>
          <w:p w14:paraId="3CE36C56"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3 </w:t>
            </w:r>
          </w:p>
        </w:tc>
        <w:tc>
          <w:tcPr>
            <w:tcW w:w="1211" w:type="dxa"/>
          </w:tcPr>
          <w:p w14:paraId="7BBFE7C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7.40±3.252 </w:t>
            </w:r>
          </w:p>
        </w:tc>
        <w:tc>
          <w:tcPr>
            <w:tcW w:w="1252" w:type="dxa"/>
          </w:tcPr>
          <w:p w14:paraId="0C2B6A2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1.40±3.252 </w:t>
            </w:r>
          </w:p>
        </w:tc>
        <w:tc>
          <w:tcPr>
            <w:tcW w:w="1357" w:type="dxa"/>
          </w:tcPr>
          <w:p w14:paraId="789512B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6.20±3.252 </w:t>
            </w:r>
          </w:p>
        </w:tc>
        <w:tc>
          <w:tcPr>
            <w:tcW w:w="1357" w:type="dxa"/>
          </w:tcPr>
          <w:p w14:paraId="09FB020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33.90±44.470 </w:t>
            </w:r>
          </w:p>
        </w:tc>
        <w:tc>
          <w:tcPr>
            <w:tcW w:w="1454" w:type="dxa"/>
          </w:tcPr>
          <w:p w14:paraId="7D8A2FA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135.00±44.470 </w:t>
            </w:r>
          </w:p>
        </w:tc>
        <w:tc>
          <w:tcPr>
            <w:tcW w:w="1454" w:type="dxa"/>
          </w:tcPr>
          <w:p w14:paraId="3952AA0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87.79±44.470 </w:t>
            </w:r>
          </w:p>
        </w:tc>
      </w:tr>
      <w:tr w:rsidR="001D5843" w:rsidRPr="001D5843" w14:paraId="1A4A7C28" w14:textId="77777777" w:rsidTr="00586760">
        <w:trPr>
          <w:trHeight w:val="70"/>
        </w:trPr>
        <w:tc>
          <w:tcPr>
            <w:tcW w:w="1311" w:type="dxa"/>
          </w:tcPr>
          <w:p w14:paraId="39ECB0F2"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4 </w:t>
            </w:r>
          </w:p>
        </w:tc>
        <w:tc>
          <w:tcPr>
            <w:tcW w:w="1211" w:type="dxa"/>
          </w:tcPr>
          <w:p w14:paraId="484D0A0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2.40±6.297 </w:t>
            </w:r>
          </w:p>
        </w:tc>
        <w:tc>
          <w:tcPr>
            <w:tcW w:w="1252" w:type="dxa"/>
          </w:tcPr>
          <w:p w14:paraId="4E85BD4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0.60±6.297 </w:t>
            </w:r>
          </w:p>
        </w:tc>
        <w:tc>
          <w:tcPr>
            <w:tcW w:w="1357" w:type="dxa"/>
          </w:tcPr>
          <w:p w14:paraId="7BBA27DF"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12.40±6.297 </w:t>
            </w:r>
          </w:p>
        </w:tc>
        <w:tc>
          <w:tcPr>
            <w:tcW w:w="1357" w:type="dxa"/>
          </w:tcPr>
          <w:p w14:paraId="2F989E3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45.01±61.672 </w:t>
            </w:r>
          </w:p>
        </w:tc>
        <w:tc>
          <w:tcPr>
            <w:tcW w:w="1454" w:type="dxa"/>
          </w:tcPr>
          <w:p w14:paraId="0CFB1FF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166.20±61.672 </w:t>
            </w:r>
          </w:p>
        </w:tc>
        <w:tc>
          <w:tcPr>
            <w:tcW w:w="1454" w:type="dxa"/>
          </w:tcPr>
          <w:p w14:paraId="19061B1A"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92.58±61.672 </w:t>
            </w:r>
          </w:p>
        </w:tc>
      </w:tr>
      <w:tr w:rsidR="001D5843" w:rsidRPr="001D5843" w14:paraId="258B9D43" w14:textId="77777777" w:rsidTr="00586760">
        <w:trPr>
          <w:trHeight w:val="70"/>
        </w:trPr>
        <w:tc>
          <w:tcPr>
            <w:tcW w:w="1311" w:type="dxa"/>
          </w:tcPr>
          <w:p w14:paraId="3689B77D"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5 </w:t>
            </w:r>
          </w:p>
        </w:tc>
        <w:tc>
          <w:tcPr>
            <w:tcW w:w="1211" w:type="dxa"/>
          </w:tcPr>
          <w:p w14:paraId="5C510FA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1.80±2.854 </w:t>
            </w:r>
          </w:p>
        </w:tc>
        <w:tc>
          <w:tcPr>
            <w:tcW w:w="1252" w:type="dxa"/>
          </w:tcPr>
          <w:p w14:paraId="2CD239F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1.20±2.854 </w:t>
            </w:r>
          </w:p>
        </w:tc>
        <w:tc>
          <w:tcPr>
            <w:tcW w:w="1357" w:type="dxa"/>
          </w:tcPr>
          <w:p w14:paraId="1806400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6.60±2.854 </w:t>
            </w:r>
          </w:p>
        </w:tc>
        <w:tc>
          <w:tcPr>
            <w:tcW w:w="1357" w:type="dxa"/>
          </w:tcPr>
          <w:p w14:paraId="42D20B3A"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39.45±36.595 </w:t>
            </w:r>
          </w:p>
        </w:tc>
        <w:tc>
          <w:tcPr>
            <w:tcW w:w="1454" w:type="dxa"/>
          </w:tcPr>
          <w:p w14:paraId="0F05980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90.18±36.595 </w:t>
            </w:r>
          </w:p>
        </w:tc>
        <w:tc>
          <w:tcPr>
            <w:tcW w:w="1454" w:type="dxa"/>
          </w:tcPr>
          <w:p w14:paraId="64A4E90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110.00±36.595 </w:t>
            </w:r>
          </w:p>
        </w:tc>
      </w:tr>
      <w:tr w:rsidR="001D5843" w:rsidRPr="001D5843" w14:paraId="4B44A677" w14:textId="77777777" w:rsidTr="00586760">
        <w:trPr>
          <w:trHeight w:val="70"/>
        </w:trPr>
        <w:tc>
          <w:tcPr>
            <w:tcW w:w="1311" w:type="dxa"/>
          </w:tcPr>
          <w:p w14:paraId="781CDB45"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6 </w:t>
            </w:r>
          </w:p>
        </w:tc>
        <w:tc>
          <w:tcPr>
            <w:tcW w:w="1211" w:type="dxa"/>
          </w:tcPr>
          <w:p w14:paraId="0614CE4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3.20±3.305 </w:t>
            </w:r>
          </w:p>
        </w:tc>
        <w:tc>
          <w:tcPr>
            <w:tcW w:w="1252" w:type="dxa"/>
          </w:tcPr>
          <w:p w14:paraId="673AE03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2.00±3.305 </w:t>
            </w:r>
          </w:p>
        </w:tc>
        <w:tc>
          <w:tcPr>
            <w:tcW w:w="1357" w:type="dxa"/>
          </w:tcPr>
          <w:p w14:paraId="58B7CCE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8.40±3.305 </w:t>
            </w:r>
          </w:p>
        </w:tc>
        <w:tc>
          <w:tcPr>
            <w:tcW w:w="1357" w:type="dxa"/>
          </w:tcPr>
          <w:p w14:paraId="1E3CCBF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46.20±27.391 </w:t>
            </w:r>
          </w:p>
        </w:tc>
        <w:tc>
          <w:tcPr>
            <w:tcW w:w="1454" w:type="dxa"/>
          </w:tcPr>
          <w:p w14:paraId="1D692A2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101.40±27.391 </w:t>
            </w:r>
          </w:p>
        </w:tc>
        <w:tc>
          <w:tcPr>
            <w:tcW w:w="1454" w:type="dxa"/>
          </w:tcPr>
          <w:p w14:paraId="6683043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114.14±27.391 </w:t>
            </w:r>
          </w:p>
        </w:tc>
      </w:tr>
      <w:tr w:rsidR="001D5843" w:rsidRPr="001D5843" w14:paraId="2DFB3058" w14:textId="77777777" w:rsidTr="00586760">
        <w:trPr>
          <w:trHeight w:val="70"/>
        </w:trPr>
        <w:tc>
          <w:tcPr>
            <w:tcW w:w="1311" w:type="dxa"/>
          </w:tcPr>
          <w:p w14:paraId="23B2F4D4"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7 </w:t>
            </w:r>
          </w:p>
        </w:tc>
        <w:tc>
          <w:tcPr>
            <w:tcW w:w="1211" w:type="dxa"/>
          </w:tcPr>
          <w:p w14:paraId="23673B7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7.60±6.785 </w:t>
            </w:r>
          </w:p>
        </w:tc>
        <w:tc>
          <w:tcPr>
            <w:tcW w:w="1252" w:type="dxa"/>
          </w:tcPr>
          <w:p w14:paraId="4A600A0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1.80±6.785 </w:t>
            </w:r>
          </w:p>
        </w:tc>
        <w:tc>
          <w:tcPr>
            <w:tcW w:w="1357" w:type="dxa"/>
          </w:tcPr>
          <w:p w14:paraId="616DC6A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14.60±6.785 </w:t>
            </w:r>
          </w:p>
        </w:tc>
        <w:tc>
          <w:tcPr>
            <w:tcW w:w="1357" w:type="dxa"/>
          </w:tcPr>
          <w:p w14:paraId="4B6A9DC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49.15±5.474 </w:t>
            </w:r>
          </w:p>
        </w:tc>
        <w:tc>
          <w:tcPr>
            <w:tcW w:w="1454" w:type="dxa"/>
          </w:tcPr>
          <w:p w14:paraId="5434B6F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99.89±5.474 </w:t>
            </w:r>
          </w:p>
        </w:tc>
        <w:tc>
          <w:tcPr>
            <w:tcW w:w="1454" w:type="dxa"/>
          </w:tcPr>
          <w:p w14:paraId="055BCE0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89.99±5.474 </w:t>
            </w:r>
          </w:p>
        </w:tc>
      </w:tr>
      <w:tr w:rsidR="001D5843" w:rsidRPr="001D5843" w14:paraId="2C6DA3CF" w14:textId="77777777" w:rsidTr="00586760">
        <w:trPr>
          <w:trHeight w:val="70"/>
        </w:trPr>
        <w:tc>
          <w:tcPr>
            <w:tcW w:w="1311" w:type="dxa"/>
          </w:tcPr>
          <w:p w14:paraId="187A5EFC"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8 </w:t>
            </w:r>
          </w:p>
        </w:tc>
        <w:tc>
          <w:tcPr>
            <w:tcW w:w="1211" w:type="dxa"/>
          </w:tcPr>
          <w:p w14:paraId="299ABA2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2.80±23.731 </w:t>
            </w:r>
          </w:p>
        </w:tc>
        <w:tc>
          <w:tcPr>
            <w:tcW w:w="1252" w:type="dxa"/>
          </w:tcPr>
          <w:p w14:paraId="2FE4EE8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1.60±23.731 </w:t>
            </w:r>
          </w:p>
        </w:tc>
        <w:tc>
          <w:tcPr>
            <w:tcW w:w="1357" w:type="dxa"/>
          </w:tcPr>
          <w:p w14:paraId="7CA02C0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52.00±23.731 </w:t>
            </w:r>
          </w:p>
        </w:tc>
        <w:tc>
          <w:tcPr>
            <w:tcW w:w="1357" w:type="dxa"/>
          </w:tcPr>
          <w:p w14:paraId="27C6DB9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49.00±7.874 </w:t>
            </w:r>
          </w:p>
        </w:tc>
        <w:tc>
          <w:tcPr>
            <w:tcW w:w="1454" w:type="dxa"/>
          </w:tcPr>
          <w:p w14:paraId="12E32D37"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84.56±7.874 </w:t>
            </w:r>
          </w:p>
        </w:tc>
        <w:tc>
          <w:tcPr>
            <w:tcW w:w="1454" w:type="dxa"/>
          </w:tcPr>
          <w:p w14:paraId="304A460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98.99±7.874 </w:t>
            </w:r>
          </w:p>
        </w:tc>
      </w:tr>
      <w:tr w:rsidR="001D5843" w:rsidRPr="001D5843" w14:paraId="360557F6" w14:textId="77777777" w:rsidTr="00586760">
        <w:trPr>
          <w:trHeight w:val="70"/>
        </w:trPr>
        <w:tc>
          <w:tcPr>
            <w:tcW w:w="1311" w:type="dxa"/>
          </w:tcPr>
          <w:p w14:paraId="0531FC31"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9 </w:t>
            </w:r>
          </w:p>
        </w:tc>
        <w:tc>
          <w:tcPr>
            <w:tcW w:w="1211" w:type="dxa"/>
          </w:tcPr>
          <w:p w14:paraId="69A49BE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8.20±9.853 </w:t>
            </w:r>
          </w:p>
        </w:tc>
        <w:tc>
          <w:tcPr>
            <w:tcW w:w="1252" w:type="dxa"/>
          </w:tcPr>
          <w:p w14:paraId="6AFE887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3.20±9.853 </w:t>
            </w:r>
          </w:p>
        </w:tc>
        <w:tc>
          <w:tcPr>
            <w:tcW w:w="1357" w:type="dxa"/>
          </w:tcPr>
          <w:p w14:paraId="41C563D7"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22.60±9.853 </w:t>
            </w:r>
          </w:p>
        </w:tc>
        <w:tc>
          <w:tcPr>
            <w:tcW w:w="1357" w:type="dxa"/>
          </w:tcPr>
          <w:p w14:paraId="4C9414A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49.56±38.042 </w:t>
            </w:r>
          </w:p>
        </w:tc>
        <w:tc>
          <w:tcPr>
            <w:tcW w:w="1454" w:type="dxa"/>
          </w:tcPr>
          <w:p w14:paraId="67E8696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89.99±38.042 </w:t>
            </w:r>
          </w:p>
        </w:tc>
        <w:tc>
          <w:tcPr>
            <w:tcW w:w="1454" w:type="dxa"/>
          </w:tcPr>
          <w:p w14:paraId="5A20C3D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134.00±38.042 </w:t>
            </w:r>
          </w:p>
        </w:tc>
      </w:tr>
      <w:tr w:rsidR="001D5843" w:rsidRPr="001D5843" w14:paraId="084381D3" w14:textId="77777777" w:rsidTr="00586760">
        <w:trPr>
          <w:trHeight w:val="70"/>
        </w:trPr>
        <w:tc>
          <w:tcPr>
            <w:tcW w:w="1311" w:type="dxa"/>
          </w:tcPr>
          <w:p w14:paraId="060C37D6"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10 </w:t>
            </w:r>
          </w:p>
        </w:tc>
        <w:tc>
          <w:tcPr>
            <w:tcW w:w="1211" w:type="dxa"/>
          </w:tcPr>
          <w:p w14:paraId="1DC6BA7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10.80±4.870 </w:t>
            </w:r>
          </w:p>
        </w:tc>
        <w:tc>
          <w:tcPr>
            <w:tcW w:w="1252" w:type="dxa"/>
          </w:tcPr>
          <w:p w14:paraId="6BEB9FF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1.60±4.870 </w:t>
            </w:r>
          </w:p>
        </w:tc>
        <w:tc>
          <w:tcPr>
            <w:tcW w:w="1357" w:type="dxa"/>
          </w:tcPr>
          <w:p w14:paraId="4964F74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10.20±4.870 </w:t>
            </w:r>
          </w:p>
        </w:tc>
        <w:tc>
          <w:tcPr>
            <w:tcW w:w="1357" w:type="dxa"/>
          </w:tcPr>
          <w:p w14:paraId="416E9D1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77.15±17.716 </w:t>
            </w:r>
          </w:p>
        </w:tc>
        <w:tc>
          <w:tcPr>
            <w:tcW w:w="1454" w:type="dxa"/>
          </w:tcPr>
          <w:p w14:paraId="4B8CFD0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100.12±17.716 </w:t>
            </w:r>
          </w:p>
        </w:tc>
        <w:tc>
          <w:tcPr>
            <w:tcW w:w="1454" w:type="dxa"/>
          </w:tcPr>
          <w:p w14:paraId="7AD2E90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116.20±17.716 </w:t>
            </w:r>
          </w:p>
        </w:tc>
      </w:tr>
      <w:tr w:rsidR="001D5843" w:rsidRPr="001D5843" w14:paraId="1A157A1E" w14:textId="77777777" w:rsidTr="00586760">
        <w:trPr>
          <w:trHeight w:val="70"/>
        </w:trPr>
        <w:tc>
          <w:tcPr>
            <w:tcW w:w="1311" w:type="dxa"/>
          </w:tcPr>
          <w:p w14:paraId="20D836EC"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11 </w:t>
            </w:r>
          </w:p>
        </w:tc>
        <w:tc>
          <w:tcPr>
            <w:tcW w:w="1211" w:type="dxa"/>
          </w:tcPr>
          <w:p w14:paraId="21BFC93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5.60±3.361 </w:t>
            </w:r>
          </w:p>
        </w:tc>
        <w:tc>
          <w:tcPr>
            <w:tcW w:w="1252" w:type="dxa"/>
          </w:tcPr>
          <w:p w14:paraId="5596EF6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2.60±3.361 </w:t>
            </w:r>
          </w:p>
        </w:tc>
        <w:tc>
          <w:tcPr>
            <w:tcW w:w="1357" w:type="dxa"/>
          </w:tcPr>
          <w:p w14:paraId="1A6B845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9.00±3.361 </w:t>
            </w:r>
          </w:p>
        </w:tc>
        <w:tc>
          <w:tcPr>
            <w:tcW w:w="1357" w:type="dxa"/>
          </w:tcPr>
          <w:p w14:paraId="29C08E0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87.56±10.702 </w:t>
            </w:r>
          </w:p>
        </w:tc>
        <w:tc>
          <w:tcPr>
            <w:tcW w:w="1454" w:type="dxa"/>
          </w:tcPr>
          <w:p w14:paraId="5B1500D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98.20±10.702 </w:t>
            </w:r>
          </w:p>
        </w:tc>
        <w:tc>
          <w:tcPr>
            <w:tcW w:w="1454" w:type="dxa"/>
          </w:tcPr>
          <w:p w14:paraId="4FCD828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77.98±10.702 </w:t>
            </w:r>
          </w:p>
        </w:tc>
      </w:tr>
      <w:tr w:rsidR="001D5843" w:rsidRPr="001D5843" w14:paraId="723A6BCB" w14:textId="77777777" w:rsidTr="00586760">
        <w:trPr>
          <w:trHeight w:val="70"/>
        </w:trPr>
        <w:tc>
          <w:tcPr>
            <w:tcW w:w="1311" w:type="dxa"/>
          </w:tcPr>
          <w:p w14:paraId="44FA9B27"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12 </w:t>
            </w:r>
          </w:p>
        </w:tc>
        <w:tc>
          <w:tcPr>
            <w:tcW w:w="1211" w:type="dxa"/>
          </w:tcPr>
          <w:p w14:paraId="5D1F013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3.60±2.625 </w:t>
            </w:r>
          </w:p>
        </w:tc>
        <w:tc>
          <w:tcPr>
            <w:tcW w:w="1252" w:type="dxa"/>
          </w:tcPr>
          <w:p w14:paraId="097F1B0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2.20±2.625 </w:t>
            </w:r>
          </w:p>
        </w:tc>
        <w:tc>
          <w:tcPr>
            <w:tcW w:w="1357" w:type="dxa"/>
          </w:tcPr>
          <w:p w14:paraId="6C3C0F1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6.40±2.625 </w:t>
            </w:r>
          </w:p>
        </w:tc>
        <w:tc>
          <w:tcPr>
            <w:tcW w:w="1357" w:type="dxa"/>
          </w:tcPr>
          <w:p w14:paraId="571CC13F"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77.00±11.747 </w:t>
            </w:r>
          </w:p>
        </w:tc>
        <w:tc>
          <w:tcPr>
            <w:tcW w:w="1454" w:type="dxa"/>
          </w:tcPr>
          <w:p w14:paraId="052E758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99.82±11.747 </w:t>
            </w:r>
          </w:p>
        </w:tc>
        <w:tc>
          <w:tcPr>
            <w:tcW w:w="1454" w:type="dxa"/>
          </w:tcPr>
          <w:p w14:paraId="625F047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94.63±11.747 </w:t>
            </w:r>
          </w:p>
        </w:tc>
      </w:tr>
    </w:tbl>
    <w:p w14:paraId="4646378B" w14:textId="77777777" w:rsidR="008D3719" w:rsidRDefault="008D3719" w:rsidP="001D5843">
      <w:pPr>
        <w:jc w:val="both"/>
        <w:rPr>
          <w:rFonts w:ascii="Times New Roman" w:hAnsi="Times New Roman" w:cs="Times New Roman"/>
        </w:rPr>
      </w:pPr>
    </w:p>
    <w:p w14:paraId="0ECD9F73" w14:textId="77777777" w:rsidR="008D3719" w:rsidRPr="008D3719" w:rsidRDefault="008D3719" w:rsidP="008D3719">
      <w:pPr>
        <w:pStyle w:val="NormalWeb"/>
        <w:spacing w:before="0" w:beforeAutospacing="0" w:after="120" w:afterAutospacing="0"/>
        <w:jc w:val="both"/>
        <w:rPr>
          <w:sz w:val="22"/>
        </w:rPr>
      </w:pPr>
      <w:r w:rsidRPr="008D3719">
        <w:rPr>
          <w:sz w:val="22"/>
        </w:rPr>
        <w:t xml:space="preserve">Table 2 presents the seasonal variation in total hardness of borehole water samples across the wet and dry seasons in Enugu North LGA. During the wet season (June–August), total hardness values were generally </w:t>
      </w:r>
      <w:r w:rsidRPr="008D3719">
        <w:rPr>
          <w:sz w:val="22"/>
        </w:rPr>
        <w:lastRenderedPageBreak/>
        <w:t>low across all sampling locations, with most values falling below 30 mg/L. This indicates that the borehole waters were predominantly soft water during the wet season. The low hardness observed can be attributed to dilution effects resulting from increased rainfall and groundwater recharge, which reduce the concentration of calcium and magnesium ions responsible for hardness.</w:t>
      </w:r>
    </w:p>
    <w:p w14:paraId="016AAAFD" w14:textId="77777777" w:rsidR="008D3719" w:rsidRPr="008D3719" w:rsidRDefault="008D3719" w:rsidP="008D3719">
      <w:pPr>
        <w:pStyle w:val="NormalWeb"/>
        <w:spacing w:before="0" w:beforeAutospacing="0" w:after="120" w:afterAutospacing="0"/>
        <w:jc w:val="both"/>
        <w:rPr>
          <w:sz w:val="22"/>
        </w:rPr>
      </w:pPr>
      <w:r w:rsidRPr="008D3719">
        <w:rPr>
          <w:sz w:val="22"/>
        </w:rPr>
        <w:t>In contrast, a marked increase in total hardness was observed during the dry season (November–January). Several sampling points recorded substantially higher hardness values, with some samples exceeding 100 mg/L, particularly in December and January. This seasonal increase is likely due to reduced groundwater recharge, increased evaporation, and prolonged water–rock interaction, leading to greater dissolution of mineral constituents within the aquifer matrix. Spatially, samples from Asata, Independence Layout, and New Haven generally exhibited higher dry-season hardness, suggesting possible geological influences or localized anthropogenic inputs.</w:t>
      </w:r>
    </w:p>
    <w:p w14:paraId="742E65D4" w14:textId="0357501D" w:rsidR="00081DE1" w:rsidRDefault="008D3719" w:rsidP="00081DE1">
      <w:pPr>
        <w:pStyle w:val="NormalWeb"/>
        <w:spacing w:before="0" w:beforeAutospacing="0" w:after="120" w:afterAutospacing="0"/>
        <w:jc w:val="both"/>
        <w:rPr>
          <w:sz w:val="22"/>
        </w:rPr>
      </w:pPr>
      <w:r w:rsidRPr="008D3719">
        <w:rPr>
          <w:sz w:val="22"/>
        </w:rPr>
        <w:t>Despite the observed seasonal increase, all recorded total hardness values remained within the World Health Organization (WHO) permissible limit of 500 mg/L for drinking water, indicating no immediate health risk. However, the higher dry-season values may have implications for domestic water use, such as soap consumption and scaling of pipes.</w:t>
      </w:r>
      <w:r w:rsidR="00603EE2">
        <w:rPr>
          <w:sz w:val="22"/>
        </w:rPr>
        <w:t xml:space="preserve"> The </w:t>
      </w:r>
      <w:r w:rsidR="00603EE2" w:rsidRPr="008D3719">
        <w:rPr>
          <w:sz w:val="22"/>
        </w:rPr>
        <w:t xml:space="preserve">seasonal variation in total hardness of borehole water samples </w:t>
      </w:r>
      <w:r w:rsidR="00603EE2">
        <w:rPr>
          <w:sz w:val="22"/>
        </w:rPr>
        <w:t>is shown in Figure 1.</w:t>
      </w:r>
    </w:p>
    <w:p w14:paraId="40E088FE" w14:textId="77777777" w:rsidR="00603EE2" w:rsidRPr="00740BD2" w:rsidRDefault="00603EE2" w:rsidP="00603EE2">
      <w:pPr>
        <w:spacing w:after="0" w:line="240" w:lineRule="auto"/>
        <w:jc w:val="center"/>
        <w:rPr>
          <w:rFonts w:ascii="Times New Roman" w:hAnsi="Times New Roman" w:cs="Times New Roman"/>
          <w:sz w:val="24"/>
          <w:szCs w:val="24"/>
        </w:rPr>
      </w:pPr>
      <w:r w:rsidRPr="00740BD2">
        <w:rPr>
          <w:rFonts w:ascii="Times New Roman" w:hAnsi="Times New Roman" w:cs="Times New Roman"/>
          <w:noProof/>
          <w:sz w:val="24"/>
          <w:szCs w:val="24"/>
        </w:rPr>
        <w:drawing>
          <wp:inline distT="0" distB="0" distL="0" distR="0" wp14:anchorId="360ACAB6" wp14:editId="73674E21">
            <wp:extent cx="4151376" cy="27980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1376" cy="2798064"/>
                    </a:xfrm>
                    <a:prstGeom prst="rect">
                      <a:avLst/>
                    </a:prstGeom>
                    <a:noFill/>
                    <a:ln>
                      <a:noFill/>
                    </a:ln>
                  </pic:spPr>
                </pic:pic>
              </a:graphicData>
            </a:graphic>
          </wp:inline>
        </w:drawing>
      </w:r>
    </w:p>
    <w:p w14:paraId="00F44514" w14:textId="6CF503E6" w:rsidR="00603EE2" w:rsidRPr="00740BD2" w:rsidRDefault="00603EE2" w:rsidP="00603EE2">
      <w:pPr>
        <w:spacing w:after="0" w:line="240" w:lineRule="auto"/>
        <w:jc w:val="center"/>
        <w:rPr>
          <w:rFonts w:ascii="Times New Roman" w:hAnsi="Times New Roman" w:cs="Times New Roman"/>
          <w:b/>
          <w:sz w:val="24"/>
          <w:szCs w:val="24"/>
        </w:rPr>
      </w:pPr>
      <w:r>
        <w:rPr>
          <w:rFonts w:ascii="Times New Roman" w:hAnsi="Times New Roman" w:cs="Times New Roman"/>
          <w:b/>
          <w:szCs w:val="24"/>
        </w:rPr>
        <w:t>Figure 1.</w:t>
      </w:r>
      <w:r w:rsidRPr="00603EE2">
        <w:rPr>
          <w:rFonts w:ascii="Times New Roman" w:hAnsi="Times New Roman" w:cs="Times New Roman"/>
          <w:b/>
          <w:szCs w:val="24"/>
        </w:rPr>
        <w:t xml:space="preserve"> Total Hardness in Borehole Water Samples </w:t>
      </w:r>
    </w:p>
    <w:p w14:paraId="323F5576" w14:textId="77777777" w:rsidR="00603EE2" w:rsidRPr="00081DE1" w:rsidRDefault="00603EE2" w:rsidP="00081DE1">
      <w:pPr>
        <w:pStyle w:val="NormalWeb"/>
        <w:spacing w:before="0" w:beforeAutospacing="0" w:after="120" w:afterAutospacing="0"/>
        <w:jc w:val="both"/>
        <w:rPr>
          <w:sz w:val="22"/>
        </w:rPr>
      </w:pPr>
    </w:p>
    <w:p w14:paraId="33055F84" w14:textId="77777777" w:rsidR="001D5843" w:rsidRPr="00AC1B7C" w:rsidRDefault="008348F1" w:rsidP="008348F1">
      <w:pPr>
        <w:jc w:val="both"/>
        <w:rPr>
          <w:rFonts w:ascii="Times New Roman" w:hAnsi="Times New Roman" w:cs="Times New Roman"/>
          <w:b/>
        </w:rPr>
      </w:pPr>
      <w:r w:rsidRPr="00AC1B7C">
        <w:rPr>
          <w:rFonts w:ascii="Times New Roman" w:hAnsi="Times New Roman" w:cs="Times New Roman"/>
          <w:b/>
        </w:rPr>
        <w:t>Table 3. Assessment and Seasonal Variations in Dissolved Oxygen</w:t>
      </w:r>
    </w:p>
    <w:tbl>
      <w:tblPr>
        <w:tblStyle w:val="TableGrid"/>
        <w:tblW w:w="92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1381"/>
        <w:gridCol w:w="1382"/>
        <w:gridCol w:w="1265"/>
        <w:gridCol w:w="1381"/>
        <w:gridCol w:w="1382"/>
        <w:gridCol w:w="1286"/>
      </w:tblGrid>
      <w:tr w:rsidR="00DE0140" w14:paraId="40E3B0D6" w14:textId="77777777" w:rsidTr="001675C4">
        <w:trPr>
          <w:trHeight w:val="188"/>
        </w:trPr>
        <w:tc>
          <w:tcPr>
            <w:tcW w:w="1193" w:type="dxa"/>
            <w:tcBorders>
              <w:top w:val="single" w:sz="4" w:space="0" w:color="auto"/>
              <w:bottom w:val="single" w:sz="4" w:space="0" w:color="auto"/>
            </w:tcBorders>
          </w:tcPr>
          <w:p w14:paraId="702E26BD" w14:textId="77777777" w:rsidR="00DE0140" w:rsidRPr="00081DE1" w:rsidRDefault="00DE0140" w:rsidP="00081DE1">
            <w:pPr>
              <w:ind w:left="122"/>
              <w:jc w:val="both"/>
              <w:rPr>
                <w:rFonts w:ascii="Times New Roman" w:hAnsi="Times New Roman" w:cs="Times New Roman"/>
                <w:b/>
                <w:sz w:val="18"/>
                <w:szCs w:val="18"/>
              </w:rPr>
            </w:pPr>
            <w:r w:rsidRPr="00081DE1">
              <w:rPr>
                <w:rFonts w:ascii="Times New Roman" w:hAnsi="Times New Roman" w:cs="Times New Roman"/>
                <w:b/>
                <w:sz w:val="18"/>
                <w:szCs w:val="18"/>
              </w:rPr>
              <w:t>DO (mg/l)</w:t>
            </w:r>
          </w:p>
        </w:tc>
        <w:tc>
          <w:tcPr>
            <w:tcW w:w="4028" w:type="dxa"/>
            <w:gridSpan w:val="3"/>
            <w:tcBorders>
              <w:top w:val="single" w:sz="4" w:space="0" w:color="auto"/>
              <w:bottom w:val="single" w:sz="4" w:space="0" w:color="auto"/>
            </w:tcBorders>
          </w:tcPr>
          <w:p w14:paraId="35910E0E" w14:textId="77777777" w:rsidR="00DE0140" w:rsidRPr="00081DE1" w:rsidRDefault="00DE0140" w:rsidP="00DE0140">
            <w:pPr>
              <w:jc w:val="center"/>
              <w:rPr>
                <w:rFonts w:ascii="Times New Roman" w:hAnsi="Times New Roman" w:cs="Times New Roman"/>
                <w:b/>
                <w:sz w:val="18"/>
                <w:szCs w:val="18"/>
              </w:rPr>
            </w:pPr>
            <w:r w:rsidRPr="00081DE1">
              <w:rPr>
                <w:rFonts w:ascii="Times New Roman" w:hAnsi="Times New Roman" w:cs="Times New Roman"/>
                <w:b/>
                <w:sz w:val="18"/>
                <w:szCs w:val="18"/>
              </w:rPr>
              <w:t>Wet Season</w:t>
            </w:r>
          </w:p>
        </w:tc>
        <w:tc>
          <w:tcPr>
            <w:tcW w:w="4049" w:type="dxa"/>
            <w:gridSpan w:val="3"/>
            <w:tcBorders>
              <w:top w:val="single" w:sz="4" w:space="0" w:color="auto"/>
              <w:bottom w:val="single" w:sz="4" w:space="0" w:color="auto"/>
            </w:tcBorders>
          </w:tcPr>
          <w:p w14:paraId="18D5106C" w14:textId="77777777" w:rsidR="00DE0140" w:rsidRPr="00081DE1" w:rsidRDefault="00DE0140" w:rsidP="00DE0140">
            <w:pPr>
              <w:jc w:val="center"/>
              <w:rPr>
                <w:rFonts w:ascii="Times New Roman" w:hAnsi="Times New Roman" w:cs="Times New Roman"/>
                <w:b/>
                <w:sz w:val="18"/>
                <w:szCs w:val="18"/>
              </w:rPr>
            </w:pPr>
            <w:r w:rsidRPr="00081DE1">
              <w:rPr>
                <w:rFonts w:ascii="Times New Roman" w:hAnsi="Times New Roman" w:cs="Times New Roman"/>
                <w:b/>
                <w:sz w:val="18"/>
                <w:szCs w:val="18"/>
              </w:rPr>
              <w:t>Dry Season</w:t>
            </w:r>
          </w:p>
        </w:tc>
      </w:tr>
      <w:tr w:rsidR="00081DE1" w14:paraId="1E0BC665" w14:textId="77777777" w:rsidTr="001675C4">
        <w:trPr>
          <w:trHeight w:val="70"/>
        </w:trPr>
        <w:tc>
          <w:tcPr>
            <w:tcW w:w="1193" w:type="dxa"/>
            <w:tcBorders>
              <w:top w:val="single" w:sz="4" w:space="0" w:color="auto"/>
              <w:bottom w:val="single" w:sz="4" w:space="0" w:color="auto"/>
            </w:tcBorders>
          </w:tcPr>
          <w:p w14:paraId="7A03E505"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b/>
                <w:sz w:val="18"/>
                <w:szCs w:val="18"/>
              </w:rPr>
              <w:t xml:space="preserve">Sample </w:t>
            </w:r>
          </w:p>
        </w:tc>
        <w:tc>
          <w:tcPr>
            <w:tcW w:w="1381" w:type="dxa"/>
            <w:tcBorders>
              <w:top w:val="single" w:sz="4" w:space="0" w:color="auto"/>
              <w:bottom w:val="single" w:sz="4" w:space="0" w:color="auto"/>
            </w:tcBorders>
          </w:tcPr>
          <w:p w14:paraId="0275E48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June  </w:t>
            </w:r>
          </w:p>
        </w:tc>
        <w:tc>
          <w:tcPr>
            <w:tcW w:w="1382" w:type="dxa"/>
            <w:tcBorders>
              <w:top w:val="single" w:sz="4" w:space="0" w:color="auto"/>
              <w:bottom w:val="single" w:sz="4" w:space="0" w:color="auto"/>
            </w:tcBorders>
          </w:tcPr>
          <w:p w14:paraId="7FCC141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July </w:t>
            </w:r>
          </w:p>
        </w:tc>
        <w:tc>
          <w:tcPr>
            <w:tcW w:w="1265" w:type="dxa"/>
            <w:tcBorders>
              <w:top w:val="single" w:sz="4" w:space="0" w:color="auto"/>
              <w:bottom w:val="single" w:sz="4" w:space="0" w:color="auto"/>
            </w:tcBorders>
          </w:tcPr>
          <w:p w14:paraId="532B670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August </w:t>
            </w:r>
          </w:p>
        </w:tc>
        <w:tc>
          <w:tcPr>
            <w:tcW w:w="1381" w:type="dxa"/>
            <w:tcBorders>
              <w:top w:val="single" w:sz="4" w:space="0" w:color="auto"/>
              <w:bottom w:val="single" w:sz="4" w:space="0" w:color="auto"/>
            </w:tcBorders>
          </w:tcPr>
          <w:p w14:paraId="431D9DE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November </w:t>
            </w:r>
          </w:p>
        </w:tc>
        <w:tc>
          <w:tcPr>
            <w:tcW w:w="1382" w:type="dxa"/>
            <w:tcBorders>
              <w:top w:val="single" w:sz="4" w:space="0" w:color="auto"/>
              <w:bottom w:val="single" w:sz="4" w:space="0" w:color="auto"/>
            </w:tcBorders>
          </w:tcPr>
          <w:p w14:paraId="623FF05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December </w:t>
            </w:r>
          </w:p>
        </w:tc>
        <w:tc>
          <w:tcPr>
            <w:tcW w:w="1286" w:type="dxa"/>
            <w:tcBorders>
              <w:top w:val="single" w:sz="4" w:space="0" w:color="auto"/>
              <w:bottom w:val="single" w:sz="4" w:space="0" w:color="auto"/>
            </w:tcBorders>
          </w:tcPr>
          <w:p w14:paraId="49F3839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January </w:t>
            </w:r>
          </w:p>
        </w:tc>
      </w:tr>
      <w:tr w:rsidR="00081DE1" w14:paraId="12BFF28E" w14:textId="77777777" w:rsidTr="001675C4">
        <w:trPr>
          <w:trHeight w:val="70"/>
        </w:trPr>
        <w:tc>
          <w:tcPr>
            <w:tcW w:w="1193" w:type="dxa"/>
            <w:tcBorders>
              <w:top w:val="single" w:sz="4" w:space="0" w:color="auto"/>
              <w:bottom w:val="nil"/>
            </w:tcBorders>
          </w:tcPr>
          <w:p w14:paraId="44C6CD4F"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 </w:t>
            </w:r>
          </w:p>
        </w:tc>
        <w:tc>
          <w:tcPr>
            <w:tcW w:w="1381" w:type="dxa"/>
            <w:tcBorders>
              <w:top w:val="single" w:sz="4" w:space="0" w:color="auto"/>
              <w:bottom w:val="nil"/>
            </w:tcBorders>
          </w:tcPr>
          <w:p w14:paraId="19BF278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5.80±1.223 </w:t>
            </w:r>
          </w:p>
        </w:tc>
        <w:tc>
          <w:tcPr>
            <w:tcW w:w="1382" w:type="dxa"/>
            <w:tcBorders>
              <w:top w:val="single" w:sz="4" w:space="0" w:color="auto"/>
              <w:bottom w:val="nil"/>
            </w:tcBorders>
          </w:tcPr>
          <w:p w14:paraId="555BC84C"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5.40±1.223 </w:t>
            </w:r>
          </w:p>
        </w:tc>
        <w:tc>
          <w:tcPr>
            <w:tcW w:w="1265" w:type="dxa"/>
            <w:tcBorders>
              <w:top w:val="single" w:sz="4" w:space="0" w:color="auto"/>
              <w:bottom w:val="nil"/>
            </w:tcBorders>
          </w:tcPr>
          <w:p w14:paraId="3D1FE12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7.71±1.223 </w:t>
            </w:r>
          </w:p>
        </w:tc>
        <w:tc>
          <w:tcPr>
            <w:tcW w:w="1381" w:type="dxa"/>
            <w:tcBorders>
              <w:top w:val="single" w:sz="4" w:space="0" w:color="auto"/>
              <w:bottom w:val="nil"/>
            </w:tcBorders>
          </w:tcPr>
          <w:p w14:paraId="0B0E65D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30.70±0.622 </w:t>
            </w:r>
          </w:p>
        </w:tc>
        <w:tc>
          <w:tcPr>
            <w:tcW w:w="1382" w:type="dxa"/>
            <w:tcBorders>
              <w:top w:val="single" w:sz="4" w:space="0" w:color="auto"/>
              <w:bottom w:val="nil"/>
            </w:tcBorders>
          </w:tcPr>
          <w:p w14:paraId="4265076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31.80±0.622 </w:t>
            </w:r>
          </w:p>
        </w:tc>
        <w:tc>
          <w:tcPr>
            <w:tcW w:w="1286" w:type="dxa"/>
            <w:tcBorders>
              <w:top w:val="single" w:sz="4" w:space="0" w:color="auto"/>
              <w:bottom w:val="nil"/>
            </w:tcBorders>
          </w:tcPr>
          <w:p w14:paraId="38D9B34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31.50±0.622 </w:t>
            </w:r>
          </w:p>
        </w:tc>
      </w:tr>
      <w:tr w:rsidR="00081DE1" w14:paraId="2DB18F18" w14:textId="77777777" w:rsidTr="001675C4">
        <w:trPr>
          <w:trHeight w:val="70"/>
        </w:trPr>
        <w:tc>
          <w:tcPr>
            <w:tcW w:w="1193" w:type="dxa"/>
            <w:tcBorders>
              <w:top w:val="nil"/>
            </w:tcBorders>
          </w:tcPr>
          <w:p w14:paraId="68C8EECD"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2 </w:t>
            </w:r>
          </w:p>
        </w:tc>
        <w:tc>
          <w:tcPr>
            <w:tcW w:w="1381" w:type="dxa"/>
            <w:tcBorders>
              <w:top w:val="nil"/>
            </w:tcBorders>
          </w:tcPr>
          <w:p w14:paraId="7F7E17A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10.80±3.198 </w:t>
            </w:r>
          </w:p>
        </w:tc>
        <w:tc>
          <w:tcPr>
            <w:tcW w:w="1382" w:type="dxa"/>
            <w:tcBorders>
              <w:top w:val="nil"/>
            </w:tcBorders>
          </w:tcPr>
          <w:p w14:paraId="235EFC3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9.80±3.198 </w:t>
            </w:r>
          </w:p>
        </w:tc>
        <w:tc>
          <w:tcPr>
            <w:tcW w:w="1265" w:type="dxa"/>
            <w:tcBorders>
              <w:top w:val="nil"/>
            </w:tcBorders>
          </w:tcPr>
          <w:p w14:paraId="0DFEEF5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4.81±3.198 </w:t>
            </w:r>
          </w:p>
        </w:tc>
        <w:tc>
          <w:tcPr>
            <w:tcW w:w="1381" w:type="dxa"/>
            <w:tcBorders>
              <w:top w:val="nil"/>
            </w:tcBorders>
          </w:tcPr>
          <w:p w14:paraId="0830FE9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30.52±1.570 </w:t>
            </w:r>
          </w:p>
        </w:tc>
        <w:tc>
          <w:tcPr>
            <w:tcW w:w="1382" w:type="dxa"/>
            <w:tcBorders>
              <w:top w:val="nil"/>
            </w:tcBorders>
          </w:tcPr>
          <w:p w14:paraId="5AA4288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33.41±1.570 </w:t>
            </w:r>
          </w:p>
        </w:tc>
        <w:tc>
          <w:tcPr>
            <w:tcW w:w="1286" w:type="dxa"/>
            <w:tcBorders>
              <w:top w:val="nil"/>
            </w:tcBorders>
          </w:tcPr>
          <w:p w14:paraId="66B44B1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30.80±1.570 </w:t>
            </w:r>
          </w:p>
        </w:tc>
      </w:tr>
      <w:tr w:rsidR="00081DE1" w14:paraId="5D662C5B" w14:textId="77777777" w:rsidTr="001675C4">
        <w:trPr>
          <w:trHeight w:val="70"/>
        </w:trPr>
        <w:tc>
          <w:tcPr>
            <w:tcW w:w="1193" w:type="dxa"/>
          </w:tcPr>
          <w:p w14:paraId="0FCB481D"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3 </w:t>
            </w:r>
          </w:p>
        </w:tc>
        <w:tc>
          <w:tcPr>
            <w:tcW w:w="1381" w:type="dxa"/>
          </w:tcPr>
          <w:p w14:paraId="049A437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4.80±1.718 </w:t>
            </w:r>
          </w:p>
        </w:tc>
        <w:tc>
          <w:tcPr>
            <w:tcW w:w="1382" w:type="dxa"/>
          </w:tcPr>
          <w:p w14:paraId="2D1A4E1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4.20±1.718 </w:t>
            </w:r>
          </w:p>
        </w:tc>
        <w:tc>
          <w:tcPr>
            <w:tcW w:w="1265" w:type="dxa"/>
          </w:tcPr>
          <w:p w14:paraId="6533CFB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7.43±1.718 </w:t>
            </w:r>
          </w:p>
        </w:tc>
        <w:tc>
          <w:tcPr>
            <w:tcW w:w="1381" w:type="dxa"/>
          </w:tcPr>
          <w:p w14:paraId="0FB4216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32.47±3.970 </w:t>
            </w:r>
          </w:p>
        </w:tc>
        <w:tc>
          <w:tcPr>
            <w:tcW w:w="1382" w:type="dxa"/>
          </w:tcPr>
          <w:p w14:paraId="0C73482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39.80±3.970 </w:t>
            </w:r>
          </w:p>
        </w:tc>
        <w:tc>
          <w:tcPr>
            <w:tcW w:w="1286" w:type="dxa"/>
          </w:tcPr>
          <w:p w14:paraId="3DA42682"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39.90±3.970 </w:t>
            </w:r>
          </w:p>
        </w:tc>
      </w:tr>
      <w:tr w:rsidR="00081DE1" w14:paraId="65C5790B" w14:textId="77777777" w:rsidTr="001675C4">
        <w:trPr>
          <w:trHeight w:val="70"/>
        </w:trPr>
        <w:tc>
          <w:tcPr>
            <w:tcW w:w="1193" w:type="dxa"/>
          </w:tcPr>
          <w:p w14:paraId="33C084D0"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4 </w:t>
            </w:r>
          </w:p>
        </w:tc>
        <w:tc>
          <w:tcPr>
            <w:tcW w:w="1381" w:type="dxa"/>
          </w:tcPr>
          <w:p w14:paraId="7BB3ECA9"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7.80±0.558 </w:t>
            </w:r>
          </w:p>
        </w:tc>
        <w:tc>
          <w:tcPr>
            <w:tcW w:w="1382" w:type="dxa"/>
          </w:tcPr>
          <w:p w14:paraId="408B0C1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7.20±0.558 </w:t>
            </w:r>
          </w:p>
        </w:tc>
        <w:tc>
          <w:tcPr>
            <w:tcW w:w="1265" w:type="dxa"/>
          </w:tcPr>
          <w:p w14:paraId="315B185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6.67±0.558 </w:t>
            </w:r>
          </w:p>
        </w:tc>
        <w:tc>
          <w:tcPr>
            <w:tcW w:w="1381" w:type="dxa"/>
          </w:tcPr>
          <w:p w14:paraId="0EC1502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34.55±2.474 </w:t>
            </w:r>
          </w:p>
        </w:tc>
        <w:tc>
          <w:tcPr>
            <w:tcW w:w="1382" w:type="dxa"/>
          </w:tcPr>
          <w:p w14:paraId="292C580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36.20±2.474 </w:t>
            </w:r>
          </w:p>
        </w:tc>
        <w:tc>
          <w:tcPr>
            <w:tcW w:w="1286" w:type="dxa"/>
          </w:tcPr>
          <w:p w14:paraId="253B0F4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31.42±2.474 </w:t>
            </w:r>
          </w:p>
        </w:tc>
      </w:tr>
      <w:tr w:rsidR="00081DE1" w14:paraId="55B924F9" w14:textId="77777777" w:rsidTr="001675C4">
        <w:trPr>
          <w:trHeight w:val="70"/>
        </w:trPr>
        <w:tc>
          <w:tcPr>
            <w:tcW w:w="1193" w:type="dxa"/>
          </w:tcPr>
          <w:p w14:paraId="63C196ED"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5 </w:t>
            </w:r>
          </w:p>
        </w:tc>
        <w:tc>
          <w:tcPr>
            <w:tcW w:w="1381" w:type="dxa"/>
          </w:tcPr>
          <w:p w14:paraId="14C7EC9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12.20±2.453 </w:t>
            </w:r>
          </w:p>
        </w:tc>
        <w:tc>
          <w:tcPr>
            <w:tcW w:w="1382" w:type="dxa"/>
          </w:tcPr>
          <w:p w14:paraId="54CB7B2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11.80±2.453 </w:t>
            </w:r>
          </w:p>
        </w:tc>
        <w:tc>
          <w:tcPr>
            <w:tcW w:w="1265" w:type="dxa"/>
          </w:tcPr>
          <w:p w14:paraId="1D40400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7.44±2.453 </w:t>
            </w:r>
          </w:p>
        </w:tc>
        <w:tc>
          <w:tcPr>
            <w:tcW w:w="1381" w:type="dxa"/>
          </w:tcPr>
          <w:p w14:paraId="44E5944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28.30±8.647 </w:t>
            </w:r>
          </w:p>
        </w:tc>
        <w:tc>
          <w:tcPr>
            <w:tcW w:w="1382" w:type="dxa"/>
          </w:tcPr>
          <w:p w14:paraId="3677318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44.10±8.647 </w:t>
            </w:r>
          </w:p>
        </w:tc>
        <w:tc>
          <w:tcPr>
            <w:tcW w:w="1286" w:type="dxa"/>
          </w:tcPr>
          <w:p w14:paraId="15B4D76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40.12±8.647 </w:t>
            </w:r>
          </w:p>
        </w:tc>
      </w:tr>
      <w:tr w:rsidR="00081DE1" w14:paraId="0D3251E5" w14:textId="77777777" w:rsidTr="001675C4">
        <w:trPr>
          <w:trHeight w:val="70"/>
        </w:trPr>
        <w:tc>
          <w:tcPr>
            <w:tcW w:w="1193" w:type="dxa"/>
          </w:tcPr>
          <w:p w14:paraId="3ACC3D06"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6 </w:t>
            </w:r>
          </w:p>
        </w:tc>
        <w:tc>
          <w:tcPr>
            <w:tcW w:w="1381" w:type="dxa"/>
          </w:tcPr>
          <w:p w14:paraId="484DDD7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14.60±4.060 </w:t>
            </w:r>
          </w:p>
        </w:tc>
        <w:tc>
          <w:tcPr>
            <w:tcW w:w="1382" w:type="dxa"/>
          </w:tcPr>
          <w:p w14:paraId="6E368A6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14.20±4.060 </w:t>
            </w:r>
          </w:p>
        </w:tc>
        <w:tc>
          <w:tcPr>
            <w:tcW w:w="1265" w:type="dxa"/>
          </w:tcPr>
          <w:p w14:paraId="3D687FA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7.47±4.060 </w:t>
            </w:r>
          </w:p>
        </w:tc>
        <w:tc>
          <w:tcPr>
            <w:tcW w:w="1381" w:type="dxa"/>
          </w:tcPr>
          <w:p w14:paraId="6CF5718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29.90±2.671 </w:t>
            </w:r>
          </w:p>
        </w:tc>
        <w:tc>
          <w:tcPr>
            <w:tcW w:w="1382" w:type="dxa"/>
          </w:tcPr>
          <w:p w14:paraId="1F11DFD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32.80±2.671 </w:t>
            </w:r>
          </w:p>
        </w:tc>
        <w:tc>
          <w:tcPr>
            <w:tcW w:w="1286" w:type="dxa"/>
          </w:tcPr>
          <w:p w14:paraId="0BC4851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35.40±2.671 </w:t>
            </w:r>
          </w:p>
        </w:tc>
      </w:tr>
      <w:tr w:rsidR="00081DE1" w14:paraId="7F31AE0C" w14:textId="77777777" w:rsidTr="001675C4">
        <w:trPr>
          <w:trHeight w:val="70"/>
        </w:trPr>
        <w:tc>
          <w:tcPr>
            <w:tcW w:w="1193" w:type="dxa"/>
          </w:tcPr>
          <w:p w14:paraId="5E7C7ACF"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7 </w:t>
            </w:r>
          </w:p>
        </w:tc>
        <w:tc>
          <w:tcPr>
            <w:tcW w:w="1381" w:type="dxa"/>
          </w:tcPr>
          <w:p w14:paraId="68802F0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7.20±0.423 </w:t>
            </w:r>
          </w:p>
        </w:tc>
        <w:tc>
          <w:tcPr>
            <w:tcW w:w="1382" w:type="dxa"/>
          </w:tcPr>
          <w:p w14:paraId="189881C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6.40±0.423 </w:t>
            </w:r>
          </w:p>
        </w:tc>
        <w:tc>
          <w:tcPr>
            <w:tcW w:w="1265" w:type="dxa"/>
          </w:tcPr>
          <w:p w14:paraId="2DB844A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7.20±0.423 </w:t>
            </w:r>
          </w:p>
        </w:tc>
        <w:tc>
          <w:tcPr>
            <w:tcW w:w="1381" w:type="dxa"/>
          </w:tcPr>
          <w:p w14:paraId="112F8B5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35.00±2.382 </w:t>
            </w:r>
          </w:p>
        </w:tc>
        <w:tc>
          <w:tcPr>
            <w:tcW w:w="1382" w:type="dxa"/>
          </w:tcPr>
          <w:p w14:paraId="6800A6E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30.40±2.382 </w:t>
            </w:r>
          </w:p>
        </w:tc>
        <w:tc>
          <w:tcPr>
            <w:tcW w:w="1286" w:type="dxa"/>
          </w:tcPr>
          <w:p w14:paraId="7C0FA4C9"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34.00±2.382 </w:t>
            </w:r>
          </w:p>
        </w:tc>
      </w:tr>
      <w:tr w:rsidR="00081DE1" w14:paraId="32BD56B2" w14:textId="77777777" w:rsidTr="001675C4">
        <w:trPr>
          <w:trHeight w:val="70"/>
        </w:trPr>
        <w:tc>
          <w:tcPr>
            <w:tcW w:w="1193" w:type="dxa"/>
          </w:tcPr>
          <w:p w14:paraId="2FEF0C74"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8 </w:t>
            </w:r>
          </w:p>
        </w:tc>
        <w:tc>
          <w:tcPr>
            <w:tcW w:w="1381" w:type="dxa"/>
          </w:tcPr>
          <w:p w14:paraId="00BD8EF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9.40±1.687 </w:t>
            </w:r>
          </w:p>
        </w:tc>
        <w:tc>
          <w:tcPr>
            <w:tcW w:w="1382" w:type="dxa"/>
          </w:tcPr>
          <w:p w14:paraId="0323596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9.00±1.687 </w:t>
            </w:r>
          </w:p>
        </w:tc>
        <w:tc>
          <w:tcPr>
            <w:tcW w:w="1265" w:type="dxa"/>
          </w:tcPr>
          <w:p w14:paraId="7E288D1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6.01±1.687 </w:t>
            </w:r>
          </w:p>
        </w:tc>
        <w:tc>
          <w:tcPr>
            <w:tcW w:w="1381" w:type="dxa"/>
          </w:tcPr>
          <w:p w14:paraId="74B8BEA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38.12±2.269 </w:t>
            </w:r>
          </w:p>
        </w:tc>
        <w:tc>
          <w:tcPr>
            <w:tcW w:w="1382" w:type="dxa"/>
          </w:tcPr>
          <w:p w14:paraId="6E77909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33.80±2.269 </w:t>
            </w:r>
          </w:p>
        </w:tc>
        <w:tc>
          <w:tcPr>
            <w:tcW w:w="1286" w:type="dxa"/>
          </w:tcPr>
          <w:p w14:paraId="7BF2F56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33.89±2.269 </w:t>
            </w:r>
          </w:p>
        </w:tc>
      </w:tr>
      <w:tr w:rsidR="00081DE1" w14:paraId="73FCD74B" w14:textId="77777777" w:rsidTr="001675C4">
        <w:trPr>
          <w:trHeight w:val="70"/>
        </w:trPr>
        <w:tc>
          <w:tcPr>
            <w:tcW w:w="1193" w:type="dxa"/>
          </w:tcPr>
          <w:p w14:paraId="24B3C242"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9 </w:t>
            </w:r>
          </w:p>
        </w:tc>
        <w:tc>
          <w:tcPr>
            <w:tcW w:w="1381" w:type="dxa"/>
          </w:tcPr>
          <w:p w14:paraId="1F301E6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3.20±1.939 </w:t>
            </w:r>
          </w:p>
        </w:tc>
        <w:tc>
          <w:tcPr>
            <w:tcW w:w="1382" w:type="dxa"/>
          </w:tcPr>
          <w:p w14:paraId="140BAA7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2.80±1.939 </w:t>
            </w:r>
          </w:p>
        </w:tc>
        <w:tc>
          <w:tcPr>
            <w:tcW w:w="1265" w:type="dxa"/>
          </w:tcPr>
          <w:p w14:paraId="1E96740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5.21±1.939 </w:t>
            </w:r>
          </w:p>
        </w:tc>
        <w:tc>
          <w:tcPr>
            <w:tcW w:w="1381" w:type="dxa"/>
          </w:tcPr>
          <w:p w14:paraId="0CEE65F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30.40±1.672 </w:t>
            </w:r>
          </w:p>
        </w:tc>
        <w:tc>
          <w:tcPr>
            <w:tcW w:w="1382" w:type="dxa"/>
          </w:tcPr>
          <w:p w14:paraId="30C9C53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31.22±1.672 </w:t>
            </w:r>
          </w:p>
        </w:tc>
        <w:tc>
          <w:tcPr>
            <w:tcW w:w="1286" w:type="dxa"/>
          </w:tcPr>
          <w:p w14:paraId="47A0843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33.60±1.672 </w:t>
            </w:r>
          </w:p>
        </w:tc>
      </w:tr>
      <w:tr w:rsidR="00081DE1" w14:paraId="0D6AB728" w14:textId="77777777" w:rsidTr="001675C4">
        <w:trPr>
          <w:trHeight w:val="70"/>
        </w:trPr>
        <w:tc>
          <w:tcPr>
            <w:tcW w:w="1193" w:type="dxa"/>
          </w:tcPr>
          <w:p w14:paraId="45DC439E"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10 </w:t>
            </w:r>
          </w:p>
        </w:tc>
        <w:tc>
          <w:tcPr>
            <w:tcW w:w="1381" w:type="dxa"/>
          </w:tcPr>
          <w:p w14:paraId="2E1AE97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7.80±0.171 </w:t>
            </w:r>
          </w:p>
        </w:tc>
        <w:tc>
          <w:tcPr>
            <w:tcW w:w="1382" w:type="dxa"/>
          </w:tcPr>
          <w:p w14:paraId="597BC86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6.80±0.171 </w:t>
            </w:r>
          </w:p>
        </w:tc>
        <w:tc>
          <w:tcPr>
            <w:tcW w:w="1265" w:type="dxa"/>
          </w:tcPr>
          <w:p w14:paraId="7CC51F5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7.11±0.171 </w:t>
            </w:r>
          </w:p>
        </w:tc>
        <w:tc>
          <w:tcPr>
            <w:tcW w:w="1381" w:type="dxa"/>
          </w:tcPr>
          <w:p w14:paraId="3151393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29.00±3.545 </w:t>
            </w:r>
          </w:p>
        </w:tc>
        <w:tc>
          <w:tcPr>
            <w:tcW w:w="1382" w:type="dxa"/>
          </w:tcPr>
          <w:p w14:paraId="140C7B00"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32.80±3.545 </w:t>
            </w:r>
          </w:p>
        </w:tc>
        <w:tc>
          <w:tcPr>
            <w:tcW w:w="1286" w:type="dxa"/>
          </w:tcPr>
          <w:p w14:paraId="3DD7732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36.10±3.545 </w:t>
            </w:r>
          </w:p>
        </w:tc>
      </w:tr>
      <w:tr w:rsidR="00081DE1" w14:paraId="3FF6F843" w14:textId="77777777" w:rsidTr="001675C4">
        <w:trPr>
          <w:trHeight w:val="70"/>
        </w:trPr>
        <w:tc>
          <w:tcPr>
            <w:tcW w:w="1193" w:type="dxa"/>
          </w:tcPr>
          <w:p w14:paraId="52012E48"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11 </w:t>
            </w:r>
          </w:p>
        </w:tc>
        <w:tc>
          <w:tcPr>
            <w:tcW w:w="1381" w:type="dxa"/>
          </w:tcPr>
          <w:p w14:paraId="1259553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8.00±1.232 </w:t>
            </w:r>
          </w:p>
        </w:tc>
        <w:tc>
          <w:tcPr>
            <w:tcW w:w="1382" w:type="dxa"/>
          </w:tcPr>
          <w:p w14:paraId="0826659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7.40±1.232 </w:t>
            </w:r>
          </w:p>
        </w:tc>
        <w:tc>
          <w:tcPr>
            <w:tcW w:w="1265" w:type="dxa"/>
          </w:tcPr>
          <w:p w14:paraId="4414001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5.14±1.232 </w:t>
            </w:r>
          </w:p>
        </w:tc>
        <w:tc>
          <w:tcPr>
            <w:tcW w:w="1381" w:type="dxa"/>
          </w:tcPr>
          <w:p w14:paraId="4E54289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32.61±0.563 </w:t>
            </w:r>
          </w:p>
        </w:tc>
        <w:tc>
          <w:tcPr>
            <w:tcW w:w="1382" w:type="dxa"/>
          </w:tcPr>
          <w:p w14:paraId="0DA6894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31.60±0.563 </w:t>
            </w:r>
          </w:p>
        </w:tc>
        <w:tc>
          <w:tcPr>
            <w:tcW w:w="1286" w:type="dxa"/>
          </w:tcPr>
          <w:p w14:paraId="48ECD01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32.56±0.563 </w:t>
            </w:r>
          </w:p>
        </w:tc>
      </w:tr>
      <w:tr w:rsidR="00081DE1" w14:paraId="62F759B3" w14:textId="77777777" w:rsidTr="001675C4">
        <w:trPr>
          <w:trHeight w:val="70"/>
        </w:trPr>
        <w:tc>
          <w:tcPr>
            <w:tcW w:w="1193" w:type="dxa"/>
          </w:tcPr>
          <w:p w14:paraId="009F0540"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12 </w:t>
            </w:r>
          </w:p>
        </w:tc>
        <w:tc>
          <w:tcPr>
            <w:tcW w:w="1381" w:type="dxa"/>
          </w:tcPr>
          <w:p w14:paraId="6F9912B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4.20±0.632 </w:t>
            </w:r>
          </w:p>
        </w:tc>
        <w:tc>
          <w:tcPr>
            <w:tcW w:w="1382" w:type="dxa"/>
          </w:tcPr>
          <w:p w14:paraId="5E708FC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3.60±0.632 </w:t>
            </w:r>
          </w:p>
        </w:tc>
        <w:tc>
          <w:tcPr>
            <w:tcW w:w="1265" w:type="dxa"/>
          </w:tcPr>
          <w:p w14:paraId="1F480C9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4.35±0.632 </w:t>
            </w:r>
          </w:p>
        </w:tc>
        <w:tc>
          <w:tcPr>
            <w:tcW w:w="1381" w:type="dxa"/>
          </w:tcPr>
          <w:p w14:paraId="2A1729F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33.11±4.455 </w:t>
            </w:r>
          </w:p>
        </w:tc>
        <w:tc>
          <w:tcPr>
            <w:tcW w:w="1382" w:type="dxa"/>
          </w:tcPr>
          <w:p w14:paraId="55B2866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33.21±4.455 </w:t>
            </w:r>
          </w:p>
        </w:tc>
        <w:tc>
          <w:tcPr>
            <w:tcW w:w="1286" w:type="dxa"/>
          </w:tcPr>
          <w:p w14:paraId="3CDC1AA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40.80±4.455 </w:t>
            </w:r>
          </w:p>
        </w:tc>
      </w:tr>
    </w:tbl>
    <w:p w14:paraId="46390A7C" w14:textId="77777777" w:rsidR="001D5843" w:rsidRDefault="001D5843" w:rsidP="001675C4">
      <w:pPr>
        <w:spacing w:after="120"/>
        <w:jc w:val="both"/>
        <w:rPr>
          <w:rFonts w:ascii="Times New Roman" w:hAnsi="Times New Roman" w:cs="Times New Roman"/>
        </w:rPr>
      </w:pPr>
    </w:p>
    <w:p w14:paraId="15540473" w14:textId="77777777" w:rsidR="009407FD" w:rsidRPr="00502827" w:rsidRDefault="009407FD" w:rsidP="00502827">
      <w:pPr>
        <w:pStyle w:val="NormalWeb"/>
        <w:spacing w:before="0" w:beforeAutospacing="0" w:after="120" w:afterAutospacing="0"/>
        <w:jc w:val="both"/>
        <w:rPr>
          <w:sz w:val="22"/>
        </w:rPr>
      </w:pPr>
      <w:r w:rsidRPr="00502827">
        <w:rPr>
          <w:sz w:val="22"/>
        </w:rPr>
        <w:t>The dissolved oxygen concentrations presented in Table 3 show clear seasonal variability across all sampling locations. During the wet season, DO values were relatively moderate, generally ranging between 2.8 and 14.6 mg/L. These values reflect typical groundwater conditions, where oxygen levels are influenced by recharge from rainfall, organic matter decomposition, and microbial activity.</w:t>
      </w:r>
    </w:p>
    <w:p w14:paraId="533B7B9B" w14:textId="77777777" w:rsidR="009407FD" w:rsidRPr="00502827" w:rsidRDefault="009407FD" w:rsidP="00502827">
      <w:pPr>
        <w:pStyle w:val="NormalWeb"/>
        <w:spacing w:before="0" w:beforeAutospacing="0" w:after="120" w:afterAutospacing="0"/>
        <w:jc w:val="both"/>
        <w:rPr>
          <w:sz w:val="22"/>
        </w:rPr>
      </w:pPr>
      <w:r w:rsidRPr="00502827">
        <w:rPr>
          <w:sz w:val="22"/>
        </w:rPr>
        <w:t>A significant increase in DO concentrations was observed during the dry season, with values ranging approximately from 28.3 to 44.1 mg/L. This unusually high dry-season DO may be attributed to reduced microbial oxygen consumption, lower organic matter input, and possible methodological or aeration effects during sampling. The consistent increase across all boreholes suggests a seasonal influence rather than localized contamination.</w:t>
      </w:r>
    </w:p>
    <w:p w14:paraId="2C01BC41" w14:textId="583D7937" w:rsidR="001675C4" w:rsidRDefault="00AC1B7C" w:rsidP="00502827">
      <w:pPr>
        <w:pStyle w:val="NormalWeb"/>
        <w:spacing w:before="0" w:beforeAutospacing="0" w:after="120" w:afterAutospacing="0"/>
        <w:jc w:val="both"/>
        <w:rPr>
          <w:sz w:val="22"/>
        </w:rPr>
      </w:pPr>
      <w:r>
        <w:rPr>
          <w:sz w:val="22"/>
        </w:rPr>
        <w:t>Thus</w:t>
      </w:r>
      <w:r w:rsidR="009407FD" w:rsidRPr="00502827">
        <w:rPr>
          <w:sz w:val="22"/>
        </w:rPr>
        <w:t>, the DO levels indicate that the borehole waters were generally well oxygenated, suggesting minimal anaerobic conditions. Adequate dissolved oxygen is beneficial for water quality, as it limits the survival of anaerobic pathogens and reduces the likelihood of unpleasant taste and odor.</w:t>
      </w:r>
      <w:r w:rsidR="0055585D">
        <w:rPr>
          <w:sz w:val="22"/>
        </w:rPr>
        <w:t xml:space="preserve"> Figure 2 presents</w:t>
      </w:r>
      <w:r w:rsidR="00603EE2">
        <w:rPr>
          <w:sz w:val="22"/>
        </w:rPr>
        <w:t xml:space="preserve"> </w:t>
      </w:r>
      <w:r w:rsidR="0055585D">
        <w:rPr>
          <w:sz w:val="22"/>
        </w:rPr>
        <w:t>the seasonal variation of the dissolved oxygen in borehole water samples.</w:t>
      </w:r>
    </w:p>
    <w:p w14:paraId="035AA082" w14:textId="77777777" w:rsidR="003B78EF" w:rsidRDefault="003B78EF" w:rsidP="003B78EF">
      <w:pPr>
        <w:spacing w:after="75"/>
        <w:ind w:left="91"/>
      </w:pPr>
    </w:p>
    <w:p w14:paraId="46CC5BBD" w14:textId="4DEABE35" w:rsidR="003B78EF" w:rsidRDefault="00F946A6" w:rsidP="00F946A6">
      <w:pPr>
        <w:spacing w:after="75"/>
        <w:ind w:left="91"/>
        <w:jc w:val="center"/>
        <w:rPr>
          <w:rFonts w:ascii="Times New Roman" w:hAnsi="Times New Roman" w:cs="Times New Roman"/>
          <w:b/>
        </w:rPr>
      </w:pPr>
      <w:r w:rsidRPr="00740BD2">
        <w:rPr>
          <w:rFonts w:ascii="Times New Roman" w:hAnsi="Times New Roman" w:cs="Times New Roman"/>
          <w:noProof/>
          <w:sz w:val="24"/>
          <w:szCs w:val="24"/>
        </w:rPr>
        <w:drawing>
          <wp:inline distT="0" distB="0" distL="0" distR="0" wp14:anchorId="418FC960" wp14:editId="17B1D5FB">
            <wp:extent cx="4151376" cy="27980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1376" cy="2798064"/>
                    </a:xfrm>
                    <a:prstGeom prst="rect">
                      <a:avLst/>
                    </a:prstGeom>
                    <a:noFill/>
                    <a:ln>
                      <a:noFill/>
                    </a:ln>
                  </pic:spPr>
                </pic:pic>
              </a:graphicData>
            </a:graphic>
          </wp:inline>
        </w:drawing>
      </w:r>
    </w:p>
    <w:p w14:paraId="5192EAE9" w14:textId="3F9C5EFE" w:rsidR="003B78EF" w:rsidRPr="003B78EF" w:rsidRDefault="003B78EF" w:rsidP="00F946A6">
      <w:pPr>
        <w:spacing w:after="75"/>
        <w:jc w:val="center"/>
      </w:pPr>
      <w:r>
        <w:rPr>
          <w:rFonts w:ascii="Times New Roman" w:hAnsi="Times New Roman" w:cs="Times New Roman"/>
          <w:b/>
        </w:rPr>
        <w:t xml:space="preserve">Figure 2. Dissolved Oxygen in Borehole Water Samples </w:t>
      </w:r>
    </w:p>
    <w:p w14:paraId="599FE660" w14:textId="77777777" w:rsidR="001D5843" w:rsidRPr="00AC1B7C" w:rsidRDefault="005A4CD2" w:rsidP="005A4CD2">
      <w:pPr>
        <w:spacing w:after="120"/>
        <w:jc w:val="both"/>
        <w:rPr>
          <w:rFonts w:ascii="Times New Roman" w:hAnsi="Times New Roman" w:cs="Times New Roman"/>
          <w:b/>
        </w:rPr>
      </w:pPr>
      <w:r w:rsidRPr="00AC1B7C">
        <w:rPr>
          <w:rFonts w:ascii="Times New Roman" w:hAnsi="Times New Roman" w:cs="Times New Roman"/>
          <w:b/>
        </w:rPr>
        <w:t>Table 4. Assessment and Seasonal Variations in Biochemical Oxygen Demand</w:t>
      </w:r>
    </w:p>
    <w:tbl>
      <w:tblPr>
        <w:tblStyle w:val="TableGrid"/>
        <w:tblW w:w="9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1243"/>
        <w:gridCol w:w="1244"/>
        <w:gridCol w:w="1243"/>
        <w:gridCol w:w="1362"/>
        <w:gridCol w:w="1353"/>
        <w:gridCol w:w="1180"/>
      </w:tblGrid>
      <w:tr w:rsidR="00011C46" w:rsidRPr="00011C46" w14:paraId="2B617BCB" w14:textId="77777777" w:rsidTr="00AC1B7C">
        <w:trPr>
          <w:trHeight w:val="70"/>
        </w:trPr>
        <w:tc>
          <w:tcPr>
            <w:tcW w:w="1693" w:type="dxa"/>
            <w:tcBorders>
              <w:top w:val="single" w:sz="4" w:space="0" w:color="auto"/>
              <w:bottom w:val="single" w:sz="4" w:space="0" w:color="auto"/>
            </w:tcBorders>
          </w:tcPr>
          <w:p w14:paraId="6655C5C4" w14:textId="77777777" w:rsidR="00011C46" w:rsidRPr="00011C46" w:rsidRDefault="00011C46" w:rsidP="00011C46">
            <w:pPr>
              <w:ind w:left="122"/>
              <w:jc w:val="both"/>
              <w:rPr>
                <w:rFonts w:ascii="Times New Roman" w:hAnsi="Times New Roman" w:cs="Times New Roman"/>
                <w:sz w:val="18"/>
                <w:szCs w:val="18"/>
              </w:rPr>
            </w:pPr>
            <w:r w:rsidRPr="00011C46">
              <w:rPr>
                <w:rFonts w:ascii="Times New Roman" w:hAnsi="Times New Roman" w:cs="Times New Roman"/>
                <w:b/>
                <w:sz w:val="18"/>
                <w:szCs w:val="18"/>
              </w:rPr>
              <w:t xml:space="preserve">BOD (mg/l) </w:t>
            </w:r>
          </w:p>
        </w:tc>
        <w:tc>
          <w:tcPr>
            <w:tcW w:w="3730" w:type="dxa"/>
            <w:gridSpan w:val="3"/>
            <w:tcBorders>
              <w:top w:val="single" w:sz="4" w:space="0" w:color="auto"/>
              <w:bottom w:val="single" w:sz="4" w:space="0" w:color="auto"/>
            </w:tcBorders>
          </w:tcPr>
          <w:p w14:paraId="0390E8B1" w14:textId="77777777" w:rsidR="00011C46" w:rsidRPr="00011C46" w:rsidRDefault="00011C46" w:rsidP="00011C46">
            <w:pPr>
              <w:jc w:val="center"/>
              <w:rPr>
                <w:rFonts w:ascii="Times New Roman" w:hAnsi="Times New Roman" w:cs="Times New Roman"/>
                <w:sz w:val="18"/>
                <w:szCs w:val="18"/>
              </w:rPr>
            </w:pPr>
            <w:r w:rsidRPr="00011C46">
              <w:rPr>
                <w:rFonts w:ascii="Times New Roman" w:hAnsi="Times New Roman" w:cs="Times New Roman"/>
                <w:b/>
                <w:sz w:val="18"/>
                <w:szCs w:val="18"/>
              </w:rPr>
              <w:t>Wet Season</w:t>
            </w:r>
          </w:p>
        </w:tc>
        <w:tc>
          <w:tcPr>
            <w:tcW w:w="3895" w:type="dxa"/>
            <w:gridSpan w:val="3"/>
            <w:tcBorders>
              <w:top w:val="single" w:sz="4" w:space="0" w:color="auto"/>
              <w:bottom w:val="single" w:sz="4" w:space="0" w:color="auto"/>
            </w:tcBorders>
          </w:tcPr>
          <w:p w14:paraId="693B84C5" w14:textId="77777777" w:rsidR="00011C46" w:rsidRPr="00011C46" w:rsidRDefault="00011C46" w:rsidP="00011C46">
            <w:pPr>
              <w:jc w:val="center"/>
              <w:rPr>
                <w:rFonts w:ascii="Times New Roman" w:hAnsi="Times New Roman" w:cs="Times New Roman"/>
                <w:sz w:val="18"/>
                <w:szCs w:val="18"/>
              </w:rPr>
            </w:pPr>
            <w:r w:rsidRPr="00011C46">
              <w:rPr>
                <w:rFonts w:ascii="Times New Roman" w:hAnsi="Times New Roman" w:cs="Times New Roman"/>
                <w:b/>
                <w:sz w:val="18"/>
                <w:szCs w:val="18"/>
              </w:rPr>
              <w:t>Dry Season</w:t>
            </w:r>
          </w:p>
        </w:tc>
      </w:tr>
      <w:tr w:rsidR="00AC1B7C" w:rsidRPr="00011C46" w14:paraId="375FCDDC" w14:textId="77777777" w:rsidTr="00AC1B7C">
        <w:trPr>
          <w:trHeight w:val="70"/>
        </w:trPr>
        <w:tc>
          <w:tcPr>
            <w:tcW w:w="1693" w:type="dxa"/>
            <w:tcBorders>
              <w:top w:val="single" w:sz="4" w:space="0" w:color="auto"/>
              <w:bottom w:val="single" w:sz="4" w:space="0" w:color="auto"/>
            </w:tcBorders>
          </w:tcPr>
          <w:p w14:paraId="55D6E8BF"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b/>
                <w:sz w:val="18"/>
                <w:szCs w:val="18"/>
              </w:rPr>
              <w:t xml:space="preserve">Sample </w:t>
            </w:r>
          </w:p>
        </w:tc>
        <w:tc>
          <w:tcPr>
            <w:tcW w:w="1243" w:type="dxa"/>
            <w:tcBorders>
              <w:top w:val="single" w:sz="4" w:space="0" w:color="auto"/>
              <w:bottom w:val="single" w:sz="4" w:space="0" w:color="auto"/>
            </w:tcBorders>
          </w:tcPr>
          <w:p w14:paraId="30ABC49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June </w:t>
            </w:r>
          </w:p>
        </w:tc>
        <w:tc>
          <w:tcPr>
            <w:tcW w:w="1244" w:type="dxa"/>
            <w:tcBorders>
              <w:top w:val="single" w:sz="4" w:space="0" w:color="auto"/>
              <w:bottom w:val="single" w:sz="4" w:space="0" w:color="auto"/>
            </w:tcBorders>
          </w:tcPr>
          <w:p w14:paraId="48A1F9E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July </w:t>
            </w:r>
          </w:p>
        </w:tc>
        <w:tc>
          <w:tcPr>
            <w:tcW w:w="1243" w:type="dxa"/>
            <w:tcBorders>
              <w:top w:val="single" w:sz="4" w:space="0" w:color="auto"/>
              <w:bottom w:val="single" w:sz="4" w:space="0" w:color="auto"/>
            </w:tcBorders>
          </w:tcPr>
          <w:p w14:paraId="08FDB27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August </w:t>
            </w:r>
          </w:p>
        </w:tc>
        <w:tc>
          <w:tcPr>
            <w:tcW w:w="1362" w:type="dxa"/>
            <w:tcBorders>
              <w:top w:val="single" w:sz="4" w:space="0" w:color="auto"/>
              <w:bottom w:val="single" w:sz="4" w:space="0" w:color="auto"/>
            </w:tcBorders>
          </w:tcPr>
          <w:p w14:paraId="07B56AD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November </w:t>
            </w:r>
          </w:p>
        </w:tc>
        <w:tc>
          <w:tcPr>
            <w:tcW w:w="1353" w:type="dxa"/>
            <w:tcBorders>
              <w:top w:val="single" w:sz="4" w:space="0" w:color="auto"/>
              <w:bottom w:val="single" w:sz="4" w:space="0" w:color="auto"/>
            </w:tcBorders>
          </w:tcPr>
          <w:p w14:paraId="55D140A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December </w:t>
            </w:r>
          </w:p>
        </w:tc>
        <w:tc>
          <w:tcPr>
            <w:tcW w:w="1180" w:type="dxa"/>
            <w:tcBorders>
              <w:top w:val="single" w:sz="4" w:space="0" w:color="auto"/>
              <w:bottom w:val="single" w:sz="4" w:space="0" w:color="auto"/>
            </w:tcBorders>
          </w:tcPr>
          <w:p w14:paraId="57AA327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January </w:t>
            </w:r>
          </w:p>
        </w:tc>
      </w:tr>
      <w:tr w:rsidR="00AC1B7C" w:rsidRPr="00011C46" w14:paraId="39D0C18D" w14:textId="77777777" w:rsidTr="00AC1B7C">
        <w:trPr>
          <w:trHeight w:val="70"/>
        </w:trPr>
        <w:tc>
          <w:tcPr>
            <w:tcW w:w="1693" w:type="dxa"/>
            <w:tcBorders>
              <w:top w:val="single" w:sz="4" w:space="0" w:color="auto"/>
              <w:bottom w:val="nil"/>
            </w:tcBorders>
          </w:tcPr>
          <w:p w14:paraId="716952B3"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 </w:t>
            </w:r>
          </w:p>
        </w:tc>
        <w:tc>
          <w:tcPr>
            <w:tcW w:w="1243" w:type="dxa"/>
            <w:tcBorders>
              <w:top w:val="single" w:sz="4" w:space="0" w:color="auto"/>
              <w:bottom w:val="nil"/>
            </w:tcBorders>
          </w:tcPr>
          <w:p w14:paraId="70969EC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0.40±1.457 </w:t>
            </w:r>
          </w:p>
        </w:tc>
        <w:tc>
          <w:tcPr>
            <w:tcW w:w="1244" w:type="dxa"/>
            <w:tcBorders>
              <w:top w:val="single" w:sz="4" w:space="0" w:color="auto"/>
              <w:bottom w:val="nil"/>
            </w:tcBorders>
          </w:tcPr>
          <w:p w14:paraId="5D570F6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3.00±1.457 </w:t>
            </w:r>
          </w:p>
        </w:tc>
        <w:tc>
          <w:tcPr>
            <w:tcW w:w="1243" w:type="dxa"/>
            <w:tcBorders>
              <w:top w:val="single" w:sz="4" w:space="0" w:color="auto"/>
              <w:bottom w:val="nil"/>
            </w:tcBorders>
          </w:tcPr>
          <w:p w14:paraId="6FF63EF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1.20±1.457 </w:t>
            </w:r>
          </w:p>
        </w:tc>
        <w:tc>
          <w:tcPr>
            <w:tcW w:w="1362" w:type="dxa"/>
            <w:tcBorders>
              <w:top w:val="single" w:sz="4" w:space="0" w:color="auto"/>
              <w:bottom w:val="nil"/>
            </w:tcBorders>
          </w:tcPr>
          <w:p w14:paraId="54DAD9E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6.52±2.360 </w:t>
            </w:r>
          </w:p>
        </w:tc>
        <w:tc>
          <w:tcPr>
            <w:tcW w:w="1353" w:type="dxa"/>
            <w:tcBorders>
              <w:top w:val="single" w:sz="4" w:space="0" w:color="auto"/>
              <w:bottom w:val="nil"/>
            </w:tcBorders>
          </w:tcPr>
          <w:p w14:paraId="6AE57DA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3.12±2.360 </w:t>
            </w:r>
          </w:p>
        </w:tc>
        <w:tc>
          <w:tcPr>
            <w:tcW w:w="1180" w:type="dxa"/>
            <w:tcBorders>
              <w:top w:val="single" w:sz="4" w:space="0" w:color="auto"/>
              <w:bottom w:val="nil"/>
            </w:tcBorders>
          </w:tcPr>
          <w:p w14:paraId="0112659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1.88±2.360 </w:t>
            </w:r>
          </w:p>
        </w:tc>
      </w:tr>
      <w:tr w:rsidR="00AC1B7C" w:rsidRPr="00011C46" w14:paraId="12E092A9" w14:textId="77777777" w:rsidTr="00AC1B7C">
        <w:trPr>
          <w:trHeight w:val="70"/>
        </w:trPr>
        <w:tc>
          <w:tcPr>
            <w:tcW w:w="1693" w:type="dxa"/>
            <w:tcBorders>
              <w:top w:val="nil"/>
            </w:tcBorders>
          </w:tcPr>
          <w:p w14:paraId="189E1AB0"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2 </w:t>
            </w:r>
          </w:p>
        </w:tc>
        <w:tc>
          <w:tcPr>
            <w:tcW w:w="1243" w:type="dxa"/>
            <w:tcBorders>
              <w:top w:val="nil"/>
            </w:tcBorders>
          </w:tcPr>
          <w:p w14:paraId="0472966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1.00±1.045 </w:t>
            </w:r>
          </w:p>
        </w:tc>
        <w:tc>
          <w:tcPr>
            <w:tcW w:w="1244" w:type="dxa"/>
            <w:tcBorders>
              <w:top w:val="nil"/>
            </w:tcBorders>
          </w:tcPr>
          <w:p w14:paraId="3B0187D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1.20±1.045 </w:t>
            </w:r>
          </w:p>
        </w:tc>
        <w:tc>
          <w:tcPr>
            <w:tcW w:w="1243" w:type="dxa"/>
            <w:tcBorders>
              <w:top w:val="nil"/>
            </w:tcBorders>
          </w:tcPr>
          <w:p w14:paraId="44C4744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3.10±1.045 </w:t>
            </w:r>
          </w:p>
        </w:tc>
        <w:tc>
          <w:tcPr>
            <w:tcW w:w="1362" w:type="dxa"/>
            <w:tcBorders>
              <w:top w:val="nil"/>
            </w:tcBorders>
          </w:tcPr>
          <w:p w14:paraId="3FADC4B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6.15±1.932 </w:t>
            </w:r>
          </w:p>
        </w:tc>
        <w:tc>
          <w:tcPr>
            <w:tcW w:w="1353" w:type="dxa"/>
            <w:tcBorders>
              <w:top w:val="nil"/>
            </w:tcBorders>
          </w:tcPr>
          <w:p w14:paraId="085FD90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4.11±1.932 </w:t>
            </w:r>
          </w:p>
        </w:tc>
        <w:tc>
          <w:tcPr>
            <w:tcW w:w="1180" w:type="dxa"/>
            <w:tcBorders>
              <w:top w:val="nil"/>
            </w:tcBorders>
          </w:tcPr>
          <w:p w14:paraId="6014A3E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N/A </w:t>
            </w:r>
          </w:p>
        </w:tc>
      </w:tr>
      <w:tr w:rsidR="00AC1B7C" w:rsidRPr="00011C46" w14:paraId="7029BE3E" w14:textId="77777777" w:rsidTr="00AC1B7C">
        <w:trPr>
          <w:trHeight w:val="70"/>
        </w:trPr>
        <w:tc>
          <w:tcPr>
            <w:tcW w:w="1693" w:type="dxa"/>
          </w:tcPr>
          <w:p w14:paraId="4C672AA5"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3 </w:t>
            </w:r>
          </w:p>
        </w:tc>
        <w:tc>
          <w:tcPr>
            <w:tcW w:w="1243" w:type="dxa"/>
          </w:tcPr>
          <w:p w14:paraId="2CDBE03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0.60±0.651 </w:t>
            </w:r>
          </w:p>
        </w:tc>
        <w:tc>
          <w:tcPr>
            <w:tcW w:w="1244" w:type="dxa"/>
          </w:tcPr>
          <w:p w14:paraId="0A34B95B"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1.80±0.651 </w:t>
            </w:r>
          </w:p>
        </w:tc>
        <w:tc>
          <w:tcPr>
            <w:tcW w:w="1243" w:type="dxa"/>
          </w:tcPr>
          <w:p w14:paraId="23B78DB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1.50±0.651 </w:t>
            </w:r>
          </w:p>
        </w:tc>
        <w:tc>
          <w:tcPr>
            <w:tcW w:w="1362" w:type="dxa"/>
          </w:tcPr>
          <w:p w14:paraId="53C434B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6.20±0.474 </w:t>
            </w:r>
          </w:p>
        </w:tc>
        <w:tc>
          <w:tcPr>
            <w:tcW w:w="1353" w:type="dxa"/>
          </w:tcPr>
          <w:p w14:paraId="29263F45"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6.01±0.474 </w:t>
            </w:r>
          </w:p>
        </w:tc>
        <w:tc>
          <w:tcPr>
            <w:tcW w:w="1180" w:type="dxa"/>
          </w:tcPr>
          <w:p w14:paraId="3B56132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5.14±0.474 </w:t>
            </w:r>
          </w:p>
        </w:tc>
      </w:tr>
      <w:tr w:rsidR="00AC1B7C" w:rsidRPr="00011C46" w14:paraId="486E9082" w14:textId="77777777" w:rsidTr="00AC1B7C">
        <w:trPr>
          <w:trHeight w:val="70"/>
        </w:trPr>
        <w:tc>
          <w:tcPr>
            <w:tcW w:w="1693" w:type="dxa"/>
          </w:tcPr>
          <w:p w14:paraId="0C745320"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4 </w:t>
            </w:r>
          </w:p>
        </w:tc>
        <w:tc>
          <w:tcPr>
            <w:tcW w:w="1243" w:type="dxa"/>
          </w:tcPr>
          <w:p w14:paraId="65A5BD2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0.60±0.519 </w:t>
            </w:r>
          </w:p>
        </w:tc>
        <w:tc>
          <w:tcPr>
            <w:tcW w:w="1244" w:type="dxa"/>
          </w:tcPr>
          <w:p w14:paraId="22575D4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1.60±0.519 </w:t>
            </w:r>
          </w:p>
        </w:tc>
        <w:tc>
          <w:tcPr>
            <w:tcW w:w="1243" w:type="dxa"/>
          </w:tcPr>
          <w:p w14:paraId="0CA28F9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1.20±0.519 </w:t>
            </w:r>
          </w:p>
        </w:tc>
        <w:tc>
          <w:tcPr>
            <w:tcW w:w="1362" w:type="dxa"/>
          </w:tcPr>
          <w:p w14:paraId="536C488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5.25±0.602 </w:t>
            </w:r>
          </w:p>
        </w:tc>
        <w:tc>
          <w:tcPr>
            <w:tcW w:w="1353" w:type="dxa"/>
          </w:tcPr>
          <w:p w14:paraId="7C287D9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5.24±0.602 </w:t>
            </w:r>
          </w:p>
        </w:tc>
        <w:tc>
          <w:tcPr>
            <w:tcW w:w="1180" w:type="dxa"/>
          </w:tcPr>
          <w:p w14:paraId="3866524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4.87±0.602 </w:t>
            </w:r>
          </w:p>
        </w:tc>
      </w:tr>
      <w:tr w:rsidR="00AC1B7C" w:rsidRPr="00011C46" w14:paraId="4EE7A76A" w14:textId="77777777" w:rsidTr="00AC1B7C">
        <w:trPr>
          <w:trHeight w:val="70"/>
        </w:trPr>
        <w:tc>
          <w:tcPr>
            <w:tcW w:w="1693" w:type="dxa"/>
          </w:tcPr>
          <w:p w14:paraId="54AA9F98"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5 </w:t>
            </w:r>
          </w:p>
        </w:tc>
        <w:tc>
          <w:tcPr>
            <w:tcW w:w="1243" w:type="dxa"/>
          </w:tcPr>
          <w:p w14:paraId="30B9784A"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0.40±1.823 </w:t>
            </w:r>
          </w:p>
        </w:tc>
        <w:tc>
          <w:tcPr>
            <w:tcW w:w="1244" w:type="dxa"/>
          </w:tcPr>
          <w:p w14:paraId="5648823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1.80±1.823 </w:t>
            </w:r>
          </w:p>
        </w:tc>
        <w:tc>
          <w:tcPr>
            <w:tcW w:w="1243" w:type="dxa"/>
          </w:tcPr>
          <w:p w14:paraId="36B7DE2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4.01±1.823 </w:t>
            </w:r>
          </w:p>
        </w:tc>
        <w:tc>
          <w:tcPr>
            <w:tcW w:w="1362" w:type="dxa"/>
          </w:tcPr>
          <w:p w14:paraId="46D17EA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5.63±1.384 </w:t>
            </w:r>
          </w:p>
        </w:tc>
        <w:tc>
          <w:tcPr>
            <w:tcW w:w="1353" w:type="dxa"/>
          </w:tcPr>
          <w:p w14:paraId="6DF42D9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2.11±1.384 </w:t>
            </w:r>
          </w:p>
        </w:tc>
        <w:tc>
          <w:tcPr>
            <w:tcW w:w="1180" w:type="dxa"/>
          </w:tcPr>
          <w:p w14:paraId="4B852BA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4.22±1.384 </w:t>
            </w:r>
          </w:p>
        </w:tc>
      </w:tr>
      <w:tr w:rsidR="00AC1B7C" w:rsidRPr="00011C46" w14:paraId="557DD43E" w14:textId="77777777" w:rsidTr="00AC1B7C">
        <w:trPr>
          <w:trHeight w:val="70"/>
        </w:trPr>
        <w:tc>
          <w:tcPr>
            <w:tcW w:w="1693" w:type="dxa"/>
          </w:tcPr>
          <w:p w14:paraId="280E64E0"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6 </w:t>
            </w:r>
          </w:p>
        </w:tc>
        <w:tc>
          <w:tcPr>
            <w:tcW w:w="1243" w:type="dxa"/>
          </w:tcPr>
          <w:p w14:paraId="4B40B745"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0.40±0.577 </w:t>
            </w:r>
          </w:p>
        </w:tc>
        <w:tc>
          <w:tcPr>
            <w:tcW w:w="1244" w:type="dxa"/>
          </w:tcPr>
          <w:p w14:paraId="0CC3C05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1.40±0.577 </w:t>
            </w:r>
          </w:p>
        </w:tc>
        <w:tc>
          <w:tcPr>
            <w:tcW w:w="1243" w:type="dxa"/>
          </w:tcPr>
          <w:p w14:paraId="4CB771A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1.20±0.577 </w:t>
            </w:r>
          </w:p>
        </w:tc>
        <w:tc>
          <w:tcPr>
            <w:tcW w:w="1362" w:type="dxa"/>
          </w:tcPr>
          <w:p w14:paraId="348FBA2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5.65±1.265 </w:t>
            </w:r>
          </w:p>
        </w:tc>
        <w:tc>
          <w:tcPr>
            <w:tcW w:w="1353" w:type="dxa"/>
          </w:tcPr>
          <w:p w14:paraId="08E65E7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5.66±1.265 </w:t>
            </w:r>
          </w:p>
        </w:tc>
        <w:tc>
          <w:tcPr>
            <w:tcW w:w="1180" w:type="dxa"/>
          </w:tcPr>
          <w:p w14:paraId="08C3AAD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3.25±1.265 </w:t>
            </w:r>
          </w:p>
        </w:tc>
      </w:tr>
      <w:tr w:rsidR="00AC1B7C" w:rsidRPr="00011C46" w14:paraId="3B96D6D0" w14:textId="77777777" w:rsidTr="00AC1B7C">
        <w:trPr>
          <w:trHeight w:val="70"/>
        </w:trPr>
        <w:tc>
          <w:tcPr>
            <w:tcW w:w="1693" w:type="dxa"/>
          </w:tcPr>
          <w:p w14:paraId="57443C11"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7 </w:t>
            </w:r>
          </w:p>
        </w:tc>
        <w:tc>
          <w:tcPr>
            <w:tcW w:w="1243" w:type="dxa"/>
          </w:tcPr>
          <w:p w14:paraId="6FC1477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0.80±0.266 </w:t>
            </w:r>
          </w:p>
        </w:tc>
        <w:tc>
          <w:tcPr>
            <w:tcW w:w="1244" w:type="dxa"/>
          </w:tcPr>
          <w:p w14:paraId="64DEB02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1.30±0.266 </w:t>
            </w:r>
          </w:p>
        </w:tc>
        <w:tc>
          <w:tcPr>
            <w:tcW w:w="1243" w:type="dxa"/>
          </w:tcPr>
          <w:p w14:paraId="4E1812B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1.33±0.266 </w:t>
            </w:r>
          </w:p>
        </w:tc>
        <w:tc>
          <w:tcPr>
            <w:tcW w:w="1362" w:type="dxa"/>
          </w:tcPr>
          <w:p w14:paraId="0C93EFA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5.35±1.650 </w:t>
            </w:r>
          </w:p>
        </w:tc>
        <w:tc>
          <w:tcPr>
            <w:tcW w:w="1353" w:type="dxa"/>
          </w:tcPr>
          <w:p w14:paraId="225E5B80"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4.78±1.650 </w:t>
            </w:r>
          </w:p>
        </w:tc>
        <w:tc>
          <w:tcPr>
            <w:tcW w:w="1180" w:type="dxa"/>
          </w:tcPr>
          <w:p w14:paraId="18E8F1F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1.98±1.650 </w:t>
            </w:r>
          </w:p>
        </w:tc>
      </w:tr>
      <w:tr w:rsidR="00AC1B7C" w:rsidRPr="00011C46" w14:paraId="15E4A4B6" w14:textId="77777777" w:rsidTr="00AC1B7C">
        <w:trPr>
          <w:trHeight w:val="70"/>
        </w:trPr>
        <w:tc>
          <w:tcPr>
            <w:tcW w:w="1693" w:type="dxa"/>
          </w:tcPr>
          <w:p w14:paraId="24BBB3BE"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8 </w:t>
            </w:r>
          </w:p>
        </w:tc>
        <w:tc>
          <w:tcPr>
            <w:tcW w:w="1243" w:type="dxa"/>
          </w:tcPr>
          <w:p w14:paraId="4FEB531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0.40±0.229 </w:t>
            </w:r>
          </w:p>
        </w:tc>
        <w:tc>
          <w:tcPr>
            <w:tcW w:w="1244" w:type="dxa"/>
          </w:tcPr>
          <w:p w14:paraId="11E0909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1.32±0.229 </w:t>
            </w:r>
          </w:p>
        </w:tc>
        <w:tc>
          <w:tcPr>
            <w:tcW w:w="1243" w:type="dxa"/>
          </w:tcPr>
          <w:p w14:paraId="6F180A3B"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0.90±0.229 </w:t>
            </w:r>
          </w:p>
        </w:tc>
        <w:tc>
          <w:tcPr>
            <w:tcW w:w="1362" w:type="dxa"/>
          </w:tcPr>
          <w:p w14:paraId="084D72A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6.42±0.696 </w:t>
            </w:r>
          </w:p>
        </w:tc>
        <w:tc>
          <w:tcPr>
            <w:tcW w:w="1353" w:type="dxa"/>
          </w:tcPr>
          <w:p w14:paraId="1E34E01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5.22±0.696 </w:t>
            </w:r>
          </w:p>
        </w:tc>
        <w:tc>
          <w:tcPr>
            <w:tcW w:w="1180" w:type="dxa"/>
          </w:tcPr>
          <w:p w14:paraId="6D84ACC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6.32±0.696 </w:t>
            </w:r>
          </w:p>
        </w:tc>
      </w:tr>
      <w:tr w:rsidR="00AC1B7C" w:rsidRPr="00011C46" w14:paraId="7D68E569" w14:textId="77777777" w:rsidTr="00AC1B7C">
        <w:trPr>
          <w:trHeight w:val="70"/>
        </w:trPr>
        <w:tc>
          <w:tcPr>
            <w:tcW w:w="1693" w:type="dxa"/>
          </w:tcPr>
          <w:p w14:paraId="7F8F94EF"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9 </w:t>
            </w:r>
          </w:p>
        </w:tc>
        <w:tc>
          <w:tcPr>
            <w:tcW w:w="1243" w:type="dxa"/>
          </w:tcPr>
          <w:p w14:paraId="4251853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0.40±0.346 </w:t>
            </w:r>
          </w:p>
        </w:tc>
        <w:tc>
          <w:tcPr>
            <w:tcW w:w="1244" w:type="dxa"/>
          </w:tcPr>
          <w:p w14:paraId="4C707A8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0.90±0.346 </w:t>
            </w:r>
          </w:p>
        </w:tc>
        <w:tc>
          <w:tcPr>
            <w:tcW w:w="1243" w:type="dxa"/>
          </w:tcPr>
          <w:p w14:paraId="1218737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1.50±0.346 </w:t>
            </w:r>
          </w:p>
        </w:tc>
        <w:tc>
          <w:tcPr>
            <w:tcW w:w="1362" w:type="dxa"/>
          </w:tcPr>
          <w:p w14:paraId="4F1181F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6.00±0.578 </w:t>
            </w:r>
          </w:p>
        </w:tc>
        <w:tc>
          <w:tcPr>
            <w:tcW w:w="1353" w:type="dxa"/>
          </w:tcPr>
          <w:p w14:paraId="6DB3478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5.00±0.578 </w:t>
            </w:r>
          </w:p>
        </w:tc>
        <w:tc>
          <w:tcPr>
            <w:tcW w:w="1180" w:type="dxa"/>
          </w:tcPr>
          <w:p w14:paraId="11CCEB3B"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5.28±0.578 </w:t>
            </w:r>
          </w:p>
        </w:tc>
      </w:tr>
      <w:tr w:rsidR="00AC1B7C" w:rsidRPr="00011C46" w14:paraId="2908CB23" w14:textId="77777777" w:rsidTr="00AC1B7C">
        <w:trPr>
          <w:trHeight w:val="70"/>
        </w:trPr>
        <w:tc>
          <w:tcPr>
            <w:tcW w:w="1693" w:type="dxa"/>
          </w:tcPr>
          <w:p w14:paraId="3C35E914"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10 </w:t>
            </w:r>
          </w:p>
        </w:tc>
        <w:tc>
          <w:tcPr>
            <w:tcW w:w="1243" w:type="dxa"/>
          </w:tcPr>
          <w:p w14:paraId="7B3B688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1.00±0.363 </w:t>
            </w:r>
          </w:p>
        </w:tc>
        <w:tc>
          <w:tcPr>
            <w:tcW w:w="1244" w:type="dxa"/>
          </w:tcPr>
          <w:p w14:paraId="3125C8BA"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0.87±0.363 </w:t>
            </w:r>
          </w:p>
        </w:tc>
        <w:tc>
          <w:tcPr>
            <w:tcW w:w="1243" w:type="dxa"/>
          </w:tcPr>
          <w:p w14:paraId="11925EB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1.60±0.363 </w:t>
            </w:r>
          </w:p>
        </w:tc>
        <w:tc>
          <w:tcPr>
            <w:tcW w:w="1362" w:type="dxa"/>
          </w:tcPr>
          <w:p w14:paraId="37484F7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6.12±0.664 </w:t>
            </w:r>
          </w:p>
        </w:tc>
        <w:tc>
          <w:tcPr>
            <w:tcW w:w="1353" w:type="dxa"/>
          </w:tcPr>
          <w:p w14:paraId="6C1DA940"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6.10±0.664 </w:t>
            </w:r>
          </w:p>
        </w:tc>
        <w:tc>
          <w:tcPr>
            <w:tcW w:w="1180" w:type="dxa"/>
          </w:tcPr>
          <w:p w14:paraId="48F2E35A"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4.99±0.664 </w:t>
            </w:r>
          </w:p>
        </w:tc>
      </w:tr>
      <w:tr w:rsidR="00AC1B7C" w:rsidRPr="00011C46" w14:paraId="2D503642" w14:textId="77777777" w:rsidTr="00AC1B7C">
        <w:trPr>
          <w:trHeight w:val="70"/>
        </w:trPr>
        <w:tc>
          <w:tcPr>
            <w:tcW w:w="1693" w:type="dxa"/>
          </w:tcPr>
          <w:p w14:paraId="5165D694"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11 </w:t>
            </w:r>
          </w:p>
        </w:tc>
        <w:tc>
          <w:tcPr>
            <w:tcW w:w="1243" w:type="dxa"/>
          </w:tcPr>
          <w:p w14:paraId="4AE5D5F0"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0.60±0.276 </w:t>
            </w:r>
          </w:p>
        </w:tc>
        <w:tc>
          <w:tcPr>
            <w:tcW w:w="1244" w:type="dxa"/>
          </w:tcPr>
          <w:p w14:paraId="6E4D40C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0.81±0.276 </w:t>
            </w:r>
          </w:p>
        </w:tc>
        <w:tc>
          <w:tcPr>
            <w:tcW w:w="1243" w:type="dxa"/>
          </w:tcPr>
          <w:p w14:paraId="24BB4EB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1.34±0.276 </w:t>
            </w:r>
          </w:p>
        </w:tc>
        <w:tc>
          <w:tcPr>
            <w:tcW w:w="1362" w:type="dxa"/>
          </w:tcPr>
          <w:p w14:paraId="40C87BE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4.28±1.810 </w:t>
            </w:r>
          </w:p>
        </w:tc>
        <w:tc>
          <w:tcPr>
            <w:tcW w:w="1353" w:type="dxa"/>
          </w:tcPr>
          <w:p w14:paraId="6646458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1.24±1.810 </w:t>
            </w:r>
          </w:p>
        </w:tc>
        <w:tc>
          <w:tcPr>
            <w:tcW w:w="1180" w:type="dxa"/>
          </w:tcPr>
          <w:p w14:paraId="30E71CF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1.99±1.810 </w:t>
            </w:r>
          </w:p>
        </w:tc>
      </w:tr>
      <w:tr w:rsidR="00AC1B7C" w:rsidRPr="00011C46" w14:paraId="05E62BA3" w14:textId="77777777" w:rsidTr="00AC1B7C">
        <w:trPr>
          <w:trHeight w:val="70"/>
        </w:trPr>
        <w:tc>
          <w:tcPr>
            <w:tcW w:w="1693" w:type="dxa"/>
          </w:tcPr>
          <w:p w14:paraId="793E50B9"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12 </w:t>
            </w:r>
          </w:p>
        </w:tc>
        <w:tc>
          <w:tcPr>
            <w:tcW w:w="1243" w:type="dxa"/>
          </w:tcPr>
          <w:p w14:paraId="66ABC5B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0.60±0.266 </w:t>
            </w:r>
          </w:p>
        </w:tc>
        <w:tc>
          <w:tcPr>
            <w:tcW w:w="1244" w:type="dxa"/>
          </w:tcPr>
          <w:p w14:paraId="66CDB94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1.33±0.266 </w:t>
            </w:r>
          </w:p>
        </w:tc>
        <w:tc>
          <w:tcPr>
            <w:tcW w:w="1243" w:type="dxa"/>
          </w:tcPr>
          <w:p w14:paraId="7D4AB06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0.89±0.266 </w:t>
            </w:r>
          </w:p>
        </w:tc>
        <w:tc>
          <w:tcPr>
            <w:tcW w:w="1362" w:type="dxa"/>
          </w:tcPr>
          <w:p w14:paraId="355EAC7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4.22±1.521 </w:t>
            </w:r>
          </w:p>
        </w:tc>
        <w:tc>
          <w:tcPr>
            <w:tcW w:w="1353" w:type="dxa"/>
          </w:tcPr>
          <w:p w14:paraId="0C0C63D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N/A </w:t>
            </w:r>
          </w:p>
        </w:tc>
        <w:tc>
          <w:tcPr>
            <w:tcW w:w="1180" w:type="dxa"/>
          </w:tcPr>
          <w:p w14:paraId="525E476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2.98±1.521 </w:t>
            </w:r>
          </w:p>
        </w:tc>
      </w:tr>
    </w:tbl>
    <w:p w14:paraId="6ADE815B" w14:textId="77777777" w:rsidR="00F617BA" w:rsidRDefault="00F617BA" w:rsidP="006E66EB">
      <w:pPr>
        <w:spacing w:after="120"/>
        <w:jc w:val="both"/>
        <w:rPr>
          <w:rFonts w:ascii="Times New Roman" w:hAnsi="Times New Roman" w:cs="Times New Roman"/>
        </w:rPr>
      </w:pPr>
    </w:p>
    <w:p w14:paraId="217E3C95" w14:textId="58D5043D" w:rsidR="006E66EB" w:rsidRPr="0040103D" w:rsidRDefault="006E66EB" w:rsidP="0040103D">
      <w:pPr>
        <w:pStyle w:val="NormalWeb"/>
        <w:spacing w:before="0" w:beforeAutospacing="0" w:after="120" w:afterAutospacing="0"/>
        <w:jc w:val="both"/>
        <w:rPr>
          <w:sz w:val="22"/>
        </w:rPr>
      </w:pPr>
      <w:r w:rsidRPr="0040103D">
        <w:rPr>
          <w:sz w:val="22"/>
        </w:rPr>
        <w:lastRenderedPageBreak/>
        <w:t>Table 4 shows the biochemical oxygen demand levels across wet and dry seasons</w:t>
      </w:r>
      <w:r w:rsidR="006A190C">
        <w:rPr>
          <w:sz w:val="22"/>
        </w:rPr>
        <w:t xml:space="preserve"> and it is visualized in Figure 3</w:t>
      </w:r>
      <w:r w:rsidRPr="0040103D">
        <w:rPr>
          <w:sz w:val="22"/>
        </w:rPr>
        <w:t>. During the wet season, BOD values were generally low, mostly below 2 mg/L across all sampling points. These low values indicate minimal biodegradable organic matter in the borehole water, reflecting relatively good water quality during the rainy period.</w:t>
      </w:r>
    </w:p>
    <w:p w14:paraId="02E6F028" w14:textId="77777777" w:rsidR="006E66EB" w:rsidRPr="0040103D" w:rsidRDefault="006E66EB" w:rsidP="0040103D">
      <w:pPr>
        <w:pStyle w:val="NormalWeb"/>
        <w:spacing w:before="0" w:beforeAutospacing="0" w:after="120" w:afterAutospacing="0"/>
        <w:jc w:val="both"/>
        <w:rPr>
          <w:sz w:val="22"/>
        </w:rPr>
      </w:pPr>
      <w:r w:rsidRPr="0040103D">
        <w:rPr>
          <w:sz w:val="22"/>
        </w:rPr>
        <w:t>However, during the dry season, BOD values increased noticeably, with most samples recording values between 4.2 and 6.5 mg/L. The elevated BOD during the dry season suggests an increase in biodegradable organic load, possibly due to reduced dilution, accumulation of organic wastes, and increased anthropogenic activities such as improper waste disposal and sewage infiltration.</w:t>
      </w:r>
    </w:p>
    <w:p w14:paraId="7097E1B4" w14:textId="61307540" w:rsidR="006E66EB" w:rsidRDefault="006E66EB" w:rsidP="0040103D">
      <w:pPr>
        <w:pStyle w:val="NormalWeb"/>
        <w:spacing w:before="0" w:beforeAutospacing="0" w:after="120" w:afterAutospacing="0"/>
        <w:jc w:val="both"/>
        <w:rPr>
          <w:sz w:val="22"/>
        </w:rPr>
      </w:pPr>
      <w:r w:rsidRPr="0040103D">
        <w:rPr>
          <w:sz w:val="22"/>
        </w:rPr>
        <w:t>Although the dry-season BOD values indicate a moderate level of organic pollution, they still fall within acceptable limits for drinking water. Nonetheless, the seasonal increase highlights the vulnerability of groundwater quality during periods of low recharge.</w:t>
      </w:r>
      <w:r w:rsidR="0010533B">
        <w:rPr>
          <w:sz w:val="22"/>
        </w:rPr>
        <w:t xml:space="preserve"> </w:t>
      </w:r>
    </w:p>
    <w:p w14:paraId="2EF1308B" w14:textId="77777777" w:rsidR="00D91A38" w:rsidRPr="00740BD2" w:rsidRDefault="00D91A38" w:rsidP="00D91A38">
      <w:pPr>
        <w:spacing w:after="0" w:line="240" w:lineRule="auto"/>
        <w:jc w:val="center"/>
        <w:rPr>
          <w:rFonts w:ascii="Times New Roman" w:hAnsi="Times New Roman" w:cs="Times New Roman"/>
          <w:sz w:val="24"/>
          <w:szCs w:val="24"/>
        </w:rPr>
      </w:pPr>
      <w:r w:rsidRPr="00740BD2">
        <w:rPr>
          <w:rFonts w:ascii="Times New Roman" w:hAnsi="Times New Roman" w:cs="Times New Roman"/>
          <w:noProof/>
          <w:sz w:val="24"/>
          <w:szCs w:val="24"/>
        </w:rPr>
        <w:drawing>
          <wp:inline distT="0" distB="0" distL="0" distR="0" wp14:anchorId="2DDF6A1F" wp14:editId="5AB8983C">
            <wp:extent cx="4142232" cy="2798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232" cy="2798064"/>
                    </a:xfrm>
                    <a:prstGeom prst="rect">
                      <a:avLst/>
                    </a:prstGeom>
                    <a:noFill/>
                    <a:ln>
                      <a:noFill/>
                    </a:ln>
                  </pic:spPr>
                </pic:pic>
              </a:graphicData>
            </a:graphic>
          </wp:inline>
        </w:drawing>
      </w:r>
    </w:p>
    <w:p w14:paraId="0EA36F4A" w14:textId="560D63C0" w:rsidR="00D91A38" w:rsidRPr="00D91A38" w:rsidRDefault="00D91A38" w:rsidP="00D91A38">
      <w:pPr>
        <w:pStyle w:val="NormalWeb"/>
        <w:spacing w:before="0" w:beforeAutospacing="0" w:after="120" w:afterAutospacing="0"/>
        <w:jc w:val="center"/>
        <w:rPr>
          <w:b/>
          <w:sz w:val="22"/>
        </w:rPr>
      </w:pPr>
      <w:r w:rsidRPr="00D91A38">
        <w:rPr>
          <w:b/>
          <w:sz w:val="22"/>
        </w:rPr>
        <w:t>Figure 3. Biochemical Oxygen Demand in Borehole Water Samples</w:t>
      </w:r>
    </w:p>
    <w:p w14:paraId="0DBAB8EC" w14:textId="77777777" w:rsidR="001D5843" w:rsidRPr="00F84C63" w:rsidRDefault="006E66EB" w:rsidP="006E66EB">
      <w:pPr>
        <w:spacing w:after="120"/>
        <w:jc w:val="both"/>
        <w:rPr>
          <w:rFonts w:ascii="Times New Roman" w:hAnsi="Times New Roman" w:cs="Times New Roman"/>
          <w:b/>
        </w:rPr>
      </w:pPr>
      <w:r w:rsidRPr="00F84C63">
        <w:rPr>
          <w:rFonts w:ascii="Times New Roman" w:hAnsi="Times New Roman" w:cs="Times New Roman"/>
          <w:b/>
        </w:rPr>
        <w:t>Table 5. Assessment and Seasonal Variations in Chemical Oxygen Demand</w:t>
      </w:r>
    </w:p>
    <w:tbl>
      <w:tblPr>
        <w:tblStyle w:val="TableGrid"/>
        <w:tblW w:w="93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1342"/>
        <w:gridCol w:w="1246"/>
        <w:gridCol w:w="1343"/>
        <w:gridCol w:w="1249"/>
        <w:gridCol w:w="1249"/>
        <w:gridCol w:w="1390"/>
      </w:tblGrid>
      <w:tr w:rsidR="005556B4" w14:paraId="19851BAF" w14:textId="77777777" w:rsidTr="00324CAD">
        <w:trPr>
          <w:trHeight w:val="70"/>
        </w:trPr>
        <w:tc>
          <w:tcPr>
            <w:tcW w:w="1518" w:type="dxa"/>
            <w:tcBorders>
              <w:top w:val="single" w:sz="4" w:space="0" w:color="auto"/>
              <w:bottom w:val="single" w:sz="4" w:space="0" w:color="auto"/>
            </w:tcBorders>
          </w:tcPr>
          <w:p w14:paraId="4F54E9F5" w14:textId="77777777" w:rsidR="005556B4" w:rsidRPr="005556B4" w:rsidRDefault="005556B4" w:rsidP="005556B4">
            <w:pPr>
              <w:ind w:left="122"/>
              <w:jc w:val="both"/>
              <w:rPr>
                <w:rFonts w:ascii="Times New Roman" w:hAnsi="Times New Roman" w:cs="Times New Roman"/>
                <w:b/>
                <w:sz w:val="18"/>
                <w:szCs w:val="18"/>
              </w:rPr>
            </w:pPr>
            <w:r w:rsidRPr="005556B4">
              <w:rPr>
                <w:rFonts w:ascii="Times New Roman" w:hAnsi="Times New Roman" w:cs="Times New Roman"/>
                <w:b/>
                <w:sz w:val="18"/>
                <w:szCs w:val="18"/>
              </w:rPr>
              <w:t>COD (mg/L)</w:t>
            </w:r>
          </w:p>
        </w:tc>
        <w:tc>
          <w:tcPr>
            <w:tcW w:w="3931" w:type="dxa"/>
            <w:gridSpan w:val="3"/>
            <w:tcBorders>
              <w:top w:val="single" w:sz="4" w:space="0" w:color="auto"/>
              <w:bottom w:val="single" w:sz="4" w:space="0" w:color="auto"/>
            </w:tcBorders>
          </w:tcPr>
          <w:p w14:paraId="07A04D00" w14:textId="77777777" w:rsidR="005556B4" w:rsidRPr="005556B4" w:rsidRDefault="005556B4" w:rsidP="005556B4">
            <w:pPr>
              <w:jc w:val="center"/>
              <w:rPr>
                <w:rFonts w:ascii="Times New Roman" w:hAnsi="Times New Roman" w:cs="Times New Roman"/>
                <w:b/>
                <w:sz w:val="18"/>
                <w:szCs w:val="18"/>
              </w:rPr>
            </w:pPr>
            <w:r w:rsidRPr="005556B4">
              <w:rPr>
                <w:rFonts w:ascii="Times New Roman" w:hAnsi="Times New Roman" w:cs="Times New Roman"/>
                <w:b/>
                <w:sz w:val="18"/>
                <w:szCs w:val="18"/>
              </w:rPr>
              <w:t>Wet Season</w:t>
            </w:r>
          </w:p>
        </w:tc>
        <w:tc>
          <w:tcPr>
            <w:tcW w:w="3888" w:type="dxa"/>
            <w:gridSpan w:val="3"/>
            <w:tcBorders>
              <w:top w:val="single" w:sz="4" w:space="0" w:color="auto"/>
              <w:bottom w:val="single" w:sz="4" w:space="0" w:color="auto"/>
            </w:tcBorders>
          </w:tcPr>
          <w:p w14:paraId="2BB6A92E" w14:textId="77777777" w:rsidR="005556B4" w:rsidRPr="005556B4" w:rsidRDefault="005556B4" w:rsidP="005556B4">
            <w:pPr>
              <w:jc w:val="center"/>
              <w:rPr>
                <w:rFonts w:ascii="Times New Roman" w:hAnsi="Times New Roman" w:cs="Times New Roman"/>
                <w:b/>
                <w:sz w:val="18"/>
                <w:szCs w:val="18"/>
              </w:rPr>
            </w:pPr>
            <w:r w:rsidRPr="005556B4">
              <w:rPr>
                <w:rFonts w:ascii="Times New Roman" w:hAnsi="Times New Roman" w:cs="Times New Roman"/>
                <w:b/>
                <w:sz w:val="18"/>
                <w:szCs w:val="18"/>
              </w:rPr>
              <w:t>Dry Season</w:t>
            </w:r>
          </w:p>
        </w:tc>
      </w:tr>
      <w:tr w:rsidR="005556B4" w14:paraId="41AFD754" w14:textId="77777777" w:rsidTr="00324CAD">
        <w:trPr>
          <w:trHeight w:val="70"/>
        </w:trPr>
        <w:tc>
          <w:tcPr>
            <w:tcW w:w="1518" w:type="dxa"/>
            <w:tcBorders>
              <w:top w:val="single" w:sz="4" w:space="0" w:color="auto"/>
              <w:bottom w:val="single" w:sz="4" w:space="0" w:color="auto"/>
            </w:tcBorders>
          </w:tcPr>
          <w:p w14:paraId="2283D77A" w14:textId="77777777" w:rsidR="005556B4" w:rsidRPr="005556B4" w:rsidRDefault="005556B4" w:rsidP="005556B4">
            <w:pPr>
              <w:ind w:left="122"/>
              <w:jc w:val="both"/>
              <w:rPr>
                <w:rFonts w:ascii="Times New Roman" w:hAnsi="Times New Roman" w:cs="Times New Roman"/>
                <w:b/>
                <w:sz w:val="18"/>
                <w:szCs w:val="18"/>
              </w:rPr>
            </w:pPr>
            <w:r w:rsidRPr="005556B4">
              <w:rPr>
                <w:rFonts w:ascii="Times New Roman" w:hAnsi="Times New Roman" w:cs="Times New Roman"/>
                <w:b/>
                <w:sz w:val="18"/>
                <w:szCs w:val="18"/>
              </w:rPr>
              <w:t xml:space="preserve">Sample </w:t>
            </w:r>
          </w:p>
        </w:tc>
        <w:tc>
          <w:tcPr>
            <w:tcW w:w="1342" w:type="dxa"/>
            <w:tcBorders>
              <w:top w:val="single" w:sz="4" w:space="0" w:color="auto"/>
              <w:bottom w:val="single" w:sz="4" w:space="0" w:color="auto"/>
            </w:tcBorders>
          </w:tcPr>
          <w:p w14:paraId="36EE2110"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June </w:t>
            </w:r>
          </w:p>
        </w:tc>
        <w:tc>
          <w:tcPr>
            <w:tcW w:w="1246" w:type="dxa"/>
            <w:tcBorders>
              <w:top w:val="single" w:sz="4" w:space="0" w:color="auto"/>
              <w:bottom w:val="single" w:sz="4" w:space="0" w:color="auto"/>
            </w:tcBorders>
          </w:tcPr>
          <w:p w14:paraId="68773010"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July </w:t>
            </w:r>
          </w:p>
        </w:tc>
        <w:tc>
          <w:tcPr>
            <w:tcW w:w="1341" w:type="dxa"/>
            <w:tcBorders>
              <w:top w:val="single" w:sz="4" w:space="0" w:color="auto"/>
              <w:bottom w:val="single" w:sz="4" w:space="0" w:color="auto"/>
            </w:tcBorders>
          </w:tcPr>
          <w:p w14:paraId="3F7BBA11"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August </w:t>
            </w:r>
          </w:p>
        </w:tc>
        <w:tc>
          <w:tcPr>
            <w:tcW w:w="1249" w:type="dxa"/>
            <w:tcBorders>
              <w:top w:val="single" w:sz="4" w:space="0" w:color="auto"/>
              <w:bottom w:val="single" w:sz="4" w:space="0" w:color="auto"/>
            </w:tcBorders>
          </w:tcPr>
          <w:p w14:paraId="089DF95E"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November </w:t>
            </w:r>
          </w:p>
        </w:tc>
        <w:tc>
          <w:tcPr>
            <w:tcW w:w="1249" w:type="dxa"/>
            <w:tcBorders>
              <w:top w:val="single" w:sz="4" w:space="0" w:color="auto"/>
              <w:bottom w:val="single" w:sz="4" w:space="0" w:color="auto"/>
            </w:tcBorders>
          </w:tcPr>
          <w:p w14:paraId="2F7440CC"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December </w:t>
            </w:r>
          </w:p>
        </w:tc>
        <w:tc>
          <w:tcPr>
            <w:tcW w:w="1388" w:type="dxa"/>
            <w:tcBorders>
              <w:top w:val="single" w:sz="4" w:space="0" w:color="auto"/>
              <w:bottom w:val="single" w:sz="4" w:space="0" w:color="auto"/>
            </w:tcBorders>
          </w:tcPr>
          <w:p w14:paraId="19E6AE0D"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January </w:t>
            </w:r>
          </w:p>
        </w:tc>
      </w:tr>
      <w:tr w:rsidR="001D5843" w14:paraId="2A93EFA4" w14:textId="77777777" w:rsidTr="00324CAD">
        <w:trPr>
          <w:trHeight w:val="70"/>
        </w:trPr>
        <w:tc>
          <w:tcPr>
            <w:tcW w:w="1518" w:type="dxa"/>
            <w:tcBorders>
              <w:top w:val="single" w:sz="4" w:space="0" w:color="auto"/>
              <w:bottom w:val="nil"/>
            </w:tcBorders>
          </w:tcPr>
          <w:p w14:paraId="11E48A9C"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 </w:t>
            </w:r>
          </w:p>
        </w:tc>
        <w:tc>
          <w:tcPr>
            <w:tcW w:w="1342" w:type="dxa"/>
            <w:tcBorders>
              <w:top w:val="single" w:sz="4" w:space="0" w:color="auto"/>
              <w:bottom w:val="nil"/>
            </w:tcBorders>
          </w:tcPr>
          <w:p w14:paraId="07A6350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5.10±1.847 </w:t>
            </w:r>
          </w:p>
        </w:tc>
        <w:tc>
          <w:tcPr>
            <w:tcW w:w="1246" w:type="dxa"/>
            <w:tcBorders>
              <w:top w:val="single" w:sz="4" w:space="0" w:color="auto"/>
              <w:bottom w:val="nil"/>
            </w:tcBorders>
          </w:tcPr>
          <w:p w14:paraId="0E4D036B"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4.56±1.847 </w:t>
            </w:r>
          </w:p>
        </w:tc>
        <w:tc>
          <w:tcPr>
            <w:tcW w:w="1341" w:type="dxa"/>
            <w:tcBorders>
              <w:top w:val="single" w:sz="4" w:space="0" w:color="auto"/>
              <w:bottom w:val="nil"/>
            </w:tcBorders>
          </w:tcPr>
          <w:p w14:paraId="3B88EA5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8.01±1.847 </w:t>
            </w:r>
          </w:p>
        </w:tc>
        <w:tc>
          <w:tcPr>
            <w:tcW w:w="1249" w:type="dxa"/>
            <w:tcBorders>
              <w:top w:val="single" w:sz="4" w:space="0" w:color="auto"/>
              <w:bottom w:val="nil"/>
            </w:tcBorders>
          </w:tcPr>
          <w:p w14:paraId="0E93474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7.55±1.752 </w:t>
            </w:r>
          </w:p>
        </w:tc>
        <w:tc>
          <w:tcPr>
            <w:tcW w:w="1249" w:type="dxa"/>
            <w:tcBorders>
              <w:top w:val="single" w:sz="4" w:space="0" w:color="auto"/>
              <w:bottom w:val="nil"/>
            </w:tcBorders>
          </w:tcPr>
          <w:p w14:paraId="43232F3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4.87±1.752 </w:t>
            </w:r>
          </w:p>
        </w:tc>
        <w:tc>
          <w:tcPr>
            <w:tcW w:w="1388" w:type="dxa"/>
            <w:tcBorders>
              <w:top w:val="single" w:sz="4" w:space="0" w:color="auto"/>
              <w:bottom w:val="nil"/>
            </w:tcBorders>
          </w:tcPr>
          <w:p w14:paraId="37D6129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4.00±1.752 </w:t>
            </w:r>
          </w:p>
        </w:tc>
      </w:tr>
      <w:tr w:rsidR="001D5843" w14:paraId="11A2828D" w14:textId="77777777" w:rsidTr="00324CAD">
        <w:trPr>
          <w:trHeight w:val="70"/>
        </w:trPr>
        <w:tc>
          <w:tcPr>
            <w:tcW w:w="1518" w:type="dxa"/>
            <w:tcBorders>
              <w:top w:val="nil"/>
            </w:tcBorders>
          </w:tcPr>
          <w:p w14:paraId="085D36AE"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2 </w:t>
            </w:r>
          </w:p>
        </w:tc>
        <w:tc>
          <w:tcPr>
            <w:tcW w:w="1342" w:type="dxa"/>
            <w:tcBorders>
              <w:top w:val="nil"/>
            </w:tcBorders>
          </w:tcPr>
          <w:p w14:paraId="7B076B5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3.16±2.678 </w:t>
            </w:r>
          </w:p>
        </w:tc>
        <w:tc>
          <w:tcPr>
            <w:tcW w:w="1246" w:type="dxa"/>
            <w:tcBorders>
              <w:top w:val="nil"/>
            </w:tcBorders>
          </w:tcPr>
          <w:p w14:paraId="66AE5A1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3.96±2.678 </w:t>
            </w:r>
          </w:p>
        </w:tc>
        <w:tc>
          <w:tcPr>
            <w:tcW w:w="1341" w:type="dxa"/>
            <w:tcBorders>
              <w:top w:val="nil"/>
            </w:tcBorders>
          </w:tcPr>
          <w:p w14:paraId="49C35B68"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8.05±2.678 </w:t>
            </w:r>
          </w:p>
        </w:tc>
        <w:tc>
          <w:tcPr>
            <w:tcW w:w="1249" w:type="dxa"/>
            <w:tcBorders>
              <w:top w:val="nil"/>
            </w:tcBorders>
          </w:tcPr>
          <w:p w14:paraId="669674F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6.21±2.051 </w:t>
            </w:r>
          </w:p>
        </w:tc>
        <w:tc>
          <w:tcPr>
            <w:tcW w:w="1249" w:type="dxa"/>
            <w:tcBorders>
              <w:top w:val="nil"/>
            </w:tcBorders>
          </w:tcPr>
          <w:p w14:paraId="35119C1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1.38±2.051 </w:t>
            </w:r>
          </w:p>
        </w:tc>
        <w:tc>
          <w:tcPr>
            <w:tcW w:w="1388" w:type="dxa"/>
            <w:tcBorders>
              <w:top w:val="nil"/>
            </w:tcBorders>
          </w:tcPr>
          <w:p w14:paraId="7F9EFED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4.01±2.051 </w:t>
            </w:r>
          </w:p>
        </w:tc>
      </w:tr>
      <w:tr w:rsidR="001D5843" w14:paraId="7AB43011" w14:textId="77777777" w:rsidTr="00324CAD">
        <w:trPr>
          <w:trHeight w:val="70"/>
        </w:trPr>
        <w:tc>
          <w:tcPr>
            <w:tcW w:w="1518" w:type="dxa"/>
          </w:tcPr>
          <w:p w14:paraId="227720FC"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3 </w:t>
            </w:r>
          </w:p>
        </w:tc>
        <w:tc>
          <w:tcPr>
            <w:tcW w:w="1342" w:type="dxa"/>
          </w:tcPr>
          <w:p w14:paraId="4F391B2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10.11±3.629 </w:t>
            </w:r>
          </w:p>
        </w:tc>
        <w:tc>
          <w:tcPr>
            <w:tcW w:w="1246" w:type="dxa"/>
          </w:tcPr>
          <w:p w14:paraId="5CD32BB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3.19±3.629 </w:t>
            </w:r>
          </w:p>
        </w:tc>
        <w:tc>
          <w:tcPr>
            <w:tcW w:w="1341" w:type="dxa"/>
          </w:tcPr>
          <w:p w14:paraId="2C41CE9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7.26±3.629 </w:t>
            </w:r>
          </w:p>
        </w:tc>
        <w:tc>
          <w:tcPr>
            <w:tcW w:w="1249" w:type="dxa"/>
          </w:tcPr>
          <w:p w14:paraId="739E99D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9.07±2.869 </w:t>
            </w:r>
          </w:p>
        </w:tc>
        <w:tc>
          <w:tcPr>
            <w:tcW w:w="1249" w:type="dxa"/>
          </w:tcPr>
          <w:p w14:paraId="2681C9E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3.45±2.869 </w:t>
            </w:r>
          </w:p>
        </w:tc>
        <w:tc>
          <w:tcPr>
            <w:tcW w:w="1388" w:type="dxa"/>
          </w:tcPr>
          <w:p w14:paraId="5C2B0D9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4.71±2.869 </w:t>
            </w:r>
          </w:p>
        </w:tc>
      </w:tr>
      <w:tr w:rsidR="001D5843" w14:paraId="74DF8AD8" w14:textId="77777777" w:rsidTr="00324CAD">
        <w:trPr>
          <w:trHeight w:val="70"/>
        </w:trPr>
        <w:tc>
          <w:tcPr>
            <w:tcW w:w="1518" w:type="dxa"/>
          </w:tcPr>
          <w:p w14:paraId="6DA4E573"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4 </w:t>
            </w:r>
          </w:p>
        </w:tc>
        <w:tc>
          <w:tcPr>
            <w:tcW w:w="1342" w:type="dxa"/>
          </w:tcPr>
          <w:p w14:paraId="6A034E8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10.56±3.321 </w:t>
            </w:r>
          </w:p>
        </w:tc>
        <w:tc>
          <w:tcPr>
            <w:tcW w:w="1246" w:type="dxa"/>
          </w:tcPr>
          <w:p w14:paraId="1BE99F7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4.13±3.321 </w:t>
            </w:r>
          </w:p>
        </w:tc>
        <w:tc>
          <w:tcPr>
            <w:tcW w:w="1341" w:type="dxa"/>
          </w:tcPr>
          <w:p w14:paraId="6C965D3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6.84±3.321 </w:t>
            </w:r>
          </w:p>
        </w:tc>
        <w:tc>
          <w:tcPr>
            <w:tcW w:w="1249" w:type="dxa"/>
          </w:tcPr>
          <w:p w14:paraId="5F82AC12"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3.18±1.584 </w:t>
            </w:r>
          </w:p>
        </w:tc>
        <w:tc>
          <w:tcPr>
            <w:tcW w:w="1249" w:type="dxa"/>
          </w:tcPr>
          <w:p w14:paraId="3310051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6.11±1.584 </w:t>
            </w:r>
          </w:p>
        </w:tc>
        <w:tc>
          <w:tcPr>
            <w:tcW w:w="1388" w:type="dxa"/>
          </w:tcPr>
          <w:p w14:paraId="089FC89B"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5.14±1.584 </w:t>
            </w:r>
          </w:p>
        </w:tc>
      </w:tr>
      <w:tr w:rsidR="001D5843" w14:paraId="27313017" w14:textId="77777777" w:rsidTr="00324CAD">
        <w:trPr>
          <w:trHeight w:val="70"/>
        </w:trPr>
        <w:tc>
          <w:tcPr>
            <w:tcW w:w="1518" w:type="dxa"/>
          </w:tcPr>
          <w:p w14:paraId="3EDE6493"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5 </w:t>
            </w:r>
          </w:p>
        </w:tc>
        <w:tc>
          <w:tcPr>
            <w:tcW w:w="1342" w:type="dxa"/>
          </w:tcPr>
          <w:p w14:paraId="74C528A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7.26±2.364 </w:t>
            </w:r>
          </w:p>
        </w:tc>
        <w:tc>
          <w:tcPr>
            <w:tcW w:w="1246" w:type="dxa"/>
          </w:tcPr>
          <w:p w14:paraId="4AB572EC"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3.00±2.364 </w:t>
            </w:r>
          </w:p>
        </w:tc>
        <w:tc>
          <w:tcPr>
            <w:tcW w:w="1341" w:type="dxa"/>
          </w:tcPr>
          <w:p w14:paraId="2E06A31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7.00±2.364 </w:t>
            </w:r>
          </w:p>
        </w:tc>
        <w:tc>
          <w:tcPr>
            <w:tcW w:w="1249" w:type="dxa"/>
          </w:tcPr>
          <w:p w14:paraId="4FAAD37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5.96±2.592 </w:t>
            </w:r>
          </w:p>
        </w:tc>
        <w:tc>
          <w:tcPr>
            <w:tcW w:w="1249" w:type="dxa"/>
          </w:tcPr>
          <w:p w14:paraId="6780361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7.66±2.592 </w:t>
            </w:r>
          </w:p>
        </w:tc>
        <w:tc>
          <w:tcPr>
            <w:tcW w:w="1388" w:type="dxa"/>
          </w:tcPr>
          <w:p w14:paraId="3CA87F8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1.69±2.592 </w:t>
            </w:r>
          </w:p>
        </w:tc>
      </w:tr>
      <w:tr w:rsidR="001D5843" w14:paraId="00FA3E96" w14:textId="77777777" w:rsidTr="00324CAD">
        <w:trPr>
          <w:trHeight w:val="70"/>
        </w:trPr>
        <w:tc>
          <w:tcPr>
            <w:tcW w:w="1518" w:type="dxa"/>
          </w:tcPr>
          <w:p w14:paraId="250EB83A"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6 </w:t>
            </w:r>
          </w:p>
        </w:tc>
        <w:tc>
          <w:tcPr>
            <w:tcW w:w="1342" w:type="dxa"/>
          </w:tcPr>
          <w:p w14:paraId="40BE42B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7.86±1.110 </w:t>
            </w:r>
          </w:p>
        </w:tc>
        <w:tc>
          <w:tcPr>
            <w:tcW w:w="1246" w:type="dxa"/>
          </w:tcPr>
          <w:p w14:paraId="5E114DE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5.25±1.110 </w:t>
            </w:r>
          </w:p>
        </w:tc>
        <w:tc>
          <w:tcPr>
            <w:tcW w:w="1341" w:type="dxa"/>
          </w:tcPr>
          <w:p w14:paraId="58E75DD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7.45±1.110 </w:t>
            </w:r>
          </w:p>
        </w:tc>
        <w:tc>
          <w:tcPr>
            <w:tcW w:w="1249" w:type="dxa"/>
          </w:tcPr>
          <w:p w14:paraId="3F077AF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2.81±1.598 </w:t>
            </w:r>
          </w:p>
        </w:tc>
        <w:tc>
          <w:tcPr>
            <w:tcW w:w="1249" w:type="dxa"/>
          </w:tcPr>
          <w:p w14:paraId="1D050D4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5.76±1.598 </w:t>
            </w:r>
          </w:p>
        </w:tc>
        <w:tc>
          <w:tcPr>
            <w:tcW w:w="1388" w:type="dxa"/>
          </w:tcPr>
          <w:p w14:paraId="65DA40F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2.65±1.598 </w:t>
            </w:r>
          </w:p>
        </w:tc>
      </w:tr>
      <w:tr w:rsidR="001D5843" w14:paraId="175FB0BC" w14:textId="77777777" w:rsidTr="00324CAD">
        <w:trPr>
          <w:trHeight w:val="70"/>
        </w:trPr>
        <w:tc>
          <w:tcPr>
            <w:tcW w:w="1518" w:type="dxa"/>
          </w:tcPr>
          <w:p w14:paraId="1B3FBC96"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7 </w:t>
            </w:r>
          </w:p>
        </w:tc>
        <w:tc>
          <w:tcPr>
            <w:tcW w:w="1342" w:type="dxa"/>
          </w:tcPr>
          <w:p w14:paraId="773293E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0.46±4.573 </w:t>
            </w:r>
          </w:p>
        </w:tc>
        <w:tc>
          <w:tcPr>
            <w:tcW w:w="1246" w:type="dxa"/>
          </w:tcPr>
          <w:p w14:paraId="6A608F8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5.11±4.573 </w:t>
            </w:r>
          </w:p>
        </w:tc>
        <w:tc>
          <w:tcPr>
            <w:tcW w:w="1341" w:type="dxa"/>
          </w:tcPr>
          <w:p w14:paraId="156EC2F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9.10±4.573 </w:t>
            </w:r>
          </w:p>
        </w:tc>
        <w:tc>
          <w:tcPr>
            <w:tcW w:w="1249" w:type="dxa"/>
          </w:tcPr>
          <w:p w14:paraId="5539B1C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4.06±2.456 </w:t>
            </w:r>
          </w:p>
        </w:tc>
        <w:tc>
          <w:tcPr>
            <w:tcW w:w="1249" w:type="dxa"/>
          </w:tcPr>
          <w:p w14:paraId="21650BE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6.18±2.456 </w:t>
            </w:r>
          </w:p>
        </w:tc>
        <w:tc>
          <w:tcPr>
            <w:tcW w:w="1388" w:type="dxa"/>
          </w:tcPr>
          <w:p w14:paraId="3C86B878"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1.36±2.456 </w:t>
            </w:r>
          </w:p>
        </w:tc>
      </w:tr>
      <w:tr w:rsidR="001D5843" w14:paraId="481AFE56" w14:textId="77777777" w:rsidTr="00324CAD">
        <w:trPr>
          <w:trHeight w:val="70"/>
        </w:trPr>
        <w:tc>
          <w:tcPr>
            <w:tcW w:w="1518" w:type="dxa"/>
          </w:tcPr>
          <w:p w14:paraId="4D0BC74E"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8 </w:t>
            </w:r>
          </w:p>
        </w:tc>
        <w:tc>
          <w:tcPr>
            <w:tcW w:w="1342" w:type="dxa"/>
          </w:tcPr>
          <w:p w14:paraId="57E9DF3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1.76±5.436 </w:t>
            </w:r>
          </w:p>
        </w:tc>
        <w:tc>
          <w:tcPr>
            <w:tcW w:w="1246" w:type="dxa"/>
          </w:tcPr>
          <w:p w14:paraId="42251FB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5.01±5.436 </w:t>
            </w:r>
          </w:p>
        </w:tc>
        <w:tc>
          <w:tcPr>
            <w:tcW w:w="1341" w:type="dxa"/>
          </w:tcPr>
          <w:p w14:paraId="253D938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14.01±5.436 </w:t>
            </w:r>
          </w:p>
        </w:tc>
        <w:tc>
          <w:tcPr>
            <w:tcW w:w="1249" w:type="dxa"/>
          </w:tcPr>
          <w:p w14:paraId="465288A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4.89±2.238 </w:t>
            </w:r>
          </w:p>
        </w:tc>
        <w:tc>
          <w:tcPr>
            <w:tcW w:w="1249" w:type="dxa"/>
          </w:tcPr>
          <w:p w14:paraId="67512EE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7.65±2.238 </w:t>
            </w:r>
          </w:p>
        </w:tc>
        <w:tc>
          <w:tcPr>
            <w:tcW w:w="1388" w:type="dxa"/>
          </w:tcPr>
          <w:p w14:paraId="3080612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3.31±2.238 </w:t>
            </w:r>
          </w:p>
        </w:tc>
      </w:tr>
      <w:tr w:rsidR="001D5843" w14:paraId="01648610" w14:textId="77777777" w:rsidTr="00324CAD">
        <w:trPr>
          <w:trHeight w:val="70"/>
        </w:trPr>
        <w:tc>
          <w:tcPr>
            <w:tcW w:w="1518" w:type="dxa"/>
          </w:tcPr>
          <w:p w14:paraId="4E9C10CB"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9 </w:t>
            </w:r>
          </w:p>
        </w:tc>
        <w:tc>
          <w:tcPr>
            <w:tcW w:w="1342" w:type="dxa"/>
          </w:tcPr>
          <w:p w14:paraId="543D16A2"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2.95±3.089 </w:t>
            </w:r>
          </w:p>
        </w:tc>
        <w:tc>
          <w:tcPr>
            <w:tcW w:w="1246" w:type="dxa"/>
          </w:tcPr>
          <w:p w14:paraId="469A2B5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4.25±3.089 </w:t>
            </w:r>
          </w:p>
        </w:tc>
        <w:tc>
          <w:tcPr>
            <w:tcW w:w="1341" w:type="dxa"/>
          </w:tcPr>
          <w:p w14:paraId="237E081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10.00±3.089 </w:t>
            </w:r>
          </w:p>
        </w:tc>
        <w:tc>
          <w:tcPr>
            <w:tcW w:w="1249" w:type="dxa"/>
          </w:tcPr>
          <w:p w14:paraId="350A3A5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2.38±2.902 </w:t>
            </w:r>
          </w:p>
        </w:tc>
        <w:tc>
          <w:tcPr>
            <w:tcW w:w="1249" w:type="dxa"/>
          </w:tcPr>
          <w:p w14:paraId="646E0F5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8.10±2.902 </w:t>
            </w:r>
          </w:p>
        </w:tc>
        <w:tc>
          <w:tcPr>
            <w:tcW w:w="1388" w:type="dxa"/>
          </w:tcPr>
          <w:p w14:paraId="6D4EC18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4.25±2.902 </w:t>
            </w:r>
          </w:p>
        </w:tc>
      </w:tr>
      <w:tr w:rsidR="001D5843" w14:paraId="062F8405" w14:textId="77777777" w:rsidTr="00324CAD">
        <w:trPr>
          <w:trHeight w:val="70"/>
        </w:trPr>
        <w:tc>
          <w:tcPr>
            <w:tcW w:w="1518" w:type="dxa"/>
          </w:tcPr>
          <w:p w14:paraId="0877B1B6"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10 </w:t>
            </w:r>
          </w:p>
        </w:tc>
        <w:tc>
          <w:tcPr>
            <w:tcW w:w="1342" w:type="dxa"/>
          </w:tcPr>
          <w:p w14:paraId="72E958C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8.61±1.065 </w:t>
            </w:r>
          </w:p>
        </w:tc>
        <w:tc>
          <w:tcPr>
            <w:tcW w:w="1246" w:type="dxa"/>
          </w:tcPr>
          <w:p w14:paraId="7D0092F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7.16±1.065 </w:t>
            </w:r>
          </w:p>
        </w:tc>
        <w:tc>
          <w:tcPr>
            <w:tcW w:w="1341" w:type="dxa"/>
          </w:tcPr>
          <w:p w14:paraId="1A12F1E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9.25±1.065 </w:t>
            </w:r>
          </w:p>
        </w:tc>
        <w:tc>
          <w:tcPr>
            <w:tcW w:w="1249" w:type="dxa"/>
          </w:tcPr>
          <w:p w14:paraId="63D74BF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3.61±2.442 </w:t>
            </w:r>
          </w:p>
        </w:tc>
        <w:tc>
          <w:tcPr>
            <w:tcW w:w="1249" w:type="dxa"/>
          </w:tcPr>
          <w:p w14:paraId="55891D4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8.06±2.442 </w:t>
            </w:r>
          </w:p>
        </w:tc>
        <w:tc>
          <w:tcPr>
            <w:tcW w:w="1388" w:type="dxa"/>
          </w:tcPr>
          <w:p w14:paraId="0835775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5.21±2.442 </w:t>
            </w:r>
          </w:p>
        </w:tc>
      </w:tr>
      <w:tr w:rsidR="001D5843" w14:paraId="3252AD34" w14:textId="77777777" w:rsidTr="00324CAD">
        <w:trPr>
          <w:trHeight w:val="70"/>
        </w:trPr>
        <w:tc>
          <w:tcPr>
            <w:tcW w:w="1518" w:type="dxa"/>
          </w:tcPr>
          <w:p w14:paraId="67E877A0"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11 </w:t>
            </w:r>
          </w:p>
        </w:tc>
        <w:tc>
          <w:tcPr>
            <w:tcW w:w="1342" w:type="dxa"/>
          </w:tcPr>
          <w:p w14:paraId="5C421DB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5.20±2.047 </w:t>
            </w:r>
          </w:p>
        </w:tc>
        <w:tc>
          <w:tcPr>
            <w:tcW w:w="1246" w:type="dxa"/>
          </w:tcPr>
          <w:p w14:paraId="6F7B31EC"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9.00±2.047 </w:t>
            </w:r>
          </w:p>
        </w:tc>
        <w:tc>
          <w:tcPr>
            <w:tcW w:w="1341" w:type="dxa"/>
          </w:tcPr>
          <w:p w14:paraId="6437244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7.16±2.047 </w:t>
            </w:r>
          </w:p>
        </w:tc>
        <w:tc>
          <w:tcPr>
            <w:tcW w:w="1249" w:type="dxa"/>
          </w:tcPr>
          <w:p w14:paraId="3277368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5.22±0.889 </w:t>
            </w:r>
          </w:p>
        </w:tc>
        <w:tc>
          <w:tcPr>
            <w:tcW w:w="1249" w:type="dxa"/>
          </w:tcPr>
          <w:p w14:paraId="227362C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6.18±0.889 </w:t>
            </w:r>
          </w:p>
        </w:tc>
        <w:tc>
          <w:tcPr>
            <w:tcW w:w="1388" w:type="dxa"/>
          </w:tcPr>
          <w:p w14:paraId="3FA1840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6.31±0.889 </w:t>
            </w:r>
          </w:p>
        </w:tc>
      </w:tr>
      <w:tr w:rsidR="001D5843" w14:paraId="63A983F7" w14:textId="77777777" w:rsidTr="00324CAD">
        <w:trPr>
          <w:trHeight w:val="70"/>
        </w:trPr>
        <w:tc>
          <w:tcPr>
            <w:tcW w:w="1518" w:type="dxa"/>
          </w:tcPr>
          <w:p w14:paraId="28CB6142"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12 </w:t>
            </w:r>
          </w:p>
        </w:tc>
        <w:tc>
          <w:tcPr>
            <w:tcW w:w="1342" w:type="dxa"/>
          </w:tcPr>
          <w:p w14:paraId="1D5EF1C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4.44±2.196 </w:t>
            </w:r>
          </w:p>
        </w:tc>
        <w:tc>
          <w:tcPr>
            <w:tcW w:w="1246" w:type="dxa"/>
          </w:tcPr>
          <w:p w14:paraId="5E6D253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8.66±2.196 </w:t>
            </w:r>
          </w:p>
        </w:tc>
        <w:tc>
          <w:tcPr>
            <w:tcW w:w="1341" w:type="dxa"/>
          </w:tcPr>
          <w:p w14:paraId="1C3ABB3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6.98±2.196 </w:t>
            </w:r>
          </w:p>
        </w:tc>
        <w:tc>
          <w:tcPr>
            <w:tcW w:w="1249" w:type="dxa"/>
          </w:tcPr>
          <w:p w14:paraId="142C812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5.39±0.858 </w:t>
            </w:r>
          </w:p>
        </w:tc>
        <w:tc>
          <w:tcPr>
            <w:tcW w:w="1249" w:type="dxa"/>
          </w:tcPr>
          <w:p w14:paraId="0A635EA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4.66±0.858 </w:t>
            </w:r>
          </w:p>
        </w:tc>
        <w:tc>
          <w:tcPr>
            <w:tcW w:w="1388" w:type="dxa"/>
          </w:tcPr>
          <w:p w14:paraId="213404D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3.69±0.858 </w:t>
            </w:r>
          </w:p>
        </w:tc>
      </w:tr>
    </w:tbl>
    <w:p w14:paraId="793883DA" w14:textId="77777777" w:rsidR="001D5843" w:rsidRDefault="001D5843" w:rsidP="00426CE8">
      <w:pPr>
        <w:spacing w:after="120"/>
        <w:jc w:val="both"/>
        <w:rPr>
          <w:rFonts w:ascii="Times New Roman" w:hAnsi="Times New Roman" w:cs="Times New Roman"/>
        </w:rPr>
      </w:pPr>
    </w:p>
    <w:p w14:paraId="08273C55" w14:textId="77777777" w:rsidR="00F84C63" w:rsidRPr="00F84C63" w:rsidRDefault="00F84C63" w:rsidP="00F84C63">
      <w:pPr>
        <w:pStyle w:val="NormalWeb"/>
        <w:spacing w:before="0" w:beforeAutospacing="0" w:after="120" w:afterAutospacing="0"/>
        <w:jc w:val="both"/>
        <w:rPr>
          <w:sz w:val="22"/>
        </w:rPr>
      </w:pPr>
      <w:r w:rsidRPr="00F84C63">
        <w:rPr>
          <w:sz w:val="22"/>
        </w:rPr>
        <w:t>The COD results in Table 5 reveal moderate variability across seasons and sampling locations. During the wet season, COD values ranged from relatively low to moderate levels, reflecting limited concentrations of oxidizable organic and inorganic substances in the groundwater. Increased rainfall likely contributed to the dilution of contaminants, resulting in lower COD values at most locations.</w:t>
      </w:r>
    </w:p>
    <w:p w14:paraId="64423F5A" w14:textId="77777777" w:rsidR="00F84C63" w:rsidRPr="00F84C63" w:rsidRDefault="00F84C63" w:rsidP="00F84C63">
      <w:pPr>
        <w:pStyle w:val="NormalWeb"/>
        <w:spacing w:before="0" w:beforeAutospacing="0" w:after="120" w:afterAutospacing="0"/>
        <w:jc w:val="both"/>
        <w:rPr>
          <w:sz w:val="22"/>
        </w:rPr>
      </w:pPr>
      <w:r w:rsidRPr="00F84C63">
        <w:rPr>
          <w:sz w:val="22"/>
        </w:rPr>
        <w:lastRenderedPageBreak/>
        <w:t>In the dry season, COD values showed mixed trends, with some locations exhibiting reduced COD while others recorded slight increases. This variability may be attributed to differences in land use, proximity to pollution sources, and subsurface geological conditions. Overall, the COD values remained relatively low across both seasons, suggesting limited chemical pollution.</w:t>
      </w:r>
    </w:p>
    <w:p w14:paraId="5C853B8E" w14:textId="03119648" w:rsidR="00426CE8" w:rsidRDefault="00F84C63" w:rsidP="00F84C63">
      <w:pPr>
        <w:pStyle w:val="NormalWeb"/>
        <w:spacing w:before="0" w:beforeAutospacing="0" w:after="120" w:afterAutospacing="0"/>
        <w:jc w:val="both"/>
        <w:rPr>
          <w:sz w:val="22"/>
        </w:rPr>
      </w:pPr>
      <w:r w:rsidRPr="00F84C63">
        <w:rPr>
          <w:sz w:val="22"/>
        </w:rPr>
        <w:t>The observed COD levels, when compared with BOD values, indicate that a significant proportion of the oxidizable matter present is biodegradable, reinforcing the generally good chemical quality of the borehole waters.</w:t>
      </w:r>
      <w:r w:rsidR="002A4882">
        <w:rPr>
          <w:sz w:val="22"/>
        </w:rPr>
        <w:t xml:space="preserve"> The</w:t>
      </w:r>
      <w:r w:rsidR="00CF205D">
        <w:rPr>
          <w:sz w:val="22"/>
        </w:rPr>
        <w:t xml:space="preserve"> seasonal variations in COD are</w:t>
      </w:r>
      <w:r w:rsidR="002A4882">
        <w:rPr>
          <w:sz w:val="22"/>
        </w:rPr>
        <w:t xml:space="preserve"> shown in Figure 4.</w:t>
      </w:r>
    </w:p>
    <w:p w14:paraId="64E494EF" w14:textId="77777777" w:rsidR="006A1581" w:rsidRPr="00740BD2" w:rsidRDefault="006A1581" w:rsidP="006A1581">
      <w:pPr>
        <w:spacing w:after="0" w:line="240" w:lineRule="auto"/>
        <w:jc w:val="center"/>
        <w:rPr>
          <w:rFonts w:ascii="Times New Roman" w:hAnsi="Times New Roman" w:cs="Times New Roman"/>
          <w:sz w:val="24"/>
          <w:szCs w:val="24"/>
        </w:rPr>
      </w:pPr>
      <w:r w:rsidRPr="00740BD2">
        <w:rPr>
          <w:rFonts w:ascii="Times New Roman" w:hAnsi="Times New Roman" w:cs="Times New Roman"/>
          <w:noProof/>
          <w:sz w:val="24"/>
          <w:szCs w:val="24"/>
        </w:rPr>
        <w:drawing>
          <wp:inline distT="0" distB="0" distL="0" distR="0" wp14:anchorId="1AC6562E" wp14:editId="7AAB768F">
            <wp:extent cx="4151376" cy="27980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376" cy="2798064"/>
                    </a:xfrm>
                    <a:prstGeom prst="rect">
                      <a:avLst/>
                    </a:prstGeom>
                    <a:noFill/>
                    <a:ln>
                      <a:noFill/>
                    </a:ln>
                  </pic:spPr>
                </pic:pic>
              </a:graphicData>
            </a:graphic>
          </wp:inline>
        </w:drawing>
      </w:r>
    </w:p>
    <w:p w14:paraId="0C2E3CF1" w14:textId="6A36836E" w:rsidR="006A1581" w:rsidRPr="00324515" w:rsidRDefault="006A1581" w:rsidP="006A1581">
      <w:pPr>
        <w:pStyle w:val="NormalWeb"/>
        <w:spacing w:before="0" w:beforeAutospacing="0" w:after="120" w:afterAutospacing="0"/>
        <w:jc w:val="center"/>
        <w:rPr>
          <w:b/>
          <w:sz w:val="20"/>
        </w:rPr>
      </w:pPr>
      <w:r w:rsidRPr="00324515">
        <w:rPr>
          <w:b/>
          <w:sz w:val="22"/>
        </w:rPr>
        <w:t>Figure 4.</w:t>
      </w:r>
      <w:r w:rsidRPr="00324515">
        <w:rPr>
          <w:b/>
          <w:sz w:val="22"/>
        </w:rPr>
        <w:t xml:space="preserve"> Chemical Oxygen Demand in Borehole Water Samples</w:t>
      </w:r>
    </w:p>
    <w:p w14:paraId="7E4AAAF2" w14:textId="77777777" w:rsidR="001D5843" w:rsidRPr="00332BC6" w:rsidRDefault="00426CE8" w:rsidP="00426CE8">
      <w:pPr>
        <w:spacing w:after="120"/>
        <w:jc w:val="both"/>
        <w:rPr>
          <w:rFonts w:ascii="Times New Roman" w:hAnsi="Times New Roman" w:cs="Times New Roman"/>
          <w:b/>
        </w:rPr>
      </w:pPr>
      <w:r w:rsidRPr="00332BC6">
        <w:rPr>
          <w:rFonts w:ascii="Times New Roman" w:hAnsi="Times New Roman" w:cs="Times New Roman"/>
          <w:b/>
        </w:rPr>
        <w:t>Table 6. Assessment and Seasonal Variations in Chloride Concentration</w:t>
      </w:r>
    </w:p>
    <w:tbl>
      <w:tblPr>
        <w:tblStyle w:val="TableGrid"/>
        <w:tblW w:w="92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1345"/>
        <w:gridCol w:w="1346"/>
        <w:gridCol w:w="1345"/>
        <w:gridCol w:w="1345"/>
        <w:gridCol w:w="1346"/>
        <w:gridCol w:w="1243"/>
      </w:tblGrid>
      <w:tr w:rsidR="00554D23" w14:paraId="61D9E34F" w14:textId="77777777" w:rsidTr="003C6979">
        <w:trPr>
          <w:trHeight w:val="70"/>
        </w:trPr>
        <w:tc>
          <w:tcPr>
            <w:tcW w:w="1302" w:type="dxa"/>
            <w:tcBorders>
              <w:top w:val="single" w:sz="4" w:space="0" w:color="auto"/>
              <w:bottom w:val="single" w:sz="4" w:space="0" w:color="auto"/>
            </w:tcBorders>
          </w:tcPr>
          <w:p w14:paraId="118D097E" w14:textId="77777777" w:rsidR="00554D23" w:rsidRPr="00554D23" w:rsidRDefault="00554D23" w:rsidP="00554D23">
            <w:pPr>
              <w:ind w:left="122"/>
              <w:jc w:val="both"/>
              <w:rPr>
                <w:rFonts w:ascii="Times New Roman" w:hAnsi="Times New Roman" w:cs="Times New Roman"/>
                <w:sz w:val="18"/>
                <w:szCs w:val="18"/>
              </w:rPr>
            </w:pPr>
            <w:r w:rsidRPr="00554D23">
              <w:rPr>
                <w:rFonts w:ascii="Times New Roman" w:hAnsi="Times New Roman" w:cs="Times New Roman"/>
                <w:b/>
                <w:sz w:val="18"/>
                <w:szCs w:val="18"/>
              </w:rPr>
              <w:t>Cl</w:t>
            </w:r>
            <w:r w:rsidRPr="00554D23">
              <w:rPr>
                <w:rFonts w:ascii="Times New Roman" w:hAnsi="Times New Roman" w:cs="Times New Roman"/>
                <w:b/>
                <w:sz w:val="18"/>
                <w:szCs w:val="18"/>
                <w:vertAlign w:val="superscript"/>
              </w:rPr>
              <w:t>-</w:t>
            </w:r>
            <w:r w:rsidRPr="00554D23">
              <w:rPr>
                <w:rFonts w:ascii="Times New Roman" w:hAnsi="Times New Roman" w:cs="Times New Roman"/>
                <w:b/>
                <w:sz w:val="18"/>
                <w:szCs w:val="18"/>
              </w:rPr>
              <w:t xml:space="preserve"> (mg/l) </w:t>
            </w:r>
          </w:p>
        </w:tc>
        <w:tc>
          <w:tcPr>
            <w:tcW w:w="4036" w:type="dxa"/>
            <w:gridSpan w:val="3"/>
            <w:tcBorders>
              <w:top w:val="single" w:sz="4" w:space="0" w:color="auto"/>
              <w:bottom w:val="single" w:sz="4" w:space="0" w:color="auto"/>
            </w:tcBorders>
          </w:tcPr>
          <w:p w14:paraId="6AB1D8C0" w14:textId="77777777" w:rsidR="00554D23" w:rsidRPr="00554D23" w:rsidRDefault="00554D23" w:rsidP="00554D23">
            <w:pPr>
              <w:jc w:val="center"/>
              <w:rPr>
                <w:rFonts w:ascii="Times New Roman" w:hAnsi="Times New Roman" w:cs="Times New Roman"/>
                <w:sz w:val="18"/>
                <w:szCs w:val="18"/>
              </w:rPr>
            </w:pPr>
            <w:r w:rsidRPr="00554D23">
              <w:rPr>
                <w:rFonts w:ascii="Times New Roman" w:hAnsi="Times New Roman" w:cs="Times New Roman"/>
                <w:b/>
                <w:sz w:val="18"/>
                <w:szCs w:val="18"/>
              </w:rPr>
              <w:t>Wet Season</w:t>
            </w:r>
          </w:p>
        </w:tc>
        <w:tc>
          <w:tcPr>
            <w:tcW w:w="3934" w:type="dxa"/>
            <w:gridSpan w:val="3"/>
            <w:tcBorders>
              <w:top w:val="single" w:sz="4" w:space="0" w:color="auto"/>
              <w:bottom w:val="single" w:sz="4" w:space="0" w:color="auto"/>
            </w:tcBorders>
          </w:tcPr>
          <w:p w14:paraId="43D51D82" w14:textId="77777777" w:rsidR="00554D23" w:rsidRPr="00554D23" w:rsidRDefault="00554D23" w:rsidP="00554D23">
            <w:pPr>
              <w:jc w:val="center"/>
              <w:rPr>
                <w:rFonts w:ascii="Times New Roman" w:hAnsi="Times New Roman" w:cs="Times New Roman"/>
                <w:sz w:val="18"/>
                <w:szCs w:val="18"/>
              </w:rPr>
            </w:pPr>
            <w:r w:rsidRPr="00554D23">
              <w:rPr>
                <w:rFonts w:ascii="Times New Roman" w:hAnsi="Times New Roman" w:cs="Times New Roman"/>
                <w:b/>
                <w:sz w:val="18"/>
                <w:szCs w:val="18"/>
              </w:rPr>
              <w:t>Dry Season</w:t>
            </w:r>
          </w:p>
        </w:tc>
      </w:tr>
      <w:tr w:rsidR="001D5843" w14:paraId="0023DDE0" w14:textId="77777777" w:rsidTr="003C6979">
        <w:trPr>
          <w:trHeight w:val="70"/>
        </w:trPr>
        <w:tc>
          <w:tcPr>
            <w:tcW w:w="1302" w:type="dxa"/>
            <w:tcBorders>
              <w:top w:val="single" w:sz="4" w:space="0" w:color="auto"/>
              <w:bottom w:val="single" w:sz="4" w:space="0" w:color="auto"/>
            </w:tcBorders>
          </w:tcPr>
          <w:p w14:paraId="7EF23ACB"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b/>
                <w:sz w:val="18"/>
                <w:szCs w:val="18"/>
              </w:rPr>
              <w:t xml:space="preserve">Sample </w:t>
            </w:r>
          </w:p>
        </w:tc>
        <w:tc>
          <w:tcPr>
            <w:tcW w:w="1345" w:type="dxa"/>
            <w:tcBorders>
              <w:top w:val="single" w:sz="4" w:space="0" w:color="auto"/>
              <w:bottom w:val="single" w:sz="4" w:space="0" w:color="auto"/>
            </w:tcBorders>
          </w:tcPr>
          <w:p w14:paraId="2DC6699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June </w:t>
            </w:r>
          </w:p>
        </w:tc>
        <w:tc>
          <w:tcPr>
            <w:tcW w:w="1346" w:type="dxa"/>
            <w:tcBorders>
              <w:top w:val="single" w:sz="4" w:space="0" w:color="auto"/>
              <w:bottom w:val="single" w:sz="4" w:space="0" w:color="auto"/>
            </w:tcBorders>
          </w:tcPr>
          <w:p w14:paraId="2FCCC83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July </w:t>
            </w:r>
          </w:p>
        </w:tc>
        <w:tc>
          <w:tcPr>
            <w:tcW w:w="1345" w:type="dxa"/>
            <w:tcBorders>
              <w:top w:val="single" w:sz="4" w:space="0" w:color="auto"/>
              <w:bottom w:val="single" w:sz="4" w:space="0" w:color="auto"/>
            </w:tcBorders>
          </w:tcPr>
          <w:p w14:paraId="5E29354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August </w:t>
            </w:r>
          </w:p>
        </w:tc>
        <w:tc>
          <w:tcPr>
            <w:tcW w:w="1345" w:type="dxa"/>
            <w:tcBorders>
              <w:top w:val="single" w:sz="4" w:space="0" w:color="auto"/>
              <w:bottom w:val="single" w:sz="4" w:space="0" w:color="auto"/>
            </w:tcBorders>
          </w:tcPr>
          <w:p w14:paraId="6DEDBC1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November </w:t>
            </w:r>
          </w:p>
        </w:tc>
        <w:tc>
          <w:tcPr>
            <w:tcW w:w="1346" w:type="dxa"/>
            <w:tcBorders>
              <w:top w:val="single" w:sz="4" w:space="0" w:color="auto"/>
              <w:bottom w:val="single" w:sz="4" w:space="0" w:color="auto"/>
            </w:tcBorders>
          </w:tcPr>
          <w:p w14:paraId="545562E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December </w:t>
            </w:r>
          </w:p>
        </w:tc>
        <w:tc>
          <w:tcPr>
            <w:tcW w:w="1243" w:type="dxa"/>
            <w:tcBorders>
              <w:top w:val="single" w:sz="4" w:space="0" w:color="auto"/>
              <w:bottom w:val="single" w:sz="4" w:space="0" w:color="auto"/>
            </w:tcBorders>
          </w:tcPr>
          <w:p w14:paraId="6AC0C3C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January </w:t>
            </w:r>
          </w:p>
        </w:tc>
      </w:tr>
      <w:tr w:rsidR="001D5843" w14:paraId="3BFC2817" w14:textId="77777777" w:rsidTr="003C6979">
        <w:trPr>
          <w:trHeight w:val="70"/>
        </w:trPr>
        <w:tc>
          <w:tcPr>
            <w:tcW w:w="1302" w:type="dxa"/>
            <w:tcBorders>
              <w:top w:val="single" w:sz="4" w:space="0" w:color="auto"/>
              <w:bottom w:val="nil"/>
            </w:tcBorders>
          </w:tcPr>
          <w:p w14:paraId="7B038468"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 </w:t>
            </w:r>
          </w:p>
        </w:tc>
        <w:tc>
          <w:tcPr>
            <w:tcW w:w="1345" w:type="dxa"/>
            <w:tcBorders>
              <w:top w:val="single" w:sz="4" w:space="0" w:color="auto"/>
              <w:bottom w:val="nil"/>
            </w:tcBorders>
          </w:tcPr>
          <w:p w14:paraId="50FB862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12.00±2.31 </w:t>
            </w:r>
          </w:p>
        </w:tc>
        <w:tc>
          <w:tcPr>
            <w:tcW w:w="1346" w:type="dxa"/>
            <w:tcBorders>
              <w:top w:val="single" w:sz="4" w:space="0" w:color="auto"/>
              <w:bottom w:val="nil"/>
            </w:tcBorders>
          </w:tcPr>
          <w:p w14:paraId="5C56CF3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12.94±2.31 </w:t>
            </w:r>
          </w:p>
        </w:tc>
        <w:tc>
          <w:tcPr>
            <w:tcW w:w="1345" w:type="dxa"/>
            <w:tcBorders>
              <w:top w:val="single" w:sz="4" w:space="0" w:color="auto"/>
              <w:bottom w:val="nil"/>
            </w:tcBorders>
          </w:tcPr>
          <w:p w14:paraId="0957BE7C"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8.56±2.31 </w:t>
            </w:r>
          </w:p>
        </w:tc>
        <w:tc>
          <w:tcPr>
            <w:tcW w:w="1345" w:type="dxa"/>
            <w:tcBorders>
              <w:top w:val="single" w:sz="4" w:space="0" w:color="auto"/>
              <w:bottom w:val="nil"/>
            </w:tcBorders>
          </w:tcPr>
          <w:p w14:paraId="06333E3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12.90±3.61 </w:t>
            </w:r>
          </w:p>
        </w:tc>
        <w:tc>
          <w:tcPr>
            <w:tcW w:w="1346" w:type="dxa"/>
            <w:tcBorders>
              <w:top w:val="single" w:sz="4" w:space="0" w:color="auto"/>
              <w:bottom w:val="nil"/>
            </w:tcBorders>
          </w:tcPr>
          <w:p w14:paraId="76E5988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7.89±3.61 </w:t>
            </w:r>
          </w:p>
        </w:tc>
        <w:tc>
          <w:tcPr>
            <w:tcW w:w="1243" w:type="dxa"/>
            <w:tcBorders>
              <w:top w:val="single" w:sz="4" w:space="0" w:color="auto"/>
              <w:bottom w:val="nil"/>
            </w:tcBorders>
          </w:tcPr>
          <w:p w14:paraId="6119F5E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14.89±3.61 </w:t>
            </w:r>
          </w:p>
        </w:tc>
      </w:tr>
      <w:tr w:rsidR="001D5843" w14:paraId="7FABE559" w14:textId="77777777" w:rsidTr="003C6979">
        <w:trPr>
          <w:trHeight w:val="70"/>
        </w:trPr>
        <w:tc>
          <w:tcPr>
            <w:tcW w:w="1302" w:type="dxa"/>
            <w:tcBorders>
              <w:top w:val="nil"/>
            </w:tcBorders>
          </w:tcPr>
          <w:p w14:paraId="539ACD86"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2 </w:t>
            </w:r>
          </w:p>
        </w:tc>
        <w:tc>
          <w:tcPr>
            <w:tcW w:w="1345" w:type="dxa"/>
            <w:tcBorders>
              <w:top w:val="nil"/>
            </w:tcBorders>
          </w:tcPr>
          <w:p w14:paraId="74CB7F58"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5.00±4.76 </w:t>
            </w:r>
          </w:p>
        </w:tc>
        <w:tc>
          <w:tcPr>
            <w:tcW w:w="1346" w:type="dxa"/>
            <w:tcBorders>
              <w:top w:val="nil"/>
            </w:tcBorders>
          </w:tcPr>
          <w:p w14:paraId="3DE141D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13.42±4.76 </w:t>
            </w:r>
          </w:p>
        </w:tc>
        <w:tc>
          <w:tcPr>
            <w:tcW w:w="1345" w:type="dxa"/>
            <w:tcBorders>
              <w:top w:val="nil"/>
            </w:tcBorders>
          </w:tcPr>
          <w:p w14:paraId="05A88E8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13.05±4.76 </w:t>
            </w:r>
          </w:p>
        </w:tc>
        <w:tc>
          <w:tcPr>
            <w:tcW w:w="1345" w:type="dxa"/>
            <w:tcBorders>
              <w:top w:val="nil"/>
            </w:tcBorders>
          </w:tcPr>
          <w:p w14:paraId="2E70C9A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6.92±10.72 </w:t>
            </w:r>
          </w:p>
        </w:tc>
        <w:tc>
          <w:tcPr>
            <w:tcW w:w="1346" w:type="dxa"/>
            <w:tcBorders>
              <w:top w:val="nil"/>
            </w:tcBorders>
          </w:tcPr>
          <w:p w14:paraId="37F5DC9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8.00±10.72 </w:t>
            </w:r>
          </w:p>
        </w:tc>
        <w:tc>
          <w:tcPr>
            <w:tcW w:w="1243" w:type="dxa"/>
            <w:tcBorders>
              <w:top w:val="nil"/>
            </w:tcBorders>
          </w:tcPr>
          <w:p w14:paraId="6E1D936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26.00±10.72 </w:t>
            </w:r>
          </w:p>
        </w:tc>
      </w:tr>
      <w:tr w:rsidR="001D5843" w14:paraId="38E59DF2" w14:textId="77777777" w:rsidTr="003C6979">
        <w:trPr>
          <w:trHeight w:val="70"/>
        </w:trPr>
        <w:tc>
          <w:tcPr>
            <w:tcW w:w="1302" w:type="dxa"/>
          </w:tcPr>
          <w:p w14:paraId="008A83F1"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3 </w:t>
            </w:r>
          </w:p>
        </w:tc>
        <w:tc>
          <w:tcPr>
            <w:tcW w:w="1345" w:type="dxa"/>
          </w:tcPr>
          <w:p w14:paraId="5CF46AB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12.00±1.07 </w:t>
            </w:r>
          </w:p>
        </w:tc>
        <w:tc>
          <w:tcPr>
            <w:tcW w:w="1346" w:type="dxa"/>
          </w:tcPr>
          <w:p w14:paraId="27AF2190"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13.68±1.07 </w:t>
            </w:r>
          </w:p>
        </w:tc>
        <w:tc>
          <w:tcPr>
            <w:tcW w:w="1345" w:type="dxa"/>
          </w:tcPr>
          <w:p w14:paraId="04A754E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14.00±1.07 </w:t>
            </w:r>
          </w:p>
        </w:tc>
        <w:tc>
          <w:tcPr>
            <w:tcW w:w="1345" w:type="dxa"/>
          </w:tcPr>
          <w:p w14:paraId="2270CF40"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11.99±35.23 </w:t>
            </w:r>
          </w:p>
        </w:tc>
        <w:tc>
          <w:tcPr>
            <w:tcW w:w="1346" w:type="dxa"/>
          </w:tcPr>
          <w:p w14:paraId="5CCB9FF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77.01±35.23 </w:t>
            </w:r>
          </w:p>
        </w:tc>
        <w:tc>
          <w:tcPr>
            <w:tcW w:w="1243" w:type="dxa"/>
          </w:tcPr>
          <w:p w14:paraId="0AC4BF2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21.01±35.23 </w:t>
            </w:r>
          </w:p>
        </w:tc>
      </w:tr>
      <w:tr w:rsidR="001D5843" w14:paraId="2B8B4DEF" w14:textId="77777777" w:rsidTr="003C6979">
        <w:trPr>
          <w:trHeight w:val="70"/>
        </w:trPr>
        <w:tc>
          <w:tcPr>
            <w:tcW w:w="1302" w:type="dxa"/>
          </w:tcPr>
          <w:p w14:paraId="5BE92CE5"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4 </w:t>
            </w:r>
          </w:p>
        </w:tc>
        <w:tc>
          <w:tcPr>
            <w:tcW w:w="1345" w:type="dxa"/>
          </w:tcPr>
          <w:p w14:paraId="1B6C412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1.80±4.01 </w:t>
            </w:r>
          </w:p>
        </w:tc>
        <w:tc>
          <w:tcPr>
            <w:tcW w:w="1346" w:type="dxa"/>
          </w:tcPr>
          <w:p w14:paraId="230D627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8.09±4.01 </w:t>
            </w:r>
          </w:p>
        </w:tc>
        <w:tc>
          <w:tcPr>
            <w:tcW w:w="1345" w:type="dxa"/>
          </w:tcPr>
          <w:p w14:paraId="538675F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9.25±4.01 </w:t>
            </w:r>
          </w:p>
        </w:tc>
        <w:tc>
          <w:tcPr>
            <w:tcW w:w="1345" w:type="dxa"/>
          </w:tcPr>
          <w:p w14:paraId="6869958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11.91±39.68 </w:t>
            </w:r>
          </w:p>
        </w:tc>
        <w:tc>
          <w:tcPr>
            <w:tcW w:w="1346" w:type="dxa"/>
          </w:tcPr>
          <w:p w14:paraId="359A000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82.44±39.68 </w:t>
            </w:r>
          </w:p>
        </w:tc>
        <w:tc>
          <w:tcPr>
            <w:tcW w:w="1243" w:type="dxa"/>
          </w:tcPr>
          <w:p w14:paraId="6FFF2DC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15.66±39.68 </w:t>
            </w:r>
          </w:p>
        </w:tc>
      </w:tr>
      <w:tr w:rsidR="001D5843" w14:paraId="4321490A" w14:textId="77777777" w:rsidTr="003C6979">
        <w:trPr>
          <w:trHeight w:val="70"/>
        </w:trPr>
        <w:tc>
          <w:tcPr>
            <w:tcW w:w="1302" w:type="dxa"/>
          </w:tcPr>
          <w:p w14:paraId="1A399761"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5 </w:t>
            </w:r>
          </w:p>
        </w:tc>
        <w:tc>
          <w:tcPr>
            <w:tcW w:w="1345" w:type="dxa"/>
          </w:tcPr>
          <w:p w14:paraId="2E7117A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1.50±6.97 </w:t>
            </w:r>
          </w:p>
        </w:tc>
        <w:tc>
          <w:tcPr>
            <w:tcW w:w="1346" w:type="dxa"/>
          </w:tcPr>
          <w:p w14:paraId="43A4B948"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15.44±6.97 </w:t>
            </w:r>
          </w:p>
        </w:tc>
        <w:tc>
          <w:tcPr>
            <w:tcW w:w="1345" w:type="dxa"/>
          </w:tcPr>
          <w:p w14:paraId="2164DCA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8.40±6.97 </w:t>
            </w:r>
          </w:p>
        </w:tc>
        <w:tc>
          <w:tcPr>
            <w:tcW w:w="1345" w:type="dxa"/>
          </w:tcPr>
          <w:p w14:paraId="357259F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29.18±3.77 </w:t>
            </w:r>
          </w:p>
        </w:tc>
        <w:tc>
          <w:tcPr>
            <w:tcW w:w="1346" w:type="dxa"/>
          </w:tcPr>
          <w:p w14:paraId="7EF274B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31.79±3.77 </w:t>
            </w:r>
          </w:p>
        </w:tc>
        <w:tc>
          <w:tcPr>
            <w:tcW w:w="1243" w:type="dxa"/>
          </w:tcPr>
          <w:p w14:paraId="36750A8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24.36±3.77 </w:t>
            </w:r>
          </w:p>
        </w:tc>
      </w:tr>
      <w:tr w:rsidR="001D5843" w14:paraId="56226840" w14:textId="77777777" w:rsidTr="003C6979">
        <w:trPr>
          <w:trHeight w:val="70"/>
        </w:trPr>
        <w:tc>
          <w:tcPr>
            <w:tcW w:w="1302" w:type="dxa"/>
          </w:tcPr>
          <w:p w14:paraId="6EFBCB5D"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6 </w:t>
            </w:r>
          </w:p>
        </w:tc>
        <w:tc>
          <w:tcPr>
            <w:tcW w:w="1345" w:type="dxa"/>
          </w:tcPr>
          <w:p w14:paraId="4CB59A9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2.10±6.73 </w:t>
            </w:r>
          </w:p>
        </w:tc>
        <w:tc>
          <w:tcPr>
            <w:tcW w:w="1346" w:type="dxa"/>
          </w:tcPr>
          <w:p w14:paraId="6DF914D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11.01±6.73 </w:t>
            </w:r>
          </w:p>
        </w:tc>
        <w:tc>
          <w:tcPr>
            <w:tcW w:w="1345" w:type="dxa"/>
          </w:tcPr>
          <w:p w14:paraId="07A1182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15.30±6.73 </w:t>
            </w:r>
          </w:p>
        </w:tc>
        <w:tc>
          <w:tcPr>
            <w:tcW w:w="1345" w:type="dxa"/>
          </w:tcPr>
          <w:p w14:paraId="4A27816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30.82±36.05 </w:t>
            </w:r>
          </w:p>
        </w:tc>
        <w:tc>
          <w:tcPr>
            <w:tcW w:w="1346" w:type="dxa"/>
          </w:tcPr>
          <w:p w14:paraId="689D31D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82.39±36.05 </w:t>
            </w:r>
          </w:p>
        </w:tc>
        <w:tc>
          <w:tcPr>
            <w:tcW w:w="1243" w:type="dxa"/>
          </w:tcPr>
          <w:p w14:paraId="718D55D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12.98±36.05 </w:t>
            </w:r>
          </w:p>
        </w:tc>
      </w:tr>
      <w:tr w:rsidR="001D5843" w14:paraId="2992EA4C" w14:textId="77777777" w:rsidTr="003C6979">
        <w:trPr>
          <w:trHeight w:val="70"/>
        </w:trPr>
        <w:tc>
          <w:tcPr>
            <w:tcW w:w="1302" w:type="dxa"/>
          </w:tcPr>
          <w:p w14:paraId="01064EF9"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7 </w:t>
            </w:r>
          </w:p>
        </w:tc>
        <w:tc>
          <w:tcPr>
            <w:tcW w:w="1345" w:type="dxa"/>
          </w:tcPr>
          <w:p w14:paraId="6A10534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3.70±5.07 </w:t>
            </w:r>
          </w:p>
        </w:tc>
        <w:tc>
          <w:tcPr>
            <w:tcW w:w="1346" w:type="dxa"/>
          </w:tcPr>
          <w:p w14:paraId="0F57230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12.90±5.07 </w:t>
            </w:r>
          </w:p>
        </w:tc>
        <w:tc>
          <w:tcPr>
            <w:tcW w:w="1345" w:type="dxa"/>
          </w:tcPr>
          <w:p w14:paraId="1CE6D7B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12.00±5.07 </w:t>
            </w:r>
          </w:p>
        </w:tc>
        <w:tc>
          <w:tcPr>
            <w:tcW w:w="1345" w:type="dxa"/>
          </w:tcPr>
          <w:p w14:paraId="5EEE9F6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12.56±1.26 </w:t>
            </w:r>
          </w:p>
        </w:tc>
        <w:tc>
          <w:tcPr>
            <w:tcW w:w="1346" w:type="dxa"/>
          </w:tcPr>
          <w:p w14:paraId="03674D4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14.89±1.26 </w:t>
            </w:r>
          </w:p>
        </w:tc>
        <w:tc>
          <w:tcPr>
            <w:tcW w:w="1243" w:type="dxa"/>
          </w:tcPr>
          <w:p w14:paraId="2D0B679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12.90±1.26 </w:t>
            </w:r>
          </w:p>
        </w:tc>
      </w:tr>
      <w:tr w:rsidR="001D5843" w14:paraId="13994E17" w14:textId="77777777" w:rsidTr="003C6979">
        <w:trPr>
          <w:trHeight w:val="70"/>
        </w:trPr>
        <w:tc>
          <w:tcPr>
            <w:tcW w:w="1302" w:type="dxa"/>
          </w:tcPr>
          <w:p w14:paraId="04332D8B"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8 </w:t>
            </w:r>
          </w:p>
        </w:tc>
        <w:tc>
          <w:tcPr>
            <w:tcW w:w="1345" w:type="dxa"/>
          </w:tcPr>
          <w:p w14:paraId="3A66EF5C"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2.30±6.61 </w:t>
            </w:r>
          </w:p>
        </w:tc>
        <w:tc>
          <w:tcPr>
            <w:tcW w:w="1346" w:type="dxa"/>
          </w:tcPr>
          <w:p w14:paraId="19F9694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14.22±6.61 </w:t>
            </w:r>
          </w:p>
        </w:tc>
        <w:tc>
          <w:tcPr>
            <w:tcW w:w="1345" w:type="dxa"/>
          </w:tcPr>
          <w:p w14:paraId="1049706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13.20±6.61 </w:t>
            </w:r>
          </w:p>
        </w:tc>
        <w:tc>
          <w:tcPr>
            <w:tcW w:w="1345" w:type="dxa"/>
          </w:tcPr>
          <w:p w14:paraId="6C694F6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23.81±7.44 </w:t>
            </w:r>
          </w:p>
        </w:tc>
        <w:tc>
          <w:tcPr>
            <w:tcW w:w="1346" w:type="dxa"/>
          </w:tcPr>
          <w:p w14:paraId="1F17AFD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15.20±7.44 </w:t>
            </w:r>
          </w:p>
        </w:tc>
        <w:tc>
          <w:tcPr>
            <w:tcW w:w="1243" w:type="dxa"/>
          </w:tcPr>
          <w:p w14:paraId="6AC145A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8.99±7.44 </w:t>
            </w:r>
          </w:p>
        </w:tc>
      </w:tr>
      <w:tr w:rsidR="001D5843" w14:paraId="4A61921E" w14:textId="77777777" w:rsidTr="003C6979">
        <w:trPr>
          <w:trHeight w:val="70"/>
        </w:trPr>
        <w:tc>
          <w:tcPr>
            <w:tcW w:w="1302" w:type="dxa"/>
          </w:tcPr>
          <w:p w14:paraId="7B5593F4"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9 </w:t>
            </w:r>
          </w:p>
        </w:tc>
        <w:tc>
          <w:tcPr>
            <w:tcW w:w="1345" w:type="dxa"/>
          </w:tcPr>
          <w:p w14:paraId="1D1A026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30.00±10.55 </w:t>
            </w:r>
          </w:p>
        </w:tc>
        <w:tc>
          <w:tcPr>
            <w:tcW w:w="1346" w:type="dxa"/>
          </w:tcPr>
          <w:p w14:paraId="09DB38E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11.87±10.55 </w:t>
            </w:r>
          </w:p>
        </w:tc>
        <w:tc>
          <w:tcPr>
            <w:tcW w:w="1345" w:type="dxa"/>
          </w:tcPr>
          <w:p w14:paraId="3A22F00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11.58±10.55 </w:t>
            </w:r>
          </w:p>
        </w:tc>
        <w:tc>
          <w:tcPr>
            <w:tcW w:w="1345" w:type="dxa"/>
          </w:tcPr>
          <w:p w14:paraId="695FFF68"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26.80±11.56 </w:t>
            </w:r>
          </w:p>
        </w:tc>
        <w:tc>
          <w:tcPr>
            <w:tcW w:w="1346" w:type="dxa"/>
          </w:tcPr>
          <w:p w14:paraId="22D62D1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9.87±11.56 </w:t>
            </w:r>
          </w:p>
        </w:tc>
        <w:tc>
          <w:tcPr>
            <w:tcW w:w="1243" w:type="dxa"/>
          </w:tcPr>
          <w:p w14:paraId="0D8BE1C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4.69±11.56 </w:t>
            </w:r>
          </w:p>
        </w:tc>
      </w:tr>
      <w:tr w:rsidR="001D5843" w14:paraId="1F539639" w14:textId="77777777" w:rsidTr="003C6979">
        <w:trPr>
          <w:trHeight w:val="70"/>
        </w:trPr>
        <w:tc>
          <w:tcPr>
            <w:tcW w:w="1302" w:type="dxa"/>
          </w:tcPr>
          <w:p w14:paraId="1C2F6849"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10 </w:t>
            </w:r>
          </w:p>
        </w:tc>
        <w:tc>
          <w:tcPr>
            <w:tcW w:w="1345" w:type="dxa"/>
          </w:tcPr>
          <w:p w14:paraId="61C074C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7.60±5.53 </w:t>
            </w:r>
          </w:p>
        </w:tc>
        <w:tc>
          <w:tcPr>
            <w:tcW w:w="1346" w:type="dxa"/>
          </w:tcPr>
          <w:p w14:paraId="2F4C382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18.02±5.53 </w:t>
            </w:r>
          </w:p>
        </w:tc>
        <w:tc>
          <w:tcPr>
            <w:tcW w:w="1345" w:type="dxa"/>
          </w:tcPr>
          <w:p w14:paraId="1A14004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16.01±5.53 </w:t>
            </w:r>
          </w:p>
        </w:tc>
        <w:tc>
          <w:tcPr>
            <w:tcW w:w="1345" w:type="dxa"/>
          </w:tcPr>
          <w:p w14:paraId="0C5C374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1.98±6.23 </w:t>
            </w:r>
          </w:p>
        </w:tc>
        <w:tc>
          <w:tcPr>
            <w:tcW w:w="1346" w:type="dxa"/>
          </w:tcPr>
          <w:p w14:paraId="48C2810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14.36±6.23 </w:t>
            </w:r>
          </w:p>
        </w:tc>
        <w:tc>
          <w:tcPr>
            <w:tcW w:w="1243" w:type="dxa"/>
          </w:tcPr>
          <w:p w14:paraId="68DDC82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6.97±6.23 </w:t>
            </w:r>
          </w:p>
        </w:tc>
      </w:tr>
      <w:tr w:rsidR="001D5843" w14:paraId="1F648C41" w14:textId="77777777" w:rsidTr="003C6979">
        <w:trPr>
          <w:trHeight w:val="70"/>
        </w:trPr>
        <w:tc>
          <w:tcPr>
            <w:tcW w:w="1302" w:type="dxa"/>
          </w:tcPr>
          <w:p w14:paraId="64B6C253"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11 </w:t>
            </w:r>
          </w:p>
        </w:tc>
        <w:tc>
          <w:tcPr>
            <w:tcW w:w="1345" w:type="dxa"/>
          </w:tcPr>
          <w:p w14:paraId="5249DE2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10.70±1.44 </w:t>
            </w:r>
          </w:p>
        </w:tc>
        <w:tc>
          <w:tcPr>
            <w:tcW w:w="1346" w:type="dxa"/>
          </w:tcPr>
          <w:p w14:paraId="76DBEBC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9.00±1.44 </w:t>
            </w:r>
          </w:p>
        </w:tc>
        <w:tc>
          <w:tcPr>
            <w:tcW w:w="1345" w:type="dxa"/>
          </w:tcPr>
          <w:p w14:paraId="6DF2512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11.87±1.44 </w:t>
            </w:r>
          </w:p>
        </w:tc>
        <w:tc>
          <w:tcPr>
            <w:tcW w:w="1345" w:type="dxa"/>
          </w:tcPr>
          <w:p w14:paraId="041FD67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5.99±10.18 </w:t>
            </w:r>
          </w:p>
        </w:tc>
        <w:tc>
          <w:tcPr>
            <w:tcW w:w="1346" w:type="dxa"/>
          </w:tcPr>
          <w:p w14:paraId="5473DEA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17.23±10.18 </w:t>
            </w:r>
          </w:p>
        </w:tc>
        <w:tc>
          <w:tcPr>
            <w:tcW w:w="1243" w:type="dxa"/>
          </w:tcPr>
          <w:p w14:paraId="7C31D926"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26.31±10.18 </w:t>
            </w:r>
          </w:p>
        </w:tc>
      </w:tr>
      <w:tr w:rsidR="001D5843" w14:paraId="2055DF75" w14:textId="77777777" w:rsidTr="003C6979">
        <w:trPr>
          <w:trHeight w:val="70"/>
        </w:trPr>
        <w:tc>
          <w:tcPr>
            <w:tcW w:w="1302" w:type="dxa"/>
          </w:tcPr>
          <w:p w14:paraId="6F65606B"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12 </w:t>
            </w:r>
          </w:p>
        </w:tc>
        <w:tc>
          <w:tcPr>
            <w:tcW w:w="1345" w:type="dxa"/>
          </w:tcPr>
          <w:p w14:paraId="1F30DBA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2.10±5.61 </w:t>
            </w:r>
          </w:p>
        </w:tc>
        <w:tc>
          <w:tcPr>
            <w:tcW w:w="1346" w:type="dxa"/>
          </w:tcPr>
          <w:p w14:paraId="3067C6B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10.88±5.61 </w:t>
            </w:r>
          </w:p>
        </w:tc>
        <w:tc>
          <w:tcPr>
            <w:tcW w:w="1345" w:type="dxa"/>
          </w:tcPr>
          <w:p w14:paraId="183F895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12.55±5.61 </w:t>
            </w:r>
          </w:p>
        </w:tc>
        <w:tc>
          <w:tcPr>
            <w:tcW w:w="1345" w:type="dxa"/>
          </w:tcPr>
          <w:p w14:paraId="58858CA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12.56±8.83 </w:t>
            </w:r>
          </w:p>
        </w:tc>
        <w:tc>
          <w:tcPr>
            <w:tcW w:w="1346" w:type="dxa"/>
          </w:tcPr>
          <w:p w14:paraId="1672A52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20.33±8.83 </w:t>
            </w:r>
          </w:p>
        </w:tc>
        <w:tc>
          <w:tcPr>
            <w:tcW w:w="1243" w:type="dxa"/>
          </w:tcPr>
          <w:p w14:paraId="4736E75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30.18±8.83 </w:t>
            </w:r>
          </w:p>
        </w:tc>
      </w:tr>
    </w:tbl>
    <w:p w14:paraId="196A3FBB" w14:textId="77777777" w:rsidR="001D5843" w:rsidRDefault="001D5843" w:rsidP="003C6979">
      <w:pPr>
        <w:spacing w:after="120"/>
        <w:jc w:val="both"/>
        <w:rPr>
          <w:rFonts w:ascii="Times New Roman" w:hAnsi="Times New Roman" w:cs="Times New Roman"/>
        </w:rPr>
      </w:pPr>
    </w:p>
    <w:p w14:paraId="1C1BB391" w14:textId="4F291D7F" w:rsidR="00AC6442" w:rsidRPr="00AC6442" w:rsidRDefault="00AC6442" w:rsidP="00AC6442">
      <w:pPr>
        <w:pStyle w:val="NormalWeb"/>
        <w:spacing w:before="0" w:beforeAutospacing="0" w:after="120" w:afterAutospacing="0"/>
        <w:jc w:val="both"/>
        <w:rPr>
          <w:sz w:val="22"/>
        </w:rPr>
      </w:pPr>
      <w:r w:rsidRPr="00AC6442">
        <w:rPr>
          <w:sz w:val="22"/>
        </w:rPr>
        <w:t>Chloride concentrations presented in Table 6 exhibit notable seasonal and spatial variations. During the wet season, chloride levels were generally low to moderate across all samples, reflecting dilution effects from rainfall and limited saline intrusion.</w:t>
      </w:r>
      <w:r w:rsidR="0044250A">
        <w:rPr>
          <w:sz w:val="22"/>
        </w:rPr>
        <w:t xml:space="preserve"> The seasonal variation in </w:t>
      </w:r>
      <w:r w:rsidR="0044250A" w:rsidRPr="00AC6442">
        <w:rPr>
          <w:sz w:val="22"/>
        </w:rPr>
        <w:t xml:space="preserve">Chloride concentrations </w:t>
      </w:r>
      <w:r w:rsidR="0044250A">
        <w:rPr>
          <w:sz w:val="22"/>
        </w:rPr>
        <w:t>in the borehole water samples is shown in Figure 5.</w:t>
      </w:r>
    </w:p>
    <w:p w14:paraId="6DC471DA" w14:textId="77777777" w:rsidR="00AC6442" w:rsidRPr="00AC6442" w:rsidRDefault="00AC6442" w:rsidP="00AC6442">
      <w:pPr>
        <w:pStyle w:val="NormalWeb"/>
        <w:spacing w:before="0" w:beforeAutospacing="0" w:after="120" w:afterAutospacing="0"/>
        <w:jc w:val="both"/>
        <w:rPr>
          <w:sz w:val="22"/>
        </w:rPr>
      </w:pPr>
      <w:r w:rsidRPr="00AC6442">
        <w:rPr>
          <w:sz w:val="22"/>
        </w:rPr>
        <w:t>In the dry season, chloride concentrations increased in several locations, with some boreholes recording values above 70 mg/L in December. The elevated chloride levels during the dry season may be attributed to evaporation, leaching from soil and waste dumps, sewage infiltration, or dissolution of chloride-bearing minerals. Areas with higher population density and intense human activities, such as Asata and Independence Layout, tended to show higher chloride concentrations.</w:t>
      </w:r>
    </w:p>
    <w:p w14:paraId="2450B088" w14:textId="77777777" w:rsidR="00332BC6" w:rsidRDefault="00AC6442" w:rsidP="00AC6442">
      <w:pPr>
        <w:pStyle w:val="NormalWeb"/>
        <w:spacing w:before="0" w:beforeAutospacing="0" w:after="120" w:afterAutospacing="0"/>
        <w:jc w:val="both"/>
        <w:rPr>
          <w:sz w:val="22"/>
        </w:rPr>
      </w:pPr>
      <w:r w:rsidRPr="00AC6442">
        <w:rPr>
          <w:sz w:val="22"/>
        </w:rPr>
        <w:lastRenderedPageBreak/>
        <w:t>Despite the seasonal increase, all chloride values were well below the WHO guideline value of 250 mg/L, indicating that the water remains suitable for drinking with respect to chloride content.</w:t>
      </w:r>
    </w:p>
    <w:p w14:paraId="6ADF3412" w14:textId="77777777" w:rsidR="00BA1DA1" w:rsidRPr="00740BD2" w:rsidRDefault="00BA1DA1" w:rsidP="00BA1DA1">
      <w:pPr>
        <w:spacing w:after="0" w:line="240" w:lineRule="auto"/>
        <w:jc w:val="center"/>
        <w:rPr>
          <w:rFonts w:ascii="Times New Roman" w:hAnsi="Times New Roman" w:cs="Times New Roman"/>
          <w:sz w:val="24"/>
          <w:szCs w:val="24"/>
        </w:rPr>
      </w:pPr>
      <w:r w:rsidRPr="00740BD2">
        <w:rPr>
          <w:rFonts w:ascii="Times New Roman" w:hAnsi="Times New Roman" w:cs="Times New Roman"/>
          <w:noProof/>
          <w:sz w:val="24"/>
          <w:szCs w:val="24"/>
        </w:rPr>
        <w:drawing>
          <wp:inline distT="0" distB="0" distL="0" distR="0" wp14:anchorId="3E945ABF" wp14:editId="5C6A1A5E">
            <wp:extent cx="4019550" cy="26713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626" cy="2675376"/>
                    </a:xfrm>
                    <a:prstGeom prst="rect">
                      <a:avLst/>
                    </a:prstGeom>
                    <a:noFill/>
                    <a:ln>
                      <a:noFill/>
                    </a:ln>
                  </pic:spPr>
                </pic:pic>
              </a:graphicData>
            </a:graphic>
          </wp:inline>
        </w:drawing>
      </w:r>
    </w:p>
    <w:p w14:paraId="0F6683E9" w14:textId="75357E3B" w:rsidR="00BA1DA1" w:rsidRPr="00BA1DA1" w:rsidRDefault="00BA1DA1" w:rsidP="00BA1DA1">
      <w:pPr>
        <w:pStyle w:val="NormalWeb"/>
        <w:spacing w:before="0" w:beforeAutospacing="0" w:after="120" w:afterAutospacing="0"/>
        <w:jc w:val="center"/>
        <w:rPr>
          <w:sz w:val="20"/>
        </w:rPr>
      </w:pPr>
      <w:r w:rsidRPr="00BA1DA1">
        <w:rPr>
          <w:b/>
          <w:sz w:val="22"/>
        </w:rPr>
        <w:t>Figure 5.</w:t>
      </w:r>
      <w:r w:rsidRPr="00BA1DA1">
        <w:rPr>
          <w:b/>
          <w:sz w:val="22"/>
        </w:rPr>
        <w:t xml:space="preserve"> Chloride Concentration in Borehole Water Samples</w:t>
      </w:r>
    </w:p>
    <w:p w14:paraId="46912075" w14:textId="77777777" w:rsidR="001D5843" w:rsidRPr="00442CBD" w:rsidRDefault="00332BC6" w:rsidP="00332BC6">
      <w:pPr>
        <w:spacing w:after="120"/>
        <w:jc w:val="both"/>
        <w:rPr>
          <w:rFonts w:ascii="Times New Roman" w:hAnsi="Times New Roman" w:cs="Times New Roman"/>
          <w:b/>
        </w:rPr>
      </w:pPr>
      <w:r w:rsidRPr="00442CBD">
        <w:rPr>
          <w:rFonts w:ascii="Times New Roman" w:hAnsi="Times New Roman" w:cs="Times New Roman"/>
          <w:b/>
        </w:rPr>
        <w:t>Table 7. Assessment and Seasonal Variations in Sulphate Concentration</w:t>
      </w:r>
    </w:p>
    <w:tbl>
      <w:tblPr>
        <w:tblStyle w:val="TableGrid"/>
        <w:tblW w:w="92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143"/>
        <w:gridCol w:w="1226"/>
        <w:gridCol w:w="1236"/>
        <w:gridCol w:w="1402"/>
        <w:gridCol w:w="1400"/>
        <w:gridCol w:w="1404"/>
      </w:tblGrid>
      <w:tr w:rsidR="00D1639D" w14:paraId="5A25D0FF" w14:textId="77777777" w:rsidTr="00442CBD">
        <w:trPr>
          <w:trHeight w:val="70"/>
        </w:trPr>
        <w:tc>
          <w:tcPr>
            <w:tcW w:w="1483" w:type="dxa"/>
            <w:tcBorders>
              <w:top w:val="single" w:sz="4" w:space="0" w:color="auto"/>
              <w:bottom w:val="single" w:sz="4" w:space="0" w:color="auto"/>
            </w:tcBorders>
          </w:tcPr>
          <w:p w14:paraId="4896F42E" w14:textId="77777777" w:rsidR="00D1639D" w:rsidRPr="00987419" w:rsidRDefault="00D74900" w:rsidP="00D1639D">
            <w:pPr>
              <w:ind w:left="122"/>
              <w:jc w:val="both"/>
              <w:rPr>
                <w:rFonts w:ascii="Times New Roman" w:hAnsi="Times New Roman" w:cs="Times New Roman"/>
                <w:sz w:val="18"/>
                <w:szCs w:val="18"/>
              </w:rPr>
            </w:pPr>
            <m:oMath>
              <m:sSubSup>
                <m:sSubSupPr>
                  <m:ctrlPr>
                    <w:rPr>
                      <w:rFonts w:ascii="Cambria Math" w:hAnsi="Cambria Math" w:cs="Times New Roman"/>
                      <w:b/>
                      <w:i/>
                      <w:sz w:val="18"/>
                      <w:szCs w:val="18"/>
                    </w:rPr>
                  </m:ctrlPr>
                </m:sSubSupPr>
                <m:e>
                  <m:r>
                    <m:rPr>
                      <m:sty m:val="bi"/>
                    </m:rPr>
                    <w:rPr>
                      <w:rFonts w:ascii="Cambria Math" w:hAnsi="Cambria Math" w:cs="Times New Roman"/>
                      <w:sz w:val="18"/>
                      <w:szCs w:val="18"/>
                    </w:rPr>
                    <m:t>SO</m:t>
                  </m:r>
                </m:e>
                <m:sub>
                  <m:r>
                    <m:rPr>
                      <m:sty m:val="bi"/>
                    </m:rPr>
                    <w:rPr>
                      <w:rFonts w:ascii="Cambria Math" w:hAnsi="Cambria Math" w:cs="Times New Roman"/>
                      <w:sz w:val="18"/>
                      <w:szCs w:val="18"/>
                    </w:rPr>
                    <m:t>4</m:t>
                  </m:r>
                </m:sub>
                <m:sup>
                  <m:r>
                    <m:rPr>
                      <m:sty m:val="bi"/>
                    </m:rPr>
                    <w:rPr>
                      <w:rFonts w:ascii="Cambria Math" w:hAnsi="Cambria Math" w:cs="Times New Roman"/>
                      <w:sz w:val="18"/>
                      <w:szCs w:val="18"/>
                    </w:rPr>
                    <m:t>2-</m:t>
                  </m:r>
                </m:sup>
              </m:sSubSup>
            </m:oMath>
            <w:r w:rsidR="00D1639D" w:rsidRPr="00987419">
              <w:rPr>
                <w:rFonts w:ascii="Times New Roman" w:hAnsi="Times New Roman" w:cs="Times New Roman"/>
                <w:b/>
                <w:sz w:val="18"/>
                <w:szCs w:val="18"/>
              </w:rPr>
              <w:t xml:space="preserve"> </w:t>
            </w:r>
            <w:r w:rsidR="00D1639D">
              <w:rPr>
                <w:rFonts w:ascii="Times New Roman" w:hAnsi="Times New Roman" w:cs="Times New Roman"/>
                <w:sz w:val="18"/>
                <w:szCs w:val="18"/>
              </w:rPr>
              <w:t xml:space="preserve"> </w:t>
            </w:r>
            <w:r w:rsidR="00D1639D" w:rsidRPr="00987419">
              <w:rPr>
                <w:rFonts w:ascii="Times New Roman" w:hAnsi="Times New Roman" w:cs="Times New Roman"/>
                <w:b/>
                <w:sz w:val="18"/>
                <w:szCs w:val="18"/>
              </w:rPr>
              <w:t xml:space="preserve">(mg/L) </w:t>
            </w:r>
          </w:p>
        </w:tc>
        <w:tc>
          <w:tcPr>
            <w:tcW w:w="3605" w:type="dxa"/>
            <w:gridSpan w:val="3"/>
            <w:tcBorders>
              <w:top w:val="single" w:sz="4" w:space="0" w:color="auto"/>
              <w:bottom w:val="single" w:sz="4" w:space="0" w:color="auto"/>
            </w:tcBorders>
          </w:tcPr>
          <w:p w14:paraId="62227415" w14:textId="77777777" w:rsidR="00D1639D" w:rsidRPr="00987419" w:rsidRDefault="00D1639D" w:rsidP="007D07BB">
            <w:pPr>
              <w:jc w:val="center"/>
              <w:rPr>
                <w:rFonts w:ascii="Times New Roman" w:hAnsi="Times New Roman" w:cs="Times New Roman"/>
                <w:sz w:val="18"/>
                <w:szCs w:val="18"/>
              </w:rPr>
            </w:pPr>
            <w:r w:rsidRPr="00987419">
              <w:rPr>
                <w:rFonts w:ascii="Times New Roman" w:hAnsi="Times New Roman" w:cs="Times New Roman"/>
                <w:b/>
                <w:sz w:val="18"/>
                <w:szCs w:val="18"/>
              </w:rPr>
              <w:t>Wet Season</w:t>
            </w:r>
          </w:p>
        </w:tc>
        <w:tc>
          <w:tcPr>
            <w:tcW w:w="4206" w:type="dxa"/>
            <w:gridSpan w:val="3"/>
            <w:tcBorders>
              <w:top w:val="single" w:sz="4" w:space="0" w:color="auto"/>
              <w:bottom w:val="single" w:sz="4" w:space="0" w:color="auto"/>
            </w:tcBorders>
          </w:tcPr>
          <w:p w14:paraId="5ECC2EA1" w14:textId="77777777" w:rsidR="00D1639D" w:rsidRPr="00987419" w:rsidRDefault="00D1639D" w:rsidP="007D07BB">
            <w:pPr>
              <w:jc w:val="center"/>
              <w:rPr>
                <w:rFonts w:ascii="Times New Roman" w:hAnsi="Times New Roman" w:cs="Times New Roman"/>
                <w:sz w:val="18"/>
                <w:szCs w:val="18"/>
              </w:rPr>
            </w:pPr>
            <w:r w:rsidRPr="00987419">
              <w:rPr>
                <w:rFonts w:ascii="Times New Roman" w:hAnsi="Times New Roman" w:cs="Times New Roman"/>
                <w:b/>
                <w:sz w:val="18"/>
                <w:szCs w:val="18"/>
              </w:rPr>
              <w:t>Dry Season</w:t>
            </w:r>
          </w:p>
        </w:tc>
      </w:tr>
      <w:tr w:rsidR="001D5843" w14:paraId="36445396" w14:textId="77777777" w:rsidTr="00442CBD">
        <w:trPr>
          <w:trHeight w:val="70"/>
        </w:trPr>
        <w:tc>
          <w:tcPr>
            <w:tcW w:w="1483" w:type="dxa"/>
            <w:tcBorders>
              <w:top w:val="single" w:sz="4" w:space="0" w:color="auto"/>
              <w:bottom w:val="single" w:sz="4" w:space="0" w:color="auto"/>
            </w:tcBorders>
          </w:tcPr>
          <w:p w14:paraId="77CF9FCC"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b/>
                <w:sz w:val="18"/>
                <w:szCs w:val="18"/>
              </w:rPr>
              <w:t xml:space="preserve">Sample </w:t>
            </w:r>
          </w:p>
        </w:tc>
        <w:tc>
          <w:tcPr>
            <w:tcW w:w="1143" w:type="dxa"/>
            <w:tcBorders>
              <w:top w:val="single" w:sz="4" w:space="0" w:color="auto"/>
              <w:bottom w:val="single" w:sz="4" w:space="0" w:color="auto"/>
            </w:tcBorders>
          </w:tcPr>
          <w:p w14:paraId="73325B2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June </w:t>
            </w:r>
          </w:p>
        </w:tc>
        <w:tc>
          <w:tcPr>
            <w:tcW w:w="1226" w:type="dxa"/>
            <w:tcBorders>
              <w:top w:val="single" w:sz="4" w:space="0" w:color="auto"/>
              <w:bottom w:val="single" w:sz="4" w:space="0" w:color="auto"/>
            </w:tcBorders>
          </w:tcPr>
          <w:p w14:paraId="6DDFE5B8"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July </w:t>
            </w:r>
          </w:p>
        </w:tc>
        <w:tc>
          <w:tcPr>
            <w:tcW w:w="1236" w:type="dxa"/>
            <w:tcBorders>
              <w:top w:val="single" w:sz="4" w:space="0" w:color="auto"/>
              <w:bottom w:val="single" w:sz="4" w:space="0" w:color="auto"/>
            </w:tcBorders>
          </w:tcPr>
          <w:p w14:paraId="417CBC1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August </w:t>
            </w:r>
          </w:p>
        </w:tc>
        <w:tc>
          <w:tcPr>
            <w:tcW w:w="1402" w:type="dxa"/>
            <w:tcBorders>
              <w:top w:val="single" w:sz="4" w:space="0" w:color="auto"/>
              <w:bottom w:val="single" w:sz="4" w:space="0" w:color="auto"/>
            </w:tcBorders>
          </w:tcPr>
          <w:p w14:paraId="69491FD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November </w:t>
            </w:r>
          </w:p>
        </w:tc>
        <w:tc>
          <w:tcPr>
            <w:tcW w:w="1400" w:type="dxa"/>
            <w:tcBorders>
              <w:top w:val="single" w:sz="4" w:space="0" w:color="auto"/>
              <w:bottom w:val="single" w:sz="4" w:space="0" w:color="auto"/>
            </w:tcBorders>
          </w:tcPr>
          <w:p w14:paraId="35565DC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December </w:t>
            </w:r>
          </w:p>
        </w:tc>
        <w:tc>
          <w:tcPr>
            <w:tcW w:w="1404" w:type="dxa"/>
            <w:tcBorders>
              <w:top w:val="single" w:sz="4" w:space="0" w:color="auto"/>
              <w:bottom w:val="single" w:sz="4" w:space="0" w:color="auto"/>
            </w:tcBorders>
          </w:tcPr>
          <w:p w14:paraId="4D57A43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January </w:t>
            </w:r>
          </w:p>
        </w:tc>
      </w:tr>
      <w:tr w:rsidR="001D5843" w14:paraId="6612D8D5" w14:textId="77777777" w:rsidTr="00442CBD">
        <w:trPr>
          <w:trHeight w:val="70"/>
        </w:trPr>
        <w:tc>
          <w:tcPr>
            <w:tcW w:w="1483" w:type="dxa"/>
            <w:tcBorders>
              <w:top w:val="single" w:sz="4" w:space="0" w:color="auto"/>
              <w:bottom w:val="nil"/>
            </w:tcBorders>
          </w:tcPr>
          <w:p w14:paraId="76476766"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 </w:t>
            </w:r>
          </w:p>
        </w:tc>
        <w:tc>
          <w:tcPr>
            <w:tcW w:w="1143" w:type="dxa"/>
            <w:tcBorders>
              <w:top w:val="single" w:sz="4" w:space="0" w:color="auto"/>
              <w:bottom w:val="nil"/>
            </w:tcBorders>
          </w:tcPr>
          <w:p w14:paraId="2C569FF4"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0.42±0.24 </w:t>
            </w:r>
          </w:p>
        </w:tc>
        <w:tc>
          <w:tcPr>
            <w:tcW w:w="1226" w:type="dxa"/>
            <w:tcBorders>
              <w:top w:val="single" w:sz="4" w:space="0" w:color="auto"/>
              <w:bottom w:val="nil"/>
            </w:tcBorders>
          </w:tcPr>
          <w:p w14:paraId="12431CB3"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0.61±0.24 </w:t>
            </w:r>
          </w:p>
        </w:tc>
        <w:tc>
          <w:tcPr>
            <w:tcW w:w="1236" w:type="dxa"/>
            <w:tcBorders>
              <w:top w:val="single" w:sz="4" w:space="0" w:color="auto"/>
              <w:bottom w:val="nil"/>
            </w:tcBorders>
          </w:tcPr>
          <w:p w14:paraId="33B0B653"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0.14±0.24 </w:t>
            </w:r>
          </w:p>
        </w:tc>
        <w:tc>
          <w:tcPr>
            <w:tcW w:w="1402" w:type="dxa"/>
            <w:tcBorders>
              <w:top w:val="single" w:sz="4" w:space="0" w:color="auto"/>
              <w:bottom w:val="nil"/>
            </w:tcBorders>
          </w:tcPr>
          <w:p w14:paraId="1D4F69F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1.00±8.32 </w:t>
            </w:r>
          </w:p>
        </w:tc>
        <w:tc>
          <w:tcPr>
            <w:tcW w:w="1400" w:type="dxa"/>
            <w:tcBorders>
              <w:top w:val="single" w:sz="4" w:space="0" w:color="auto"/>
              <w:bottom w:val="nil"/>
            </w:tcBorders>
          </w:tcPr>
          <w:p w14:paraId="0AA0099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16.00±8.32 </w:t>
            </w:r>
          </w:p>
        </w:tc>
        <w:tc>
          <w:tcPr>
            <w:tcW w:w="1404" w:type="dxa"/>
            <w:tcBorders>
              <w:top w:val="single" w:sz="4" w:space="0" w:color="auto"/>
              <w:bottom w:val="nil"/>
            </w:tcBorders>
          </w:tcPr>
          <w:p w14:paraId="389C7A7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2.25±8.32 </w:t>
            </w:r>
          </w:p>
        </w:tc>
      </w:tr>
      <w:tr w:rsidR="001D5843" w14:paraId="21E237B8" w14:textId="77777777" w:rsidTr="00442CBD">
        <w:trPr>
          <w:trHeight w:val="70"/>
        </w:trPr>
        <w:tc>
          <w:tcPr>
            <w:tcW w:w="1483" w:type="dxa"/>
            <w:tcBorders>
              <w:top w:val="nil"/>
            </w:tcBorders>
          </w:tcPr>
          <w:p w14:paraId="7C1546A8"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2 </w:t>
            </w:r>
          </w:p>
        </w:tc>
        <w:tc>
          <w:tcPr>
            <w:tcW w:w="1143" w:type="dxa"/>
            <w:tcBorders>
              <w:top w:val="nil"/>
            </w:tcBorders>
          </w:tcPr>
          <w:p w14:paraId="57448EB8"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0.25±0.05 </w:t>
            </w:r>
          </w:p>
        </w:tc>
        <w:tc>
          <w:tcPr>
            <w:tcW w:w="1226" w:type="dxa"/>
            <w:tcBorders>
              <w:top w:val="nil"/>
            </w:tcBorders>
          </w:tcPr>
          <w:p w14:paraId="7C24141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0.28±0.05 </w:t>
            </w:r>
          </w:p>
        </w:tc>
        <w:tc>
          <w:tcPr>
            <w:tcW w:w="1236" w:type="dxa"/>
            <w:tcBorders>
              <w:top w:val="nil"/>
            </w:tcBorders>
          </w:tcPr>
          <w:p w14:paraId="0F22A73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0.19±0.05 </w:t>
            </w:r>
          </w:p>
        </w:tc>
        <w:tc>
          <w:tcPr>
            <w:tcW w:w="1402" w:type="dxa"/>
            <w:tcBorders>
              <w:top w:val="nil"/>
            </w:tcBorders>
          </w:tcPr>
          <w:p w14:paraId="3F76D20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10.20±4.72 </w:t>
            </w:r>
          </w:p>
        </w:tc>
        <w:tc>
          <w:tcPr>
            <w:tcW w:w="1400" w:type="dxa"/>
            <w:tcBorders>
              <w:top w:val="nil"/>
            </w:tcBorders>
          </w:tcPr>
          <w:p w14:paraId="4C656FC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6.00±4.72 </w:t>
            </w:r>
          </w:p>
        </w:tc>
        <w:tc>
          <w:tcPr>
            <w:tcW w:w="1404" w:type="dxa"/>
            <w:tcBorders>
              <w:top w:val="nil"/>
            </w:tcBorders>
          </w:tcPr>
          <w:p w14:paraId="6A7EE9F4"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0.78±4.72 </w:t>
            </w:r>
          </w:p>
        </w:tc>
      </w:tr>
      <w:tr w:rsidR="001D5843" w14:paraId="6CB3D819" w14:textId="77777777" w:rsidTr="00442CBD">
        <w:trPr>
          <w:trHeight w:val="70"/>
        </w:trPr>
        <w:tc>
          <w:tcPr>
            <w:tcW w:w="1483" w:type="dxa"/>
          </w:tcPr>
          <w:p w14:paraId="7E804DE7"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3 </w:t>
            </w:r>
          </w:p>
        </w:tc>
        <w:tc>
          <w:tcPr>
            <w:tcW w:w="1143" w:type="dxa"/>
          </w:tcPr>
          <w:p w14:paraId="1B39A2B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0.38±0.10 </w:t>
            </w:r>
          </w:p>
        </w:tc>
        <w:tc>
          <w:tcPr>
            <w:tcW w:w="1226" w:type="dxa"/>
          </w:tcPr>
          <w:p w14:paraId="0D24DE0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0.46±0.10 </w:t>
            </w:r>
          </w:p>
        </w:tc>
        <w:tc>
          <w:tcPr>
            <w:tcW w:w="1236" w:type="dxa"/>
          </w:tcPr>
          <w:p w14:paraId="5A66F40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0.27±0.10 </w:t>
            </w:r>
          </w:p>
        </w:tc>
        <w:tc>
          <w:tcPr>
            <w:tcW w:w="1402" w:type="dxa"/>
          </w:tcPr>
          <w:p w14:paraId="3AABCA6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8.00 </w:t>
            </w:r>
          </w:p>
        </w:tc>
        <w:tc>
          <w:tcPr>
            <w:tcW w:w="1400" w:type="dxa"/>
          </w:tcPr>
          <w:p w14:paraId="6B812E9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4" w:type="dxa"/>
          </w:tcPr>
          <w:p w14:paraId="55E5D1F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r>
      <w:tr w:rsidR="001D5843" w14:paraId="714C10ED" w14:textId="77777777" w:rsidTr="00442CBD">
        <w:trPr>
          <w:trHeight w:val="70"/>
        </w:trPr>
        <w:tc>
          <w:tcPr>
            <w:tcW w:w="1483" w:type="dxa"/>
          </w:tcPr>
          <w:p w14:paraId="4A763736"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4 </w:t>
            </w:r>
          </w:p>
        </w:tc>
        <w:tc>
          <w:tcPr>
            <w:tcW w:w="1143" w:type="dxa"/>
          </w:tcPr>
          <w:p w14:paraId="3430DD7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0.26±0.04 </w:t>
            </w:r>
          </w:p>
        </w:tc>
        <w:tc>
          <w:tcPr>
            <w:tcW w:w="1226" w:type="dxa"/>
          </w:tcPr>
          <w:p w14:paraId="51AD300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0.30±0.04 </w:t>
            </w:r>
          </w:p>
        </w:tc>
        <w:tc>
          <w:tcPr>
            <w:tcW w:w="1236" w:type="dxa"/>
          </w:tcPr>
          <w:p w14:paraId="7C18DB9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0.33±0.04 </w:t>
            </w:r>
          </w:p>
        </w:tc>
        <w:tc>
          <w:tcPr>
            <w:tcW w:w="1402" w:type="dxa"/>
          </w:tcPr>
          <w:p w14:paraId="60AD9955"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0" w:type="dxa"/>
          </w:tcPr>
          <w:p w14:paraId="7EE02B6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4" w:type="dxa"/>
          </w:tcPr>
          <w:p w14:paraId="78EE8408"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0.65 </w:t>
            </w:r>
          </w:p>
        </w:tc>
      </w:tr>
      <w:tr w:rsidR="001D5843" w14:paraId="0765B5F5" w14:textId="77777777" w:rsidTr="00442CBD">
        <w:trPr>
          <w:trHeight w:val="70"/>
        </w:trPr>
        <w:tc>
          <w:tcPr>
            <w:tcW w:w="1483" w:type="dxa"/>
          </w:tcPr>
          <w:p w14:paraId="0E325534"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5 </w:t>
            </w:r>
          </w:p>
        </w:tc>
        <w:tc>
          <w:tcPr>
            <w:tcW w:w="1143" w:type="dxa"/>
          </w:tcPr>
          <w:p w14:paraId="3BFB5E2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0.24±0.06 </w:t>
            </w:r>
          </w:p>
        </w:tc>
        <w:tc>
          <w:tcPr>
            <w:tcW w:w="1226" w:type="dxa"/>
          </w:tcPr>
          <w:p w14:paraId="35586CE4"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0.28±0.06 </w:t>
            </w:r>
          </w:p>
        </w:tc>
        <w:tc>
          <w:tcPr>
            <w:tcW w:w="1236" w:type="dxa"/>
          </w:tcPr>
          <w:p w14:paraId="1C56356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0.36±0.06 </w:t>
            </w:r>
          </w:p>
        </w:tc>
        <w:tc>
          <w:tcPr>
            <w:tcW w:w="1402" w:type="dxa"/>
          </w:tcPr>
          <w:p w14:paraId="324C853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2.01±14.06 </w:t>
            </w:r>
          </w:p>
        </w:tc>
        <w:tc>
          <w:tcPr>
            <w:tcW w:w="1400" w:type="dxa"/>
          </w:tcPr>
          <w:p w14:paraId="3C9E868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26.30±14.06 </w:t>
            </w:r>
          </w:p>
        </w:tc>
        <w:tc>
          <w:tcPr>
            <w:tcW w:w="1404" w:type="dxa"/>
          </w:tcPr>
          <w:p w14:paraId="289C188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1.89±14.06 </w:t>
            </w:r>
          </w:p>
        </w:tc>
      </w:tr>
      <w:tr w:rsidR="001D5843" w14:paraId="7376A06B" w14:textId="77777777" w:rsidTr="00442CBD">
        <w:trPr>
          <w:trHeight w:val="70"/>
        </w:trPr>
        <w:tc>
          <w:tcPr>
            <w:tcW w:w="1483" w:type="dxa"/>
          </w:tcPr>
          <w:p w14:paraId="64023358"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6 </w:t>
            </w:r>
          </w:p>
        </w:tc>
        <w:tc>
          <w:tcPr>
            <w:tcW w:w="1143" w:type="dxa"/>
          </w:tcPr>
          <w:p w14:paraId="4378B1C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0.20±0.11 </w:t>
            </w:r>
          </w:p>
        </w:tc>
        <w:tc>
          <w:tcPr>
            <w:tcW w:w="1226" w:type="dxa"/>
          </w:tcPr>
          <w:p w14:paraId="0848EDF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0.23±0.11 </w:t>
            </w:r>
          </w:p>
        </w:tc>
        <w:tc>
          <w:tcPr>
            <w:tcW w:w="1236" w:type="dxa"/>
          </w:tcPr>
          <w:p w14:paraId="70DE124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0.41±0.11 </w:t>
            </w:r>
          </w:p>
        </w:tc>
        <w:tc>
          <w:tcPr>
            <w:tcW w:w="1402" w:type="dxa"/>
          </w:tcPr>
          <w:p w14:paraId="1270A0D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6.23±12.46 </w:t>
            </w:r>
          </w:p>
        </w:tc>
        <w:tc>
          <w:tcPr>
            <w:tcW w:w="1400" w:type="dxa"/>
          </w:tcPr>
          <w:p w14:paraId="05D7FB0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26.00±12.46 </w:t>
            </w:r>
          </w:p>
        </w:tc>
        <w:tc>
          <w:tcPr>
            <w:tcW w:w="1404" w:type="dxa"/>
          </w:tcPr>
          <w:p w14:paraId="49C7077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2.98±12.46 </w:t>
            </w:r>
          </w:p>
        </w:tc>
      </w:tr>
      <w:tr w:rsidR="001D5843" w14:paraId="2A5B8973" w14:textId="77777777" w:rsidTr="00442CBD">
        <w:trPr>
          <w:trHeight w:val="70"/>
        </w:trPr>
        <w:tc>
          <w:tcPr>
            <w:tcW w:w="1483" w:type="dxa"/>
          </w:tcPr>
          <w:p w14:paraId="28F5258E"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7 </w:t>
            </w:r>
          </w:p>
        </w:tc>
        <w:tc>
          <w:tcPr>
            <w:tcW w:w="1143" w:type="dxa"/>
          </w:tcPr>
          <w:p w14:paraId="5FAE75A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0.22±0.09 </w:t>
            </w:r>
          </w:p>
        </w:tc>
        <w:tc>
          <w:tcPr>
            <w:tcW w:w="1226" w:type="dxa"/>
          </w:tcPr>
          <w:p w14:paraId="42E462E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0.27±0.09 </w:t>
            </w:r>
          </w:p>
        </w:tc>
        <w:tc>
          <w:tcPr>
            <w:tcW w:w="1236" w:type="dxa"/>
          </w:tcPr>
          <w:p w14:paraId="4EB4277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0.40±0.09 </w:t>
            </w:r>
          </w:p>
        </w:tc>
        <w:tc>
          <w:tcPr>
            <w:tcW w:w="1402" w:type="dxa"/>
          </w:tcPr>
          <w:p w14:paraId="7059F1D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0.98±13.09 </w:t>
            </w:r>
          </w:p>
        </w:tc>
        <w:tc>
          <w:tcPr>
            <w:tcW w:w="1400" w:type="dxa"/>
          </w:tcPr>
          <w:p w14:paraId="45A0A6F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18.98±13.09 </w:t>
            </w:r>
          </w:p>
        </w:tc>
        <w:tc>
          <w:tcPr>
            <w:tcW w:w="1404" w:type="dxa"/>
          </w:tcPr>
          <w:p w14:paraId="3F3333E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26.45±13.09 </w:t>
            </w:r>
          </w:p>
        </w:tc>
      </w:tr>
      <w:tr w:rsidR="001D5843" w14:paraId="15FD0F96" w14:textId="77777777" w:rsidTr="00442CBD">
        <w:trPr>
          <w:trHeight w:val="70"/>
        </w:trPr>
        <w:tc>
          <w:tcPr>
            <w:tcW w:w="1483" w:type="dxa"/>
          </w:tcPr>
          <w:p w14:paraId="14B4DAC5"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8 </w:t>
            </w:r>
          </w:p>
        </w:tc>
        <w:tc>
          <w:tcPr>
            <w:tcW w:w="1143" w:type="dxa"/>
          </w:tcPr>
          <w:p w14:paraId="793970C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0.25±0.08 </w:t>
            </w:r>
          </w:p>
        </w:tc>
        <w:tc>
          <w:tcPr>
            <w:tcW w:w="1226" w:type="dxa"/>
          </w:tcPr>
          <w:p w14:paraId="2BA9ACB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0.31±0.08 </w:t>
            </w:r>
          </w:p>
        </w:tc>
        <w:tc>
          <w:tcPr>
            <w:tcW w:w="1236" w:type="dxa"/>
          </w:tcPr>
          <w:p w14:paraId="2753912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0.40±0.08 </w:t>
            </w:r>
          </w:p>
        </w:tc>
        <w:tc>
          <w:tcPr>
            <w:tcW w:w="1402" w:type="dxa"/>
          </w:tcPr>
          <w:p w14:paraId="4BF4EA4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9.00±6.29 </w:t>
            </w:r>
          </w:p>
        </w:tc>
        <w:tc>
          <w:tcPr>
            <w:tcW w:w="1400" w:type="dxa"/>
          </w:tcPr>
          <w:p w14:paraId="0DCD50F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17.21±6.29 </w:t>
            </w:r>
          </w:p>
        </w:tc>
        <w:tc>
          <w:tcPr>
            <w:tcW w:w="1404" w:type="dxa"/>
          </w:tcPr>
          <w:p w14:paraId="18A8923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21.36±6.29 </w:t>
            </w:r>
          </w:p>
        </w:tc>
      </w:tr>
      <w:tr w:rsidR="001D5843" w14:paraId="0F43D572" w14:textId="77777777" w:rsidTr="00442CBD">
        <w:trPr>
          <w:trHeight w:val="70"/>
        </w:trPr>
        <w:tc>
          <w:tcPr>
            <w:tcW w:w="1483" w:type="dxa"/>
          </w:tcPr>
          <w:p w14:paraId="284BA04C"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9 </w:t>
            </w:r>
          </w:p>
        </w:tc>
        <w:tc>
          <w:tcPr>
            <w:tcW w:w="1143" w:type="dxa"/>
          </w:tcPr>
          <w:p w14:paraId="78513CE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0.38±0.07 </w:t>
            </w:r>
          </w:p>
        </w:tc>
        <w:tc>
          <w:tcPr>
            <w:tcW w:w="1226" w:type="dxa"/>
          </w:tcPr>
          <w:p w14:paraId="5F9B4E93"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0.41±0.07 </w:t>
            </w:r>
          </w:p>
        </w:tc>
        <w:tc>
          <w:tcPr>
            <w:tcW w:w="1236" w:type="dxa"/>
          </w:tcPr>
          <w:p w14:paraId="64224E9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0.51±0.07 </w:t>
            </w:r>
          </w:p>
        </w:tc>
        <w:tc>
          <w:tcPr>
            <w:tcW w:w="1402" w:type="dxa"/>
          </w:tcPr>
          <w:p w14:paraId="132EEED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5.00±7.71 </w:t>
            </w:r>
          </w:p>
        </w:tc>
        <w:tc>
          <w:tcPr>
            <w:tcW w:w="1400" w:type="dxa"/>
          </w:tcPr>
          <w:p w14:paraId="0A8DC07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17.32±7.71 </w:t>
            </w:r>
          </w:p>
        </w:tc>
        <w:tc>
          <w:tcPr>
            <w:tcW w:w="1404" w:type="dxa"/>
          </w:tcPr>
          <w:p w14:paraId="7B1C7F1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19.20±7.71 </w:t>
            </w:r>
          </w:p>
        </w:tc>
      </w:tr>
      <w:tr w:rsidR="001D5843" w14:paraId="7EB696A5" w14:textId="77777777" w:rsidTr="00442CBD">
        <w:trPr>
          <w:trHeight w:val="70"/>
        </w:trPr>
        <w:tc>
          <w:tcPr>
            <w:tcW w:w="1483" w:type="dxa"/>
          </w:tcPr>
          <w:p w14:paraId="38602C4A"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10 </w:t>
            </w:r>
          </w:p>
        </w:tc>
        <w:tc>
          <w:tcPr>
            <w:tcW w:w="1143" w:type="dxa"/>
          </w:tcPr>
          <w:p w14:paraId="5C8FDD5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0.26±0.22 </w:t>
            </w:r>
          </w:p>
        </w:tc>
        <w:tc>
          <w:tcPr>
            <w:tcW w:w="1226" w:type="dxa"/>
          </w:tcPr>
          <w:p w14:paraId="162C0165"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0.31±0.22 </w:t>
            </w:r>
          </w:p>
        </w:tc>
        <w:tc>
          <w:tcPr>
            <w:tcW w:w="1236" w:type="dxa"/>
          </w:tcPr>
          <w:p w14:paraId="313E338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0.66±0.22 </w:t>
            </w:r>
          </w:p>
        </w:tc>
        <w:tc>
          <w:tcPr>
            <w:tcW w:w="1402" w:type="dxa"/>
          </w:tcPr>
          <w:p w14:paraId="3A4C29A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5.62±6.87 </w:t>
            </w:r>
          </w:p>
        </w:tc>
        <w:tc>
          <w:tcPr>
            <w:tcW w:w="1400" w:type="dxa"/>
          </w:tcPr>
          <w:p w14:paraId="16E68A1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14.58±6.87 </w:t>
            </w:r>
          </w:p>
        </w:tc>
        <w:tc>
          <w:tcPr>
            <w:tcW w:w="1404" w:type="dxa"/>
          </w:tcPr>
          <w:p w14:paraId="254C6475"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19.13±6.87 </w:t>
            </w:r>
          </w:p>
        </w:tc>
      </w:tr>
      <w:tr w:rsidR="001D5843" w14:paraId="0EFABD72" w14:textId="77777777" w:rsidTr="00442CBD">
        <w:trPr>
          <w:trHeight w:val="70"/>
        </w:trPr>
        <w:tc>
          <w:tcPr>
            <w:tcW w:w="1483" w:type="dxa"/>
          </w:tcPr>
          <w:p w14:paraId="3DBE3659"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11 </w:t>
            </w:r>
          </w:p>
        </w:tc>
        <w:tc>
          <w:tcPr>
            <w:tcW w:w="1143" w:type="dxa"/>
          </w:tcPr>
          <w:p w14:paraId="4537B84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0.41±0.19 </w:t>
            </w:r>
          </w:p>
        </w:tc>
        <w:tc>
          <w:tcPr>
            <w:tcW w:w="1226" w:type="dxa"/>
          </w:tcPr>
          <w:p w14:paraId="05A5E56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0.45±0.19 </w:t>
            </w:r>
          </w:p>
        </w:tc>
        <w:tc>
          <w:tcPr>
            <w:tcW w:w="1236" w:type="dxa"/>
          </w:tcPr>
          <w:p w14:paraId="485F215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0.75±0.19 </w:t>
            </w:r>
          </w:p>
        </w:tc>
        <w:tc>
          <w:tcPr>
            <w:tcW w:w="1402" w:type="dxa"/>
          </w:tcPr>
          <w:p w14:paraId="048F274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8.56±8.17 </w:t>
            </w:r>
          </w:p>
        </w:tc>
        <w:tc>
          <w:tcPr>
            <w:tcW w:w="1400" w:type="dxa"/>
          </w:tcPr>
          <w:p w14:paraId="02E1ACE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4" w:type="dxa"/>
          </w:tcPr>
          <w:p w14:paraId="26B1D30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20.12±8.17 </w:t>
            </w:r>
          </w:p>
        </w:tc>
      </w:tr>
      <w:tr w:rsidR="001D5843" w14:paraId="21B8660A" w14:textId="77777777" w:rsidTr="00442CBD">
        <w:trPr>
          <w:trHeight w:val="70"/>
        </w:trPr>
        <w:tc>
          <w:tcPr>
            <w:tcW w:w="1483" w:type="dxa"/>
          </w:tcPr>
          <w:p w14:paraId="44428479"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12 </w:t>
            </w:r>
          </w:p>
        </w:tc>
        <w:tc>
          <w:tcPr>
            <w:tcW w:w="1143" w:type="dxa"/>
          </w:tcPr>
          <w:p w14:paraId="46E0E96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0.20±0.73 </w:t>
            </w:r>
          </w:p>
        </w:tc>
        <w:tc>
          <w:tcPr>
            <w:tcW w:w="1226" w:type="dxa"/>
          </w:tcPr>
          <w:p w14:paraId="3D67E1C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0.35±0.73 </w:t>
            </w:r>
          </w:p>
        </w:tc>
        <w:tc>
          <w:tcPr>
            <w:tcW w:w="1236" w:type="dxa"/>
          </w:tcPr>
          <w:p w14:paraId="554D475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1.53±0.73 </w:t>
            </w:r>
          </w:p>
        </w:tc>
        <w:tc>
          <w:tcPr>
            <w:tcW w:w="1402" w:type="dxa"/>
          </w:tcPr>
          <w:p w14:paraId="10B6A95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16.21±6.25 </w:t>
            </w:r>
          </w:p>
        </w:tc>
        <w:tc>
          <w:tcPr>
            <w:tcW w:w="1400" w:type="dxa"/>
          </w:tcPr>
          <w:p w14:paraId="4A8BA5E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5.00±6.25 </w:t>
            </w:r>
          </w:p>
        </w:tc>
        <w:tc>
          <w:tcPr>
            <w:tcW w:w="1404" w:type="dxa"/>
          </w:tcPr>
          <w:p w14:paraId="6A678DD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15.41±6.25 </w:t>
            </w:r>
          </w:p>
        </w:tc>
      </w:tr>
    </w:tbl>
    <w:p w14:paraId="3A2F62AD" w14:textId="77777777" w:rsidR="001D5843" w:rsidRDefault="001D5843" w:rsidP="007D07BB">
      <w:pPr>
        <w:spacing w:after="120"/>
        <w:jc w:val="both"/>
        <w:rPr>
          <w:rFonts w:ascii="Times New Roman" w:hAnsi="Times New Roman" w:cs="Times New Roman"/>
        </w:rPr>
      </w:pPr>
    </w:p>
    <w:p w14:paraId="46E966E8" w14:textId="77777777" w:rsidR="00D63AD5" w:rsidRPr="00D63AD5" w:rsidRDefault="00D63AD5" w:rsidP="00D63AD5">
      <w:pPr>
        <w:pStyle w:val="NormalWeb"/>
        <w:spacing w:before="0" w:beforeAutospacing="0" w:after="120" w:afterAutospacing="0"/>
        <w:jc w:val="both"/>
        <w:rPr>
          <w:sz w:val="22"/>
        </w:rPr>
      </w:pPr>
      <w:r w:rsidRPr="00D63AD5">
        <w:rPr>
          <w:sz w:val="22"/>
        </w:rPr>
        <w:t>In Table 7, the sulphate concentrations across the sampling locations were generally very low during the wet season, with values mostly below 1 mg/L. This suggests minimal sulphate contamination and limited influence of sulphate-rich minerals or industrial activities during the rainy period.</w:t>
      </w:r>
    </w:p>
    <w:p w14:paraId="031DA6E1" w14:textId="25975687" w:rsidR="007D07BB" w:rsidRDefault="00D63AD5" w:rsidP="00D63AD5">
      <w:pPr>
        <w:pStyle w:val="NormalWeb"/>
        <w:spacing w:before="0" w:beforeAutospacing="0" w:after="120" w:afterAutospacing="0"/>
        <w:jc w:val="both"/>
        <w:rPr>
          <w:sz w:val="22"/>
        </w:rPr>
      </w:pPr>
      <w:r w:rsidRPr="00D63AD5">
        <w:rPr>
          <w:sz w:val="22"/>
        </w:rPr>
        <w:t>In contrast, dry-season sulphate concentrations increased markedly in several boreholes, with some samples recording values exceeding 20 mg/L. The increase during the dry season may be linked to enhanced mineral dissolution, reduced dilution, and possible leaching from anthropogenic sources such as waste deposits. Although sulphate levels increased during the dry season, all recorded values were far below the WHO permissible limit of 250 mg/L, indicating no adverse health implications.</w:t>
      </w:r>
      <w:r w:rsidR="003F5FE2">
        <w:rPr>
          <w:sz w:val="22"/>
        </w:rPr>
        <w:t xml:space="preserve"> The seasonal variation of </w:t>
      </w:r>
      <w:proofErr w:type="spellStart"/>
      <w:r w:rsidR="003F5FE2" w:rsidRPr="00D63AD5">
        <w:rPr>
          <w:sz w:val="22"/>
        </w:rPr>
        <w:t>sulphate</w:t>
      </w:r>
      <w:proofErr w:type="spellEnd"/>
      <w:r w:rsidR="003F5FE2" w:rsidRPr="00D63AD5">
        <w:rPr>
          <w:sz w:val="22"/>
        </w:rPr>
        <w:t xml:space="preserve"> concentrations across the sampling locations </w:t>
      </w:r>
      <w:r w:rsidR="003F5FE2">
        <w:rPr>
          <w:sz w:val="22"/>
        </w:rPr>
        <w:t>is visualized in Figure 6.</w:t>
      </w:r>
    </w:p>
    <w:p w14:paraId="284FCF1D" w14:textId="77777777" w:rsidR="00F43207" w:rsidRPr="00740BD2" w:rsidRDefault="00F43207" w:rsidP="00F43207">
      <w:pPr>
        <w:spacing w:after="0" w:line="240" w:lineRule="auto"/>
        <w:jc w:val="center"/>
        <w:rPr>
          <w:rFonts w:ascii="Times New Roman" w:hAnsi="Times New Roman" w:cs="Times New Roman"/>
          <w:sz w:val="24"/>
          <w:szCs w:val="24"/>
        </w:rPr>
      </w:pPr>
      <w:r w:rsidRPr="00740BD2">
        <w:rPr>
          <w:rFonts w:ascii="Times New Roman" w:hAnsi="Times New Roman" w:cs="Times New Roman"/>
          <w:noProof/>
          <w:sz w:val="24"/>
          <w:szCs w:val="24"/>
        </w:rPr>
        <w:lastRenderedPageBreak/>
        <w:drawing>
          <wp:inline distT="0" distB="0" distL="0" distR="0" wp14:anchorId="7C43BF18" wp14:editId="7BC7CC3E">
            <wp:extent cx="4206240" cy="2798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240" cy="2798064"/>
                    </a:xfrm>
                    <a:prstGeom prst="rect">
                      <a:avLst/>
                    </a:prstGeom>
                    <a:noFill/>
                    <a:ln>
                      <a:noFill/>
                    </a:ln>
                  </pic:spPr>
                </pic:pic>
              </a:graphicData>
            </a:graphic>
          </wp:inline>
        </w:drawing>
      </w:r>
    </w:p>
    <w:p w14:paraId="1C4BF056" w14:textId="23CC8EE6" w:rsidR="00F43207" w:rsidRPr="00F43207" w:rsidRDefault="00F43207" w:rsidP="00F43207">
      <w:pPr>
        <w:pStyle w:val="NormalWeb"/>
        <w:spacing w:before="0" w:beforeAutospacing="0" w:after="120" w:afterAutospacing="0"/>
        <w:jc w:val="center"/>
        <w:rPr>
          <w:sz w:val="20"/>
        </w:rPr>
      </w:pPr>
      <w:r w:rsidRPr="00F43207">
        <w:rPr>
          <w:b/>
          <w:sz w:val="22"/>
        </w:rPr>
        <w:t>Figure 6.</w:t>
      </w:r>
      <w:r w:rsidRPr="00F43207">
        <w:rPr>
          <w:b/>
          <w:sz w:val="22"/>
        </w:rPr>
        <w:t xml:space="preserve"> Sulfate Concentration in Borehole Water Samples</w:t>
      </w:r>
    </w:p>
    <w:p w14:paraId="2397BBFD" w14:textId="77777777" w:rsidR="001D5843" w:rsidRPr="005037E5" w:rsidRDefault="007D07BB" w:rsidP="007D07BB">
      <w:pPr>
        <w:spacing w:after="120"/>
        <w:jc w:val="both"/>
        <w:rPr>
          <w:rFonts w:ascii="Times New Roman" w:hAnsi="Times New Roman" w:cs="Times New Roman"/>
          <w:b/>
        </w:rPr>
      </w:pPr>
      <w:r w:rsidRPr="005037E5">
        <w:rPr>
          <w:rFonts w:ascii="Times New Roman" w:hAnsi="Times New Roman" w:cs="Times New Roman"/>
          <w:b/>
        </w:rPr>
        <w:t>Table 8. Assessment and Seasonal Variations in Nitrate Concentration</w:t>
      </w:r>
    </w:p>
    <w:tbl>
      <w:tblPr>
        <w:tblStyle w:val="TableGrid"/>
        <w:tblW w:w="9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267"/>
        <w:gridCol w:w="1268"/>
        <w:gridCol w:w="1383"/>
        <w:gridCol w:w="1385"/>
        <w:gridCol w:w="1404"/>
        <w:gridCol w:w="1278"/>
      </w:tblGrid>
      <w:tr w:rsidR="00D20639" w14:paraId="58C7C2AF" w14:textId="77777777" w:rsidTr="00D12242">
        <w:trPr>
          <w:trHeight w:val="125"/>
        </w:trPr>
        <w:tc>
          <w:tcPr>
            <w:tcW w:w="1304" w:type="dxa"/>
            <w:tcBorders>
              <w:top w:val="single" w:sz="4" w:space="0" w:color="auto"/>
              <w:bottom w:val="single" w:sz="4" w:space="0" w:color="auto"/>
            </w:tcBorders>
          </w:tcPr>
          <w:p w14:paraId="0F139FDF" w14:textId="77777777" w:rsidR="00D20639" w:rsidRPr="00D20639" w:rsidRDefault="00D74900" w:rsidP="00D20639">
            <w:pPr>
              <w:ind w:left="123"/>
              <w:jc w:val="both"/>
              <w:rPr>
                <w:rFonts w:ascii="Times New Roman" w:hAnsi="Times New Roman" w:cs="Times New Roman"/>
                <w:sz w:val="18"/>
                <w:szCs w:val="18"/>
              </w:rPr>
            </w:pPr>
            <m:oMath>
              <m:sSubSup>
                <m:sSubSupPr>
                  <m:ctrlPr>
                    <w:rPr>
                      <w:rFonts w:ascii="Cambria Math" w:hAnsi="Cambria Math" w:cs="Times New Roman"/>
                      <w:b/>
                      <w:i/>
                      <w:sz w:val="18"/>
                      <w:szCs w:val="18"/>
                    </w:rPr>
                  </m:ctrlPr>
                </m:sSubSupPr>
                <m:e>
                  <m:r>
                    <m:rPr>
                      <m:sty m:val="bi"/>
                    </m:rPr>
                    <w:rPr>
                      <w:rFonts w:ascii="Cambria Math" w:hAnsi="Cambria Math" w:cs="Times New Roman"/>
                      <w:sz w:val="18"/>
                      <w:szCs w:val="18"/>
                    </w:rPr>
                    <m:t>NO</m:t>
                  </m:r>
                </m:e>
                <m:sub>
                  <m:r>
                    <m:rPr>
                      <m:sty m:val="bi"/>
                    </m:rPr>
                    <w:rPr>
                      <w:rFonts w:ascii="Cambria Math" w:hAnsi="Cambria Math" w:cs="Times New Roman"/>
                      <w:sz w:val="18"/>
                      <w:szCs w:val="18"/>
                    </w:rPr>
                    <m:t>3</m:t>
                  </m:r>
                </m:sub>
                <m:sup>
                  <m:r>
                    <m:rPr>
                      <m:sty m:val="bi"/>
                    </m:rPr>
                    <w:rPr>
                      <w:rFonts w:ascii="Cambria Math" w:hAnsi="Cambria Math" w:cs="Times New Roman"/>
                      <w:sz w:val="18"/>
                      <w:szCs w:val="18"/>
                    </w:rPr>
                    <m:t>-</m:t>
                  </m:r>
                </m:sup>
              </m:sSubSup>
            </m:oMath>
            <w:r w:rsidR="00D20639">
              <w:rPr>
                <w:rFonts w:ascii="Times New Roman" w:hAnsi="Times New Roman" w:cs="Times New Roman"/>
                <w:b/>
                <w:sz w:val="18"/>
                <w:szCs w:val="18"/>
              </w:rPr>
              <w:t xml:space="preserve"> </w:t>
            </w:r>
            <w:r w:rsidR="00D20639" w:rsidRPr="00D20639">
              <w:rPr>
                <w:rFonts w:ascii="Times New Roman" w:hAnsi="Times New Roman" w:cs="Times New Roman"/>
                <w:b/>
                <w:sz w:val="18"/>
                <w:szCs w:val="18"/>
              </w:rPr>
              <w:t xml:space="preserve">(mg/L) </w:t>
            </w:r>
          </w:p>
        </w:tc>
        <w:tc>
          <w:tcPr>
            <w:tcW w:w="3918" w:type="dxa"/>
            <w:gridSpan w:val="3"/>
            <w:tcBorders>
              <w:top w:val="single" w:sz="4" w:space="0" w:color="auto"/>
              <w:bottom w:val="single" w:sz="4" w:space="0" w:color="auto"/>
            </w:tcBorders>
          </w:tcPr>
          <w:p w14:paraId="7EE8F903" w14:textId="77777777" w:rsidR="00D20639" w:rsidRPr="00D20639" w:rsidRDefault="00D20639" w:rsidP="00D20639">
            <w:pPr>
              <w:jc w:val="center"/>
              <w:rPr>
                <w:rFonts w:ascii="Times New Roman" w:hAnsi="Times New Roman" w:cs="Times New Roman"/>
                <w:sz w:val="18"/>
                <w:szCs w:val="18"/>
              </w:rPr>
            </w:pPr>
            <w:r w:rsidRPr="00D20639">
              <w:rPr>
                <w:rFonts w:ascii="Times New Roman" w:hAnsi="Times New Roman" w:cs="Times New Roman"/>
                <w:b/>
                <w:sz w:val="18"/>
                <w:szCs w:val="18"/>
              </w:rPr>
              <w:t>Wet Season</w:t>
            </w:r>
          </w:p>
        </w:tc>
        <w:tc>
          <w:tcPr>
            <w:tcW w:w="4067" w:type="dxa"/>
            <w:gridSpan w:val="3"/>
            <w:tcBorders>
              <w:top w:val="single" w:sz="4" w:space="0" w:color="auto"/>
              <w:bottom w:val="single" w:sz="4" w:space="0" w:color="auto"/>
            </w:tcBorders>
          </w:tcPr>
          <w:p w14:paraId="4AA5E179" w14:textId="77777777" w:rsidR="00D20639" w:rsidRPr="00D20639" w:rsidRDefault="00D20639" w:rsidP="00D20639">
            <w:pPr>
              <w:jc w:val="center"/>
              <w:rPr>
                <w:rFonts w:ascii="Times New Roman" w:hAnsi="Times New Roman" w:cs="Times New Roman"/>
                <w:sz w:val="18"/>
                <w:szCs w:val="18"/>
              </w:rPr>
            </w:pPr>
            <w:r w:rsidRPr="00D20639">
              <w:rPr>
                <w:rFonts w:ascii="Times New Roman" w:hAnsi="Times New Roman" w:cs="Times New Roman"/>
                <w:b/>
                <w:sz w:val="18"/>
                <w:szCs w:val="18"/>
              </w:rPr>
              <w:t>Dry Season</w:t>
            </w:r>
          </w:p>
        </w:tc>
      </w:tr>
      <w:tr w:rsidR="001D5843" w14:paraId="3F018C67" w14:textId="77777777" w:rsidTr="00D12242">
        <w:trPr>
          <w:trHeight w:val="70"/>
        </w:trPr>
        <w:tc>
          <w:tcPr>
            <w:tcW w:w="1304" w:type="dxa"/>
            <w:tcBorders>
              <w:top w:val="single" w:sz="4" w:space="0" w:color="auto"/>
              <w:bottom w:val="single" w:sz="4" w:space="0" w:color="auto"/>
            </w:tcBorders>
          </w:tcPr>
          <w:p w14:paraId="0284AAB7"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b/>
                <w:sz w:val="18"/>
                <w:szCs w:val="18"/>
              </w:rPr>
              <w:t xml:space="preserve">Sample </w:t>
            </w:r>
          </w:p>
        </w:tc>
        <w:tc>
          <w:tcPr>
            <w:tcW w:w="1267" w:type="dxa"/>
            <w:tcBorders>
              <w:top w:val="single" w:sz="4" w:space="0" w:color="auto"/>
              <w:bottom w:val="single" w:sz="4" w:space="0" w:color="auto"/>
            </w:tcBorders>
          </w:tcPr>
          <w:p w14:paraId="3695DA9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June </w:t>
            </w:r>
          </w:p>
        </w:tc>
        <w:tc>
          <w:tcPr>
            <w:tcW w:w="1268" w:type="dxa"/>
            <w:tcBorders>
              <w:top w:val="single" w:sz="4" w:space="0" w:color="auto"/>
              <w:bottom w:val="single" w:sz="4" w:space="0" w:color="auto"/>
            </w:tcBorders>
          </w:tcPr>
          <w:p w14:paraId="2DF0925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July </w:t>
            </w:r>
          </w:p>
        </w:tc>
        <w:tc>
          <w:tcPr>
            <w:tcW w:w="1383" w:type="dxa"/>
            <w:tcBorders>
              <w:top w:val="single" w:sz="4" w:space="0" w:color="auto"/>
              <w:bottom w:val="single" w:sz="4" w:space="0" w:color="auto"/>
            </w:tcBorders>
          </w:tcPr>
          <w:p w14:paraId="012B64F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August </w:t>
            </w:r>
          </w:p>
        </w:tc>
        <w:tc>
          <w:tcPr>
            <w:tcW w:w="1385" w:type="dxa"/>
            <w:tcBorders>
              <w:top w:val="single" w:sz="4" w:space="0" w:color="auto"/>
              <w:bottom w:val="single" w:sz="4" w:space="0" w:color="auto"/>
            </w:tcBorders>
          </w:tcPr>
          <w:p w14:paraId="78CCD1C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November </w:t>
            </w:r>
          </w:p>
        </w:tc>
        <w:tc>
          <w:tcPr>
            <w:tcW w:w="1404" w:type="dxa"/>
            <w:tcBorders>
              <w:top w:val="single" w:sz="4" w:space="0" w:color="auto"/>
              <w:bottom w:val="single" w:sz="4" w:space="0" w:color="auto"/>
            </w:tcBorders>
          </w:tcPr>
          <w:p w14:paraId="6499E4F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December </w:t>
            </w:r>
          </w:p>
        </w:tc>
        <w:tc>
          <w:tcPr>
            <w:tcW w:w="1278" w:type="dxa"/>
            <w:tcBorders>
              <w:top w:val="single" w:sz="4" w:space="0" w:color="auto"/>
              <w:bottom w:val="single" w:sz="4" w:space="0" w:color="auto"/>
            </w:tcBorders>
          </w:tcPr>
          <w:p w14:paraId="7EF2ADC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January </w:t>
            </w:r>
          </w:p>
        </w:tc>
      </w:tr>
      <w:tr w:rsidR="001D5843" w14:paraId="78594145" w14:textId="77777777" w:rsidTr="00D12242">
        <w:trPr>
          <w:trHeight w:val="70"/>
        </w:trPr>
        <w:tc>
          <w:tcPr>
            <w:tcW w:w="1304" w:type="dxa"/>
            <w:tcBorders>
              <w:top w:val="single" w:sz="4" w:space="0" w:color="auto"/>
              <w:bottom w:val="nil"/>
            </w:tcBorders>
          </w:tcPr>
          <w:p w14:paraId="39740E7B"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 </w:t>
            </w:r>
          </w:p>
        </w:tc>
        <w:tc>
          <w:tcPr>
            <w:tcW w:w="1267" w:type="dxa"/>
            <w:tcBorders>
              <w:top w:val="single" w:sz="4" w:space="0" w:color="auto"/>
              <w:bottom w:val="nil"/>
            </w:tcBorders>
          </w:tcPr>
          <w:p w14:paraId="345C4DF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0.11±0.15 </w:t>
            </w:r>
          </w:p>
        </w:tc>
        <w:tc>
          <w:tcPr>
            <w:tcW w:w="1268" w:type="dxa"/>
            <w:tcBorders>
              <w:top w:val="single" w:sz="4" w:space="0" w:color="auto"/>
              <w:bottom w:val="nil"/>
            </w:tcBorders>
          </w:tcPr>
          <w:p w14:paraId="5427C8E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0.27±0.15 </w:t>
            </w:r>
          </w:p>
        </w:tc>
        <w:tc>
          <w:tcPr>
            <w:tcW w:w="1383" w:type="dxa"/>
            <w:tcBorders>
              <w:top w:val="single" w:sz="4" w:space="0" w:color="auto"/>
              <w:bottom w:val="nil"/>
            </w:tcBorders>
          </w:tcPr>
          <w:p w14:paraId="1554484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0.40±0.15 </w:t>
            </w:r>
          </w:p>
        </w:tc>
        <w:tc>
          <w:tcPr>
            <w:tcW w:w="1385" w:type="dxa"/>
            <w:tcBorders>
              <w:top w:val="single" w:sz="4" w:space="0" w:color="auto"/>
              <w:bottom w:val="nil"/>
            </w:tcBorders>
          </w:tcPr>
          <w:p w14:paraId="5D648768"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5.00±8.53 </w:t>
            </w:r>
          </w:p>
        </w:tc>
        <w:tc>
          <w:tcPr>
            <w:tcW w:w="1404" w:type="dxa"/>
            <w:tcBorders>
              <w:top w:val="single" w:sz="4" w:space="0" w:color="auto"/>
              <w:bottom w:val="nil"/>
            </w:tcBorders>
          </w:tcPr>
          <w:p w14:paraId="74AB778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4.00±8.53 </w:t>
            </w:r>
          </w:p>
        </w:tc>
        <w:tc>
          <w:tcPr>
            <w:tcW w:w="1278" w:type="dxa"/>
            <w:tcBorders>
              <w:top w:val="single" w:sz="4" w:space="0" w:color="auto"/>
              <w:bottom w:val="nil"/>
            </w:tcBorders>
          </w:tcPr>
          <w:p w14:paraId="71161CB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19.25±8.53 </w:t>
            </w:r>
          </w:p>
        </w:tc>
      </w:tr>
      <w:tr w:rsidR="001D5843" w14:paraId="0B0D94AE" w14:textId="77777777" w:rsidTr="00D12242">
        <w:trPr>
          <w:trHeight w:val="70"/>
        </w:trPr>
        <w:tc>
          <w:tcPr>
            <w:tcW w:w="1304" w:type="dxa"/>
            <w:tcBorders>
              <w:top w:val="nil"/>
            </w:tcBorders>
          </w:tcPr>
          <w:p w14:paraId="1329E057"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2 </w:t>
            </w:r>
          </w:p>
        </w:tc>
        <w:tc>
          <w:tcPr>
            <w:tcW w:w="1267" w:type="dxa"/>
            <w:tcBorders>
              <w:top w:val="nil"/>
            </w:tcBorders>
          </w:tcPr>
          <w:p w14:paraId="48902F3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0.30±0.04 </w:t>
            </w:r>
          </w:p>
        </w:tc>
        <w:tc>
          <w:tcPr>
            <w:tcW w:w="1268" w:type="dxa"/>
            <w:tcBorders>
              <w:top w:val="nil"/>
            </w:tcBorders>
          </w:tcPr>
          <w:p w14:paraId="5E70210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0.24±0.04 </w:t>
            </w:r>
          </w:p>
        </w:tc>
        <w:tc>
          <w:tcPr>
            <w:tcW w:w="1383" w:type="dxa"/>
            <w:tcBorders>
              <w:top w:val="nil"/>
            </w:tcBorders>
          </w:tcPr>
          <w:p w14:paraId="0EAEFCE8"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0.22±0.04 </w:t>
            </w:r>
          </w:p>
        </w:tc>
        <w:tc>
          <w:tcPr>
            <w:tcW w:w="1385" w:type="dxa"/>
            <w:tcBorders>
              <w:top w:val="nil"/>
            </w:tcBorders>
          </w:tcPr>
          <w:p w14:paraId="6A29061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5.05±8.74 </w:t>
            </w:r>
          </w:p>
        </w:tc>
        <w:tc>
          <w:tcPr>
            <w:tcW w:w="1404" w:type="dxa"/>
            <w:tcBorders>
              <w:top w:val="nil"/>
            </w:tcBorders>
          </w:tcPr>
          <w:p w14:paraId="42DB172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0.78±8.74 </w:t>
            </w:r>
          </w:p>
        </w:tc>
        <w:tc>
          <w:tcPr>
            <w:tcW w:w="1278" w:type="dxa"/>
            <w:tcBorders>
              <w:top w:val="nil"/>
            </w:tcBorders>
          </w:tcPr>
          <w:p w14:paraId="6A138CC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17.60±8.74 </w:t>
            </w:r>
          </w:p>
        </w:tc>
      </w:tr>
      <w:tr w:rsidR="001D5843" w14:paraId="7A2C3D39" w14:textId="77777777" w:rsidTr="00D12242">
        <w:trPr>
          <w:trHeight w:val="70"/>
        </w:trPr>
        <w:tc>
          <w:tcPr>
            <w:tcW w:w="1304" w:type="dxa"/>
          </w:tcPr>
          <w:p w14:paraId="230D8286"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3 </w:t>
            </w:r>
          </w:p>
        </w:tc>
        <w:tc>
          <w:tcPr>
            <w:tcW w:w="1267" w:type="dxa"/>
          </w:tcPr>
          <w:p w14:paraId="585501B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0.35±0.08 </w:t>
            </w:r>
          </w:p>
        </w:tc>
        <w:tc>
          <w:tcPr>
            <w:tcW w:w="1268" w:type="dxa"/>
          </w:tcPr>
          <w:p w14:paraId="502F4AF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0.25±0.08 </w:t>
            </w:r>
          </w:p>
        </w:tc>
        <w:tc>
          <w:tcPr>
            <w:tcW w:w="1383" w:type="dxa"/>
          </w:tcPr>
          <w:p w14:paraId="415C4AF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0.41±0.08 </w:t>
            </w:r>
          </w:p>
        </w:tc>
        <w:tc>
          <w:tcPr>
            <w:tcW w:w="1385" w:type="dxa"/>
          </w:tcPr>
          <w:p w14:paraId="0CB3A52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0.98±14.06 </w:t>
            </w:r>
          </w:p>
        </w:tc>
        <w:tc>
          <w:tcPr>
            <w:tcW w:w="1404" w:type="dxa"/>
          </w:tcPr>
          <w:p w14:paraId="62D41D2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0.51±14.06 </w:t>
            </w:r>
          </w:p>
        </w:tc>
        <w:tc>
          <w:tcPr>
            <w:tcW w:w="1278" w:type="dxa"/>
          </w:tcPr>
          <w:p w14:paraId="7E6EC298"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25.10±14.06 </w:t>
            </w:r>
          </w:p>
        </w:tc>
      </w:tr>
      <w:tr w:rsidR="001D5843" w14:paraId="62BD8205" w14:textId="77777777" w:rsidTr="00D12242">
        <w:trPr>
          <w:trHeight w:val="70"/>
        </w:trPr>
        <w:tc>
          <w:tcPr>
            <w:tcW w:w="1304" w:type="dxa"/>
          </w:tcPr>
          <w:p w14:paraId="0E35A53A"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4 </w:t>
            </w:r>
          </w:p>
        </w:tc>
        <w:tc>
          <w:tcPr>
            <w:tcW w:w="1267" w:type="dxa"/>
          </w:tcPr>
          <w:p w14:paraId="3B105CB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0.34±0.07 </w:t>
            </w:r>
          </w:p>
        </w:tc>
        <w:tc>
          <w:tcPr>
            <w:tcW w:w="1268" w:type="dxa"/>
          </w:tcPr>
          <w:p w14:paraId="7DC2A11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0.29±0.07 </w:t>
            </w:r>
          </w:p>
        </w:tc>
        <w:tc>
          <w:tcPr>
            <w:tcW w:w="1383" w:type="dxa"/>
          </w:tcPr>
          <w:p w14:paraId="2EABC94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0.20±0.07 </w:t>
            </w:r>
          </w:p>
        </w:tc>
        <w:tc>
          <w:tcPr>
            <w:tcW w:w="1385" w:type="dxa"/>
          </w:tcPr>
          <w:p w14:paraId="0F565AE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0.25±4.44 </w:t>
            </w:r>
          </w:p>
        </w:tc>
        <w:tc>
          <w:tcPr>
            <w:tcW w:w="1404" w:type="dxa"/>
          </w:tcPr>
          <w:p w14:paraId="7EE91D4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3.30±4.44 </w:t>
            </w:r>
          </w:p>
        </w:tc>
        <w:tc>
          <w:tcPr>
            <w:tcW w:w="1278" w:type="dxa"/>
          </w:tcPr>
          <w:p w14:paraId="5015788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9.00±4.44 </w:t>
            </w:r>
          </w:p>
        </w:tc>
      </w:tr>
      <w:tr w:rsidR="001D5843" w14:paraId="76C08DFA" w14:textId="77777777" w:rsidTr="00D12242">
        <w:trPr>
          <w:trHeight w:val="70"/>
        </w:trPr>
        <w:tc>
          <w:tcPr>
            <w:tcW w:w="1304" w:type="dxa"/>
          </w:tcPr>
          <w:p w14:paraId="1B31F5C0"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5 </w:t>
            </w:r>
          </w:p>
        </w:tc>
        <w:tc>
          <w:tcPr>
            <w:tcW w:w="1267" w:type="dxa"/>
          </w:tcPr>
          <w:p w14:paraId="66AD8AD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0.19±12.33 </w:t>
            </w:r>
          </w:p>
        </w:tc>
        <w:tc>
          <w:tcPr>
            <w:tcW w:w="1268" w:type="dxa"/>
          </w:tcPr>
          <w:p w14:paraId="2AB4F80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0.17±12.33 </w:t>
            </w:r>
          </w:p>
        </w:tc>
        <w:tc>
          <w:tcPr>
            <w:tcW w:w="1383" w:type="dxa"/>
          </w:tcPr>
          <w:p w14:paraId="7B9C2A2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21.54±12.33 </w:t>
            </w:r>
          </w:p>
        </w:tc>
        <w:tc>
          <w:tcPr>
            <w:tcW w:w="1385" w:type="dxa"/>
          </w:tcPr>
          <w:p w14:paraId="31097BC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1.98±9.15 </w:t>
            </w:r>
          </w:p>
        </w:tc>
        <w:tc>
          <w:tcPr>
            <w:tcW w:w="1404" w:type="dxa"/>
          </w:tcPr>
          <w:p w14:paraId="53DD321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3.21±9.15 </w:t>
            </w:r>
          </w:p>
        </w:tc>
        <w:tc>
          <w:tcPr>
            <w:tcW w:w="1278" w:type="dxa"/>
          </w:tcPr>
          <w:p w14:paraId="67D879A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18.41±9.15 </w:t>
            </w:r>
          </w:p>
        </w:tc>
      </w:tr>
      <w:tr w:rsidR="001D5843" w14:paraId="3E71BD70" w14:textId="77777777" w:rsidTr="00D12242">
        <w:trPr>
          <w:trHeight w:val="70"/>
        </w:trPr>
        <w:tc>
          <w:tcPr>
            <w:tcW w:w="1304" w:type="dxa"/>
          </w:tcPr>
          <w:p w14:paraId="5413AF7F"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6 </w:t>
            </w:r>
          </w:p>
        </w:tc>
        <w:tc>
          <w:tcPr>
            <w:tcW w:w="1267" w:type="dxa"/>
          </w:tcPr>
          <w:p w14:paraId="124088C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0.25±0.09 </w:t>
            </w:r>
          </w:p>
        </w:tc>
        <w:tc>
          <w:tcPr>
            <w:tcW w:w="1268" w:type="dxa"/>
          </w:tcPr>
          <w:p w14:paraId="50CB4A5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0.33±0.09 </w:t>
            </w:r>
          </w:p>
        </w:tc>
        <w:tc>
          <w:tcPr>
            <w:tcW w:w="1383" w:type="dxa"/>
          </w:tcPr>
          <w:p w14:paraId="21F02A4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0.43±0.09 </w:t>
            </w:r>
          </w:p>
        </w:tc>
        <w:tc>
          <w:tcPr>
            <w:tcW w:w="1385" w:type="dxa"/>
          </w:tcPr>
          <w:p w14:paraId="15938A0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9.20±8.17 </w:t>
            </w:r>
          </w:p>
        </w:tc>
        <w:tc>
          <w:tcPr>
            <w:tcW w:w="1404" w:type="dxa"/>
          </w:tcPr>
          <w:p w14:paraId="58227E3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3.00±8.17 </w:t>
            </w:r>
          </w:p>
        </w:tc>
        <w:tc>
          <w:tcPr>
            <w:tcW w:w="1278" w:type="dxa"/>
          </w:tcPr>
          <w:p w14:paraId="3E50D7C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19.20±8.17 </w:t>
            </w:r>
          </w:p>
        </w:tc>
      </w:tr>
      <w:tr w:rsidR="001D5843" w14:paraId="6E49A1B4" w14:textId="77777777" w:rsidTr="00D12242">
        <w:trPr>
          <w:trHeight w:val="70"/>
        </w:trPr>
        <w:tc>
          <w:tcPr>
            <w:tcW w:w="1304" w:type="dxa"/>
          </w:tcPr>
          <w:p w14:paraId="2C7D3F9D"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7 </w:t>
            </w:r>
          </w:p>
        </w:tc>
        <w:tc>
          <w:tcPr>
            <w:tcW w:w="1267" w:type="dxa"/>
          </w:tcPr>
          <w:p w14:paraId="5BFE404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0.24±0.11 </w:t>
            </w:r>
          </w:p>
        </w:tc>
        <w:tc>
          <w:tcPr>
            <w:tcW w:w="1268" w:type="dxa"/>
          </w:tcPr>
          <w:p w14:paraId="43F4C04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0.23±0.11 </w:t>
            </w:r>
          </w:p>
        </w:tc>
        <w:tc>
          <w:tcPr>
            <w:tcW w:w="1383" w:type="dxa"/>
          </w:tcPr>
          <w:p w14:paraId="1F805D0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0.42±0.11 </w:t>
            </w:r>
          </w:p>
        </w:tc>
        <w:tc>
          <w:tcPr>
            <w:tcW w:w="1385" w:type="dxa"/>
          </w:tcPr>
          <w:p w14:paraId="1A7C853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9.00±2.13 </w:t>
            </w:r>
          </w:p>
        </w:tc>
        <w:tc>
          <w:tcPr>
            <w:tcW w:w="1404" w:type="dxa"/>
          </w:tcPr>
          <w:p w14:paraId="361076D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N/A </w:t>
            </w:r>
          </w:p>
        </w:tc>
        <w:tc>
          <w:tcPr>
            <w:tcW w:w="1278" w:type="dxa"/>
          </w:tcPr>
          <w:p w14:paraId="30ACBFD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12.01±2.13 </w:t>
            </w:r>
          </w:p>
        </w:tc>
      </w:tr>
      <w:tr w:rsidR="001D5843" w14:paraId="704757D7" w14:textId="77777777" w:rsidTr="00D12242">
        <w:trPr>
          <w:trHeight w:val="70"/>
        </w:trPr>
        <w:tc>
          <w:tcPr>
            <w:tcW w:w="1304" w:type="dxa"/>
          </w:tcPr>
          <w:p w14:paraId="19CD7279"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8 </w:t>
            </w:r>
          </w:p>
        </w:tc>
        <w:tc>
          <w:tcPr>
            <w:tcW w:w="1267" w:type="dxa"/>
          </w:tcPr>
          <w:p w14:paraId="79AD5E0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0.19±6.43 </w:t>
            </w:r>
          </w:p>
        </w:tc>
        <w:tc>
          <w:tcPr>
            <w:tcW w:w="1268" w:type="dxa"/>
          </w:tcPr>
          <w:p w14:paraId="0AFC223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0.32±6.43 </w:t>
            </w:r>
          </w:p>
        </w:tc>
        <w:tc>
          <w:tcPr>
            <w:tcW w:w="1383" w:type="dxa"/>
          </w:tcPr>
          <w:p w14:paraId="05BA1192"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11.39±6.43 </w:t>
            </w:r>
          </w:p>
        </w:tc>
        <w:tc>
          <w:tcPr>
            <w:tcW w:w="1385" w:type="dxa"/>
          </w:tcPr>
          <w:p w14:paraId="4E40C33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5.30±2.11 </w:t>
            </w:r>
          </w:p>
        </w:tc>
        <w:tc>
          <w:tcPr>
            <w:tcW w:w="1404" w:type="dxa"/>
          </w:tcPr>
          <w:p w14:paraId="258ED3A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5.36±2.11 </w:t>
            </w:r>
          </w:p>
        </w:tc>
        <w:tc>
          <w:tcPr>
            <w:tcW w:w="1278" w:type="dxa"/>
          </w:tcPr>
          <w:p w14:paraId="735A74F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8.98±2.11 </w:t>
            </w:r>
          </w:p>
        </w:tc>
      </w:tr>
      <w:tr w:rsidR="001D5843" w14:paraId="1D5615B6" w14:textId="77777777" w:rsidTr="00D12242">
        <w:trPr>
          <w:trHeight w:val="70"/>
        </w:trPr>
        <w:tc>
          <w:tcPr>
            <w:tcW w:w="1304" w:type="dxa"/>
          </w:tcPr>
          <w:p w14:paraId="7C01C106"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9 </w:t>
            </w:r>
          </w:p>
        </w:tc>
        <w:tc>
          <w:tcPr>
            <w:tcW w:w="1267" w:type="dxa"/>
          </w:tcPr>
          <w:p w14:paraId="6A56EF0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0.27±0.05 </w:t>
            </w:r>
          </w:p>
        </w:tc>
        <w:tc>
          <w:tcPr>
            <w:tcW w:w="1268" w:type="dxa"/>
          </w:tcPr>
          <w:p w14:paraId="241BBB8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0.37±0.05 </w:t>
            </w:r>
          </w:p>
        </w:tc>
        <w:tc>
          <w:tcPr>
            <w:tcW w:w="1383" w:type="dxa"/>
          </w:tcPr>
          <w:p w14:paraId="56F5EC6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0.33±0.05 </w:t>
            </w:r>
          </w:p>
        </w:tc>
        <w:tc>
          <w:tcPr>
            <w:tcW w:w="1385" w:type="dxa"/>
          </w:tcPr>
          <w:p w14:paraId="337C0F4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8.60±1.77 </w:t>
            </w:r>
          </w:p>
        </w:tc>
        <w:tc>
          <w:tcPr>
            <w:tcW w:w="1404" w:type="dxa"/>
          </w:tcPr>
          <w:p w14:paraId="3961FB8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11.56±1.77 </w:t>
            </w:r>
          </w:p>
        </w:tc>
        <w:tc>
          <w:tcPr>
            <w:tcW w:w="1278" w:type="dxa"/>
          </w:tcPr>
          <w:p w14:paraId="7EFBCF8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8.41±1.77 </w:t>
            </w:r>
          </w:p>
        </w:tc>
      </w:tr>
      <w:tr w:rsidR="001D5843" w14:paraId="33DADA0A" w14:textId="77777777" w:rsidTr="00D12242">
        <w:trPr>
          <w:trHeight w:val="70"/>
        </w:trPr>
        <w:tc>
          <w:tcPr>
            <w:tcW w:w="1304" w:type="dxa"/>
          </w:tcPr>
          <w:p w14:paraId="0A8BB7AB"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10 </w:t>
            </w:r>
          </w:p>
        </w:tc>
        <w:tc>
          <w:tcPr>
            <w:tcW w:w="1267" w:type="dxa"/>
          </w:tcPr>
          <w:p w14:paraId="2D11D8B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0.21±0.21 </w:t>
            </w:r>
          </w:p>
        </w:tc>
        <w:tc>
          <w:tcPr>
            <w:tcW w:w="1268" w:type="dxa"/>
          </w:tcPr>
          <w:p w14:paraId="20B3A3C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0.61±0.21 </w:t>
            </w:r>
          </w:p>
        </w:tc>
        <w:tc>
          <w:tcPr>
            <w:tcW w:w="1383" w:type="dxa"/>
          </w:tcPr>
          <w:p w14:paraId="269F8F3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0.54±0.21 </w:t>
            </w:r>
          </w:p>
        </w:tc>
        <w:tc>
          <w:tcPr>
            <w:tcW w:w="1385" w:type="dxa"/>
          </w:tcPr>
          <w:p w14:paraId="524717F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6.15±7.85 </w:t>
            </w:r>
          </w:p>
        </w:tc>
        <w:tc>
          <w:tcPr>
            <w:tcW w:w="1404" w:type="dxa"/>
          </w:tcPr>
          <w:p w14:paraId="0C6F1B6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21.00±7.85 </w:t>
            </w:r>
          </w:p>
        </w:tc>
        <w:tc>
          <w:tcPr>
            <w:tcW w:w="1278" w:type="dxa"/>
          </w:tcPr>
          <w:p w14:paraId="1D7BDD05"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9.18±7.85 </w:t>
            </w:r>
          </w:p>
        </w:tc>
      </w:tr>
      <w:tr w:rsidR="001D5843" w14:paraId="6098064B" w14:textId="77777777" w:rsidTr="00D12242">
        <w:trPr>
          <w:trHeight w:val="70"/>
        </w:trPr>
        <w:tc>
          <w:tcPr>
            <w:tcW w:w="1304" w:type="dxa"/>
          </w:tcPr>
          <w:p w14:paraId="6DEB8793"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11 </w:t>
            </w:r>
          </w:p>
        </w:tc>
        <w:tc>
          <w:tcPr>
            <w:tcW w:w="1267" w:type="dxa"/>
          </w:tcPr>
          <w:p w14:paraId="7FBCF95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0.25±0.06 </w:t>
            </w:r>
          </w:p>
        </w:tc>
        <w:tc>
          <w:tcPr>
            <w:tcW w:w="1268" w:type="dxa"/>
          </w:tcPr>
          <w:p w14:paraId="0FB6E1B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0.29±0.06 </w:t>
            </w:r>
          </w:p>
        </w:tc>
        <w:tc>
          <w:tcPr>
            <w:tcW w:w="1383" w:type="dxa"/>
          </w:tcPr>
          <w:p w14:paraId="75FDF23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0.17±0.06 </w:t>
            </w:r>
          </w:p>
        </w:tc>
        <w:tc>
          <w:tcPr>
            <w:tcW w:w="1385" w:type="dxa"/>
          </w:tcPr>
          <w:p w14:paraId="2A42CFF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7.54±12.28 </w:t>
            </w:r>
          </w:p>
        </w:tc>
        <w:tc>
          <w:tcPr>
            <w:tcW w:w="1404" w:type="dxa"/>
          </w:tcPr>
          <w:p w14:paraId="60306355"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31.02±12.28 </w:t>
            </w:r>
          </w:p>
        </w:tc>
        <w:tc>
          <w:tcPr>
            <w:tcW w:w="1278" w:type="dxa"/>
          </w:tcPr>
          <w:p w14:paraId="3B5FADB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25.50±12.28 </w:t>
            </w:r>
          </w:p>
        </w:tc>
      </w:tr>
      <w:tr w:rsidR="001D5843" w14:paraId="13BE26BA" w14:textId="77777777" w:rsidTr="00D12242">
        <w:trPr>
          <w:trHeight w:val="70"/>
        </w:trPr>
        <w:tc>
          <w:tcPr>
            <w:tcW w:w="1304" w:type="dxa"/>
          </w:tcPr>
          <w:p w14:paraId="433649A8"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12 </w:t>
            </w:r>
          </w:p>
        </w:tc>
        <w:tc>
          <w:tcPr>
            <w:tcW w:w="1267" w:type="dxa"/>
          </w:tcPr>
          <w:p w14:paraId="14B486C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0.26±0.05 </w:t>
            </w:r>
          </w:p>
        </w:tc>
        <w:tc>
          <w:tcPr>
            <w:tcW w:w="1268" w:type="dxa"/>
          </w:tcPr>
          <w:p w14:paraId="6CA3447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0.35±0.05 </w:t>
            </w:r>
          </w:p>
        </w:tc>
        <w:tc>
          <w:tcPr>
            <w:tcW w:w="1383" w:type="dxa"/>
          </w:tcPr>
          <w:p w14:paraId="4E86E16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0.28±0.05 </w:t>
            </w:r>
          </w:p>
        </w:tc>
        <w:tc>
          <w:tcPr>
            <w:tcW w:w="1385" w:type="dxa"/>
          </w:tcPr>
          <w:p w14:paraId="2781E13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7.30±10.12 </w:t>
            </w:r>
          </w:p>
        </w:tc>
        <w:tc>
          <w:tcPr>
            <w:tcW w:w="1404" w:type="dxa"/>
          </w:tcPr>
          <w:p w14:paraId="3CAAE38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27.30±10.12 </w:t>
            </w:r>
          </w:p>
        </w:tc>
        <w:tc>
          <w:tcPr>
            <w:tcW w:w="1278" w:type="dxa"/>
          </w:tcPr>
          <w:p w14:paraId="02E7DAB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14.60±10.12 </w:t>
            </w:r>
          </w:p>
        </w:tc>
      </w:tr>
    </w:tbl>
    <w:p w14:paraId="00E0604E" w14:textId="77777777" w:rsidR="001D5843" w:rsidRDefault="001D5843" w:rsidP="00D20639">
      <w:pPr>
        <w:spacing w:after="120" w:line="240" w:lineRule="auto"/>
        <w:jc w:val="both"/>
        <w:rPr>
          <w:rFonts w:ascii="Times New Roman" w:hAnsi="Times New Roman" w:cs="Times New Roman"/>
        </w:rPr>
      </w:pPr>
    </w:p>
    <w:p w14:paraId="3ADB3354" w14:textId="6785C2C6" w:rsidR="001F6A73" w:rsidRPr="001F6A73" w:rsidRDefault="001F6A73" w:rsidP="001F6A73">
      <w:pPr>
        <w:pStyle w:val="NormalWeb"/>
        <w:spacing w:before="0" w:beforeAutospacing="0" w:after="120" w:afterAutospacing="0"/>
        <w:jc w:val="both"/>
        <w:rPr>
          <w:sz w:val="22"/>
        </w:rPr>
      </w:pPr>
      <w:r w:rsidRPr="001F6A73">
        <w:rPr>
          <w:sz w:val="22"/>
        </w:rPr>
        <w:t>Table 8 shows a pronounced seasonal pattern in nitrate concentrations. During the wet season, nitrate levels were generally very low across most boreholes, reflecting limited nitrate input or effective dilution by rainfall.</w:t>
      </w:r>
      <w:r w:rsidR="0016334E">
        <w:rPr>
          <w:sz w:val="22"/>
        </w:rPr>
        <w:t xml:space="preserve"> The seasonal variation of nitrate concentrations in the water samples is shown in Figure 7.</w:t>
      </w:r>
    </w:p>
    <w:p w14:paraId="064CF0B1" w14:textId="77777777" w:rsidR="001F6A73" w:rsidRPr="001F6A73" w:rsidRDefault="001F6A73" w:rsidP="001F6A73">
      <w:pPr>
        <w:pStyle w:val="NormalWeb"/>
        <w:spacing w:before="0" w:beforeAutospacing="0" w:after="120" w:afterAutospacing="0"/>
        <w:jc w:val="both"/>
        <w:rPr>
          <w:sz w:val="22"/>
        </w:rPr>
      </w:pPr>
      <w:r w:rsidRPr="001F6A73">
        <w:rPr>
          <w:sz w:val="22"/>
        </w:rPr>
        <w:t>However, during the dry season, nitrate concentrations increased substantially at many locations, with some samples recording values above 20 mg/L, particularly in December and January. The elevated dry-season nitrate levels may be attributed to leaching from septic tanks, agricultural runoff, refuse dumps, and reduced groundwater recharge. Boreholes located in densely populated or agricultural areas exhibited higher nitrate concentrations.</w:t>
      </w:r>
    </w:p>
    <w:p w14:paraId="50BA66B4" w14:textId="77777777" w:rsidR="003F0E98" w:rsidRDefault="001F6A73" w:rsidP="005037E5">
      <w:pPr>
        <w:pStyle w:val="NormalWeb"/>
        <w:spacing w:before="0" w:beforeAutospacing="0" w:after="120" w:afterAutospacing="0"/>
        <w:jc w:val="both"/>
        <w:rPr>
          <w:sz w:val="22"/>
        </w:rPr>
      </w:pPr>
      <w:r w:rsidRPr="001F6A73">
        <w:rPr>
          <w:sz w:val="22"/>
        </w:rPr>
        <w:t>All nitrate values remained below the WHO maximum allowable limit of 50 mg/L, suggesting that the borehole waters are safe for consumption. Nevertheless, the observed seasonal increase indicates potential vulnerability to nitrate pollution if anthropogenic pressures intensify.</w:t>
      </w:r>
    </w:p>
    <w:p w14:paraId="5315BCD6" w14:textId="77777777" w:rsidR="00EA4904" w:rsidRPr="00740BD2" w:rsidRDefault="00EA4904" w:rsidP="00EA4904">
      <w:pPr>
        <w:spacing w:after="0" w:line="240" w:lineRule="auto"/>
        <w:jc w:val="center"/>
        <w:rPr>
          <w:rFonts w:ascii="Times New Roman" w:hAnsi="Times New Roman" w:cs="Times New Roman"/>
          <w:sz w:val="24"/>
          <w:szCs w:val="24"/>
        </w:rPr>
      </w:pPr>
      <w:r w:rsidRPr="00740BD2">
        <w:rPr>
          <w:rFonts w:ascii="Times New Roman" w:hAnsi="Times New Roman" w:cs="Times New Roman"/>
          <w:noProof/>
          <w:sz w:val="24"/>
          <w:szCs w:val="24"/>
        </w:rPr>
        <w:lastRenderedPageBreak/>
        <w:drawing>
          <wp:inline distT="0" distB="0" distL="0" distR="0" wp14:anchorId="314CFFA3" wp14:editId="781FE5F5">
            <wp:extent cx="4178808" cy="2779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808" cy="2779776"/>
                    </a:xfrm>
                    <a:prstGeom prst="rect">
                      <a:avLst/>
                    </a:prstGeom>
                    <a:noFill/>
                    <a:ln>
                      <a:noFill/>
                    </a:ln>
                  </pic:spPr>
                </pic:pic>
              </a:graphicData>
            </a:graphic>
          </wp:inline>
        </w:drawing>
      </w:r>
    </w:p>
    <w:p w14:paraId="30EB6F33" w14:textId="796378D8" w:rsidR="00EA4904" w:rsidRPr="00EA4904" w:rsidRDefault="00EA4904" w:rsidP="00EA4904">
      <w:pPr>
        <w:pStyle w:val="NormalWeb"/>
        <w:spacing w:before="0" w:beforeAutospacing="0" w:after="120" w:afterAutospacing="0"/>
        <w:jc w:val="center"/>
        <w:rPr>
          <w:sz w:val="20"/>
        </w:rPr>
      </w:pPr>
      <w:r w:rsidRPr="00EA4904">
        <w:rPr>
          <w:b/>
          <w:sz w:val="22"/>
        </w:rPr>
        <w:t>Figure 7.</w:t>
      </w:r>
      <w:r w:rsidRPr="00EA4904">
        <w:rPr>
          <w:b/>
          <w:sz w:val="22"/>
        </w:rPr>
        <w:t xml:space="preserve"> Nitrate Concentration in Borehole Water Samples</w:t>
      </w:r>
    </w:p>
    <w:p w14:paraId="1A02EE45" w14:textId="77777777" w:rsidR="001D5843" w:rsidRPr="003F0E98" w:rsidRDefault="00D20639" w:rsidP="00D20639">
      <w:pPr>
        <w:spacing w:after="120" w:line="240" w:lineRule="auto"/>
        <w:jc w:val="both"/>
        <w:rPr>
          <w:rFonts w:ascii="Times New Roman" w:hAnsi="Times New Roman" w:cs="Times New Roman"/>
          <w:b/>
        </w:rPr>
      </w:pPr>
      <w:r w:rsidRPr="003F0E98">
        <w:rPr>
          <w:rFonts w:ascii="Times New Roman" w:hAnsi="Times New Roman" w:cs="Times New Roman"/>
          <w:b/>
        </w:rPr>
        <w:t>Table 9. Assessment and Seasonal Variations in Alkalinity</w:t>
      </w:r>
    </w:p>
    <w:tbl>
      <w:tblPr>
        <w:tblStyle w:val="TableGrid"/>
        <w:tblW w:w="9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1292"/>
        <w:gridCol w:w="1291"/>
        <w:gridCol w:w="1291"/>
        <w:gridCol w:w="1410"/>
        <w:gridCol w:w="1410"/>
        <w:gridCol w:w="1350"/>
      </w:tblGrid>
      <w:tr w:rsidR="005256E9" w14:paraId="53822EF1" w14:textId="77777777" w:rsidTr="005256E9">
        <w:trPr>
          <w:trHeight w:val="296"/>
        </w:trPr>
        <w:tc>
          <w:tcPr>
            <w:tcW w:w="1348" w:type="dxa"/>
            <w:tcBorders>
              <w:top w:val="single" w:sz="4" w:space="0" w:color="auto"/>
              <w:bottom w:val="single" w:sz="4" w:space="0" w:color="auto"/>
            </w:tcBorders>
          </w:tcPr>
          <w:p w14:paraId="7D7B8F99" w14:textId="77777777" w:rsidR="005256E9" w:rsidRPr="005256E9" w:rsidRDefault="005256E9" w:rsidP="005256E9">
            <w:pPr>
              <w:ind w:left="123"/>
              <w:jc w:val="both"/>
              <w:rPr>
                <w:rFonts w:ascii="Times New Roman" w:hAnsi="Times New Roman" w:cs="Times New Roman"/>
                <w:b/>
                <w:sz w:val="18"/>
                <w:szCs w:val="18"/>
              </w:rPr>
            </w:pPr>
            <w:r w:rsidRPr="005256E9">
              <w:rPr>
                <w:rFonts w:ascii="Times New Roman" w:hAnsi="Times New Roman" w:cs="Times New Roman"/>
                <w:b/>
                <w:sz w:val="18"/>
                <w:szCs w:val="18"/>
              </w:rPr>
              <w:t>Alkalinity (mg/L)</w:t>
            </w:r>
          </w:p>
        </w:tc>
        <w:tc>
          <w:tcPr>
            <w:tcW w:w="3874" w:type="dxa"/>
            <w:gridSpan w:val="3"/>
            <w:tcBorders>
              <w:top w:val="single" w:sz="4" w:space="0" w:color="auto"/>
              <w:bottom w:val="single" w:sz="4" w:space="0" w:color="auto"/>
            </w:tcBorders>
          </w:tcPr>
          <w:p w14:paraId="0840EC2D" w14:textId="77777777" w:rsidR="005256E9" w:rsidRPr="005256E9" w:rsidRDefault="005256E9" w:rsidP="005256E9">
            <w:pPr>
              <w:jc w:val="center"/>
              <w:rPr>
                <w:rFonts w:ascii="Times New Roman" w:hAnsi="Times New Roman" w:cs="Times New Roman"/>
                <w:b/>
                <w:sz w:val="18"/>
                <w:szCs w:val="18"/>
              </w:rPr>
            </w:pPr>
            <w:r w:rsidRPr="005256E9">
              <w:rPr>
                <w:rFonts w:ascii="Times New Roman" w:hAnsi="Times New Roman" w:cs="Times New Roman"/>
                <w:b/>
                <w:sz w:val="18"/>
                <w:szCs w:val="18"/>
              </w:rPr>
              <w:t>Wet Season</w:t>
            </w:r>
          </w:p>
        </w:tc>
        <w:tc>
          <w:tcPr>
            <w:tcW w:w="4170" w:type="dxa"/>
            <w:gridSpan w:val="3"/>
            <w:tcBorders>
              <w:top w:val="single" w:sz="4" w:space="0" w:color="auto"/>
              <w:bottom w:val="single" w:sz="4" w:space="0" w:color="auto"/>
            </w:tcBorders>
          </w:tcPr>
          <w:p w14:paraId="3DB13D1C" w14:textId="77777777" w:rsidR="005256E9" w:rsidRPr="005256E9" w:rsidRDefault="005256E9" w:rsidP="005256E9">
            <w:pPr>
              <w:jc w:val="center"/>
              <w:rPr>
                <w:rFonts w:ascii="Times New Roman" w:hAnsi="Times New Roman" w:cs="Times New Roman"/>
                <w:b/>
                <w:sz w:val="18"/>
                <w:szCs w:val="18"/>
              </w:rPr>
            </w:pPr>
            <w:r w:rsidRPr="005256E9">
              <w:rPr>
                <w:rFonts w:ascii="Times New Roman" w:hAnsi="Times New Roman" w:cs="Times New Roman"/>
                <w:b/>
                <w:sz w:val="18"/>
                <w:szCs w:val="18"/>
              </w:rPr>
              <w:t>Dry Season</w:t>
            </w:r>
          </w:p>
        </w:tc>
      </w:tr>
      <w:tr w:rsidR="001D5843" w14:paraId="6F5A0663" w14:textId="77777777" w:rsidTr="005256E9">
        <w:trPr>
          <w:trHeight w:val="80"/>
        </w:trPr>
        <w:tc>
          <w:tcPr>
            <w:tcW w:w="1348" w:type="dxa"/>
            <w:tcBorders>
              <w:top w:val="single" w:sz="4" w:space="0" w:color="auto"/>
              <w:bottom w:val="single" w:sz="4" w:space="0" w:color="auto"/>
            </w:tcBorders>
          </w:tcPr>
          <w:p w14:paraId="444FB03D"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b/>
                <w:sz w:val="18"/>
                <w:szCs w:val="18"/>
              </w:rPr>
              <w:t xml:space="preserve">Sample </w:t>
            </w:r>
          </w:p>
        </w:tc>
        <w:tc>
          <w:tcPr>
            <w:tcW w:w="1292" w:type="dxa"/>
            <w:tcBorders>
              <w:top w:val="single" w:sz="4" w:space="0" w:color="auto"/>
              <w:bottom w:val="single" w:sz="4" w:space="0" w:color="auto"/>
            </w:tcBorders>
          </w:tcPr>
          <w:p w14:paraId="4028E21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June </w:t>
            </w:r>
          </w:p>
        </w:tc>
        <w:tc>
          <w:tcPr>
            <w:tcW w:w="1291" w:type="dxa"/>
            <w:tcBorders>
              <w:top w:val="single" w:sz="4" w:space="0" w:color="auto"/>
              <w:bottom w:val="single" w:sz="4" w:space="0" w:color="auto"/>
            </w:tcBorders>
          </w:tcPr>
          <w:p w14:paraId="7B763C3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July </w:t>
            </w:r>
          </w:p>
        </w:tc>
        <w:tc>
          <w:tcPr>
            <w:tcW w:w="1291" w:type="dxa"/>
            <w:tcBorders>
              <w:top w:val="single" w:sz="4" w:space="0" w:color="auto"/>
              <w:bottom w:val="single" w:sz="4" w:space="0" w:color="auto"/>
            </w:tcBorders>
          </w:tcPr>
          <w:p w14:paraId="01F1A64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August </w:t>
            </w:r>
          </w:p>
        </w:tc>
        <w:tc>
          <w:tcPr>
            <w:tcW w:w="1410" w:type="dxa"/>
            <w:tcBorders>
              <w:top w:val="single" w:sz="4" w:space="0" w:color="auto"/>
              <w:bottom w:val="single" w:sz="4" w:space="0" w:color="auto"/>
            </w:tcBorders>
          </w:tcPr>
          <w:p w14:paraId="2E84118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November </w:t>
            </w:r>
          </w:p>
        </w:tc>
        <w:tc>
          <w:tcPr>
            <w:tcW w:w="1410" w:type="dxa"/>
            <w:tcBorders>
              <w:top w:val="single" w:sz="4" w:space="0" w:color="auto"/>
              <w:bottom w:val="single" w:sz="4" w:space="0" w:color="auto"/>
            </w:tcBorders>
          </w:tcPr>
          <w:p w14:paraId="1BA098C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December </w:t>
            </w:r>
          </w:p>
        </w:tc>
        <w:tc>
          <w:tcPr>
            <w:tcW w:w="1350" w:type="dxa"/>
            <w:tcBorders>
              <w:top w:val="single" w:sz="4" w:space="0" w:color="auto"/>
              <w:bottom w:val="single" w:sz="4" w:space="0" w:color="auto"/>
            </w:tcBorders>
          </w:tcPr>
          <w:p w14:paraId="7B11A7A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January </w:t>
            </w:r>
          </w:p>
        </w:tc>
      </w:tr>
      <w:tr w:rsidR="001D5843" w14:paraId="698EDCF9" w14:textId="77777777" w:rsidTr="005256E9">
        <w:trPr>
          <w:trHeight w:val="49"/>
        </w:trPr>
        <w:tc>
          <w:tcPr>
            <w:tcW w:w="1348" w:type="dxa"/>
            <w:tcBorders>
              <w:top w:val="single" w:sz="4" w:space="0" w:color="auto"/>
              <w:bottom w:val="nil"/>
            </w:tcBorders>
          </w:tcPr>
          <w:p w14:paraId="6BB3F7E0"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 </w:t>
            </w:r>
          </w:p>
        </w:tc>
        <w:tc>
          <w:tcPr>
            <w:tcW w:w="1292" w:type="dxa"/>
            <w:tcBorders>
              <w:top w:val="single" w:sz="4" w:space="0" w:color="auto"/>
              <w:bottom w:val="nil"/>
            </w:tcBorders>
          </w:tcPr>
          <w:p w14:paraId="72394C9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13.10±2.95 </w:t>
            </w:r>
          </w:p>
        </w:tc>
        <w:tc>
          <w:tcPr>
            <w:tcW w:w="1291" w:type="dxa"/>
            <w:tcBorders>
              <w:top w:val="single" w:sz="4" w:space="0" w:color="auto"/>
              <w:bottom w:val="nil"/>
            </w:tcBorders>
          </w:tcPr>
          <w:p w14:paraId="1B3B9B8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14.25±2.95 </w:t>
            </w:r>
          </w:p>
        </w:tc>
        <w:tc>
          <w:tcPr>
            <w:tcW w:w="1291" w:type="dxa"/>
            <w:tcBorders>
              <w:top w:val="single" w:sz="4" w:space="0" w:color="auto"/>
              <w:bottom w:val="nil"/>
            </w:tcBorders>
          </w:tcPr>
          <w:p w14:paraId="58C9D10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7.50±2.95 </w:t>
            </w:r>
          </w:p>
        </w:tc>
        <w:tc>
          <w:tcPr>
            <w:tcW w:w="1410" w:type="dxa"/>
            <w:tcBorders>
              <w:top w:val="single" w:sz="4" w:space="0" w:color="auto"/>
              <w:bottom w:val="nil"/>
            </w:tcBorders>
          </w:tcPr>
          <w:p w14:paraId="5164A44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14.00±3.40 </w:t>
            </w:r>
          </w:p>
        </w:tc>
        <w:tc>
          <w:tcPr>
            <w:tcW w:w="1410" w:type="dxa"/>
            <w:tcBorders>
              <w:top w:val="single" w:sz="4" w:space="0" w:color="auto"/>
              <w:bottom w:val="nil"/>
            </w:tcBorders>
          </w:tcPr>
          <w:p w14:paraId="1CFE199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18.33±3.40 </w:t>
            </w:r>
          </w:p>
        </w:tc>
        <w:tc>
          <w:tcPr>
            <w:tcW w:w="1350" w:type="dxa"/>
            <w:tcBorders>
              <w:top w:val="single" w:sz="4" w:space="0" w:color="auto"/>
              <w:bottom w:val="nil"/>
            </w:tcBorders>
          </w:tcPr>
          <w:p w14:paraId="5B29B197"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10.00±3.40 </w:t>
            </w:r>
          </w:p>
        </w:tc>
      </w:tr>
      <w:tr w:rsidR="001D5843" w14:paraId="4B4579F4" w14:textId="77777777" w:rsidTr="005256E9">
        <w:trPr>
          <w:trHeight w:val="49"/>
        </w:trPr>
        <w:tc>
          <w:tcPr>
            <w:tcW w:w="1348" w:type="dxa"/>
            <w:tcBorders>
              <w:top w:val="nil"/>
            </w:tcBorders>
          </w:tcPr>
          <w:p w14:paraId="28C0249C"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2 </w:t>
            </w:r>
          </w:p>
        </w:tc>
        <w:tc>
          <w:tcPr>
            <w:tcW w:w="1292" w:type="dxa"/>
            <w:tcBorders>
              <w:top w:val="nil"/>
            </w:tcBorders>
          </w:tcPr>
          <w:p w14:paraId="6E493A9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12.08±1.76 </w:t>
            </w:r>
          </w:p>
        </w:tc>
        <w:tc>
          <w:tcPr>
            <w:tcW w:w="1291" w:type="dxa"/>
            <w:tcBorders>
              <w:top w:val="nil"/>
            </w:tcBorders>
          </w:tcPr>
          <w:p w14:paraId="0A592BA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14.01±1.76 </w:t>
            </w:r>
          </w:p>
        </w:tc>
        <w:tc>
          <w:tcPr>
            <w:tcW w:w="1291" w:type="dxa"/>
            <w:tcBorders>
              <w:top w:val="nil"/>
            </w:tcBorders>
          </w:tcPr>
          <w:p w14:paraId="19ECE1D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9.70±1.76 </w:t>
            </w:r>
          </w:p>
        </w:tc>
        <w:tc>
          <w:tcPr>
            <w:tcW w:w="1410" w:type="dxa"/>
            <w:tcBorders>
              <w:top w:val="nil"/>
            </w:tcBorders>
          </w:tcPr>
          <w:p w14:paraId="2F9FC63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20.56±3.94 </w:t>
            </w:r>
          </w:p>
        </w:tc>
        <w:tc>
          <w:tcPr>
            <w:tcW w:w="1410" w:type="dxa"/>
            <w:tcBorders>
              <w:top w:val="nil"/>
            </w:tcBorders>
          </w:tcPr>
          <w:p w14:paraId="1F84547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30.20±3.94 </w:t>
            </w:r>
          </w:p>
        </w:tc>
        <w:tc>
          <w:tcPr>
            <w:tcW w:w="1350" w:type="dxa"/>
            <w:tcBorders>
              <w:top w:val="nil"/>
            </w:tcBorders>
          </w:tcPr>
          <w:p w14:paraId="32AA532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25.10±3.94 </w:t>
            </w:r>
          </w:p>
        </w:tc>
      </w:tr>
      <w:tr w:rsidR="001D5843" w14:paraId="769B146A" w14:textId="77777777" w:rsidTr="005256E9">
        <w:trPr>
          <w:trHeight w:val="70"/>
        </w:trPr>
        <w:tc>
          <w:tcPr>
            <w:tcW w:w="1348" w:type="dxa"/>
          </w:tcPr>
          <w:p w14:paraId="43645D9B"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3 </w:t>
            </w:r>
          </w:p>
        </w:tc>
        <w:tc>
          <w:tcPr>
            <w:tcW w:w="1292" w:type="dxa"/>
          </w:tcPr>
          <w:p w14:paraId="7C67E69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24.11±6.09 </w:t>
            </w:r>
          </w:p>
        </w:tc>
        <w:tc>
          <w:tcPr>
            <w:tcW w:w="1291" w:type="dxa"/>
          </w:tcPr>
          <w:p w14:paraId="3905FC2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11.10±6.09 </w:t>
            </w:r>
          </w:p>
        </w:tc>
        <w:tc>
          <w:tcPr>
            <w:tcW w:w="1291" w:type="dxa"/>
          </w:tcPr>
          <w:p w14:paraId="35A85BE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11.30±6.09 </w:t>
            </w:r>
          </w:p>
        </w:tc>
        <w:tc>
          <w:tcPr>
            <w:tcW w:w="1410" w:type="dxa"/>
          </w:tcPr>
          <w:p w14:paraId="16DBB6E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12.25±2.47 </w:t>
            </w:r>
          </w:p>
        </w:tc>
        <w:tc>
          <w:tcPr>
            <w:tcW w:w="1410" w:type="dxa"/>
          </w:tcPr>
          <w:p w14:paraId="0604253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18.20±2.47 </w:t>
            </w:r>
          </w:p>
        </w:tc>
        <w:tc>
          <w:tcPr>
            <w:tcW w:w="1350" w:type="dxa"/>
          </w:tcPr>
          <w:p w14:paraId="6814876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16.19±2.47 </w:t>
            </w:r>
          </w:p>
        </w:tc>
      </w:tr>
      <w:tr w:rsidR="001D5843" w14:paraId="3EC1267E" w14:textId="77777777" w:rsidTr="005256E9">
        <w:trPr>
          <w:trHeight w:val="70"/>
        </w:trPr>
        <w:tc>
          <w:tcPr>
            <w:tcW w:w="1348" w:type="dxa"/>
          </w:tcPr>
          <w:p w14:paraId="366B27D6"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4 </w:t>
            </w:r>
          </w:p>
        </w:tc>
        <w:tc>
          <w:tcPr>
            <w:tcW w:w="1292" w:type="dxa"/>
          </w:tcPr>
          <w:p w14:paraId="47E4040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18.40±4.26 </w:t>
            </w:r>
          </w:p>
        </w:tc>
        <w:tc>
          <w:tcPr>
            <w:tcW w:w="1291" w:type="dxa"/>
          </w:tcPr>
          <w:p w14:paraId="117A43E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8.78±4.26 </w:t>
            </w:r>
          </w:p>
        </w:tc>
        <w:tc>
          <w:tcPr>
            <w:tcW w:w="1291" w:type="dxa"/>
          </w:tcPr>
          <w:p w14:paraId="1A8AB3F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17.08±4.26 </w:t>
            </w:r>
          </w:p>
        </w:tc>
        <w:tc>
          <w:tcPr>
            <w:tcW w:w="1410" w:type="dxa"/>
          </w:tcPr>
          <w:p w14:paraId="5627623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11.30±6.02 </w:t>
            </w:r>
          </w:p>
        </w:tc>
        <w:tc>
          <w:tcPr>
            <w:tcW w:w="1410" w:type="dxa"/>
          </w:tcPr>
          <w:p w14:paraId="3FF00DD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22.30±6.02 </w:t>
            </w:r>
          </w:p>
        </w:tc>
        <w:tc>
          <w:tcPr>
            <w:tcW w:w="1350" w:type="dxa"/>
          </w:tcPr>
          <w:p w14:paraId="774F782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25.29±6.02 </w:t>
            </w:r>
          </w:p>
        </w:tc>
      </w:tr>
      <w:tr w:rsidR="001D5843" w14:paraId="2A64D0D7" w14:textId="77777777" w:rsidTr="005256E9">
        <w:trPr>
          <w:trHeight w:val="70"/>
        </w:trPr>
        <w:tc>
          <w:tcPr>
            <w:tcW w:w="1348" w:type="dxa"/>
          </w:tcPr>
          <w:p w14:paraId="12EE7DC7"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5 </w:t>
            </w:r>
          </w:p>
        </w:tc>
        <w:tc>
          <w:tcPr>
            <w:tcW w:w="1292" w:type="dxa"/>
          </w:tcPr>
          <w:p w14:paraId="625BF22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22.17±5.65 </w:t>
            </w:r>
          </w:p>
        </w:tc>
        <w:tc>
          <w:tcPr>
            <w:tcW w:w="1291" w:type="dxa"/>
          </w:tcPr>
          <w:p w14:paraId="7C65276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16.01±5.65 </w:t>
            </w:r>
          </w:p>
        </w:tc>
        <w:tc>
          <w:tcPr>
            <w:tcW w:w="1291" w:type="dxa"/>
          </w:tcPr>
          <w:p w14:paraId="4FA613A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8.36±5.65 </w:t>
            </w:r>
          </w:p>
        </w:tc>
        <w:tc>
          <w:tcPr>
            <w:tcW w:w="1410" w:type="dxa"/>
          </w:tcPr>
          <w:p w14:paraId="314BE6B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10.30±4.92 </w:t>
            </w:r>
          </w:p>
        </w:tc>
        <w:tc>
          <w:tcPr>
            <w:tcW w:w="1410" w:type="dxa"/>
          </w:tcPr>
          <w:p w14:paraId="47DF1BE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22.12±4.92 </w:t>
            </w:r>
          </w:p>
        </w:tc>
        <w:tc>
          <w:tcPr>
            <w:tcW w:w="1350" w:type="dxa"/>
          </w:tcPr>
          <w:p w14:paraId="553D43F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14.14±4.92 </w:t>
            </w:r>
          </w:p>
        </w:tc>
      </w:tr>
      <w:tr w:rsidR="001D5843" w14:paraId="569BC525" w14:textId="77777777" w:rsidTr="005256E9">
        <w:trPr>
          <w:trHeight w:val="70"/>
        </w:trPr>
        <w:tc>
          <w:tcPr>
            <w:tcW w:w="1348" w:type="dxa"/>
          </w:tcPr>
          <w:p w14:paraId="78ACA2D7"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6 </w:t>
            </w:r>
          </w:p>
        </w:tc>
        <w:tc>
          <w:tcPr>
            <w:tcW w:w="1292" w:type="dxa"/>
          </w:tcPr>
          <w:p w14:paraId="11F0110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20.02±3.48 </w:t>
            </w:r>
          </w:p>
        </w:tc>
        <w:tc>
          <w:tcPr>
            <w:tcW w:w="1291" w:type="dxa"/>
          </w:tcPr>
          <w:p w14:paraId="41CA54B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12.31±3.48 </w:t>
            </w:r>
          </w:p>
        </w:tc>
        <w:tc>
          <w:tcPr>
            <w:tcW w:w="1291" w:type="dxa"/>
          </w:tcPr>
          <w:p w14:paraId="0A20F78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13.00±3.48 </w:t>
            </w:r>
          </w:p>
        </w:tc>
        <w:tc>
          <w:tcPr>
            <w:tcW w:w="1410" w:type="dxa"/>
          </w:tcPr>
          <w:p w14:paraId="2DC3CF7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13.90±5.83 </w:t>
            </w:r>
          </w:p>
        </w:tc>
        <w:tc>
          <w:tcPr>
            <w:tcW w:w="1410" w:type="dxa"/>
          </w:tcPr>
          <w:p w14:paraId="4BFB5D5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28.14±5.83 </w:t>
            </w:r>
          </w:p>
        </w:tc>
        <w:tc>
          <w:tcPr>
            <w:tcW w:w="1350" w:type="dxa"/>
          </w:tcPr>
          <w:p w14:paraId="0538297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20.11±5.83 </w:t>
            </w:r>
          </w:p>
        </w:tc>
      </w:tr>
      <w:tr w:rsidR="001D5843" w14:paraId="28C40953" w14:textId="77777777" w:rsidTr="005256E9">
        <w:trPr>
          <w:trHeight w:val="70"/>
        </w:trPr>
        <w:tc>
          <w:tcPr>
            <w:tcW w:w="1348" w:type="dxa"/>
          </w:tcPr>
          <w:p w14:paraId="30E71381"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7 </w:t>
            </w:r>
          </w:p>
        </w:tc>
        <w:tc>
          <w:tcPr>
            <w:tcW w:w="1292" w:type="dxa"/>
          </w:tcPr>
          <w:p w14:paraId="2BE4076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9.11±2.49 </w:t>
            </w:r>
          </w:p>
        </w:tc>
        <w:tc>
          <w:tcPr>
            <w:tcW w:w="1291" w:type="dxa"/>
          </w:tcPr>
          <w:p w14:paraId="65FC64C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12.20±2.49 </w:t>
            </w:r>
          </w:p>
        </w:tc>
        <w:tc>
          <w:tcPr>
            <w:tcW w:w="1291" w:type="dxa"/>
          </w:tcPr>
          <w:p w14:paraId="1EB27A1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15.21±2.49 </w:t>
            </w:r>
          </w:p>
        </w:tc>
        <w:tc>
          <w:tcPr>
            <w:tcW w:w="1410" w:type="dxa"/>
          </w:tcPr>
          <w:p w14:paraId="4002716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12.52±8.06 </w:t>
            </w:r>
          </w:p>
        </w:tc>
        <w:tc>
          <w:tcPr>
            <w:tcW w:w="1410" w:type="dxa"/>
          </w:tcPr>
          <w:p w14:paraId="38C4C32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31.65±8.06 </w:t>
            </w:r>
          </w:p>
        </w:tc>
        <w:tc>
          <w:tcPr>
            <w:tcW w:w="1350" w:type="dxa"/>
          </w:tcPr>
          <w:p w14:paraId="6F80518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17.89±8.06 </w:t>
            </w:r>
          </w:p>
        </w:tc>
      </w:tr>
      <w:tr w:rsidR="001D5843" w14:paraId="5B082CB2" w14:textId="77777777" w:rsidTr="005256E9">
        <w:trPr>
          <w:trHeight w:val="70"/>
        </w:trPr>
        <w:tc>
          <w:tcPr>
            <w:tcW w:w="1348" w:type="dxa"/>
          </w:tcPr>
          <w:p w14:paraId="03A67D03"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8 </w:t>
            </w:r>
          </w:p>
        </w:tc>
        <w:tc>
          <w:tcPr>
            <w:tcW w:w="1292" w:type="dxa"/>
          </w:tcPr>
          <w:p w14:paraId="251696F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18.00±4.05 </w:t>
            </w:r>
          </w:p>
        </w:tc>
        <w:tc>
          <w:tcPr>
            <w:tcW w:w="1291" w:type="dxa"/>
          </w:tcPr>
          <w:p w14:paraId="6EAB128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9.00±4.05 </w:t>
            </w:r>
          </w:p>
        </w:tc>
        <w:tc>
          <w:tcPr>
            <w:tcW w:w="1291" w:type="dxa"/>
          </w:tcPr>
          <w:p w14:paraId="33F345E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9.90±4.05 </w:t>
            </w:r>
          </w:p>
        </w:tc>
        <w:tc>
          <w:tcPr>
            <w:tcW w:w="1410" w:type="dxa"/>
          </w:tcPr>
          <w:p w14:paraId="16CD558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12.60±4.35 </w:t>
            </w:r>
          </w:p>
        </w:tc>
        <w:tc>
          <w:tcPr>
            <w:tcW w:w="1410" w:type="dxa"/>
          </w:tcPr>
          <w:p w14:paraId="5E56249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23.25±4.35 </w:t>
            </w:r>
          </w:p>
        </w:tc>
        <w:tc>
          <w:tcPr>
            <w:tcW w:w="1350" w:type="dxa"/>
          </w:tcPr>
          <w:p w14:paraId="29C739F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17.69±4.35 </w:t>
            </w:r>
          </w:p>
        </w:tc>
      </w:tr>
      <w:tr w:rsidR="001D5843" w14:paraId="76AD9860" w14:textId="77777777" w:rsidTr="005256E9">
        <w:trPr>
          <w:trHeight w:val="70"/>
        </w:trPr>
        <w:tc>
          <w:tcPr>
            <w:tcW w:w="1348" w:type="dxa"/>
          </w:tcPr>
          <w:p w14:paraId="63A792B0"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9 </w:t>
            </w:r>
          </w:p>
        </w:tc>
        <w:tc>
          <w:tcPr>
            <w:tcW w:w="1292" w:type="dxa"/>
          </w:tcPr>
          <w:p w14:paraId="2EB3449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20.20±5.40 </w:t>
            </w:r>
          </w:p>
        </w:tc>
        <w:tc>
          <w:tcPr>
            <w:tcW w:w="1291" w:type="dxa"/>
          </w:tcPr>
          <w:p w14:paraId="2E5B998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7.11±5.40 </w:t>
            </w:r>
          </w:p>
        </w:tc>
        <w:tc>
          <w:tcPr>
            <w:tcW w:w="1291" w:type="dxa"/>
          </w:tcPr>
          <w:p w14:paraId="0B1E3BE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12.07±5.40 </w:t>
            </w:r>
          </w:p>
        </w:tc>
        <w:tc>
          <w:tcPr>
            <w:tcW w:w="1410" w:type="dxa"/>
          </w:tcPr>
          <w:p w14:paraId="21ED78B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10.00±0.85 </w:t>
            </w:r>
          </w:p>
        </w:tc>
        <w:tc>
          <w:tcPr>
            <w:tcW w:w="1410" w:type="dxa"/>
          </w:tcPr>
          <w:p w14:paraId="2E3CF63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8.54±0.85 </w:t>
            </w:r>
          </w:p>
        </w:tc>
        <w:tc>
          <w:tcPr>
            <w:tcW w:w="1350" w:type="dxa"/>
          </w:tcPr>
          <w:p w14:paraId="73BEB83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10.55±0.85 </w:t>
            </w:r>
          </w:p>
        </w:tc>
      </w:tr>
      <w:tr w:rsidR="001D5843" w14:paraId="55C93C90" w14:textId="77777777" w:rsidTr="005256E9">
        <w:trPr>
          <w:trHeight w:val="70"/>
        </w:trPr>
        <w:tc>
          <w:tcPr>
            <w:tcW w:w="1348" w:type="dxa"/>
          </w:tcPr>
          <w:p w14:paraId="7CBB93E1"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10 </w:t>
            </w:r>
          </w:p>
        </w:tc>
        <w:tc>
          <w:tcPr>
            <w:tcW w:w="1292" w:type="dxa"/>
          </w:tcPr>
          <w:p w14:paraId="43252C6E"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17.20±2.17 </w:t>
            </w:r>
          </w:p>
        </w:tc>
        <w:tc>
          <w:tcPr>
            <w:tcW w:w="1291" w:type="dxa"/>
          </w:tcPr>
          <w:p w14:paraId="04263E0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13.55±2.17 </w:t>
            </w:r>
          </w:p>
        </w:tc>
        <w:tc>
          <w:tcPr>
            <w:tcW w:w="1291" w:type="dxa"/>
          </w:tcPr>
          <w:p w14:paraId="4A26194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18.71±2.17 </w:t>
            </w:r>
          </w:p>
        </w:tc>
        <w:tc>
          <w:tcPr>
            <w:tcW w:w="1410" w:type="dxa"/>
          </w:tcPr>
          <w:p w14:paraId="32A4ECB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17.98±5.38 </w:t>
            </w:r>
          </w:p>
        </w:tc>
        <w:tc>
          <w:tcPr>
            <w:tcW w:w="1410" w:type="dxa"/>
          </w:tcPr>
          <w:p w14:paraId="7C19471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30.10±5.38 </w:t>
            </w:r>
          </w:p>
        </w:tc>
        <w:tc>
          <w:tcPr>
            <w:tcW w:w="1350" w:type="dxa"/>
          </w:tcPr>
          <w:p w14:paraId="70C878A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28.51±5.38 </w:t>
            </w:r>
          </w:p>
        </w:tc>
      </w:tr>
      <w:tr w:rsidR="001D5843" w14:paraId="2B668C96" w14:textId="77777777" w:rsidTr="005256E9">
        <w:trPr>
          <w:trHeight w:val="70"/>
        </w:trPr>
        <w:tc>
          <w:tcPr>
            <w:tcW w:w="1348" w:type="dxa"/>
          </w:tcPr>
          <w:p w14:paraId="24254C70"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11 </w:t>
            </w:r>
          </w:p>
        </w:tc>
        <w:tc>
          <w:tcPr>
            <w:tcW w:w="1292" w:type="dxa"/>
          </w:tcPr>
          <w:p w14:paraId="45F21C4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21.00±3.75 </w:t>
            </w:r>
          </w:p>
        </w:tc>
        <w:tc>
          <w:tcPr>
            <w:tcW w:w="1291" w:type="dxa"/>
          </w:tcPr>
          <w:p w14:paraId="7433EDD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13.01±3.75 </w:t>
            </w:r>
          </w:p>
        </w:tc>
        <w:tc>
          <w:tcPr>
            <w:tcW w:w="1291" w:type="dxa"/>
          </w:tcPr>
          <w:p w14:paraId="073747D7"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13.10±3.75 </w:t>
            </w:r>
          </w:p>
        </w:tc>
        <w:tc>
          <w:tcPr>
            <w:tcW w:w="1410" w:type="dxa"/>
          </w:tcPr>
          <w:p w14:paraId="6ECBBF9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11.20±11.83 </w:t>
            </w:r>
          </w:p>
        </w:tc>
        <w:tc>
          <w:tcPr>
            <w:tcW w:w="1410" w:type="dxa"/>
          </w:tcPr>
          <w:p w14:paraId="1981344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36.80±11.83 </w:t>
            </w:r>
          </w:p>
        </w:tc>
        <w:tc>
          <w:tcPr>
            <w:tcW w:w="1350" w:type="dxa"/>
          </w:tcPr>
          <w:p w14:paraId="0CBF8BE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12.26±11.83 </w:t>
            </w:r>
          </w:p>
        </w:tc>
      </w:tr>
      <w:tr w:rsidR="001D5843" w14:paraId="0DDE8448" w14:textId="77777777" w:rsidTr="005256E9">
        <w:trPr>
          <w:trHeight w:val="70"/>
        </w:trPr>
        <w:tc>
          <w:tcPr>
            <w:tcW w:w="1348" w:type="dxa"/>
          </w:tcPr>
          <w:p w14:paraId="182C1968"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12 </w:t>
            </w:r>
          </w:p>
        </w:tc>
        <w:tc>
          <w:tcPr>
            <w:tcW w:w="1292" w:type="dxa"/>
          </w:tcPr>
          <w:p w14:paraId="6ED7661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16.70±2.24 </w:t>
            </w:r>
          </w:p>
        </w:tc>
        <w:tc>
          <w:tcPr>
            <w:tcW w:w="1291" w:type="dxa"/>
          </w:tcPr>
          <w:p w14:paraId="5875AE1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13.20±2.24 </w:t>
            </w:r>
          </w:p>
        </w:tc>
        <w:tc>
          <w:tcPr>
            <w:tcW w:w="1291" w:type="dxa"/>
          </w:tcPr>
          <w:p w14:paraId="35A3B74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11.30±2.24 </w:t>
            </w:r>
          </w:p>
        </w:tc>
        <w:tc>
          <w:tcPr>
            <w:tcW w:w="1410" w:type="dxa"/>
          </w:tcPr>
          <w:p w14:paraId="64BB680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9.65±2.35 </w:t>
            </w:r>
          </w:p>
        </w:tc>
        <w:tc>
          <w:tcPr>
            <w:tcW w:w="1410" w:type="dxa"/>
          </w:tcPr>
          <w:p w14:paraId="0493903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14.18±2.35 </w:t>
            </w:r>
          </w:p>
        </w:tc>
        <w:tc>
          <w:tcPr>
            <w:tcW w:w="1350" w:type="dxa"/>
          </w:tcPr>
          <w:p w14:paraId="2C10717D"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14.98±2.35 </w:t>
            </w:r>
          </w:p>
        </w:tc>
      </w:tr>
    </w:tbl>
    <w:p w14:paraId="2C8576A7" w14:textId="77777777" w:rsidR="001D5843" w:rsidRPr="00B73CFA" w:rsidRDefault="001D5843" w:rsidP="001D5843">
      <w:pPr>
        <w:spacing w:after="0" w:line="240" w:lineRule="auto"/>
        <w:jc w:val="both"/>
        <w:rPr>
          <w:rFonts w:ascii="Times New Roman" w:hAnsi="Times New Roman" w:cs="Times New Roman"/>
        </w:rPr>
      </w:pPr>
    </w:p>
    <w:p w14:paraId="1725BCDD" w14:textId="77777777" w:rsidR="001636FF" w:rsidRPr="001636FF" w:rsidRDefault="001636FF" w:rsidP="001636FF">
      <w:pPr>
        <w:pStyle w:val="NormalWeb"/>
        <w:spacing w:before="0" w:beforeAutospacing="0" w:after="120" w:afterAutospacing="0"/>
        <w:jc w:val="both"/>
        <w:rPr>
          <w:sz w:val="22"/>
        </w:rPr>
      </w:pPr>
      <w:r w:rsidRPr="001636FF">
        <w:rPr>
          <w:sz w:val="22"/>
        </w:rPr>
        <w:t>The alkalinity results in Table 9 indicate moderate alkalinity levels across all boreholes. During the wet season, alkalinity values were generally lower, reflecting dilution effects and reduced carbonate dissolution.</w:t>
      </w:r>
    </w:p>
    <w:p w14:paraId="1DCB15BF" w14:textId="0D2DBAA1" w:rsidR="001636FF" w:rsidRDefault="001636FF" w:rsidP="001636FF">
      <w:pPr>
        <w:pStyle w:val="NormalWeb"/>
        <w:spacing w:before="0" w:beforeAutospacing="0" w:after="120" w:afterAutospacing="0"/>
        <w:jc w:val="both"/>
        <w:rPr>
          <w:sz w:val="22"/>
        </w:rPr>
      </w:pPr>
      <w:r w:rsidRPr="001636FF">
        <w:rPr>
          <w:sz w:val="22"/>
        </w:rPr>
        <w:t>During the dry season, alkalinity values increased in most locations, particularly in December, suggesting enhanced dissolution of carbonate and bicarbonate minerals due to prolonged water–rock interaction and reduced dilution. The increased alkalinity during the dry season enhances the buffering capacity of the groundwater, helping to stabilize pH levels. All alkalinity values fell within acceptable limits for drinking water, indicating that the borehole waters possess adequate buffering capacity without posing any health risk.</w:t>
      </w:r>
      <w:r w:rsidR="00FA66A1">
        <w:rPr>
          <w:sz w:val="22"/>
        </w:rPr>
        <w:t xml:space="preserve"> The seasonal variation in alkalinity is shown in Figure 8. </w:t>
      </w:r>
    </w:p>
    <w:p w14:paraId="7046D874" w14:textId="77777777" w:rsidR="00FA66A1" w:rsidRPr="00740BD2" w:rsidRDefault="00FA66A1" w:rsidP="00FA66A1">
      <w:pPr>
        <w:spacing w:after="0" w:line="240" w:lineRule="auto"/>
        <w:jc w:val="center"/>
        <w:rPr>
          <w:rFonts w:ascii="Times New Roman" w:hAnsi="Times New Roman" w:cs="Times New Roman"/>
          <w:sz w:val="24"/>
          <w:szCs w:val="24"/>
        </w:rPr>
      </w:pPr>
      <w:r w:rsidRPr="00740BD2">
        <w:rPr>
          <w:rFonts w:ascii="Times New Roman" w:hAnsi="Times New Roman" w:cs="Times New Roman"/>
          <w:noProof/>
          <w:sz w:val="24"/>
          <w:szCs w:val="24"/>
        </w:rPr>
        <w:lastRenderedPageBreak/>
        <w:drawing>
          <wp:inline distT="0" distB="0" distL="0" distR="0" wp14:anchorId="12CA6AAF" wp14:editId="4DE6FC66">
            <wp:extent cx="4261104" cy="27797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1104" cy="2779776"/>
                    </a:xfrm>
                    <a:prstGeom prst="rect">
                      <a:avLst/>
                    </a:prstGeom>
                    <a:noFill/>
                    <a:ln>
                      <a:noFill/>
                    </a:ln>
                  </pic:spPr>
                </pic:pic>
              </a:graphicData>
            </a:graphic>
          </wp:inline>
        </w:drawing>
      </w:r>
    </w:p>
    <w:p w14:paraId="13A71DC5" w14:textId="37E3A777" w:rsidR="00FA66A1" w:rsidRPr="00FA66A1" w:rsidRDefault="00FA66A1" w:rsidP="00FA66A1">
      <w:pPr>
        <w:pStyle w:val="NormalWeb"/>
        <w:spacing w:before="0" w:beforeAutospacing="0" w:after="120" w:afterAutospacing="0"/>
        <w:jc w:val="center"/>
        <w:rPr>
          <w:sz w:val="20"/>
        </w:rPr>
      </w:pPr>
      <w:r w:rsidRPr="00FA66A1">
        <w:rPr>
          <w:b/>
          <w:sz w:val="22"/>
        </w:rPr>
        <w:t>Figure 8.</w:t>
      </w:r>
      <w:r w:rsidRPr="00FA66A1">
        <w:rPr>
          <w:b/>
          <w:sz w:val="22"/>
        </w:rPr>
        <w:t xml:space="preserve"> Alkalinity in Borehole Water Samples</w:t>
      </w:r>
    </w:p>
    <w:p w14:paraId="130E015A" w14:textId="77777777" w:rsidR="001636FF" w:rsidRPr="003A66DD" w:rsidRDefault="001636FF" w:rsidP="001636FF">
      <w:pPr>
        <w:pStyle w:val="NormalWeb"/>
        <w:spacing w:before="0" w:beforeAutospacing="0" w:after="120" w:afterAutospacing="0"/>
        <w:jc w:val="both"/>
        <w:rPr>
          <w:b/>
          <w:sz w:val="22"/>
        </w:rPr>
      </w:pPr>
      <w:r w:rsidRPr="003A66DD">
        <w:rPr>
          <w:b/>
          <w:sz w:val="22"/>
        </w:rPr>
        <w:t xml:space="preserve">Table 10. </w:t>
      </w:r>
      <w:r w:rsidR="0004248D" w:rsidRPr="003A66DD">
        <w:rPr>
          <w:b/>
          <w:sz w:val="22"/>
        </w:rPr>
        <w:t>Paired Sample t-test Results Comparing Chemical Properties between Wet and Dry Season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4248D" w14:paraId="057A0FC4" w14:textId="77777777" w:rsidTr="003A66DD">
        <w:tc>
          <w:tcPr>
            <w:tcW w:w="2337" w:type="dxa"/>
            <w:tcBorders>
              <w:top w:val="single" w:sz="4" w:space="0" w:color="auto"/>
              <w:bottom w:val="single" w:sz="4" w:space="0" w:color="auto"/>
            </w:tcBorders>
          </w:tcPr>
          <w:p w14:paraId="1B569FAE" w14:textId="77777777" w:rsidR="0004248D" w:rsidRPr="003A66DD" w:rsidRDefault="0004248D" w:rsidP="0004248D">
            <w:pPr>
              <w:pStyle w:val="NormalWeb"/>
              <w:spacing w:before="0" w:beforeAutospacing="0" w:after="0" w:afterAutospacing="0"/>
              <w:jc w:val="both"/>
              <w:rPr>
                <w:b/>
                <w:sz w:val="22"/>
              </w:rPr>
            </w:pPr>
            <w:r w:rsidRPr="003A66DD">
              <w:rPr>
                <w:b/>
                <w:sz w:val="22"/>
              </w:rPr>
              <w:t>Chemical Property</w:t>
            </w:r>
          </w:p>
        </w:tc>
        <w:tc>
          <w:tcPr>
            <w:tcW w:w="2337" w:type="dxa"/>
            <w:tcBorders>
              <w:top w:val="single" w:sz="4" w:space="0" w:color="auto"/>
              <w:bottom w:val="single" w:sz="4" w:space="0" w:color="auto"/>
            </w:tcBorders>
          </w:tcPr>
          <w:p w14:paraId="6538A2B6" w14:textId="77777777" w:rsidR="0004248D" w:rsidRPr="003A66DD" w:rsidRDefault="0004248D" w:rsidP="0004248D">
            <w:pPr>
              <w:pStyle w:val="NormalWeb"/>
              <w:spacing w:before="0" w:beforeAutospacing="0" w:after="0" w:afterAutospacing="0"/>
              <w:jc w:val="both"/>
              <w:rPr>
                <w:b/>
                <w:sz w:val="22"/>
              </w:rPr>
            </w:pPr>
            <w:r w:rsidRPr="003A66DD">
              <w:rPr>
                <w:b/>
                <w:sz w:val="22"/>
              </w:rPr>
              <w:t>Mean Difference</w:t>
            </w:r>
          </w:p>
        </w:tc>
        <w:tc>
          <w:tcPr>
            <w:tcW w:w="2338" w:type="dxa"/>
            <w:tcBorders>
              <w:top w:val="single" w:sz="4" w:space="0" w:color="auto"/>
              <w:bottom w:val="single" w:sz="4" w:space="0" w:color="auto"/>
            </w:tcBorders>
          </w:tcPr>
          <w:p w14:paraId="48C70B6A" w14:textId="77777777" w:rsidR="0004248D" w:rsidRPr="003A66DD" w:rsidRDefault="0004248D" w:rsidP="0004248D">
            <w:pPr>
              <w:pStyle w:val="NormalWeb"/>
              <w:spacing w:before="0" w:beforeAutospacing="0" w:after="0" w:afterAutospacing="0"/>
              <w:jc w:val="both"/>
              <w:rPr>
                <w:b/>
                <w:sz w:val="22"/>
              </w:rPr>
            </w:pPr>
            <w:r w:rsidRPr="003A66DD">
              <w:rPr>
                <w:b/>
                <w:sz w:val="22"/>
              </w:rPr>
              <w:t>T value</w:t>
            </w:r>
          </w:p>
        </w:tc>
        <w:tc>
          <w:tcPr>
            <w:tcW w:w="2338" w:type="dxa"/>
            <w:tcBorders>
              <w:top w:val="single" w:sz="4" w:space="0" w:color="auto"/>
              <w:bottom w:val="single" w:sz="4" w:space="0" w:color="auto"/>
            </w:tcBorders>
          </w:tcPr>
          <w:p w14:paraId="170DBF8C" w14:textId="77777777" w:rsidR="0004248D" w:rsidRPr="003A66DD" w:rsidRDefault="0004248D" w:rsidP="0004248D">
            <w:pPr>
              <w:pStyle w:val="NormalWeb"/>
              <w:spacing w:before="0" w:beforeAutospacing="0" w:after="0" w:afterAutospacing="0"/>
              <w:jc w:val="both"/>
              <w:rPr>
                <w:b/>
                <w:sz w:val="22"/>
              </w:rPr>
            </w:pPr>
            <w:r w:rsidRPr="003A66DD">
              <w:rPr>
                <w:b/>
                <w:sz w:val="22"/>
              </w:rPr>
              <w:t>p-value</w:t>
            </w:r>
          </w:p>
        </w:tc>
      </w:tr>
      <w:tr w:rsidR="0004248D" w14:paraId="4229AC96" w14:textId="77777777" w:rsidTr="003A66DD">
        <w:tc>
          <w:tcPr>
            <w:tcW w:w="2337" w:type="dxa"/>
            <w:tcBorders>
              <w:top w:val="single" w:sz="4" w:space="0" w:color="auto"/>
              <w:bottom w:val="nil"/>
            </w:tcBorders>
          </w:tcPr>
          <w:p w14:paraId="36BB84A1" w14:textId="77777777" w:rsidR="0004248D" w:rsidRDefault="0004248D" w:rsidP="0004248D">
            <w:pPr>
              <w:pStyle w:val="NormalWeb"/>
              <w:spacing w:before="0" w:beforeAutospacing="0" w:after="0" w:afterAutospacing="0"/>
              <w:jc w:val="both"/>
              <w:rPr>
                <w:sz w:val="22"/>
              </w:rPr>
            </w:pPr>
            <w:r>
              <w:rPr>
                <w:sz w:val="22"/>
              </w:rPr>
              <w:t>Total Hardness (TH)</w:t>
            </w:r>
          </w:p>
        </w:tc>
        <w:tc>
          <w:tcPr>
            <w:tcW w:w="2337" w:type="dxa"/>
            <w:tcBorders>
              <w:top w:val="single" w:sz="4" w:space="0" w:color="auto"/>
              <w:bottom w:val="nil"/>
            </w:tcBorders>
          </w:tcPr>
          <w:p w14:paraId="52DBF7B1" w14:textId="77777777" w:rsidR="0004248D" w:rsidRDefault="003D2132" w:rsidP="0004248D">
            <w:pPr>
              <w:pStyle w:val="NormalWeb"/>
              <w:spacing w:before="0" w:beforeAutospacing="0" w:after="0" w:afterAutospacing="0"/>
              <w:jc w:val="both"/>
              <w:rPr>
                <w:sz w:val="22"/>
              </w:rPr>
            </w:pPr>
            <w:r>
              <w:rPr>
                <w:sz w:val="22"/>
              </w:rPr>
              <w:t>-76.663</w:t>
            </w:r>
          </w:p>
        </w:tc>
        <w:tc>
          <w:tcPr>
            <w:tcW w:w="2338" w:type="dxa"/>
            <w:tcBorders>
              <w:top w:val="single" w:sz="4" w:space="0" w:color="auto"/>
              <w:bottom w:val="nil"/>
            </w:tcBorders>
          </w:tcPr>
          <w:p w14:paraId="5BBA2E05" w14:textId="77777777" w:rsidR="0004248D" w:rsidRDefault="003D2132" w:rsidP="0004248D">
            <w:pPr>
              <w:pStyle w:val="NormalWeb"/>
              <w:spacing w:before="0" w:beforeAutospacing="0" w:after="0" w:afterAutospacing="0"/>
              <w:jc w:val="both"/>
              <w:rPr>
                <w:sz w:val="22"/>
              </w:rPr>
            </w:pPr>
            <w:r>
              <w:rPr>
                <w:sz w:val="22"/>
              </w:rPr>
              <w:t>-17.780</w:t>
            </w:r>
          </w:p>
        </w:tc>
        <w:tc>
          <w:tcPr>
            <w:tcW w:w="2338" w:type="dxa"/>
            <w:tcBorders>
              <w:top w:val="single" w:sz="4" w:space="0" w:color="auto"/>
              <w:bottom w:val="nil"/>
            </w:tcBorders>
          </w:tcPr>
          <w:p w14:paraId="1084652A" w14:textId="77777777" w:rsidR="0004248D" w:rsidRDefault="003D2132" w:rsidP="0004248D">
            <w:pPr>
              <w:pStyle w:val="NormalWeb"/>
              <w:spacing w:before="0" w:beforeAutospacing="0" w:after="0" w:afterAutospacing="0"/>
              <w:jc w:val="both"/>
              <w:rPr>
                <w:sz w:val="22"/>
              </w:rPr>
            </w:pPr>
            <w:r>
              <w:rPr>
                <w:sz w:val="22"/>
              </w:rPr>
              <w:t>1.881e-09</w:t>
            </w:r>
          </w:p>
        </w:tc>
      </w:tr>
      <w:tr w:rsidR="0004248D" w14:paraId="0802BBFC" w14:textId="77777777" w:rsidTr="003A66DD">
        <w:tc>
          <w:tcPr>
            <w:tcW w:w="2337" w:type="dxa"/>
            <w:tcBorders>
              <w:top w:val="nil"/>
            </w:tcBorders>
          </w:tcPr>
          <w:p w14:paraId="53CED666" w14:textId="77777777" w:rsidR="0004248D" w:rsidRDefault="0004248D" w:rsidP="0004248D">
            <w:pPr>
              <w:pStyle w:val="NormalWeb"/>
              <w:spacing w:before="0" w:beforeAutospacing="0" w:after="0" w:afterAutospacing="0"/>
              <w:jc w:val="both"/>
              <w:rPr>
                <w:sz w:val="22"/>
              </w:rPr>
            </w:pPr>
            <w:r>
              <w:rPr>
                <w:sz w:val="22"/>
              </w:rPr>
              <w:t>DO</w:t>
            </w:r>
          </w:p>
        </w:tc>
        <w:tc>
          <w:tcPr>
            <w:tcW w:w="2337" w:type="dxa"/>
            <w:tcBorders>
              <w:top w:val="nil"/>
            </w:tcBorders>
          </w:tcPr>
          <w:p w14:paraId="4103F413" w14:textId="77777777" w:rsidR="0004248D" w:rsidRDefault="003D2132" w:rsidP="0004248D">
            <w:pPr>
              <w:pStyle w:val="NormalWeb"/>
              <w:spacing w:before="0" w:beforeAutospacing="0" w:after="0" w:afterAutospacing="0"/>
              <w:jc w:val="both"/>
              <w:rPr>
                <w:sz w:val="22"/>
              </w:rPr>
            </w:pPr>
            <w:r>
              <w:rPr>
                <w:sz w:val="22"/>
              </w:rPr>
              <w:t>-26.527</w:t>
            </w:r>
          </w:p>
        </w:tc>
        <w:tc>
          <w:tcPr>
            <w:tcW w:w="2338" w:type="dxa"/>
            <w:tcBorders>
              <w:top w:val="nil"/>
            </w:tcBorders>
          </w:tcPr>
          <w:p w14:paraId="4FB761C1" w14:textId="77777777" w:rsidR="0004248D" w:rsidRDefault="003D2132" w:rsidP="0004248D">
            <w:pPr>
              <w:pStyle w:val="NormalWeb"/>
              <w:spacing w:before="0" w:beforeAutospacing="0" w:after="0" w:afterAutospacing="0"/>
              <w:jc w:val="both"/>
              <w:rPr>
                <w:sz w:val="22"/>
              </w:rPr>
            </w:pPr>
            <w:r>
              <w:rPr>
                <w:sz w:val="22"/>
              </w:rPr>
              <w:t>-29.085</w:t>
            </w:r>
          </w:p>
        </w:tc>
        <w:tc>
          <w:tcPr>
            <w:tcW w:w="2338" w:type="dxa"/>
            <w:tcBorders>
              <w:top w:val="nil"/>
            </w:tcBorders>
          </w:tcPr>
          <w:p w14:paraId="492E15AF" w14:textId="77777777" w:rsidR="0004248D" w:rsidRDefault="003D2132" w:rsidP="0004248D">
            <w:pPr>
              <w:pStyle w:val="NormalWeb"/>
              <w:spacing w:before="0" w:beforeAutospacing="0" w:after="0" w:afterAutospacing="0"/>
              <w:jc w:val="both"/>
              <w:rPr>
                <w:sz w:val="22"/>
              </w:rPr>
            </w:pPr>
            <w:r>
              <w:rPr>
                <w:sz w:val="22"/>
              </w:rPr>
              <w:t>9.337e-12</w:t>
            </w:r>
          </w:p>
        </w:tc>
      </w:tr>
      <w:tr w:rsidR="0004248D" w14:paraId="3B4C0C78" w14:textId="77777777" w:rsidTr="003A66DD">
        <w:tc>
          <w:tcPr>
            <w:tcW w:w="2337" w:type="dxa"/>
          </w:tcPr>
          <w:p w14:paraId="6BF26B1E" w14:textId="77777777" w:rsidR="0004248D" w:rsidRDefault="0004248D" w:rsidP="0004248D">
            <w:pPr>
              <w:pStyle w:val="NormalWeb"/>
              <w:spacing w:before="0" w:beforeAutospacing="0" w:after="0" w:afterAutospacing="0"/>
              <w:jc w:val="both"/>
              <w:rPr>
                <w:sz w:val="22"/>
              </w:rPr>
            </w:pPr>
            <w:r>
              <w:rPr>
                <w:sz w:val="22"/>
              </w:rPr>
              <w:t>COD</w:t>
            </w:r>
          </w:p>
        </w:tc>
        <w:tc>
          <w:tcPr>
            <w:tcW w:w="2337" w:type="dxa"/>
          </w:tcPr>
          <w:p w14:paraId="4E043D0F" w14:textId="77777777" w:rsidR="0004248D" w:rsidRDefault="003D2132" w:rsidP="0004248D">
            <w:pPr>
              <w:pStyle w:val="NormalWeb"/>
              <w:spacing w:before="0" w:beforeAutospacing="0" w:after="0" w:afterAutospacing="0"/>
              <w:jc w:val="both"/>
              <w:rPr>
                <w:sz w:val="22"/>
              </w:rPr>
            </w:pPr>
            <w:r>
              <w:rPr>
                <w:sz w:val="22"/>
              </w:rPr>
              <w:t>1.532</w:t>
            </w:r>
          </w:p>
        </w:tc>
        <w:tc>
          <w:tcPr>
            <w:tcW w:w="2338" w:type="dxa"/>
          </w:tcPr>
          <w:p w14:paraId="13A7364E" w14:textId="77777777" w:rsidR="0004248D" w:rsidRDefault="003D2132" w:rsidP="0004248D">
            <w:pPr>
              <w:pStyle w:val="NormalWeb"/>
              <w:spacing w:before="0" w:beforeAutospacing="0" w:after="0" w:afterAutospacing="0"/>
              <w:jc w:val="both"/>
              <w:rPr>
                <w:sz w:val="22"/>
              </w:rPr>
            </w:pPr>
            <w:r>
              <w:rPr>
                <w:sz w:val="22"/>
              </w:rPr>
              <w:t>6.175</w:t>
            </w:r>
          </w:p>
        </w:tc>
        <w:tc>
          <w:tcPr>
            <w:tcW w:w="2338" w:type="dxa"/>
          </w:tcPr>
          <w:p w14:paraId="10DAF740" w14:textId="77777777" w:rsidR="0004248D" w:rsidRDefault="003D2132" w:rsidP="0004248D">
            <w:pPr>
              <w:pStyle w:val="NormalWeb"/>
              <w:spacing w:before="0" w:beforeAutospacing="0" w:after="0" w:afterAutospacing="0"/>
              <w:jc w:val="both"/>
              <w:rPr>
                <w:sz w:val="22"/>
              </w:rPr>
            </w:pPr>
            <w:r>
              <w:rPr>
                <w:sz w:val="22"/>
              </w:rPr>
              <w:t>6.954e-05</w:t>
            </w:r>
          </w:p>
        </w:tc>
      </w:tr>
      <w:tr w:rsidR="0004248D" w14:paraId="1797C9D3" w14:textId="77777777" w:rsidTr="003A66DD">
        <w:tc>
          <w:tcPr>
            <w:tcW w:w="2337" w:type="dxa"/>
          </w:tcPr>
          <w:p w14:paraId="6F87369A" w14:textId="77777777" w:rsidR="0004248D" w:rsidRDefault="0004248D" w:rsidP="0004248D">
            <w:pPr>
              <w:pStyle w:val="NormalWeb"/>
              <w:spacing w:before="0" w:beforeAutospacing="0" w:after="0" w:afterAutospacing="0"/>
              <w:jc w:val="both"/>
              <w:rPr>
                <w:sz w:val="22"/>
              </w:rPr>
            </w:pPr>
            <w:r>
              <w:rPr>
                <w:sz w:val="22"/>
              </w:rPr>
              <w:t>BOD</w:t>
            </w:r>
          </w:p>
        </w:tc>
        <w:tc>
          <w:tcPr>
            <w:tcW w:w="2337" w:type="dxa"/>
          </w:tcPr>
          <w:p w14:paraId="31469813" w14:textId="77777777" w:rsidR="0004248D" w:rsidRDefault="003D2132" w:rsidP="0004248D">
            <w:pPr>
              <w:pStyle w:val="NormalWeb"/>
              <w:spacing w:before="0" w:beforeAutospacing="0" w:after="0" w:afterAutospacing="0"/>
              <w:jc w:val="both"/>
              <w:rPr>
                <w:sz w:val="22"/>
              </w:rPr>
            </w:pPr>
            <w:r>
              <w:rPr>
                <w:sz w:val="22"/>
              </w:rPr>
              <w:t>-3.436</w:t>
            </w:r>
          </w:p>
        </w:tc>
        <w:tc>
          <w:tcPr>
            <w:tcW w:w="2338" w:type="dxa"/>
          </w:tcPr>
          <w:p w14:paraId="7C44DA8E" w14:textId="77777777" w:rsidR="0004248D" w:rsidRDefault="003D2132" w:rsidP="0004248D">
            <w:pPr>
              <w:pStyle w:val="NormalWeb"/>
              <w:spacing w:before="0" w:beforeAutospacing="0" w:after="0" w:afterAutospacing="0"/>
              <w:jc w:val="both"/>
              <w:rPr>
                <w:sz w:val="22"/>
              </w:rPr>
            </w:pPr>
            <w:r>
              <w:rPr>
                <w:sz w:val="22"/>
              </w:rPr>
              <w:t>-10.290</w:t>
            </w:r>
          </w:p>
        </w:tc>
        <w:tc>
          <w:tcPr>
            <w:tcW w:w="2338" w:type="dxa"/>
          </w:tcPr>
          <w:p w14:paraId="788168A0" w14:textId="77777777" w:rsidR="0004248D" w:rsidRDefault="003D2132" w:rsidP="0004248D">
            <w:pPr>
              <w:pStyle w:val="NormalWeb"/>
              <w:spacing w:before="0" w:beforeAutospacing="0" w:after="0" w:afterAutospacing="0"/>
              <w:jc w:val="both"/>
              <w:rPr>
                <w:sz w:val="22"/>
              </w:rPr>
            </w:pPr>
            <w:r>
              <w:rPr>
                <w:sz w:val="22"/>
              </w:rPr>
              <w:t>5.55e-07</w:t>
            </w:r>
          </w:p>
        </w:tc>
      </w:tr>
      <w:tr w:rsidR="0004248D" w14:paraId="5F3B86C8" w14:textId="77777777" w:rsidTr="003A66DD">
        <w:tc>
          <w:tcPr>
            <w:tcW w:w="2337" w:type="dxa"/>
          </w:tcPr>
          <w:p w14:paraId="35265555" w14:textId="77777777" w:rsidR="0004248D" w:rsidRDefault="00D74900" w:rsidP="0004248D">
            <w:pPr>
              <w:pStyle w:val="NormalWeb"/>
              <w:spacing w:before="0" w:beforeAutospacing="0" w:after="0" w:afterAutospacing="0"/>
              <w:jc w:val="both"/>
              <w:rPr>
                <w:sz w:val="22"/>
              </w:rPr>
            </w:pPr>
            <m:oMath>
              <m:sSup>
                <m:sSupPr>
                  <m:ctrlPr>
                    <w:rPr>
                      <w:rFonts w:ascii="Cambria Math" w:hAnsi="Cambria Math"/>
                      <w:i/>
                      <w:sz w:val="22"/>
                    </w:rPr>
                  </m:ctrlPr>
                </m:sSupPr>
                <m:e>
                  <m:r>
                    <w:rPr>
                      <w:rFonts w:ascii="Cambria Math" w:hAnsi="Cambria Math"/>
                      <w:sz w:val="22"/>
                    </w:rPr>
                    <m:t>Cl</m:t>
                  </m:r>
                </m:e>
                <m:sup>
                  <m:r>
                    <w:rPr>
                      <w:rFonts w:ascii="Cambria Math" w:hAnsi="Cambria Math"/>
                      <w:sz w:val="22"/>
                    </w:rPr>
                    <m:t>-</m:t>
                  </m:r>
                </m:sup>
              </m:sSup>
            </m:oMath>
            <w:r w:rsidR="0004248D">
              <w:rPr>
                <w:sz w:val="22"/>
              </w:rPr>
              <w:t xml:space="preserve"> </w:t>
            </w:r>
          </w:p>
        </w:tc>
        <w:tc>
          <w:tcPr>
            <w:tcW w:w="2337" w:type="dxa"/>
          </w:tcPr>
          <w:p w14:paraId="1AA461C4" w14:textId="77777777" w:rsidR="0004248D" w:rsidRDefault="003D2132" w:rsidP="0004248D">
            <w:pPr>
              <w:pStyle w:val="NormalWeb"/>
              <w:spacing w:before="0" w:beforeAutospacing="0" w:after="0" w:afterAutospacing="0"/>
              <w:jc w:val="both"/>
              <w:rPr>
                <w:sz w:val="22"/>
              </w:rPr>
            </w:pPr>
            <w:r>
              <w:rPr>
                <w:sz w:val="22"/>
              </w:rPr>
              <w:t>-10.714</w:t>
            </w:r>
          </w:p>
        </w:tc>
        <w:tc>
          <w:tcPr>
            <w:tcW w:w="2338" w:type="dxa"/>
          </w:tcPr>
          <w:p w14:paraId="2F476569" w14:textId="77777777" w:rsidR="0004248D" w:rsidRDefault="003D2132" w:rsidP="0004248D">
            <w:pPr>
              <w:pStyle w:val="NormalWeb"/>
              <w:spacing w:before="0" w:beforeAutospacing="0" w:after="0" w:afterAutospacing="0"/>
              <w:jc w:val="both"/>
              <w:rPr>
                <w:sz w:val="22"/>
              </w:rPr>
            </w:pPr>
            <w:r>
              <w:rPr>
                <w:sz w:val="22"/>
              </w:rPr>
              <w:t>-2.854</w:t>
            </w:r>
          </w:p>
        </w:tc>
        <w:tc>
          <w:tcPr>
            <w:tcW w:w="2338" w:type="dxa"/>
          </w:tcPr>
          <w:p w14:paraId="610A3260" w14:textId="77777777" w:rsidR="0004248D" w:rsidRDefault="003D2132" w:rsidP="0004248D">
            <w:pPr>
              <w:pStyle w:val="NormalWeb"/>
              <w:spacing w:before="0" w:beforeAutospacing="0" w:after="0" w:afterAutospacing="0"/>
              <w:jc w:val="both"/>
              <w:rPr>
                <w:sz w:val="22"/>
              </w:rPr>
            </w:pPr>
            <w:r>
              <w:rPr>
                <w:sz w:val="22"/>
              </w:rPr>
              <w:t>0.0157</w:t>
            </w:r>
          </w:p>
        </w:tc>
      </w:tr>
      <w:tr w:rsidR="0004248D" w14:paraId="79224C60" w14:textId="77777777" w:rsidTr="003A66DD">
        <w:tc>
          <w:tcPr>
            <w:tcW w:w="2337" w:type="dxa"/>
          </w:tcPr>
          <w:p w14:paraId="09AE94CE" w14:textId="77777777" w:rsidR="0004248D" w:rsidRDefault="00D74900" w:rsidP="0004248D">
            <w:pPr>
              <w:pStyle w:val="NormalWeb"/>
              <w:spacing w:before="0" w:beforeAutospacing="0" w:after="0" w:afterAutospacing="0"/>
              <w:jc w:val="both"/>
              <w:rPr>
                <w:sz w:val="22"/>
              </w:rPr>
            </w:pPr>
            <m:oMath>
              <m:sSubSup>
                <m:sSubSupPr>
                  <m:ctrlPr>
                    <w:rPr>
                      <w:rFonts w:ascii="Cambria Math" w:hAnsi="Cambria Math"/>
                      <w:i/>
                      <w:sz w:val="22"/>
                    </w:rPr>
                  </m:ctrlPr>
                </m:sSubSupPr>
                <m:e>
                  <m:r>
                    <w:rPr>
                      <w:rFonts w:ascii="Cambria Math" w:hAnsi="Cambria Math"/>
                      <w:sz w:val="22"/>
                    </w:rPr>
                    <m:t>SO</m:t>
                  </m:r>
                </m:e>
                <m:sub>
                  <m:r>
                    <w:rPr>
                      <w:rFonts w:ascii="Cambria Math" w:hAnsi="Cambria Math"/>
                      <w:sz w:val="22"/>
                    </w:rPr>
                    <m:t>4</m:t>
                  </m:r>
                </m:sub>
                <m:sup>
                  <m:r>
                    <w:rPr>
                      <w:rFonts w:ascii="Cambria Math" w:hAnsi="Cambria Math"/>
                      <w:sz w:val="22"/>
                    </w:rPr>
                    <m:t>2-</m:t>
                  </m:r>
                </m:sup>
              </m:sSubSup>
            </m:oMath>
            <w:r w:rsidR="0004248D">
              <w:rPr>
                <w:sz w:val="22"/>
              </w:rPr>
              <w:t xml:space="preserve"> </w:t>
            </w:r>
          </w:p>
        </w:tc>
        <w:tc>
          <w:tcPr>
            <w:tcW w:w="2337" w:type="dxa"/>
          </w:tcPr>
          <w:p w14:paraId="098F56C4" w14:textId="77777777" w:rsidR="0004248D" w:rsidRDefault="003D2132" w:rsidP="0004248D">
            <w:pPr>
              <w:pStyle w:val="NormalWeb"/>
              <w:spacing w:before="0" w:beforeAutospacing="0" w:after="0" w:afterAutospacing="0"/>
              <w:jc w:val="both"/>
              <w:rPr>
                <w:sz w:val="22"/>
              </w:rPr>
            </w:pPr>
            <w:r>
              <w:rPr>
                <w:sz w:val="22"/>
              </w:rPr>
              <w:t>-10.233</w:t>
            </w:r>
          </w:p>
        </w:tc>
        <w:tc>
          <w:tcPr>
            <w:tcW w:w="2338" w:type="dxa"/>
          </w:tcPr>
          <w:p w14:paraId="5B004BF5" w14:textId="77777777" w:rsidR="0004248D" w:rsidRDefault="003D2132" w:rsidP="0004248D">
            <w:pPr>
              <w:pStyle w:val="NormalWeb"/>
              <w:spacing w:before="0" w:beforeAutospacing="0" w:after="0" w:afterAutospacing="0"/>
              <w:jc w:val="both"/>
              <w:rPr>
                <w:sz w:val="22"/>
              </w:rPr>
            </w:pPr>
            <w:r>
              <w:rPr>
                <w:sz w:val="22"/>
              </w:rPr>
              <w:t>-7.752</w:t>
            </w:r>
          </w:p>
        </w:tc>
        <w:tc>
          <w:tcPr>
            <w:tcW w:w="2338" w:type="dxa"/>
          </w:tcPr>
          <w:p w14:paraId="356EDD08" w14:textId="77777777" w:rsidR="0004248D" w:rsidRDefault="003D2132" w:rsidP="0004248D">
            <w:pPr>
              <w:pStyle w:val="NormalWeb"/>
              <w:spacing w:before="0" w:beforeAutospacing="0" w:after="0" w:afterAutospacing="0"/>
              <w:jc w:val="both"/>
              <w:rPr>
                <w:sz w:val="22"/>
              </w:rPr>
            </w:pPr>
            <w:r>
              <w:rPr>
                <w:sz w:val="22"/>
              </w:rPr>
              <w:t>8.806e-06</w:t>
            </w:r>
          </w:p>
        </w:tc>
      </w:tr>
      <w:tr w:rsidR="0004248D" w14:paraId="294D3FBA" w14:textId="77777777" w:rsidTr="003A66DD">
        <w:tc>
          <w:tcPr>
            <w:tcW w:w="2337" w:type="dxa"/>
          </w:tcPr>
          <w:p w14:paraId="33D9023A" w14:textId="77777777" w:rsidR="0004248D" w:rsidRDefault="00D74900" w:rsidP="0004248D">
            <w:pPr>
              <w:pStyle w:val="NormalWeb"/>
              <w:spacing w:before="0" w:beforeAutospacing="0" w:after="0" w:afterAutospacing="0"/>
              <w:jc w:val="both"/>
              <w:rPr>
                <w:sz w:val="22"/>
              </w:rPr>
            </w:pPr>
            <m:oMath>
              <m:sSubSup>
                <m:sSubSupPr>
                  <m:ctrlPr>
                    <w:rPr>
                      <w:rFonts w:ascii="Cambria Math" w:hAnsi="Cambria Math"/>
                      <w:i/>
                      <w:sz w:val="22"/>
                    </w:rPr>
                  </m:ctrlPr>
                </m:sSubSupPr>
                <m:e>
                  <m:r>
                    <w:rPr>
                      <w:rFonts w:ascii="Cambria Math" w:hAnsi="Cambria Math"/>
                      <w:sz w:val="22"/>
                    </w:rPr>
                    <m:t>NO</m:t>
                  </m:r>
                </m:e>
                <m:sub>
                  <m:r>
                    <w:rPr>
                      <w:rFonts w:ascii="Cambria Math" w:hAnsi="Cambria Math"/>
                      <w:sz w:val="22"/>
                    </w:rPr>
                    <m:t>3</m:t>
                  </m:r>
                </m:sub>
                <m:sup>
                  <m:r>
                    <w:rPr>
                      <w:rFonts w:ascii="Cambria Math" w:hAnsi="Cambria Math"/>
                      <w:sz w:val="22"/>
                    </w:rPr>
                    <m:t>-</m:t>
                  </m:r>
                </m:sup>
              </m:sSubSup>
            </m:oMath>
            <w:r w:rsidR="0004248D">
              <w:rPr>
                <w:sz w:val="22"/>
              </w:rPr>
              <w:t xml:space="preserve"> </w:t>
            </w:r>
          </w:p>
        </w:tc>
        <w:tc>
          <w:tcPr>
            <w:tcW w:w="2337" w:type="dxa"/>
          </w:tcPr>
          <w:p w14:paraId="27372E95" w14:textId="77777777" w:rsidR="0004248D" w:rsidRDefault="003D2132" w:rsidP="0004248D">
            <w:pPr>
              <w:pStyle w:val="NormalWeb"/>
              <w:spacing w:before="0" w:beforeAutospacing="0" w:after="0" w:afterAutospacing="0"/>
              <w:jc w:val="both"/>
              <w:rPr>
                <w:sz w:val="22"/>
              </w:rPr>
            </w:pPr>
            <w:r>
              <w:rPr>
                <w:sz w:val="22"/>
              </w:rPr>
              <w:t>-9.226</w:t>
            </w:r>
          </w:p>
        </w:tc>
        <w:tc>
          <w:tcPr>
            <w:tcW w:w="2338" w:type="dxa"/>
          </w:tcPr>
          <w:p w14:paraId="0B02D6DC" w14:textId="77777777" w:rsidR="0004248D" w:rsidRDefault="003D2132" w:rsidP="0004248D">
            <w:pPr>
              <w:pStyle w:val="NormalWeb"/>
              <w:spacing w:before="0" w:beforeAutospacing="0" w:after="0" w:afterAutospacing="0"/>
              <w:jc w:val="both"/>
              <w:rPr>
                <w:sz w:val="22"/>
              </w:rPr>
            </w:pPr>
            <w:r>
              <w:rPr>
                <w:sz w:val="22"/>
              </w:rPr>
              <w:t>-5.689</w:t>
            </w:r>
          </w:p>
        </w:tc>
        <w:tc>
          <w:tcPr>
            <w:tcW w:w="2338" w:type="dxa"/>
          </w:tcPr>
          <w:p w14:paraId="06F96967" w14:textId="77777777" w:rsidR="0004248D" w:rsidRDefault="003D2132" w:rsidP="0004248D">
            <w:pPr>
              <w:pStyle w:val="NormalWeb"/>
              <w:spacing w:before="0" w:beforeAutospacing="0" w:after="0" w:afterAutospacing="0"/>
              <w:jc w:val="both"/>
              <w:rPr>
                <w:sz w:val="22"/>
              </w:rPr>
            </w:pPr>
            <w:r>
              <w:rPr>
                <w:sz w:val="22"/>
              </w:rPr>
              <w:t>0.0001</w:t>
            </w:r>
          </w:p>
        </w:tc>
      </w:tr>
      <w:tr w:rsidR="0004248D" w14:paraId="09D21315" w14:textId="77777777" w:rsidTr="003A66DD">
        <w:tc>
          <w:tcPr>
            <w:tcW w:w="2337" w:type="dxa"/>
          </w:tcPr>
          <w:p w14:paraId="13929BF6" w14:textId="77777777" w:rsidR="0004248D" w:rsidRDefault="0004248D" w:rsidP="0004248D">
            <w:pPr>
              <w:pStyle w:val="NormalWeb"/>
              <w:spacing w:before="0" w:beforeAutospacing="0" w:after="0" w:afterAutospacing="0"/>
              <w:jc w:val="both"/>
              <w:rPr>
                <w:sz w:val="22"/>
              </w:rPr>
            </w:pPr>
            <w:r>
              <w:rPr>
                <w:sz w:val="22"/>
              </w:rPr>
              <w:t>Total Alkalinity</w:t>
            </w:r>
          </w:p>
        </w:tc>
        <w:tc>
          <w:tcPr>
            <w:tcW w:w="2337" w:type="dxa"/>
          </w:tcPr>
          <w:p w14:paraId="7A75FA97" w14:textId="77777777" w:rsidR="0004248D" w:rsidRDefault="003D2132" w:rsidP="0004248D">
            <w:pPr>
              <w:pStyle w:val="NormalWeb"/>
              <w:spacing w:before="0" w:beforeAutospacing="0" w:after="0" w:afterAutospacing="0"/>
              <w:jc w:val="both"/>
              <w:rPr>
                <w:sz w:val="22"/>
              </w:rPr>
            </w:pPr>
            <w:r>
              <w:rPr>
                <w:sz w:val="22"/>
              </w:rPr>
              <w:t>-4.137</w:t>
            </w:r>
          </w:p>
        </w:tc>
        <w:tc>
          <w:tcPr>
            <w:tcW w:w="2338" w:type="dxa"/>
          </w:tcPr>
          <w:p w14:paraId="1B1B64F9" w14:textId="77777777" w:rsidR="0004248D" w:rsidRDefault="003D2132" w:rsidP="0004248D">
            <w:pPr>
              <w:pStyle w:val="NormalWeb"/>
              <w:spacing w:before="0" w:beforeAutospacing="0" w:after="0" w:afterAutospacing="0"/>
              <w:jc w:val="both"/>
              <w:rPr>
                <w:sz w:val="22"/>
              </w:rPr>
            </w:pPr>
            <w:r>
              <w:rPr>
                <w:sz w:val="22"/>
              </w:rPr>
              <w:t>-2.999</w:t>
            </w:r>
          </w:p>
        </w:tc>
        <w:tc>
          <w:tcPr>
            <w:tcW w:w="2338" w:type="dxa"/>
          </w:tcPr>
          <w:p w14:paraId="04FD7083" w14:textId="77777777" w:rsidR="0004248D" w:rsidRDefault="003D2132" w:rsidP="0004248D">
            <w:pPr>
              <w:pStyle w:val="NormalWeb"/>
              <w:spacing w:before="0" w:beforeAutospacing="0" w:after="0" w:afterAutospacing="0"/>
              <w:jc w:val="both"/>
              <w:rPr>
                <w:sz w:val="22"/>
              </w:rPr>
            </w:pPr>
            <w:r>
              <w:rPr>
                <w:sz w:val="22"/>
              </w:rPr>
              <w:t>0.0121</w:t>
            </w:r>
          </w:p>
        </w:tc>
      </w:tr>
    </w:tbl>
    <w:p w14:paraId="5B32B6AA" w14:textId="77777777" w:rsidR="0004248D" w:rsidRDefault="0004248D" w:rsidP="001636FF">
      <w:pPr>
        <w:pStyle w:val="NormalWeb"/>
        <w:spacing w:before="0" w:beforeAutospacing="0" w:after="120" w:afterAutospacing="0"/>
        <w:jc w:val="both"/>
        <w:rPr>
          <w:sz w:val="22"/>
        </w:rPr>
      </w:pPr>
    </w:p>
    <w:p w14:paraId="43966DC7" w14:textId="77777777" w:rsidR="00763C7F" w:rsidRPr="00763C7F" w:rsidRDefault="00763C7F" w:rsidP="00763C7F">
      <w:pPr>
        <w:pStyle w:val="NormalWeb"/>
        <w:spacing w:before="0" w:beforeAutospacing="0" w:after="120" w:afterAutospacing="0"/>
        <w:jc w:val="both"/>
        <w:rPr>
          <w:sz w:val="22"/>
        </w:rPr>
      </w:pPr>
      <w:r w:rsidRPr="00763C7F">
        <w:rPr>
          <w:sz w:val="22"/>
        </w:rPr>
        <w:t>Table 10 presents the results of the paired sample t-test conducted to examine seasonal variations in selected chemical properties of borehole water between the wet and dry seasons in Enugu North Local Government Area. The paired t-test is appropriate in this context because the same boreholes were sampled across both seasons, allowing for a direct comparison of seasonal effects on groundwater chemistry. The mean difference represents the difference between wet and dry season values (wet season minus dry season), while the t-value and p-value indicate the magnitude and statistical significance of the observed differences.</w:t>
      </w:r>
    </w:p>
    <w:p w14:paraId="7CFE32D9" w14:textId="77777777" w:rsidR="00763C7F" w:rsidRPr="00763C7F" w:rsidRDefault="00763C7F" w:rsidP="00763C7F">
      <w:pPr>
        <w:pStyle w:val="NormalWeb"/>
        <w:spacing w:before="0" w:beforeAutospacing="0" w:after="120" w:afterAutospacing="0"/>
        <w:jc w:val="both"/>
        <w:rPr>
          <w:sz w:val="22"/>
        </w:rPr>
      </w:pPr>
      <w:r w:rsidRPr="00763C7F">
        <w:rPr>
          <w:sz w:val="22"/>
        </w:rPr>
        <w:t>The results reveal statistically significant seasonal differences for all the chemical parameters analyzed, as all p-values are less than the 0.05 significance level. This indicates that seasonal variation has a considerable influence on the chemical composition of borehole water in the study area.</w:t>
      </w:r>
    </w:p>
    <w:p w14:paraId="3EF19A94" w14:textId="77777777" w:rsidR="00763C7F" w:rsidRPr="00763C7F" w:rsidRDefault="00763C7F" w:rsidP="00763C7F">
      <w:pPr>
        <w:pStyle w:val="NormalWeb"/>
        <w:spacing w:before="0" w:beforeAutospacing="0" w:after="120" w:afterAutospacing="0"/>
        <w:jc w:val="both"/>
        <w:rPr>
          <w:sz w:val="22"/>
        </w:rPr>
      </w:pPr>
      <w:r w:rsidRPr="00763C7F">
        <w:rPr>
          <w:sz w:val="22"/>
        </w:rPr>
        <w:t>Total Hardness (TH) shows a large negative mean difference (−76.663) with a highly significant t-value (−17.780, p = 1.881 × 10⁻⁹), indicating that total hardness is significantly higher during the dry season than in the wet season. This increase during the dry season may be attributed to reduced dilution and higher mineral concentration due to lower groundwater recharge.</w:t>
      </w:r>
    </w:p>
    <w:p w14:paraId="55C40165" w14:textId="77777777" w:rsidR="00763C7F" w:rsidRPr="00763C7F" w:rsidRDefault="00763C7F" w:rsidP="00763C7F">
      <w:pPr>
        <w:pStyle w:val="NormalWeb"/>
        <w:spacing w:before="0" w:beforeAutospacing="0" w:after="120" w:afterAutospacing="0"/>
        <w:jc w:val="both"/>
        <w:rPr>
          <w:sz w:val="22"/>
        </w:rPr>
      </w:pPr>
      <w:r w:rsidRPr="00763C7F">
        <w:rPr>
          <w:sz w:val="22"/>
        </w:rPr>
        <w:t>Dissolved Oxygen (DO) also exhibits a substantial negative mean difference (−26.527) and a very high level of statistical significance (t = −29.085, p = 9.337 × 10⁻¹²). This suggests that DO concentrations are significantly lower in the dry season compared to the wet season. The higher DO levels in the wet season may be associated with increased recharge, enhanced aeration, and lower water temperatures.</w:t>
      </w:r>
    </w:p>
    <w:p w14:paraId="5B767387" w14:textId="77777777" w:rsidR="00763C7F" w:rsidRPr="00763C7F" w:rsidRDefault="00763C7F" w:rsidP="00763C7F">
      <w:pPr>
        <w:pStyle w:val="NormalWeb"/>
        <w:spacing w:before="0" w:beforeAutospacing="0" w:after="120" w:afterAutospacing="0"/>
        <w:jc w:val="both"/>
        <w:rPr>
          <w:sz w:val="22"/>
        </w:rPr>
      </w:pPr>
      <w:r w:rsidRPr="00763C7F">
        <w:rPr>
          <w:sz w:val="22"/>
        </w:rPr>
        <w:lastRenderedPageBreak/>
        <w:t>Chemical Oxygen Demand (COD) is the only parameter with a positive mean difference (1.532), and the difference is statistically significant (t = 6.175, p = 6.954 × 10⁻⁵). This indicates that COD levels are significantly higher in the wet season than in the dry season. The elevated COD during the wet season may result from surface runoff transporting organic and inorganic pollutants into the groundwater system.</w:t>
      </w:r>
    </w:p>
    <w:p w14:paraId="6A3AFB33" w14:textId="77777777" w:rsidR="00763C7F" w:rsidRPr="00763C7F" w:rsidRDefault="00763C7F" w:rsidP="00763C7F">
      <w:pPr>
        <w:pStyle w:val="NormalWeb"/>
        <w:spacing w:before="0" w:beforeAutospacing="0" w:after="120" w:afterAutospacing="0"/>
        <w:jc w:val="both"/>
        <w:rPr>
          <w:sz w:val="22"/>
        </w:rPr>
      </w:pPr>
      <w:r w:rsidRPr="00763C7F">
        <w:rPr>
          <w:sz w:val="22"/>
        </w:rPr>
        <w:t>Biochemical Oxygen Demand (BOD) shows a negative mean difference (−3.436) with strong statistical significance (t = −10.290, p = 5.55 × 10⁻⁷), implying higher BOD levels during the dry season. This could be due to increased concentration of biodegradable organic matter as a result of reduced water volume and limited dilution.</w:t>
      </w:r>
    </w:p>
    <w:p w14:paraId="73C3C8B6" w14:textId="77777777" w:rsidR="00763C7F" w:rsidRPr="00763C7F" w:rsidRDefault="00763C7F" w:rsidP="00763C7F">
      <w:pPr>
        <w:pStyle w:val="NormalWeb"/>
        <w:spacing w:before="0" w:beforeAutospacing="0" w:after="120" w:afterAutospacing="0"/>
        <w:jc w:val="both"/>
        <w:rPr>
          <w:sz w:val="22"/>
        </w:rPr>
      </w:pPr>
      <w:r w:rsidRPr="00763C7F">
        <w:rPr>
          <w:sz w:val="22"/>
        </w:rPr>
        <w:t>Chloride (Cl⁻) concentrations also differ significantly between seasons, with a negative mean difference (−10.714) and a p-value of 0.0157. This indicates higher chloride levels in the dry season. Elevated chloride during the dry season may reflect evaporation effects, increased anthropogenic inputs, or leaching from surrounding soils and waste disposal sites.</w:t>
      </w:r>
    </w:p>
    <w:p w14:paraId="38F7F19E" w14:textId="77777777" w:rsidR="00763C7F" w:rsidRPr="00763C7F" w:rsidRDefault="00763C7F" w:rsidP="00763C7F">
      <w:pPr>
        <w:pStyle w:val="NormalWeb"/>
        <w:spacing w:before="0" w:beforeAutospacing="0" w:after="120" w:afterAutospacing="0"/>
        <w:jc w:val="both"/>
        <w:rPr>
          <w:sz w:val="22"/>
        </w:rPr>
      </w:pPr>
      <w:r w:rsidRPr="00763C7F">
        <w:rPr>
          <w:sz w:val="22"/>
        </w:rPr>
        <w:t>Similarly, sulphate (SO₄²⁻) shows a significant negative mean difference (−10.233) (t = −7.752, p = 8.806 × 10⁻⁶), indicating higher concentrations in the dry season. This seasonal increase may be linked to mineral dissolution and concentration effects during periods of reduced groundwater recharge.</w:t>
      </w:r>
    </w:p>
    <w:p w14:paraId="1AFD0BD9" w14:textId="77777777" w:rsidR="00763C7F" w:rsidRPr="00763C7F" w:rsidRDefault="00763C7F" w:rsidP="00763C7F">
      <w:pPr>
        <w:pStyle w:val="NormalWeb"/>
        <w:spacing w:before="0" w:beforeAutospacing="0" w:after="120" w:afterAutospacing="0"/>
        <w:jc w:val="both"/>
        <w:rPr>
          <w:sz w:val="22"/>
        </w:rPr>
      </w:pPr>
      <w:r w:rsidRPr="00763C7F">
        <w:rPr>
          <w:sz w:val="22"/>
        </w:rPr>
        <w:t>Nitrate (NO₃⁻) also exhibits a statistically significant negative mean difference (−9.226) (t = −5.689, p = 0.0001), suggesting higher nitrate levels in the dry season. This pattern may be attributed to the accumulation of agricultural runoff, sewage infiltration, and reduced dilution during the dry period, raising concerns about potential health risks.</w:t>
      </w:r>
    </w:p>
    <w:p w14:paraId="78BC4850" w14:textId="77777777" w:rsidR="00763C7F" w:rsidRDefault="00763C7F" w:rsidP="00763C7F">
      <w:pPr>
        <w:pStyle w:val="NormalWeb"/>
        <w:spacing w:before="0" w:beforeAutospacing="0" w:after="120" w:afterAutospacing="0"/>
        <w:jc w:val="both"/>
        <w:rPr>
          <w:sz w:val="22"/>
        </w:rPr>
      </w:pPr>
      <w:r w:rsidRPr="00763C7F">
        <w:rPr>
          <w:sz w:val="22"/>
        </w:rPr>
        <w:t>Total Alkalinity records a negative mean difference (−4.137) with a statistically significant p-value (0.0121), indicating higher alkalinity during the dry season. This may result from increased dissolution of carbonate and bicarbonate minerals under low recharge conditions.</w:t>
      </w:r>
    </w:p>
    <w:p w14:paraId="6A2F2603" w14:textId="77777777" w:rsidR="00763C7F" w:rsidRPr="005659E4" w:rsidRDefault="00763C7F" w:rsidP="00763C7F">
      <w:pPr>
        <w:pStyle w:val="NormalWeb"/>
        <w:spacing w:before="0" w:beforeAutospacing="0" w:after="120" w:afterAutospacing="0"/>
        <w:jc w:val="both"/>
        <w:rPr>
          <w:b/>
          <w:sz w:val="22"/>
        </w:rPr>
      </w:pPr>
      <w:r w:rsidRPr="005659E4">
        <w:rPr>
          <w:b/>
          <w:sz w:val="22"/>
        </w:rPr>
        <w:t>4. Conclusion</w:t>
      </w:r>
    </w:p>
    <w:p w14:paraId="2DD23228" w14:textId="77777777" w:rsidR="003A66DD" w:rsidRPr="005659E4" w:rsidRDefault="003A66DD" w:rsidP="005659E4">
      <w:pPr>
        <w:pStyle w:val="NormalWeb"/>
        <w:spacing w:before="0" w:beforeAutospacing="0" w:after="120" w:afterAutospacing="0"/>
        <w:jc w:val="both"/>
        <w:rPr>
          <w:sz w:val="22"/>
        </w:rPr>
      </w:pPr>
      <w:r w:rsidRPr="005659E4">
        <w:rPr>
          <w:sz w:val="22"/>
        </w:rPr>
        <w:t>This study assessed the seasonal variation in the chemical properties of borehole water from twelve sampled locations in Enugu North Local Government Area over a six-month period covering the wet season (June–August 2023) and the dry season (November 2023–January 2024). The analysis focused on key chemical parameters, including dissolved oxygen (DO), chemical oxygen demand (COD), biochemical oxygen demand (BOD), chloride, sulphate, nitrate, total hardness, and total alkalinity, in order to understand the influence of seasonal changes on groundwater quality.</w:t>
      </w:r>
    </w:p>
    <w:p w14:paraId="73DB060A" w14:textId="77777777" w:rsidR="003A66DD" w:rsidRPr="005659E4" w:rsidRDefault="003A66DD" w:rsidP="005659E4">
      <w:pPr>
        <w:pStyle w:val="NormalWeb"/>
        <w:spacing w:before="0" w:beforeAutospacing="0" w:after="120" w:afterAutospacing="0"/>
        <w:jc w:val="both"/>
        <w:rPr>
          <w:sz w:val="22"/>
        </w:rPr>
      </w:pPr>
      <w:r w:rsidRPr="005659E4">
        <w:rPr>
          <w:sz w:val="22"/>
        </w:rPr>
        <w:t>The results clearly demonstrate that seasonality has a significant impact on the chemical composition of groundwater in the study area. Paired sample t-test analysis revealed statistically significant differences between wet and dry season values for all parameters investigated. Most parameters, including total hardness, BOD, chloride, sulphate, nitrate, and total alkalinity, recorded higher concentrations during the dry season, which can be attributed to reduced groundwater recharge, increased evaporation, and limited dilution of dissolved substances. In contrast, dissolved oxygen and chemical oxygen demand were higher during the wet season, likely due to increased recharge, surface runoff, and enhanced transport of organic and inorganic materials into the aquifer system.</w:t>
      </w:r>
    </w:p>
    <w:p w14:paraId="3483A1D9" w14:textId="20BB0E4F" w:rsidR="003A66DD" w:rsidRDefault="003A66DD" w:rsidP="005659E4">
      <w:pPr>
        <w:pStyle w:val="NormalWeb"/>
        <w:spacing w:before="0" w:beforeAutospacing="0" w:after="120" w:afterAutospacing="0"/>
        <w:jc w:val="both"/>
        <w:rPr>
          <w:sz w:val="22"/>
        </w:rPr>
      </w:pPr>
      <w:r w:rsidRPr="005659E4">
        <w:rPr>
          <w:sz w:val="22"/>
        </w:rPr>
        <w:t>The observed seasonal trends highlight potential water quality concerns, particularly during the dry season when elevated concentrations of hardness-forming ions and nutrients such as nitrate may pose health and aesthetic challenges for domestic water use. These findings underscore the need for regular and season-based monitoring of borehole water quality in Enugu North LGA. Implementing appropriate groundwater protection strategies and public awareness programs will help ensure the sustainability and safety of groundwater resources in the area.</w:t>
      </w:r>
    </w:p>
    <w:p w14:paraId="4320BAB3" w14:textId="59A7423D" w:rsidR="00E20476" w:rsidRDefault="00E20476" w:rsidP="005659E4">
      <w:pPr>
        <w:pStyle w:val="NormalWeb"/>
        <w:spacing w:before="0" w:beforeAutospacing="0" w:after="120" w:afterAutospacing="0"/>
        <w:jc w:val="both"/>
        <w:rPr>
          <w:sz w:val="22"/>
        </w:rPr>
      </w:pPr>
    </w:p>
    <w:p w14:paraId="00A4F681" w14:textId="53916C42" w:rsidR="00E20476" w:rsidRDefault="00E20476" w:rsidP="005659E4">
      <w:pPr>
        <w:pStyle w:val="NormalWeb"/>
        <w:spacing w:before="0" w:beforeAutospacing="0" w:after="120" w:afterAutospacing="0"/>
        <w:jc w:val="both"/>
        <w:rPr>
          <w:sz w:val="22"/>
        </w:rPr>
      </w:pPr>
    </w:p>
    <w:p w14:paraId="6CD3DA36" w14:textId="77777777" w:rsidR="00E20476" w:rsidRPr="00E20476" w:rsidRDefault="00E20476" w:rsidP="00E20476">
      <w:pPr>
        <w:spacing w:after="0" w:line="240" w:lineRule="auto"/>
        <w:rPr>
          <w:rFonts w:ascii="Arial" w:eastAsia="Calibri" w:hAnsi="Arial" w:cs="Arial"/>
          <w:kern w:val="2"/>
          <w:highlight w:val="yellow"/>
          <w14:ligatures w14:val="standardContextual"/>
        </w:rPr>
      </w:pPr>
      <w:bookmarkStart w:id="1" w:name="_Hlk198031404"/>
      <w:r w:rsidRPr="00E20476">
        <w:rPr>
          <w:rFonts w:ascii="Arial" w:eastAsia="Calibri" w:hAnsi="Arial" w:cs="Arial"/>
          <w:kern w:val="2"/>
          <w:highlight w:val="yellow"/>
          <w14:ligatures w14:val="standardContextual"/>
        </w:rPr>
        <w:lastRenderedPageBreak/>
        <w:t>Disclaimer (Artificial intelligence)</w:t>
      </w:r>
    </w:p>
    <w:p w14:paraId="16672C27" w14:textId="77777777" w:rsidR="00E20476" w:rsidRPr="00E20476" w:rsidRDefault="00E20476" w:rsidP="00E20476">
      <w:pPr>
        <w:spacing w:after="0" w:line="240" w:lineRule="auto"/>
        <w:rPr>
          <w:rFonts w:ascii="Arial" w:eastAsia="Calibri" w:hAnsi="Arial" w:cs="Arial"/>
          <w:kern w:val="2"/>
          <w:highlight w:val="yellow"/>
          <w14:ligatures w14:val="standardContextual"/>
        </w:rPr>
      </w:pPr>
    </w:p>
    <w:p w14:paraId="0F158241" w14:textId="77777777" w:rsidR="00E20476" w:rsidRPr="00E20476" w:rsidRDefault="00E20476" w:rsidP="00E20476">
      <w:pPr>
        <w:spacing w:after="0" w:line="240" w:lineRule="auto"/>
        <w:rPr>
          <w:rFonts w:ascii="Arial" w:eastAsia="Calibri" w:hAnsi="Arial" w:cs="Arial"/>
          <w:kern w:val="2"/>
          <w:highlight w:val="yellow"/>
          <w14:ligatures w14:val="standardContextual"/>
        </w:rPr>
      </w:pPr>
      <w:r w:rsidRPr="00E20476">
        <w:rPr>
          <w:rFonts w:ascii="Arial" w:eastAsia="Calibri" w:hAnsi="Arial" w:cs="Arial"/>
          <w:kern w:val="2"/>
          <w:highlight w:val="yellow"/>
          <w14:ligatures w14:val="standardContextual"/>
        </w:rPr>
        <w:t>Author(s) hereby declare that NO generative AI technologies such as Large Language Models (</w:t>
      </w:r>
      <w:proofErr w:type="spellStart"/>
      <w:r w:rsidRPr="00E20476">
        <w:rPr>
          <w:rFonts w:ascii="Arial" w:eastAsia="Calibri" w:hAnsi="Arial" w:cs="Arial"/>
          <w:kern w:val="2"/>
          <w:highlight w:val="yellow"/>
          <w14:ligatures w14:val="standardContextual"/>
        </w:rPr>
        <w:t>ChatGPT</w:t>
      </w:r>
      <w:proofErr w:type="spellEnd"/>
      <w:r w:rsidRPr="00E20476">
        <w:rPr>
          <w:rFonts w:ascii="Arial" w:eastAsia="Calibri" w:hAnsi="Arial" w:cs="Arial"/>
          <w:kern w:val="2"/>
          <w:highlight w:val="yellow"/>
          <w14:ligatures w14:val="standardContextual"/>
        </w:rPr>
        <w:t xml:space="preserve">, COPILOT, etc.) and text-to-image generators have been used during the writing or editing of this manuscript. </w:t>
      </w:r>
    </w:p>
    <w:bookmarkEnd w:id="1"/>
    <w:p w14:paraId="0CF2FF11" w14:textId="77777777" w:rsidR="00E20476" w:rsidRDefault="00E20476" w:rsidP="005659E4">
      <w:pPr>
        <w:pStyle w:val="NormalWeb"/>
        <w:spacing w:before="0" w:beforeAutospacing="0" w:after="120" w:afterAutospacing="0"/>
        <w:jc w:val="both"/>
        <w:rPr>
          <w:sz w:val="22"/>
        </w:rPr>
      </w:pPr>
    </w:p>
    <w:p w14:paraId="38E4D12F" w14:textId="77777777" w:rsidR="000519F0" w:rsidRPr="000519F0" w:rsidRDefault="000519F0" w:rsidP="005659E4">
      <w:pPr>
        <w:pStyle w:val="NormalWeb"/>
        <w:spacing w:before="0" w:beforeAutospacing="0" w:after="120" w:afterAutospacing="0"/>
        <w:jc w:val="both"/>
        <w:rPr>
          <w:b/>
          <w:sz w:val="22"/>
        </w:rPr>
      </w:pPr>
      <w:r w:rsidRPr="000519F0">
        <w:rPr>
          <w:b/>
          <w:sz w:val="22"/>
        </w:rPr>
        <w:t xml:space="preserve">References </w:t>
      </w:r>
    </w:p>
    <w:p w14:paraId="3D39B943"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Akhtar, N., </w:t>
      </w:r>
      <w:proofErr w:type="spellStart"/>
      <w:r w:rsidRPr="00AF1304">
        <w:rPr>
          <w:rFonts w:ascii="Times New Roman" w:hAnsi="Times New Roman" w:cs="Times New Roman"/>
          <w:color w:val="222222"/>
          <w:szCs w:val="20"/>
          <w:shd w:val="clear" w:color="auto" w:fill="FFFFFF"/>
        </w:rPr>
        <w:t>Syakir</w:t>
      </w:r>
      <w:proofErr w:type="spellEnd"/>
      <w:r w:rsidRPr="00AF1304">
        <w:rPr>
          <w:rFonts w:ascii="Times New Roman" w:hAnsi="Times New Roman" w:cs="Times New Roman"/>
          <w:color w:val="222222"/>
          <w:szCs w:val="20"/>
          <w:shd w:val="clear" w:color="auto" w:fill="FFFFFF"/>
        </w:rPr>
        <w:t xml:space="preserve"> </w:t>
      </w:r>
      <w:proofErr w:type="spellStart"/>
      <w:r w:rsidRPr="00AF1304">
        <w:rPr>
          <w:rFonts w:ascii="Times New Roman" w:hAnsi="Times New Roman" w:cs="Times New Roman"/>
          <w:color w:val="222222"/>
          <w:szCs w:val="20"/>
          <w:shd w:val="clear" w:color="auto" w:fill="FFFFFF"/>
        </w:rPr>
        <w:t>Ishak</w:t>
      </w:r>
      <w:proofErr w:type="spellEnd"/>
      <w:r w:rsidRPr="00AF1304">
        <w:rPr>
          <w:rFonts w:ascii="Times New Roman" w:hAnsi="Times New Roman" w:cs="Times New Roman"/>
          <w:color w:val="222222"/>
          <w:szCs w:val="20"/>
          <w:shd w:val="clear" w:color="auto" w:fill="FFFFFF"/>
        </w:rPr>
        <w:t>, M. I., Bhawani, S. A., &amp; Umar, K. (2021). Various natural and anthropogenic factors responsible for water quality degradation: A review. </w:t>
      </w:r>
      <w:r w:rsidRPr="00AF1304">
        <w:rPr>
          <w:rFonts w:ascii="Times New Roman" w:hAnsi="Times New Roman" w:cs="Times New Roman"/>
          <w:i/>
          <w:iCs/>
          <w:color w:val="222222"/>
          <w:szCs w:val="20"/>
          <w:shd w:val="clear" w:color="auto" w:fill="FFFFFF"/>
        </w:rPr>
        <w:t>Water</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13</w:t>
      </w:r>
      <w:r w:rsidRPr="00AF1304">
        <w:rPr>
          <w:rFonts w:ascii="Times New Roman" w:hAnsi="Times New Roman" w:cs="Times New Roman"/>
          <w:color w:val="222222"/>
          <w:szCs w:val="20"/>
          <w:shd w:val="clear" w:color="auto" w:fill="FFFFFF"/>
        </w:rPr>
        <w:t>(19), 2660.</w:t>
      </w:r>
    </w:p>
    <w:p w14:paraId="6A851A3A"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Bader, A. C., Hussein, H. J., &amp; Jabar, M. T. (2022). BOD: COD ratio as indicator for wastewater and industrial water pollution. </w:t>
      </w:r>
      <w:r w:rsidRPr="00AF1304">
        <w:rPr>
          <w:rFonts w:ascii="Times New Roman" w:hAnsi="Times New Roman" w:cs="Times New Roman"/>
          <w:i/>
          <w:iCs/>
          <w:color w:val="222222"/>
          <w:szCs w:val="20"/>
          <w:shd w:val="clear" w:color="auto" w:fill="FFFFFF"/>
        </w:rPr>
        <w:t>Int. J. Spec. Educ</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37</w:t>
      </w:r>
      <w:r w:rsidRPr="00AF1304">
        <w:rPr>
          <w:rFonts w:ascii="Times New Roman" w:hAnsi="Times New Roman" w:cs="Times New Roman"/>
          <w:color w:val="222222"/>
          <w:szCs w:val="20"/>
          <w:shd w:val="clear" w:color="auto" w:fill="FFFFFF"/>
        </w:rPr>
        <w:t>(3), 2164-2171.</w:t>
      </w:r>
    </w:p>
    <w:p w14:paraId="0F4C0993"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Brender, J. D. (2020). Human health effects of exposure to nitrate, nitrite, and nitrogen dioxide. In </w:t>
      </w:r>
      <w:r w:rsidRPr="00AF1304">
        <w:rPr>
          <w:rFonts w:ascii="Times New Roman" w:hAnsi="Times New Roman" w:cs="Times New Roman"/>
          <w:i/>
          <w:iCs/>
          <w:color w:val="222222"/>
          <w:szCs w:val="20"/>
          <w:shd w:val="clear" w:color="auto" w:fill="FFFFFF"/>
        </w:rPr>
        <w:t>Just enough nitrogen: Perspectives on how to get there for regions with too much and too little nitrogen</w:t>
      </w:r>
      <w:r w:rsidRPr="00AF1304">
        <w:rPr>
          <w:rFonts w:ascii="Times New Roman" w:hAnsi="Times New Roman" w:cs="Times New Roman"/>
          <w:color w:val="222222"/>
          <w:szCs w:val="20"/>
          <w:shd w:val="clear" w:color="auto" w:fill="FFFFFF"/>
        </w:rPr>
        <w:t> (pp. 283-294). Cham: Springer International Publishing.</w:t>
      </w:r>
    </w:p>
    <w:p w14:paraId="73181275"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Brindha, K., &amp; Schneider, M. (2019). Impact of urbanization on groundwater quality. </w:t>
      </w:r>
      <w:r w:rsidRPr="00AF1304">
        <w:rPr>
          <w:rFonts w:ascii="Times New Roman" w:hAnsi="Times New Roman" w:cs="Times New Roman"/>
          <w:i/>
          <w:iCs/>
          <w:color w:val="222222"/>
          <w:szCs w:val="20"/>
          <w:shd w:val="clear" w:color="auto" w:fill="FFFFFF"/>
        </w:rPr>
        <w:t>GIS and geostatistical techniques for groundwater science</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2019</w:t>
      </w:r>
      <w:r w:rsidRPr="00AF1304">
        <w:rPr>
          <w:rFonts w:ascii="Times New Roman" w:hAnsi="Times New Roman" w:cs="Times New Roman"/>
          <w:color w:val="222222"/>
          <w:szCs w:val="20"/>
          <w:shd w:val="clear" w:color="auto" w:fill="FFFFFF"/>
        </w:rPr>
        <w:t>, 179-196.</w:t>
      </w:r>
    </w:p>
    <w:p w14:paraId="7D890C55"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Khatri, N., &amp; Tyagi, S. (2015). Influences of natural and anthropogenic factors on surface and groundwater quality in rural and urban areas. </w:t>
      </w:r>
      <w:r w:rsidRPr="00AF1304">
        <w:rPr>
          <w:rFonts w:ascii="Times New Roman" w:hAnsi="Times New Roman" w:cs="Times New Roman"/>
          <w:i/>
          <w:iCs/>
          <w:color w:val="222222"/>
          <w:szCs w:val="20"/>
          <w:shd w:val="clear" w:color="auto" w:fill="FFFFFF"/>
        </w:rPr>
        <w:t>Frontiers in life science</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8</w:t>
      </w:r>
      <w:r w:rsidRPr="00AF1304">
        <w:rPr>
          <w:rFonts w:ascii="Times New Roman" w:hAnsi="Times New Roman" w:cs="Times New Roman"/>
          <w:color w:val="222222"/>
          <w:szCs w:val="20"/>
          <w:shd w:val="clear" w:color="auto" w:fill="FFFFFF"/>
        </w:rPr>
        <w:t>(1), 23-39.</w:t>
      </w:r>
    </w:p>
    <w:p w14:paraId="0DAB2692" w14:textId="77777777" w:rsidR="000519F0" w:rsidRPr="00AF1304" w:rsidRDefault="000519F0" w:rsidP="000519F0">
      <w:pPr>
        <w:spacing w:after="120" w:line="240" w:lineRule="auto"/>
        <w:jc w:val="both"/>
        <w:rPr>
          <w:rFonts w:ascii="Times New Roman" w:hAnsi="Times New Roman" w:cs="Times New Roman"/>
          <w:sz w:val="24"/>
        </w:rPr>
      </w:pPr>
      <w:r w:rsidRPr="00AF1304">
        <w:rPr>
          <w:rFonts w:ascii="Times New Roman" w:hAnsi="Times New Roman" w:cs="Times New Roman"/>
          <w:color w:val="222222"/>
          <w:szCs w:val="20"/>
          <w:shd w:val="clear" w:color="auto" w:fill="FFFFFF"/>
        </w:rPr>
        <w:t xml:space="preserve">Kumar, S., </w:t>
      </w:r>
      <w:proofErr w:type="spellStart"/>
      <w:r w:rsidRPr="00AF1304">
        <w:rPr>
          <w:rFonts w:ascii="Times New Roman" w:hAnsi="Times New Roman" w:cs="Times New Roman"/>
          <w:color w:val="222222"/>
          <w:szCs w:val="20"/>
          <w:shd w:val="clear" w:color="auto" w:fill="FFFFFF"/>
        </w:rPr>
        <w:t>Veerwal</w:t>
      </w:r>
      <w:proofErr w:type="spellEnd"/>
      <w:r w:rsidRPr="00AF1304">
        <w:rPr>
          <w:rFonts w:ascii="Times New Roman" w:hAnsi="Times New Roman" w:cs="Times New Roman"/>
          <w:color w:val="222222"/>
          <w:szCs w:val="20"/>
          <w:shd w:val="clear" w:color="auto" w:fill="FFFFFF"/>
        </w:rPr>
        <w:t xml:space="preserve">, B., Sharma, D., &amp; Verma, B. (2022). Review on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-chemical Parameters of Water Concerning their Effect on Biotic Population. </w:t>
      </w:r>
      <w:r w:rsidRPr="00AF1304">
        <w:rPr>
          <w:rFonts w:ascii="Times New Roman" w:hAnsi="Times New Roman" w:cs="Times New Roman"/>
          <w:i/>
          <w:iCs/>
          <w:color w:val="222222"/>
          <w:szCs w:val="20"/>
          <w:shd w:val="clear" w:color="auto" w:fill="FFFFFF"/>
        </w:rPr>
        <w:t>Indian Hydrology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21</w:t>
      </w:r>
      <w:r w:rsidRPr="00AF1304">
        <w:rPr>
          <w:rFonts w:ascii="Times New Roman" w:hAnsi="Times New Roman" w:cs="Times New Roman"/>
          <w:color w:val="222222"/>
          <w:szCs w:val="20"/>
          <w:shd w:val="clear" w:color="auto" w:fill="FFFFFF"/>
        </w:rPr>
        <w:t>(2), 15-24.</w:t>
      </w:r>
    </w:p>
    <w:p w14:paraId="79F37518"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Lapworth, D. J., Nkhuwa, D. C. W., </w:t>
      </w:r>
      <w:proofErr w:type="spellStart"/>
      <w:r w:rsidRPr="00AF1304">
        <w:rPr>
          <w:rFonts w:ascii="Times New Roman" w:hAnsi="Times New Roman" w:cs="Times New Roman"/>
          <w:color w:val="222222"/>
          <w:szCs w:val="20"/>
          <w:shd w:val="clear" w:color="auto" w:fill="FFFFFF"/>
        </w:rPr>
        <w:t>Okotto-Okotto</w:t>
      </w:r>
      <w:proofErr w:type="spellEnd"/>
      <w:r w:rsidRPr="00AF1304">
        <w:rPr>
          <w:rFonts w:ascii="Times New Roman" w:hAnsi="Times New Roman" w:cs="Times New Roman"/>
          <w:color w:val="222222"/>
          <w:szCs w:val="20"/>
          <w:shd w:val="clear" w:color="auto" w:fill="FFFFFF"/>
        </w:rPr>
        <w:t>, J., Pedley, S., Stuart, M. E., Tijani, M. N., &amp; Wright, J. J. H. J. (2017). Urban groundwater quality in sub-Saharan Africa: current status and implications for water security and public health. </w:t>
      </w:r>
      <w:r w:rsidRPr="00AF1304">
        <w:rPr>
          <w:rFonts w:ascii="Times New Roman" w:hAnsi="Times New Roman" w:cs="Times New Roman"/>
          <w:i/>
          <w:iCs/>
          <w:color w:val="222222"/>
          <w:szCs w:val="20"/>
          <w:shd w:val="clear" w:color="auto" w:fill="FFFFFF"/>
        </w:rPr>
        <w:t>Hydrogeology journal</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25</w:t>
      </w:r>
      <w:r w:rsidRPr="00AF1304">
        <w:rPr>
          <w:rFonts w:ascii="Times New Roman" w:hAnsi="Times New Roman" w:cs="Times New Roman"/>
          <w:color w:val="222222"/>
          <w:szCs w:val="20"/>
          <w:shd w:val="clear" w:color="auto" w:fill="FFFFFF"/>
        </w:rPr>
        <w:t>(4), 1093-1116.</w:t>
      </w:r>
    </w:p>
    <w:p w14:paraId="0BE0138E"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Lee, J., Lee, S., Yu, S., &amp; Rhew, D. (2016). Relationships between water quality parameters in rivers and lakes: BOD5, COD, NBOPs, and TOC. </w:t>
      </w:r>
      <w:r w:rsidRPr="00AF1304">
        <w:rPr>
          <w:rFonts w:ascii="Times New Roman" w:hAnsi="Times New Roman" w:cs="Times New Roman"/>
          <w:i/>
          <w:iCs/>
          <w:color w:val="222222"/>
          <w:szCs w:val="20"/>
          <w:shd w:val="clear" w:color="auto" w:fill="FFFFFF"/>
        </w:rPr>
        <w:t>Environmental monitoring and assessment</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188</w:t>
      </w:r>
      <w:r w:rsidRPr="00AF1304">
        <w:rPr>
          <w:rFonts w:ascii="Times New Roman" w:hAnsi="Times New Roman" w:cs="Times New Roman"/>
          <w:color w:val="222222"/>
          <w:szCs w:val="20"/>
          <w:shd w:val="clear" w:color="auto" w:fill="FFFFFF"/>
        </w:rPr>
        <w:t>(4), 252.</w:t>
      </w:r>
    </w:p>
    <w:p w14:paraId="2E5AEF8D" w14:textId="77777777" w:rsidR="000519F0" w:rsidRPr="00AF1304" w:rsidRDefault="000519F0" w:rsidP="000519F0">
      <w:pPr>
        <w:spacing w:after="120" w:line="240" w:lineRule="auto"/>
        <w:jc w:val="both"/>
        <w:rPr>
          <w:rFonts w:ascii="Times New Roman" w:hAnsi="Times New Roman" w:cs="Times New Roman"/>
          <w:sz w:val="24"/>
        </w:rPr>
      </w:pPr>
      <w:proofErr w:type="spellStart"/>
      <w:r w:rsidRPr="00AF1304">
        <w:rPr>
          <w:rFonts w:ascii="Times New Roman" w:hAnsi="Times New Roman" w:cs="Times New Roman"/>
          <w:color w:val="222222"/>
          <w:szCs w:val="20"/>
          <w:shd w:val="clear" w:color="auto" w:fill="FFFFFF"/>
        </w:rPr>
        <w:t>Lv</w:t>
      </w:r>
      <w:proofErr w:type="spellEnd"/>
      <w:r w:rsidRPr="00AF1304">
        <w:rPr>
          <w:rFonts w:ascii="Times New Roman" w:hAnsi="Times New Roman" w:cs="Times New Roman"/>
          <w:color w:val="222222"/>
          <w:szCs w:val="20"/>
          <w:shd w:val="clear" w:color="auto" w:fill="FFFFFF"/>
        </w:rPr>
        <w:t>, Z., Ran, X., Liu, J., Feng, Y., Zhong, X., &amp; Jiao, N. (2024). Effectiveness of chemical oxygen demand as an indicator of organic pollution in aquatic environments. </w:t>
      </w:r>
      <w:r w:rsidRPr="00AF1304">
        <w:rPr>
          <w:rFonts w:ascii="Times New Roman" w:hAnsi="Times New Roman" w:cs="Times New Roman"/>
          <w:i/>
          <w:iCs/>
          <w:color w:val="222222"/>
          <w:szCs w:val="20"/>
          <w:shd w:val="clear" w:color="auto" w:fill="FFFFFF"/>
        </w:rPr>
        <w:t>Ocean-Land-Atmosphere Research</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3</w:t>
      </w:r>
      <w:r w:rsidRPr="00AF1304">
        <w:rPr>
          <w:rFonts w:ascii="Times New Roman" w:hAnsi="Times New Roman" w:cs="Times New Roman"/>
          <w:color w:val="222222"/>
          <w:szCs w:val="20"/>
          <w:shd w:val="clear" w:color="auto" w:fill="FFFFFF"/>
        </w:rPr>
        <w:t>, 0050.</w:t>
      </w:r>
    </w:p>
    <w:p w14:paraId="71A4BA34"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Masindi, V., &amp; </w:t>
      </w:r>
      <w:proofErr w:type="spellStart"/>
      <w:r w:rsidRPr="00AF1304">
        <w:rPr>
          <w:rFonts w:ascii="Times New Roman" w:hAnsi="Times New Roman" w:cs="Times New Roman"/>
          <w:color w:val="222222"/>
          <w:szCs w:val="20"/>
          <w:shd w:val="clear" w:color="auto" w:fill="FFFFFF"/>
        </w:rPr>
        <w:t>Foteinis</w:t>
      </w:r>
      <w:proofErr w:type="spellEnd"/>
      <w:r w:rsidRPr="00AF1304">
        <w:rPr>
          <w:rFonts w:ascii="Times New Roman" w:hAnsi="Times New Roman" w:cs="Times New Roman"/>
          <w:color w:val="222222"/>
          <w:szCs w:val="20"/>
          <w:shd w:val="clear" w:color="auto" w:fill="FFFFFF"/>
        </w:rPr>
        <w:t>, S. (2021). Groundwater contamination in sub-Saharan Africa: Implications for groundwater protection in developing countries. </w:t>
      </w:r>
      <w:r w:rsidRPr="00AF1304">
        <w:rPr>
          <w:rFonts w:ascii="Times New Roman" w:hAnsi="Times New Roman" w:cs="Times New Roman"/>
          <w:i/>
          <w:iCs/>
          <w:color w:val="222222"/>
          <w:szCs w:val="20"/>
          <w:shd w:val="clear" w:color="auto" w:fill="FFFFFF"/>
        </w:rPr>
        <w:t>Cleaner Engineering and Technology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w:t>
      </w:r>
      <w:r w:rsidRPr="00AF1304">
        <w:rPr>
          <w:rFonts w:ascii="Times New Roman" w:hAnsi="Times New Roman" w:cs="Times New Roman"/>
          <w:color w:val="222222"/>
          <w:szCs w:val="20"/>
          <w:shd w:val="clear" w:color="auto" w:fill="FFFFFF"/>
        </w:rPr>
        <w:t>, 100038.</w:t>
      </w:r>
    </w:p>
    <w:p w14:paraId="57884FC1"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Meredith, K. T., Hollins, S. E., Hughes, C. E., </w:t>
      </w:r>
      <w:proofErr w:type="spellStart"/>
      <w:r w:rsidRPr="00AF1304">
        <w:rPr>
          <w:rFonts w:ascii="Times New Roman" w:hAnsi="Times New Roman" w:cs="Times New Roman"/>
          <w:color w:val="222222"/>
          <w:szCs w:val="20"/>
          <w:shd w:val="clear" w:color="auto" w:fill="FFFFFF"/>
        </w:rPr>
        <w:t>Cendón</w:t>
      </w:r>
      <w:proofErr w:type="spellEnd"/>
      <w:r w:rsidRPr="00AF1304">
        <w:rPr>
          <w:rFonts w:ascii="Times New Roman" w:hAnsi="Times New Roman" w:cs="Times New Roman"/>
          <w:color w:val="222222"/>
          <w:szCs w:val="20"/>
          <w:shd w:val="clear" w:color="auto" w:fill="FFFFFF"/>
        </w:rPr>
        <w:t>, D. I., Chisari, R., Griffiths, A., &amp; Crawford, J. (2015). Evaporation and concentration gradients created by episodic river recharge in a semi-arid zone aquifer: Insights from Cl−, δ18O, δ2H, and 3H. </w:t>
      </w:r>
      <w:r w:rsidRPr="00AF1304">
        <w:rPr>
          <w:rFonts w:ascii="Times New Roman" w:hAnsi="Times New Roman" w:cs="Times New Roman"/>
          <w:i/>
          <w:iCs/>
          <w:color w:val="222222"/>
          <w:szCs w:val="20"/>
          <w:shd w:val="clear" w:color="auto" w:fill="FFFFFF"/>
        </w:rPr>
        <w:t>Journal of Hydrology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529</w:t>
      </w:r>
      <w:r w:rsidRPr="00AF1304">
        <w:rPr>
          <w:rFonts w:ascii="Times New Roman" w:hAnsi="Times New Roman" w:cs="Times New Roman"/>
          <w:color w:val="222222"/>
          <w:szCs w:val="20"/>
          <w:shd w:val="clear" w:color="auto" w:fill="FFFFFF"/>
        </w:rPr>
        <w:t>, 1070-1078.</w:t>
      </w:r>
    </w:p>
    <w:p w14:paraId="23688A7D"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Nayar, R. (2020). Assessment of water quality index and monitoring of pollutants by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-chemical analysis in water bodies: a review. </w:t>
      </w:r>
      <w:r w:rsidRPr="00AF1304">
        <w:rPr>
          <w:rFonts w:ascii="Times New Roman" w:hAnsi="Times New Roman" w:cs="Times New Roman"/>
          <w:i/>
          <w:iCs/>
          <w:color w:val="222222"/>
          <w:szCs w:val="20"/>
          <w:shd w:val="clear" w:color="auto" w:fill="FFFFFF"/>
        </w:rPr>
        <w:t>International Journal of Engineering Research and Technology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9</w:t>
      </w:r>
      <w:r w:rsidRPr="00AF1304">
        <w:rPr>
          <w:rFonts w:ascii="Times New Roman" w:hAnsi="Times New Roman" w:cs="Times New Roman"/>
          <w:color w:val="222222"/>
          <w:szCs w:val="20"/>
          <w:shd w:val="clear" w:color="auto" w:fill="FFFFFF"/>
        </w:rPr>
        <w:t>(01), 178-185.</w:t>
      </w:r>
    </w:p>
    <w:p w14:paraId="7C959C0C"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Nnaemeka-Okeke, R. C., &amp; Okeke, F. O. (2024). Assessing the influence of seasonal precipitation patterns on groundwater quality in the coal rich environment of Enugu, Nigeria. </w:t>
      </w:r>
      <w:r w:rsidRPr="00AF1304">
        <w:rPr>
          <w:rFonts w:ascii="Times New Roman" w:hAnsi="Times New Roman" w:cs="Times New Roman"/>
          <w:i/>
          <w:iCs/>
          <w:color w:val="222222"/>
          <w:szCs w:val="20"/>
          <w:shd w:val="clear" w:color="auto" w:fill="FFFFFF"/>
        </w:rPr>
        <w:t>Discover Applied Sciences</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6</w:t>
      </w:r>
      <w:r w:rsidRPr="00AF1304">
        <w:rPr>
          <w:rFonts w:ascii="Times New Roman" w:hAnsi="Times New Roman" w:cs="Times New Roman"/>
          <w:color w:val="222222"/>
          <w:szCs w:val="20"/>
          <w:shd w:val="clear" w:color="auto" w:fill="FFFFFF"/>
        </w:rPr>
        <w:t>(4), 208.</w:t>
      </w:r>
    </w:p>
    <w:p w14:paraId="129072DF"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proofErr w:type="spellStart"/>
      <w:r w:rsidRPr="00AF1304">
        <w:rPr>
          <w:rFonts w:ascii="Times New Roman" w:hAnsi="Times New Roman" w:cs="Times New Roman"/>
          <w:color w:val="222222"/>
          <w:szCs w:val="20"/>
          <w:shd w:val="clear" w:color="auto" w:fill="FFFFFF"/>
        </w:rPr>
        <w:t>SHaRma</w:t>
      </w:r>
      <w:proofErr w:type="spellEnd"/>
      <w:r w:rsidRPr="00AF1304">
        <w:rPr>
          <w:rFonts w:ascii="Times New Roman" w:hAnsi="Times New Roman" w:cs="Times New Roman"/>
          <w:color w:val="222222"/>
          <w:szCs w:val="20"/>
          <w:shd w:val="clear" w:color="auto" w:fill="FFFFFF"/>
        </w:rPr>
        <w:t xml:space="preserve">, N., &amp; </w:t>
      </w:r>
      <w:proofErr w:type="spellStart"/>
      <w:r w:rsidRPr="00AF1304">
        <w:rPr>
          <w:rFonts w:ascii="Times New Roman" w:hAnsi="Times New Roman" w:cs="Times New Roman"/>
          <w:color w:val="222222"/>
          <w:szCs w:val="20"/>
          <w:shd w:val="clear" w:color="auto" w:fill="FFFFFF"/>
        </w:rPr>
        <w:t>WalIa</w:t>
      </w:r>
      <w:proofErr w:type="spellEnd"/>
      <w:r w:rsidRPr="00AF1304">
        <w:rPr>
          <w:rFonts w:ascii="Times New Roman" w:hAnsi="Times New Roman" w:cs="Times New Roman"/>
          <w:color w:val="222222"/>
          <w:szCs w:val="20"/>
          <w:shd w:val="clear" w:color="auto" w:fill="FFFFFF"/>
        </w:rPr>
        <w:t xml:space="preserve">, Y. K. (2017). Water quality investigation by physicochemical parameters of </w:t>
      </w:r>
      <w:proofErr w:type="spellStart"/>
      <w:r w:rsidRPr="00AF1304">
        <w:rPr>
          <w:rFonts w:ascii="Times New Roman" w:hAnsi="Times New Roman" w:cs="Times New Roman"/>
          <w:color w:val="222222"/>
          <w:szCs w:val="20"/>
          <w:shd w:val="clear" w:color="auto" w:fill="FFFFFF"/>
        </w:rPr>
        <w:t>Satluj</w:t>
      </w:r>
      <w:proofErr w:type="spellEnd"/>
      <w:r w:rsidRPr="00AF1304">
        <w:rPr>
          <w:rFonts w:ascii="Times New Roman" w:hAnsi="Times New Roman" w:cs="Times New Roman"/>
          <w:color w:val="222222"/>
          <w:szCs w:val="20"/>
          <w:shd w:val="clear" w:color="auto" w:fill="FFFFFF"/>
        </w:rPr>
        <w:t xml:space="preserve"> River (Himachal Pradesh, India). </w:t>
      </w:r>
      <w:r w:rsidRPr="00AF1304">
        <w:rPr>
          <w:rFonts w:ascii="Times New Roman" w:hAnsi="Times New Roman" w:cs="Times New Roman"/>
          <w:i/>
          <w:iCs/>
          <w:color w:val="222222"/>
          <w:szCs w:val="20"/>
          <w:shd w:val="clear" w:color="auto" w:fill="FFFFFF"/>
        </w:rPr>
        <w:t>Magnesium</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390</w:t>
      </w:r>
      <w:r w:rsidRPr="00AF1304">
        <w:rPr>
          <w:rFonts w:ascii="Times New Roman" w:hAnsi="Times New Roman" w:cs="Times New Roman"/>
          <w:color w:val="222222"/>
          <w:szCs w:val="20"/>
          <w:shd w:val="clear" w:color="auto" w:fill="FFFFFF"/>
        </w:rPr>
        <w:t>(190), 1368.</w:t>
      </w:r>
    </w:p>
    <w:p w14:paraId="4A9387E3"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Sharma, V., Walia, Y. K., &amp; Kumar, A. (2015). Assessment of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 xml:space="preserve"> Chemical Parameters for </w:t>
      </w:r>
      <w:proofErr w:type="spellStart"/>
      <w:r w:rsidRPr="00AF1304">
        <w:rPr>
          <w:rFonts w:ascii="Times New Roman" w:hAnsi="Times New Roman" w:cs="Times New Roman"/>
          <w:color w:val="222222"/>
          <w:szCs w:val="20"/>
          <w:shd w:val="clear" w:color="auto" w:fill="FFFFFF"/>
        </w:rPr>
        <w:t>Analysing</w:t>
      </w:r>
      <w:proofErr w:type="spellEnd"/>
      <w:r w:rsidRPr="00AF1304">
        <w:rPr>
          <w:rFonts w:ascii="Times New Roman" w:hAnsi="Times New Roman" w:cs="Times New Roman"/>
          <w:color w:val="222222"/>
          <w:szCs w:val="20"/>
          <w:shd w:val="clear" w:color="auto" w:fill="FFFFFF"/>
        </w:rPr>
        <w:t xml:space="preserve"> Water: A. </w:t>
      </w:r>
      <w:r w:rsidRPr="00AF1304">
        <w:rPr>
          <w:rFonts w:ascii="Times New Roman" w:hAnsi="Times New Roman" w:cs="Times New Roman"/>
          <w:i/>
          <w:iCs/>
          <w:color w:val="222222"/>
          <w:szCs w:val="20"/>
          <w:shd w:val="clear" w:color="auto" w:fill="FFFFFF"/>
        </w:rPr>
        <w:t>A Review J Biol Chem Chron</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w:t>
      </w:r>
      <w:r w:rsidRPr="00AF1304">
        <w:rPr>
          <w:rFonts w:ascii="Times New Roman" w:hAnsi="Times New Roman" w:cs="Times New Roman"/>
          <w:color w:val="222222"/>
          <w:szCs w:val="20"/>
          <w:shd w:val="clear" w:color="auto" w:fill="FFFFFF"/>
        </w:rPr>
        <w:t>(1), 25-33.</w:t>
      </w:r>
    </w:p>
    <w:p w14:paraId="18D0F61F"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lastRenderedPageBreak/>
        <w:t xml:space="preserve">Sokal-Dembowska, A., </w:t>
      </w:r>
      <w:proofErr w:type="spellStart"/>
      <w:r w:rsidRPr="00AF1304">
        <w:rPr>
          <w:rFonts w:ascii="Times New Roman" w:hAnsi="Times New Roman" w:cs="Times New Roman"/>
          <w:color w:val="222222"/>
          <w:szCs w:val="20"/>
          <w:shd w:val="clear" w:color="auto" w:fill="FFFFFF"/>
        </w:rPr>
        <w:t>Jarmakiewicz-Czaja</w:t>
      </w:r>
      <w:proofErr w:type="spellEnd"/>
      <w:r w:rsidRPr="00AF1304">
        <w:rPr>
          <w:rFonts w:ascii="Times New Roman" w:hAnsi="Times New Roman" w:cs="Times New Roman"/>
          <w:color w:val="222222"/>
          <w:szCs w:val="20"/>
          <w:shd w:val="clear" w:color="auto" w:fill="FFFFFF"/>
        </w:rPr>
        <w:t xml:space="preserve">, S., </w:t>
      </w:r>
      <w:proofErr w:type="spellStart"/>
      <w:r w:rsidRPr="00AF1304">
        <w:rPr>
          <w:rFonts w:ascii="Times New Roman" w:hAnsi="Times New Roman" w:cs="Times New Roman"/>
          <w:color w:val="222222"/>
          <w:szCs w:val="20"/>
          <w:shd w:val="clear" w:color="auto" w:fill="FFFFFF"/>
        </w:rPr>
        <w:t>Tabarkiewicz</w:t>
      </w:r>
      <w:proofErr w:type="spellEnd"/>
      <w:r w:rsidRPr="00AF1304">
        <w:rPr>
          <w:rFonts w:ascii="Times New Roman" w:hAnsi="Times New Roman" w:cs="Times New Roman"/>
          <w:color w:val="222222"/>
          <w:szCs w:val="20"/>
          <w:shd w:val="clear" w:color="auto" w:fill="FFFFFF"/>
        </w:rPr>
        <w:t>, J., &amp; Filip, R. (2025). Nitrate and Nitrite in the Diet: Protective and Harmful Effects in Health and Disease. </w:t>
      </w:r>
      <w:r w:rsidRPr="00AF1304">
        <w:rPr>
          <w:rFonts w:ascii="Times New Roman" w:hAnsi="Times New Roman" w:cs="Times New Roman"/>
          <w:i/>
          <w:iCs/>
          <w:color w:val="222222"/>
          <w:szCs w:val="20"/>
          <w:shd w:val="clear" w:color="auto" w:fill="FFFFFF"/>
        </w:rPr>
        <w:t>Current Nutrition Reports</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14</w:t>
      </w:r>
      <w:r w:rsidRPr="00AF1304">
        <w:rPr>
          <w:rFonts w:ascii="Times New Roman" w:hAnsi="Times New Roman" w:cs="Times New Roman"/>
          <w:color w:val="222222"/>
          <w:szCs w:val="20"/>
          <w:shd w:val="clear" w:color="auto" w:fill="FFFFFF"/>
        </w:rPr>
        <w:t>(1), 1-13.</w:t>
      </w:r>
    </w:p>
    <w:p w14:paraId="237EB0E5" w14:textId="77777777" w:rsidR="000519F0" w:rsidRPr="00AF1304" w:rsidRDefault="000519F0" w:rsidP="000519F0">
      <w:pPr>
        <w:spacing w:after="120" w:line="240" w:lineRule="auto"/>
        <w:jc w:val="both"/>
        <w:rPr>
          <w:rFonts w:ascii="Times New Roman" w:hAnsi="Times New Roman" w:cs="Times New Roman"/>
          <w:sz w:val="24"/>
        </w:rPr>
      </w:pPr>
      <w:r w:rsidRPr="00AF1304">
        <w:rPr>
          <w:rFonts w:ascii="Times New Roman" w:hAnsi="Times New Roman" w:cs="Times New Roman"/>
          <w:color w:val="222222"/>
          <w:szCs w:val="20"/>
          <w:shd w:val="clear" w:color="auto" w:fill="FFFFFF"/>
        </w:rPr>
        <w:t xml:space="preserve">Verma, S., Verma, S., Ramakant, R., Pandey, V., &amp; Verma, A. (2025). Comprehensive Assessment of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-Chemical and Biological Parameters in Water Quality Monitoring: A Review of Contaminants, Indicators, and Health Impacts. </w:t>
      </w:r>
      <w:r w:rsidRPr="00AF1304">
        <w:rPr>
          <w:rFonts w:ascii="Times New Roman" w:hAnsi="Times New Roman" w:cs="Times New Roman"/>
          <w:i/>
          <w:iCs/>
          <w:color w:val="222222"/>
          <w:szCs w:val="20"/>
          <w:shd w:val="clear" w:color="auto" w:fill="FFFFFF"/>
        </w:rPr>
        <w:t>International Journal of Horticulture, Agriculture and Food science</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9</w:t>
      </w:r>
      <w:r w:rsidRPr="00AF1304">
        <w:rPr>
          <w:rFonts w:ascii="Times New Roman" w:hAnsi="Times New Roman" w:cs="Times New Roman"/>
          <w:color w:val="222222"/>
          <w:szCs w:val="20"/>
          <w:shd w:val="clear" w:color="auto" w:fill="FFFFFF"/>
        </w:rPr>
        <w:t>(2), 611019.</w:t>
      </w:r>
    </w:p>
    <w:p w14:paraId="4E550C6B" w14:textId="77777777" w:rsidR="000519F0" w:rsidRPr="005659E4" w:rsidRDefault="000519F0" w:rsidP="005659E4">
      <w:pPr>
        <w:pStyle w:val="NormalWeb"/>
        <w:spacing w:before="0" w:beforeAutospacing="0" w:after="120" w:afterAutospacing="0"/>
        <w:jc w:val="both"/>
        <w:rPr>
          <w:sz w:val="22"/>
        </w:rPr>
      </w:pPr>
    </w:p>
    <w:p w14:paraId="2FCA4CCC" w14:textId="77777777" w:rsidR="003A66DD" w:rsidRDefault="003A66DD" w:rsidP="00763C7F">
      <w:pPr>
        <w:pStyle w:val="NormalWeb"/>
        <w:spacing w:before="0" w:beforeAutospacing="0" w:after="120" w:afterAutospacing="0"/>
        <w:jc w:val="both"/>
        <w:rPr>
          <w:sz w:val="22"/>
        </w:rPr>
      </w:pPr>
    </w:p>
    <w:sectPr w:rsidR="003A66D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11B69" w14:textId="77777777" w:rsidR="00115673" w:rsidRDefault="00115673" w:rsidP="00BB61DC">
      <w:pPr>
        <w:spacing w:after="0" w:line="240" w:lineRule="auto"/>
      </w:pPr>
      <w:r>
        <w:separator/>
      </w:r>
    </w:p>
  </w:endnote>
  <w:endnote w:type="continuationSeparator" w:id="0">
    <w:p w14:paraId="39C39656" w14:textId="77777777" w:rsidR="00115673" w:rsidRDefault="00115673" w:rsidP="00BB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941F" w14:textId="77777777" w:rsidR="00D74900" w:rsidRDefault="00D749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59B3" w14:textId="77777777" w:rsidR="00D74900" w:rsidRDefault="00D749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8189A" w14:textId="77777777" w:rsidR="00D74900" w:rsidRDefault="00D749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269D3" w14:textId="77777777" w:rsidR="00115673" w:rsidRDefault="00115673" w:rsidP="00BB61DC">
      <w:pPr>
        <w:spacing w:after="0" w:line="240" w:lineRule="auto"/>
      </w:pPr>
      <w:r>
        <w:separator/>
      </w:r>
    </w:p>
  </w:footnote>
  <w:footnote w:type="continuationSeparator" w:id="0">
    <w:p w14:paraId="150CFEC7" w14:textId="77777777" w:rsidR="00115673" w:rsidRDefault="00115673" w:rsidP="00BB6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388A2" w14:textId="3E18A835" w:rsidR="00D74900" w:rsidRDefault="00D74900">
    <w:pPr>
      <w:pStyle w:val="Header"/>
    </w:pPr>
    <w:r>
      <w:rPr>
        <w:noProof/>
      </w:rPr>
      <w:pict w14:anchorId="30A4D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522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2EEB9" w14:textId="2A159839" w:rsidR="00D74900" w:rsidRDefault="00D74900">
    <w:pPr>
      <w:pStyle w:val="Header"/>
    </w:pPr>
    <w:r>
      <w:rPr>
        <w:noProof/>
      </w:rPr>
      <w:pict w14:anchorId="4386E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522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46C7" w14:textId="7081C236" w:rsidR="00D74900" w:rsidRDefault="00D74900">
    <w:pPr>
      <w:pStyle w:val="Header"/>
    </w:pPr>
    <w:r>
      <w:rPr>
        <w:noProof/>
      </w:rPr>
      <w:pict w14:anchorId="7D138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522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381"/>
    <w:rsid w:val="00011C46"/>
    <w:rsid w:val="0004248D"/>
    <w:rsid w:val="00050E78"/>
    <w:rsid w:val="000519F0"/>
    <w:rsid w:val="00072C17"/>
    <w:rsid w:val="00081DE1"/>
    <w:rsid w:val="000A2A18"/>
    <w:rsid w:val="000E2E6F"/>
    <w:rsid w:val="000E6FA0"/>
    <w:rsid w:val="0010533B"/>
    <w:rsid w:val="00115673"/>
    <w:rsid w:val="00140E07"/>
    <w:rsid w:val="0016334E"/>
    <w:rsid w:val="001636FF"/>
    <w:rsid w:val="001675C4"/>
    <w:rsid w:val="00172731"/>
    <w:rsid w:val="001A2957"/>
    <w:rsid w:val="001B0112"/>
    <w:rsid w:val="001D03A7"/>
    <w:rsid w:val="001D5843"/>
    <w:rsid w:val="001D61FB"/>
    <w:rsid w:val="001F6A73"/>
    <w:rsid w:val="00222036"/>
    <w:rsid w:val="002302E5"/>
    <w:rsid w:val="00251A81"/>
    <w:rsid w:val="002A4882"/>
    <w:rsid w:val="002B7BD1"/>
    <w:rsid w:val="002D7381"/>
    <w:rsid w:val="002E7599"/>
    <w:rsid w:val="00302727"/>
    <w:rsid w:val="00324515"/>
    <w:rsid w:val="00324CAD"/>
    <w:rsid w:val="00332BC6"/>
    <w:rsid w:val="0037306C"/>
    <w:rsid w:val="003A64DE"/>
    <w:rsid w:val="003A66DD"/>
    <w:rsid w:val="003B78EF"/>
    <w:rsid w:val="003C6979"/>
    <w:rsid w:val="003D2132"/>
    <w:rsid w:val="003F0E98"/>
    <w:rsid w:val="003F5FE2"/>
    <w:rsid w:val="0040103D"/>
    <w:rsid w:val="00426CE8"/>
    <w:rsid w:val="00431A9A"/>
    <w:rsid w:val="0044250A"/>
    <w:rsid w:val="00442CBD"/>
    <w:rsid w:val="00481DDA"/>
    <w:rsid w:val="004A7A05"/>
    <w:rsid w:val="004D5C54"/>
    <w:rsid w:val="004D750F"/>
    <w:rsid w:val="00502827"/>
    <w:rsid w:val="0050298A"/>
    <w:rsid w:val="005037E5"/>
    <w:rsid w:val="00505B94"/>
    <w:rsid w:val="005256E9"/>
    <w:rsid w:val="005439A0"/>
    <w:rsid w:val="005503FE"/>
    <w:rsid w:val="00554D23"/>
    <w:rsid w:val="005556B4"/>
    <w:rsid w:val="0055585D"/>
    <w:rsid w:val="005659E4"/>
    <w:rsid w:val="00586760"/>
    <w:rsid w:val="005A4CD2"/>
    <w:rsid w:val="005E6951"/>
    <w:rsid w:val="0060254D"/>
    <w:rsid w:val="00603EE2"/>
    <w:rsid w:val="00605BE8"/>
    <w:rsid w:val="00653E50"/>
    <w:rsid w:val="00684A03"/>
    <w:rsid w:val="006A1581"/>
    <w:rsid w:val="006A190C"/>
    <w:rsid w:val="006E66EB"/>
    <w:rsid w:val="00763C7F"/>
    <w:rsid w:val="00771EAA"/>
    <w:rsid w:val="007A54CB"/>
    <w:rsid w:val="007D07BB"/>
    <w:rsid w:val="008348F1"/>
    <w:rsid w:val="00836A74"/>
    <w:rsid w:val="008D3719"/>
    <w:rsid w:val="009407FD"/>
    <w:rsid w:val="00987419"/>
    <w:rsid w:val="009D5505"/>
    <w:rsid w:val="00A047DF"/>
    <w:rsid w:val="00A82EAF"/>
    <w:rsid w:val="00A858DB"/>
    <w:rsid w:val="00A8747F"/>
    <w:rsid w:val="00AC1B7C"/>
    <w:rsid w:val="00AC6442"/>
    <w:rsid w:val="00AE335E"/>
    <w:rsid w:val="00B01346"/>
    <w:rsid w:val="00B01A24"/>
    <w:rsid w:val="00B04C8B"/>
    <w:rsid w:val="00B4656D"/>
    <w:rsid w:val="00B65B92"/>
    <w:rsid w:val="00BA1DA1"/>
    <w:rsid w:val="00BB61DC"/>
    <w:rsid w:val="00C13BD1"/>
    <w:rsid w:val="00C3213F"/>
    <w:rsid w:val="00C87CCC"/>
    <w:rsid w:val="00CA436F"/>
    <w:rsid w:val="00CF205D"/>
    <w:rsid w:val="00D12242"/>
    <w:rsid w:val="00D1639D"/>
    <w:rsid w:val="00D20639"/>
    <w:rsid w:val="00D50AC8"/>
    <w:rsid w:val="00D61C37"/>
    <w:rsid w:val="00D63AD5"/>
    <w:rsid w:val="00D74900"/>
    <w:rsid w:val="00D91A38"/>
    <w:rsid w:val="00DB12D6"/>
    <w:rsid w:val="00DE0140"/>
    <w:rsid w:val="00DF365D"/>
    <w:rsid w:val="00E20476"/>
    <w:rsid w:val="00E26BC5"/>
    <w:rsid w:val="00EA4904"/>
    <w:rsid w:val="00EF01E1"/>
    <w:rsid w:val="00EF7F16"/>
    <w:rsid w:val="00F06D83"/>
    <w:rsid w:val="00F411A9"/>
    <w:rsid w:val="00F43207"/>
    <w:rsid w:val="00F51C39"/>
    <w:rsid w:val="00F617BA"/>
    <w:rsid w:val="00F84C63"/>
    <w:rsid w:val="00F946A6"/>
    <w:rsid w:val="00FA66A1"/>
    <w:rsid w:val="00FB0280"/>
    <w:rsid w:val="00FC0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ABA127"/>
  <w15:chartTrackingRefBased/>
  <w15:docId w15:val="{80CAA473-70AF-415E-ABDE-4246C665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E26BC5"/>
    <w:pPr>
      <w:keepNext/>
      <w:keepLines/>
      <w:spacing w:after="251" w:line="262" w:lineRule="auto"/>
      <w:ind w:left="10" w:right="410"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semiHidden/>
    <w:unhideWhenUsed/>
    <w:qFormat/>
    <w:rsid w:val="00D91A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738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0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26BC5"/>
    <w:rPr>
      <w:rFonts w:ascii="Times New Roman" w:eastAsia="Times New Roman" w:hAnsi="Times New Roman" w:cs="Times New Roman"/>
      <w:b/>
      <w:color w:val="000000"/>
      <w:sz w:val="24"/>
    </w:rPr>
  </w:style>
  <w:style w:type="character" w:styleId="PlaceholderText">
    <w:name w:val="Placeholder Text"/>
    <w:basedOn w:val="DefaultParagraphFont"/>
    <w:uiPriority w:val="99"/>
    <w:semiHidden/>
    <w:rsid w:val="00FB0280"/>
    <w:rPr>
      <w:color w:val="808080"/>
    </w:rPr>
  </w:style>
  <w:style w:type="table" w:customStyle="1" w:styleId="TableGrid0">
    <w:name w:val="TableGrid"/>
    <w:rsid w:val="001D5843"/>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B01A24"/>
    <w:rPr>
      <w:color w:val="0563C1" w:themeColor="hyperlink"/>
      <w:u w:val="single"/>
    </w:rPr>
  </w:style>
  <w:style w:type="character" w:customStyle="1" w:styleId="UnresolvedMention">
    <w:name w:val="Unresolved Mention"/>
    <w:basedOn w:val="DefaultParagraphFont"/>
    <w:uiPriority w:val="99"/>
    <w:semiHidden/>
    <w:unhideWhenUsed/>
    <w:rsid w:val="00B01A24"/>
    <w:rPr>
      <w:color w:val="605E5C"/>
      <w:shd w:val="clear" w:color="auto" w:fill="E1DFDD"/>
    </w:rPr>
  </w:style>
  <w:style w:type="paragraph" w:styleId="Header">
    <w:name w:val="header"/>
    <w:basedOn w:val="Normal"/>
    <w:link w:val="HeaderChar"/>
    <w:uiPriority w:val="99"/>
    <w:unhideWhenUsed/>
    <w:rsid w:val="00BB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1DC"/>
  </w:style>
  <w:style w:type="paragraph" w:styleId="Footer">
    <w:name w:val="footer"/>
    <w:basedOn w:val="Normal"/>
    <w:link w:val="FooterChar"/>
    <w:uiPriority w:val="99"/>
    <w:unhideWhenUsed/>
    <w:rsid w:val="00BB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1DC"/>
  </w:style>
  <w:style w:type="character" w:customStyle="1" w:styleId="Heading2Char">
    <w:name w:val="Heading 2 Char"/>
    <w:basedOn w:val="DefaultParagraphFont"/>
    <w:link w:val="Heading2"/>
    <w:uiPriority w:val="9"/>
    <w:semiHidden/>
    <w:rsid w:val="00D91A3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5742">
      <w:bodyDiv w:val="1"/>
      <w:marLeft w:val="0"/>
      <w:marRight w:val="0"/>
      <w:marTop w:val="0"/>
      <w:marBottom w:val="0"/>
      <w:divBdr>
        <w:top w:val="none" w:sz="0" w:space="0" w:color="auto"/>
        <w:left w:val="none" w:sz="0" w:space="0" w:color="auto"/>
        <w:bottom w:val="none" w:sz="0" w:space="0" w:color="auto"/>
        <w:right w:val="none" w:sz="0" w:space="0" w:color="auto"/>
      </w:divBdr>
    </w:div>
    <w:div w:id="533660603">
      <w:bodyDiv w:val="1"/>
      <w:marLeft w:val="0"/>
      <w:marRight w:val="0"/>
      <w:marTop w:val="0"/>
      <w:marBottom w:val="0"/>
      <w:divBdr>
        <w:top w:val="none" w:sz="0" w:space="0" w:color="auto"/>
        <w:left w:val="none" w:sz="0" w:space="0" w:color="auto"/>
        <w:bottom w:val="none" w:sz="0" w:space="0" w:color="auto"/>
        <w:right w:val="none" w:sz="0" w:space="0" w:color="auto"/>
      </w:divBdr>
    </w:div>
    <w:div w:id="837306328">
      <w:bodyDiv w:val="1"/>
      <w:marLeft w:val="0"/>
      <w:marRight w:val="0"/>
      <w:marTop w:val="0"/>
      <w:marBottom w:val="0"/>
      <w:divBdr>
        <w:top w:val="none" w:sz="0" w:space="0" w:color="auto"/>
        <w:left w:val="none" w:sz="0" w:space="0" w:color="auto"/>
        <w:bottom w:val="none" w:sz="0" w:space="0" w:color="auto"/>
        <w:right w:val="none" w:sz="0" w:space="0" w:color="auto"/>
      </w:divBdr>
    </w:div>
    <w:div w:id="1178229260">
      <w:bodyDiv w:val="1"/>
      <w:marLeft w:val="0"/>
      <w:marRight w:val="0"/>
      <w:marTop w:val="0"/>
      <w:marBottom w:val="0"/>
      <w:divBdr>
        <w:top w:val="none" w:sz="0" w:space="0" w:color="auto"/>
        <w:left w:val="none" w:sz="0" w:space="0" w:color="auto"/>
        <w:bottom w:val="none" w:sz="0" w:space="0" w:color="auto"/>
        <w:right w:val="none" w:sz="0" w:space="0" w:color="auto"/>
      </w:divBdr>
    </w:div>
    <w:div w:id="1196238332">
      <w:bodyDiv w:val="1"/>
      <w:marLeft w:val="0"/>
      <w:marRight w:val="0"/>
      <w:marTop w:val="0"/>
      <w:marBottom w:val="0"/>
      <w:divBdr>
        <w:top w:val="none" w:sz="0" w:space="0" w:color="auto"/>
        <w:left w:val="none" w:sz="0" w:space="0" w:color="auto"/>
        <w:bottom w:val="none" w:sz="0" w:space="0" w:color="auto"/>
        <w:right w:val="none" w:sz="0" w:space="0" w:color="auto"/>
      </w:divBdr>
    </w:div>
    <w:div w:id="1208374814">
      <w:bodyDiv w:val="1"/>
      <w:marLeft w:val="0"/>
      <w:marRight w:val="0"/>
      <w:marTop w:val="0"/>
      <w:marBottom w:val="0"/>
      <w:divBdr>
        <w:top w:val="none" w:sz="0" w:space="0" w:color="auto"/>
        <w:left w:val="none" w:sz="0" w:space="0" w:color="auto"/>
        <w:bottom w:val="none" w:sz="0" w:space="0" w:color="auto"/>
        <w:right w:val="none" w:sz="0" w:space="0" w:color="auto"/>
      </w:divBdr>
    </w:div>
    <w:div w:id="1226184727">
      <w:bodyDiv w:val="1"/>
      <w:marLeft w:val="0"/>
      <w:marRight w:val="0"/>
      <w:marTop w:val="0"/>
      <w:marBottom w:val="0"/>
      <w:divBdr>
        <w:top w:val="none" w:sz="0" w:space="0" w:color="auto"/>
        <w:left w:val="none" w:sz="0" w:space="0" w:color="auto"/>
        <w:bottom w:val="none" w:sz="0" w:space="0" w:color="auto"/>
        <w:right w:val="none" w:sz="0" w:space="0" w:color="auto"/>
      </w:divBdr>
    </w:div>
    <w:div w:id="1277984071">
      <w:bodyDiv w:val="1"/>
      <w:marLeft w:val="0"/>
      <w:marRight w:val="0"/>
      <w:marTop w:val="0"/>
      <w:marBottom w:val="0"/>
      <w:divBdr>
        <w:top w:val="none" w:sz="0" w:space="0" w:color="auto"/>
        <w:left w:val="none" w:sz="0" w:space="0" w:color="auto"/>
        <w:bottom w:val="none" w:sz="0" w:space="0" w:color="auto"/>
        <w:right w:val="none" w:sz="0" w:space="0" w:color="auto"/>
      </w:divBdr>
    </w:div>
    <w:div w:id="1286153311">
      <w:bodyDiv w:val="1"/>
      <w:marLeft w:val="0"/>
      <w:marRight w:val="0"/>
      <w:marTop w:val="0"/>
      <w:marBottom w:val="0"/>
      <w:divBdr>
        <w:top w:val="none" w:sz="0" w:space="0" w:color="auto"/>
        <w:left w:val="none" w:sz="0" w:space="0" w:color="auto"/>
        <w:bottom w:val="none" w:sz="0" w:space="0" w:color="auto"/>
        <w:right w:val="none" w:sz="0" w:space="0" w:color="auto"/>
      </w:divBdr>
    </w:div>
    <w:div w:id="1421179514">
      <w:bodyDiv w:val="1"/>
      <w:marLeft w:val="0"/>
      <w:marRight w:val="0"/>
      <w:marTop w:val="0"/>
      <w:marBottom w:val="0"/>
      <w:divBdr>
        <w:top w:val="none" w:sz="0" w:space="0" w:color="auto"/>
        <w:left w:val="none" w:sz="0" w:space="0" w:color="auto"/>
        <w:bottom w:val="none" w:sz="0" w:space="0" w:color="auto"/>
        <w:right w:val="none" w:sz="0" w:space="0" w:color="auto"/>
      </w:divBdr>
    </w:div>
    <w:div w:id="1665933195">
      <w:bodyDiv w:val="1"/>
      <w:marLeft w:val="0"/>
      <w:marRight w:val="0"/>
      <w:marTop w:val="0"/>
      <w:marBottom w:val="0"/>
      <w:divBdr>
        <w:top w:val="none" w:sz="0" w:space="0" w:color="auto"/>
        <w:left w:val="none" w:sz="0" w:space="0" w:color="auto"/>
        <w:bottom w:val="none" w:sz="0" w:space="0" w:color="auto"/>
        <w:right w:val="none" w:sz="0" w:space="0" w:color="auto"/>
      </w:divBdr>
    </w:div>
    <w:div w:id="1733769770">
      <w:bodyDiv w:val="1"/>
      <w:marLeft w:val="0"/>
      <w:marRight w:val="0"/>
      <w:marTop w:val="0"/>
      <w:marBottom w:val="0"/>
      <w:divBdr>
        <w:top w:val="none" w:sz="0" w:space="0" w:color="auto"/>
        <w:left w:val="none" w:sz="0" w:space="0" w:color="auto"/>
        <w:bottom w:val="none" w:sz="0" w:space="0" w:color="auto"/>
        <w:right w:val="none" w:sz="0" w:space="0" w:color="auto"/>
      </w:divBdr>
    </w:div>
    <w:div w:id="1927303983">
      <w:bodyDiv w:val="1"/>
      <w:marLeft w:val="0"/>
      <w:marRight w:val="0"/>
      <w:marTop w:val="0"/>
      <w:marBottom w:val="0"/>
      <w:divBdr>
        <w:top w:val="none" w:sz="0" w:space="0" w:color="auto"/>
        <w:left w:val="none" w:sz="0" w:space="0" w:color="auto"/>
        <w:bottom w:val="none" w:sz="0" w:space="0" w:color="auto"/>
        <w:right w:val="none" w:sz="0" w:space="0" w:color="auto"/>
      </w:divBdr>
    </w:div>
    <w:div w:id="199841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6802</Words>
  <Characters>38773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2026-01-15T22:33:00Z</dcterms:created>
  <dcterms:modified xsi:type="dcterms:W3CDTF">2026-01-15T22:33:00Z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46ff4c07-b76f-4b97-9881-61c375be4726</vt:lpwstr>
  </property>
</Properties>
</file>