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2B791" w14:textId="369C2D25" w:rsidR="00357DE2" w:rsidRPr="00C20947" w:rsidRDefault="00FD0753" w:rsidP="00C20947">
      <w:pPr>
        <w:spacing w:before="120" w:after="240" w:line="240" w:lineRule="auto"/>
        <w:jc w:val="both"/>
        <w:rPr>
          <w:rFonts w:ascii="Times" w:eastAsia="Sorts Mill Goudy" w:hAnsi="Times" w:cs="Times"/>
          <w:b/>
          <w:bCs/>
          <w:color w:val="000000" w:themeColor="text1"/>
          <w:sz w:val="30"/>
          <w:szCs w:val="30"/>
        </w:rPr>
      </w:pPr>
      <w:r w:rsidRPr="00C20947">
        <w:rPr>
          <w:rFonts w:ascii="Times" w:eastAsia="Sorts Mill Goudy" w:hAnsi="Times" w:cs="Times"/>
          <w:b/>
          <w:bCs/>
          <w:color w:val="000000" w:themeColor="text1"/>
          <w:sz w:val="30"/>
          <w:szCs w:val="30"/>
        </w:rPr>
        <w:t>ASSESSING</w:t>
      </w:r>
      <w:r w:rsidR="002354D6" w:rsidRPr="00C20947">
        <w:rPr>
          <w:rFonts w:ascii="Times" w:eastAsia="Sorts Mill Goudy" w:hAnsi="Times" w:cs="Times"/>
          <w:b/>
          <w:bCs/>
          <w:color w:val="000000" w:themeColor="text1"/>
          <w:sz w:val="30"/>
          <w:szCs w:val="30"/>
        </w:rPr>
        <w:t xml:space="preserve"> </w:t>
      </w:r>
      <w:r w:rsidRPr="00C20947">
        <w:rPr>
          <w:rFonts w:ascii="Times" w:eastAsia="Sorts Mill Goudy" w:hAnsi="Times" w:cs="Times"/>
          <w:b/>
          <w:bCs/>
          <w:color w:val="000000" w:themeColor="text1"/>
          <w:sz w:val="30"/>
          <w:szCs w:val="30"/>
        </w:rPr>
        <w:t>NIGERIA’S EMERGING CAPACITY FOR LOCAL</w:t>
      </w:r>
      <w:r w:rsidR="002354D6" w:rsidRPr="00C20947">
        <w:rPr>
          <w:rFonts w:ascii="Times" w:eastAsia="Sorts Mill Goudy" w:hAnsi="Times" w:cs="Times"/>
          <w:b/>
          <w:bCs/>
          <w:color w:val="000000" w:themeColor="text1"/>
          <w:sz w:val="30"/>
          <w:szCs w:val="30"/>
        </w:rPr>
        <w:t xml:space="preserve"> </w:t>
      </w:r>
      <w:r w:rsidRPr="00C20947">
        <w:rPr>
          <w:rFonts w:ascii="Times" w:eastAsia="Sorts Mill Goudy" w:hAnsi="Times" w:cs="Times"/>
          <w:b/>
          <w:bCs/>
          <w:color w:val="000000" w:themeColor="text1"/>
          <w:sz w:val="30"/>
          <w:szCs w:val="30"/>
        </w:rPr>
        <w:t>MANUFACTURING OF MALARIA COMMODITIES</w:t>
      </w:r>
    </w:p>
    <w:p w14:paraId="5EE46949" w14:textId="77777777" w:rsidR="00D0767E" w:rsidRDefault="00D0767E" w:rsidP="00B633A5">
      <w:pPr>
        <w:spacing w:before="120" w:after="120" w:line="240" w:lineRule="auto"/>
        <w:jc w:val="both"/>
        <w:rPr>
          <w:rFonts w:ascii="Times" w:eastAsia="Sorts Mill Goudy" w:hAnsi="Times" w:cs="Times"/>
          <w:b/>
          <w:bCs/>
          <w:color w:val="000000" w:themeColor="text1"/>
        </w:rPr>
      </w:pPr>
    </w:p>
    <w:p w14:paraId="3CD05632" w14:textId="2D6A379E" w:rsidR="00357DE2" w:rsidRPr="00C20947" w:rsidRDefault="00FD0753"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ABSTRACT</w:t>
      </w:r>
    </w:p>
    <w:p w14:paraId="1F87939C" w14:textId="66A34D82" w:rsidR="00357DE2" w:rsidRPr="00C20947" w:rsidRDefault="00FD0753" w:rsidP="00CD7C33">
      <w:pPr>
        <w:pBdr>
          <w:top w:val="nil"/>
          <w:left w:val="nil"/>
          <w:bottom w:val="nil"/>
          <w:right w:val="nil"/>
          <w:between w:val="nil"/>
        </w:pBd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Background:</w:t>
      </w:r>
      <w:r w:rsidRPr="00C20947">
        <w:rPr>
          <w:rFonts w:ascii="Times" w:eastAsia="Sorts Mill Goudy" w:hAnsi="Times" w:cs="Times"/>
          <w:color w:val="000000" w:themeColor="text1"/>
        </w:rPr>
        <w:t xml:space="preserve"> Nigeria’s continued dependence on imported malaria commodities</w:t>
      </w:r>
      <w:r w:rsidR="006D18DC" w:rsidRPr="00C20947">
        <w:rPr>
          <w:rFonts w:ascii="Times" w:eastAsia="Sorts Mill Goudy" w:hAnsi="Times" w:cs="Times"/>
          <w:color w:val="000000" w:themeColor="text1"/>
        </w:rPr>
        <w:t xml:space="preserve"> like</w:t>
      </w:r>
      <w:r w:rsidRPr="00C20947">
        <w:rPr>
          <w:rFonts w:ascii="Times" w:eastAsia="Sorts Mill Goudy" w:hAnsi="Times" w:cs="Times"/>
          <w:color w:val="000000" w:themeColor="text1"/>
        </w:rPr>
        <w:t xml:space="preserve"> Artemisinin-based Combination Therapies (ACTs), Active Pharmaceutical Ingredients (APIs), Long-Lasting Insecticidal Nets (LLINs), and Rapid Diagnostic Tests (RDTs) </w:t>
      </w:r>
      <w:r w:rsidR="003445C9" w:rsidRPr="00C20947">
        <w:rPr>
          <w:rFonts w:ascii="Times" w:eastAsia="Sorts Mill Goudy" w:hAnsi="Times" w:cs="Times"/>
          <w:color w:val="000000" w:themeColor="text1"/>
        </w:rPr>
        <w:t xml:space="preserve">restricts the growth of </w:t>
      </w:r>
      <w:r w:rsidR="00D529D5" w:rsidRPr="00C20947">
        <w:rPr>
          <w:rFonts w:ascii="Times" w:eastAsia="Sorts Mill Goudy" w:hAnsi="Times" w:cs="Times"/>
          <w:color w:val="000000" w:themeColor="text1"/>
        </w:rPr>
        <w:t xml:space="preserve">local pharmaceutical manufacturing. </w:t>
      </w:r>
      <w:r w:rsidRPr="00C20947">
        <w:rPr>
          <w:rFonts w:ascii="Times" w:eastAsia="Sorts Mill Goudy" w:hAnsi="Times" w:cs="Times"/>
          <w:color w:val="000000" w:themeColor="text1"/>
        </w:rPr>
        <w:t xml:space="preserve">Recent </w:t>
      </w:r>
      <w:r w:rsidR="00A0182E" w:rsidRPr="00C20947">
        <w:rPr>
          <w:rFonts w:ascii="Times" w:eastAsia="Sorts Mill Goudy" w:hAnsi="Times" w:cs="Times"/>
          <w:color w:val="000000" w:themeColor="text1"/>
        </w:rPr>
        <w:t xml:space="preserve">initiatives like </w:t>
      </w:r>
      <w:r w:rsidRPr="00C20947">
        <w:rPr>
          <w:rFonts w:ascii="Times" w:eastAsia="Sorts Mill Goudy" w:hAnsi="Times" w:cs="Times"/>
          <w:color w:val="000000" w:themeColor="text1"/>
        </w:rPr>
        <w:t xml:space="preserve">Presidential Initiative for Unlocking the Healthcare Value Chain (PVAC) and National Malaria Elimination Programme (NMEP), have </w:t>
      </w:r>
      <w:r w:rsidR="004C5FD3" w:rsidRPr="00C20947">
        <w:rPr>
          <w:rFonts w:ascii="Times" w:eastAsia="Sorts Mill Goudy" w:hAnsi="Times" w:cs="Times"/>
          <w:color w:val="000000" w:themeColor="text1"/>
        </w:rPr>
        <w:t>prioritized</w:t>
      </w:r>
      <w:r w:rsidR="00DD3361" w:rsidRPr="00C20947">
        <w:rPr>
          <w:rFonts w:ascii="Times" w:eastAsia="Sorts Mill Goudy" w:hAnsi="Times" w:cs="Times"/>
          <w:color w:val="000000" w:themeColor="text1"/>
        </w:rPr>
        <w:t xml:space="preserve"> </w:t>
      </w:r>
      <w:r w:rsidR="004C5FD3" w:rsidRPr="00C20947">
        <w:rPr>
          <w:rFonts w:ascii="Times" w:eastAsia="Sorts Mill Goudy" w:hAnsi="Times" w:cs="Times"/>
          <w:color w:val="000000" w:themeColor="text1"/>
        </w:rPr>
        <w:t>expanding</w:t>
      </w:r>
      <w:r w:rsidR="00DD3361" w:rsidRPr="00C20947">
        <w:rPr>
          <w:rFonts w:ascii="Times" w:eastAsia="Sorts Mill Goudy" w:hAnsi="Times" w:cs="Times"/>
          <w:color w:val="000000" w:themeColor="text1"/>
        </w:rPr>
        <w:t xml:space="preserve"> this</w:t>
      </w:r>
      <w:r w:rsidR="004C5FD3" w:rsidRPr="00C20947">
        <w:rPr>
          <w:rFonts w:ascii="Times" w:eastAsia="Sorts Mill Goudy" w:hAnsi="Times" w:cs="Times"/>
          <w:color w:val="000000" w:themeColor="text1"/>
        </w:rPr>
        <w:t xml:space="preserve">, </w:t>
      </w:r>
      <w:r w:rsidR="00273C2C" w:rsidRPr="00C20947">
        <w:rPr>
          <w:rFonts w:ascii="Times" w:eastAsia="Sorts Mill Goudy" w:hAnsi="Times" w:cs="Times"/>
          <w:color w:val="000000" w:themeColor="text1"/>
        </w:rPr>
        <w:t xml:space="preserve">but </w:t>
      </w:r>
      <w:r w:rsidRPr="00C20947">
        <w:rPr>
          <w:rFonts w:ascii="Times" w:eastAsia="Sorts Mill Goudy" w:hAnsi="Times" w:cs="Times"/>
          <w:color w:val="000000" w:themeColor="text1"/>
        </w:rPr>
        <w:t xml:space="preserve">evidence on Nigeria’s manufacturing potential </w:t>
      </w:r>
      <w:r w:rsidR="00273C2C" w:rsidRPr="00C20947">
        <w:rPr>
          <w:rFonts w:ascii="Times" w:eastAsia="Sorts Mill Goudy" w:hAnsi="Times" w:cs="Times"/>
          <w:color w:val="000000" w:themeColor="text1"/>
        </w:rPr>
        <w:t xml:space="preserve">remains scattered </w:t>
      </w:r>
      <w:r w:rsidRPr="00C20947">
        <w:rPr>
          <w:rFonts w:ascii="Times" w:eastAsia="Sorts Mill Goudy" w:hAnsi="Times" w:cs="Times"/>
          <w:color w:val="000000" w:themeColor="text1"/>
        </w:rPr>
        <w:t>across multiple assessments</w:t>
      </w:r>
      <w:r w:rsidR="00273C2C" w:rsidRPr="00C20947">
        <w:rPr>
          <w:rFonts w:ascii="Times" w:eastAsia="Sorts Mill Goudy" w:hAnsi="Times" w:cs="Times"/>
          <w:color w:val="000000" w:themeColor="text1"/>
        </w:rPr>
        <w:t xml:space="preserve">, </w:t>
      </w:r>
      <w:r w:rsidRPr="00C20947">
        <w:rPr>
          <w:rFonts w:ascii="Times" w:eastAsia="Sorts Mill Goudy" w:hAnsi="Times" w:cs="Times"/>
          <w:color w:val="000000" w:themeColor="text1"/>
        </w:rPr>
        <w:t>necessitating a consolidated cross-commodity analysis.</w:t>
      </w:r>
    </w:p>
    <w:p w14:paraId="718D8C77" w14:textId="715E2E46" w:rsidR="00A400AA" w:rsidRDefault="00FD0753" w:rsidP="00CD7C33">
      <w:pPr>
        <w:pBdr>
          <w:top w:val="nil"/>
          <w:left w:val="nil"/>
          <w:bottom w:val="nil"/>
          <w:right w:val="nil"/>
          <w:between w:val="nil"/>
        </w:pBdr>
        <w:spacing w:before="120" w:after="120" w:line="240" w:lineRule="auto"/>
        <w:jc w:val="both"/>
        <w:rPr>
          <w:rFonts w:ascii="Times" w:eastAsia="Sorts Mill Goudy" w:hAnsi="Times" w:cs="Times"/>
          <w:color w:val="000000" w:themeColor="text1"/>
          <w:highlight w:val="yellow"/>
        </w:rPr>
      </w:pPr>
      <w:r w:rsidRPr="00DE2092">
        <w:rPr>
          <w:rFonts w:ascii="Times" w:eastAsia="Sorts Mill Goudy" w:hAnsi="Times" w:cs="Times"/>
          <w:b/>
          <w:bCs/>
          <w:color w:val="000000" w:themeColor="text1"/>
          <w:highlight w:val="yellow"/>
        </w:rPr>
        <w:t>Methods:</w:t>
      </w:r>
      <w:r w:rsidRPr="00DE2092">
        <w:rPr>
          <w:rFonts w:ascii="Times" w:eastAsia="Sorts Mill Goudy" w:hAnsi="Times" w:cs="Times"/>
          <w:color w:val="000000" w:themeColor="text1"/>
          <w:highlight w:val="yellow"/>
        </w:rPr>
        <w:t xml:space="preserve"> </w:t>
      </w:r>
      <w:r w:rsidR="00A400AA" w:rsidRPr="00A400AA">
        <w:rPr>
          <w:rFonts w:ascii="Times" w:eastAsia="Sorts Mill Goudy" w:hAnsi="Times" w:cs="Times"/>
          <w:color w:val="000000" w:themeColor="text1"/>
          <w:highlight w:val="yellow"/>
        </w:rPr>
        <w:t>This study presents a secondary analysis synthesising evidence from a consultant-led manufacturing readiness assessment and nationally validated technical briefs developed under the Presidential Initiative for Unlocking the Healthcare Value Chain (PVAC) and the National Malaria Elimination Programme (NMEP). The underlying assessments were based on facility audits, production-capacity evaluations, regulatory compliance reviews, semi-structured interviews, and procurement and financing analyses conducted across ACT, API, LLIN, and RDT manufacturers. Quantitative indicators—including installed capacity, utilisation rates, WHO prequalification progression status, and financing conditions</w:t>
      </w:r>
      <w:r w:rsidR="00864196">
        <w:rPr>
          <w:rFonts w:ascii="Times" w:eastAsia="Sorts Mill Goudy" w:hAnsi="Times" w:cs="Times"/>
          <w:color w:val="000000" w:themeColor="text1"/>
          <w:highlight w:val="yellow"/>
        </w:rPr>
        <w:t xml:space="preserve"> </w:t>
      </w:r>
      <w:r w:rsidR="00A400AA" w:rsidRPr="00A400AA">
        <w:rPr>
          <w:rFonts w:ascii="Times" w:eastAsia="Sorts Mill Goudy" w:hAnsi="Times" w:cs="Times"/>
          <w:color w:val="000000" w:themeColor="text1"/>
          <w:highlight w:val="yellow"/>
        </w:rPr>
        <w:t>were analysed descriptively and triangulated across commodities using a unified analytical framework.</w:t>
      </w:r>
    </w:p>
    <w:p w14:paraId="3818E3D0" w14:textId="7FF7AD6E" w:rsidR="00DE2092" w:rsidRPr="00DE2092" w:rsidRDefault="00FD0753" w:rsidP="00CD7C33">
      <w:pPr>
        <w:pBdr>
          <w:top w:val="nil"/>
          <w:left w:val="nil"/>
          <w:bottom w:val="nil"/>
          <w:right w:val="nil"/>
          <w:between w:val="nil"/>
        </w:pBdr>
        <w:spacing w:before="120" w:after="120" w:line="240" w:lineRule="auto"/>
        <w:jc w:val="both"/>
        <w:rPr>
          <w:rFonts w:ascii="Times" w:eastAsia="Sorts Mill Goudy" w:hAnsi="Times" w:cs="Times"/>
          <w:color w:val="000000" w:themeColor="text1"/>
        </w:rPr>
      </w:pPr>
      <w:r w:rsidRPr="00DE2092">
        <w:rPr>
          <w:rFonts w:ascii="Times" w:eastAsia="Sorts Mill Goudy" w:hAnsi="Times" w:cs="Times"/>
          <w:b/>
          <w:bCs/>
          <w:color w:val="000000" w:themeColor="text1"/>
          <w:highlight w:val="yellow"/>
        </w:rPr>
        <w:t>Findings:</w:t>
      </w:r>
      <w:r w:rsidRPr="00DE2092">
        <w:rPr>
          <w:rFonts w:ascii="Times" w:eastAsia="Sorts Mill Goudy" w:hAnsi="Times" w:cs="Times"/>
          <w:color w:val="000000" w:themeColor="text1"/>
          <w:highlight w:val="yellow"/>
        </w:rPr>
        <w:t xml:space="preserve"> </w:t>
      </w:r>
      <w:r w:rsidR="00DE2092" w:rsidRPr="00DE2092">
        <w:rPr>
          <w:rFonts w:ascii="Times" w:eastAsia="Sorts Mill Goudy" w:hAnsi="Times" w:cs="Times"/>
          <w:color w:val="000000" w:themeColor="text1"/>
          <w:highlight w:val="yellow"/>
        </w:rPr>
        <w:t>The synthesis documents 16 domestic ACT manufacturers with a combined installed capacity exceeding 60 million doses per month, as well as emerging RDT manufacturers with projected annual capacity exceeding 470 million tests by 2026. In the LLIN value chain, local textile and petrochemical firms demonstrate partial upstream capabilities aligned with Nigeria’s LLIN Manufacturing Roadmap (2025–2028). Despite this capacity, utilisation remains low across commodities, averaging 25–50%, reflecting fragmented procurement systems, donor preferences for imported WHO-prequalified products, limited domestic PQ-enabling laboratory infrastructure, dependence on imported APIs and other critical inputs, and constrained access to affordable long-term financing. Although NAFDAC has attained WHO Global Benchmarking Tool Maturity Level 3, manufacturers continue to face regulatory bottlenecks, particularly along WHO PQ pathways.</w:t>
      </w:r>
    </w:p>
    <w:p w14:paraId="70B51269" w14:textId="37D682E8" w:rsidR="00031F4F" w:rsidRPr="00C20947" w:rsidRDefault="00FD0753" w:rsidP="00CD7C33">
      <w:pPr>
        <w:pBdr>
          <w:top w:val="nil"/>
          <w:left w:val="nil"/>
          <w:bottom w:val="nil"/>
          <w:right w:val="nil"/>
          <w:between w:val="nil"/>
        </w:pBd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Conclusion: </w:t>
      </w:r>
      <w:r w:rsidR="00031F4F" w:rsidRPr="00031F4F">
        <w:rPr>
          <w:rFonts w:ascii="Times" w:eastAsia="Sorts Mill Goudy" w:hAnsi="Times" w:cs="Times"/>
          <w:color w:val="000000" w:themeColor="text1"/>
          <w:highlight w:val="yellow"/>
        </w:rPr>
        <w:t>Nigeria’s health-commodity manufacturing ecosystem is well advanced and has the potential to meet domestic needs; however, realizing this potential will require coordinated policy reforms, including multi-year procurement guarantees, blended-financing mechanisms, expanded regulatory and laboratory infrastructure, and strengthened governance coherence. If effectively implemented, these reforms could also support regional supply integration under ECOWAS and the African Continental Free Trade Area (AfCFTA), with implications for health security beyond Nigeria.</w:t>
      </w:r>
    </w:p>
    <w:p w14:paraId="6FE540B4" w14:textId="77777777" w:rsidR="00357DE2" w:rsidRPr="00C20947" w:rsidRDefault="00FD0753" w:rsidP="00CD7C33">
      <w:pPr>
        <w:pBdr>
          <w:top w:val="nil"/>
          <w:left w:val="nil"/>
          <w:bottom w:val="nil"/>
          <w:right w:val="nil"/>
          <w:between w:val="nil"/>
        </w:pBdr>
        <w:spacing w:before="120" w:after="120" w:line="240" w:lineRule="auto"/>
        <w:jc w:val="both"/>
        <w:rPr>
          <w:rFonts w:ascii="Times" w:eastAsia="Sorts Mill Goudy" w:hAnsi="Times" w:cs="Times"/>
          <w:i/>
          <w:iCs/>
          <w:color w:val="000000" w:themeColor="text1"/>
        </w:rPr>
      </w:pPr>
      <w:r w:rsidRPr="00C20947">
        <w:rPr>
          <w:rFonts w:ascii="Times" w:eastAsia="Sorts Mill Goudy" w:hAnsi="Times" w:cs="Times"/>
          <w:i/>
          <w:iCs/>
          <w:color w:val="000000" w:themeColor="text1"/>
        </w:rPr>
        <w:t>Keywords: Nigeria; malaria commodities; local manufacturing; ACTs; RDTs; LLINs; APIs; health security; industrial policy; WHO prequalification; procurement reform; pharmaceutical manufacturing; Africa.</w:t>
      </w:r>
    </w:p>
    <w:p w14:paraId="48F032ED" w14:textId="77777777" w:rsidR="00357DE2" w:rsidRPr="00C20947" w:rsidRDefault="00357DE2" w:rsidP="00CD7C33">
      <w:pPr>
        <w:pBdr>
          <w:top w:val="nil"/>
          <w:left w:val="nil"/>
          <w:bottom w:val="nil"/>
          <w:right w:val="nil"/>
          <w:between w:val="nil"/>
        </w:pBdr>
        <w:spacing w:before="120" w:after="120" w:line="240" w:lineRule="auto"/>
        <w:ind w:left="720" w:right="630"/>
        <w:jc w:val="both"/>
        <w:rPr>
          <w:rFonts w:ascii="Times" w:eastAsia="Sorts Mill Goudy" w:hAnsi="Times" w:cs="Times"/>
          <w:b/>
          <w:bCs/>
          <w:color w:val="000000" w:themeColor="text1"/>
        </w:rPr>
      </w:pPr>
    </w:p>
    <w:p w14:paraId="629D3985" w14:textId="68C4D83C" w:rsidR="00357DE2" w:rsidRPr="00C20947" w:rsidRDefault="00FD0753"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1.0</w:t>
      </w:r>
      <w:r w:rsidRPr="00C20947">
        <w:rPr>
          <w:rFonts w:ascii="Times" w:eastAsia="Sorts Mill Goudy" w:hAnsi="Times" w:cs="Times"/>
          <w:b/>
          <w:bCs/>
          <w:color w:val="000000" w:themeColor="text1"/>
        </w:rPr>
        <w:tab/>
        <w:t>INTRODUCTION</w:t>
      </w:r>
    </w:p>
    <w:p w14:paraId="6B39393B" w14:textId="3378DBD7" w:rsidR="00994878" w:rsidRPr="00C20947" w:rsidRDefault="0027334C" w:rsidP="00CD7C33">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Malaria remains a major global health challenge, with the WHO reporting 263 million cases and 597,000 deaths worldwide in 2023</w:t>
      </w:r>
      <w:r w:rsidR="00994878" w:rsidRPr="00C20947">
        <w:rPr>
          <w:rFonts w:ascii="Times" w:eastAsia="Sorts Mill Goudy" w:hAnsi="Times" w:cs="Times"/>
          <w:color w:val="000000" w:themeColor="text1"/>
        </w:rPr>
        <w:t xml:space="preserve"> </w:t>
      </w:r>
      <w:r w:rsidR="00B03346" w:rsidRPr="00C20947">
        <w:rPr>
          <w:rFonts w:ascii="Times" w:hAnsi="Times" w:cs="Times"/>
        </w:rPr>
        <w:t>(World Health Organization, 2024)</w:t>
      </w:r>
      <w:r w:rsidR="00C06A29" w:rsidRPr="00C20947">
        <w:rPr>
          <w:rFonts w:ascii="Times" w:eastAsia="Sorts Mill Goudy" w:hAnsi="Times" w:cs="Times"/>
          <w:color w:val="000000" w:themeColor="text1"/>
        </w:rPr>
        <w:t xml:space="preserve">. </w:t>
      </w:r>
      <w:r w:rsidR="0054048F" w:rsidRPr="00C20947">
        <w:rPr>
          <w:rFonts w:ascii="Times" w:eastAsia="Sorts Mill Goudy" w:hAnsi="Times" w:cs="Times"/>
          <w:color w:val="000000" w:themeColor="text1"/>
        </w:rPr>
        <w:t>The WHO further reveals that it is particularly concerning for WHO African Region, where approximately 95% of the deaths occurred.</w:t>
      </w:r>
      <w:r w:rsidR="00994878" w:rsidRPr="00C20947">
        <w:rPr>
          <w:rFonts w:ascii="Times" w:eastAsia="Sorts Mill Goudy" w:hAnsi="Times" w:cs="Times"/>
          <w:color w:val="000000" w:themeColor="text1"/>
        </w:rPr>
        <w:t xml:space="preserve"> </w:t>
      </w:r>
      <w:r w:rsidR="00431A9A" w:rsidRPr="00C20947">
        <w:rPr>
          <w:rFonts w:ascii="Times" w:eastAsia="Sorts Mill Goudy" w:hAnsi="Times" w:cs="Times"/>
          <w:color w:val="000000" w:themeColor="text1"/>
        </w:rPr>
        <w:t xml:space="preserve">This </w:t>
      </w:r>
      <w:r w:rsidR="00431A9A" w:rsidRPr="00C20947">
        <w:rPr>
          <w:rFonts w:ascii="Times" w:eastAsia="Sorts Mill Goudy" w:hAnsi="Times" w:cs="Times"/>
          <w:color w:val="000000" w:themeColor="text1"/>
        </w:rPr>
        <w:lastRenderedPageBreak/>
        <w:t xml:space="preserve">has made addressing the inequity in the global malaria response </w:t>
      </w:r>
      <w:r w:rsidR="000F5303" w:rsidRPr="00C20947">
        <w:rPr>
          <w:rFonts w:ascii="Times" w:eastAsia="Sorts Mill Goudy" w:hAnsi="Times" w:cs="Times"/>
          <w:color w:val="000000" w:themeColor="text1"/>
        </w:rPr>
        <w:t xml:space="preserve">critical, especially in countries where they are endemic. </w:t>
      </w:r>
    </w:p>
    <w:p w14:paraId="44B49BF3" w14:textId="59CF9A5E" w:rsidR="00357DE2" w:rsidRPr="00C20947" w:rsidRDefault="000962E6"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 xml:space="preserve">Nigeria remains a concern </w:t>
      </w:r>
      <w:r w:rsidR="00760A3C" w:rsidRPr="00C20947">
        <w:rPr>
          <w:rFonts w:ascii="Times" w:eastAsia="Sorts Mill Goudy" w:hAnsi="Times" w:cs="Times"/>
          <w:color w:val="000000" w:themeColor="text1"/>
        </w:rPr>
        <w:t xml:space="preserve">in the global </w:t>
      </w:r>
      <w:r w:rsidR="004A74C2" w:rsidRPr="00C20947">
        <w:rPr>
          <w:rFonts w:ascii="Times" w:eastAsia="Sorts Mill Goudy" w:hAnsi="Times" w:cs="Times"/>
          <w:color w:val="000000" w:themeColor="text1"/>
        </w:rPr>
        <w:t>efforts to control and eliminate the disease</w:t>
      </w:r>
      <w:r w:rsidR="00760A3C" w:rsidRPr="00C20947">
        <w:rPr>
          <w:rFonts w:ascii="Times" w:eastAsia="Sorts Mill Goudy" w:hAnsi="Times" w:cs="Times"/>
          <w:color w:val="000000" w:themeColor="text1"/>
        </w:rPr>
        <w:t xml:space="preserve">. </w:t>
      </w:r>
      <w:r w:rsidR="00032028" w:rsidRPr="00C20947">
        <w:rPr>
          <w:rFonts w:ascii="Times" w:eastAsia="Sorts Mill Goudy" w:hAnsi="Times" w:cs="Times"/>
          <w:color w:val="000000" w:themeColor="text1"/>
        </w:rPr>
        <w:t>Nigeria bears a disproportionate malaria burden, contributing an estimated 27% of global cases and 31% of malaria-related deaths</w:t>
      </w:r>
      <w:r w:rsidR="00FD0753" w:rsidRPr="00C20947">
        <w:rPr>
          <w:rFonts w:ascii="Times" w:eastAsia="Sorts Mill Goudy" w:hAnsi="Times" w:cs="Times"/>
          <w:color w:val="000000" w:themeColor="text1"/>
        </w:rPr>
        <w:t xml:space="preserve"> (World Health Organization, 2023). </w:t>
      </w:r>
      <w:r w:rsidR="00480EF5" w:rsidRPr="00C20947">
        <w:rPr>
          <w:rFonts w:ascii="Times" w:eastAsia="Sorts Mill Goudy" w:hAnsi="Times" w:cs="Times"/>
          <w:color w:val="000000" w:themeColor="text1"/>
        </w:rPr>
        <w:t xml:space="preserve">This is worsened </w:t>
      </w:r>
      <w:r w:rsidR="007935AE" w:rsidRPr="00C20947">
        <w:rPr>
          <w:rFonts w:ascii="Times" w:eastAsia="Sorts Mill Goudy" w:hAnsi="Times" w:cs="Times"/>
          <w:color w:val="000000" w:themeColor="text1"/>
        </w:rPr>
        <w:t>by t</w:t>
      </w:r>
      <w:r w:rsidR="00FD0753" w:rsidRPr="00C20947">
        <w:rPr>
          <w:rFonts w:ascii="Times" w:eastAsia="Sorts Mill Goudy" w:hAnsi="Times" w:cs="Times"/>
          <w:color w:val="000000" w:themeColor="text1"/>
        </w:rPr>
        <w:t>he country</w:t>
      </w:r>
      <w:r w:rsidR="007935AE" w:rsidRPr="00C20947">
        <w:rPr>
          <w:rFonts w:ascii="Times" w:eastAsia="Sorts Mill Goudy" w:hAnsi="Times" w:cs="Times"/>
          <w:color w:val="000000" w:themeColor="text1"/>
        </w:rPr>
        <w:t>’s</w:t>
      </w:r>
      <w:r w:rsidR="00FD0753" w:rsidRPr="00C20947">
        <w:rPr>
          <w:rFonts w:ascii="Times" w:eastAsia="Sorts Mill Goudy" w:hAnsi="Times" w:cs="Times"/>
          <w:color w:val="000000" w:themeColor="text1"/>
        </w:rPr>
        <w:t xml:space="preserve"> </w:t>
      </w:r>
      <w:r w:rsidR="007935AE" w:rsidRPr="00C20947">
        <w:rPr>
          <w:rFonts w:ascii="Times" w:eastAsia="Sorts Mill Goudy" w:hAnsi="Times" w:cs="Times"/>
          <w:color w:val="000000" w:themeColor="text1"/>
        </w:rPr>
        <w:t>reliance</w:t>
      </w:r>
      <w:r w:rsidR="00FD0753" w:rsidRPr="00C20947">
        <w:rPr>
          <w:rFonts w:ascii="Times" w:eastAsia="Sorts Mill Goudy" w:hAnsi="Times" w:cs="Times"/>
          <w:color w:val="000000" w:themeColor="text1"/>
        </w:rPr>
        <w:t xml:space="preserve"> </w:t>
      </w:r>
      <w:r w:rsidR="007935AE" w:rsidRPr="00C20947">
        <w:rPr>
          <w:rFonts w:ascii="Times" w:eastAsia="Sorts Mill Goudy" w:hAnsi="Times" w:cs="Times"/>
          <w:color w:val="000000" w:themeColor="text1"/>
        </w:rPr>
        <w:t xml:space="preserve">on </w:t>
      </w:r>
      <w:r w:rsidR="008C5E88" w:rsidRPr="00C20947">
        <w:rPr>
          <w:rFonts w:ascii="Times" w:eastAsia="Sorts Mill Goudy" w:hAnsi="Times" w:cs="Times"/>
          <w:color w:val="000000" w:themeColor="text1"/>
        </w:rPr>
        <w:t xml:space="preserve">imports of malaria </w:t>
      </w:r>
      <w:r w:rsidR="00FD0753" w:rsidRPr="00C20947">
        <w:rPr>
          <w:rFonts w:ascii="Times" w:eastAsia="Sorts Mill Goudy" w:hAnsi="Times" w:cs="Times"/>
          <w:color w:val="000000" w:themeColor="text1"/>
        </w:rPr>
        <w:t>commodities</w:t>
      </w:r>
      <w:r w:rsidR="008C5E88" w:rsidRPr="00C20947">
        <w:rPr>
          <w:rFonts w:ascii="Times" w:eastAsia="Sorts Mill Goudy" w:hAnsi="Times" w:cs="Times"/>
          <w:color w:val="000000" w:themeColor="text1"/>
        </w:rPr>
        <w:t xml:space="preserve"> like </w:t>
      </w:r>
      <w:r w:rsidR="00FD0753" w:rsidRPr="00C20947">
        <w:rPr>
          <w:rFonts w:ascii="Times" w:eastAsia="Sorts Mill Goudy" w:hAnsi="Times" w:cs="Times"/>
          <w:color w:val="000000" w:themeColor="text1"/>
        </w:rPr>
        <w:t xml:space="preserve">Artemisinin-based Combination Therapies (ACTs), Active Pharmaceutical Ingredients (APIs), Long-Lasting Insecticidal Nets (LLINs), and Rapid Diagnostic Test (RDT) kits to sustain national prevention and treatment programmes. </w:t>
      </w:r>
      <w:r w:rsidR="00F12D7F" w:rsidRPr="00C20947">
        <w:rPr>
          <w:rFonts w:ascii="Times" w:eastAsia="Sorts Mill Goudy" w:hAnsi="Times" w:cs="Times"/>
          <w:color w:val="000000" w:themeColor="text1"/>
        </w:rPr>
        <w:t xml:space="preserve">Countries like India and China, </w:t>
      </w:r>
      <w:r w:rsidR="008B243B" w:rsidRPr="00C20947">
        <w:rPr>
          <w:rFonts w:ascii="Times" w:eastAsia="Sorts Mill Goudy" w:hAnsi="Times" w:cs="Times"/>
          <w:color w:val="000000" w:themeColor="text1"/>
        </w:rPr>
        <w:t xml:space="preserve">where most medications are gotten have been fingered for </w:t>
      </w:r>
      <w:r w:rsidR="006852D9" w:rsidRPr="00C20947">
        <w:rPr>
          <w:rFonts w:ascii="Times" w:eastAsia="Sorts Mill Goudy" w:hAnsi="Times" w:cs="Times"/>
          <w:color w:val="000000" w:themeColor="text1"/>
        </w:rPr>
        <w:t xml:space="preserve">substandard and falsified pharmaceutical products </w:t>
      </w:r>
      <w:r w:rsidR="00767C28" w:rsidRPr="00C20947">
        <w:rPr>
          <w:rFonts w:ascii="Times" w:eastAsia="Sorts Mill Goudy" w:hAnsi="Times" w:cs="Times"/>
          <w:color w:val="000000" w:themeColor="text1"/>
        </w:rPr>
        <w:t>(Fatokun, 2016</w:t>
      </w:r>
      <w:r w:rsidR="00A749D3" w:rsidRPr="00C20947">
        <w:rPr>
          <w:rFonts w:ascii="Times" w:eastAsia="Sorts Mill Goudy" w:hAnsi="Times" w:cs="Times"/>
          <w:color w:val="000000" w:themeColor="text1"/>
        </w:rPr>
        <w:t xml:space="preserve">; </w:t>
      </w:r>
      <w:r w:rsidR="008E559A" w:rsidRPr="00C20947">
        <w:rPr>
          <w:rFonts w:ascii="Times" w:eastAsia="Sorts Mill Goudy" w:hAnsi="Times" w:cs="Times"/>
          <w:color w:val="000000" w:themeColor="text1"/>
        </w:rPr>
        <w:t>Beargie, 2019</w:t>
      </w:r>
      <w:r w:rsidR="00767C28" w:rsidRPr="00C20947">
        <w:rPr>
          <w:rFonts w:ascii="Times" w:eastAsia="Sorts Mill Goudy" w:hAnsi="Times" w:cs="Times"/>
          <w:color w:val="000000" w:themeColor="text1"/>
        </w:rPr>
        <w:t>). This often leaves its</w:t>
      </w:r>
      <w:r w:rsidR="00FD0753" w:rsidRPr="00C20947">
        <w:rPr>
          <w:rFonts w:ascii="Times" w:eastAsia="Sorts Mill Goudy" w:hAnsi="Times" w:cs="Times"/>
          <w:color w:val="000000" w:themeColor="text1"/>
        </w:rPr>
        <w:t xml:space="preserve"> health system vulnerable to external shocks, including foreign exchange volatility, global supply chain disruptions, long procurement lead-times, and rising logistics costs (Federal Ministry of Health, 2024).</w:t>
      </w:r>
    </w:p>
    <w:p w14:paraId="5FCFA40C" w14:textId="106A8582" w:rsidR="00357DE2" w:rsidRPr="00C20947" w:rsidRDefault="006070AE"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Furthermore, t</w:t>
      </w:r>
      <w:r w:rsidR="00FD0753" w:rsidRPr="00C20947">
        <w:rPr>
          <w:rFonts w:ascii="Times" w:eastAsia="Sorts Mill Goudy" w:hAnsi="Times" w:cs="Times"/>
          <w:color w:val="000000" w:themeColor="text1"/>
        </w:rPr>
        <w:t xml:space="preserve">he COVID-19 pandemic </w:t>
      </w:r>
      <w:r w:rsidRPr="00C20947">
        <w:rPr>
          <w:rFonts w:ascii="Times" w:eastAsia="Sorts Mill Goudy" w:hAnsi="Times" w:cs="Times"/>
          <w:color w:val="000000" w:themeColor="text1"/>
        </w:rPr>
        <w:t xml:space="preserve">reveals the implication of </w:t>
      </w:r>
      <w:r w:rsidR="00FD0753" w:rsidRPr="00C20947">
        <w:rPr>
          <w:rFonts w:ascii="Times" w:eastAsia="Sorts Mill Goudy" w:hAnsi="Times" w:cs="Times"/>
          <w:color w:val="000000" w:themeColor="text1"/>
        </w:rPr>
        <w:t>over-reliance on imports for essential health products</w:t>
      </w:r>
      <w:r w:rsidR="00947198" w:rsidRPr="00C20947">
        <w:rPr>
          <w:rFonts w:ascii="Times" w:eastAsia="Sorts Mill Goudy" w:hAnsi="Times" w:cs="Times"/>
          <w:color w:val="000000" w:themeColor="text1"/>
        </w:rPr>
        <w:t>, as that which</w:t>
      </w:r>
      <w:r w:rsidR="00FD0753" w:rsidRPr="00C20947">
        <w:rPr>
          <w:rFonts w:ascii="Times" w:eastAsia="Sorts Mill Goudy" w:hAnsi="Times" w:cs="Times"/>
          <w:color w:val="000000" w:themeColor="text1"/>
        </w:rPr>
        <w:t xml:space="preserve"> can rapidly undermine national health security (Yadav et al., 2022). </w:t>
      </w:r>
      <w:r w:rsidR="00947198" w:rsidRPr="00C20947">
        <w:rPr>
          <w:rFonts w:ascii="Times" w:eastAsia="Sorts Mill Goudy" w:hAnsi="Times" w:cs="Times"/>
          <w:color w:val="000000" w:themeColor="text1"/>
        </w:rPr>
        <w:t xml:space="preserve">During this period, Nigeria and many other countries in Africa </w:t>
      </w:r>
      <w:r w:rsidR="00FD0753" w:rsidRPr="00C20947">
        <w:rPr>
          <w:rFonts w:ascii="Times" w:eastAsia="Sorts Mill Goudy" w:hAnsi="Times" w:cs="Times"/>
          <w:color w:val="000000" w:themeColor="text1"/>
        </w:rPr>
        <w:t>experienced severe shortages of medicines, diagnostics, and vector control products due to export restrictions from major manufacturing hubs such as India and China (UNIDO, 2021). These disruptions renewed global interest in building more geographically diversified and regionally distributed manufacturing ecosystems for essential health commodities (African Union, 2022</w:t>
      </w:r>
      <w:r w:rsidR="00492370" w:rsidRPr="00C20947">
        <w:rPr>
          <w:rFonts w:ascii="Times" w:eastAsia="Sorts Mill Goudy" w:hAnsi="Times" w:cs="Times"/>
          <w:color w:val="000000" w:themeColor="text1"/>
        </w:rPr>
        <w:t xml:space="preserve">; </w:t>
      </w:r>
      <w:r w:rsidR="00492370" w:rsidRPr="00C20947">
        <w:rPr>
          <w:rFonts w:ascii="Times" w:eastAsia="Sorts Mill Goudy" w:hAnsi="Times" w:cs="Times"/>
          <w:color w:val="000000" w:themeColor="text1"/>
          <w:lang w:val="en-GB"/>
        </w:rPr>
        <w:t>Tirivangani et al., 2021</w:t>
      </w:r>
      <w:r w:rsidR="00FD0753" w:rsidRPr="00C20947">
        <w:rPr>
          <w:rFonts w:ascii="Times" w:eastAsia="Sorts Mill Goudy" w:hAnsi="Times" w:cs="Times"/>
          <w:color w:val="000000" w:themeColor="text1"/>
        </w:rPr>
        <w:t>). Nigeria, as Africa’s largest economy and the continent’s largest malaria-endemic country, occupies a strategic position in this continental industrialization agenda.</w:t>
      </w:r>
    </w:p>
    <w:p w14:paraId="3BD55A58"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In response, Nigeria has initiated wide-ranging reforms to localize pharmaceutical and health product manufacturing. Central to these reforms is the Presidential Initiative for Unlocking the Healthcare Value Chain (PVAC), a high-level coordination mechanism designed to harmonize industrial and health policy efforts and accelerate domestic production of essential medical commodities (Presidential Health Initiative, 2024). Complementary national frameworks, including the National Malaria Elimination Programme (NMEP), the Nigeria Industrial Revolution Plan (NIRP), the Pharmaceutical Manufacturing Transformation Agenda, and NAFDAC’s newly strengthened regulatory infrastructure following its attainment of WHO Global Benchmarking Tool Maturity Level 3, have positioned the country to expand local manufacturing capacity (NAFDAC, 2022; Federal Ministry of Industry, Trade &amp; Investment, 2023).</w:t>
      </w:r>
    </w:p>
    <w:p w14:paraId="6DEFBBC9" w14:textId="223486D9" w:rsidR="00F5473E" w:rsidRPr="00C20947" w:rsidRDefault="004C2390" w:rsidP="00F5473E">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 xml:space="preserve">Addressing this ambition should begin with a robust assessment of </w:t>
      </w:r>
      <w:r w:rsidR="00010B31" w:rsidRPr="00C20947">
        <w:rPr>
          <w:rFonts w:ascii="Times" w:eastAsia="Sorts Mill Goudy" w:hAnsi="Times" w:cs="Times"/>
          <w:color w:val="000000" w:themeColor="text1"/>
        </w:rPr>
        <w:t>Nigeria’s cross-commodity malaria manufacturing capacity</w:t>
      </w:r>
      <w:r w:rsidR="00FD0753" w:rsidRPr="00C20947">
        <w:rPr>
          <w:rFonts w:ascii="Times" w:eastAsia="Sorts Mill Goudy" w:hAnsi="Times" w:cs="Times"/>
          <w:color w:val="000000" w:themeColor="text1"/>
        </w:rPr>
        <w:t xml:space="preserve"> landscape for ACTs, APIs, LLINs and RDTs. </w:t>
      </w:r>
      <w:r w:rsidR="00F5473E" w:rsidRPr="00C20947">
        <w:rPr>
          <w:rFonts w:ascii="Times" w:eastAsia="Sorts Mill Goudy" w:hAnsi="Times" w:cs="Times"/>
          <w:color w:val="000000" w:themeColor="text1"/>
        </w:rPr>
        <w:t>Given Nigeria’s strategic population size, petrochemical base, regulatory improvements, and current capacity across multiple malaria commodity sectors, the shift from import dependence to domestic resilience is both feasible and timely. Local manufacturing offers significant advantages: strengthening national health security, reducing foreign exchange exposure, creating industrial jobs, and positioning Nigeria as a regional manufacturing hub under frameworks such as the ECOWAS Medicines Regulatory Harmonization (MRH) and the African Continental Free Trade Area (AfCFTA) (ECOWAS, 2023; AfCFTA Secretariat, 2024).</w:t>
      </w:r>
    </w:p>
    <w:p w14:paraId="25BA01E2" w14:textId="5D3A6B99" w:rsidR="00DA305F" w:rsidRPr="00C20947" w:rsidRDefault="0054447D" w:rsidP="00DA305F">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 xml:space="preserve">This paper synthesises evidence from a national workstream assessment of manufacturing capacity, procurement systems, regulatory readiness, financing constraints, and localisation feasibility, alongside commodity-specific readiness data for ACTs, APIs, LLINs, and RDTs. </w:t>
      </w:r>
      <w:r w:rsidR="00DA305F" w:rsidRPr="00C20947">
        <w:rPr>
          <w:rFonts w:ascii="Times" w:eastAsia="Sorts Mill Goudy" w:hAnsi="Times" w:cs="Times"/>
          <w:color w:val="000000" w:themeColor="text1"/>
        </w:rPr>
        <w:t>Drawing on this integrated evidence, the paper addresses three central questions: 1) What is the current state of domestic manufacturing capacity for ACTs, APIs, LLINs, and RDTs? 2) What systemic constraints inhibit effective utilisation and scale-up of this capacity? 3) What policy, regulatory, and financing reforms are required to support Nigeria’s transition from import dependence to domestic resilience?</w:t>
      </w:r>
    </w:p>
    <w:p w14:paraId="71D3C32C" w14:textId="77777777" w:rsidR="00357DE2" w:rsidRPr="009B00B9" w:rsidRDefault="00FD0753" w:rsidP="00B633A5">
      <w:pPr>
        <w:spacing w:before="120" w:after="120" w:line="240" w:lineRule="auto"/>
        <w:jc w:val="both"/>
        <w:rPr>
          <w:rFonts w:ascii="Times" w:eastAsia="Sorts Mill Goudy" w:hAnsi="Times" w:cs="Times"/>
          <w:b/>
          <w:bCs/>
          <w:color w:val="000000" w:themeColor="text1"/>
          <w:highlight w:val="yellow"/>
        </w:rPr>
      </w:pPr>
      <w:r w:rsidRPr="009B00B9">
        <w:rPr>
          <w:rFonts w:ascii="Times" w:eastAsia="Sorts Mill Goudy" w:hAnsi="Times" w:cs="Times"/>
          <w:b/>
          <w:bCs/>
          <w:color w:val="000000" w:themeColor="text1"/>
          <w:highlight w:val="yellow"/>
        </w:rPr>
        <w:t>2.0</w:t>
      </w:r>
      <w:r w:rsidRPr="009B00B9">
        <w:rPr>
          <w:rFonts w:ascii="Times" w:eastAsia="Sorts Mill Goudy" w:hAnsi="Times" w:cs="Times"/>
          <w:b/>
          <w:bCs/>
          <w:color w:val="000000" w:themeColor="text1"/>
          <w:highlight w:val="yellow"/>
        </w:rPr>
        <w:tab/>
        <w:t>METHODOLOGY</w:t>
      </w:r>
    </w:p>
    <w:p w14:paraId="63F36CB6" w14:textId="4EFECAF2" w:rsidR="002354D6" w:rsidRPr="009B00B9" w:rsidRDefault="00FD0753" w:rsidP="00B633A5">
      <w:pPr>
        <w:spacing w:before="120" w:after="120" w:line="240" w:lineRule="auto"/>
        <w:rPr>
          <w:rFonts w:ascii="Times" w:eastAsia="Sorts Mill Goudy" w:hAnsi="Times" w:cs="Times"/>
          <w:color w:val="000000" w:themeColor="text1"/>
          <w:highlight w:val="yellow"/>
        </w:rPr>
      </w:pPr>
      <w:r w:rsidRPr="009B00B9">
        <w:rPr>
          <w:rFonts w:ascii="Times" w:eastAsia="Sorts Mill Goudy" w:hAnsi="Times" w:cs="Times"/>
          <w:b/>
          <w:bCs/>
          <w:color w:val="000000" w:themeColor="text1"/>
          <w:highlight w:val="yellow"/>
        </w:rPr>
        <w:t xml:space="preserve">2.1. Study </w:t>
      </w:r>
      <w:r w:rsidR="00536524" w:rsidRPr="009B00B9">
        <w:rPr>
          <w:rFonts w:ascii="Times" w:eastAsia="Sorts Mill Goudy" w:hAnsi="Times" w:cs="Times"/>
          <w:b/>
          <w:bCs/>
          <w:color w:val="000000" w:themeColor="text1"/>
          <w:highlight w:val="yellow"/>
        </w:rPr>
        <w:t>Design and area</w:t>
      </w:r>
    </w:p>
    <w:p w14:paraId="6AAF9716" w14:textId="1FBC92DD" w:rsidR="00D10342" w:rsidRPr="009B00B9" w:rsidRDefault="00FD0753" w:rsidP="00CD7C33">
      <w:pPr>
        <w:spacing w:before="120" w:after="120" w:line="240" w:lineRule="auto"/>
        <w:jc w:val="both"/>
        <w:rPr>
          <w:rFonts w:ascii="Times" w:eastAsia="Sorts Mill Goudy" w:hAnsi="Times" w:cs="Times"/>
          <w:color w:val="000000" w:themeColor="text1"/>
          <w:highlight w:val="yellow"/>
        </w:rPr>
      </w:pPr>
      <w:r w:rsidRPr="009B00B9">
        <w:rPr>
          <w:rFonts w:ascii="Times" w:eastAsia="Sorts Mill Goudy" w:hAnsi="Times" w:cs="Times"/>
          <w:color w:val="000000" w:themeColor="text1"/>
          <w:highlight w:val="yellow"/>
        </w:rPr>
        <w:lastRenderedPageBreak/>
        <w:t xml:space="preserve">This </w:t>
      </w:r>
      <w:r w:rsidR="009E0B6B" w:rsidRPr="009B00B9">
        <w:rPr>
          <w:rFonts w:ascii="Times" w:eastAsia="Sorts Mill Goudy" w:hAnsi="Times" w:cs="Times"/>
          <w:color w:val="000000" w:themeColor="text1"/>
          <w:highlight w:val="yellow"/>
        </w:rPr>
        <w:t>readiness assessment utilised a multisite cross-sectional descriptive design, drawing on facility audits, regulatory reviews, and institutional assessments conducted across Nigeria’s major manufacturing hubs</w:t>
      </w:r>
      <w:r w:rsidR="00F02D67" w:rsidRPr="009B00B9">
        <w:rPr>
          <w:rFonts w:ascii="Times" w:eastAsia="Sorts Mill Goudy" w:hAnsi="Times" w:cs="Times"/>
          <w:color w:val="000000" w:themeColor="text1"/>
          <w:highlight w:val="yellow"/>
        </w:rPr>
        <w:t xml:space="preserve">, with a focus </w:t>
      </w:r>
      <w:r w:rsidRPr="009B00B9">
        <w:rPr>
          <w:rFonts w:ascii="Times" w:eastAsia="Sorts Mill Goudy" w:hAnsi="Times" w:cs="Times"/>
          <w:color w:val="000000" w:themeColor="text1"/>
          <w:highlight w:val="yellow"/>
        </w:rPr>
        <w:t xml:space="preserve">on the national malaria-commodity manufacturing ecosystem in Nigeria, covering pharmaceutical (ACTs, APIs), diagnostic (RDTs), and vector-control (LLIN) product classes. </w:t>
      </w:r>
      <w:r w:rsidR="00D10342" w:rsidRPr="009B00B9">
        <w:rPr>
          <w:rFonts w:ascii="Times" w:eastAsia="Sorts Mill Goudy" w:hAnsi="Times" w:cs="Times"/>
          <w:color w:val="000000" w:themeColor="text1"/>
          <w:highlight w:val="yellow"/>
        </w:rPr>
        <w:t xml:space="preserve">The study design was guided by principles of evidence triangulation, policy analysis, and industrial manufacturing assessment, allowing the authors to consolidate findings from diverse yet complementary data sources into a coherent analytical framework. </w:t>
      </w:r>
    </w:p>
    <w:p w14:paraId="708590D8" w14:textId="6B4A4523" w:rsidR="00357DE2" w:rsidRPr="009B00B9" w:rsidRDefault="00E05307" w:rsidP="00CD7C33">
      <w:pPr>
        <w:spacing w:before="120" w:after="120" w:line="240" w:lineRule="auto"/>
        <w:jc w:val="both"/>
        <w:rPr>
          <w:rFonts w:ascii="Times" w:eastAsia="Sorts Mill Goudy" w:hAnsi="Times" w:cs="Times"/>
          <w:color w:val="000000" w:themeColor="text1"/>
          <w:highlight w:val="yellow"/>
        </w:rPr>
      </w:pPr>
      <w:r w:rsidRPr="009B00B9">
        <w:rPr>
          <w:rFonts w:ascii="Times" w:eastAsia="Sorts Mill Goudy" w:hAnsi="Times" w:cs="Times"/>
          <w:color w:val="000000" w:themeColor="text1"/>
          <w:highlight w:val="yellow"/>
        </w:rPr>
        <w:t xml:space="preserve">The </w:t>
      </w:r>
      <w:r w:rsidR="00FD0753" w:rsidRPr="009B00B9">
        <w:rPr>
          <w:rFonts w:ascii="Times" w:eastAsia="Sorts Mill Goudy" w:hAnsi="Times" w:cs="Times"/>
          <w:color w:val="000000" w:themeColor="text1"/>
          <w:highlight w:val="yellow"/>
        </w:rPr>
        <w:t xml:space="preserve">readiness assessment </w:t>
      </w:r>
      <w:r w:rsidR="00D10342" w:rsidRPr="009B00B9">
        <w:rPr>
          <w:rFonts w:ascii="Times" w:eastAsia="Sorts Mill Goudy" w:hAnsi="Times" w:cs="Times"/>
          <w:color w:val="000000" w:themeColor="text1"/>
          <w:highlight w:val="yellow"/>
        </w:rPr>
        <w:t>were conducted in states like</w:t>
      </w:r>
      <w:r w:rsidR="00FD0753" w:rsidRPr="009B00B9">
        <w:rPr>
          <w:rFonts w:ascii="Times" w:eastAsia="Sorts Mill Goudy" w:hAnsi="Times" w:cs="Times"/>
          <w:color w:val="000000" w:themeColor="text1"/>
          <w:highlight w:val="yellow"/>
        </w:rPr>
        <w:t xml:space="preserve"> Lagos, Ogun, Anambra, Oyo, Kano, and the Federal Capital Territory., </w:t>
      </w:r>
      <w:r w:rsidR="00577A53" w:rsidRPr="009B00B9">
        <w:rPr>
          <w:rFonts w:ascii="Times" w:eastAsia="Sorts Mill Goudy" w:hAnsi="Times" w:cs="Times"/>
          <w:color w:val="000000" w:themeColor="text1"/>
          <w:highlight w:val="yellow"/>
        </w:rPr>
        <w:t xml:space="preserve">This area were chosen because they are </w:t>
      </w:r>
      <w:r w:rsidR="00FD0753" w:rsidRPr="009B00B9">
        <w:rPr>
          <w:rFonts w:ascii="Times" w:eastAsia="Sorts Mill Goudy" w:hAnsi="Times" w:cs="Times"/>
          <w:color w:val="000000" w:themeColor="text1"/>
          <w:highlight w:val="yellow"/>
        </w:rPr>
        <w:t xml:space="preserve">Nigeria’s major pharmaceutical, diagnostic, and LLIN manufacturing </w:t>
      </w:r>
      <w:r w:rsidR="00577A53" w:rsidRPr="009B00B9">
        <w:rPr>
          <w:rFonts w:ascii="Times" w:eastAsia="Sorts Mill Goudy" w:hAnsi="Times" w:cs="Times"/>
          <w:color w:val="000000" w:themeColor="text1"/>
          <w:highlight w:val="yellow"/>
        </w:rPr>
        <w:t xml:space="preserve">sites. </w:t>
      </w:r>
      <w:r w:rsidR="00FD0753" w:rsidRPr="009B00B9">
        <w:rPr>
          <w:rFonts w:ascii="Times" w:eastAsia="Sorts Mill Goudy" w:hAnsi="Times" w:cs="Times"/>
          <w:color w:val="000000" w:themeColor="text1"/>
          <w:highlight w:val="yellow"/>
        </w:rPr>
        <w:t>Thus, the study area is not a single geographic locality but the entire national health-industrial landscape, comprising domestic manufacturing plants, regulatory institutions, and procurement mechanisms relevant to the production and utilisation of malaria commodities in Nigeria.</w:t>
      </w:r>
    </w:p>
    <w:p w14:paraId="39B89BA8" w14:textId="77777777" w:rsidR="00536524" w:rsidRPr="009B00B9" w:rsidRDefault="00536524" w:rsidP="00B633A5">
      <w:pPr>
        <w:spacing w:before="120" w:after="120" w:line="240" w:lineRule="auto"/>
        <w:jc w:val="both"/>
        <w:rPr>
          <w:rFonts w:ascii="Times" w:eastAsia="Sorts Mill Goudy" w:hAnsi="Times" w:cs="Times"/>
          <w:color w:val="000000" w:themeColor="text1"/>
          <w:highlight w:val="yellow"/>
        </w:rPr>
      </w:pPr>
    </w:p>
    <w:p w14:paraId="34E7FC53" w14:textId="77777777" w:rsidR="00357DE2" w:rsidRPr="009B00B9" w:rsidRDefault="00FD0753" w:rsidP="00B633A5">
      <w:pPr>
        <w:spacing w:before="120" w:after="120" w:line="240" w:lineRule="auto"/>
        <w:jc w:val="both"/>
        <w:rPr>
          <w:rFonts w:ascii="Times" w:eastAsia="Sorts Mill Goudy" w:hAnsi="Times" w:cs="Times"/>
          <w:b/>
          <w:bCs/>
          <w:color w:val="000000" w:themeColor="text1"/>
          <w:highlight w:val="yellow"/>
        </w:rPr>
      </w:pPr>
      <w:r w:rsidRPr="009B00B9">
        <w:rPr>
          <w:rFonts w:ascii="Times" w:eastAsia="Sorts Mill Goudy" w:hAnsi="Times" w:cs="Times"/>
          <w:b/>
          <w:bCs/>
          <w:color w:val="000000" w:themeColor="text1"/>
          <w:highlight w:val="yellow"/>
        </w:rPr>
        <w:t>2.2 Data Sources</w:t>
      </w:r>
    </w:p>
    <w:p w14:paraId="42C7B9D2" w14:textId="03EC1A7E" w:rsidR="00357DE2" w:rsidRPr="009B00B9" w:rsidRDefault="00FD0753" w:rsidP="00B633A5">
      <w:pPr>
        <w:spacing w:before="120" w:after="120" w:line="240" w:lineRule="auto"/>
        <w:jc w:val="both"/>
        <w:rPr>
          <w:rFonts w:ascii="Times" w:eastAsia="Sorts Mill Goudy" w:hAnsi="Times" w:cs="Times"/>
          <w:color w:val="000000" w:themeColor="text1"/>
          <w:highlight w:val="yellow"/>
        </w:rPr>
      </w:pPr>
      <w:r w:rsidRPr="009B00B9">
        <w:rPr>
          <w:rFonts w:ascii="Times" w:eastAsia="Sorts Mill Goudy" w:hAnsi="Times" w:cs="Times"/>
          <w:color w:val="000000" w:themeColor="text1"/>
          <w:highlight w:val="yellow"/>
        </w:rPr>
        <w:t xml:space="preserve">This study drew upon a comprehensive set of nationally validated documents, technical assessments, and regulatory records produced between 2024 and 2025. The primary data sources consisted of </w:t>
      </w:r>
      <w:r w:rsidR="001B045E" w:rsidRPr="009B00B9">
        <w:rPr>
          <w:rFonts w:ascii="Times" w:eastAsia="Sorts Mill Goudy" w:hAnsi="Times" w:cs="Times"/>
          <w:color w:val="000000" w:themeColor="text1"/>
          <w:highlight w:val="yellow"/>
        </w:rPr>
        <w:t xml:space="preserve">data obtained </w:t>
      </w:r>
      <w:r w:rsidR="00F202A8" w:rsidRPr="009B00B9">
        <w:rPr>
          <w:rFonts w:ascii="Times" w:eastAsia="Sorts Mill Goudy" w:hAnsi="Times" w:cs="Times"/>
          <w:color w:val="000000" w:themeColor="text1"/>
          <w:highlight w:val="yellow"/>
        </w:rPr>
        <w:t xml:space="preserve">across </w:t>
      </w:r>
      <w:r w:rsidRPr="009B00B9">
        <w:rPr>
          <w:rFonts w:ascii="Times" w:eastAsia="Sorts Mill Goudy" w:hAnsi="Times" w:cs="Times"/>
          <w:color w:val="000000" w:themeColor="text1"/>
          <w:highlight w:val="yellow"/>
        </w:rPr>
        <w:t>pharmaceutical, diagnostic, and vector control manufacturing facilities across Nigeria</w:t>
      </w:r>
      <w:r w:rsidR="007161E6" w:rsidRPr="009B00B9">
        <w:rPr>
          <w:rFonts w:ascii="Times" w:eastAsia="Sorts Mill Goudy" w:hAnsi="Times" w:cs="Times"/>
          <w:color w:val="000000" w:themeColor="text1"/>
          <w:highlight w:val="yellow"/>
        </w:rPr>
        <w:t xml:space="preserve"> (see table 1)</w:t>
      </w:r>
      <w:r w:rsidRPr="009B00B9">
        <w:rPr>
          <w:rFonts w:ascii="Times" w:eastAsia="Sorts Mill Goudy" w:hAnsi="Times" w:cs="Times"/>
          <w:color w:val="000000" w:themeColor="text1"/>
          <w:highlight w:val="yellow"/>
        </w:rPr>
        <w:t>. Together, these documents constitute the most extensive and contemporaneous evidence base on Nigeria’s malaria commodity manufacturing ecosystem.</w:t>
      </w:r>
    </w:p>
    <w:p w14:paraId="3FA1E962" w14:textId="0F1CC782" w:rsidR="00357DE2" w:rsidRPr="009B00B9" w:rsidRDefault="00FD0753" w:rsidP="00B633A5">
      <w:pPr>
        <w:spacing w:before="120" w:after="120" w:line="240" w:lineRule="auto"/>
        <w:jc w:val="both"/>
        <w:rPr>
          <w:rFonts w:ascii="Times" w:eastAsia="Sorts Mill Goudy" w:hAnsi="Times" w:cs="Times"/>
          <w:color w:val="000000" w:themeColor="text1"/>
          <w:highlight w:val="yellow"/>
        </w:rPr>
      </w:pPr>
      <w:r w:rsidRPr="009B00B9">
        <w:rPr>
          <w:rFonts w:ascii="Times" w:eastAsia="Sorts Mill Goudy" w:hAnsi="Times" w:cs="Times"/>
          <w:b/>
          <w:bCs/>
          <w:color w:val="000000" w:themeColor="text1"/>
          <w:highlight w:val="yellow"/>
        </w:rPr>
        <w:t>2.2.1 Technical Briefs:</w:t>
      </w:r>
      <w:r w:rsidRPr="009B00B9">
        <w:rPr>
          <w:rFonts w:ascii="Times" w:eastAsia="Sorts Mill Goudy" w:hAnsi="Times" w:cs="Times"/>
          <w:color w:val="000000" w:themeColor="text1"/>
          <w:highlight w:val="yellow"/>
        </w:rPr>
        <w:t xml:space="preserve"> The technical briefs provided structured insights across multiple domains of malaria commodity manufacturing, including: ACTs, Feasibility and requirements for domestic API production, Market access and procurement challenges for locally manufactured commodities, Current status and potential for LLIN manufacturing in Nigeria, Regulatory readiness and WHO Prequalification pathways, Financing constraints and investment requirements and, RDT manufacturing capacity and quality systems. Each brief synthesized qualitative and quantitative information obtained through key informant interviews, facility audits, market diagnostics, and policy reviews conducted by technical specialists. They included validated statistics on current capacity, utilization rates, regulatory status, supply chain dependence, and identified challenges and opportunities for localization.</w:t>
      </w:r>
    </w:p>
    <w:p w14:paraId="6190AB99" w14:textId="77777777" w:rsidR="00357DE2" w:rsidRPr="009B00B9" w:rsidRDefault="00FD0753" w:rsidP="00B633A5">
      <w:pPr>
        <w:spacing w:before="120" w:after="120" w:line="240" w:lineRule="auto"/>
        <w:jc w:val="both"/>
        <w:rPr>
          <w:rFonts w:ascii="Times" w:eastAsia="Sorts Mill Goudy" w:hAnsi="Times" w:cs="Times"/>
          <w:color w:val="000000" w:themeColor="text1"/>
          <w:highlight w:val="yellow"/>
        </w:rPr>
      </w:pPr>
      <w:r w:rsidRPr="009B00B9">
        <w:rPr>
          <w:rFonts w:ascii="Times" w:eastAsia="Sorts Mill Goudy" w:hAnsi="Times" w:cs="Times"/>
          <w:b/>
          <w:bCs/>
          <w:color w:val="000000" w:themeColor="text1"/>
          <w:highlight w:val="yellow"/>
        </w:rPr>
        <w:t>2.2.2 Readiness Assessment Report:</w:t>
      </w:r>
      <w:r w:rsidRPr="009B00B9">
        <w:rPr>
          <w:rFonts w:ascii="Times" w:eastAsia="Sorts Mill Goudy" w:hAnsi="Times" w:cs="Times"/>
          <w:color w:val="000000" w:themeColor="text1"/>
          <w:highlight w:val="yellow"/>
        </w:rPr>
        <w:t xml:space="preserve"> The readiness assessment report provided granular, facility-level information on ACT manufacturing capacity. The report covered multiple manufacturers across Lagos, Ogun, Anambra, and other industrial clusters, and included: Installed machinery and production capacity, Current production volumes, Workforce competence and technical skills, Supply chain dependencies (APIs, excipients, packaging materials), Compliance with NAFDAC, WHO, and ISO standards, Progress toward WHO Prequalification, and Infrastructure constraints (power, water, HVAC systems). The consultant report also contained qualitative observations from site visits, semi-structured interviews with factory leadership, and validation of self-reported manufacturer data.</w:t>
      </w:r>
    </w:p>
    <w:p w14:paraId="06140333" w14:textId="77777777" w:rsidR="00357DE2" w:rsidRPr="009B00B9" w:rsidRDefault="00FD0753" w:rsidP="00B633A5">
      <w:pPr>
        <w:spacing w:before="120" w:after="120" w:line="240" w:lineRule="auto"/>
        <w:jc w:val="both"/>
        <w:rPr>
          <w:rFonts w:ascii="Times" w:eastAsia="Sorts Mill Goudy" w:hAnsi="Times" w:cs="Times"/>
          <w:color w:val="000000" w:themeColor="text1"/>
          <w:highlight w:val="yellow"/>
        </w:rPr>
      </w:pPr>
      <w:r w:rsidRPr="009B00B9">
        <w:rPr>
          <w:rFonts w:ascii="Times" w:eastAsia="Sorts Mill Goudy" w:hAnsi="Times" w:cs="Times"/>
          <w:b/>
          <w:bCs/>
          <w:color w:val="000000" w:themeColor="text1"/>
          <w:highlight w:val="yellow"/>
        </w:rPr>
        <w:t>2.2.3 Regulatory and Policy Documents:</w:t>
      </w:r>
      <w:r w:rsidRPr="009B00B9">
        <w:rPr>
          <w:rFonts w:ascii="Times" w:eastAsia="Sorts Mill Goudy" w:hAnsi="Times" w:cs="Times"/>
          <w:color w:val="000000" w:themeColor="text1"/>
          <w:highlight w:val="yellow"/>
        </w:rPr>
        <w:t xml:space="preserve"> Additional insights were drawn from supporting regulatory and policy documents, including but not limited to: NAFDAC Global Benchmarking Tool (GBT) reports, ISO 13485 certification records for diagnostic manufacturers, WHO PQ Technical Reports, National Malaria Strategic Plan, Federal Ministry of Industry, Trade and Investment (FMITI) industrial policies, ECOWAS Medicines Regulatory Harmonization (MRH) guidelines, Pharmaceutical Manufacturing Transformation Programme (PMTP). These sources were used to validate claims from the briefs and to ensure consistency in regulatory and policy interpretations.</w:t>
      </w:r>
    </w:p>
    <w:p w14:paraId="48CB5D3F" w14:textId="51F362C7" w:rsidR="00357DE2" w:rsidRPr="00C20947" w:rsidRDefault="00FD0753" w:rsidP="00B633A5">
      <w:pPr>
        <w:spacing w:before="120" w:after="120" w:line="240" w:lineRule="auto"/>
        <w:jc w:val="both"/>
        <w:rPr>
          <w:rFonts w:ascii="Times" w:eastAsia="Sorts Mill Goudy" w:hAnsi="Times" w:cs="Times"/>
          <w:color w:val="000000" w:themeColor="text1"/>
        </w:rPr>
      </w:pPr>
      <w:r w:rsidRPr="009B00B9">
        <w:rPr>
          <w:rFonts w:ascii="Times" w:eastAsia="Sorts Mill Goudy" w:hAnsi="Times" w:cs="Times"/>
          <w:b/>
          <w:bCs/>
          <w:color w:val="000000" w:themeColor="text1"/>
          <w:highlight w:val="yellow"/>
        </w:rPr>
        <w:t>2.2.4 Quantitative Indicators and Secondary Data:</w:t>
      </w:r>
      <w:r w:rsidRPr="009B00B9">
        <w:rPr>
          <w:rFonts w:ascii="Times" w:eastAsia="Sorts Mill Goudy" w:hAnsi="Times" w:cs="Times"/>
          <w:color w:val="000000" w:themeColor="text1"/>
          <w:highlight w:val="yellow"/>
        </w:rPr>
        <w:t xml:space="preserve"> The documents provided quantitative indicators such as: Installed production capacity (monthly/annual), Utilization rates (%), National demand estimates for ACTs, LLINs, RDTs, Export potential assessments, Number of PQ-ready facilities, Financing costs and investment requirements, and Import dependency ratios. These indicators were extracted systematically and </w:t>
      </w:r>
      <w:r w:rsidR="007A6F56" w:rsidRPr="009B00B9">
        <w:rPr>
          <w:rFonts w:ascii="Times" w:eastAsia="Sorts Mill Goudy" w:hAnsi="Times" w:cs="Times"/>
          <w:color w:val="000000" w:themeColor="text1"/>
          <w:highlight w:val="yellow"/>
        </w:rPr>
        <w:lastRenderedPageBreak/>
        <w:t>entered</w:t>
      </w:r>
      <w:r w:rsidRPr="009B00B9">
        <w:rPr>
          <w:rFonts w:ascii="Times" w:eastAsia="Sorts Mill Goudy" w:hAnsi="Times" w:cs="Times"/>
          <w:color w:val="000000" w:themeColor="text1"/>
          <w:highlight w:val="yellow"/>
        </w:rPr>
        <w:t xml:space="preserve"> an analytical matrix to facilitate cross-commodity comparison. </w:t>
      </w:r>
      <w:r w:rsidR="007A6F56" w:rsidRPr="009B00B9">
        <w:rPr>
          <w:rFonts w:ascii="Times" w:eastAsia="Sorts Mill Goudy" w:hAnsi="Times" w:cs="Times"/>
          <w:color w:val="000000" w:themeColor="text1"/>
          <w:highlight w:val="yellow"/>
        </w:rPr>
        <w:t>The</w:t>
      </w:r>
      <w:r w:rsidRPr="009B00B9">
        <w:rPr>
          <w:rFonts w:ascii="Times" w:eastAsia="Sorts Mill Goudy" w:hAnsi="Times" w:cs="Times"/>
          <w:color w:val="000000" w:themeColor="text1"/>
          <w:highlight w:val="yellow"/>
        </w:rPr>
        <w:t xml:space="preserve"> study relied on the validated quantitative metrics already contained in the official assessments.</w:t>
      </w:r>
    </w:p>
    <w:p w14:paraId="3CC509B0" w14:textId="77777777" w:rsidR="00357DE2" w:rsidRPr="00C20947" w:rsidRDefault="00FD0753"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2.3 Analytical Framework</w:t>
      </w:r>
    </w:p>
    <w:p w14:paraId="6E116992" w14:textId="2A89C7E5"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The analysis was guided by a multi-dimensional health industrialization framework that integrates principles from health systems strengthening, pharmaceutical sector development, and market-shaping theory</w:t>
      </w:r>
      <w:r w:rsidR="00E91319" w:rsidRPr="00C20947">
        <w:rPr>
          <w:rFonts w:ascii="Times" w:eastAsia="Sorts Mill Goudy" w:hAnsi="Times" w:cs="Times"/>
          <w:color w:val="000000" w:themeColor="text1"/>
        </w:rPr>
        <w:t xml:space="preserve"> (see Table 2)</w:t>
      </w:r>
      <w:r w:rsidRPr="00C20947">
        <w:rPr>
          <w:rFonts w:ascii="Times" w:eastAsia="Sorts Mill Goudy" w:hAnsi="Times" w:cs="Times"/>
          <w:color w:val="000000" w:themeColor="text1"/>
        </w:rPr>
        <w:t>. This framework enabled a structured examination of Nigeria’s evolving malaria-commodity manufacturing ecosystem across four interdependent domains: technical capacity, regulatory readiness, market access, and financing architecture. Synthesizing evidence across these domains made it possible to assess not only Nigeria’s current manufacturing capabilities but also the systemic constraints limiting progress toward self-sufficiency.</w:t>
      </w:r>
    </w:p>
    <w:p w14:paraId="2D0BEE91"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2.3.1 Technical and Production Capacity Assessment:</w:t>
      </w:r>
      <w:r w:rsidRPr="00C20947">
        <w:rPr>
          <w:rFonts w:ascii="Times" w:eastAsia="Sorts Mill Goudy" w:hAnsi="Times" w:cs="Times"/>
          <w:color w:val="000000" w:themeColor="text1"/>
        </w:rPr>
        <w:t xml:space="preserve"> To evaluate manufacturing capacity, the study applied an adapted version of the WHO Local Production and Technology Transfer Framework, focusing on installed capacity, degree of automation, human resource competence, supply chain structure, and utilization rates. Key indicators extracted from the briefs and consultant report included: Installed monthly output vs. national demand, Machinery configuration and process flow integrity, API and excipient sourcing pathways, Workforce size, specialization, and training profiles, Storage, HVAC, and quality control infrastructure. This allowed a cross-commodity comparison of capacity maturity across ACTs, APIs, LLINs, RDTs, and related products.</w:t>
      </w:r>
    </w:p>
    <w:p w14:paraId="3DCBF323"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2.3.2 Regulatory and Quality Assurance Analysis:</w:t>
      </w:r>
      <w:r w:rsidRPr="00C20947">
        <w:rPr>
          <w:rFonts w:ascii="Times" w:eastAsia="Sorts Mill Goudy" w:hAnsi="Times" w:cs="Times"/>
          <w:color w:val="000000" w:themeColor="text1"/>
        </w:rPr>
        <w:t xml:space="preserve"> Regulatory readiness was examined using the WHO Global Benchmarking Tool (GBT) maturity levels and NAFDAC’s documented progress toward international equivalence. The framework assessed: GMP compliance status across manufacturers, Progress toward WHO Prequalification (PQ), ISO 13485 certification and diagnostic QA systems, National laboratory capacity for QC and bioequivalence testing, Regulatory bottlenecks (inspection delays, dossier gaps, PQ documentation burdens). This analysis established the extent to which Nigeria’s regulatory oversight and facility-level QA systems align with global market entry requirements.</w:t>
      </w:r>
    </w:p>
    <w:p w14:paraId="543B63F9"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2.3.3 Market Access and Demand-Side Assessment:</w:t>
      </w:r>
      <w:r w:rsidRPr="00C20947">
        <w:rPr>
          <w:rFonts w:ascii="Times" w:eastAsia="Sorts Mill Goudy" w:hAnsi="Times" w:cs="Times"/>
          <w:color w:val="000000" w:themeColor="text1"/>
        </w:rPr>
        <w:t xml:space="preserve"> The study applied a market-shaping lens to evaluate procurement structures and demand predictability. Analytical dimensions included: Share of national malaria-commodity demand financed by donors, Exclusion of local manufacturers from Global Fund/UNICEF tenders due to PQ gaps, Government procurement cycles and contract reliability, Export potential within ECOWAS MRH and AfCFTA frameworks, Manufacturer experiences with market fragmentation and underutilization. This assessment clarified how procurement rules and market dynamics contribute to persistent idle capacity despite growing technical capability.</w:t>
      </w:r>
    </w:p>
    <w:p w14:paraId="057734A2"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2.3.4 Financing and Investment Environment:</w:t>
      </w:r>
      <w:r w:rsidRPr="00C20947">
        <w:rPr>
          <w:rFonts w:ascii="Times" w:eastAsia="Sorts Mill Goudy" w:hAnsi="Times" w:cs="Times"/>
          <w:color w:val="000000" w:themeColor="text1"/>
        </w:rPr>
        <w:t xml:space="preserve"> An investment ecosystem analysis was conducted using principles adapted from blended-finance models in low- and middle-income countries. The review focused on: Cost of capital (commercial vs. concessional), Access to long-term financing for capital expenditure, Availability and uptake of government incentives, Forex constraints and import-dependence cost implications, Appetite of DFIs, donors, and private investors, Emerging pipeline for industrial parks and shared infrastructure. This dimension revealed structural financing weaknesses that limit Nigeria’s ability to scale upstream manufacturing (APIs) and achieve WHO PQ for downstream products.</w:t>
      </w:r>
    </w:p>
    <w:p w14:paraId="492AD0EA"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2.3.5 Cross-Domain Synthesis Approach: </w:t>
      </w:r>
      <w:r w:rsidRPr="00C20947">
        <w:rPr>
          <w:rFonts w:ascii="Times" w:eastAsia="Sorts Mill Goudy" w:hAnsi="Times" w:cs="Times"/>
          <w:color w:val="000000" w:themeColor="text1"/>
        </w:rPr>
        <w:t>Finally, findings from all domains were synthesised using a triangulated matrix approach, aligning evidence across: Documented facility-level observations, National policy directives, Quantitative indicators, Stakeholder perspectives. This synthesis enabled a consolidated understanding of Nigeria’s manufacturing landscape, highlighting key constraints, opportunities, and transition pathways toward domestic resilience.</w:t>
      </w:r>
    </w:p>
    <w:p w14:paraId="2D3E2AAA" w14:textId="77777777" w:rsidR="00357DE2" w:rsidRPr="00C20947" w:rsidRDefault="00FD0753"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3.0</w:t>
      </w:r>
      <w:r w:rsidRPr="00C20947">
        <w:rPr>
          <w:rFonts w:ascii="Times" w:eastAsia="Sorts Mill Goudy" w:hAnsi="Times" w:cs="Times"/>
          <w:b/>
          <w:bCs/>
          <w:color w:val="000000" w:themeColor="text1"/>
        </w:rPr>
        <w:tab/>
        <w:t>FINDINGS</w:t>
      </w:r>
    </w:p>
    <w:p w14:paraId="44F78FE7" w14:textId="77777777" w:rsidR="00357DE2" w:rsidRPr="00C20947" w:rsidRDefault="00FD0753"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 xml:space="preserve">3.1 Manufacturing Capacity Across Key Malaria Commodities: </w:t>
      </w:r>
    </w:p>
    <w:p w14:paraId="68586A15" w14:textId="34DA68C1"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lastRenderedPageBreak/>
        <w:t>The assessment revealed that Nigeria has developed substantial but underutilized manufacturing capacity across the four major malaria commodity categories; Artemisinin-based Combination Therapies (ACTs), Active Pharmaceutical Ingredients (APIs), Long-Lasting Insecticidal Nets (LLINs), and Rapid Diagnostic Test kits (RDTs). Across all sectors, installed technical capacity is significantly higher than current utilization levels, largely due to structural market, regulatory, and financing constraints</w:t>
      </w:r>
      <w:r w:rsidR="00D80D8D" w:rsidRPr="00C20947">
        <w:rPr>
          <w:rFonts w:ascii="Times" w:eastAsia="Sorts Mill Goudy" w:hAnsi="Times" w:cs="Times"/>
          <w:color w:val="000000" w:themeColor="text1"/>
        </w:rPr>
        <w:t xml:space="preserve"> (see Table 3)</w:t>
      </w:r>
      <w:r w:rsidRPr="00C20947">
        <w:rPr>
          <w:rFonts w:ascii="Times" w:eastAsia="Sorts Mill Goudy" w:hAnsi="Times" w:cs="Times"/>
          <w:color w:val="000000" w:themeColor="text1"/>
        </w:rPr>
        <w:t>.</w:t>
      </w:r>
    </w:p>
    <w:p w14:paraId="6B860F90" w14:textId="67E5FE70"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3.1.1 ACT Formulation and Finished-Dose Production: </w:t>
      </w:r>
      <w:r w:rsidRPr="00C20947">
        <w:rPr>
          <w:rFonts w:ascii="Times" w:eastAsia="Sorts Mill Goudy" w:hAnsi="Times" w:cs="Times"/>
          <w:color w:val="000000" w:themeColor="text1"/>
        </w:rPr>
        <w:t>Nigeria hosts 16 licensed local ACT manufacturers, most of whom possess functional production lines for Artemether–Lumefantrine (AL) and other formulations such as DHA–PQP and ASAQ</w:t>
      </w:r>
      <w:r w:rsidR="00FC12A4" w:rsidRPr="00C20947">
        <w:rPr>
          <w:rFonts w:ascii="Times" w:eastAsia="Sorts Mill Goudy" w:hAnsi="Times" w:cs="Times"/>
          <w:color w:val="000000" w:themeColor="text1"/>
        </w:rPr>
        <w:t xml:space="preserve"> (see Figure 1)</w:t>
      </w:r>
      <w:r w:rsidRPr="00C20947">
        <w:rPr>
          <w:rFonts w:ascii="Times" w:eastAsia="Sorts Mill Goudy" w:hAnsi="Times" w:cs="Times"/>
          <w:color w:val="000000" w:themeColor="text1"/>
        </w:rPr>
        <w:t>. Installed national ACT capacity exceeds 1.2 billion doses annually, far higher than average annual national demand. However, utilization rates remain low between 40% and 60% across most facilities due to procurement uncertainty, donor preferences for WHO-prequalified imports, and high dependency on imported APIs. Several manufacturers operate WHO-aligned GMP systems, but none has yet achieved WHO Prequalification (PQ), limiting access to donor-financed tenders.</w:t>
      </w:r>
    </w:p>
    <w:p w14:paraId="110FF2C3" w14:textId="77777777" w:rsidR="00357DE2" w:rsidRPr="00C20947" w:rsidRDefault="00FD0753" w:rsidP="00CD7C33">
      <w:pPr>
        <w:keepNext/>
        <w:spacing w:before="120" w:after="120" w:line="240" w:lineRule="auto"/>
        <w:rPr>
          <w:rFonts w:ascii="Times" w:hAnsi="Times" w:cs="Times"/>
          <w:color w:val="000000" w:themeColor="text1"/>
        </w:rPr>
      </w:pPr>
      <w:r w:rsidRPr="00C20947">
        <w:rPr>
          <w:rFonts w:ascii="Times" w:eastAsia="Sorts Mill Goudy" w:hAnsi="Times" w:cs="Times"/>
          <w:noProof/>
          <w:color w:val="000000" w:themeColor="text1"/>
        </w:rPr>
        <w:drawing>
          <wp:inline distT="0" distB="0" distL="0" distR="0" wp14:anchorId="64591BB8" wp14:editId="49893C22">
            <wp:extent cx="5943600" cy="1287780"/>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t="26455" b="13933"/>
                    <a:stretch>
                      <a:fillRect/>
                    </a:stretch>
                  </pic:blipFill>
                  <pic:spPr>
                    <a:xfrm>
                      <a:off x="0" y="0"/>
                      <a:ext cx="5943600" cy="1287780"/>
                    </a:xfrm>
                    <a:prstGeom prst="rect">
                      <a:avLst/>
                    </a:prstGeom>
                    <a:ln/>
                  </pic:spPr>
                </pic:pic>
              </a:graphicData>
            </a:graphic>
          </wp:inline>
        </w:drawing>
      </w:r>
    </w:p>
    <w:p w14:paraId="2BE0E873" w14:textId="14D23A9A" w:rsidR="00357DE2" w:rsidRPr="00C20947" w:rsidRDefault="00FD0753" w:rsidP="00B633A5">
      <w:pPr>
        <w:pBdr>
          <w:top w:val="nil"/>
          <w:left w:val="nil"/>
          <w:bottom w:val="nil"/>
          <w:right w:val="nil"/>
          <w:between w:val="nil"/>
        </w:pBdr>
        <w:spacing w:before="120" w:after="120" w:line="240" w:lineRule="auto"/>
        <w:rPr>
          <w:rFonts w:ascii="Times" w:eastAsia="Sorts Mill Goudy" w:hAnsi="Times" w:cs="Times"/>
          <w:i/>
          <w:iCs/>
          <w:color w:val="000000" w:themeColor="text1"/>
        </w:rPr>
      </w:pPr>
      <w:r w:rsidRPr="00C20947">
        <w:rPr>
          <w:rFonts w:ascii="Times" w:eastAsia="Sorts Mill Goudy" w:hAnsi="Times" w:cs="Times"/>
          <w:i/>
          <w:iCs/>
          <w:color w:val="000000" w:themeColor="text1"/>
        </w:rPr>
        <w:t xml:space="preserve">Figure </w:t>
      </w:r>
      <w:r w:rsidR="007D77E6" w:rsidRPr="00C20947">
        <w:rPr>
          <w:rFonts w:ascii="Times" w:eastAsia="Sorts Mill Goudy" w:hAnsi="Times" w:cs="Times"/>
          <w:i/>
          <w:iCs/>
          <w:color w:val="000000" w:themeColor="text1"/>
        </w:rPr>
        <w:t>1</w:t>
      </w:r>
      <w:r w:rsidRPr="00C20947">
        <w:rPr>
          <w:rFonts w:ascii="Times" w:eastAsia="Sorts Mill Goudy" w:hAnsi="Times" w:cs="Times"/>
          <w:i/>
          <w:iCs/>
          <w:color w:val="000000" w:themeColor="text1"/>
        </w:rPr>
        <w:t>: ACT production in Nigeria</w:t>
      </w:r>
    </w:p>
    <w:p w14:paraId="6E4253CC" w14:textId="2BE60FC4"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3.1.2 Active Pharmaceutical Ingredient (API) Manufacturing Readiness: </w:t>
      </w:r>
      <w:r w:rsidRPr="00C20947">
        <w:rPr>
          <w:rFonts w:ascii="Times" w:eastAsia="Sorts Mill Goudy" w:hAnsi="Times" w:cs="Times"/>
          <w:color w:val="000000" w:themeColor="text1"/>
        </w:rPr>
        <w:t>API production remains Nigeria’s weakest point in the malaria commodity value chain. The assessment found no fully operational artemisinin-based API manufacturing plants, and reliance on imports from Asia remains nearly absolute</w:t>
      </w:r>
      <w:r w:rsidR="000517E8" w:rsidRPr="00C20947">
        <w:rPr>
          <w:rFonts w:ascii="Times" w:eastAsia="Sorts Mill Goudy" w:hAnsi="Times" w:cs="Times"/>
          <w:color w:val="000000" w:themeColor="text1"/>
        </w:rPr>
        <w:t xml:space="preserve"> (see Figure 2)</w:t>
      </w:r>
      <w:r w:rsidRPr="00C20947">
        <w:rPr>
          <w:rFonts w:ascii="Times" w:eastAsia="Sorts Mill Goudy" w:hAnsi="Times" w:cs="Times"/>
          <w:color w:val="000000" w:themeColor="text1"/>
        </w:rPr>
        <w:t>. Nonetheless, two manufacturers demonstrated partial readiness to begin pilot-scale synthesis of selected APIs, supported by existing chemical engineering infrastructure. The primary constraints include high capital expenditure, lack of guaranteed long-term offtake, unstable forex conditions, and absence of domestic suppliers for key intermediates. API gaps directly affect pricing, production timelines, and the competitiveness of locally produced ACTs.</w:t>
      </w:r>
    </w:p>
    <w:p w14:paraId="37CC54FF" w14:textId="77777777" w:rsidR="00357DE2" w:rsidRPr="00C20947" w:rsidRDefault="00357DE2" w:rsidP="00B633A5">
      <w:pPr>
        <w:keepNext/>
        <w:spacing w:before="120" w:after="120" w:line="240" w:lineRule="auto"/>
        <w:rPr>
          <w:rFonts w:ascii="Times" w:hAnsi="Times" w:cs="Times"/>
          <w:color w:val="000000" w:themeColor="text1"/>
        </w:rPr>
      </w:pPr>
    </w:p>
    <w:p w14:paraId="34E58EB5" w14:textId="77777777" w:rsidR="00357DE2" w:rsidRPr="00C20947" w:rsidRDefault="00FD0753" w:rsidP="00CD7C33">
      <w:pPr>
        <w:keepNext/>
        <w:spacing w:before="120" w:after="120" w:line="240" w:lineRule="auto"/>
        <w:jc w:val="center"/>
        <w:rPr>
          <w:rFonts w:ascii="Times" w:hAnsi="Times" w:cs="Times"/>
          <w:color w:val="000000" w:themeColor="text1"/>
        </w:rPr>
      </w:pPr>
      <w:r w:rsidRPr="00C20947">
        <w:rPr>
          <w:rFonts w:ascii="Times" w:eastAsia="Sorts Mill Goudy" w:hAnsi="Times" w:cs="Times"/>
          <w:noProof/>
          <w:color w:val="000000" w:themeColor="text1"/>
        </w:rPr>
        <w:drawing>
          <wp:inline distT="0" distB="0" distL="0" distR="0" wp14:anchorId="7582FF3B" wp14:editId="3D867DC9">
            <wp:extent cx="5029200" cy="2680335"/>
            <wp:effectExtent l="0" t="0" r="0" b="5715"/>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t="17527" b="7383"/>
                    <a:stretch>
                      <a:fillRect/>
                    </a:stretch>
                  </pic:blipFill>
                  <pic:spPr>
                    <a:xfrm>
                      <a:off x="0" y="0"/>
                      <a:ext cx="5029814" cy="2680662"/>
                    </a:xfrm>
                    <a:prstGeom prst="rect">
                      <a:avLst/>
                    </a:prstGeom>
                    <a:ln/>
                  </pic:spPr>
                </pic:pic>
              </a:graphicData>
            </a:graphic>
          </wp:inline>
        </w:drawing>
      </w:r>
    </w:p>
    <w:p w14:paraId="65A087F3" w14:textId="1AD19562" w:rsidR="00357DE2" w:rsidRPr="00C20947" w:rsidRDefault="00FD0753" w:rsidP="00CD7C33">
      <w:pPr>
        <w:pBdr>
          <w:top w:val="nil"/>
          <w:left w:val="nil"/>
          <w:bottom w:val="nil"/>
          <w:right w:val="nil"/>
          <w:between w:val="nil"/>
        </w:pBdr>
        <w:spacing w:before="120" w:after="120" w:line="240" w:lineRule="auto"/>
        <w:jc w:val="center"/>
        <w:rPr>
          <w:rFonts w:ascii="Times" w:eastAsia="Sorts Mill Goudy" w:hAnsi="Times" w:cs="Times"/>
          <w:i/>
          <w:iCs/>
          <w:color w:val="000000" w:themeColor="text1"/>
        </w:rPr>
      </w:pPr>
      <w:r w:rsidRPr="00C20947">
        <w:rPr>
          <w:rFonts w:ascii="Times" w:eastAsia="Sorts Mill Goudy" w:hAnsi="Times" w:cs="Times"/>
          <w:i/>
          <w:iCs/>
          <w:color w:val="000000" w:themeColor="text1"/>
        </w:rPr>
        <w:t xml:space="preserve">Figure </w:t>
      </w:r>
      <w:r w:rsidR="00987911" w:rsidRPr="00C20947">
        <w:rPr>
          <w:rFonts w:ascii="Times" w:eastAsia="Sorts Mill Goudy" w:hAnsi="Times" w:cs="Times"/>
          <w:i/>
          <w:iCs/>
          <w:color w:val="000000" w:themeColor="text1"/>
        </w:rPr>
        <w:t>2</w:t>
      </w:r>
      <w:r w:rsidRPr="00C20947">
        <w:rPr>
          <w:rFonts w:ascii="Times" w:eastAsia="Sorts Mill Goudy" w:hAnsi="Times" w:cs="Times"/>
          <w:i/>
          <w:iCs/>
          <w:color w:val="000000" w:themeColor="text1"/>
        </w:rPr>
        <w:t>: API gaps impact ACT production</w:t>
      </w:r>
    </w:p>
    <w:p w14:paraId="5A8C5915" w14:textId="77777777" w:rsidR="00D04EF7" w:rsidRPr="00C20947" w:rsidRDefault="00D04EF7" w:rsidP="00B633A5">
      <w:pPr>
        <w:spacing w:before="120" w:after="120" w:line="240" w:lineRule="auto"/>
        <w:jc w:val="both"/>
        <w:rPr>
          <w:rFonts w:ascii="Times" w:eastAsia="Sorts Mill Goudy" w:hAnsi="Times" w:cs="Times"/>
          <w:b/>
          <w:bCs/>
          <w:color w:val="000000" w:themeColor="text1"/>
        </w:rPr>
      </w:pPr>
    </w:p>
    <w:p w14:paraId="5542525E" w14:textId="788BCD36"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3.1.3 LLIN Manufacturing Capacity:</w:t>
      </w:r>
      <w:r w:rsidRPr="00C20947">
        <w:rPr>
          <w:rFonts w:ascii="Times" w:eastAsia="Sorts Mill Goudy" w:hAnsi="Times" w:cs="Times"/>
          <w:color w:val="000000" w:themeColor="text1"/>
        </w:rPr>
        <w:t xml:space="preserve"> </w:t>
      </w:r>
      <w:r w:rsidR="00D278A7" w:rsidRPr="00C20947">
        <w:rPr>
          <w:rFonts w:ascii="Times" w:eastAsia="Sorts Mill Goudy" w:hAnsi="Times" w:cs="Times"/>
          <w:color w:val="000000" w:themeColor="text1"/>
        </w:rPr>
        <w:t>The assessment reveals that l</w:t>
      </w:r>
      <w:r w:rsidRPr="00C20947">
        <w:rPr>
          <w:rFonts w:ascii="Times" w:eastAsia="Sorts Mill Goudy" w:hAnsi="Times" w:cs="Times"/>
          <w:color w:val="000000" w:themeColor="text1"/>
        </w:rPr>
        <w:t>ocal LLIN manufacturing capacity is emerging, with several Nigerian textile and polymer-processing companies demonstrating technical readiness to enter the market</w:t>
      </w:r>
      <w:r w:rsidR="00D278A7" w:rsidRPr="00C20947">
        <w:rPr>
          <w:rFonts w:ascii="Times" w:eastAsia="Sorts Mill Goudy" w:hAnsi="Times" w:cs="Times"/>
          <w:color w:val="000000" w:themeColor="text1"/>
        </w:rPr>
        <w:t xml:space="preserve"> (see Figure 3)</w:t>
      </w:r>
      <w:r w:rsidRPr="00C20947">
        <w:rPr>
          <w:rFonts w:ascii="Times" w:eastAsia="Sorts Mill Goudy" w:hAnsi="Times" w:cs="Times"/>
          <w:color w:val="000000" w:themeColor="text1"/>
        </w:rPr>
        <w:t>. Three companies possess partial infrastructure</w:t>
      </w:r>
      <w:r w:rsidR="00D278A7" w:rsidRPr="00C20947">
        <w:rPr>
          <w:rFonts w:ascii="Times" w:eastAsia="Sorts Mill Goudy" w:hAnsi="Times" w:cs="Times"/>
          <w:color w:val="000000" w:themeColor="text1"/>
        </w:rPr>
        <w:t xml:space="preserve"> </w:t>
      </w:r>
      <w:r w:rsidRPr="00C20947">
        <w:rPr>
          <w:rFonts w:ascii="Times" w:eastAsia="Sorts Mill Goudy" w:hAnsi="Times" w:cs="Times"/>
          <w:color w:val="000000" w:themeColor="text1"/>
        </w:rPr>
        <w:t>such as extrusion, knitting, or finishing lines that can be upgraded for full LLIN production. National LLIN demand is estimated at 30–40 million nets per year, but current domestic production is negligible, with nearly 100% of nets imported. The national roadmap proposes a phased transition from local assembly and packaging to full backward integration into polymer extrusion and insecticide coating between 2025 and 2028. Petrochemical giants such as Dangote and Indorama can supply polypropylene feedstock; however, specialized LLIN-grade polymers with specific UV and tensile-strength requirements are not yet manufactured locally. No Nigerian facility has achieved WHO PQ for LLINs, due primarily to limited access to accredited testing and entomology laboratories.</w:t>
      </w:r>
    </w:p>
    <w:p w14:paraId="6C5ED4E2" w14:textId="77777777" w:rsidR="00357DE2" w:rsidRPr="00C20947" w:rsidRDefault="00FD0753" w:rsidP="00CD7C33">
      <w:pPr>
        <w:keepNext/>
        <w:spacing w:before="120" w:after="120" w:line="240" w:lineRule="auto"/>
        <w:jc w:val="center"/>
        <w:rPr>
          <w:rFonts w:ascii="Times" w:hAnsi="Times" w:cs="Times"/>
          <w:color w:val="000000" w:themeColor="text1"/>
        </w:rPr>
      </w:pPr>
      <w:r w:rsidRPr="00C20947">
        <w:rPr>
          <w:rFonts w:ascii="Times" w:eastAsia="Sorts Mill Goudy" w:hAnsi="Times" w:cs="Times"/>
          <w:noProof/>
          <w:color w:val="000000" w:themeColor="text1"/>
        </w:rPr>
        <w:drawing>
          <wp:inline distT="0" distB="0" distL="0" distR="0" wp14:anchorId="6B944B87" wp14:editId="33226D22">
            <wp:extent cx="3832860" cy="2223770"/>
            <wp:effectExtent l="0" t="0" r="0" b="508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22533" b="7732"/>
                    <a:stretch>
                      <a:fillRect/>
                    </a:stretch>
                  </pic:blipFill>
                  <pic:spPr>
                    <a:xfrm>
                      <a:off x="0" y="0"/>
                      <a:ext cx="3851772" cy="2234742"/>
                    </a:xfrm>
                    <a:prstGeom prst="rect">
                      <a:avLst/>
                    </a:prstGeom>
                    <a:ln/>
                  </pic:spPr>
                </pic:pic>
              </a:graphicData>
            </a:graphic>
          </wp:inline>
        </w:drawing>
      </w:r>
    </w:p>
    <w:p w14:paraId="0D19E228" w14:textId="264C8B94" w:rsidR="00357DE2" w:rsidRPr="00C20947" w:rsidRDefault="00FD0753" w:rsidP="00CD7C33">
      <w:pPr>
        <w:pBdr>
          <w:top w:val="nil"/>
          <w:left w:val="nil"/>
          <w:bottom w:val="nil"/>
          <w:right w:val="nil"/>
          <w:between w:val="nil"/>
        </w:pBdr>
        <w:spacing w:before="120" w:after="120" w:line="240" w:lineRule="auto"/>
        <w:jc w:val="center"/>
        <w:rPr>
          <w:rFonts w:ascii="Times" w:eastAsia="Sorts Mill Goudy" w:hAnsi="Times" w:cs="Times"/>
          <w:i/>
          <w:iCs/>
          <w:color w:val="000000" w:themeColor="text1"/>
        </w:rPr>
      </w:pPr>
      <w:r w:rsidRPr="00C20947">
        <w:rPr>
          <w:rFonts w:ascii="Times" w:eastAsia="Sorts Mill Goudy" w:hAnsi="Times" w:cs="Times"/>
          <w:i/>
          <w:iCs/>
          <w:color w:val="000000" w:themeColor="text1"/>
        </w:rPr>
        <w:t xml:space="preserve">Figure </w:t>
      </w:r>
      <w:r w:rsidR="00D278A7" w:rsidRPr="00C20947">
        <w:rPr>
          <w:rFonts w:ascii="Times" w:eastAsia="Sorts Mill Goudy" w:hAnsi="Times" w:cs="Times"/>
          <w:i/>
          <w:iCs/>
          <w:color w:val="000000" w:themeColor="text1"/>
        </w:rPr>
        <w:t>3</w:t>
      </w:r>
      <w:r w:rsidRPr="00C20947">
        <w:rPr>
          <w:rFonts w:ascii="Times" w:eastAsia="Sorts Mill Goudy" w:hAnsi="Times" w:cs="Times"/>
          <w:i/>
          <w:iCs/>
          <w:color w:val="000000" w:themeColor="text1"/>
        </w:rPr>
        <w:t>: LLIN production capacity in Nigeria</w:t>
      </w:r>
    </w:p>
    <w:p w14:paraId="3505DC58" w14:textId="77777777" w:rsidR="00D04EF7" w:rsidRPr="00C20947" w:rsidRDefault="00D04EF7" w:rsidP="00B633A5">
      <w:pPr>
        <w:spacing w:before="120" w:after="120" w:line="240" w:lineRule="auto"/>
        <w:jc w:val="both"/>
        <w:rPr>
          <w:rFonts w:ascii="Times" w:eastAsia="Sorts Mill Goudy" w:hAnsi="Times" w:cs="Times"/>
          <w:b/>
          <w:bCs/>
          <w:color w:val="000000" w:themeColor="text1"/>
        </w:rPr>
      </w:pPr>
    </w:p>
    <w:p w14:paraId="3CE2DE35" w14:textId="078BC97D"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lastRenderedPageBreak/>
        <w:t xml:space="preserve">3.1.4 RDT Manufacturing Capacity: </w:t>
      </w:r>
      <w:r w:rsidRPr="00C20947">
        <w:rPr>
          <w:rFonts w:ascii="Times" w:eastAsia="Sorts Mill Goudy" w:hAnsi="Times" w:cs="Times"/>
          <w:color w:val="000000" w:themeColor="text1"/>
        </w:rPr>
        <w:t>RDT manufacturing shows the fastest growth trajectory among all commodity groups</w:t>
      </w:r>
      <w:r w:rsidR="0035570E" w:rsidRPr="00C20947">
        <w:rPr>
          <w:rFonts w:ascii="Times" w:eastAsia="Sorts Mill Goudy" w:hAnsi="Times" w:cs="Times"/>
          <w:color w:val="000000" w:themeColor="text1"/>
        </w:rPr>
        <w:t xml:space="preserve"> (see Figure 4)</w:t>
      </w:r>
      <w:r w:rsidRPr="00C20947">
        <w:rPr>
          <w:rFonts w:ascii="Times" w:eastAsia="Sorts Mill Goudy" w:hAnsi="Times" w:cs="Times"/>
          <w:color w:val="000000" w:themeColor="text1"/>
        </w:rPr>
        <w:t>. Seven companies expressed intent or readiness to manufacture malaria RDTs, with three facilities already completed or nearing completion. Combined installed capacity is projected to exceed 470 million test kits per year by 2026, surpassing Nigeria’s domestic demand. Two manufacturers have obtained ISO 13485 certification, and at least one is advancing through the WHO Expert Review Panel for Diagnostics (ERPD). Several facilities now possess end-to-end lateral flow assay capabilities, including membrane cutting, antibody coating, strip assembly, desiccant integration, and packaging. However, key input membranes, antibodies, conjugates, nitrocellulose sheets remain entirely imported, introducing supply delays and cost vulnerability. Full WHO PQ has not yet been achieved by any Nigerian RDT producer, reflecting documentation burdens and the absence of accredited national reference laboratories.</w:t>
      </w:r>
    </w:p>
    <w:p w14:paraId="6673609B" w14:textId="77777777" w:rsidR="00357DE2" w:rsidRPr="00C20947" w:rsidRDefault="00FD0753" w:rsidP="00CD7C33">
      <w:pPr>
        <w:keepNext/>
        <w:spacing w:before="120" w:after="120" w:line="240" w:lineRule="auto"/>
        <w:jc w:val="center"/>
        <w:rPr>
          <w:rFonts w:ascii="Times" w:hAnsi="Times" w:cs="Times"/>
          <w:color w:val="000000" w:themeColor="text1"/>
        </w:rPr>
      </w:pPr>
      <w:r w:rsidRPr="00C20947">
        <w:rPr>
          <w:rFonts w:ascii="Times" w:eastAsia="Sorts Mill Goudy" w:hAnsi="Times" w:cs="Times"/>
          <w:noProof/>
          <w:color w:val="000000" w:themeColor="text1"/>
        </w:rPr>
        <w:drawing>
          <wp:inline distT="0" distB="0" distL="0" distR="0" wp14:anchorId="4AC18B31" wp14:editId="7E05A878">
            <wp:extent cx="5049371" cy="2057400"/>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t="16213" b="7222"/>
                    <a:stretch>
                      <a:fillRect/>
                    </a:stretch>
                  </pic:blipFill>
                  <pic:spPr>
                    <a:xfrm>
                      <a:off x="0" y="0"/>
                      <a:ext cx="5053029" cy="2058891"/>
                    </a:xfrm>
                    <a:prstGeom prst="rect">
                      <a:avLst/>
                    </a:prstGeom>
                    <a:ln/>
                  </pic:spPr>
                </pic:pic>
              </a:graphicData>
            </a:graphic>
          </wp:inline>
        </w:drawing>
      </w:r>
    </w:p>
    <w:p w14:paraId="734E13D7" w14:textId="61936316" w:rsidR="00357DE2" w:rsidRPr="00C20947" w:rsidRDefault="00FD0753" w:rsidP="00CD7C33">
      <w:pPr>
        <w:pBdr>
          <w:top w:val="nil"/>
          <w:left w:val="nil"/>
          <w:bottom w:val="nil"/>
          <w:right w:val="nil"/>
          <w:between w:val="nil"/>
        </w:pBdr>
        <w:spacing w:before="120" w:after="120" w:line="240" w:lineRule="auto"/>
        <w:jc w:val="center"/>
        <w:rPr>
          <w:rFonts w:ascii="Times" w:eastAsia="Sorts Mill Goudy" w:hAnsi="Times" w:cs="Times"/>
          <w:i/>
          <w:iCs/>
          <w:color w:val="000000" w:themeColor="text1"/>
        </w:rPr>
      </w:pPr>
      <w:r w:rsidRPr="00C20947">
        <w:rPr>
          <w:rFonts w:ascii="Times" w:eastAsia="Sorts Mill Goudy" w:hAnsi="Times" w:cs="Times"/>
          <w:i/>
          <w:iCs/>
          <w:color w:val="000000" w:themeColor="text1"/>
        </w:rPr>
        <w:t xml:space="preserve">Figure </w:t>
      </w:r>
      <w:r w:rsidR="0035570E" w:rsidRPr="00C20947">
        <w:rPr>
          <w:rFonts w:ascii="Times" w:eastAsia="Sorts Mill Goudy" w:hAnsi="Times" w:cs="Times"/>
          <w:i/>
          <w:iCs/>
          <w:color w:val="000000" w:themeColor="text1"/>
        </w:rPr>
        <w:t>4</w:t>
      </w:r>
      <w:r w:rsidRPr="00C20947">
        <w:rPr>
          <w:rFonts w:ascii="Times" w:eastAsia="Sorts Mill Goudy" w:hAnsi="Times" w:cs="Times"/>
          <w:i/>
          <w:iCs/>
          <w:color w:val="000000" w:themeColor="text1"/>
        </w:rPr>
        <w:t>: RDT manufacturing capacity in Nigeria</w:t>
      </w:r>
    </w:p>
    <w:p w14:paraId="155C10C6" w14:textId="77777777" w:rsidR="00357DE2" w:rsidRPr="00C20947" w:rsidRDefault="00357DE2" w:rsidP="00B633A5">
      <w:pPr>
        <w:spacing w:before="120" w:after="120" w:line="240" w:lineRule="auto"/>
        <w:ind w:firstLine="720"/>
        <w:jc w:val="both"/>
        <w:rPr>
          <w:rFonts w:ascii="Times" w:eastAsia="Sorts Mill Goudy" w:hAnsi="Times" w:cs="Times"/>
          <w:color w:val="000000" w:themeColor="text1"/>
        </w:rPr>
      </w:pPr>
    </w:p>
    <w:p w14:paraId="11CD7F09" w14:textId="77777777" w:rsidR="00357DE2" w:rsidRPr="00C20947" w:rsidRDefault="00FD0753"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3.2 Market Access and Procurement Constraints</w:t>
      </w:r>
    </w:p>
    <w:p w14:paraId="138F3B96" w14:textId="379E5EF6"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The analysis showed that market access remains the most significant barrier to the scale-up and sustained utilization of Nigeria’s local manufacturing capacity for malaria commodities. Across ACTs, LLINs, RDTs, and APIs, procurement processes were found to be fragmented, unpredictable, and heavily skewed toward internationally prequalified imports, despite increasing domestic capacity</w:t>
      </w:r>
      <w:r w:rsidR="00EA19B0" w:rsidRPr="00C20947">
        <w:rPr>
          <w:rFonts w:ascii="Times" w:eastAsia="Sorts Mill Goudy" w:hAnsi="Times" w:cs="Times"/>
          <w:color w:val="000000" w:themeColor="text1"/>
        </w:rPr>
        <w:t xml:space="preserve"> (see Table 4)</w:t>
      </w:r>
      <w:r w:rsidRPr="00C20947">
        <w:rPr>
          <w:rFonts w:ascii="Times" w:eastAsia="Sorts Mill Goudy" w:hAnsi="Times" w:cs="Times"/>
          <w:color w:val="000000" w:themeColor="text1"/>
        </w:rPr>
        <w:t>.</w:t>
      </w:r>
    </w:p>
    <w:p w14:paraId="78EDAF9F"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3.2.1 Donor-Dominated Procurement Landscape: </w:t>
      </w:r>
      <w:r w:rsidRPr="00C20947">
        <w:rPr>
          <w:rFonts w:ascii="Times" w:eastAsia="Sorts Mill Goudy" w:hAnsi="Times" w:cs="Times"/>
          <w:color w:val="000000" w:themeColor="text1"/>
        </w:rPr>
        <w:t>Donor-financed programs, including the Global Fund, the U.S. President’s Malaria Initiative (PMI), UNICEF, and the World Bank, account for the majority of national procurement for ACTs, LLINs, and RDTs. Because donor procurement frameworks require WHO Prequalification (PQ), and no Nigerian manufacturer has yet achieved PQ for ACTs, LLINs, or RDTs, domestic producers are structurally excluded from the largest and most stable source of demand. As a result, installed capacity remains underused, even in companies that hold NAFDAC approvals, ISO 13485 certification, or GMP compliance.</w:t>
      </w:r>
    </w:p>
    <w:p w14:paraId="51776790"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3.2.2 Fragmented and Irregular Government Procurement: </w:t>
      </w:r>
      <w:r w:rsidRPr="00C20947">
        <w:rPr>
          <w:rFonts w:ascii="Times" w:eastAsia="Sorts Mill Goudy" w:hAnsi="Times" w:cs="Times"/>
          <w:color w:val="000000" w:themeColor="text1"/>
        </w:rPr>
        <w:t>Federal and state procurement cycles were found to be highly irregular, lacking predictable timelines, harmonized specifications, or consolidated national tenders. State-level purchasing through Drug Management Agencies (DMAs) frequently relies on small-volume, short-term tenders that do not support efficient production planning. Delayed payments on fulfilled orders were also reported as a recurring barrier that limits manufacturers’ working capital and inhibits scale-up.</w:t>
      </w:r>
    </w:p>
    <w:p w14:paraId="6CCCE271"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3.2.3 Weak Local Content Enforcement: </w:t>
      </w:r>
      <w:r w:rsidRPr="00C20947">
        <w:rPr>
          <w:rFonts w:ascii="Times" w:eastAsia="Sorts Mill Goudy" w:hAnsi="Times" w:cs="Times"/>
          <w:color w:val="000000" w:themeColor="text1"/>
        </w:rPr>
        <w:t xml:space="preserve">Although several policies reference preferences for locally manufactured health commodities, enforcement remains weak. None of the procurement entities evaluated had implemented clear local-content thresholds, procurement scoring incentives, or monitoring systems. </w:t>
      </w:r>
      <w:r w:rsidRPr="00C20947">
        <w:rPr>
          <w:rFonts w:ascii="Times" w:eastAsia="Sorts Mill Goudy" w:hAnsi="Times" w:cs="Times"/>
          <w:color w:val="000000" w:themeColor="text1"/>
        </w:rPr>
        <w:lastRenderedPageBreak/>
        <w:t>As a result, domestic manufacturers reported difficulty in competing with imported products, even when they meet required national regulatory standards.</w:t>
      </w:r>
    </w:p>
    <w:p w14:paraId="0B17EECF"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3.2.4 Limited Market Visibility and Demand Forecasting: </w:t>
      </w:r>
      <w:r w:rsidRPr="00C20947">
        <w:rPr>
          <w:rFonts w:ascii="Times" w:eastAsia="Sorts Mill Goudy" w:hAnsi="Times" w:cs="Times"/>
          <w:color w:val="000000" w:themeColor="text1"/>
        </w:rPr>
        <w:t>Manufacturers consistently reported poor visibility of upcoming tenders, donor pipeline plans, or national consumption forecasts. The absence of a centralized demand forecasting system made it difficult for companies to plan investments, secure raw materials, or schedule production. This information asymmetry further exacerbates excess capacity and hinders operational efficiency.</w:t>
      </w:r>
    </w:p>
    <w:p w14:paraId="303121F0"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3.2.5 Barriers to Regional Market Entry: </w:t>
      </w:r>
      <w:r w:rsidRPr="00C20947">
        <w:rPr>
          <w:rFonts w:ascii="Times" w:eastAsia="Sorts Mill Goudy" w:hAnsi="Times" w:cs="Times"/>
          <w:color w:val="000000" w:themeColor="text1"/>
        </w:rPr>
        <w:t>Although Nigeria is positioned to supply malaria commodities to ECOWAS countries, the assessment found that duplicative product registration requirements, lack of recognition of NAFDAC approvals, and limited export financing contribute to low regional penetration. Without WHO PQ, manufacturers remain ineligible for most regional pooled procurement mechanisms, limiting export opportunities despite having sizable installed capacity.</w:t>
      </w:r>
    </w:p>
    <w:p w14:paraId="5F691F56" w14:textId="77777777" w:rsidR="00D04EF7" w:rsidRPr="00C20947" w:rsidRDefault="00D04EF7" w:rsidP="00B633A5">
      <w:pPr>
        <w:pStyle w:val="ListParagraph"/>
        <w:numPr>
          <w:ilvl w:val="0"/>
          <w:numId w:val="2"/>
        </w:numPr>
        <w:pBdr>
          <w:top w:val="nil"/>
          <w:left w:val="nil"/>
          <w:bottom w:val="nil"/>
          <w:right w:val="nil"/>
          <w:between w:val="nil"/>
        </w:pBdr>
        <w:spacing w:before="120" w:after="120" w:line="240" w:lineRule="auto"/>
        <w:contextualSpacing w:val="0"/>
        <w:jc w:val="both"/>
        <w:rPr>
          <w:rFonts w:ascii="Times" w:eastAsia="Sorts Mill Goudy" w:hAnsi="Times" w:cs="Times"/>
          <w:b/>
          <w:bCs/>
          <w:vanish/>
          <w:color w:val="000000" w:themeColor="text1"/>
        </w:rPr>
      </w:pPr>
    </w:p>
    <w:p w14:paraId="5EE4010E" w14:textId="77777777" w:rsidR="00D04EF7" w:rsidRPr="00C20947" w:rsidRDefault="00D04EF7" w:rsidP="00B633A5">
      <w:pPr>
        <w:pStyle w:val="ListParagraph"/>
        <w:numPr>
          <w:ilvl w:val="0"/>
          <w:numId w:val="2"/>
        </w:numPr>
        <w:pBdr>
          <w:top w:val="nil"/>
          <w:left w:val="nil"/>
          <w:bottom w:val="nil"/>
          <w:right w:val="nil"/>
          <w:between w:val="nil"/>
        </w:pBdr>
        <w:spacing w:before="120" w:after="120" w:line="240" w:lineRule="auto"/>
        <w:contextualSpacing w:val="0"/>
        <w:jc w:val="both"/>
        <w:rPr>
          <w:rFonts w:ascii="Times" w:eastAsia="Sorts Mill Goudy" w:hAnsi="Times" w:cs="Times"/>
          <w:b/>
          <w:bCs/>
          <w:vanish/>
          <w:color w:val="000000" w:themeColor="text1"/>
        </w:rPr>
      </w:pPr>
    </w:p>
    <w:p w14:paraId="6C09559E" w14:textId="77777777" w:rsidR="00D04EF7" w:rsidRPr="00C20947" w:rsidRDefault="00D04EF7" w:rsidP="00B633A5">
      <w:pPr>
        <w:pStyle w:val="ListParagraph"/>
        <w:numPr>
          <w:ilvl w:val="0"/>
          <w:numId w:val="2"/>
        </w:numPr>
        <w:pBdr>
          <w:top w:val="nil"/>
          <w:left w:val="nil"/>
          <w:bottom w:val="nil"/>
          <w:right w:val="nil"/>
          <w:between w:val="nil"/>
        </w:pBdr>
        <w:spacing w:before="120" w:after="120" w:line="240" w:lineRule="auto"/>
        <w:contextualSpacing w:val="0"/>
        <w:jc w:val="both"/>
        <w:rPr>
          <w:rFonts w:ascii="Times" w:eastAsia="Sorts Mill Goudy" w:hAnsi="Times" w:cs="Times"/>
          <w:b/>
          <w:bCs/>
          <w:vanish/>
          <w:color w:val="000000" w:themeColor="text1"/>
        </w:rPr>
      </w:pPr>
    </w:p>
    <w:p w14:paraId="3D267EF1" w14:textId="77777777" w:rsidR="00357DE2" w:rsidRPr="00C20947" w:rsidRDefault="00FD0753" w:rsidP="00B633A5">
      <w:pPr>
        <w:numPr>
          <w:ilvl w:val="1"/>
          <w:numId w:val="2"/>
        </w:numPr>
        <w:pBdr>
          <w:top w:val="nil"/>
          <w:left w:val="nil"/>
          <w:bottom w:val="nil"/>
          <w:right w:val="nil"/>
          <w:between w:val="nil"/>
        </w:pBdr>
        <w:spacing w:before="120" w:after="120" w:line="240" w:lineRule="auto"/>
        <w:ind w:left="360"/>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Regulatory Readiness and Quality Assurance Capacity</w:t>
      </w:r>
    </w:p>
    <w:p w14:paraId="08E0B6A6" w14:textId="7C07D520"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 xml:space="preserve">The assessment revealed substantial variation in regulatory compliance and quality assurance readiness across Nigeria’s malaria commodity manufacturing ecosystem. Overall, </w:t>
      </w:r>
      <w:r w:rsidR="0097188D" w:rsidRPr="00C20947">
        <w:rPr>
          <w:rFonts w:ascii="Times" w:eastAsia="Sorts Mill Goudy" w:hAnsi="Times" w:cs="Times"/>
          <w:color w:val="000000" w:themeColor="text1"/>
        </w:rPr>
        <w:t xml:space="preserve">it showed </w:t>
      </w:r>
      <w:r w:rsidRPr="00C20947">
        <w:rPr>
          <w:rFonts w:ascii="Times" w:eastAsia="Sorts Mill Goudy" w:hAnsi="Times" w:cs="Times"/>
          <w:color w:val="000000" w:themeColor="text1"/>
        </w:rPr>
        <w:t>regulatory maturity at the national level has improved following NAFDAC’s attainment of WHO Global Benchmarking Tool (GBT) Maturity Level 3; however, manufacturer-level compliance remains uneven, with only a minority meeting the requirements necessary for WHO Prequalification (PQ) or international donor procurement</w:t>
      </w:r>
      <w:r w:rsidR="00367939" w:rsidRPr="00C20947">
        <w:rPr>
          <w:rFonts w:ascii="Times" w:eastAsia="Sorts Mill Goudy" w:hAnsi="Times" w:cs="Times"/>
          <w:color w:val="000000" w:themeColor="text1"/>
        </w:rPr>
        <w:t xml:space="preserve"> (see Table </w:t>
      </w:r>
      <w:r w:rsidR="00061524" w:rsidRPr="00C20947">
        <w:rPr>
          <w:rFonts w:ascii="Times" w:eastAsia="Sorts Mill Goudy" w:hAnsi="Times" w:cs="Times"/>
          <w:color w:val="000000" w:themeColor="text1"/>
        </w:rPr>
        <w:t>5&amp; 6</w:t>
      </w:r>
      <w:r w:rsidR="00367939" w:rsidRPr="00C20947">
        <w:rPr>
          <w:rFonts w:ascii="Times" w:eastAsia="Sorts Mill Goudy" w:hAnsi="Times" w:cs="Times"/>
          <w:color w:val="000000" w:themeColor="text1"/>
        </w:rPr>
        <w:t>)</w:t>
      </w:r>
      <w:r w:rsidRPr="00C20947">
        <w:rPr>
          <w:rFonts w:ascii="Times" w:eastAsia="Sorts Mill Goudy" w:hAnsi="Times" w:cs="Times"/>
          <w:color w:val="000000" w:themeColor="text1"/>
        </w:rPr>
        <w:t>.</w:t>
      </w:r>
    </w:p>
    <w:p w14:paraId="2FCBC2A4" w14:textId="3CDAEDF3"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3.3.1 Regulatory Certification Status Across Manufacturers: </w:t>
      </w:r>
      <w:r w:rsidRPr="00C20947">
        <w:rPr>
          <w:rFonts w:ascii="Times" w:eastAsia="Sorts Mill Goudy" w:hAnsi="Times" w:cs="Times"/>
          <w:color w:val="000000" w:themeColor="text1"/>
        </w:rPr>
        <w:t>Across the commodity groups assessed, 94.1% of ACT manufacturers held valid NAFDAC Good Manufacturing Practice (GMP) certification, and all reported routine GMP inspections within the past 24 months</w:t>
      </w:r>
      <w:r w:rsidR="00367939" w:rsidRPr="00C20947">
        <w:rPr>
          <w:rFonts w:ascii="Times" w:eastAsia="Sorts Mill Goudy" w:hAnsi="Times" w:cs="Times"/>
          <w:color w:val="000000" w:themeColor="text1"/>
        </w:rPr>
        <w:t xml:space="preserve"> (see Figure 5)</w:t>
      </w:r>
      <w:r w:rsidRPr="00C20947">
        <w:rPr>
          <w:rFonts w:ascii="Times" w:eastAsia="Sorts Mill Goudy" w:hAnsi="Times" w:cs="Times"/>
          <w:color w:val="000000" w:themeColor="text1"/>
        </w:rPr>
        <w:t>. In contrast, no facility across LLINs, RDTs, or APIs had achieved WHO PQ at the time of assessment. Only 2 RDT manufacturers and 2 LLIN manufacturers had initiated WHO PQ or Expert Review Panel (ERPD) processes, largely at the documentation review or pre-assessment stage.</w:t>
      </w:r>
    </w:p>
    <w:p w14:paraId="36F6DA3B" w14:textId="0DAEB6F1"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 xml:space="preserve">ISO certification levels </w:t>
      </w:r>
      <w:r w:rsidR="00EA19B0" w:rsidRPr="00C20947">
        <w:rPr>
          <w:rFonts w:ascii="Times" w:eastAsia="Sorts Mill Goudy" w:hAnsi="Times" w:cs="Times"/>
          <w:color w:val="000000" w:themeColor="text1"/>
        </w:rPr>
        <w:t>differ</w:t>
      </w:r>
      <w:r w:rsidRPr="00C20947">
        <w:rPr>
          <w:rFonts w:ascii="Times" w:eastAsia="Sorts Mill Goudy" w:hAnsi="Times" w:cs="Times"/>
          <w:color w:val="000000" w:themeColor="text1"/>
        </w:rPr>
        <w:t xml:space="preserve"> by commodity. Two RDT manufacturers had obtained ISO 13485:2016 certification, while most ACT producers possessed ISO 9001. No LLIN facility demonstrated full compliance with ISO 9001 or ISO 13485, and none of the assessed manufacturers met ICH Q7 standards required for API production.</w:t>
      </w:r>
    </w:p>
    <w:p w14:paraId="371EDC4E" w14:textId="77777777" w:rsidR="00357DE2" w:rsidRPr="00C20947" w:rsidRDefault="00FD0753" w:rsidP="00CD7C33">
      <w:pPr>
        <w:keepNext/>
        <w:spacing w:before="120" w:after="120" w:line="240" w:lineRule="auto"/>
        <w:jc w:val="center"/>
        <w:rPr>
          <w:rFonts w:ascii="Times" w:hAnsi="Times" w:cs="Times"/>
          <w:color w:val="000000" w:themeColor="text1"/>
        </w:rPr>
      </w:pPr>
      <w:r w:rsidRPr="00C20947">
        <w:rPr>
          <w:rFonts w:ascii="Times" w:eastAsia="Sorts Mill Goudy" w:hAnsi="Times" w:cs="Times"/>
          <w:noProof/>
          <w:color w:val="000000" w:themeColor="text1"/>
        </w:rPr>
        <w:lastRenderedPageBreak/>
        <w:drawing>
          <wp:inline distT="0" distB="0" distL="0" distR="0" wp14:anchorId="3A1D0359" wp14:editId="06163BA3">
            <wp:extent cx="5030839" cy="2896755"/>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6019" b="17739"/>
                    <a:stretch>
                      <a:fillRect/>
                    </a:stretch>
                  </pic:blipFill>
                  <pic:spPr>
                    <a:xfrm>
                      <a:off x="0" y="0"/>
                      <a:ext cx="5030839" cy="2896755"/>
                    </a:xfrm>
                    <a:prstGeom prst="rect">
                      <a:avLst/>
                    </a:prstGeom>
                    <a:ln/>
                  </pic:spPr>
                </pic:pic>
              </a:graphicData>
            </a:graphic>
          </wp:inline>
        </w:drawing>
      </w:r>
    </w:p>
    <w:p w14:paraId="35F67221" w14:textId="02ACFAA5" w:rsidR="00357DE2" w:rsidRPr="00C20947" w:rsidRDefault="00FD0753" w:rsidP="00CD7C33">
      <w:pPr>
        <w:pBdr>
          <w:top w:val="nil"/>
          <w:left w:val="nil"/>
          <w:bottom w:val="nil"/>
          <w:right w:val="nil"/>
          <w:between w:val="nil"/>
        </w:pBdr>
        <w:spacing w:before="120" w:after="120" w:line="240" w:lineRule="auto"/>
        <w:jc w:val="center"/>
        <w:rPr>
          <w:rFonts w:ascii="Times" w:eastAsia="Sorts Mill Goudy" w:hAnsi="Times" w:cs="Times"/>
          <w:i/>
          <w:iCs/>
          <w:color w:val="000000" w:themeColor="text1"/>
        </w:rPr>
      </w:pPr>
      <w:r w:rsidRPr="00C20947">
        <w:rPr>
          <w:rFonts w:ascii="Times" w:eastAsia="Sorts Mill Goudy" w:hAnsi="Times" w:cs="Times"/>
          <w:i/>
          <w:iCs/>
          <w:color w:val="000000" w:themeColor="text1"/>
        </w:rPr>
        <w:t xml:space="preserve">Figure </w:t>
      </w:r>
      <w:r w:rsidR="00EA19B0" w:rsidRPr="00C20947">
        <w:rPr>
          <w:rFonts w:ascii="Times" w:eastAsia="Sorts Mill Goudy" w:hAnsi="Times" w:cs="Times"/>
          <w:i/>
          <w:iCs/>
          <w:color w:val="000000" w:themeColor="text1"/>
        </w:rPr>
        <w:t>5</w:t>
      </w:r>
      <w:r w:rsidRPr="00C20947">
        <w:rPr>
          <w:rFonts w:ascii="Times" w:eastAsia="Sorts Mill Goudy" w:hAnsi="Times" w:cs="Times"/>
          <w:i/>
          <w:iCs/>
          <w:color w:val="000000" w:themeColor="text1"/>
        </w:rPr>
        <w:t>: Regulatory readiness of ACT manufacturers</w:t>
      </w:r>
    </w:p>
    <w:p w14:paraId="4A853501" w14:textId="41183D2B"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3.3.2 Quality Management Systems (QMS) and QA/QC Infrastructure: </w:t>
      </w:r>
      <w:r w:rsidRPr="00C20947">
        <w:rPr>
          <w:rFonts w:ascii="Times" w:eastAsia="Sorts Mill Goudy" w:hAnsi="Times" w:cs="Times"/>
          <w:color w:val="000000" w:themeColor="text1"/>
        </w:rPr>
        <w:t>All assessed ACT manufacturers operated functional in-house QA/QC laboratories; however, fewer than 20% had internationally accredited testing capability. The majority relied on basic chemical analysis equipment such as HPLCs, dissolution testers, and disintegration units but lacked internationally accredited reference laboratories for method validation.</w:t>
      </w:r>
    </w:p>
    <w:p w14:paraId="734F391B"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For RDTs, only two facilities had semi-automated QC lines and maintained adequate environmental controls. None possessed the capacity to conduct full lot-release validation—requiring external evaluation for sensitivity and specificity testing. LLIN manufacturers showed substantial QA gaps: no facility had an ISO-certified quality laboratory, and none could conduct polymer-strength tests, UV degradation analysis, or insecticide retention assays in line with WHO PQ requirements.</w:t>
      </w:r>
    </w:p>
    <w:p w14:paraId="414EC788"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National QC infrastructure remains limited. Only one laboratory in Nigeria is WHO-prequalified, and no entomology laboratory meets WHO cone/tunnel testing standards required for LLIN PQ. This gap directly constrains manufacturers, who must outsource PQ-mandated tests to laboratories in East Africa, Europe, or Asia, raising costs and lengthening time-to-market by 6–18 months.</w:t>
      </w:r>
    </w:p>
    <w:p w14:paraId="06497684"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3.3.3 Technical Documentation and PQ Readiness: </w:t>
      </w:r>
      <w:r w:rsidRPr="00C20947">
        <w:rPr>
          <w:rFonts w:ascii="Times" w:eastAsia="Sorts Mill Goudy" w:hAnsi="Times" w:cs="Times"/>
          <w:color w:val="000000" w:themeColor="text1"/>
        </w:rPr>
        <w:t>PQ readiness remains low across commodities. Only 29.4% of ACT firms had initiated PQ documentation within the last three years, while RDT and LLIN firms demonstrated early but incomplete progress. Approximately 80% of assessed companies reported “partial readiness” for CTD-compliant regulatory dossiers. Across all commodity types, firms consistently cited gaps in: stability studies, design history files (for RDTs), entomology and physical durability data (for LLINs), and validated analytical methods (for ACTs and APIs).</w:t>
      </w:r>
    </w:p>
    <w:p w14:paraId="4B544BB7"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For LLINs, the absence of accredited domestic testing capability was the single largest barrier identified, preventing completion of bioefficacy and durability datasets required for PQ.</w:t>
      </w:r>
    </w:p>
    <w:p w14:paraId="26A7C7E6" w14:textId="77777777" w:rsidR="00357DE2" w:rsidRPr="00C20947" w:rsidRDefault="00FD0753"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3.4 Financing and Investment Landscape</w:t>
      </w:r>
    </w:p>
    <w:p w14:paraId="0DAC8F5C" w14:textId="2DA6DA0D"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The financing environment for local manufacturing of malaria commodities in Nigeria is marked by structural weaknesses that significantly constrain firms’ ability to expand production capacity, upgrade quality-management systems, pursue WHO Prequalification (PQ), or compete with established global suppliers</w:t>
      </w:r>
      <w:r w:rsidR="001038E2" w:rsidRPr="00C20947">
        <w:rPr>
          <w:rFonts w:ascii="Times" w:eastAsia="Sorts Mill Goudy" w:hAnsi="Times" w:cs="Times"/>
          <w:color w:val="000000" w:themeColor="text1"/>
        </w:rPr>
        <w:t xml:space="preserve"> (see Table 7)</w:t>
      </w:r>
      <w:r w:rsidRPr="00C20947">
        <w:rPr>
          <w:rFonts w:ascii="Times" w:eastAsia="Sorts Mill Goudy" w:hAnsi="Times" w:cs="Times"/>
          <w:color w:val="000000" w:themeColor="text1"/>
        </w:rPr>
        <w:t xml:space="preserve">. Despite strong national policy emphasis on industrialization and increasing political attention to the localization agenda, manufacturers across ACTs, APIs, LLINs, and RDTs consistently </w:t>
      </w:r>
      <w:r w:rsidRPr="00C20947">
        <w:rPr>
          <w:rFonts w:ascii="Times" w:eastAsia="Sorts Mill Goudy" w:hAnsi="Times" w:cs="Times"/>
          <w:color w:val="000000" w:themeColor="text1"/>
        </w:rPr>
        <w:lastRenderedPageBreak/>
        <w:t>report that access to affordable and appropriately structured financing remains one of the most critical determinants of competitiveness.</w:t>
      </w:r>
    </w:p>
    <w:p w14:paraId="300476DE"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Across all commodity categories, most manufacturers rely predominantly on internal financing particularly retained earnings, personal capital, and incremental reinvestment from operations—rather than external long-term financing instruments. Commercial loans remain the most accessible external option, yet they are widely regarded as unsuitable for the capital-intensive nature of pharmaceutical, diagnostic, and vector-control manufacturing. Interest rates typically range from 18% to 25%, with repayment tenures often limited to two to three years. These conditions sharply contrast with the long investment horizons required for major plant upgrades, installation of automated production lines, or procurement of equipment needed for PQ-relevant quality-control functions. Manufacturers across the briefs emphasize that such credit terms effectively deter investment in modernization and scale-up, forcing firms into incremental, small-scale improvements rather than the transformative upgrades required for global competitiveness.</w:t>
      </w:r>
    </w:p>
    <w:p w14:paraId="3650F033"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Although national development finance institutions such as the Bank of Industry (BOI) and the Development Bank of Nigeria (DBN) offer dedicated windows for manufacturing, their uptake remains uneven across commodity groups. ACT and RDT manufacturers appear to have comparatively better access to BOI facilities, though they still report lengthy approval processes, high collateral requirements, and limits in loan size relative to sectoral needs. For LLIN and API manufacturers, the structural mismatch between financing instruments and project requirements is far more pronounced. LLIN production requires substantial upfront investment in extrusion, weaving, and polymer-coating lines often exceeding USD 10–15 million for a single facility upgrade, while API manufacturing demands even larger capital investments for reactors, utilities, effluent-treatment systems, and GMP-grade analytical laboratories. None of the existing financing mechanisms are designed to support investments of this magnitude, and as a result, manufacturers rely heavily on incremental, self-funded investments that slow progress and maintain reliance on imported products.</w:t>
      </w:r>
    </w:p>
    <w:p w14:paraId="5A1BAE4A"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The assessment further highlights a persistent gap between donor procurement practices and the financial needs of domestic manufacturers. Development partners remain the primary purchasers of malaria commodities in Nigeria especially LLINs, ACTs, and RDTs yet their procurement systems are almost exclusively open only to WHO-prequalified products. While donors do provide technical assistance for PQ preparation, such support rarely includes capital financing or direct investment in manufacturing infrastructure. This creates a structural paradox: local firms cannot access donor-funded markets without achieving PQ, but they cannot achieve PQ without the substantial financial investment that such donors do not provide. As the briefs repeatedly note, this financing trap entrenches import dependence and discourages large-scale investment in domestic manufacturing, even when firms possess the technical capability and infrastructural foundation to expand.</w:t>
      </w:r>
    </w:p>
    <w:p w14:paraId="72FA3DF2"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Fiscal incentives intended to stimulate local production exist on paper but are inconsistently implemented in practice. Manufacturers across all commodity groups report difficulty accessing exemptions on import duties for machinery, laboratory equipment, or raw materials. LLIN manufacturers, for instance, highlight inconsistencies in the application of duty waivers for specialized polymer and coating equipment, while ACT manufacturers face challenges accessing foreign exchange at stable rates, increasing the cost of imported APIs and excipients. API manufacturers encounter uncertainty around tax incentives for precursor chemicals, with some reporting double taxation on essential industrial inputs. These inconsistencies weaken investor confidence, create planning uncertainty, and undermine the intended role of fiscal policy as an enabler of industrial growth.</w:t>
      </w:r>
    </w:p>
    <w:p w14:paraId="052770CB"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 xml:space="preserve">The overall financing landscape therefore presents a system in which manufacturers face high capital costs, limited access to long-term financing, insufficient alignment between financial instruments and industrial requirements, and limited pathways to participate in high-volume donor markets. These constraints collectively inhibit Nigeria’s ability to convert its existing manufacturing potential into fully competitive, internationally recognized capacity. The evidence across the briefs and consultant report suggests that </w:t>
      </w:r>
      <w:r w:rsidRPr="00C20947">
        <w:rPr>
          <w:rFonts w:ascii="Times" w:eastAsia="Sorts Mill Goudy" w:hAnsi="Times" w:cs="Times"/>
          <w:color w:val="000000" w:themeColor="text1"/>
        </w:rPr>
        <w:lastRenderedPageBreak/>
        <w:t>without targeted financing particularly blended mechanisms combining concessional loans, guarantees, and performance-based grants, local manufacturers will continue to struggle to achieve PQ, expand output, or meaningfully substitute imports.</w:t>
      </w:r>
    </w:p>
    <w:p w14:paraId="551EC33B"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The comparative analysis across commodity groups reflects this variation in readiness. ACT manufacturers, though constrained by cost of capital, are better positioned to mobilize financing for incremental upgrades but remain unable to fund the major investments required for PQ. LLIN manufacturers face the steepest capital demands, particularly in the absence of local PQ-compliant testing laboratories. API manufacturers have the highest financing barriers of all, with their operations remaining far from PQ-readiness due to a combination of infrastructural gaps and limited financing options. RDT manufacturers demonstrate moderate levels of financial readiness, particularly in firms with ISO 13485 certification, but still face high costs associated with clinical validation studies and international laboratory testing.</w:t>
      </w:r>
    </w:p>
    <w:p w14:paraId="1834A413"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Taken together, these findings indicate that the financing environment is both a symptom and a driver of Nigeria’s limited participation in global health commodity markets. While manufacturers have demonstrated significant resilience and commitment through self-financing and incremental modernization, the systemic constraints within the financial ecosystem continue to limit the sector’s ability to scale, compete, and achieve WHO prequalification. As such, financing remains one of the most decisive determinants of Nigeria’s ability to transition from partial capacity to full participation in regional and global supply chains for malaria commodities.</w:t>
      </w:r>
    </w:p>
    <w:p w14:paraId="1FB5C9FD" w14:textId="77777777" w:rsidR="00357DE2" w:rsidRPr="00C20947" w:rsidRDefault="00FD0753"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3.5 Supply Chain and Input Dependency Patterns</w:t>
      </w:r>
    </w:p>
    <w:p w14:paraId="1C12B545" w14:textId="1A41D3EB"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The assessment revealed a consistent pattern of upstream supply chain fragility across all malaria commodities, driven primarily by heavy reliance on imported raw materials, limited domestic supplier ecosystems, and recurrent logistics bottlenecks</w:t>
      </w:r>
      <w:r w:rsidR="00CB3D28" w:rsidRPr="00C20947">
        <w:rPr>
          <w:rFonts w:ascii="Times" w:eastAsia="Sorts Mill Goudy" w:hAnsi="Times" w:cs="Times"/>
          <w:color w:val="000000" w:themeColor="text1"/>
        </w:rPr>
        <w:t xml:space="preserve"> (See Table 8)</w:t>
      </w:r>
      <w:r w:rsidRPr="00C20947">
        <w:rPr>
          <w:rFonts w:ascii="Times" w:eastAsia="Sorts Mill Goudy" w:hAnsi="Times" w:cs="Times"/>
          <w:color w:val="000000" w:themeColor="text1"/>
        </w:rPr>
        <w:t>. These weaknesses significantly affect production timelines, cost stability, product quality assurance, and manufacturers’ overall capacity utilization.</w:t>
      </w:r>
    </w:p>
    <w:p w14:paraId="14C0E10D"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3.5.1 Import Dependence Across All Commodities: </w:t>
      </w:r>
      <w:r w:rsidRPr="00C20947">
        <w:rPr>
          <w:rFonts w:ascii="Times" w:eastAsia="Sorts Mill Goudy" w:hAnsi="Times" w:cs="Times"/>
          <w:color w:val="000000" w:themeColor="text1"/>
        </w:rPr>
        <w:t>Input dependence was highest for RDTs and APIs, where manufacturers reported that virtually 100% of critical inputs—membranes, nitrocellulose cards, antibodies, buffer reagents for RDTs; and chemical precursors, solvents, catalysts for APIs—must be imported from Asia or Europe. Lead times for these materials often exceeded 8–16 weeks, with delays exacerbated by customs clearance challenges.</w:t>
      </w:r>
    </w:p>
    <w:p w14:paraId="4686600D"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ACT manufacturers were slightly less dependent than API facilities, as they procure finished APIs abroad but source some excipients locally. However, 70–90% of inputs for ACTs remain import-dependent, including APIs, capsules, blister foils, and packaging films. LLIN manufacturers exhibited partial domestic integration for polymer supply through local petrochemical companies, but even here, specialized polypropylene grades required for LLIN yarns (e.g., high-tenacity, UV-resistant variants) are not yet produced in Nigeria. This forces manufacturers to rely on imports for key resin types, stabilizers, and insecticides used in net impregnation.</w:t>
      </w:r>
    </w:p>
    <w:p w14:paraId="2C1FB2A2"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3.5.2 Supply Chain Delays and Production Slowdowns: </w:t>
      </w:r>
      <w:r w:rsidRPr="00C20947">
        <w:rPr>
          <w:rFonts w:ascii="Times" w:eastAsia="Sorts Mill Goudy" w:hAnsi="Times" w:cs="Times"/>
          <w:color w:val="000000" w:themeColor="text1"/>
        </w:rPr>
        <w:t>All manufacturers reported persistent customs delays, leading to extended input lead times and production stoppages. Several firms described clearance delays of 2–6 weeks, particularly for “sensitive” items such as biological reagents, APIs, and insecticides, which require additional documentation and inspections. These delays were consistently cited as one of the central reasons for underutilization of installed capacity, especially among ACT and RDT manufacturers.</w:t>
      </w:r>
    </w:p>
    <w:p w14:paraId="5714B782"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LLIN manufacturers reported shipping delays and global freight volatility as contributors to stalled production during the 2022–2024 period. Many noted that losses from delayed inputs or cancelled production batches discouraged investment in scaling extrusion or coating lines.</w:t>
      </w:r>
    </w:p>
    <w:p w14:paraId="50D0DB14"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3.5.3 Quality Assurance Dependencies: </w:t>
      </w:r>
      <w:r w:rsidRPr="00C20947">
        <w:rPr>
          <w:rFonts w:ascii="Times" w:eastAsia="Sorts Mill Goudy" w:hAnsi="Times" w:cs="Times"/>
          <w:color w:val="000000" w:themeColor="text1"/>
        </w:rPr>
        <w:t xml:space="preserve">The lack of accredited domestic laboratories forces manufacturers to conduct essential quality and PQ-mandated tests abroad. For example: RDT lot-release </w:t>
      </w:r>
      <w:r w:rsidRPr="00C20947">
        <w:rPr>
          <w:rFonts w:ascii="Times" w:eastAsia="Sorts Mill Goudy" w:hAnsi="Times" w:cs="Times"/>
          <w:color w:val="000000" w:themeColor="text1"/>
        </w:rPr>
        <w:lastRenderedPageBreak/>
        <w:t>and sensitivity/specificity validation must be performed in foreign WHO-recognized labs, LLIN bioefficacy and durability (cone/tunnel tests, wash-resistance evaluations) must be outsourced to East African or Asian entomology labs, ACT manufacturers must send samples for bioequivalence or API impurity profiling to South Africa, India, or the EU.</w:t>
      </w:r>
    </w:p>
    <w:p w14:paraId="77717AD5"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These dependencies raise costs by 25–60%, extend regulatory timelines, and complicate inventory planning.</w:t>
      </w:r>
    </w:p>
    <w:p w14:paraId="57824526"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3.5.4 Domestic Supplier Gaps: </w:t>
      </w:r>
      <w:r w:rsidRPr="00C20947">
        <w:rPr>
          <w:rFonts w:ascii="Times" w:eastAsia="Sorts Mill Goudy" w:hAnsi="Times" w:cs="Times"/>
          <w:color w:val="000000" w:themeColor="text1"/>
        </w:rPr>
        <w:t>Across all briefs and consultant assessments, a major supply-chain weakness identified was the near-absence of domestic suppliers for high-grade pharmaceutical excipients, diagnostic-grade reagents, and LLIN-specific polymer additives. Even basic packaging materials must meet international quality thresholds, which many Nigerian suppliers cannot consistently achieve. The result is an ecosystem where domestic manufacturers cannot rely on local sourcing even for seemingly simple components such as desiccants, aluminum foils, or reagent tubes.</w:t>
      </w:r>
    </w:p>
    <w:p w14:paraId="3BA3A1BD"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Several manufacturers reported that inconsistencies in domestic packaging quality negatively affected PQ documentation efforts, as WHO PQ requires strict traceability of all input suppliers.</w:t>
      </w:r>
    </w:p>
    <w:p w14:paraId="0F80AED3" w14:textId="77777777" w:rsidR="00357DE2" w:rsidRPr="00C20947" w:rsidRDefault="00FD0753"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 xml:space="preserve">3.5.5 Interruption of Production Cycles and Capacity Utilization: </w:t>
      </w:r>
    </w:p>
    <w:p w14:paraId="56BF7BFD"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Due to the cumulative effect of supply chain delays, FX constraints, and input shortages, average capacity utilization across commodity groups remained low:</w:t>
      </w:r>
    </w:p>
    <w:p w14:paraId="0B04809D" w14:textId="77777777" w:rsidR="00357DE2" w:rsidRPr="00C20947" w:rsidRDefault="00FD0753" w:rsidP="00B633A5">
      <w:pPr>
        <w:numPr>
          <w:ilvl w:val="0"/>
          <w:numId w:val="3"/>
        </w:numPr>
        <w:pBdr>
          <w:top w:val="nil"/>
          <w:left w:val="nil"/>
          <w:bottom w:val="nil"/>
          <w:right w:val="nil"/>
          <w:between w:val="nil"/>
        </w:pBd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ACTs: 40–60%</w:t>
      </w:r>
    </w:p>
    <w:p w14:paraId="46C6C97F" w14:textId="77777777" w:rsidR="00357DE2" w:rsidRPr="00C20947" w:rsidRDefault="00FD0753" w:rsidP="00B633A5">
      <w:pPr>
        <w:numPr>
          <w:ilvl w:val="0"/>
          <w:numId w:val="3"/>
        </w:numPr>
        <w:pBdr>
          <w:top w:val="nil"/>
          <w:left w:val="nil"/>
          <w:bottom w:val="nil"/>
          <w:right w:val="nil"/>
          <w:between w:val="nil"/>
        </w:pBd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RDTs: 25–45% for new entrants; up to 60% for semi-automated facilities</w:t>
      </w:r>
    </w:p>
    <w:p w14:paraId="532CEB65" w14:textId="77777777" w:rsidR="00357DE2" w:rsidRPr="00C20947" w:rsidRDefault="00FD0753" w:rsidP="00B633A5">
      <w:pPr>
        <w:numPr>
          <w:ilvl w:val="0"/>
          <w:numId w:val="3"/>
        </w:numPr>
        <w:pBdr>
          <w:top w:val="nil"/>
          <w:left w:val="nil"/>
          <w:bottom w:val="nil"/>
          <w:right w:val="nil"/>
          <w:between w:val="nil"/>
        </w:pBd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LLINs: &lt;40% for facilities operating only assembly or packaging lines</w:t>
      </w:r>
    </w:p>
    <w:p w14:paraId="7D4F6EDC" w14:textId="77777777" w:rsidR="00357DE2" w:rsidRPr="00C20947" w:rsidRDefault="00FD0753" w:rsidP="00B633A5">
      <w:pPr>
        <w:numPr>
          <w:ilvl w:val="0"/>
          <w:numId w:val="3"/>
        </w:numPr>
        <w:pBdr>
          <w:top w:val="nil"/>
          <w:left w:val="nil"/>
          <w:bottom w:val="nil"/>
          <w:right w:val="nil"/>
          <w:between w:val="nil"/>
        </w:pBd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APIs: No commercial production due to 100% dependency on imported intermediates</w:t>
      </w:r>
    </w:p>
    <w:p w14:paraId="6B5CE0B6"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Manufacturers consistently linked underutilization to disrupted production cycles rather than insufficient technical capacity.</w:t>
      </w:r>
    </w:p>
    <w:p w14:paraId="6BF142C3" w14:textId="77777777" w:rsidR="00357DE2" w:rsidRPr="00C20947" w:rsidRDefault="00FD0753"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4. DISCUSSION</w:t>
      </w:r>
    </w:p>
    <w:p w14:paraId="219B287B" w14:textId="3D2047D8"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 xml:space="preserve">The </w:t>
      </w:r>
      <w:r w:rsidR="002A15E3" w:rsidRPr="00C20947">
        <w:rPr>
          <w:rFonts w:ascii="Times" w:eastAsia="Sorts Mill Goudy" w:hAnsi="Times" w:cs="Times"/>
          <w:color w:val="000000" w:themeColor="text1"/>
        </w:rPr>
        <w:t xml:space="preserve">study </w:t>
      </w:r>
      <w:r w:rsidR="00205F11" w:rsidRPr="00C20947">
        <w:rPr>
          <w:rFonts w:ascii="Times" w:eastAsia="Sorts Mill Goudy" w:hAnsi="Times" w:cs="Times"/>
          <w:color w:val="000000" w:themeColor="text1"/>
        </w:rPr>
        <w:t>sets</w:t>
      </w:r>
      <w:r w:rsidR="002A15E3" w:rsidRPr="00C20947">
        <w:rPr>
          <w:rFonts w:ascii="Times" w:eastAsia="Sorts Mill Goudy" w:hAnsi="Times" w:cs="Times"/>
          <w:color w:val="000000" w:themeColor="text1"/>
        </w:rPr>
        <w:t xml:space="preserve"> out to assess local manufacturing </w:t>
      </w:r>
      <w:r w:rsidR="00205F11" w:rsidRPr="00C20947">
        <w:rPr>
          <w:rFonts w:ascii="Times" w:eastAsia="Sorts Mill Goudy" w:hAnsi="Times" w:cs="Times"/>
          <w:color w:val="000000" w:themeColor="text1"/>
        </w:rPr>
        <w:t xml:space="preserve">landscape for </w:t>
      </w:r>
      <w:r w:rsidR="002A15E3" w:rsidRPr="00C20947">
        <w:rPr>
          <w:rFonts w:ascii="Times" w:eastAsia="Sorts Mill Goudy" w:hAnsi="Times" w:cs="Times"/>
          <w:color w:val="000000" w:themeColor="text1"/>
        </w:rPr>
        <w:t xml:space="preserve">malaria commodities </w:t>
      </w:r>
      <w:r w:rsidR="00205F11" w:rsidRPr="00C20947">
        <w:rPr>
          <w:rFonts w:ascii="Times" w:eastAsia="Sorts Mill Goudy" w:hAnsi="Times" w:cs="Times"/>
          <w:color w:val="000000" w:themeColor="text1"/>
        </w:rPr>
        <w:t xml:space="preserve">like ACTs, APIs, LLINs and RDT. The </w:t>
      </w:r>
      <w:r w:rsidRPr="00C20947">
        <w:rPr>
          <w:rFonts w:ascii="Times" w:eastAsia="Sorts Mill Goudy" w:hAnsi="Times" w:cs="Times"/>
          <w:color w:val="000000" w:themeColor="text1"/>
        </w:rPr>
        <w:t xml:space="preserve">findings reveal a </w:t>
      </w:r>
      <w:r w:rsidR="009119F6" w:rsidRPr="00C20947">
        <w:rPr>
          <w:rFonts w:ascii="Times" w:eastAsia="Sorts Mill Goudy" w:hAnsi="Times" w:cs="Times"/>
          <w:color w:val="000000" w:themeColor="text1"/>
        </w:rPr>
        <w:t xml:space="preserve">challenging </w:t>
      </w:r>
      <w:r w:rsidRPr="00C20947">
        <w:rPr>
          <w:rFonts w:ascii="Times" w:eastAsia="Sorts Mill Goudy" w:hAnsi="Times" w:cs="Times"/>
          <w:color w:val="000000" w:themeColor="text1"/>
        </w:rPr>
        <w:t xml:space="preserve">but promising landscape for the local manufacturing of malaria commodities in Nigeria. </w:t>
      </w:r>
      <w:r w:rsidR="002A15E3" w:rsidRPr="00C20947">
        <w:rPr>
          <w:rFonts w:ascii="Times" w:eastAsia="Sorts Mill Goudy" w:hAnsi="Times" w:cs="Times"/>
          <w:color w:val="000000" w:themeColor="text1"/>
        </w:rPr>
        <w:t xml:space="preserve">The assessment </w:t>
      </w:r>
      <w:r w:rsidR="00205F11" w:rsidRPr="00C20947">
        <w:rPr>
          <w:rFonts w:ascii="Times" w:eastAsia="Sorts Mill Goudy" w:hAnsi="Times" w:cs="Times"/>
          <w:color w:val="000000" w:themeColor="text1"/>
        </w:rPr>
        <w:t xml:space="preserve">shows that although </w:t>
      </w:r>
      <w:r w:rsidR="00411419" w:rsidRPr="00C20947">
        <w:rPr>
          <w:rFonts w:ascii="Times" w:eastAsia="Sorts Mill Goudy" w:hAnsi="Times" w:cs="Times"/>
          <w:color w:val="000000" w:themeColor="text1"/>
        </w:rPr>
        <w:t xml:space="preserve">progress </w:t>
      </w:r>
      <w:r w:rsidRPr="00C20947">
        <w:rPr>
          <w:rFonts w:ascii="Times" w:eastAsia="Sorts Mill Goudy" w:hAnsi="Times" w:cs="Times"/>
          <w:color w:val="000000" w:themeColor="text1"/>
        </w:rPr>
        <w:t>has been made in regulatory maturity, installed production capacity, and emerging diagnostic and LLIN capabilities, systemic challenges in financing, market access, supply-chain stability, and quality assurance continue to limit Nigeria’s ability to translate capacity into sustainable production. These findings mirror broader trends observed across Africa, where manufacturing potential has grown, but structural constraints have hindered competitiveness and global integration</w:t>
      </w:r>
      <w:r w:rsidR="00C967D4" w:rsidRPr="00C20947">
        <w:rPr>
          <w:rFonts w:ascii="Times" w:eastAsia="Sorts Mill Goudy" w:hAnsi="Times" w:cs="Times"/>
          <w:color w:val="000000" w:themeColor="text1"/>
        </w:rPr>
        <w:t xml:space="preserve"> </w:t>
      </w:r>
      <w:r w:rsidR="0058187B" w:rsidRPr="00C20947">
        <w:rPr>
          <w:rFonts w:ascii="Times" w:eastAsia="Sorts Mill Goudy" w:hAnsi="Times" w:cs="Times"/>
          <w:color w:val="000000" w:themeColor="text1"/>
        </w:rPr>
        <w:t xml:space="preserve">(Adebisi et al., 2022; </w:t>
      </w:r>
      <w:r w:rsidR="001C4A4F" w:rsidRPr="00C20947">
        <w:rPr>
          <w:rFonts w:ascii="Times" w:eastAsia="Sorts Mill Goudy" w:hAnsi="Times" w:cs="Times"/>
          <w:color w:val="000000" w:themeColor="text1"/>
        </w:rPr>
        <w:t xml:space="preserve">Ekeigwe, 2019; </w:t>
      </w:r>
      <w:r w:rsidR="00D01534" w:rsidRPr="00C20947">
        <w:rPr>
          <w:rFonts w:ascii="Times" w:eastAsia="Sorts Mill Goudy" w:hAnsi="Times" w:cs="Times"/>
          <w:color w:val="000000" w:themeColor="text1"/>
        </w:rPr>
        <w:t>Saied</w:t>
      </w:r>
      <w:r w:rsidR="00A40DF3" w:rsidRPr="00C20947">
        <w:rPr>
          <w:rFonts w:ascii="Times" w:eastAsia="Sorts Mill Goudy" w:hAnsi="Times" w:cs="Times"/>
          <w:color w:val="000000" w:themeColor="text1"/>
        </w:rPr>
        <w:t xml:space="preserve"> et al., 2022)</w:t>
      </w:r>
      <w:r w:rsidRPr="00C20947">
        <w:rPr>
          <w:rFonts w:ascii="Times" w:eastAsia="Sorts Mill Goudy" w:hAnsi="Times" w:cs="Times"/>
          <w:color w:val="000000" w:themeColor="text1"/>
        </w:rPr>
        <w:t>.</w:t>
      </w:r>
    </w:p>
    <w:p w14:paraId="586CB0E7" w14:textId="77777777" w:rsidR="00357DE2" w:rsidRPr="00C20947" w:rsidRDefault="00FD0753"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4.1 Nigeria’s Manufacturing Landscape in Context</w:t>
      </w:r>
    </w:p>
    <w:p w14:paraId="5CCB6CED" w14:textId="08F23895"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 xml:space="preserve">The results of this study </w:t>
      </w:r>
      <w:r w:rsidR="00A40DF3" w:rsidRPr="00C20947">
        <w:rPr>
          <w:rFonts w:ascii="Times" w:eastAsia="Sorts Mill Goudy" w:hAnsi="Times" w:cs="Times"/>
          <w:color w:val="000000" w:themeColor="text1"/>
        </w:rPr>
        <w:t xml:space="preserve">suggests that </w:t>
      </w:r>
      <w:r w:rsidRPr="00C20947">
        <w:rPr>
          <w:rFonts w:ascii="Times" w:eastAsia="Sorts Mill Goudy" w:hAnsi="Times" w:cs="Times"/>
          <w:color w:val="000000" w:themeColor="text1"/>
        </w:rPr>
        <w:t xml:space="preserve">Nigeria </w:t>
      </w:r>
      <w:r w:rsidR="00F7354A" w:rsidRPr="00C20947">
        <w:rPr>
          <w:rFonts w:ascii="Times" w:eastAsia="Sorts Mill Goudy" w:hAnsi="Times" w:cs="Times"/>
          <w:color w:val="000000" w:themeColor="text1"/>
        </w:rPr>
        <w:t xml:space="preserve">is well positioned </w:t>
      </w:r>
      <w:r w:rsidR="00AC6A1D" w:rsidRPr="00C20947">
        <w:rPr>
          <w:rFonts w:ascii="Times" w:eastAsia="Sorts Mill Goudy" w:hAnsi="Times" w:cs="Times"/>
          <w:color w:val="000000" w:themeColor="text1"/>
        </w:rPr>
        <w:t xml:space="preserve">for </w:t>
      </w:r>
      <w:r w:rsidRPr="00C20947">
        <w:rPr>
          <w:rFonts w:ascii="Times" w:eastAsia="Sorts Mill Goudy" w:hAnsi="Times" w:cs="Times"/>
          <w:color w:val="000000" w:themeColor="text1"/>
        </w:rPr>
        <w:t xml:space="preserve">health-commodity manufacturing. </w:t>
      </w:r>
      <w:r w:rsidR="00DD6CA5" w:rsidRPr="00C20947">
        <w:rPr>
          <w:rFonts w:ascii="Times" w:eastAsia="Sorts Mill Goudy" w:hAnsi="Times" w:cs="Times"/>
          <w:color w:val="000000" w:themeColor="text1"/>
        </w:rPr>
        <w:t>Evidently, the assessment shows that a</w:t>
      </w:r>
      <w:r w:rsidRPr="00C20947">
        <w:rPr>
          <w:rFonts w:ascii="Times" w:eastAsia="Sorts Mill Goudy" w:hAnsi="Times" w:cs="Times"/>
          <w:color w:val="000000" w:themeColor="text1"/>
        </w:rPr>
        <w:t>cross ACTs, APIs, LLINs, RDTs, and selected vaccine-adjacent components, Nigeria</w:t>
      </w:r>
      <w:r w:rsidR="00DD6CA5" w:rsidRPr="00C20947">
        <w:rPr>
          <w:rFonts w:ascii="Times" w:eastAsia="Sorts Mill Goudy" w:hAnsi="Times" w:cs="Times"/>
          <w:color w:val="000000" w:themeColor="text1"/>
        </w:rPr>
        <w:t xml:space="preserve">n </w:t>
      </w:r>
      <w:r w:rsidR="00184FE1" w:rsidRPr="00C20947">
        <w:rPr>
          <w:rFonts w:ascii="Times" w:eastAsia="Sorts Mill Goudy" w:hAnsi="Times" w:cs="Times"/>
          <w:color w:val="000000" w:themeColor="text1"/>
        </w:rPr>
        <w:t>local manufacturers</w:t>
      </w:r>
      <w:r w:rsidR="00DD6CA5" w:rsidRPr="00C20947">
        <w:rPr>
          <w:rFonts w:ascii="Times" w:eastAsia="Sorts Mill Goudy" w:hAnsi="Times" w:cs="Times"/>
          <w:color w:val="000000" w:themeColor="text1"/>
        </w:rPr>
        <w:t xml:space="preserve"> have </w:t>
      </w:r>
      <w:r w:rsidR="00184FE1" w:rsidRPr="00C20947">
        <w:rPr>
          <w:rFonts w:ascii="Times" w:eastAsia="Sorts Mill Goudy" w:hAnsi="Times" w:cs="Times"/>
          <w:color w:val="000000" w:themeColor="text1"/>
        </w:rPr>
        <w:t xml:space="preserve">high </w:t>
      </w:r>
      <w:r w:rsidRPr="00C20947">
        <w:rPr>
          <w:rFonts w:ascii="Times" w:eastAsia="Sorts Mill Goudy" w:hAnsi="Times" w:cs="Times"/>
          <w:color w:val="000000" w:themeColor="text1"/>
        </w:rPr>
        <w:t xml:space="preserve">level of installed capacity, regulatory progress, and multi-commodity readiness that </w:t>
      </w:r>
      <w:r w:rsidR="00184FE1" w:rsidRPr="00C20947">
        <w:rPr>
          <w:rFonts w:ascii="Times" w:eastAsia="Sorts Mill Goudy" w:hAnsi="Times" w:cs="Times"/>
          <w:color w:val="000000" w:themeColor="text1"/>
        </w:rPr>
        <w:t xml:space="preserve">can compete with those of other regions. </w:t>
      </w:r>
      <w:r w:rsidRPr="00C20947">
        <w:rPr>
          <w:rFonts w:ascii="Times" w:eastAsia="Sorts Mill Goudy" w:hAnsi="Times" w:cs="Times"/>
          <w:color w:val="000000" w:themeColor="text1"/>
        </w:rPr>
        <w:t>Unlike many African countries that possess only small-scale formulation plants or rely almost entirely on imports, Nigeria has developed a relatively diversified manufacturing base, supported by an active private sector and evolving regulatory oversight.</w:t>
      </w:r>
    </w:p>
    <w:p w14:paraId="031EA63B"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 xml:space="preserve">Our findings show that Nigeria hosts one of the continent’s largest oral solid dosage (OSD) manufacturing clusters, with an installed ACT capacity exceeding 60 million doses per month under a single shift, enough to meet national annual requirements if fully utilized. This positions Nigeria ahead of several regional peers whose installed capacity remains far below domestic demand (UNIDO, 2020). Similarly, Nigeria’s LLIN </w:t>
      </w:r>
      <w:r w:rsidRPr="00C20947">
        <w:rPr>
          <w:rFonts w:ascii="Times" w:eastAsia="Sorts Mill Goudy" w:hAnsi="Times" w:cs="Times"/>
          <w:color w:val="000000" w:themeColor="text1"/>
        </w:rPr>
        <w:lastRenderedPageBreak/>
        <w:t>manufacturing sector demonstrates a complete pathway—from polymer extrusion to weaving, insecticide treatment, and final stitching—an achievement only matched by a handful of African producers, such as Tanzania and Egypt (Gore &amp; Makhaya, 2020). In RDTs, Nigeria has also made substantive progress, with multiple firms attaining ISO 13485 certification, placing them among the few African producers with credible international quality recognition.</w:t>
      </w:r>
    </w:p>
    <w:p w14:paraId="49DBC8A6" w14:textId="4F717209"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Regulatory readiness further distinguishes Nigeria’s landscape. NAFDAC’s achievement of WHO Global Benchmarking Tool (GBT) Maturity Level 3, along with the successful WHO PQ of its central QC laboratory, represents a significant milestone not yet attained by most African national regulatory authorities (Ndomondo-Sigonda et al., 2017; WHO, 2021). This regulatory maturity expands Nigeria’s potential to participate in regional harmonization efforts, including ECOWAS Medicines Regulatory Harmonization (MRH) and the future African Medicines Agency (AMA). These capabilities provide a unique foundation for Nigeria to serve as a regional regulatory and manufacturing hub</w:t>
      </w:r>
      <w:r w:rsidR="006328B3" w:rsidRPr="00C20947">
        <w:rPr>
          <w:rFonts w:ascii="Times" w:eastAsia="Sorts Mill Goudy" w:hAnsi="Times" w:cs="Times"/>
          <w:color w:val="000000" w:themeColor="text1"/>
        </w:rPr>
        <w:t xml:space="preserve">, </w:t>
      </w:r>
      <w:r w:rsidRPr="00C20947">
        <w:rPr>
          <w:rFonts w:ascii="Times" w:eastAsia="Sorts Mill Goudy" w:hAnsi="Times" w:cs="Times"/>
          <w:color w:val="000000" w:themeColor="text1"/>
        </w:rPr>
        <w:t>an aspiration echoed in national industrial and health policies.</w:t>
      </w:r>
    </w:p>
    <w:p w14:paraId="0FAD7063"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However, the contextual strength of Nigeria’s manufacturing landscape coexists with systemic structural challenges that constrain full utilization. Despite substantial installed capacity, utilization rates across malaria commodities remain low—often between 40% and 60% for ACT production, 30–50% for LLIN lines, and similarly depressed rates for RDT manufacturing. This pattern mirrors the continental paradox in which African manufacturers maintain capacity but operate below optimal output due to procurement fragmentation, donor preferences for imports, and limited domestic demand guarantees (AfDB, 2021; Makinde et al., 2022). The persistent exclusion of locally manufactured ACTs and RDTs from major donor procurement channels due to WHO PQ requirements underscores this challenge and reflects a broader regional trend documented across East and West Africa (Chinganya, 2020; UNCTAD, 2021).</w:t>
      </w:r>
    </w:p>
    <w:p w14:paraId="0BBD358C"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A major contextual limitation is Nigeria’s and Africa’s heavy dependence on imported inputs. Our findings reveal that manufacturers rely on imports for APIs, excipients, polyester yarns, insecticides, nitrocellulose membranes, antibodies, conjugates, gold nanoparticles, and most QC consumables. This vulnerability aligns closely with regional assessments showing that over 95% of Africa’s APIs and a majority of diagnostic and textile-chemical inputs are imported from India and China (UNIDO, 2020), creating systemic exposure to global price shocks, supply disruptions, and exchange-rate volatility. Such dependency structurally elevates production costs in Nigeria, making locally manufactured commodities appear more expensive compared with subsidised imports.</w:t>
      </w:r>
    </w:p>
    <w:p w14:paraId="74BBFC72"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Financing constraints further situate Nigeria within continental patterns. Manufacturers consistently highlighted the burden of 18–25% interest rates, short loan tenures, and inconsistent access to industrial incentives. These findings echo the wider African literature, which identifies high capital costs and weak blended-finance ecosystems as key barriers to pharmaceutical industrialisation (Makinde et al., 2022; African Development Bank, 2021). Although Nigeria demonstrates stronger industrial potential than many regional peers, it faces similar bottlenecks in mobilising long-term, affordable capital.</w:t>
      </w:r>
    </w:p>
    <w:p w14:paraId="6AD09148"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Taken together, the Nigerian context resembles a hybrid model: the country possesses stronger capacity and more advanced regulation than most of sub-Saharan Africa, yet remains constrained by the same structural limitations, input dependence, financing barriers, certification gaps, and procurement dynamics that impede regional self-sufficiency. This duality positions Nigeria as both a regional leader and a country at a strategic crossroads: with targeted reforms, it has the potential to become West Africa’s primary manufacturing and regulatory anchor; without such reforms, capacity gains will remain underutilized and fragile.</w:t>
      </w:r>
    </w:p>
    <w:p w14:paraId="5E625856" w14:textId="77777777" w:rsidR="00357DE2" w:rsidRPr="00C20947" w:rsidRDefault="00FD0753"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4.2 Interpretation in the Context of African and Global Evidence</w:t>
      </w:r>
    </w:p>
    <w:p w14:paraId="7DE3CBB5"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4.2.1 Local Manufacturing in Sub-Saharan Africa </w:t>
      </w:r>
      <w:r w:rsidRPr="00C20947">
        <w:rPr>
          <w:rFonts w:ascii="Times" w:hAnsi="Times" w:cs="Times"/>
          <w:b/>
          <w:bCs/>
          <w:color w:val="000000" w:themeColor="text1"/>
        </w:rPr>
        <w:t>-</w:t>
      </w:r>
      <w:r w:rsidRPr="00C20947">
        <w:rPr>
          <w:rFonts w:ascii="Times" w:eastAsia="Sorts Mill Goudy" w:hAnsi="Times" w:cs="Times"/>
          <w:b/>
          <w:bCs/>
          <w:color w:val="000000" w:themeColor="text1"/>
        </w:rPr>
        <w:t xml:space="preserve"> A Commonly Recognized Challenge: </w:t>
      </w:r>
      <w:r w:rsidRPr="00C20947">
        <w:rPr>
          <w:rFonts w:ascii="Times" w:eastAsia="Sorts Mill Goudy" w:hAnsi="Times" w:cs="Times"/>
          <w:color w:val="000000" w:themeColor="text1"/>
        </w:rPr>
        <w:t xml:space="preserve">Our findings that Nigeria demonstrates significant installed capacity yet remains constrained by structural bottlenecks align with established evidence across Sub-Saharan Africa (SSA), where local pharmaceutical production </w:t>
      </w:r>
      <w:r w:rsidRPr="00C20947">
        <w:rPr>
          <w:rFonts w:ascii="Times" w:eastAsia="Sorts Mill Goudy" w:hAnsi="Times" w:cs="Times"/>
          <w:color w:val="000000" w:themeColor="text1"/>
        </w:rPr>
        <w:lastRenderedPageBreak/>
        <w:t>continues to lag despite decades of policy emphasis. Extensive reviews show that Africa produces only 3% of the medicines it consumes, importing nearly 97% of APIs and the majority of finished-dose formulations (UNIDO, 2020; WHO, 2022). The Nigerian case characterized by heavy dependence on imported APIs, LLIN inputs, diagnostic membranes, antibodies, and specialized polymers, therefore mirrors the wider continental reliance on global supply chains.</w:t>
      </w:r>
    </w:p>
    <w:p w14:paraId="270AD13F"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Across SSA, weaknesses in policy execution, financing mechanisms, input supply, and regulatory oversight have collectively undermined sustained industrial growth. Literature consistently documents that African manufacturers operate at 30–50% of installed capacity, largely due to irregular demand, limited long-term procurement, and financing barriers (McKinsey &amp; Company, 2019; AUDA-NEPAD, 2021). Our finding that Nigeria’s manufacturers operate at 40–60% capacity utilization, despite demonstrable technical capability, reinforces this regional pattern. The alignment between these figures suggests that Nigeria is not underperforming relative to peers; rather, it is contending with structural constraints that are systemic across the continent.</w:t>
      </w:r>
    </w:p>
    <w:p w14:paraId="650A2657"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Financing challenges constitute a recurring theme in African manufacturing, with several studies noting that pharmaceutical firms in SSA face borrowing costs exceeding 15–25%, compared with 3–7% in South Asia (Akurugu et al., 2022; UNCTAD, 2021). This mirrors our observation that Nigerian firms rely heavily on high-interest commercial loans, which inhibits investment in WHO-prequalification (PQ) upgrades, quality-control systems, and workforce development. In countries such as Kenya, Ethiopia, and Tanzania, similar cost structures have restricted local firms from scaling to compete with global suppliers (Mackintosh et al., 2018). Nigeria’s financing constraints therefore reflect well-documented regional dynamics that disproportionately disadvantage African producers in global tenders dominated by Indian and Chinese manufacturers.</w:t>
      </w:r>
    </w:p>
    <w:p w14:paraId="516DCA3F"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The regulatory dimension further contextualizes Nigeria’s position within SSA. Numerous studies show that weak regulatory systems have historically impeded African firms from entering donor-funded procurement channels that require stringent WHO PQ or ICH-compliant standards (Hill &amp; Johnson, 2020; WHO, 2020). In this regard, Nigeria stands out: the achievement of WHO Global Benchmarking Tool Maturity Level 3 by NAFDAC positions it among a small number of African regulators—including Tanzania, Ghana, and Egypt—that have achieved this milestone. This confers strategic advantages by improving regulatory credibility, reducing approval timelines, and enhancing investor confidence. In many SSA settings, lack of regulatory maturity has been identified as a primary barrier to PQ readiness; Nigeria’s progress therefore places it ahead of many regional peers.</w:t>
      </w:r>
    </w:p>
    <w:p w14:paraId="7BF4A947"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Another unique aspect of the Nigerian landscape, compared with most SSA countries, is its expanding multi-commodity manufacturing base. While many African manufacturers specialize in only one product category—such as LLINs in Tanzania or RDTs in South Africa—Nigeria demonstrates simultaneous capacity across ACTs, RDTs, LLINs, and prospective API production. Comparative analyses show that diversified portfolios confer resilience, enabling firms to withstand procurement shocks and reduce dependence on a single donor-driven market (UNIDO, 2020; PAVM, 2021). The breadth of Nigeria’s manufacturing ecosystem therefore represents a competitive advantage relative to the narrower industrial profiles of most West African nations.</w:t>
      </w:r>
    </w:p>
    <w:p w14:paraId="740EF330"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However, despite these comparative strengths, Nigeria still faces structural challenges similar to those in other SSA contexts. These include input dependence, energy costs, fragmented procurement, and a limited domestic research-and-development (R&amp;D) ecosystem. Research across East and West Africa shows that technological dependence on Indian and Chinese suppliers particularly for APIs, reagents, and excipients, remains a central bottleneck preventing full industrial self-reliance (Mackintosh et al., 2018). Nigeria’s reliance on imported antibodies for RDTs and specialized polymers for LLINs directly reflects this wider technological gap. Without domestic input industries, local manufacturers remain vulnerable to global supply disruptions, exchange-rate fluctuations, and long logistics cycles, as seen during COVID-19 (OECD, 2021).</w:t>
      </w:r>
    </w:p>
    <w:p w14:paraId="7C9475F0"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lastRenderedPageBreak/>
        <w:t>In sum, the Nigerian experience fits squarely within established regional patterns: strong political ambition, modest industrial progress, but persistent structural constraints. Where Nigeria appears differentiated is in its regulatory maturity, industrial density, and multisectoral potential, which collectively create a platform for accelerated growth. If Nigeria effectively addresses financing, procurement, and regulatory bottlenecks, it may emerge not merely comparable to its peers, but potentially a regional manufacturing anchor, a role supported by its scale, petrochemical feedstock base, and cross-commodity industrial footprint.</w:t>
      </w:r>
    </w:p>
    <w:p w14:paraId="667D81FB"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These insights highlight that Nigeria’s local manufacturing trajectory is consistent with continental challenges, yet distinguishable by unique comparative advantages that, if harnessed, could enable the country to break out of Africa’s long-standing dependence on imported health commodities.</w:t>
      </w:r>
    </w:p>
    <w:p w14:paraId="77F05585"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4.2.2 Fragmented Procurement Systems and Persistent Market Access Barriers: </w:t>
      </w:r>
      <w:r w:rsidRPr="00C20947">
        <w:rPr>
          <w:rFonts w:ascii="Times" w:eastAsia="Sorts Mill Goudy" w:hAnsi="Times" w:cs="Times"/>
          <w:color w:val="000000" w:themeColor="text1"/>
        </w:rPr>
        <w:t>The persistent market access barriers identified in our findings, particularly irregular procurement cycles, donor-driven market dominance, and limited recognition of national regulatory certifications, mirror long-standing challenges documented in the health systems and industrialization literature across Sub-Saharan Africa (SSA). Numerous studies highlight that the procurement environment in SSA is structurally fragmented, with parallel systems operating at federal, subnational, and partner levels, often without harmonized specifications or aligned planning cycles (Yadav et al., 2021; USAID, 2020). Our finding that Nigerian manufacturers face unpredictable procurement volumes, delayed payments, and limited access to donor-funded tenders is therefore consistent with broader evidence showing that African manufacturers rarely benefit from pooled or coordinated demand structures, even when domestic technical capacity exists.</w:t>
      </w:r>
    </w:p>
    <w:p w14:paraId="5A0DB944"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 xml:space="preserve">Donor-financed procurement plays an outsized role in shaping market access in SSA, accounting for </w:t>
      </w:r>
      <w:r w:rsidRPr="00C20947">
        <w:rPr>
          <w:rFonts w:ascii="Times" w:eastAsia="Sorts Mill Goudy" w:hAnsi="Times" w:cs="Times"/>
          <w:b/>
          <w:bCs/>
          <w:color w:val="000000" w:themeColor="text1"/>
        </w:rPr>
        <w:t>60–80%</w:t>
      </w:r>
      <w:r w:rsidRPr="00C20947">
        <w:rPr>
          <w:rFonts w:ascii="Times" w:eastAsia="Sorts Mill Goudy" w:hAnsi="Times" w:cs="Times"/>
          <w:color w:val="000000" w:themeColor="text1"/>
        </w:rPr>
        <w:t xml:space="preserve"> of malaria commodity purchases in many countries (Global Fund, 2022; PMI, 2023). This dynamic was evident in our results, where Nigerian firms despite ISO certification, GMP compliance, and in some cases WHO PQ progress, remain excluded from donor procurement channels that rely almost exclusively on globally prequalified suppliers. This reflects a well-established pattern across the continent: even when African manufacturers improve quality systems, the absence of WHO PQ becomes a near-absolute barrier to market participation (Kamunyori et al., 2021). Peer countries such as Kenya, Tanzania, Ethiopia, and Rwanda have documented similar constraints, where local manufacturers operate below 50% capacity because the largest and most predictable buyers—donor programs—procure almost entirely from Asia (Mackintosh et al., 2018; UNIDO, 2020).</w:t>
      </w:r>
    </w:p>
    <w:p w14:paraId="5B893966"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 xml:space="preserve">Comparative analyses show that fragmented procurement not only undermines manufacturing utilization but also affects sustainability, competitiveness, and investment attractiveness. Evidence from East Africa demonstrates that firms hesitate to invest in PQ upgrades or new production lines without guaranteed offtake agreements lasting </w:t>
      </w:r>
      <w:r w:rsidRPr="00C20947">
        <w:rPr>
          <w:rFonts w:ascii="Times" w:eastAsia="Sorts Mill Goudy" w:hAnsi="Times" w:cs="Times"/>
          <w:b/>
          <w:bCs/>
          <w:color w:val="000000" w:themeColor="text1"/>
        </w:rPr>
        <w:t>3–5 years</w:t>
      </w:r>
      <w:r w:rsidRPr="00C20947">
        <w:rPr>
          <w:rFonts w:ascii="Times" w:eastAsia="Sorts Mill Goudy" w:hAnsi="Times" w:cs="Times"/>
          <w:color w:val="000000" w:themeColor="text1"/>
        </w:rPr>
        <w:t>, as required by banks providing long-term capital (AUDA-NEPAD, 2021). In Nigeria, our findings are consistent with this trend: most manufacturers report that without predictable market assurances, investment in PQ, automation, and backward integration is financially unjustifiable. This mirrors observations from Ghana and Zambia, where national procurement unpredictability and lack of multiyear contracting have directly contributed to stalled manufacturing projects in pharmaceuticals and diagnostics (UNCTAD, 2021).</w:t>
      </w:r>
    </w:p>
    <w:p w14:paraId="3A6BD3C6"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Additionally, Nigeria’s experience with market fragmentation is not unique; procurement decentralization across African health systems often results in inconsistent product specifications, multiple procurement authorities, and limited coordination across federal, state, and partner-driven mechanisms. Studies show that more than 30 African countries maintain multiple procurement channels for essential health commodities, leading to inefficiencies, higher prices, and unreliable supplier relationships (USAID, 2020; WHO, 2021). Nigeria’s procurement ecosystem—split among the National Malaria Elimination Programme (NMEP), State Drug Management Agencies, the National Primary Health Care Development Agency (NPHCDA), and numerous donor agencies reflects this continental pattern. The result is predictable: manufacturers face a disjointed market with unclear timelines, low procurement transparency, and inconsistent demand signals.</w:t>
      </w:r>
    </w:p>
    <w:p w14:paraId="55A824FA"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lastRenderedPageBreak/>
        <w:t>The literature further reinforces that the procurement challenge is not merely logistical but structural. Donor reliance on WHO PQ, while essential for safeguarding quality, inadvertently reproduces global market asymmetries that disadvantage emerging manufacturers in low- and middle-income countries (LMICs). Multiple studies document that African manufacturers face significantly higher barriers to achieving PQ than their Asian counterparts due to financing limitations, documentation complexity, and the cost of maintaining PQ compliance (Waning &amp; Diedrichsen, 2010; Hill &amp; Johnson, 2020). Our findings showing that only a minority of Nigerian manufacturers have attempted PQ in the last three years align with these challenges.</w:t>
      </w:r>
    </w:p>
    <w:p w14:paraId="2E9F60B1"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However, Nigeria’s positioning within the regional procurement landscape also reveals notable strengths. The country possesses one of the largest domestic health commodity markets in Africa, extensive manufacturing clusters, and advanced regulatory maturity. These attributes align with global evidence suggesting that large, unified national markets are critical for industrial takeoff (UNCTAD, 2021; McKinsey, 2019). If Nigeria were to consolidate its procurement systems, harmonize specifications across agencies, and implement multi-year framework contracts linked to verifiable quality benchmarks, it could generate the scale and predictability needed to unlock domestic investment and improve capacity utilization. Evidence from South Africa’s ARV tendering reforms demonstrates that such procurement consolidation can reduce costs by up to</w:t>
      </w:r>
      <w:r w:rsidRPr="00C20947">
        <w:rPr>
          <w:rFonts w:ascii="Times" w:eastAsia="Sorts Mill Goudy" w:hAnsi="Times" w:cs="Times"/>
          <w:b/>
          <w:bCs/>
          <w:color w:val="000000" w:themeColor="text1"/>
        </w:rPr>
        <w:t xml:space="preserve"> </w:t>
      </w:r>
      <w:r w:rsidRPr="00C20947">
        <w:rPr>
          <w:rFonts w:ascii="Times" w:eastAsia="Sorts Mill Goudy" w:hAnsi="Times" w:cs="Times"/>
          <w:color w:val="000000" w:themeColor="text1"/>
        </w:rPr>
        <w:t>50% while strengthening local participation (Mackintosh et al., 2018).</w:t>
      </w:r>
    </w:p>
    <w:p w14:paraId="334D1FEC"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Taken together, the literature indicates that Nigeria’s procurement-related challenges are part of a wider continental pattern characterized by fragmented demand, donor dominance, and weak policy execution. Yet Nigeria’s size, manufacturing density, and regulatory advancements provide a unique opportunity to transition from a fragmented to a structured procurement ecosystem, an approach which global evidence shows is essential for catalyzing local manufacturing competitiveness in LMICs. Aligning procurement systems with industrial policy goals, as our findings suggest, will be crucial for translating Nigeria’s growing technical capacity into sustained market access, improved utilization, and long-term industrial resilience.</w:t>
      </w:r>
    </w:p>
    <w:p w14:paraId="30CE6E5D"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4.2.3 Quality Assurance, PQ Constraints, and Regulatory Gaps: </w:t>
      </w:r>
      <w:r w:rsidRPr="00C20947">
        <w:rPr>
          <w:rFonts w:ascii="Times" w:eastAsia="Sorts Mill Goudy" w:hAnsi="Times" w:cs="Times"/>
          <w:color w:val="000000" w:themeColor="text1"/>
        </w:rPr>
        <w:t>The regulatory and quality assurance patterns observed in our findings—particularly the limited progress toward WHO Prequalification (PQ), the reliance on ISO and national GMP certifications, and the persistent documentation and systems gaps—are consistent with well-documented constraints across African pharmaceutical and diagnostics manufacturing. Numerous studies affirm that regulatory readiness in Sub-Saharan Africa remains uneven, and while national improvements have accelerated in recent years, most manufacturers still face significant structural challenges in meeting global PQ standards (WHO, 2020; Ndomondo-Sigonda et al., 2017). Our findings that only a small subset of Nigerian firms are actively pursuing PQ status, despite notable advancements by NAFDAC, align strongly with this continental trend.</w:t>
      </w:r>
    </w:p>
    <w:p w14:paraId="7A6CA027"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Evidence shows that the barriers to achieving WHO PQ extend beyond technical compliance; they encompass systemic challenges such as high upgrade costs, gaps in quality management systems (QMS), weak documentation culture, and insufficient internal audits (Oladepo et al., 2021). Studies from Kenya, Tanzania, and Ethiopia reveal that PQ implementation frequently requires multi-million-dollar investments in facility redesign, HVAC systems, clean-room retrofitting, and analytical laboratory upgrades, investments that are often unattainable for manufacturers operating at low margins and under 50% capacity (Mackintosh et al., 2018; UNIDO, 2020). Nigeria’s manufacturers facing high domestic energy costs, imported input dependence, and high-interest loans therefore encounter the same prohibitive investment barriers identified in other African contexts.</w:t>
      </w:r>
    </w:p>
    <w:p w14:paraId="3448E51D"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 xml:space="preserve">The literature further emphasizes that PQ is a demanding, documentation-intensive process requiring consistent batch data, validated analytical methods, full stability profiles, and internationally harmonized quality systems (WHO, 2021). Our findings that Nigerian manufacturers struggle with documentation rigor, data traceability, and audit readiness mirror challenges described in multiple LMIC studies. For instance, </w:t>
      </w:r>
      <w:r w:rsidRPr="00C20947">
        <w:rPr>
          <w:rFonts w:ascii="Times" w:eastAsia="Sorts Mill Goudy" w:hAnsi="Times" w:cs="Times"/>
          <w:color w:val="000000" w:themeColor="text1"/>
        </w:rPr>
        <w:lastRenderedPageBreak/>
        <w:t>research in East African Community (EAC) countries shows that even well-established firms often fail PQ audits due to incomplete batch documentation, inadequate change-control procedures, and insufficient quality-risk-management frameworks (Ndomondo-Sigonda et al., 2017). Nigeria’s manufacturers appear to be navigating similar hurdles, suggesting that quality assurance gaps are not a reflection of technical incapacity but rather systemic limitations in QMS maturity and human-resource depth.</w:t>
      </w:r>
    </w:p>
    <w:p w14:paraId="6B8A676B"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Regional evidence also highlights the absence of functional, internationally accredited public laboratories as a binding constraint for Africa’s PQ prospects. Several studies note that the scarcity of ISO/IEC 17025–accredited laboratories capable of performing required confirmatory testing delays PQ submissions and increases reliance on costly overseas testing services (UNCTAD, 2021; AUDA-NEPAD, 2021). Our findings that Nigeria lacks adequate GLP-compliant or accredited reference laboratories for malaria APIs, RDT components, and LLIN polymer testing align precisely with this pattern. Countries such as Ethiopia and Tanzania have similarly documented laboratory bottlenecks as primary barriers preventing local firms from generating the analytical evidence required for PQ dossiers (Mackintosh et al., 2018).</w:t>
      </w:r>
    </w:p>
    <w:p w14:paraId="37AE6490"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Furthermore, donor procurement policies that require WHO PQ create an inherent structural disadvantage for African manufacturers at early stages of regulatory maturity. Studies show that more than 90% of PQ-approved suppliers for malaria commodities are located in India and China (Global Fund, 2022; Waning &amp; Diedrichsen, 2010). This geographical concentration of PQ suppliers reflects decades of targeted industrial policies, export incentives, and state-backed financing in Asia—conditions that remain limited across African markets. Our findings highlight that Nigerian firms, despite NAFDAC’s WHO Maturity Level 3 status, still face systemic disadvantages in accessing donor markets. This aligns with research showing that African manufacturers often demonstrate high technical competence but remain structurally excluded from global tenders due to the lack of PQ (Kamunyori et al., 2021).</w:t>
      </w:r>
    </w:p>
    <w:p w14:paraId="3854C958"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Despite these challenges, Nigeria’s regulatory landscape exhibits notable strengths relative to many African peers. The achievement of WHO GBT Maturity Level 3 positions NAFDAC among the most advanced regulators on the continent, alongside Tanzania, Ghana, and Egypt. Literature indicates that ML3 attainment accelerates dossier review timelines, improves regulatory predictability, and enhances industry confidence (WHO, 2020; Hill &amp; Johnson, 2020). Nigeria’s growing ecosystem of ISO-certified firms, combined with NAFDAC’s regulatory enhancements, therefore represents a solid foundation for future PQ progress.</w:t>
      </w:r>
    </w:p>
    <w:p w14:paraId="27BD176D"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Several studies also suggest that countries with strong regulatory institutions experience more rapid industrial upgrading and greater traction in global markets (UNIDO, 2020; McKinsey, 2019). In this context, Nigeria’s progress in GMP inspections, post-market surveillance, and digitalized regulatory processes may translate into competitive advantages over other West African countries where regulatory reforms remain slower. The presence of multiple firms producing ACTs, RDTs, and LLINs under structured QMS further indicates that Nigeria is closer to the PQ threshold than many SSA peers.</w:t>
      </w:r>
    </w:p>
    <w:p w14:paraId="1C387E00"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The alignment between our findings and global evidence underscores that Nigeria’s PQ and regulatory gaps reflect broader continental constraints but are occurring within a context of meaningful national progress. While the systemic challenges such as high upgrade costs, documentation weaknesses, limited accredited labs, and restrictive donor requirements are widely recognized across Africa, Nigeria’s more advanced regulatory status and strong manufacturing base provide a unique opportunity for accelerated progress. If the identified regulatory bottlenecks are addressed through targeted technical assistance, laboratory strengthening, and strategic financing, Nigeria could feasibly emerge as one of the first West African nations to achieve multi-commodity PQ at scale.</w:t>
      </w:r>
    </w:p>
    <w:p w14:paraId="3E4691D4" w14:textId="77777777" w:rsidR="00357DE2" w:rsidRPr="00C20947" w:rsidRDefault="00FD0753"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4.3 Implications for Policy and Practice</w:t>
      </w:r>
    </w:p>
    <w:p w14:paraId="345544F6"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 xml:space="preserve">The findings of this study present clear implications for Nigeria’s industrialization strategy, health security agenda, and broader policy frameworks aimed at fostering sustainable local manufacturing. The results demonstrate that while Nigeria possesses one of the most advanced health-commodity manufacturing ecosystems in sub-Saharan Africa, several structural and systemic constraints continue to limit output, deter </w:t>
      </w:r>
      <w:r w:rsidRPr="00C20947">
        <w:rPr>
          <w:rFonts w:ascii="Times" w:eastAsia="Sorts Mill Goudy" w:hAnsi="Times" w:cs="Times"/>
          <w:color w:val="000000" w:themeColor="text1"/>
        </w:rPr>
        <w:lastRenderedPageBreak/>
        <w:t>investment, and weaken competitiveness. Addressing these challenges requires targeted, sequenced, and multi-sectoral policy action that integrates industrial policy, procurement reform, regulatory strengthening, and supply chain transformation.</w:t>
      </w:r>
    </w:p>
    <w:p w14:paraId="46436E21"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4.3.1 Strengthening Procurement and Market-Shaping Mechanisms: </w:t>
      </w:r>
      <w:r w:rsidRPr="00C20947">
        <w:rPr>
          <w:rFonts w:ascii="Times" w:eastAsia="Sorts Mill Goudy" w:hAnsi="Times" w:cs="Times"/>
          <w:color w:val="000000" w:themeColor="text1"/>
        </w:rPr>
        <w:t>Perhaps the strongest implication from this study is the need to institutionalize predictable and transparent procurement systems that guarantee minimum offtake for local manufacturers. Our findings show that utilization rates across ACTs, LLINs, and RDTs remain far below installed capacity, largely because public procurement cycles are inconsistent, donor preferences favour prequalified imports, and national demand is fragmented across federal, state, and donor-led channels. This mirrors global evidence indicating that weak and unpredictable demand is one of the most significant barriers to African pharmaceutical industrialization (UNCTAD, 2021; Makinde et al., 2022).</w:t>
      </w:r>
    </w:p>
    <w:p w14:paraId="23E4BCE2"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Nigeria’s policy environment must therefore transition from short-term, transactional purchasing to multi-year framework agreements with guaranteed minimum offtake volumes. These agreements should include clear, tiered eligibility pathways beginning with NAFDAC- or ISO-certified products, progressing to ERPD-listed products, and culminating in WHO-prequalified commodities eligible for donor financing. Joint procurement compacts between the Federal Government and major donors are essential to aligning market incentives with local-manufacturing goals. Such market-shaping instruments have been successful in other contexts such as vaccines and diagnostics procurement in East Africa and should be adapted to Nigeria’s malaria-commodity ecosystem.</w:t>
      </w:r>
    </w:p>
    <w:p w14:paraId="192EFC3A"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4.3.2 Expanding Regulatory and Quality-Assurance Infrastructure: </w:t>
      </w:r>
      <w:r w:rsidRPr="00C20947">
        <w:rPr>
          <w:rFonts w:ascii="Times" w:eastAsia="Sorts Mill Goudy" w:hAnsi="Times" w:cs="Times"/>
          <w:color w:val="000000" w:themeColor="text1"/>
        </w:rPr>
        <w:t>Although Nigeria has made remarkable progress particularly with NAFDAC achieving WHO GBT Maturity Level 3, our findings show that regulatory pathways remain a bottleneck. Most domestic manufacturers still depend on external laboratories for bioefficacy, stability, and entomology testing, slowing WHO PQ readiness and increasing production costs. The implication is clear: Nigeria must expand its national regulatory and quality-assurance infrastructure, including accredited entomology labs for LLIN testing, diagnostic reference labs for RDT validation, and bioequivalence centres for pharmaceuticals. Strengthening this ecosystem will reduce reliance on foreign testing, shorten PQ timelines, and increase local manufacturers’ competitiveness outcomes consistently highlighted in global analyses of African regulatory systems (Ndomondo-Sigonda et al., 2017; WHO, 2021).</w:t>
      </w:r>
    </w:p>
    <w:p w14:paraId="3A8EF38B"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4.3.3 Developing a Coherent Industrial Financing Architecture: </w:t>
      </w:r>
      <w:r w:rsidRPr="00C20947">
        <w:rPr>
          <w:rFonts w:ascii="Times" w:eastAsia="Sorts Mill Goudy" w:hAnsi="Times" w:cs="Times"/>
          <w:color w:val="000000" w:themeColor="text1"/>
        </w:rPr>
        <w:t>The study’s financing findings show that access to affordable long-term capital remains one of the most significant constraints. Manufacturers face interest rates between 18–25%, high collateral requirements, and inconsistent implementation of existing fiscal incentives. These constraints replicate regional financing challenges documented across African pharmaceutical markets (African Development Bank, 2021; Makinde et al., 2022). Nigeria needs an integrated financing framework consisting of: blended-finance facilities (grants + concessional loans) for scale-up and PQ-readiness, working capital windows dedicated to local health-commodity manufacturers, guaranteed buyer-backed financing instruments tied to multi-year procurement and tax relief and duty waivers for imported inputs essential for LLIN, RDT, and ACT production. A coordinated financing policy jointly supported by BOI, NEXIM, development banks, and donor partners would significantly strengthen Nigeria’s ability to attract sustained private investment and accelerate industrial maturation.</w:t>
      </w:r>
    </w:p>
    <w:p w14:paraId="1921F75C"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4.3.4 Mitigating Input Dependency through Regional Value Chain Integration: </w:t>
      </w:r>
      <w:r w:rsidRPr="00C20947">
        <w:rPr>
          <w:rFonts w:ascii="Times" w:eastAsia="Sorts Mill Goudy" w:hAnsi="Times" w:cs="Times"/>
          <w:color w:val="000000" w:themeColor="text1"/>
        </w:rPr>
        <w:t xml:space="preserve">Our analysis highlights a central systemic risk: almost all inputs for ACTs, LLINs, and RDTs remain imported. This includes APIs, insecticides, membranes, antibodies, conjugates, nitrocellulose, excipients, and most QC consumables. Such dependence exposes Nigeria to global supply-chain shocks and escalates production costs. The implication for policy is the need to strategically integrate Nigeria into regional and continental value chains, including ECOWAS MRH, AfCFTA, and the African CDC’s PAVM initiative. Critical steps include: promoting joint ventures for local/regional production of nitrocellulose, antibodies, and polymer </w:t>
      </w:r>
      <w:r w:rsidRPr="00C20947">
        <w:rPr>
          <w:rFonts w:ascii="Times" w:eastAsia="Sorts Mill Goudy" w:hAnsi="Times" w:cs="Times"/>
          <w:color w:val="000000" w:themeColor="text1"/>
        </w:rPr>
        <w:lastRenderedPageBreak/>
        <w:t>yarns, supporting petrochemical manufacturers (e.g., Dangote, Indorama) to develop LLIN-grade polypropylene, attracting reagent manufacturers into designated free trade zones through fiscal incentives, and leveraging AfCFTA rules of origin to expand export opportunities for PQ-ready products. Such strategies mirror successful regional industrialization models in East Africa and Asia.</w:t>
      </w:r>
    </w:p>
    <w:p w14:paraId="471B526C"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4.3.5 Enhancing Institutional Coordination and Governance: </w:t>
      </w:r>
      <w:r w:rsidRPr="00C20947">
        <w:rPr>
          <w:rFonts w:ascii="Times" w:eastAsia="Sorts Mill Goudy" w:hAnsi="Times" w:cs="Times"/>
          <w:color w:val="000000" w:themeColor="text1"/>
        </w:rPr>
        <w:t>The study emphasizes governance fragmentation as a cross-cutting constraint. Multiple agencies including, NMEP, NAFDAC, SON, NPSCMP, BOI, FMITI, FMoH interact with manufacturers, yet coordination remains weak. International evidence shows that countries that succeed in pharmaceutical industrialisation (e.g., India, Bangladesh, South Korea) typically centralise governance through a single coordinating body (UNIDO, 2020). Nigeria must therefore institutionalise a National Coordination Platform on Local Manufacturing, with quarterly government–donor–industry engagements responsible for tracking: Local-content compliance, PQ progress, procurement performance, financing access, and capacity utilisation across commodity groups. This body should have clear authority to resolve bottlenecks and align incentives across government and external partners.</w:t>
      </w:r>
    </w:p>
    <w:p w14:paraId="7E35D671" w14:textId="77777777" w:rsidR="00D85FF1" w:rsidRPr="00C20947" w:rsidRDefault="00D85FF1" w:rsidP="00B633A5">
      <w:pPr>
        <w:spacing w:before="120" w:after="120" w:line="240" w:lineRule="auto"/>
        <w:jc w:val="both"/>
        <w:rPr>
          <w:rFonts w:ascii="Times" w:eastAsia="Sorts Mill Goudy" w:hAnsi="Times" w:cs="Times"/>
          <w:color w:val="000000" w:themeColor="text1"/>
        </w:rPr>
      </w:pPr>
    </w:p>
    <w:p w14:paraId="7270ABC0" w14:textId="77777777" w:rsidR="00D85FF1" w:rsidRPr="00C20947" w:rsidRDefault="00D85FF1" w:rsidP="00B633A5">
      <w:pPr>
        <w:spacing w:before="120" w:after="120" w:line="240" w:lineRule="auto"/>
        <w:jc w:val="both"/>
        <w:rPr>
          <w:rFonts w:ascii="Times" w:eastAsia="Sorts Mill Goudy" w:hAnsi="Times" w:cs="Times"/>
          <w:color w:val="000000" w:themeColor="text1"/>
        </w:rPr>
      </w:pPr>
    </w:p>
    <w:p w14:paraId="4B372C0A" w14:textId="77777777" w:rsidR="00357DE2" w:rsidRPr="00C20947" w:rsidRDefault="00D85FF1"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 xml:space="preserve">5. </w:t>
      </w:r>
      <w:r w:rsidR="00FD0753" w:rsidRPr="00C20947">
        <w:rPr>
          <w:rFonts w:ascii="Times" w:eastAsia="Sorts Mill Goudy" w:hAnsi="Times" w:cs="Times"/>
          <w:b/>
          <w:bCs/>
          <w:color w:val="000000" w:themeColor="text1"/>
        </w:rPr>
        <w:t>LIMITATION</w:t>
      </w:r>
    </w:p>
    <w:p w14:paraId="1EA16B94" w14:textId="39EDEEFD"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 xml:space="preserve">This study has limitations. First, </w:t>
      </w:r>
      <w:r w:rsidR="00052C3E" w:rsidRPr="00C20947">
        <w:rPr>
          <w:rFonts w:ascii="Times" w:eastAsia="Sorts Mill Goudy" w:hAnsi="Times" w:cs="Times"/>
          <w:color w:val="000000" w:themeColor="text1"/>
        </w:rPr>
        <w:t>some of the data obtanined were sel</w:t>
      </w:r>
      <w:r w:rsidR="00BB1F79" w:rsidRPr="00C20947">
        <w:rPr>
          <w:rFonts w:ascii="Times" w:eastAsia="Sorts Mill Goudy" w:hAnsi="Times" w:cs="Times"/>
          <w:color w:val="000000" w:themeColor="text1"/>
        </w:rPr>
        <w:t xml:space="preserve">f-reported which are subject to bias. For example, </w:t>
      </w:r>
      <w:r w:rsidRPr="00C20947">
        <w:rPr>
          <w:rFonts w:ascii="Times" w:eastAsia="Sorts Mill Goudy" w:hAnsi="Times" w:cs="Times"/>
          <w:color w:val="000000" w:themeColor="text1"/>
        </w:rPr>
        <w:t xml:space="preserve">the capacity utilization figures are manufacturer-reported and were not independently verified through production records. </w:t>
      </w:r>
      <w:r w:rsidR="00BB1F79" w:rsidRPr="00C20947">
        <w:rPr>
          <w:rFonts w:ascii="Times" w:eastAsia="Sorts Mill Goudy" w:hAnsi="Times" w:cs="Times"/>
          <w:color w:val="000000" w:themeColor="text1"/>
        </w:rPr>
        <w:t>Second</w:t>
      </w:r>
      <w:r w:rsidRPr="00C20947">
        <w:rPr>
          <w:rFonts w:ascii="Times" w:eastAsia="Sorts Mill Goudy" w:hAnsi="Times" w:cs="Times"/>
          <w:color w:val="000000" w:themeColor="text1"/>
        </w:rPr>
        <w:t xml:space="preserve">, the study does not include cost-competitiveness analysis or detailed price comparisons with imported products. </w:t>
      </w:r>
      <w:r w:rsidR="00864196" w:rsidRPr="009B00B9">
        <w:rPr>
          <w:rFonts w:ascii="Times" w:eastAsia="Sorts Mill Goudy" w:hAnsi="Times" w:cs="Times"/>
          <w:color w:val="000000" w:themeColor="text1"/>
          <w:highlight w:val="yellow"/>
        </w:rPr>
        <w:t>Third, the study relied on consultant-led and secondary data, potential reporting bias from manufacturers, absence of cost-effectiveness or price competitiveness analysis, and limited assessment of end-user (health system) readiness</w:t>
      </w:r>
      <w:r w:rsidR="009B00B9" w:rsidRPr="009B00B9">
        <w:rPr>
          <w:rFonts w:ascii="Times" w:eastAsia="Sorts Mill Goudy" w:hAnsi="Times" w:cs="Times"/>
          <w:color w:val="000000" w:themeColor="text1"/>
          <w:highlight w:val="yellow"/>
        </w:rPr>
        <w:t>.</w:t>
      </w:r>
      <w:r w:rsidR="009B00B9" w:rsidRPr="009B00B9">
        <w:rPr>
          <w:rFonts w:ascii="Times" w:eastAsia="Sorts Mill Goudy" w:hAnsi="Times" w:cs="Times"/>
          <w:color w:val="000000" w:themeColor="text1"/>
        </w:rPr>
        <w:t xml:space="preserve"> </w:t>
      </w:r>
      <w:r w:rsidRPr="00C20947">
        <w:rPr>
          <w:rFonts w:ascii="Times" w:eastAsia="Sorts Mill Goudy" w:hAnsi="Times" w:cs="Times"/>
          <w:color w:val="000000" w:themeColor="text1"/>
        </w:rPr>
        <w:t xml:space="preserve">Fourth, while we assess financing constraints qualitatively, we did not conduct formal financial modeling of investment requirements. Finally, the study focuses on technical and systemic constraints but does not deeply examine political </w:t>
      </w:r>
      <w:r w:rsidR="007C3AAE" w:rsidRPr="00C20947">
        <w:rPr>
          <w:rFonts w:ascii="Times" w:eastAsia="Sorts Mill Goudy" w:hAnsi="Times" w:cs="Times"/>
          <w:color w:val="000000" w:themeColor="text1"/>
        </w:rPr>
        <w:t>economic</w:t>
      </w:r>
      <w:r w:rsidRPr="00C20947">
        <w:rPr>
          <w:rFonts w:ascii="Times" w:eastAsia="Sorts Mill Goudy" w:hAnsi="Times" w:cs="Times"/>
          <w:color w:val="000000" w:themeColor="text1"/>
        </w:rPr>
        <w:t xml:space="preserve"> factors or stakeholder incentive structures that may influence implementation of recommended reforms.</w:t>
      </w:r>
    </w:p>
    <w:p w14:paraId="31A8CE7B" w14:textId="77777777" w:rsidR="00D85FF1" w:rsidRPr="00C20947" w:rsidRDefault="00D85FF1" w:rsidP="00B633A5">
      <w:pPr>
        <w:spacing w:before="120" w:after="120" w:line="240" w:lineRule="auto"/>
        <w:jc w:val="both"/>
        <w:rPr>
          <w:rFonts w:ascii="Times" w:eastAsia="Sorts Mill Goudy" w:hAnsi="Times" w:cs="Times"/>
          <w:color w:val="000000" w:themeColor="text1"/>
        </w:rPr>
      </w:pPr>
    </w:p>
    <w:p w14:paraId="340603A0" w14:textId="77777777" w:rsidR="00357DE2" w:rsidRPr="00C20947" w:rsidRDefault="00D85FF1"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6</w:t>
      </w:r>
      <w:r w:rsidR="00FD0753" w:rsidRPr="00C20947">
        <w:rPr>
          <w:rFonts w:ascii="Times" w:eastAsia="Sorts Mill Goudy" w:hAnsi="Times" w:cs="Times"/>
          <w:b/>
          <w:bCs/>
          <w:color w:val="000000" w:themeColor="text1"/>
        </w:rPr>
        <w:t>. CONCLUSION</w:t>
      </w:r>
    </w:p>
    <w:p w14:paraId="65C5DAC7"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Nigeria stands at a defining juncture in its pursuit of health security and industrial self-reliance. This study has demonstrated that the country possesses one of the most advanced and diversified health-commodity manufacturing ecosystems in sub-Saharan Africa, with significant installed capacity across ACTs, LLINs, RDTs, APIs, and related commodity groups. The progress observed in regulatory strengthening particularly NAFDAC’s attainment of WHO Maturity Level 3 and the expanding ISO 13485 footprint among manufacturers further distinguishes Nigeria from many regional peers and creates a strong foundation for deeper industrialization. These domestic strengths provide real opportunities for Nigeria to transition from its current import-dependent system to a more resilient, self-sustaining, and regionally competitive manufacturing hub.</w:t>
      </w:r>
    </w:p>
    <w:p w14:paraId="7266F355"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Yet, the study also highlights persistent systemic constraints that undermine the realization of this potential. Capacity across all commodity groups remains significantly underutilized due to fragmented procurement systems, unpredictable demand, donor preferences for imported PQ-certified products, and the absence of long-term framework contracts. Likewise, heavy dependence on imported inputs ranging from APIs and insecticides to membranes and antibodies creates structural vulnerabilities that elevate production costs and expose manufacturers to global supply-chain shocks. Regulatory bottlenecks, including limited domestic testing infrastructure for PQ validation, further delay market entry and restrict access to donor-funded procurement channels.</w:t>
      </w:r>
    </w:p>
    <w:p w14:paraId="72920B6C"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lastRenderedPageBreak/>
        <w:t>These findings highlight the need for coordinated, multi-sectoral reforms that directly address Nigeria’s structural barriers. Achieving sustainable industrial growth will require strengthening procurement governance, institutionalizing multi-year offtake agreements, expanding domestic laboratory and regulatory infrastructure, deploying blended-finance mechanisms, and reducing input dependence through targeted regional value-chain development. Importantly, Nigeria’s emerging capacity aligns with continental aspirations under the African Union’s Pharmaceutical Manufacturing Plan for Africa, signaling opportunities for regional market integration and export readiness once PQ milestones are achieved.</w:t>
      </w:r>
    </w:p>
    <w:p w14:paraId="67CD1EB3" w14:textId="77777777" w:rsidR="00357DE2" w:rsidRPr="00C20947" w:rsidRDefault="00FD0753" w:rsidP="00B633A5">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color w:val="000000" w:themeColor="text1"/>
        </w:rPr>
        <w:t>Ultimately, this study reinforces that Nigeria’s transition toward domestic manufacturing resilience is both feasible and urgent. With well-coordinated policy action, Nigeria can reposition itself as a regional manufacturing leader, enhance national preparedness against global supply disruptions, reduce long-term procurement costs, and generate high-value employment. The path forward requires deliberate and sustained commitment, but the evidence presented here demonstrates that the foundation for transformation already exists and that Nigeria is uniquely positioned to lead West Africa toward greater pharmaceutical and health-commodity self-sufficiency.</w:t>
      </w:r>
    </w:p>
    <w:p w14:paraId="431FAB98" w14:textId="77777777" w:rsidR="00357DE2" w:rsidRPr="00C20947" w:rsidRDefault="00FD0753" w:rsidP="00CD7C33">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Acknowledgement:</w:t>
      </w:r>
      <w:r w:rsidRPr="00C20947">
        <w:rPr>
          <w:rFonts w:ascii="Times" w:eastAsia="Sorts Mill Goudy" w:hAnsi="Times" w:cs="Times"/>
          <w:color w:val="000000" w:themeColor="text1"/>
        </w:rPr>
        <w:t xml:space="preserve"> The authors acknowledge the Presidential Initiative for Unlocking the Healthcare Value Chain (PVAC) and the National Malaria Elimination Programme (NMEP) for leading the national assessment process from which this study draws. We also thank the World Bank IMPACT Project for technical and logistical support provided during data collection across ACT, API, LLIN, and RDT manufacturing facilities. Appreciation is extended to the participating manufacturers, regulatory agencies, and industry associations who provided valuable data and insights.</w:t>
      </w:r>
    </w:p>
    <w:p w14:paraId="3106B5A5" w14:textId="77777777" w:rsidR="00357DE2" w:rsidRPr="00C20947" w:rsidRDefault="00FD0753" w:rsidP="00CD7C33">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Funding Statement: </w:t>
      </w:r>
      <w:r w:rsidRPr="00C20947">
        <w:rPr>
          <w:rFonts w:ascii="Times" w:eastAsia="Sorts Mill Goudy" w:hAnsi="Times" w:cs="Times"/>
          <w:color w:val="000000" w:themeColor="text1"/>
        </w:rPr>
        <w:t>This study is based on data generated under the Enhancing Local Manufacturing and Supply Chain Management for Malaria Commodities in Nigeria Project, jointly supported by the Presidential Initiative for Unlocking the Healthcare Value Chain (PVAC), the National Malaria Elimination Programme (NMEP), and the World Bank IMPACT Project. No additional funding was received for the preparation of this manuscript.</w:t>
      </w:r>
    </w:p>
    <w:p w14:paraId="69734318" w14:textId="77777777" w:rsidR="00357DE2" w:rsidRPr="00C20947" w:rsidRDefault="00FD0753" w:rsidP="00CD7C33">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Ethical Approval Statement: </w:t>
      </w:r>
      <w:r w:rsidRPr="00C20947">
        <w:rPr>
          <w:rFonts w:ascii="Times" w:eastAsia="Sorts Mill Goudy" w:hAnsi="Times" w:cs="Times"/>
          <w:color w:val="000000" w:themeColor="text1"/>
        </w:rPr>
        <w:t>Ethical approval was not required for this study as it relied exclusively on secondary data from institutional capacity assessments, manufacturer audits, and policy documents, and did not involve human participants or the collection of personal or sensitive data.</w:t>
      </w:r>
    </w:p>
    <w:p w14:paraId="05E1ECDA" w14:textId="77777777" w:rsidR="00357DE2" w:rsidRPr="00C20947" w:rsidRDefault="00FD0753" w:rsidP="00CD7C33">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Availability of Data and Materials: </w:t>
      </w:r>
      <w:r w:rsidRPr="00C20947">
        <w:rPr>
          <w:rFonts w:ascii="Times" w:eastAsia="Sorts Mill Goudy" w:hAnsi="Times" w:cs="Times"/>
          <w:color w:val="000000" w:themeColor="text1"/>
        </w:rPr>
        <w:t>All data used in this study were obtained from national technical briefs and a consultant assessment conducted under the PVAC–NMEP–World Bank IMPACT Project. These materials are not publicly archived but may be made available upon reasonable request to the National Malaria Elimination Programme (NMEP) and the Presidential Initiative for Unlocking the Healthcare Value Chain (PVAC).</w:t>
      </w:r>
    </w:p>
    <w:p w14:paraId="474827B5" w14:textId="77777777" w:rsidR="00357DE2" w:rsidRPr="00C20947" w:rsidRDefault="00FD0753" w:rsidP="00CD7C33">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Competing Interests:</w:t>
      </w:r>
      <w:r w:rsidRPr="00C20947">
        <w:rPr>
          <w:rFonts w:ascii="Times" w:eastAsia="Sorts Mill Goudy" w:hAnsi="Times" w:cs="Times"/>
          <w:color w:val="000000" w:themeColor="text1"/>
        </w:rPr>
        <w:t xml:space="preserve"> The authors declare no competing interests.</w:t>
      </w:r>
    </w:p>
    <w:p w14:paraId="362833A8" w14:textId="77777777" w:rsidR="00357DE2" w:rsidRPr="00C20947" w:rsidRDefault="00FD0753" w:rsidP="00CD7C33">
      <w:pPr>
        <w:spacing w:before="120" w:after="120" w:line="240" w:lineRule="auto"/>
        <w:jc w:val="both"/>
        <w:rPr>
          <w:rFonts w:ascii="Times" w:eastAsia="Sorts Mill Goudy" w:hAnsi="Times" w:cs="Times"/>
          <w:color w:val="000000" w:themeColor="text1"/>
        </w:rPr>
      </w:pPr>
      <w:r w:rsidRPr="00C20947">
        <w:rPr>
          <w:rFonts w:ascii="Times" w:eastAsia="Sorts Mill Goudy" w:hAnsi="Times" w:cs="Times"/>
          <w:b/>
          <w:bCs/>
          <w:color w:val="000000" w:themeColor="text1"/>
        </w:rPr>
        <w:t xml:space="preserve">Project Information: </w:t>
      </w:r>
      <w:r w:rsidRPr="00C20947">
        <w:rPr>
          <w:rFonts w:ascii="Times" w:eastAsia="Sorts Mill Goudy" w:hAnsi="Times" w:cs="Times"/>
          <w:color w:val="000000" w:themeColor="text1"/>
        </w:rPr>
        <w:t xml:space="preserve">The underlying project was supported by the World Bank IMPACT Project in collaboration with PVAC and NMEP. </w:t>
      </w:r>
    </w:p>
    <w:p w14:paraId="3F5272E5" w14:textId="529B1BBB" w:rsidR="00357DE2" w:rsidRPr="00C20947" w:rsidRDefault="00357DE2" w:rsidP="00B633A5">
      <w:pPr>
        <w:spacing w:before="120" w:after="120" w:line="240" w:lineRule="auto"/>
        <w:rPr>
          <w:rFonts w:ascii="Times" w:hAnsi="Times" w:cs="Times"/>
          <w:color w:val="000000" w:themeColor="text1"/>
        </w:rPr>
      </w:pPr>
    </w:p>
    <w:p w14:paraId="21CBF5EE" w14:textId="77777777" w:rsidR="00B633A5" w:rsidRPr="00C20947" w:rsidRDefault="00B633A5" w:rsidP="00B633A5">
      <w:pPr>
        <w:spacing w:before="120" w:after="120" w:line="240" w:lineRule="auto"/>
        <w:jc w:val="both"/>
        <w:rPr>
          <w:rFonts w:ascii="Times" w:eastAsia="Sorts Mill Goudy" w:hAnsi="Times" w:cs="Times"/>
          <w:b/>
          <w:bCs/>
          <w:color w:val="000000" w:themeColor="text1"/>
        </w:rPr>
      </w:pPr>
    </w:p>
    <w:p w14:paraId="6C2EB039" w14:textId="77777777" w:rsidR="00E31C96" w:rsidRDefault="00E31C96" w:rsidP="00E31C96">
      <w:r>
        <w:t>Disclaimer (Artificial intelligence)</w:t>
      </w:r>
    </w:p>
    <w:p w14:paraId="562B6F98" w14:textId="77777777" w:rsidR="00E31C96" w:rsidRDefault="00E31C96" w:rsidP="00E31C96">
      <w:r>
        <w:t xml:space="preserve">Option 1: </w:t>
      </w:r>
    </w:p>
    <w:p w14:paraId="5B6501D8" w14:textId="77777777" w:rsidR="00E31C96" w:rsidRDefault="00E31C96" w:rsidP="00E31C96">
      <w:r>
        <w:t xml:space="preserve">Author(s) hereby declare that NO generative AI technologies such as Large Language Models (ChatGPT, COPILOT, etc.) and text-to-image generators have been used during the writing or editing of this manuscript. </w:t>
      </w:r>
    </w:p>
    <w:p w14:paraId="4D049D53" w14:textId="77777777" w:rsidR="00E31C96" w:rsidRDefault="00E31C96" w:rsidP="00E31C96">
      <w:r>
        <w:lastRenderedPageBreak/>
        <w:t xml:space="preserve">Option 2: </w:t>
      </w:r>
    </w:p>
    <w:p w14:paraId="45145B89" w14:textId="77777777" w:rsidR="00E31C96" w:rsidRDefault="00E31C96" w:rsidP="00E31C96">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9085D34" w14:textId="77777777" w:rsidR="00E31C96" w:rsidRDefault="00E31C96" w:rsidP="00E31C96">
      <w:r>
        <w:t>Details of the AI usage are given below:</w:t>
      </w:r>
    </w:p>
    <w:p w14:paraId="10EC63D8" w14:textId="77777777" w:rsidR="00E31C96" w:rsidRDefault="00E31C96" w:rsidP="00E31C96">
      <w:r>
        <w:t>1.</w:t>
      </w:r>
    </w:p>
    <w:p w14:paraId="57BF01AD" w14:textId="77777777" w:rsidR="00E31C96" w:rsidRDefault="00E31C96" w:rsidP="00E31C96">
      <w:r>
        <w:t>2.</w:t>
      </w:r>
    </w:p>
    <w:p w14:paraId="55B02A21" w14:textId="77777777" w:rsidR="00E31C96" w:rsidRPr="00D047BB" w:rsidRDefault="00E31C96" w:rsidP="00E31C96">
      <w:r>
        <w:t>3.</w:t>
      </w:r>
    </w:p>
    <w:p w14:paraId="624D1D7C" w14:textId="77777777" w:rsidR="00E31C96" w:rsidRPr="0063354D" w:rsidRDefault="00E31C96" w:rsidP="00E31C96"/>
    <w:p w14:paraId="437114A9" w14:textId="77777777" w:rsidR="00E31C96" w:rsidRPr="00F7241A" w:rsidRDefault="00E31C96" w:rsidP="00E31C96"/>
    <w:p w14:paraId="169F94CB" w14:textId="77777777" w:rsidR="00B633A5" w:rsidRPr="00C20947" w:rsidRDefault="00B633A5" w:rsidP="00B633A5">
      <w:pPr>
        <w:spacing w:before="120" w:after="120" w:line="240" w:lineRule="auto"/>
        <w:jc w:val="both"/>
        <w:rPr>
          <w:rFonts w:ascii="Times" w:eastAsia="Sorts Mill Goudy" w:hAnsi="Times" w:cs="Times"/>
          <w:b/>
          <w:bCs/>
          <w:color w:val="000000" w:themeColor="text1"/>
        </w:rPr>
      </w:pPr>
      <w:bookmarkStart w:id="0" w:name="_GoBack"/>
      <w:bookmarkEnd w:id="0"/>
    </w:p>
    <w:p w14:paraId="64414154" w14:textId="77777777" w:rsidR="00B633A5" w:rsidRPr="00C20947" w:rsidRDefault="00B633A5" w:rsidP="00B633A5">
      <w:pPr>
        <w:spacing w:before="120" w:after="120" w:line="240" w:lineRule="auto"/>
        <w:jc w:val="both"/>
        <w:rPr>
          <w:rFonts w:ascii="Times" w:eastAsia="Sorts Mill Goudy" w:hAnsi="Times" w:cs="Times"/>
          <w:b/>
          <w:bCs/>
          <w:color w:val="000000" w:themeColor="text1"/>
        </w:rPr>
      </w:pPr>
    </w:p>
    <w:p w14:paraId="1F958930" w14:textId="77777777" w:rsidR="00B633A5" w:rsidRPr="00C20947" w:rsidRDefault="00B633A5" w:rsidP="00B633A5">
      <w:pPr>
        <w:spacing w:before="120" w:after="120" w:line="240" w:lineRule="auto"/>
        <w:jc w:val="both"/>
        <w:rPr>
          <w:rFonts w:ascii="Times" w:eastAsia="Sorts Mill Goudy" w:hAnsi="Times" w:cs="Times"/>
          <w:b/>
          <w:bCs/>
          <w:color w:val="000000" w:themeColor="text1"/>
        </w:rPr>
      </w:pPr>
    </w:p>
    <w:p w14:paraId="53D14E00" w14:textId="77777777" w:rsidR="00B633A5" w:rsidRPr="00C20947" w:rsidRDefault="00B633A5" w:rsidP="00B633A5">
      <w:pPr>
        <w:spacing w:before="120" w:after="120" w:line="240" w:lineRule="auto"/>
        <w:jc w:val="both"/>
        <w:rPr>
          <w:rFonts w:ascii="Times" w:eastAsia="Sorts Mill Goudy" w:hAnsi="Times" w:cs="Times"/>
          <w:b/>
          <w:bCs/>
          <w:color w:val="000000" w:themeColor="text1"/>
        </w:rPr>
      </w:pPr>
    </w:p>
    <w:p w14:paraId="5F6D179A" w14:textId="77777777" w:rsidR="00B633A5" w:rsidRPr="00C20947" w:rsidRDefault="00B633A5" w:rsidP="00B633A5">
      <w:pPr>
        <w:spacing w:before="120" w:after="120" w:line="240" w:lineRule="auto"/>
        <w:jc w:val="both"/>
        <w:rPr>
          <w:rFonts w:ascii="Times" w:eastAsia="Sorts Mill Goudy" w:hAnsi="Times" w:cs="Times"/>
          <w:b/>
          <w:bCs/>
          <w:color w:val="000000" w:themeColor="text1"/>
        </w:rPr>
      </w:pPr>
    </w:p>
    <w:p w14:paraId="7001AAE8" w14:textId="77777777" w:rsidR="00B633A5" w:rsidRPr="00C20947" w:rsidRDefault="00B633A5" w:rsidP="00B633A5">
      <w:pPr>
        <w:spacing w:before="120" w:after="120" w:line="240" w:lineRule="auto"/>
        <w:jc w:val="both"/>
        <w:rPr>
          <w:rFonts w:ascii="Times" w:eastAsia="Sorts Mill Goudy" w:hAnsi="Times" w:cs="Times"/>
          <w:b/>
          <w:bCs/>
          <w:color w:val="000000" w:themeColor="text1"/>
        </w:rPr>
      </w:pPr>
    </w:p>
    <w:p w14:paraId="14289762" w14:textId="77777777" w:rsidR="00B633A5" w:rsidRPr="00C20947" w:rsidRDefault="00B633A5" w:rsidP="00B633A5">
      <w:pPr>
        <w:spacing w:before="120" w:after="120" w:line="240" w:lineRule="auto"/>
        <w:jc w:val="both"/>
        <w:rPr>
          <w:rFonts w:ascii="Times" w:eastAsia="Sorts Mill Goudy" w:hAnsi="Times" w:cs="Times"/>
          <w:b/>
          <w:bCs/>
          <w:color w:val="000000" w:themeColor="text1"/>
        </w:rPr>
      </w:pPr>
    </w:p>
    <w:p w14:paraId="7AE2E1DB" w14:textId="77777777" w:rsidR="00B633A5" w:rsidRPr="00C20947" w:rsidRDefault="00B633A5" w:rsidP="00B633A5">
      <w:pPr>
        <w:spacing w:before="120" w:after="120" w:line="240" w:lineRule="auto"/>
        <w:jc w:val="both"/>
        <w:rPr>
          <w:rFonts w:ascii="Times" w:eastAsia="Sorts Mill Goudy" w:hAnsi="Times" w:cs="Times"/>
          <w:b/>
          <w:bCs/>
          <w:color w:val="000000" w:themeColor="text1"/>
        </w:rPr>
      </w:pPr>
    </w:p>
    <w:p w14:paraId="590EA43D" w14:textId="54377402" w:rsidR="00357DE2" w:rsidRPr="00C20947" w:rsidRDefault="00FD0753" w:rsidP="00B633A5">
      <w:pPr>
        <w:spacing w:before="120" w:after="120" w:line="240" w:lineRule="auto"/>
        <w:jc w:val="both"/>
        <w:rPr>
          <w:rFonts w:ascii="Times" w:eastAsia="Sorts Mill Goudy" w:hAnsi="Times" w:cs="Times"/>
          <w:b/>
          <w:bCs/>
          <w:color w:val="000000" w:themeColor="text1"/>
        </w:rPr>
      </w:pPr>
      <w:r w:rsidRPr="00C20947">
        <w:rPr>
          <w:rFonts w:ascii="Times" w:eastAsia="Sorts Mill Goudy" w:hAnsi="Times" w:cs="Times"/>
          <w:b/>
          <w:bCs/>
          <w:color w:val="000000" w:themeColor="text1"/>
        </w:rPr>
        <w:t>REFERENCES:</w:t>
      </w:r>
    </w:p>
    <w:p w14:paraId="42FCCAB9" w14:textId="77777777"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Abdisa, L. T., &amp; Hawitibo, A. L. (2021). Firm performance under financial constraints: Evidence from Sub-Saharan African countries. Journal of Innovation and Entrepreneurship, 10(1), 38. </w:t>
      </w:r>
      <w:hyperlink r:id="rId11" w:history="1">
        <w:r w:rsidRPr="00DA0F27">
          <w:rPr>
            <w:rStyle w:val="Hyperlink"/>
            <w:rFonts w:ascii="Times" w:eastAsia="Sorts Mill Goudy" w:hAnsi="Times" w:cs="Times"/>
            <w:highlight w:val="yellow"/>
          </w:rPr>
          <w:t>https://doi.org/10.1186/s13731-021-00177-1</w:t>
        </w:r>
      </w:hyperlink>
      <w:r w:rsidRPr="00DA0F27">
        <w:rPr>
          <w:rFonts w:ascii="Times" w:eastAsia="Sorts Mill Goudy" w:hAnsi="Times" w:cs="Times"/>
          <w:color w:val="000000" w:themeColor="text1"/>
          <w:highlight w:val="yellow"/>
        </w:rPr>
        <w:t xml:space="preserve"> </w:t>
      </w:r>
    </w:p>
    <w:p w14:paraId="76F9F68B" w14:textId="77777777"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Adebisi, Y. A., Nwogu, I. B., Alaran, A. J., Badmos, A. O., Bamgboye, A. O., Rufai, B. O., Okonji, O. C., Malik, M. O., Teibo, J. O., Abdalla, S. F., Lucero-Prisno, D. E., Samai, M., &amp; Akande-Sholabi, W. (2022). Revisiting the issue of access to medicines in Africa: Challenges and recommendations. Public Health Challenges, 1(2), e9. </w:t>
      </w:r>
      <w:hyperlink r:id="rId12" w:history="1">
        <w:r w:rsidRPr="00DA0F27">
          <w:rPr>
            <w:rStyle w:val="Hyperlink"/>
            <w:rFonts w:ascii="Times" w:eastAsia="Sorts Mill Goudy" w:hAnsi="Times" w:cs="Times"/>
            <w:highlight w:val="yellow"/>
          </w:rPr>
          <w:t>https://doi.org/10.1002/puh2.9</w:t>
        </w:r>
      </w:hyperlink>
      <w:r w:rsidRPr="00DA0F27">
        <w:rPr>
          <w:rFonts w:ascii="Times" w:eastAsia="Sorts Mill Goudy" w:hAnsi="Times" w:cs="Times"/>
          <w:color w:val="000000" w:themeColor="text1"/>
          <w:highlight w:val="yellow"/>
        </w:rPr>
        <w:t xml:space="preserve">  </w:t>
      </w:r>
    </w:p>
    <w:p w14:paraId="6E741C71" w14:textId="77777777"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Africa Centres for Disease Control and Prevention. (2021). Partnership for African Vaccine Manufacturing (PAVM) framework for action. Africa CDC. Retrieved from https://africacdc.org/wp-content/uploads/2021/11/ENGLISH_PAVM_Public-Stakeholder-Engagement_Concept-note_Final-version.pdf </w:t>
      </w:r>
    </w:p>
    <w:p w14:paraId="77741541" w14:textId="77777777"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African Continental Free Trade Area. (n.d.). African Continental Free Trade Area (AfCFTA). African Union. Retrieved from </w:t>
      </w:r>
      <w:hyperlink r:id="rId13" w:history="1">
        <w:r w:rsidRPr="00DA0F27">
          <w:rPr>
            <w:rStyle w:val="Hyperlink"/>
            <w:rFonts w:ascii="Times" w:eastAsia="Sorts Mill Goudy" w:hAnsi="Times" w:cs="Times"/>
            <w:highlight w:val="yellow"/>
          </w:rPr>
          <w:t>https://au.int/en/african-continental-free-trade-area?utm_source</w:t>
        </w:r>
      </w:hyperlink>
      <w:r w:rsidRPr="00DA0F27">
        <w:rPr>
          <w:rFonts w:ascii="Times" w:eastAsia="Sorts Mill Goudy" w:hAnsi="Times" w:cs="Times"/>
          <w:color w:val="000000" w:themeColor="text1"/>
          <w:highlight w:val="yellow"/>
        </w:rPr>
        <w:t xml:space="preserve"> </w:t>
      </w:r>
    </w:p>
    <w:p w14:paraId="3B6068B5" w14:textId="77777777"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African Development Bank Group. (2021). AfDB annual report 2021. African Development Bank Group. Retrieved from </w:t>
      </w:r>
      <w:hyperlink r:id="rId14" w:history="1">
        <w:r w:rsidRPr="00DA0F27">
          <w:rPr>
            <w:rStyle w:val="Hyperlink"/>
            <w:rFonts w:ascii="Times" w:eastAsia="Sorts Mill Goudy" w:hAnsi="Times" w:cs="Times"/>
            <w:highlight w:val="yellow"/>
          </w:rPr>
          <w:t>https://www.afdb.org/sites/default/files/documents/publications/afdb_annual_report_2021_main_eng1.pdf?utm_source</w:t>
        </w:r>
      </w:hyperlink>
      <w:r w:rsidRPr="00DA0F27">
        <w:rPr>
          <w:rFonts w:ascii="Times" w:eastAsia="Sorts Mill Goudy" w:hAnsi="Times" w:cs="Times"/>
          <w:color w:val="000000" w:themeColor="text1"/>
          <w:highlight w:val="yellow"/>
        </w:rPr>
        <w:t xml:space="preserve">  </w:t>
      </w:r>
    </w:p>
    <w:p w14:paraId="7C9DB899" w14:textId="77777777"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African Union Commission. (2012). Pharmaceutical Manufacturing Plan for Africa (PMPA) — Business Plan. African Union Commission. Retrieved from </w:t>
      </w:r>
      <w:hyperlink r:id="rId15" w:history="1">
        <w:r w:rsidRPr="00DA0F27">
          <w:rPr>
            <w:rStyle w:val="Hyperlink"/>
            <w:rFonts w:ascii="Times" w:eastAsia="Sorts Mill Goudy" w:hAnsi="Times" w:cs="Times"/>
            <w:highlight w:val="yellow"/>
          </w:rPr>
          <w:t>https://au.int/sites/default/files/pages/32895-file-pmpa_business_plan.pdf</w:t>
        </w:r>
      </w:hyperlink>
      <w:r w:rsidRPr="00DA0F27">
        <w:rPr>
          <w:rFonts w:ascii="Times" w:eastAsia="Sorts Mill Goudy" w:hAnsi="Times" w:cs="Times"/>
          <w:color w:val="000000" w:themeColor="text1"/>
          <w:highlight w:val="yellow"/>
        </w:rPr>
        <w:t xml:space="preserve"> </w:t>
      </w:r>
    </w:p>
    <w:p w14:paraId="5D05227D" w14:textId="347E56D9"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lastRenderedPageBreak/>
        <w:t xml:space="preserve">Beargie, S. M., Higgins, C. R., Evans, D. R., Laing, S. K., Erim, D., &amp; Ozawa, S (2019) The economic impact of substandard and falsified antimalarial medications in Nigeria. PLoS ONE 14(8): e0217910. </w:t>
      </w:r>
      <w:hyperlink r:id="rId16" w:history="1">
        <w:r w:rsidRPr="00DA0F27">
          <w:rPr>
            <w:rStyle w:val="Hyperlink"/>
            <w:rFonts w:ascii="Times" w:eastAsia="Sorts Mill Goudy" w:hAnsi="Times" w:cs="Times"/>
            <w:highlight w:val="yellow"/>
          </w:rPr>
          <w:t>https://doi.org/10.1371/journal.pone.0217910</w:t>
        </w:r>
      </w:hyperlink>
      <w:r w:rsidRPr="00DA0F27">
        <w:rPr>
          <w:rFonts w:ascii="Times" w:eastAsia="Sorts Mill Goudy" w:hAnsi="Times" w:cs="Times"/>
          <w:color w:val="000000" w:themeColor="text1"/>
          <w:highlight w:val="yellow"/>
        </w:rPr>
        <w:t xml:space="preserve">  </w:t>
      </w:r>
    </w:p>
    <w:p w14:paraId="2908EAFB" w14:textId="4A44C604"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Ekeigwe, A.A. (2019). Drug manufacturing and access to medicines: the West African story. A literature review of challenges and proposed remediation. AAPS Open 5, 3 (2019). </w:t>
      </w:r>
      <w:hyperlink r:id="rId17" w:history="1">
        <w:r w:rsidRPr="00DA0F27">
          <w:rPr>
            <w:rStyle w:val="Hyperlink"/>
            <w:rFonts w:ascii="Times" w:eastAsia="Sorts Mill Goudy" w:hAnsi="Times" w:cs="Times"/>
            <w:highlight w:val="yellow"/>
          </w:rPr>
          <w:t>https://doi.org/10.1186/s41120-019-0032-x</w:t>
        </w:r>
      </w:hyperlink>
      <w:r w:rsidRPr="00DA0F27">
        <w:rPr>
          <w:rFonts w:ascii="Times" w:eastAsia="Sorts Mill Goudy" w:hAnsi="Times" w:cs="Times"/>
          <w:color w:val="000000" w:themeColor="text1"/>
          <w:highlight w:val="yellow"/>
        </w:rPr>
        <w:t xml:space="preserve">  </w:t>
      </w:r>
    </w:p>
    <w:p w14:paraId="562B634B" w14:textId="6425A4DD"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Fatokun O. (2016). Curbing the circulation of counterfeit medicines in Nigeria. Lancet (London, England), 388(10060), 2603. </w:t>
      </w:r>
      <w:hyperlink r:id="rId18" w:history="1">
        <w:r w:rsidRPr="00DA0F27">
          <w:rPr>
            <w:rStyle w:val="Hyperlink"/>
            <w:rFonts w:ascii="Times" w:eastAsia="Sorts Mill Goudy" w:hAnsi="Times" w:cs="Times"/>
            <w:highlight w:val="yellow"/>
          </w:rPr>
          <w:t>https://doi.org/10.1016/S0140-6736(16)32121-3</w:t>
        </w:r>
      </w:hyperlink>
      <w:r w:rsidRPr="00DA0F27">
        <w:rPr>
          <w:rFonts w:ascii="Times" w:eastAsia="Sorts Mill Goudy" w:hAnsi="Times" w:cs="Times"/>
          <w:color w:val="000000" w:themeColor="text1"/>
          <w:highlight w:val="yellow"/>
        </w:rPr>
        <w:t xml:space="preserve">   </w:t>
      </w:r>
    </w:p>
    <w:p w14:paraId="598D125B" w14:textId="31CB6E1F"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Federal Ministry of Health &amp; Social Welfare. (2025). State of health of the nation report 2024. Federal Ministry of Health &amp; Social Welfare. Retrieved from </w:t>
      </w:r>
      <w:hyperlink r:id="rId19" w:history="1">
        <w:r w:rsidRPr="00DA0F27">
          <w:rPr>
            <w:rStyle w:val="Hyperlink"/>
            <w:rFonts w:ascii="Times" w:eastAsia="Sorts Mill Goudy" w:hAnsi="Times" w:cs="Times"/>
            <w:highlight w:val="yellow"/>
          </w:rPr>
          <w:t>https://fmohconnect.gov.ng/wp-content/uploads/2025/05/The-State-of-Health-of-the-Nation-Report-2024.pdf</w:t>
        </w:r>
      </w:hyperlink>
      <w:r w:rsidRPr="00DA0F27">
        <w:rPr>
          <w:rFonts w:ascii="Times" w:eastAsia="Sorts Mill Goudy" w:hAnsi="Times" w:cs="Times"/>
          <w:color w:val="000000" w:themeColor="text1"/>
          <w:highlight w:val="yellow"/>
        </w:rPr>
        <w:t xml:space="preserve">   </w:t>
      </w:r>
    </w:p>
    <w:p w14:paraId="14060C4C" w14:textId="310E4C03"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Federal Ministry of Industry, Trade &amp; Investment. (2014). Nigeria Industrial Revolution Plan (NIRP). Federal Ministry of Industry, Trade &amp; Investment. Retrieved from </w:t>
      </w:r>
      <w:hyperlink r:id="rId20" w:history="1">
        <w:r w:rsidRPr="00DA0F27">
          <w:rPr>
            <w:rStyle w:val="Hyperlink"/>
            <w:rFonts w:ascii="Times" w:eastAsia="Sorts Mill Goudy" w:hAnsi="Times" w:cs="Times"/>
            <w:highlight w:val="yellow"/>
          </w:rPr>
          <w:t>https://nipc.gov.ng/wp-content/uploads/2019/03/nirp.pdf</w:t>
        </w:r>
      </w:hyperlink>
      <w:r w:rsidRPr="00DA0F27">
        <w:rPr>
          <w:rFonts w:ascii="Times" w:eastAsia="Sorts Mill Goudy" w:hAnsi="Times" w:cs="Times"/>
          <w:color w:val="000000" w:themeColor="text1"/>
          <w:highlight w:val="yellow"/>
        </w:rPr>
        <w:t xml:space="preserve">  </w:t>
      </w:r>
    </w:p>
    <w:p w14:paraId="47126DEA" w14:textId="42B032D6"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Gore, C., &amp; Makhaya, G. (2020). Industrial development in Africa: Challenges in building regional value chains. UNIDO Working Paper Series. </w:t>
      </w:r>
      <w:r w:rsidRPr="00DA0F27">
        <w:rPr>
          <w:rFonts w:ascii="Times" w:eastAsia="Sorts Mill Goudy" w:hAnsi="Times" w:cs="Times"/>
          <w:i/>
          <w:iCs/>
          <w:color w:val="000000" w:themeColor="text1"/>
          <w:highlight w:val="yellow"/>
        </w:rPr>
        <w:t>Unpublished conceptual analysis.</w:t>
      </w:r>
    </w:p>
    <w:p w14:paraId="290F8D97" w14:textId="77777777"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HSCL. (2025). Capacity assessment report on local manufacturing of malaria commodities in Nigeria. Health Systems Consult Limited. </w:t>
      </w:r>
      <w:r w:rsidRPr="00DA0F27">
        <w:rPr>
          <w:rFonts w:ascii="Times" w:eastAsia="Sorts Mill Goudy" w:hAnsi="Times" w:cs="Times"/>
          <w:i/>
          <w:iCs/>
          <w:color w:val="000000" w:themeColor="text1"/>
          <w:highlight w:val="yellow"/>
        </w:rPr>
        <w:t>Unpublished report</w:t>
      </w:r>
    </w:p>
    <w:p w14:paraId="54B79CB1" w14:textId="7C9B2503"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Mackintosh, M., Banda, G., Tibandebage, P., &amp; Wamae, W. (2018). Making medicines in Africa: The political economy of industrializing for local health. Palgrave Macmillan.DOI: 10.1007/978-1-137-54647-0 </w:t>
      </w:r>
    </w:p>
    <w:p w14:paraId="23030D0B" w14:textId="18F4FD0D" w:rsidR="00142B56" w:rsidRPr="00DA0F27" w:rsidRDefault="00142B56" w:rsidP="005407DD">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Makinde, O. A., Odimegwu, C. O., Fadeyibi, O., &amp; Suleman, F. (2018). Health system governance and financing in Nigeria. Health Policy and Planning, 33(8), 929–939. </w:t>
      </w:r>
      <w:hyperlink r:id="rId21" w:history="1">
        <w:r w:rsidRPr="00DA0F27">
          <w:rPr>
            <w:rStyle w:val="Hyperlink"/>
            <w:rFonts w:ascii="Times" w:eastAsia="Sorts Mill Goudy" w:hAnsi="Times" w:cs="Times"/>
            <w:highlight w:val="yellow"/>
          </w:rPr>
          <w:t>https://doi.org/10.1093/heapol/czy065</w:t>
        </w:r>
      </w:hyperlink>
      <w:r w:rsidRPr="00DA0F27">
        <w:rPr>
          <w:rFonts w:ascii="Times" w:eastAsia="Sorts Mill Goudy" w:hAnsi="Times" w:cs="Times"/>
          <w:color w:val="000000" w:themeColor="text1"/>
          <w:highlight w:val="yellow"/>
        </w:rPr>
        <w:t xml:space="preserve">  </w:t>
      </w:r>
    </w:p>
    <w:p w14:paraId="01589FD5" w14:textId="77777777"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McKinsey &amp; Company. (2019). Africa’s pharmaceutical industry: Understanding the drivers of growth. McKinsey Global Health Institute.</w:t>
      </w:r>
    </w:p>
    <w:p w14:paraId="3FF85ABD" w14:textId="26C760B4"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Mekonen ZT, Fenta TG, Nadeem SP, Cho DJ. (2024). Global Health Commodities Supply Chain in the Era of COVID-19 Pandemic: Challenges, Impacts, and Prospects: A Systematic Review. J Multidiscip Healthc. 1523-1539 : </w:t>
      </w:r>
      <w:hyperlink r:id="rId22" w:history="1">
        <w:r w:rsidRPr="00142B56">
          <w:rPr>
            <w:rStyle w:val="Hyperlink"/>
            <w:rFonts w:ascii="Times" w:eastAsia="Sorts Mill Goudy" w:hAnsi="Times" w:cs="Times"/>
            <w:highlight w:val="yellow"/>
          </w:rPr>
          <w:t>https://doi.org/</w:t>
        </w:r>
        <w:r w:rsidRPr="00DA0F27">
          <w:rPr>
            <w:rStyle w:val="Hyperlink"/>
            <w:rFonts w:ascii="Times" w:eastAsia="Sorts Mill Goudy" w:hAnsi="Times" w:cs="Times"/>
            <w:highlight w:val="yellow"/>
          </w:rPr>
          <w:t>10.2147/JMDH.S448654</w:t>
        </w:r>
      </w:hyperlink>
    </w:p>
    <w:p w14:paraId="4D5BD0AC" w14:textId="77777777"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National Agency for Food and Drug Administration and Control (NAFDAC). (2022). Nigeria’s achievement of WHO Global Benchmarking Tool (GBT) Maturity Level 3. Government of Nigeria. </w:t>
      </w:r>
    </w:p>
    <w:p w14:paraId="566145D4" w14:textId="57893154"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Ndomondo-Sigonda, M., Miot, J., Naidoo, S., Dodoo, A., &amp; Kaale, E. (2017). Medicines regulation in Africa: Current state and opportunities. Pharmaceutical Medicine, 31(6), 383–397. </w:t>
      </w:r>
      <w:hyperlink r:id="rId23" w:history="1">
        <w:r w:rsidRPr="00142B56">
          <w:rPr>
            <w:rStyle w:val="Hyperlink"/>
            <w:rFonts w:ascii="Times" w:eastAsia="Sorts Mill Goudy" w:hAnsi="Times" w:cs="Times"/>
            <w:highlight w:val="yellow"/>
          </w:rPr>
          <w:t>https://doi.org/</w:t>
        </w:r>
        <w:r w:rsidRPr="00DA0F27">
          <w:rPr>
            <w:rStyle w:val="Hyperlink"/>
            <w:rFonts w:ascii="Times" w:eastAsia="Sorts Mill Goudy" w:hAnsi="Times" w:cs="Times"/>
            <w:highlight w:val="yellow"/>
          </w:rPr>
          <w:t>10.1007/s40290-017-0210-x</w:t>
        </w:r>
      </w:hyperlink>
      <w:r w:rsidRPr="00DA0F27">
        <w:rPr>
          <w:rFonts w:ascii="Times" w:eastAsia="Sorts Mill Goudy" w:hAnsi="Times" w:cs="Times"/>
          <w:color w:val="000000" w:themeColor="text1"/>
          <w:highlight w:val="yellow"/>
        </w:rPr>
        <w:t xml:space="preserve">   </w:t>
      </w:r>
    </w:p>
    <w:p w14:paraId="6CC0ACB5" w14:textId="222D045A"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OECD &amp; African Union Commission. (2022). Africa’s Development Dynamics 2022: Regional Value Chains for a Sustainable Recovery. </w:t>
      </w:r>
      <w:hyperlink r:id="rId24" w:history="1">
        <w:r w:rsidRPr="00DA0F27">
          <w:rPr>
            <w:rStyle w:val="Hyperlink"/>
            <w:rFonts w:ascii="Times" w:eastAsia="Sorts Mill Goudy" w:hAnsi="Times" w:cs="Times"/>
            <w:highlight w:val="yellow"/>
          </w:rPr>
          <w:t>https://doi.org/10.1787/2e3b97fd-en</w:t>
        </w:r>
      </w:hyperlink>
      <w:r w:rsidRPr="00DA0F27">
        <w:rPr>
          <w:rFonts w:ascii="Times" w:eastAsia="Sorts Mill Goudy" w:hAnsi="Times" w:cs="Times"/>
          <w:color w:val="000000" w:themeColor="text1"/>
          <w:highlight w:val="yellow"/>
        </w:rPr>
        <w:t xml:space="preserve"> </w:t>
      </w:r>
    </w:p>
    <w:p w14:paraId="36AE7BAA" w14:textId="63D3A381"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Olutuase, V. O., Iwu-Jaja, C. J., Akuoko, C. P., et al. (2022). Medicines and vaccines supply chain challenges in Nigeria: A scoping review. BMC Public Health, 22, 11. </w:t>
      </w:r>
      <w:hyperlink r:id="rId25" w:history="1">
        <w:r w:rsidRPr="00DA0F27">
          <w:rPr>
            <w:rStyle w:val="Hyperlink"/>
            <w:rFonts w:ascii="Times" w:eastAsia="Sorts Mill Goudy" w:hAnsi="Times" w:cs="Times"/>
            <w:highlight w:val="yellow"/>
          </w:rPr>
          <w:t>https://doi.org/10.1186/s12889-021-12361-9</w:t>
        </w:r>
      </w:hyperlink>
      <w:r w:rsidRPr="00DA0F27">
        <w:rPr>
          <w:rFonts w:ascii="Times" w:eastAsia="Sorts Mill Goudy" w:hAnsi="Times" w:cs="Times"/>
          <w:color w:val="000000" w:themeColor="text1"/>
          <w:highlight w:val="yellow"/>
        </w:rPr>
        <w:t xml:space="preserve"> </w:t>
      </w:r>
    </w:p>
    <w:p w14:paraId="5ECAEF6A" w14:textId="448406F2"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Organisation for Economic Co-operation and Development. (2021). Strengthening economic resilience following the COVID-19 crisis: A firm and industry perspective. OECD Publishing. </w:t>
      </w:r>
      <w:hyperlink r:id="rId26" w:history="1">
        <w:r w:rsidRPr="00DA0F27">
          <w:rPr>
            <w:rStyle w:val="Hyperlink"/>
            <w:rFonts w:ascii="Times" w:eastAsia="Sorts Mill Goudy" w:hAnsi="Times" w:cs="Times"/>
            <w:highlight w:val="yellow"/>
          </w:rPr>
          <w:t>https://www.oecd.org/en/publications/2021/07/strengthening-economic-resilience-following-the-covid-19-crisis_60546584.html</w:t>
        </w:r>
      </w:hyperlink>
      <w:r w:rsidRPr="00DA0F27">
        <w:rPr>
          <w:rFonts w:ascii="Times" w:eastAsia="Sorts Mill Goudy" w:hAnsi="Times" w:cs="Times"/>
          <w:color w:val="000000" w:themeColor="text1"/>
          <w:highlight w:val="yellow"/>
        </w:rPr>
        <w:t xml:space="preserve">  </w:t>
      </w:r>
    </w:p>
    <w:p w14:paraId="2A4F9A5D" w14:textId="0C394E3B"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PATH. (2022). Market failures and opportunities for increasing access to diagnostics in low- and middle-income countries. PATH. Retrieved from </w:t>
      </w:r>
      <w:hyperlink r:id="rId27" w:history="1">
        <w:r w:rsidRPr="00DA0F27">
          <w:rPr>
            <w:rStyle w:val="Hyperlink"/>
            <w:rFonts w:ascii="Times" w:eastAsia="Sorts Mill Goudy" w:hAnsi="Times" w:cs="Times"/>
            <w:highlight w:val="yellow"/>
          </w:rPr>
          <w:t>https://www.path.org/our-impact/resources/market-failures-and-opportunities-for-increasing-access-to-diagnostics-in-low-and-middle-income-countries/</w:t>
        </w:r>
      </w:hyperlink>
      <w:r w:rsidRPr="00DA0F27">
        <w:rPr>
          <w:rFonts w:ascii="Times" w:eastAsia="Sorts Mill Goudy" w:hAnsi="Times" w:cs="Times"/>
          <w:color w:val="000000" w:themeColor="text1"/>
          <w:highlight w:val="yellow"/>
        </w:rPr>
        <w:t xml:space="preserve"> </w:t>
      </w:r>
    </w:p>
    <w:p w14:paraId="4AE1A7FE" w14:textId="4D241DFB"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Peeling, R. W., &amp; Mabey, D. (2010). Point-of-care tests for diagnosing infections in the developing world. Clinical Microbiology and Infection, 16(8), 1062–1069. </w:t>
      </w:r>
      <w:hyperlink r:id="rId28" w:history="1">
        <w:r w:rsidRPr="00DA0F27">
          <w:rPr>
            <w:rStyle w:val="Hyperlink"/>
            <w:rFonts w:ascii="Times" w:eastAsia="Sorts Mill Goudy" w:hAnsi="Times" w:cs="Times"/>
            <w:highlight w:val="yellow"/>
          </w:rPr>
          <w:t>https://doi.org/10.1111/j.1469-0691.2010.03279.x</w:t>
        </w:r>
      </w:hyperlink>
      <w:r w:rsidRPr="00DA0F27">
        <w:rPr>
          <w:rFonts w:ascii="Times" w:eastAsia="Sorts Mill Goudy" w:hAnsi="Times" w:cs="Times"/>
          <w:color w:val="000000" w:themeColor="text1"/>
          <w:highlight w:val="yellow"/>
        </w:rPr>
        <w:t xml:space="preserve">  </w:t>
      </w:r>
    </w:p>
    <w:p w14:paraId="4DF69CAE" w14:textId="7AE3EDBF"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President’s Malaria Initiative. (2023). The President’s Malaria Initiative: 17th annual report to Congress 2023. U.S. Agency for International Development; President’s Malaria Initiative. Retrieved from </w:t>
      </w:r>
      <w:hyperlink r:id="rId29" w:history="1">
        <w:r w:rsidRPr="00DA0F27">
          <w:rPr>
            <w:rStyle w:val="Hyperlink"/>
            <w:rFonts w:ascii="Times" w:eastAsia="Sorts Mill Goudy" w:hAnsi="Times" w:cs="Times"/>
            <w:highlight w:val="yellow"/>
          </w:rPr>
          <w:t>https://stacks.cdc.gov/view/cdc/127722</w:t>
        </w:r>
      </w:hyperlink>
      <w:r w:rsidRPr="00DA0F27">
        <w:rPr>
          <w:rFonts w:ascii="Times" w:eastAsia="Sorts Mill Goudy" w:hAnsi="Times" w:cs="Times"/>
          <w:color w:val="000000" w:themeColor="text1"/>
          <w:highlight w:val="yellow"/>
        </w:rPr>
        <w:t xml:space="preserve"> </w:t>
      </w:r>
    </w:p>
    <w:p w14:paraId="08E59E26" w14:textId="4F5DAF88"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Presidential Initiative for Unlocking the Healthcare Value Chain (PVAC). (2023). About us. Government of Nigeria. Retrieved from </w:t>
      </w:r>
      <w:hyperlink r:id="rId30" w:history="1">
        <w:r w:rsidRPr="00DA0F27">
          <w:rPr>
            <w:rStyle w:val="Hyperlink"/>
            <w:rFonts w:ascii="Times" w:eastAsia="Sorts Mill Goudy" w:hAnsi="Times" w:cs="Times"/>
            <w:highlight w:val="yellow"/>
          </w:rPr>
          <w:t>https://pvac.gov.ng/about-us/</w:t>
        </w:r>
      </w:hyperlink>
      <w:r w:rsidRPr="00DA0F27">
        <w:rPr>
          <w:rFonts w:ascii="Times" w:eastAsia="Sorts Mill Goudy" w:hAnsi="Times" w:cs="Times"/>
          <w:color w:val="000000" w:themeColor="text1"/>
          <w:highlight w:val="yellow"/>
        </w:rPr>
        <w:t xml:space="preserve"> </w:t>
      </w:r>
    </w:p>
    <w:p w14:paraId="6BF0D099" w14:textId="77777777"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PVAC &amp; NMEP. (2025a). Assessment of institutional barriers and coordination gaps in Nigeria’s health manufacturing ecosystem. Presidential Initiative for Unlocking the Healthcare Value Chain &amp; National Malaria Elimination Programme. </w:t>
      </w:r>
      <w:r w:rsidRPr="00DA0F27">
        <w:rPr>
          <w:rFonts w:ascii="Times" w:eastAsia="Sorts Mill Goudy" w:hAnsi="Times" w:cs="Times"/>
          <w:i/>
          <w:iCs/>
          <w:color w:val="000000" w:themeColor="text1"/>
          <w:highlight w:val="yellow"/>
        </w:rPr>
        <w:t>Unpublished Report</w:t>
      </w:r>
    </w:p>
    <w:p w14:paraId="107F71A6" w14:textId="77777777"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PVAC &amp; NMEP. (2025b). Market access and procurement dynamics in Nigeria: Technical brief. Presidential Initiative for Unlocking the Healthcare Value Chain &amp; National Malaria Elimination Programme. </w:t>
      </w:r>
      <w:r w:rsidRPr="00DA0F27">
        <w:rPr>
          <w:rFonts w:ascii="Times" w:eastAsia="Sorts Mill Goudy" w:hAnsi="Times" w:cs="Times"/>
          <w:i/>
          <w:iCs/>
          <w:color w:val="000000" w:themeColor="text1"/>
          <w:highlight w:val="yellow"/>
        </w:rPr>
        <w:t>Unpublished Report</w:t>
      </w:r>
    </w:p>
    <w:p w14:paraId="0437AEB9" w14:textId="77777777"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PVAC &amp; NMEP. (2025f). Capacity, regulatory, and procurement landscape assessment for malaria commodities in Nigeria. Presidential Initiative for Unlocking the Healthcare Value Chain &amp; National Malaria Elimination Programme. </w:t>
      </w:r>
      <w:r w:rsidRPr="00DA0F27">
        <w:rPr>
          <w:rFonts w:ascii="Times" w:eastAsia="Sorts Mill Goudy" w:hAnsi="Times" w:cs="Times"/>
          <w:i/>
          <w:iCs/>
          <w:color w:val="000000" w:themeColor="text1"/>
          <w:highlight w:val="yellow"/>
        </w:rPr>
        <w:t>Unpublished Report</w:t>
      </w:r>
    </w:p>
    <w:p w14:paraId="67369245" w14:textId="77777777"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PVAC &amp; NMEP. (2025f). Feasibility assessment for pooled procurement of malaria commodities in Nigeria. Presidential Initiative for Unlocking the Healthcare Value Chain &amp; National Malaria Elimination Programme. </w:t>
      </w:r>
      <w:r w:rsidRPr="00DA0F27">
        <w:rPr>
          <w:rFonts w:ascii="Times" w:eastAsia="Sorts Mill Goudy" w:hAnsi="Times" w:cs="Times"/>
          <w:i/>
          <w:iCs/>
          <w:color w:val="000000" w:themeColor="text1"/>
          <w:highlight w:val="yellow"/>
        </w:rPr>
        <w:t>Unpublished Report</w:t>
      </w:r>
    </w:p>
    <w:p w14:paraId="33966192" w14:textId="286ECDA9"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Saied, A. A., Metwally, A. A., Dhawan, M., Choudhary, O. P., &amp; Aiash, H. (2022). Strengthening vaccines and medicines manufacturing capabilities in Africa: Challenges and perspectives. EMBO Molecular Medicine, 14, e16287. </w:t>
      </w:r>
      <w:hyperlink r:id="rId31" w:history="1">
        <w:r w:rsidRPr="00DA0F27">
          <w:rPr>
            <w:rStyle w:val="Hyperlink"/>
            <w:rFonts w:ascii="Times" w:eastAsia="Sorts Mill Goudy" w:hAnsi="Times" w:cs="Times"/>
            <w:highlight w:val="yellow"/>
          </w:rPr>
          <w:t>https://doi.org/10.15252/emmm.202216287</w:t>
        </w:r>
      </w:hyperlink>
      <w:r w:rsidRPr="00DA0F27">
        <w:rPr>
          <w:rFonts w:ascii="Times" w:eastAsia="Sorts Mill Goudy" w:hAnsi="Times" w:cs="Times"/>
          <w:color w:val="000000" w:themeColor="text1"/>
          <w:highlight w:val="yellow"/>
        </w:rPr>
        <w:t xml:space="preserve"> </w:t>
      </w:r>
    </w:p>
    <w:p w14:paraId="2B29E539" w14:textId="698BB061"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Shefali Singh, &amp; Popli, H. (2021). Indian Active Pharmaceutical Ingredient (API) industry — An overview on challenges, opportunities &amp; regulatory prerequisites. International Journal of Drug Regulatory Affairs, 9(2), 66–76. </w:t>
      </w:r>
      <w:hyperlink r:id="rId32" w:history="1">
        <w:r w:rsidRPr="00DA0F27">
          <w:rPr>
            <w:rStyle w:val="Hyperlink"/>
            <w:rFonts w:ascii="Times" w:eastAsia="Sorts Mill Goudy" w:hAnsi="Times" w:cs="Times"/>
            <w:highlight w:val="yellow"/>
          </w:rPr>
          <w:t>http://ijdra.com/index.php/journal/article/view/471</w:t>
        </w:r>
      </w:hyperlink>
      <w:r w:rsidRPr="00DA0F27">
        <w:rPr>
          <w:rFonts w:ascii="Times" w:eastAsia="Sorts Mill Goudy" w:hAnsi="Times" w:cs="Times"/>
          <w:color w:val="000000" w:themeColor="text1"/>
          <w:highlight w:val="yellow"/>
        </w:rPr>
        <w:t xml:space="preserve"> </w:t>
      </w:r>
    </w:p>
    <w:p w14:paraId="014B849E" w14:textId="368201C7"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Sithole, T., Ngum, N., Owusu-Asante, M., Walker, S., &amp; Salek, S. (2024). Comparison of three regional medicines regulatory harmonisation initiatives in Africa: Opportunities for improvement and alignment. International Journal of Health Policy and Management, 13, 8070. </w:t>
      </w:r>
      <w:hyperlink r:id="rId33" w:history="1">
        <w:r w:rsidRPr="00DA0F27">
          <w:rPr>
            <w:rStyle w:val="Hyperlink"/>
            <w:rFonts w:ascii="Times" w:eastAsia="Sorts Mill Goudy" w:hAnsi="Times" w:cs="Times"/>
            <w:highlight w:val="yellow"/>
          </w:rPr>
          <w:t>https://doi.org/10.34172/ijhpm.2024.8070</w:t>
        </w:r>
      </w:hyperlink>
      <w:r w:rsidRPr="00DA0F27">
        <w:rPr>
          <w:rFonts w:ascii="Times" w:eastAsia="Sorts Mill Goudy" w:hAnsi="Times" w:cs="Times"/>
          <w:color w:val="000000" w:themeColor="text1"/>
          <w:highlight w:val="yellow"/>
        </w:rPr>
        <w:t xml:space="preserve"> </w:t>
      </w:r>
    </w:p>
    <w:p w14:paraId="492B4AC2" w14:textId="0322C1A5"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lastRenderedPageBreak/>
        <w:t xml:space="preserve">The Global Fund to Fight AIDS, Tuberculosis and Malaria. (2025). Results report 2025. Retrieved from </w:t>
      </w:r>
      <w:hyperlink r:id="rId34" w:history="1">
        <w:r w:rsidRPr="00DA0F27">
          <w:rPr>
            <w:rStyle w:val="Hyperlink"/>
            <w:rFonts w:ascii="Times" w:eastAsia="Sorts Mill Goudy" w:hAnsi="Times" w:cs="Times"/>
            <w:highlight w:val="yellow"/>
          </w:rPr>
          <w:t>https://www.theglobalfund.org/en/Results/</w:t>
        </w:r>
      </w:hyperlink>
      <w:r w:rsidRPr="00DA0F27">
        <w:rPr>
          <w:rFonts w:ascii="Times" w:eastAsia="Sorts Mill Goudy" w:hAnsi="Times" w:cs="Times"/>
          <w:color w:val="000000" w:themeColor="text1"/>
          <w:highlight w:val="yellow"/>
        </w:rPr>
        <w:t xml:space="preserve"> </w:t>
      </w:r>
    </w:p>
    <w:p w14:paraId="1CDFD882" w14:textId="158DF1D8"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The Global Fund to Fight AIDS, Tuberculosis and Malaria. (2025). Procurement and NextGen market shaping update. Retrieved from </w:t>
      </w:r>
      <w:hyperlink r:id="rId35" w:history="1">
        <w:r w:rsidRPr="00DA0F27">
          <w:rPr>
            <w:rStyle w:val="Hyperlink"/>
            <w:rFonts w:ascii="Times" w:eastAsia="Sorts Mill Goudy" w:hAnsi="Times" w:cs="Times"/>
            <w:highlight w:val="yellow"/>
          </w:rPr>
          <w:t>https://archive.theglobalfund.org/media/skedqy4c/archive_bm53-05-procurement-nextgen-market-shaping_update_en.pdf</w:t>
        </w:r>
      </w:hyperlink>
      <w:r w:rsidRPr="00DA0F27">
        <w:rPr>
          <w:rFonts w:ascii="Times" w:eastAsia="Sorts Mill Goudy" w:hAnsi="Times" w:cs="Times"/>
          <w:color w:val="000000" w:themeColor="text1"/>
          <w:highlight w:val="yellow"/>
        </w:rPr>
        <w:t xml:space="preserve">  </w:t>
      </w:r>
    </w:p>
    <w:p w14:paraId="5281C4F9" w14:textId="21810CBA"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Tirivangani, T., Alpo, B., Kibuule, D., Gaeseb, J., &amp; Adenuga, B. A. (2021). Impact of COVID-19 pandemic on pharmaceutical systems and supply chain - a phenomenological study. Exploratory research in clinical and social pharmacy, 2, 100037. </w:t>
      </w:r>
      <w:hyperlink r:id="rId36" w:history="1">
        <w:r w:rsidR="00DA0F27" w:rsidRPr="00DA0F27">
          <w:rPr>
            <w:rStyle w:val="Hyperlink"/>
            <w:rFonts w:ascii="Times" w:eastAsia="Sorts Mill Goudy" w:hAnsi="Times" w:cs="Times"/>
            <w:highlight w:val="yellow"/>
          </w:rPr>
          <w:t>https://doi.org/10.1016/j.rcsop.2021.100037</w:t>
        </w:r>
      </w:hyperlink>
      <w:r w:rsidR="00DA0F27" w:rsidRPr="00DA0F27">
        <w:rPr>
          <w:rFonts w:ascii="Times" w:eastAsia="Sorts Mill Goudy" w:hAnsi="Times" w:cs="Times"/>
          <w:color w:val="000000" w:themeColor="text1"/>
          <w:highlight w:val="yellow"/>
        </w:rPr>
        <w:t xml:space="preserve"> </w:t>
      </w:r>
      <w:r w:rsidRPr="00DA0F27">
        <w:rPr>
          <w:rFonts w:ascii="Times" w:eastAsia="Sorts Mill Goudy" w:hAnsi="Times" w:cs="Times"/>
          <w:color w:val="000000" w:themeColor="text1"/>
          <w:highlight w:val="yellow"/>
        </w:rPr>
        <w:t xml:space="preserve"> </w:t>
      </w:r>
    </w:p>
    <w:p w14:paraId="576E64D0" w14:textId="7F4311A3"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United Nations Conference on Trade and Development. (2024). Building the case for investment in local pharmaceutical production in Africa: A comprehensive framework for investment policymakers (UNCTAD/DIAE/2024/5). UNCTAD. Retrieved from </w:t>
      </w:r>
      <w:hyperlink r:id="rId37" w:history="1">
        <w:r w:rsidR="00DA0F27" w:rsidRPr="00DA0F27">
          <w:rPr>
            <w:rStyle w:val="Hyperlink"/>
            <w:rFonts w:ascii="Times" w:eastAsia="Sorts Mill Goudy" w:hAnsi="Times" w:cs="Times"/>
            <w:highlight w:val="yellow"/>
          </w:rPr>
          <w:t>https://unctad.org/system/files/official-document/diae2024d5_en.pdf</w:t>
        </w:r>
      </w:hyperlink>
      <w:r w:rsidR="00DA0F27" w:rsidRPr="00DA0F27">
        <w:rPr>
          <w:rFonts w:ascii="Times" w:eastAsia="Sorts Mill Goudy" w:hAnsi="Times" w:cs="Times"/>
          <w:color w:val="000000" w:themeColor="text1"/>
          <w:highlight w:val="yellow"/>
        </w:rPr>
        <w:t xml:space="preserve"> </w:t>
      </w:r>
    </w:p>
    <w:p w14:paraId="411E7008" w14:textId="7C3C0B4E"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United Nations Conference on Trade and Development. (2025). Investment incentives for local production of essential antibiotics in East Africa. UNCTAD. Retrieved from </w:t>
      </w:r>
      <w:hyperlink r:id="rId38" w:history="1">
        <w:r w:rsidR="00DA0F27" w:rsidRPr="00DA0F27">
          <w:rPr>
            <w:rStyle w:val="Hyperlink"/>
            <w:rFonts w:ascii="Times" w:eastAsia="Sorts Mill Goudy" w:hAnsi="Times" w:cs="Times"/>
            <w:highlight w:val="yellow"/>
          </w:rPr>
          <w:t>https://unctad.org/project/investment-incentives-local-production-essential-antibiotics-east-africa</w:t>
        </w:r>
      </w:hyperlink>
      <w:r w:rsidR="00DA0F27" w:rsidRPr="00DA0F27">
        <w:rPr>
          <w:rFonts w:ascii="Times" w:eastAsia="Sorts Mill Goudy" w:hAnsi="Times" w:cs="Times"/>
          <w:color w:val="000000" w:themeColor="text1"/>
          <w:highlight w:val="yellow"/>
        </w:rPr>
        <w:t xml:space="preserve"> </w:t>
      </w:r>
    </w:p>
    <w:p w14:paraId="47BCAF09" w14:textId="6FC30A3C"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United Nations Economic Commission for Africa. (2020). Review of policies and strategies for the pharmaceutical production sector in Africa: Policy coherence, best practices and future prospective. United Nations Economic Commission for Africa. Retrieved from </w:t>
      </w:r>
      <w:hyperlink r:id="rId39" w:history="1">
        <w:r w:rsidR="00DA0F27" w:rsidRPr="00DA0F27">
          <w:rPr>
            <w:rStyle w:val="Hyperlink"/>
            <w:rFonts w:ascii="Times" w:eastAsia="Sorts Mill Goudy" w:hAnsi="Times" w:cs="Times"/>
            <w:highlight w:val="yellow"/>
          </w:rPr>
          <w:t>https://archive.uneca.org/sites/default/files/PublicationFiles/review_of_policies_and_strategies_for_the_pharmaceutical_production_sector_en.pdf</w:t>
        </w:r>
      </w:hyperlink>
      <w:r w:rsidR="00DA0F27" w:rsidRPr="00DA0F27">
        <w:rPr>
          <w:rFonts w:ascii="Times" w:eastAsia="Sorts Mill Goudy" w:hAnsi="Times" w:cs="Times"/>
          <w:color w:val="000000" w:themeColor="text1"/>
          <w:highlight w:val="yellow"/>
        </w:rPr>
        <w:t xml:space="preserve"> </w:t>
      </w:r>
    </w:p>
    <w:p w14:paraId="5A31CE39" w14:textId="3E52212F"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United Nations Industrial Development Organization. (2019). Pharmaceutical industry in sub-Saharan Africa: A guide for promoting pharmaceutical production in Africa. UNIDO. Retrieved from </w:t>
      </w:r>
      <w:hyperlink r:id="rId40" w:history="1">
        <w:r w:rsidR="00DA0F27" w:rsidRPr="00DA0F27">
          <w:rPr>
            <w:rStyle w:val="Hyperlink"/>
            <w:rFonts w:ascii="Times" w:eastAsia="Sorts Mill Goudy" w:hAnsi="Times" w:cs="Times"/>
            <w:highlight w:val="yellow"/>
          </w:rPr>
          <w:t>https://www.unido.org/sites/default/files/files/2019-10/PHARMACEUTICAL_INDUSTRY_IN_SUB-SAHARAN_AFRICA_Guide_Book.pdf</w:t>
        </w:r>
      </w:hyperlink>
      <w:r w:rsidR="00DA0F27" w:rsidRPr="00DA0F27">
        <w:rPr>
          <w:rFonts w:ascii="Times" w:eastAsia="Sorts Mill Goudy" w:hAnsi="Times" w:cs="Times"/>
          <w:color w:val="000000" w:themeColor="text1"/>
          <w:highlight w:val="yellow"/>
        </w:rPr>
        <w:t xml:space="preserve"> </w:t>
      </w:r>
    </w:p>
    <w:p w14:paraId="43C14B1B" w14:textId="6B06AE23"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United Nations Industrial Development Organization. (2021). UNIDO Annual Report 2020: Industrial development actions in support of recovery and resilience. UNIDO. Retrieved from </w:t>
      </w:r>
      <w:hyperlink r:id="rId41" w:history="1">
        <w:r w:rsidR="00DA0F27" w:rsidRPr="00DA0F27">
          <w:rPr>
            <w:rStyle w:val="Hyperlink"/>
            <w:rFonts w:ascii="Times" w:eastAsia="Sorts Mill Goudy" w:hAnsi="Times" w:cs="Times"/>
            <w:highlight w:val="yellow"/>
          </w:rPr>
          <w:t>https://www.unido.org/sites/default/files/unido-publications/2023-03/UNIDO-AR2020-en.pdf</w:t>
        </w:r>
      </w:hyperlink>
      <w:r w:rsidR="00DA0F27" w:rsidRPr="00DA0F27">
        <w:rPr>
          <w:rFonts w:ascii="Times" w:eastAsia="Sorts Mill Goudy" w:hAnsi="Times" w:cs="Times"/>
          <w:color w:val="000000" w:themeColor="text1"/>
          <w:highlight w:val="yellow"/>
        </w:rPr>
        <w:t xml:space="preserve"> </w:t>
      </w:r>
    </w:p>
    <w:p w14:paraId="696B21F3" w14:textId="1B1D5DD9" w:rsidR="00142B56" w:rsidRPr="00DA0F27" w:rsidRDefault="00142B56" w:rsidP="00EB0180">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United Nations Industrial Development Organization. (2021). UNIDO annual report 2021. United Nations Industrial Development Organization. Retrieved from </w:t>
      </w:r>
      <w:hyperlink r:id="rId42" w:history="1">
        <w:r w:rsidR="00DA0F27" w:rsidRPr="00DA0F27">
          <w:rPr>
            <w:rStyle w:val="Hyperlink"/>
            <w:rFonts w:ascii="Times" w:eastAsia="Sorts Mill Goudy" w:hAnsi="Times" w:cs="Times"/>
            <w:highlight w:val="yellow"/>
          </w:rPr>
          <w:t>https://www.unido.org/sites/default/files/unido-publications/2023-02/UNIDO_AR2021_EN.pdf?utm_source</w:t>
        </w:r>
      </w:hyperlink>
      <w:r w:rsidR="00DA0F27" w:rsidRPr="00DA0F27">
        <w:rPr>
          <w:rFonts w:ascii="Times" w:eastAsia="Sorts Mill Goudy" w:hAnsi="Times" w:cs="Times"/>
          <w:color w:val="000000" w:themeColor="text1"/>
          <w:highlight w:val="yellow"/>
        </w:rPr>
        <w:t xml:space="preserve"> </w:t>
      </w:r>
      <w:r w:rsidRPr="00DA0F27">
        <w:rPr>
          <w:rFonts w:ascii="Times" w:eastAsia="Sorts Mill Goudy" w:hAnsi="Times" w:cs="Times"/>
          <w:color w:val="000000" w:themeColor="text1"/>
          <w:highlight w:val="yellow"/>
        </w:rPr>
        <w:t xml:space="preserve">  </w:t>
      </w:r>
    </w:p>
    <w:p w14:paraId="4E024AA2" w14:textId="172A6EF2"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United Nations Industrial Development Organization. (2025). Advancing vaccine and essential medicine manufacturing in Africa: Guidelines for effective technology transfer and business partnerships. UNIDO. Retrieved from </w:t>
      </w:r>
      <w:hyperlink r:id="rId43" w:history="1">
        <w:r w:rsidR="00DA0F27" w:rsidRPr="00DA0F27">
          <w:rPr>
            <w:rStyle w:val="Hyperlink"/>
            <w:rFonts w:ascii="Times" w:eastAsia="Sorts Mill Goudy" w:hAnsi="Times" w:cs="Times"/>
            <w:highlight w:val="yellow"/>
          </w:rPr>
          <w:t>https://hub.unido.org/sites/default/files/publications/Advancing_Vaccine%20%26%20Medicine_v_1.4-lr%20%281%29.pdf</w:t>
        </w:r>
      </w:hyperlink>
      <w:r w:rsidR="00DA0F27" w:rsidRPr="00DA0F27">
        <w:rPr>
          <w:rFonts w:ascii="Times" w:eastAsia="Sorts Mill Goudy" w:hAnsi="Times" w:cs="Times"/>
          <w:color w:val="000000" w:themeColor="text1"/>
          <w:highlight w:val="yellow"/>
        </w:rPr>
        <w:t xml:space="preserve"> </w:t>
      </w:r>
    </w:p>
    <w:p w14:paraId="1FFD5B8C" w14:textId="33E99433" w:rsidR="00142B56" w:rsidRPr="00DA0F27" w:rsidRDefault="00142B56" w:rsidP="00EB0180">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Waning, B., &amp; Diedrichsen, E. (2010). The global dependency on Indian pharmaceutical exports: Implications for regional manufacturing. Health Policy and Planning, 25(6), 428–438. </w:t>
      </w:r>
      <w:hyperlink r:id="rId44" w:history="1">
        <w:r w:rsidR="00DA0F27" w:rsidRPr="00DA0F27">
          <w:rPr>
            <w:rStyle w:val="Hyperlink"/>
            <w:rFonts w:ascii="Times" w:eastAsia="Sorts Mill Goudy" w:hAnsi="Times" w:cs="Times"/>
            <w:highlight w:val="yellow"/>
          </w:rPr>
          <w:t>https://www.who.int/publications/i/item/9789240020245</w:t>
        </w:r>
      </w:hyperlink>
      <w:r w:rsidR="00DA0F27" w:rsidRPr="00DA0F27">
        <w:rPr>
          <w:rFonts w:ascii="Times" w:eastAsia="Sorts Mill Goudy" w:hAnsi="Times" w:cs="Times"/>
          <w:color w:val="000000" w:themeColor="text1"/>
          <w:highlight w:val="yellow"/>
        </w:rPr>
        <w:t xml:space="preserve"> </w:t>
      </w:r>
      <w:r w:rsidRPr="00DA0F27">
        <w:rPr>
          <w:rFonts w:ascii="Times" w:eastAsia="Sorts Mill Goudy" w:hAnsi="Times" w:cs="Times"/>
          <w:color w:val="000000" w:themeColor="text1"/>
          <w:highlight w:val="yellow"/>
        </w:rPr>
        <w:t xml:space="preserve"> </w:t>
      </w:r>
    </w:p>
    <w:p w14:paraId="55ADBAF0" w14:textId="74B68386"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West African Health Organization (WAHO). (n.d.). West Africa Medicines Regulatory Harmonization (WA-MRH) Project. Economic Community of West African States. Retrieved from </w:t>
      </w:r>
      <w:hyperlink r:id="rId45" w:history="1">
        <w:r w:rsidR="00DA0F27" w:rsidRPr="00DA0F27">
          <w:rPr>
            <w:rStyle w:val="Hyperlink"/>
            <w:rFonts w:ascii="Times" w:eastAsia="Sorts Mill Goudy" w:hAnsi="Times" w:cs="Times"/>
            <w:highlight w:val="yellow"/>
          </w:rPr>
          <w:t>https://www.wahooas.org/web-ooas/en/projets/wa-mrh-west-africa-medicines-regulatory-harmonization-project</w:t>
        </w:r>
      </w:hyperlink>
      <w:r w:rsidR="00DA0F27" w:rsidRPr="00DA0F27">
        <w:rPr>
          <w:rFonts w:ascii="Times" w:eastAsia="Sorts Mill Goudy" w:hAnsi="Times" w:cs="Times"/>
          <w:color w:val="000000" w:themeColor="text1"/>
          <w:highlight w:val="yellow"/>
        </w:rPr>
        <w:t xml:space="preserve"> </w:t>
      </w:r>
    </w:p>
    <w:p w14:paraId="04E9620E" w14:textId="47236B88" w:rsidR="00142B56" w:rsidRPr="00DA0F27" w:rsidRDefault="00142B56" w:rsidP="001F78AF">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Wirtz, V. J., Hogerzeil, H. V., Gray, A. L., et al. (2017). Essential medicines for universal health coverage. The Lancet, 389(10067), 403–476. </w:t>
      </w:r>
      <w:hyperlink r:id="rId46" w:history="1">
        <w:r w:rsidR="00DA0F27" w:rsidRPr="00DA0F27">
          <w:rPr>
            <w:rStyle w:val="Hyperlink"/>
            <w:rFonts w:ascii="Times" w:eastAsia="Sorts Mill Goudy" w:hAnsi="Times" w:cs="Times"/>
            <w:highlight w:val="yellow"/>
          </w:rPr>
          <w:t>https://doi.org/10.1016/S0140-6736(16)31599-9</w:t>
        </w:r>
      </w:hyperlink>
      <w:r w:rsidR="00DA0F27" w:rsidRPr="00DA0F27">
        <w:rPr>
          <w:rFonts w:ascii="Times" w:eastAsia="Sorts Mill Goudy" w:hAnsi="Times" w:cs="Times"/>
          <w:color w:val="000000" w:themeColor="text1"/>
          <w:highlight w:val="yellow"/>
        </w:rPr>
        <w:t xml:space="preserve"> </w:t>
      </w:r>
    </w:p>
    <w:p w14:paraId="086376E6" w14:textId="19C8108C"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World Health Organization, United Nations Industrial Development Organization, &amp; United Nations Development Programme. (2017). Promoting local production of medical technologies and innovations. WHO Press. </w:t>
      </w:r>
      <w:hyperlink r:id="rId47" w:history="1">
        <w:r w:rsidR="00DA0F27" w:rsidRPr="00DA0F27">
          <w:rPr>
            <w:rStyle w:val="Hyperlink"/>
            <w:rFonts w:ascii="Times" w:eastAsia="Sorts Mill Goudy" w:hAnsi="Times" w:cs="Times"/>
            <w:highlight w:val="yellow"/>
          </w:rPr>
          <w:t>https://www.who.int/publications/i/item/9789240008267</w:t>
        </w:r>
      </w:hyperlink>
      <w:r w:rsidR="00DA0F27" w:rsidRPr="00DA0F27">
        <w:rPr>
          <w:rFonts w:ascii="Times" w:eastAsia="Sorts Mill Goudy" w:hAnsi="Times" w:cs="Times"/>
          <w:color w:val="000000" w:themeColor="text1"/>
          <w:highlight w:val="yellow"/>
        </w:rPr>
        <w:t xml:space="preserve"> </w:t>
      </w:r>
      <w:r w:rsidRPr="00DA0F27">
        <w:rPr>
          <w:rFonts w:ascii="Times" w:eastAsia="Sorts Mill Goudy" w:hAnsi="Times" w:cs="Times"/>
          <w:color w:val="000000" w:themeColor="text1"/>
          <w:highlight w:val="yellow"/>
        </w:rPr>
        <w:t xml:space="preserve"> </w:t>
      </w:r>
    </w:p>
    <w:p w14:paraId="6AD517CA" w14:textId="743C8B4A"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World Health Organization. (2017). WHO guideline on country pharmaceutical pricing policies. WHO Press. </w:t>
      </w:r>
      <w:hyperlink r:id="rId48" w:history="1">
        <w:r w:rsidR="00DA0F27" w:rsidRPr="00DA0F27">
          <w:rPr>
            <w:rStyle w:val="Hyperlink"/>
            <w:rFonts w:ascii="Times" w:eastAsia="Sorts Mill Goudy" w:hAnsi="Times" w:cs="Times"/>
            <w:highlight w:val="yellow"/>
          </w:rPr>
          <w:t>https://www.who.int/publications/i/item/9789240011878</w:t>
        </w:r>
      </w:hyperlink>
      <w:r w:rsidR="00DA0F27" w:rsidRPr="00DA0F27">
        <w:rPr>
          <w:rFonts w:ascii="Times" w:eastAsia="Sorts Mill Goudy" w:hAnsi="Times" w:cs="Times"/>
          <w:color w:val="000000" w:themeColor="text1"/>
          <w:highlight w:val="yellow"/>
        </w:rPr>
        <w:t xml:space="preserve"> </w:t>
      </w:r>
      <w:r w:rsidRPr="00DA0F27">
        <w:rPr>
          <w:rFonts w:ascii="Times" w:eastAsia="Sorts Mill Goudy" w:hAnsi="Times" w:cs="Times"/>
          <w:color w:val="000000" w:themeColor="text1"/>
          <w:highlight w:val="yellow"/>
        </w:rPr>
        <w:t xml:space="preserve"> </w:t>
      </w:r>
    </w:p>
    <w:p w14:paraId="0BFE901B" w14:textId="5247471D"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lastRenderedPageBreak/>
        <w:t xml:space="preserve">World Health Organization. (2020). WHO global benchmarking tool (GBT) for evaluation of national regulatory systems. WHO Press. </w:t>
      </w:r>
      <w:hyperlink r:id="rId49" w:history="1">
        <w:r w:rsidR="00DA0F27" w:rsidRPr="00DA0F27">
          <w:rPr>
            <w:rStyle w:val="Hyperlink"/>
            <w:rFonts w:ascii="Times" w:eastAsia="Sorts Mill Goudy" w:hAnsi="Times" w:cs="Times"/>
            <w:highlight w:val="yellow"/>
          </w:rPr>
          <w:t>https://www.who.int/publications/i/item/9789240020244</w:t>
        </w:r>
      </w:hyperlink>
      <w:r w:rsidR="00DA0F27" w:rsidRPr="00DA0F27">
        <w:rPr>
          <w:rFonts w:ascii="Times" w:eastAsia="Sorts Mill Goudy" w:hAnsi="Times" w:cs="Times"/>
          <w:color w:val="000000" w:themeColor="text1"/>
          <w:highlight w:val="yellow"/>
        </w:rPr>
        <w:t xml:space="preserve"> </w:t>
      </w:r>
      <w:r w:rsidRPr="00DA0F27">
        <w:rPr>
          <w:rFonts w:ascii="Times" w:eastAsia="Sorts Mill Goudy" w:hAnsi="Times" w:cs="Times"/>
          <w:color w:val="000000" w:themeColor="text1"/>
          <w:highlight w:val="yellow"/>
        </w:rPr>
        <w:t xml:space="preserve"> </w:t>
      </w:r>
    </w:p>
    <w:p w14:paraId="3FEB08B1" w14:textId="688F9F32"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World Health Organization. (2020). WHO good manufacturing practices for pharmaceutical products: Main principles (WHO Technical Report Series No. 986, Annex 2). WHO Press. </w:t>
      </w:r>
      <w:hyperlink r:id="rId50" w:history="1">
        <w:r w:rsidR="00DA0F27" w:rsidRPr="00DA0F27">
          <w:rPr>
            <w:rStyle w:val="Hyperlink"/>
            <w:rFonts w:ascii="Times" w:eastAsia="Sorts Mill Goudy" w:hAnsi="Times" w:cs="Times"/>
            <w:highlight w:val="yellow"/>
          </w:rPr>
          <w:t>https://www.who.int/publications/m/item/trs986-annex2</w:t>
        </w:r>
      </w:hyperlink>
      <w:r w:rsidR="00DA0F27" w:rsidRPr="00DA0F27">
        <w:rPr>
          <w:rFonts w:ascii="Times" w:eastAsia="Sorts Mill Goudy" w:hAnsi="Times" w:cs="Times"/>
          <w:color w:val="000000" w:themeColor="text1"/>
          <w:highlight w:val="yellow"/>
        </w:rPr>
        <w:t xml:space="preserve"> </w:t>
      </w:r>
      <w:r w:rsidRPr="00DA0F27">
        <w:rPr>
          <w:rFonts w:ascii="Times" w:eastAsia="Sorts Mill Goudy" w:hAnsi="Times" w:cs="Times"/>
          <w:color w:val="000000" w:themeColor="text1"/>
          <w:highlight w:val="yellow"/>
        </w:rPr>
        <w:t xml:space="preserve"> </w:t>
      </w:r>
    </w:p>
    <w:p w14:paraId="36B94093" w14:textId="4907D411" w:rsidR="00142B56" w:rsidRPr="00DA0F27" w:rsidRDefault="00142B56" w:rsidP="001F018E">
      <w:pPr>
        <w:pStyle w:val="ListParagraph"/>
        <w:numPr>
          <w:ilvl w:val="0"/>
          <w:numId w:val="5"/>
        </w:numPr>
        <w:pBdr>
          <w:top w:val="nil"/>
          <w:left w:val="nil"/>
          <w:bottom w:val="nil"/>
          <w:right w:val="nil"/>
          <w:between w:val="nil"/>
        </w:pBdr>
        <w:spacing w:before="120" w:after="120" w:line="240" w:lineRule="auto"/>
        <w:ind w:left="360"/>
        <w:jc w:val="both"/>
        <w:rPr>
          <w:rFonts w:ascii="Times" w:eastAsia="Sorts Mill Goudy" w:hAnsi="Times" w:cs="Times"/>
          <w:color w:val="000000" w:themeColor="text1"/>
          <w:highlight w:val="yellow"/>
        </w:rPr>
      </w:pPr>
      <w:r w:rsidRPr="00DA0F27">
        <w:rPr>
          <w:rFonts w:ascii="Times" w:eastAsia="Sorts Mill Goudy" w:hAnsi="Times" w:cs="Times"/>
          <w:color w:val="000000" w:themeColor="text1"/>
          <w:highlight w:val="yellow"/>
        </w:rPr>
        <w:t xml:space="preserve">World Health Organization. (2023). World malaria report 2023. WHO Press. </w:t>
      </w:r>
      <w:hyperlink r:id="rId51" w:history="1">
        <w:r w:rsidR="00DA0F27" w:rsidRPr="00DA0F27">
          <w:rPr>
            <w:rStyle w:val="Hyperlink"/>
            <w:rFonts w:ascii="Times" w:eastAsia="Sorts Mill Goudy" w:hAnsi="Times" w:cs="Times"/>
            <w:highlight w:val="yellow"/>
          </w:rPr>
          <w:t>https://www.who.int/teams/global-malaria-programme/reports/world-malaria-report-2023</w:t>
        </w:r>
      </w:hyperlink>
      <w:r w:rsidR="00DA0F27" w:rsidRPr="00DA0F27">
        <w:rPr>
          <w:rFonts w:ascii="Times" w:eastAsia="Sorts Mill Goudy" w:hAnsi="Times" w:cs="Times"/>
          <w:color w:val="000000" w:themeColor="text1"/>
          <w:highlight w:val="yellow"/>
        </w:rPr>
        <w:t xml:space="preserve"> </w:t>
      </w:r>
    </w:p>
    <w:p w14:paraId="13C05888" w14:textId="77777777" w:rsidR="00F202A8" w:rsidRPr="00C20947" w:rsidRDefault="00F202A8" w:rsidP="00F202A8">
      <w:pPr>
        <w:pBdr>
          <w:top w:val="nil"/>
          <w:left w:val="nil"/>
          <w:bottom w:val="nil"/>
          <w:right w:val="nil"/>
          <w:between w:val="nil"/>
        </w:pBdr>
        <w:spacing w:before="120" w:after="120" w:line="240" w:lineRule="auto"/>
        <w:jc w:val="both"/>
        <w:rPr>
          <w:rFonts w:ascii="Times" w:eastAsia="Sorts Mill Goudy" w:hAnsi="Times" w:cs="Times"/>
          <w:color w:val="000000" w:themeColor="text1"/>
        </w:rPr>
      </w:pPr>
    </w:p>
    <w:p w14:paraId="552E5F5D" w14:textId="2CB4D928" w:rsidR="00F202A8" w:rsidRPr="00C20947" w:rsidRDefault="00F202A8" w:rsidP="00F202A8">
      <w:pPr>
        <w:pBdr>
          <w:top w:val="nil"/>
          <w:left w:val="nil"/>
          <w:bottom w:val="nil"/>
          <w:right w:val="nil"/>
          <w:between w:val="nil"/>
        </w:pBdr>
        <w:spacing w:before="120" w:after="120" w:line="240" w:lineRule="auto"/>
        <w:jc w:val="center"/>
        <w:rPr>
          <w:rFonts w:ascii="Times" w:eastAsia="Sorts Mill Goudy" w:hAnsi="Times" w:cs="Times"/>
          <w:b/>
          <w:bCs/>
          <w:color w:val="000000" w:themeColor="text1"/>
        </w:rPr>
      </w:pPr>
      <w:r w:rsidRPr="00C20947">
        <w:rPr>
          <w:rFonts w:ascii="Times" w:eastAsia="Sorts Mill Goudy" w:hAnsi="Times" w:cs="Times"/>
          <w:b/>
          <w:bCs/>
          <w:color w:val="000000" w:themeColor="text1"/>
        </w:rPr>
        <w:t xml:space="preserve">Appendix </w:t>
      </w:r>
    </w:p>
    <w:p w14:paraId="0B4BFF48" w14:textId="77777777" w:rsidR="00280DE0" w:rsidRPr="00C20947" w:rsidRDefault="00280DE0" w:rsidP="00B633A5">
      <w:pPr>
        <w:keepNext/>
        <w:pBdr>
          <w:top w:val="nil"/>
          <w:left w:val="nil"/>
          <w:bottom w:val="nil"/>
          <w:right w:val="nil"/>
          <w:between w:val="nil"/>
        </w:pBdr>
        <w:spacing w:before="120" w:after="120" w:line="240" w:lineRule="auto"/>
        <w:rPr>
          <w:rFonts w:ascii="Times" w:eastAsia="Sorts Mill Goudy" w:hAnsi="Times" w:cs="Times"/>
          <w:i/>
          <w:iCs/>
          <w:color w:val="000000" w:themeColor="text1"/>
        </w:rPr>
      </w:pPr>
      <w:r w:rsidRPr="00C20947">
        <w:rPr>
          <w:rFonts w:ascii="Times" w:eastAsia="Sorts Mill Goudy" w:hAnsi="Times" w:cs="Times"/>
          <w:i/>
          <w:iCs/>
          <w:color w:val="000000" w:themeColor="text1"/>
        </w:rPr>
        <w:t>Table 1: Detailed Description of Data Sources Used in the Study</w:t>
      </w:r>
    </w:p>
    <w:tbl>
      <w:tblPr>
        <w:tblStyle w:val="a7"/>
        <w:tblW w:w="9359"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1853"/>
        <w:gridCol w:w="1426"/>
        <w:gridCol w:w="2273"/>
        <w:gridCol w:w="1963"/>
        <w:gridCol w:w="1844"/>
      </w:tblGrid>
      <w:tr w:rsidR="00280DE0" w:rsidRPr="00C20947" w14:paraId="79A5DF21" w14:textId="77777777" w:rsidTr="004B74FE">
        <w:trPr>
          <w:cnfStyle w:val="100000000000" w:firstRow="1" w:lastRow="0" w:firstColumn="0" w:lastColumn="0" w:oddVBand="0" w:evenVBand="0" w:oddHBand="0" w:evenHBand="0" w:firstRowFirstColumn="0" w:firstRowLastColumn="0" w:lastRowFirstColumn="0" w:lastRowLastColumn="0"/>
        </w:trPr>
        <w:tc>
          <w:tcPr>
            <w:tcW w:w="1854" w:type="dxa"/>
            <w:vAlign w:val="center"/>
          </w:tcPr>
          <w:p w14:paraId="7D8D17DD"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Data Source</w:t>
            </w:r>
          </w:p>
        </w:tc>
        <w:tc>
          <w:tcPr>
            <w:tcW w:w="1426" w:type="dxa"/>
            <w:vAlign w:val="center"/>
          </w:tcPr>
          <w:p w14:paraId="28D967A8"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Type of Data</w:t>
            </w:r>
          </w:p>
        </w:tc>
        <w:tc>
          <w:tcPr>
            <w:tcW w:w="2273" w:type="dxa"/>
            <w:vAlign w:val="center"/>
          </w:tcPr>
          <w:p w14:paraId="376A60F0"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Specific Variables / Elements Extracted</w:t>
            </w:r>
          </w:p>
        </w:tc>
        <w:tc>
          <w:tcPr>
            <w:tcW w:w="1963" w:type="dxa"/>
            <w:vAlign w:val="center"/>
          </w:tcPr>
          <w:p w14:paraId="0715A6EA"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Usefulness / Rationale for Inclusion</w:t>
            </w:r>
          </w:p>
        </w:tc>
        <w:tc>
          <w:tcPr>
            <w:tcW w:w="1844" w:type="dxa"/>
            <w:vAlign w:val="center"/>
          </w:tcPr>
          <w:p w14:paraId="64B11CAC"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How It Was Used in the Analysis</w:t>
            </w:r>
          </w:p>
        </w:tc>
      </w:tr>
      <w:tr w:rsidR="00280DE0" w:rsidRPr="00C20947" w14:paraId="33B26495" w14:textId="77777777" w:rsidTr="004B74FE">
        <w:tc>
          <w:tcPr>
            <w:tcW w:w="1854" w:type="dxa"/>
            <w:vAlign w:val="center"/>
          </w:tcPr>
          <w:p w14:paraId="6B6DDD5C"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Brief 1 – ACT Manufacturing Capacity Assessment</w:t>
            </w:r>
          </w:p>
        </w:tc>
        <w:tc>
          <w:tcPr>
            <w:tcW w:w="1426" w:type="dxa"/>
            <w:vAlign w:val="center"/>
          </w:tcPr>
          <w:p w14:paraId="70D213AC"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Mixed (Quantitative + Qualitative)</w:t>
            </w:r>
          </w:p>
        </w:tc>
        <w:tc>
          <w:tcPr>
            <w:tcW w:w="2273" w:type="dxa"/>
            <w:vAlign w:val="center"/>
          </w:tcPr>
          <w:p w14:paraId="46499410"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Installed ACT capacity; utilization rates; manufacturer distribution; GMP status; PQ progress; API sourcing; ACT formulations (AL, DHA-PQP, ASAQ)</w:t>
            </w:r>
          </w:p>
        </w:tc>
        <w:tc>
          <w:tcPr>
            <w:tcW w:w="1963" w:type="dxa"/>
            <w:vAlign w:val="center"/>
          </w:tcPr>
          <w:p w14:paraId="0FC1F6EB"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Provides core evidence on Nigeria’s ACT manufacturing technical capability and bottlenecks</w:t>
            </w:r>
          </w:p>
        </w:tc>
        <w:tc>
          <w:tcPr>
            <w:tcW w:w="1844" w:type="dxa"/>
            <w:vAlign w:val="center"/>
          </w:tcPr>
          <w:p w14:paraId="1F2A4554"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to evaluate Domain 1 (Technical Capacity) &amp; Domain 2 (Regulatory Readiness)</w:t>
            </w:r>
          </w:p>
        </w:tc>
      </w:tr>
      <w:tr w:rsidR="00280DE0" w:rsidRPr="00C20947" w14:paraId="5A825ED2" w14:textId="77777777" w:rsidTr="004B74FE">
        <w:tc>
          <w:tcPr>
            <w:tcW w:w="1854" w:type="dxa"/>
            <w:vAlign w:val="center"/>
          </w:tcPr>
          <w:p w14:paraId="5DC98364"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Brief 2 – API Manufacturing Assessment</w:t>
            </w:r>
          </w:p>
        </w:tc>
        <w:tc>
          <w:tcPr>
            <w:tcW w:w="1426" w:type="dxa"/>
            <w:vAlign w:val="center"/>
          </w:tcPr>
          <w:p w14:paraId="16C27650"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Qualitative + Technical Landscape</w:t>
            </w:r>
          </w:p>
        </w:tc>
        <w:tc>
          <w:tcPr>
            <w:tcW w:w="2273" w:type="dxa"/>
            <w:vAlign w:val="center"/>
          </w:tcPr>
          <w:p w14:paraId="3D418C84"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Existing API capacity; infrastructure gaps; cost-of-production drivers; workforce readiness; policy environment; financing gaps</w:t>
            </w:r>
          </w:p>
        </w:tc>
        <w:tc>
          <w:tcPr>
            <w:tcW w:w="1963" w:type="dxa"/>
            <w:vAlign w:val="center"/>
          </w:tcPr>
          <w:p w14:paraId="16B8794D"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API data is central to upstream manufacturing analysis; shows Nigeria’s dependence on imported APIs</w:t>
            </w:r>
          </w:p>
        </w:tc>
        <w:tc>
          <w:tcPr>
            <w:tcW w:w="1844" w:type="dxa"/>
            <w:vAlign w:val="center"/>
          </w:tcPr>
          <w:p w14:paraId="3E122E2E"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for supply chain dependency analysis; informs financing and policy constraints</w:t>
            </w:r>
          </w:p>
        </w:tc>
      </w:tr>
      <w:tr w:rsidR="00280DE0" w:rsidRPr="00C20947" w14:paraId="7EBFD92C" w14:textId="77777777" w:rsidTr="004B74FE">
        <w:tc>
          <w:tcPr>
            <w:tcW w:w="1854" w:type="dxa"/>
            <w:vAlign w:val="center"/>
          </w:tcPr>
          <w:p w14:paraId="567C7C66"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Brief 3 – Financing Landscape for Health Manufacturing</w:t>
            </w:r>
          </w:p>
        </w:tc>
        <w:tc>
          <w:tcPr>
            <w:tcW w:w="1426" w:type="dxa"/>
            <w:vAlign w:val="center"/>
          </w:tcPr>
          <w:p w14:paraId="00BD344B"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Financial + Policy</w:t>
            </w:r>
          </w:p>
        </w:tc>
        <w:tc>
          <w:tcPr>
            <w:tcW w:w="2273" w:type="dxa"/>
            <w:vAlign w:val="center"/>
          </w:tcPr>
          <w:p w14:paraId="758BCF8D"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Lending rates; loan tenures; FX exposure; incentive uptake; capital expenditure estimates; donor-procurement financing dynamics</w:t>
            </w:r>
          </w:p>
        </w:tc>
        <w:tc>
          <w:tcPr>
            <w:tcW w:w="1963" w:type="dxa"/>
            <w:vAlign w:val="center"/>
          </w:tcPr>
          <w:p w14:paraId="0FA637CF"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Shows core financing constraints that undermine PQ upgrades and expansion</w:t>
            </w:r>
          </w:p>
        </w:tc>
        <w:tc>
          <w:tcPr>
            <w:tcW w:w="1844" w:type="dxa"/>
            <w:vAlign w:val="center"/>
          </w:tcPr>
          <w:p w14:paraId="76B7A848"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to build the Financing Architecture section of analytical framework</w:t>
            </w:r>
          </w:p>
        </w:tc>
      </w:tr>
      <w:tr w:rsidR="00280DE0" w:rsidRPr="00C20947" w14:paraId="5912FE77" w14:textId="77777777" w:rsidTr="004B74FE">
        <w:tc>
          <w:tcPr>
            <w:tcW w:w="1854" w:type="dxa"/>
            <w:vAlign w:val="center"/>
          </w:tcPr>
          <w:p w14:paraId="20FB797A"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Brief 4 – LLIN Manufacturing Assessment</w:t>
            </w:r>
          </w:p>
        </w:tc>
        <w:tc>
          <w:tcPr>
            <w:tcW w:w="1426" w:type="dxa"/>
            <w:vAlign w:val="center"/>
          </w:tcPr>
          <w:p w14:paraId="6A7006F9"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Technical + Market</w:t>
            </w:r>
          </w:p>
        </w:tc>
        <w:tc>
          <w:tcPr>
            <w:tcW w:w="2273" w:type="dxa"/>
            <w:vAlign w:val="center"/>
          </w:tcPr>
          <w:p w14:paraId="66C86D80"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Local LLIN capacity; yarn sourcing; weaving &amp; finishing capacity; PQ pathway challenges; textile-testing constraints</w:t>
            </w:r>
          </w:p>
        </w:tc>
        <w:tc>
          <w:tcPr>
            <w:tcW w:w="1963" w:type="dxa"/>
            <w:vAlign w:val="center"/>
          </w:tcPr>
          <w:p w14:paraId="321DA8AF"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Adds cross-commodity comparison with vector control products</w:t>
            </w:r>
          </w:p>
        </w:tc>
        <w:tc>
          <w:tcPr>
            <w:tcW w:w="1844" w:type="dxa"/>
            <w:vAlign w:val="center"/>
          </w:tcPr>
          <w:p w14:paraId="36DD0B9B"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in cross-domain synthesis of local manufacturing maturity</w:t>
            </w:r>
          </w:p>
        </w:tc>
      </w:tr>
      <w:tr w:rsidR="00280DE0" w:rsidRPr="00C20947" w14:paraId="66A07C32" w14:textId="77777777" w:rsidTr="004B74FE">
        <w:tc>
          <w:tcPr>
            <w:tcW w:w="1854" w:type="dxa"/>
            <w:vAlign w:val="center"/>
          </w:tcPr>
          <w:p w14:paraId="48B90E2C"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lastRenderedPageBreak/>
              <w:t>Brief 5 – Regulatory &amp; PQ Pathways</w:t>
            </w:r>
          </w:p>
        </w:tc>
        <w:tc>
          <w:tcPr>
            <w:tcW w:w="1426" w:type="dxa"/>
            <w:vAlign w:val="center"/>
          </w:tcPr>
          <w:p w14:paraId="7E6179E2"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Regulatory</w:t>
            </w:r>
          </w:p>
        </w:tc>
        <w:tc>
          <w:tcPr>
            <w:tcW w:w="2273" w:type="dxa"/>
            <w:vAlign w:val="center"/>
          </w:tcPr>
          <w:p w14:paraId="7C8DD360"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NAFDAC ML3 maturity; PQ documentation burden; ISO 13485 compliance; QC lab gaps</w:t>
            </w:r>
          </w:p>
        </w:tc>
        <w:tc>
          <w:tcPr>
            <w:tcW w:w="1963" w:type="dxa"/>
            <w:vAlign w:val="center"/>
          </w:tcPr>
          <w:p w14:paraId="67F308E0"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Clarifies readiness for access to donor-funded markets</w:t>
            </w:r>
          </w:p>
        </w:tc>
        <w:tc>
          <w:tcPr>
            <w:tcW w:w="1844" w:type="dxa"/>
            <w:vAlign w:val="center"/>
          </w:tcPr>
          <w:p w14:paraId="71A87514"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for the Regulatory Readiness matrix</w:t>
            </w:r>
          </w:p>
        </w:tc>
      </w:tr>
      <w:tr w:rsidR="00280DE0" w:rsidRPr="00C20947" w14:paraId="2166D0FA" w14:textId="77777777" w:rsidTr="004B74FE">
        <w:tc>
          <w:tcPr>
            <w:tcW w:w="1854" w:type="dxa"/>
            <w:vAlign w:val="center"/>
          </w:tcPr>
          <w:p w14:paraId="35C974CA"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Brief 6 – Market Access &amp; Procurement Assessment</w:t>
            </w:r>
          </w:p>
        </w:tc>
        <w:tc>
          <w:tcPr>
            <w:tcW w:w="1426" w:type="dxa"/>
            <w:vAlign w:val="center"/>
          </w:tcPr>
          <w:p w14:paraId="0C922F12"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Market + Procurement Data</w:t>
            </w:r>
          </w:p>
        </w:tc>
        <w:tc>
          <w:tcPr>
            <w:tcW w:w="2273" w:type="dxa"/>
            <w:vAlign w:val="center"/>
          </w:tcPr>
          <w:p w14:paraId="5F24762A"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Government procurement cycles; donor market share; local vs. import preferences; demand stability; payment delays</w:t>
            </w:r>
          </w:p>
        </w:tc>
        <w:tc>
          <w:tcPr>
            <w:tcW w:w="1963" w:type="dxa"/>
            <w:vAlign w:val="center"/>
          </w:tcPr>
          <w:p w14:paraId="14D6250B"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Explains underutilisation and demand unpredictability</w:t>
            </w:r>
          </w:p>
        </w:tc>
        <w:tc>
          <w:tcPr>
            <w:tcW w:w="1844" w:type="dxa"/>
            <w:vAlign w:val="center"/>
          </w:tcPr>
          <w:p w14:paraId="7657CD2B"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to evaluate market-shaping constraints and build results on idle capacity</w:t>
            </w:r>
          </w:p>
        </w:tc>
      </w:tr>
      <w:tr w:rsidR="00280DE0" w:rsidRPr="00C20947" w14:paraId="4B3540A6" w14:textId="77777777" w:rsidTr="004B74FE">
        <w:tc>
          <w:tcPr>
            <w:tcW w:w="1854" w:type="dxa"/>
            <w:vAlign w:val="center"/>
          </w:tcPr>
          <w:p w14:paraId="006BBF18"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Brief 7 – RDT Manufacturing Assessment</w:t>
            </w:r>
          </w:p>
        </w:tc>
        <w:tc>
          <w:tcPr>
            <w:tcW w:w="1426" w:type="dxa"/>
            <w:vAlign w:val="center"/>
          </w:tcPr>
          <w:p w14:paraId="408EBF01"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Technical + QA/QC</w:t>
            </w:r>
          </w:p>
        </w:tc>
        <w:tc>
          <w:tcPr>
            <w:tcW w:w="2273" w:type="dxa"/>
            <w:vAlign w:val="center"/>
          </w:tcPr>
          <w:p w14:paraId="3F42678D"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RDT production lines; ISO 13485 status; material sourcing; lab-testing capacity; regulatory bottlenecks</w:t>
            </w:r>
          </w:p>
        </w:tc>
        <w:tc>
          <w:tcPr>
            <w:tcW w:w="1963" w:type="dxa"/>
            <w:vAlign w:val="center"/>
          </w:tcPr>
          <w:p w14:paraId="718B5786"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Helps compare diagnostics sector to pharma and vector control</w:t>
            </w:r>
          </w:p>
        </w:tc>
        <w:tc>
          <w:tcPr>
            <w:tcW w:w="1844" w:type="dxa"/>
            <w:vAlign w:val="center"/>
          </w:tcPr>
          <w:p w14:paraId="09A99E94"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for cross-sector maturity comparison in Results</w:t>
            </w:r>
          </w:p>
        </w:tc>
      </w:tr>
      <w:tr w:rsidR="00280DE0" w:rsidRPr="00C20947" w14:paraId="6A002F94" w14:textId="77777777" w:rsidTr="004B74FE">
        <w:tc>
          <w:tcPr>
            <w:tcW w:w="1854" w:type="dxa"/>
            <w:vAlign w:val="center"/>
          </w:tcPr>
          <w:p w14:paraId="54FDF293"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Readiness Assessment Report</w:t>
            </w:r>
          </w:p>
        </w:tc>
        <w:tc>
          <w:tcPr>
            <w:tcW w:w="1426" w:type="dxa"/>
            <w:vAlign w:val="center"/>
          </w:tcPr>
          <w:p w14:paraId="2D4FDC2D"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High-resolution Quantitative + Qualitative</w:t>
            </w:r>
          </w:p>
        </w:tc>
        <w:tc>
          <w:tcPr>
            <w:tcW w:w="2273" w:type="dxa"/>
            <w:vAlign w:val="center"/>
          </w:tcPr>
          <w:p w14:paraId="6BBE7DF7"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Facility-level installed capacity; equipment inventory; automation; workforce profiles; HVAC/utility status; supply chain details; QC systems; GMP alignment; challenges</w:t>
            </w:r>
          </w:p>
        </w:tc>
        <w:tc>
          <w:tcPr>
            <w:tcW w:w="1963" w:type="dxa"/>
            <w:vAlign w:val="center"/>
          </w:tcPr>
          <w:p w14:paraId="05F361D9"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Most granular source; validates self-reported data; provides real-world facility insight</w:t>
            </w:r>
          </w:p>
        </w:tc>
        <w:tc>
          <w:tcPr>
            <w:tcW w:w="1844" w:type="dxa"/>
            <w:vAlign w:val="center"/>
          </w:tcPr>
          <w:p w14:paraId="64FD71B6"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for triangulation &amp; robust validation of Brief 1; strengthens technical and regulatory findings</w:t>
            </w:r>
          </w:p>
        </w:tc>
      </w:tr>
      <w:tr w:rsidR="00280DE0" w:rsidRPr="00C20947" w14:paraId="157DC195" w14:textId="77777777" w:rsidTr="004B74FE">
        <w:tc>
          <w:tcPr>
            <w:tcW w:w="1854" w:type="dxa"/>
            <w:vAlign w:val="center"/>
          </w:tcPr>
          <w:p w14:paraId="242E2027"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NAFDAC Global Benchmarking Tool (GBT) Reports</w:t>
            </w:r>
          </w:p>
        </w:tc>
        <w:tc>
          <w:tcPr>
            <w:tcW w:w="1426" w:type="dxa"/>
            <w:vAlign w:val="center"/>
          </w:tcPr>
          <w:p w14:paraId="1894346A"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Regulatory Scoring</w:t>
            </w:r>
          </w:p>
        </w:tc>
        <w:tc>
          <w:tcPr>
            <w:tcW w:w="2273" w:type="dxa"/>
            <w:vAlign w:val="center"/>
          </w:tcPr>
          <w:p w14:paraId="08AB7B7C"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Agency maturity level; regulatory functions; inspection timelines; dossier evaluation capacity; PQ-support readiness</w:t>
            </w:r>
          </w:p>
        </w:tc>
        <w:tc>
          <w:tcPr>
            <w:tcW w:w="1963" w:type="dxa"/>
            <w:vAlign w:val="center"/>
          </w:tcPr>
          <w:p w14:paraId="35AD07A2"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Shows regulatory environment strength and gaps</w:t>
            </w:r>
          </w:p>
        </w:tc>
        <w:tc>
          <w:tcPr>
            <w:tcW w:w="1844" w:type="dxa"/>
            <w:vAlign w:val="center"/>
          </w:tcPr>
          <w:p w14:paraId="4A0AA58C"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to assess national readiness for PQ scale-up</w:t>
            </w:r>
          </w:p>
        </w:tc>
      </w:tr>
      <w:tr w:rsidR="00280DE0" w:rsidRPr="00C20947" w14:paraId="5E467E3B" w14:textId="77777777" w:rsidTr="004B74FE">
        <w:tc>
          <w:tcPr>
            <w:tcW w:w="1854" w:type="dxa"/>
            <w:vAlign w:val="center"/>
          </w:tcPr>
          <w:p w14:paraId="14781CD1"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WHO PQ Technical Reports</w:t>
            </w:r>
          </w:p>
        </w:tc>
        <w:tc>
          <w:tcPr>
            <w:tcW w:w="1426" w:type="dxa"/>
            <w:vAlign w:val="center"/>
          </w:tcPr>
          <w:p w14:paraId="5EF62D6E"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Regulatory</w:t>
            </w:r>
          </w:p>
        </w:tc>
        <w:tc>
          <w:tcPr>
            <w:tcW w:w="2273" w:type="dxa"/>
            <w:vAlign w:val="center"/>
          </w:tcPr>
          <w:p w14:paraId="2539B4F2"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PQ requirements; documentation gaps; timelines; pre-submission checks</w:t>
            </w:r>
          </w:p>
        </w:tc>
        <w:tc>
          <w:tcPr>
            <w:tcW w:w="1963" w:type="dxa"/>
            <w:vAlign w:val="center"/>
          </w:tcPr>
          <w:p w14:paraId="31DF758A"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Provides standard against which Nigerian facilities were assessed</w:t>
            </w:r>
          </w:p>
        </w:tc>
        <w:tc>
          <w:tcPr>
            <w:tcW w:w="1844" w:type="dxa"/>
            <w:vAlign w:val="center"/>
          </w:tcPr>
          <w:p w14:paraId="64AD0FDD"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to define PQ readiness indicators</w:t>
            </w:r>
          </w:p>
        </w:tc>
      </w:tr>
      <w:tr w:rsidR="00280DE0" w:rsidRPr="00C20947" w14:paraId="5908E5D5" w14:textId="77777777" w:rsidTr="004B74FE">
        <w:tc>
          <w:tcPr>
            <w:tcW w:w="1854" w:type="dxa"/>
            <w:vAlign w:val="center"/>
          </w:tcPr>
          <w:p w14:paraId="51657B51"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ISO 13485 Certification Records (Diagnostics)</w:t>
            </w:r>
          </w:p>
        </w:tc>
        <w:tc>
          <w:tcPr>
            <w:tcW w:w="1426" w:type="dxa"/>
            <w:vAlign w:val="center"/>
          </w:tcPr>
          <w:p w14:paraId="3D38C31E"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Compliance Records</w:t>
            </w:r>
          </w:p>
        </w:tc>
        <w:tc>
          <w:tcPr>
            <w:tcW w:w="2273" w:type="dxa"/>
            <w:vAlign w:val="center"/>
          </w:tcPr>
          <w:p w14:paraId="45A236EE"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Certification dates; audit outcomes; scope of certification</w:t>
            </w:r>
          </w:p>
        </w:tc>
        <w:tc>
          <w:tcPr>
            <w:tcW w:w="1963" w:type="dxa"/>
            <w:vAlign w:val="center"/>
          </w:tcPr>
          <w:p w14:paraId="7B222AEA"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Ensures objectivity when assessing RDT QA systems</w:t>
            </w:r>
          </w:p>
        </w:tc>
        <w:tc>
          <w:tcPr>
            <w:tcW w:w="1844" w:type="dxa"/>
            <w:vAlign w:val="center"/>
          </w:tcPr>
          <w:p w14:paraId="68D546C5"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to verify claims in Brief 7</w:t>
            </w:r>
          </w:p>
        </w:tc>
      </w:tr>
      <w:tr w:rsidR="00280DE0" w:rsidRPr="00C20947" w14:paraId="34951DB0" w14:textId="77777777" w:rsidTr="004B74FE">
        <w:tc>
          <w:tcPr>
            <w:tcW w:w="1854" w:type="dxa"/>
            <w:vAlign w:val="center"/>
          </w:tcPr>
          <w:p w14:paraId="4565F64B"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 xml:space="preserve">FMITI Industrialization </w:t>
            </w:r>
            <w:r w:rsidRPr="00C20947">
              <w:rPr>
                <w:rFonts w:eastAsia="Sorts Mill Goudy"/>
                <w:b/>
                <w:bCs/>
                <w:color w:val="000000" w:themeColor="text1"/>
                <w:sz w:val="22"/>
                <w:szCs w:val="22"/>
              </w:rPr>
              <w:lastRenderedPageBreak/>
              <w:t>Policies (NIRP, PMTP)</w:t>
            </w:r>
          </w:p>
        </w:tc>
        <w:tc>
          <w:tcPr>
            <w:tcW w:w="1426" w:type="dxa"/>
            <w:vAlign w:val="center"/>
          </w:tcPr>
          <w:p w14:paraId="73A673E2"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lastRenderedPageBreak/>
              <w:t>Policy Documents</w:t>
            </w:r>
          </w:p>
        </w:tc>
        <w:tc>
          <w:tcPr>
            <w:tcW w:w="2273" w:type="dxa"/>
            <w:vAlign w:val="center"/>
          </w:tcPr>
          <w:p w14:paraId="53B8A0BB"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 xml:space="preserve">Local-content mandates; tax incentives; duty </w:t>
            </w:r>
            <w:r w:rsidRPr="00C20947">
              <w:rPr>
                <w:rFonts w:eastAsia="Sorts Mill Goudy"/>
                <w:color w:val="000000" w:themeColor="text1"/>
                <w:sz w:val="22"/>
                <w:szCs w:val="22"/>
              </w:rPr>
              <w:lastRenderedPageBreak/>
              <w:t>waivers; industrial park plans; sector priorities</w:t>
            </w:r>
          </w:p>
        </w:tc>
        <w:tc>
          <w:tcPr>
            <w:tcW w:w="1963" w:type="dxa"/>
            <w:vAlign w:val="center"/>
          </w:tcPr>
          <w:p w14:paraId="6CFB1B0B"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lastRenderedPageBreak/>
              <w:t>Shows policy intent and execution gaps</w:t>
            </w:r>
          </w:p>
        </w:tc>
        <w:tc>
          <w:tcPr>
            <w:tcW w:w="1844" w:type="dxa"/>
            <w:vAlign w:val="center"/>
          </w:tcPr>
          <w:p w14:paraId="78497186"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to support policy analysis domain</w:t>
            </w:r>
          </w:p>
        </w:tc>
      </w:tr>
      <w:tr w:rsidR="00280DE0" w:rsidRPr="00C20947" w14:paraId="083131A7" w14:textId="77777777" w:rsidTr="004B74FE">
        <w:tc>
          <w:tcPr>
            <w:tcW w:w="1854" w:type="dxa"/>
            <w:vAlign w:val="center"/>
          </w:tcPr>
          <w:p w14:paraId="57A0B417"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ECOWAS MRH &amp; AfCFTA Export Guidelines</w:t>
            </w:r>
          </w:p>
        </w:tc>
        <w:tc>
          <w:tcPr>
            <w:tcW w:w="1426" w:type="dxa"/>
            <w:vAlign w:val="center"/>
          </w:tcPr>
          <w:p w14:paraId="4B29B750"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Regional Trade + Regulatory</w:t>
            </w:r>
          </w:p>
        </w:tc>
        <w:tc>
          <w:tcPr>
            <w:tcW w:w="2273" w:type="dxa"/>
            <w:vAlign w:val="center"/>
          </w:tcPr>
          <w:p w14:paraId="1A6A538D"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Regional certification harmonization; export pathways; documentary requirements</w:t>
            </w:r>
          </w:p>
        </w:tc>
        <w:tc>
          <w:tcPr>
            <w:tcW w:w="1963" w:type="dxa"/>
            <w:vAlign w:val="center"/>
          </w:tcPr>
          <w:p w14:paraId="7C1419BE"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Adds export dimension to market access assessment</w:t>
            </w:r>
          </w:p>
        </w:tc>
        <w:tc>
          <w:tcPr>
            <w:tcW w:w="1844" w:type="dxa"/>
            <w:vAlign w:val="center"/>
          </w:tcPr>
          <w:p w14:paraId="2A2C7FD7"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in export readiness analysis</w:t>
            </w:r>
          </w:p>
        </w:tc>
      </w:tr>
      <w:tr w:rsidR="00280DE0" w:rsidRPr="00C20947" w14:paraId="25CECD16" w14:textId="77777777" w:rsidTr="004B74FE">
        <w:tc>
          <w:tcPr>
            <w:tcW w:w="1854" w:type="dxa"/>
            <w:vAlign w:val="center"/>
          </w:tcPr>
          <w:p w14:paraId="624A7F46"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NMEP National Demand Data</w:t>
            </w:r>
          </w:p>
        </w:tc>
        <w:tc>
          <w:tcPr>
            <w:tcW w:w="1426" w:type="dxa"/>
            <w:vAlign w:val="center"/>
          </w:tcPr>
          <w:p w14:paraId="5F0195B1"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Quantitative</w:t>
            </w:r>
          </w:p>
        </w:tc>
        <w:tc>
          <w:tcPr>
            <w:tcW w:w="2273" w:type="dxa"/>
            <w:vAlign w:val="center"/>
          </w:tcPr>
          <w:p w14:paraId="5AD88B67"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Annual malaria commodity demand; consumption forecasts; gap analysis</w:t>
            </w:r>
          </w:p>
        </w:tc>
        <w:tc>
          <w:tcPr>
            <w:tcW w:w="1963" w:type="dxa"/>
            <w:vAlign w:val="center"/>
          </w:tcPr>
          <w:p w14:paraId="4068E208"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Provides denominator for utilization calculations</w:t>
            </w:r>
          </w:p>
        </w:tc>
        <w:tc>
          <w:tcPr>
            <w:tcW w:w="1844" w:type="dxa"/>
            <w:vAlign w:val="center"/>
          </w:tcPr>
          <w:p w14:paraId="12B4312A"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to compare installed capacity vs. national demand</w:t>
            </w:r>
          </w:p>
        </w:tc>
      </w:tr>
      <w:tr w:rsidR="00280DE0" w:rsidRPr="00C20947" w14:paraId="32AF3063" w14:textId="77777777" w:rsidTr="004B74FE">
        <w:tc>
          <w:tcPr>
            <w:tcW w:w="1854" w:type="dxa"/>
            <w:vAlign w:val="center"/>
          </w:tcPr>
          <w:p w14:paraId="099E7AA5"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BOI, DBN &amp; DFI Financing Instruments</w:t>
            </w:r>
          </w:p>
        </w:tc>
        <w:tc>
          <w:tcPr>
            <w:tcW w:w="1426" w:type="dxa"/>
            <w:vAlign w:val="center"/>
          </w:tcPr>
          <w:p w14:paraId="1FD3C184"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Financial</w:t>
            </w:r>
          </w:p>
        </w:tc>
        <w:tc>
          <w:tcPr>
            <w:tcW w:w="2273" w:type="dxa"/>
            <w:vAlign w:val="center"/>
          </w:tcPr>
          <w:p w14:paraId="19B3B9ED"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Eligible financing instruments; interest rates; loan tenures; credit guarantees</w:t>
            </w:r>
          </w:p>
        </w:tc>
        <w:tc>
          <w:tcPr>
            <w:tcW w:w="1963" w:type="dxa"/>
            <w:vAlign w:val="center"/>
          </w:tcPr>
          <w:p w14:paraId="1EF06BD4"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Provides realistic financing environment</w:t>
            </w:r>
          </w:p>
        </w:tc>
        <w:tc>
          <w:tcPr>
            <w:tcW w:w="1844" w:type="dxa"/>
            <w:vAlign w:val="center"/>
          </w:tcPr>
          <w:p w14:paraId="0865565F"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in financing gap analysis</w:t>
            </w:r>
          </w:p>
        </w:tc>
      </w:tr>
      <w:tr w:rsidR="00280DE0" w:rsidRPr="00C20947" w14:paraId="57551AE5" w14:textId="77777777" w:rsidTr="004B74FE">
        <w:tc>
          <w:tcPr>
            <w:tcW w:w="1854" w:type="dxa"/>
            <w:vAlign w:val="center"/>
          </w:tcPr>
          <w:p w14:paraId="05E01073"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Manufacturer Self-Assessment Questionnaires</w:t>
            </w:r>
          </w:p>
        </w:tc>
        <w:tc>
          <w:tcPr>
            <w:tcW w:w="1426" w:type="dxa"/>
            <w:vAlign w:val="center"/>
          </w:tcPr>
          <w:p w14:paraId="7FE3AE04"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Primary Self-Reported Data</w:t>
            </w:r>
          </w:p>
        </w:tc>
        <w:tc>
          <w:tcPr>
            <w:tcW w:w="2273" w:type="dxa"/>
            <w:vAlign w:val="center"/>
          </w:tcPr>
          <w:p w14:paraId="5C97D007"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Technical equipment; staffing; QA systems; PQ interest; operational bottlenecks</w:t>
            </w:r>
          </w:p>
        </w:tc>
        <w:tc>
          <w:tcPr>
            <w:tcW w:w="1963" w:type="dxa"/>
            <w:vAlign w:val="center"/>
          </w:tcPr>
          <w:p w14:paraId="4714910E"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Complements consultant report and adds self-perception data</w:t>
            </w:r>
          </w:p>
        </w:tc>
        <w:tc>
          <w:tcPr>
            <w:tcW w:w="1844" w:type="dxa"/>
            <w:vAlign w:val="center"/>
          </w:tcPr>
          <w:p w14:paraId="7B0DB13B"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to triangulate findings from site visits</w:t>
            </w:r>
          </w:p>
        </w:tc>
      </w:tr>
      <w:tr w:rsidR="00280DE0" w:rsidRPr="00C20947" w14:paraId="1573BAFF" w14:textId="77777777" w:rsidTr="004B74FE">
        <w:tc>
          <w:tcPr>
            <w:tcW w:w="1854" w:type="dxa"/>
            <w:vAlign w:val="center"/>
          </w:tcPr>
          <w:p w14:paraId="76F5A3C5"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Stakeholder Interviews</w:t>
            </w:r>
          </w:p>
        </w:tc>
        <w:tc>
          <w:tcPr>
            <w:tcW w:w="1426" w:type="dxa"/>
            <w:vAlign w:val="center"/>
          </w:tcPr>
          <w:p w14:paraId="4898C1F0"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Qualitative</w:t>
            </w:r>
          </w:p>
        </w:tc>
        <w:tc>
          <w:tcPr>
            <w:tcW w:w="2273" w:type="dxa"/>
            <w:vAlign w:val="center"/>
          </w:tcPr>
          <w:p w14:paraId="2754FA51"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Policy alignment; regulatory constraints; coordination issues; industry expectations</w:t>
            </w:r>
          </w:p>
        </w:tc>
        <w:tc>
          <w:tcPr>
            <w:tcW w:w="1963" w:type="dxa"/>
            <w:vAlign w:val="center"/>
          </w:tcPr>
          <w:p w14:paraId="0213BF02"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Adds contextual interpretation from decision-makers</w:t>
            </w:r>
          </w:p>
        </w:tc>
        <w:tc>
          <w:tcPr>
            <w:tcW w:w="1844" w:type="dxa"/>
            <w:vAlign w:val="center"/>
          </w:tcPr>
          <w:p w14:paraId="4A937170" w14:textId="77777777" w:rsidR="00280DE0" w:rsidRPr="00C20947" w:rsidRDefault="00280DE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Used in thematic analysis for cross-domain synthesis</w:t>
            </w:r>
          </w:p>
        </w:tc>
      </w:tr>
    </w:tbl>
    <w:p w14:paraId="353F5303" w14:textId="77777777" w:rsidR="007161E6" w:rsidRPr="00C20947" w:rsidRDefault="007161E6" w:rsidP="007161E6">
      <w:pPr>
        <w:pBdr>
          <w:top w:val="nil"/>
          <w:left w:val="nil"/>
          <w:bottom w:val="nil"/>
          <w:right w:val="nil"/>
          <w:between w:val="nil"/>
        </w:pBdr>
        <w:spacing w:before="120" w:after="120" w:line="240" w:lineRule="auto"/>
        <w:rPr>
          <w:rFonts w:ascii="Times" w:eastAsia="Sorts Mill Goudy" w:hAnsi="Times" w:cs="Times"/>
          <w:color w:val="000000" w:themeColor="text1"/>
        </w:rPr>
      </w:pPr>
    </w:p>
    <w:p w14:paraId="3B9B7C3D" w14:textId="77777777" w:rsidR="00E91319" w:rsidRPr="00C20947" w:rsidRDefault="00E91319" w:rsidP="00B633A5">
      <w:pPr>
        <w:keepNext/>
        <w:pBdr>
          <w:top w:val="nil"/>
          <w:left w:val="nil"/>
          <w:bottom w:val="nil"/>
          <w:right w:val="nil"/>
          <w:between w:val="nil"/>
        </w:pBdr>
        <w:spacing w:before="120" w:after="120" w:line="240" w:lineRule="auto"/>
        <w:rPr>
          <w:rFonts w:ascii="Times" w:eastAsia="Sorts Mill Goudy" w:hAnsi="Times" w:cs="Times"/>
          <w:i/>
          <w:iCs/>
          <w:color w:val="000000" w:themeColor="text1"/>
        </w:rPr>
      </w:pPr>
      <w:r w:rsidRPr="00C20947">
        <w:rPr>
          <w:rFonts w:ascii="Times" w:eastAsia="Sorts Mill Goudy" w:hAnsi="Times" w:cs="Times"/>
          <w:i/>
          <w:iCs/>
          <w:color w:val="000000" w:themeColor="text1"/>
        </w:rPr>
        <w:t>Table 2: Analytical Framework for Assessing Nigeria’s Local Manufacturing Capacity for Malaria Commodities</w:t>
      </w:r>
    </w:p>
    <w:tbl>
      <w:tblPr>
        <w:tblStyle w:val="a8"/>
        <w:tblW w:w="9360"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1558"/>
        <w:gridCol w:w="2701"/>
        <w:gridCol w:w="1505"/>
        <w:gridCol w:w="1937"/>
        <w:gridCol w:w="1659"/>
      </w:tblGrid>
      <w:tr w:rsidR="00E91319" w:rsidRPr="00C20947" w14:paraId="20FDD15F" w14:textId="77777777" w:rsidTr="004B74FE">
        <w:trPr>
          <w:cnfStyle w:val="100000000000" w:firstRow="1" w:lastRow="0" w:firstColumn="0" w:lastColumn="0" w:oddVBand="0" w:evenVBand="0" w:oddHBand="0" w:evenHBand="0" w:firstRowFirstColumn="0" w:firstRowLastColumn="0" w:lastRowFirstColumn="0" w:lastRowLastColumn="0"/>
        </w:trPr>
        <w:tc>
          <w:tcPr>
            <w:tcW w:w="1558" w:type="dxa"/>
            <w:vAlign w:val="center"/>
          </w:tcPr>
          <w:p w14:paraId="56FA0906"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Domain of Analysis</w:t>
            </w:r>
          </w:p>
        </w:tc>
        <w:tc>
          <w:tcPr>
            <w:tcW w:w="2701" w:type="dxa"/>
            <w:vAlign w:val="center"/>
          </w:tcPr>
          <w:p w14:paraId="5139155A"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Key Indicators / Variables</w:t>
            </w:r>
          </w:p>
        </w:tc>
        <w:tc>
          <w:tcPr>
            <w:tcW w:w="1505" w:type="dxa"/>
            <w:vAlign w:val="center"/>
          </w:tcPr>
          <w:p w14:paraId="15F5064C"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Primary Data Sources</w:t>
            </w:r>
          </w:p>
        </w:tc>
        <w:tc>
          <w:tcPr>
            <w:tcW w:w="1937" w:type="dxa"/>
            <w:vAlign w:val="center"/>
          </w:tcPr>
          <w:p w14:paraId="73FF5AF6"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Rationale for Inclusion</w:t>
            </w:r>
          </w:p>
        </w:tc>
        <w:tc>
          <w:tcPr>
            <w:tcW w:w="1659" w:type="dxa"/>
            <w:vAlign w:val="center"/>
          </w:tcPr>
          <w:p w14:paraId="265188E7"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Outputs of Analysis</w:t>
            </w:r>
          </w:p>
        </w:tc>
      </w:tr>
      <w:tr w:rsidR="00E91319" w:rsidRPr="00C20947" w14:paraId="32A56489" w14:textId="77777777" w:rsidTr="004B74FE">
        <w:tc>
          <w:tcPr>
            <w:tcW w:w="1558" w:type="dxa"/>
            <w:vAlign w:val="center"/>
          </w:tcPr>
          <w:p w14:paraId="4455FFFB"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1. Technical &amp; Production Capacity</w:t>
            </w:r>
          </w:p>
        </w:tc>
        <w:tc>
          <w:tcPr>
            <w:tcW w:w="2701" w:type="dxa"/>
            <w:vAlign w:val="center"/>
          </w:tcPr>
          <w:p w14:paraId="324A0B30"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Installed production capacity (monthly/annual) - Utilisation rate (%) - Plant layout &amp; degree of automation - Workforce size &amp; technical skills - API/excipient sourcing pathways - Packaging &amp; logistics readiness</w:t>
            </w:r>
          </w:p>
        </w:tc>
        <w:tc>
          <w:tcPr>
            <w:tcW w:w="1505" w:type="dxa"/>
            <w:vAlign w:val="center"/>
          </w:tcPr>
          <w:p w14:paraId="5D9C0375"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Brief 1, Brief 2, Consultant Report</w:t>
            </w:r>
          </w:p>
        </w:tc>
        <w:tc>
          <w:tcPr>
            <w:tcW w:w="1937" w:type="dxa"/>
            <w:vAlign w:val="center"/>
          </w:tcPr>
          <w:p w14:paraId="453D833C"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Determines the country’s ability to produce malaria commodities at scale and with consistency</w:t>
            </w:r>
          </w:p>
        </w:tc>
        <w:tc>
          <w:tcPr>
            <w:tcW w:w="1659" w:type="dxa"/>
            <w:vAlign w:val="center"/>
          </w:tcPr>
          <w:p w14:paraId="63E06591"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Comparative capacity profile across ACTs, APIs, LLINs, RDTs</w:t>
            </w:r>
          </w:p>
        </w:tc>
      </w:tr>
      <w:tr w:rsidR="00E91319" w:rsidRPr="00C20947" w14:paraId="3F94D216" w14:textId="77777777" w:rsidTr="004B74FE">
        <w:tc>
          <w:tcPr>
            <w:tcW w:w="1558" w:type="dxa"/>
            <w:vAlign w:val="center"/>
          </w:tcPr>
          <w:p w14:paraId="0E0EB516"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lastRenderedPageBreak/>
              <w:t>2. Quality &amp; Regulatory Readiness</w:t>
            </w:r>
          </w:p>
        </w:tc>
        <w:tc>
          <w:tcPr>
            <w:tcW w:w="2701" w:type="dxa"/>
            <w:vAlign w:val="center"/>
          </w:tcPr>
          <w:p w14:paraId="6545D43F"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GMP/NAFDAC compliance - WHO PQ status &amp; progress - ISO 13485 status (diagnostics) - QA/QC infrastructure (labs, bioequivalence capacity) - Documentation readiness</w:t>
            </w:r>
          </w:p>
        </w:tc>
        <w:tc>
          <w:tcPr>
            <w:tcW w:w="1505" w:type="dxa"/>
            <w:vAlign w:val="center"/>
          </w:tcPr>
          <w:p w14:paraId="42EC6B20"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Briefs 1, 2, 5; NAFDAC GBT Report; WHO PQ documents</w:t>
            </w:r>
          </w:p>
        </w:tc>
        <w:tc>
          <w:tcPr>
            <w:tcW w:w="1937" w:type="dxa"/>
            <w:vAlign w:val="center"/>
          </w:tcPr>
          <w:p w14:paraId="02D6763B"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Establishes eligibility for donor markets and international procurement channels</w:t>
            </w:r>
          </w:p>
        </w:tc>
        <w:tc>
          <w:tcPr>
            <w:tcW w:w="1659" w:type="dxa"/>
            <w:vAlign w:val="center"/>
          </w:tcPr>
          <w:p w14:paraId="78827379"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Regulatory readiness index &amp; PQ pathway mapping</w:t>
            </w:r>
          </w:p>
        </w:tc>
      </w:tr>
      <w:tr w:rsidR="00E91319" w:rsidRPr="00C20947" w14:paraId="6AC72A07" w14:textId="77777777" w:rsidTr="004B74FE">
        <w:tc>
          <w:tcPr>
            <w:tcW w:w="1558" w:type="dxa"/>
            <w:vAlign w:val="center"/>
          </w:tcPr>
          <w:p w14:paraId="4B4C5A67"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3. Supply Chain &amp; Input Dependencies</w:t>
            </w:r>
          </w:p>
        </w:tc>
        <w:tc>
          <w:tcPr>
            <w:tcW w:w="2701" w:type="dxa"/>
            <w:vAlign w:val="center"/>
          </w:tcPr>
          <w:p w14:paraId="4B34F50A"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API dependence ratios - Import delays - Local availability of packaging materials - Cost of utilities (power, water, steam) - Foreign exchange exposure</w:t>
            </w:r>
          </w:p>
        </w:tc>
        <w:tc>
          <w:tcPr>
            <w:tcW w:w="1505" w:type="dxa"/>
            <w:vAlign w:val="center"/>
          </w:tcPr>
          <w:p w14:paraId="49A94F62"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Brief 2, Consultant Report, FMITI policy documents</w:t>
            </w:r>
          </w:p>
        </w:tc>
        <w:tc>
          <w:tcPr>
            <w:tcW w:w="1937" w:type="dxa"/>
            <w:vAlign w:val="center"/>
          </w:tcPr>
          <w:p w14:paraId="7F5738C4"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Clarifies vulnerabilities that undermine competitiveness and supply resilience</w:t>
            </w:r>
          </w:p>
        </w:tc>
        <w:tc>
          <w:tcPr>
            <w:tcW w:w="1659" w:type="dxa"/>
            <w:vAlign w:val="center"/>
          </w:tcPr>
          <w:p w14:paraId="5029B30F"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Input dependency profile and supply chain risk map</w:t>
            </w:r>
          </w:p>
        </w:tc>
      </w:tr>
      <w:tr w:rsidR="00E91319" w:rsidRPr="00C20947" w14:paraId="25C933C2" w14:textId="77777777" w:rsidTr="004B74FE">
        <w:tc>
          <w:tcPr>
            <w:tcW w:w="1558" w:type="dxa"/>
            <w:vAlign w:val="center"/>
          </w:tcPr>
          <w:p w14:paraId="75A437BD"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4. Market Access &amp; Demand Structure</w:t>
            </w:r>
          </w:p>
        </w:tc>
        <w:tc>
          <w:tcPr>
            <w:tcW w:w="2701" w:type="dxa"/>
            <w:vAlign w:val="center"/>
          </w:tcPr>
          <w:p w14:paraId="37FB4EC3"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Distribution of national demand (government vs. donor vs. private sector) - Access to Global Fund/UNICEF tenders - Procurement timelines &amp; payment cycles - Export readiness (ECOWAS MRH, AfCFTA)</w:t>
            </w:r>
          </w:p>
        </w:tc>
        <w:tc>
          <w:tcPr>
            <w:tcW w:w="1505" w:type="dxa"/>
            <w:vAlign w:val="center"/>
          </w:tcPr>
          <w:p w14:paraId="3F09677B"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Briefs 3, 6, 7; NMEP procurement data</w:t>
            </w:r>
          </w:p>
        </w:tc>
        <w:tc>
          <w:tcPr>
            <w:tcW w:w="1937" w:type="dxa"/>
            <w:vAlign w:val="center"/>
          </w:tcPr>
          <w:p w14:paraId="66D3AEF3"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Determines revenue predictability and utilisation of installed capacity</w:t>
            </w:r>
          </w:p>
        </w:tc>
        <w:tc>
          <w:tcPr>
            <w:tcW w:w="1659" w:type="dxa"/>
            <w:vAlign w:val="center"/>
          </w:tcPr>
          <w:p w14:paraId="61EB953D"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Market-access barriers matrix &amp; demand stability assessment</w:t>
            </w:r>
          </w:p>
        </w:tc>
      </w:tr>
      <w:tr w:rsidR="00E91319" w:rsidRPr="00C20947" w14:paraId="7C6163EB" w14:textId="77777777" w:rsidTr="004B74FE">
        <w:tc>
          <w:tcPr>
            <w:tcW w:w="1558" w:type="dxa"/>
            <w:vAlign w:val="center"/>
          </w:tcPr>
          <w:p w14:paraId="32D350DA"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5. Financing Landscape &amp; Investment Readiness</w:t>
            </w:r>
          </w:p>
        </w:tc>
        <w:tc>
          <w:tcPr>
            <w:tcW w:w="2701" w:type="dxa"/>
            <w:vAlign w:val="center"/>
          </w:tcPr>
          <w:p w14:paraId="6FD17796"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Cost of capital (interest rates) - Loan tenures - Access to BOI/DBN/DFI instruments - Incentive utilisation (tax waivers, duty exemptions) - CAPEX and working capital needs</w:t>
            </w:r>
          </w:p>
        </w:tc>
        <w:tc>
          <w:tcPr>
            <w:tcW w:w="1505" w:type="dxa"/>
            <w:vAlign w:val="center"/>
          </w:tcPr>
          <w:p w14:paraId="51E59EC4"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Brief 3, FMITI, BOI, PMTP (2025–2030)</w:t>
            </w:r>
          </w:p>
        </w:tc>
        <w:tc>
          <w:tcPr>
            <w:tcW w:w="1937" w:type="dxa"/>
            <w:vAlign w:val="center"/>
          </w:tcPr>
          <w:p w14:paraId="7108A6FB"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Identifies why manufacturers cannot scale or pursue PQ despite technical readiness</w:t>
            </w:r>
          </w:p>
        </w:tc>
        <w:tc>
          <w:tcPr>
            <w:tcW w:w="1659" w:type="dxa"/>
            <w:vAlign w:val="center"/>
          </w:tcPr>
          <w:p w14:paraId="73FAECF5"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Financing constraint map &amp; blended finance opportunity profile</w:t>
            </w:r>
          </w:p>
        </w:tc>
      </w:tr>
      <w:tr w:rsidR="00E91319" w:rsidRPr="00C20947" w14:paraId="4FF95330" w14:textId="77777777" w:rsidTr="004B74FE">
        <w:tc>
          <w:tcPr>
            <w:tcW w:w="1558" w:type="dxa"/>
            <w:vAlign w:val="center"/>
          </w:tcPr>
          <w:p w14:paraId="3F432462"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6. Policy Environment &amp; Institutional Alignment</w:t>
            </w:r>
          </w:p>
        </w:tc>
        <w:tc>
          <w:tcPr>
            <w:tcW w:w="2701" w:type="dxa"/>
            <w:vAlign w:val="center"/>
          </w:tcPr>
          <w:p w14:paraId="0DD7A0BE"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National industrialisation policies (NIRP, PMTP) - Local content provisions - Coordination across FMoH–FMITI–NAFDAC–BOI - Execution gaps vs. policy commitments</w:t>
            </w:r>
          </w:p>
        </w:tc>
        <w:tc>
          <w:tcPr>
            <w:tcW w:w="1505" w:type="dxa"/>
            <w:vAlign w:val="center"/>
          </w:tcPr>
          <w:p w14:paraId="243E4409"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Briefs 1–7; Government policy documents</w:t>
            </w:r>
          </w:p>
        </w:tc>
        <w:tc>
          <w:tcPr>
            <w:tcW w:w="1937" w:type="dxa"/>
            <w:vAlign w:val="center"/>
          </w:tcPr>
          <w:p w14:paraId="03C4CACA"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Shows whether Nigeria’s policy environment supports or inhibits industrialisation</w:t>
            </w:r>
          </w:p>
        </w:tc>
        <w:tc>
          <w:tcPr>
            <w:tcW w:w="1659" w:type="dxa"/>
            <w:vAlign w:val="center"/>
          </w:tcPr>
          <w:p w14:paraId="2FA45FBB"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Institutional alignment score &amp; policy execution gap analysis</w:t>
            </w:r>
          </w:p>
        </w:tc>
      </w:tr>
      <w:tr w:rsidR="00E91319" w:rsidRPr="00C20947" w14:paraId="33706D75" w14:textId="77777777" w:rsidTr="004B74FE">
        <w:tc>
          <w:tcPr>
            <w:tcW w:w="1558" w:type="dxa"/>
            <w:vAlign w:val="center"/>
          </w:tcPr>
          <w:p w14:paraId="2AF93281"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7. Cross-Domain Integration</w:t>
            </w:r>
          </w:p>
        </w:tc>
        <w:tc>
          <w:tcPr>
            <w:tcW w:w="2701" w:type="dxa"/>
            <w:vAlign w:val="center"/>
          </w:tcPr>
          <w:p w14:paraId="35133F14"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-Triangulation of quantitative and qualitative findings - Linkages between technical, regulatory, market, and financing constraints</w:t>
            </w:r>
          </w:p>
        </w:tc>
        <w:tc>
          <w:tcPr>
            <w:tcW w:w="1505" w:type="dxa"/>
            <w:vAlign w:val="center"/>
          </w:tcPr>
          <w:p w14:paraId="3E67AF4B"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All documents</w:t>
            </w:r>
          </w:p>
        </w:tc>
        <w:tc>
          <w:tcPr>
            <w:tcW w:w="1937" w:type="dxa"/>
            <w:vAlign w:val="center"/>
          </w:tcPr>
          <w:p w14:paraId="2ABC9F99"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Enables synthesis to determine overall system readiness</w:t>
            </w:r>
          </w:p>
        </w:tc>
        <w:tc>
          <w:tcPr>
            <w:tcW w:w="1659" w:type="dxa"/>
            <w:vAlign w:val="center"/>
          </w:tcPr>
          <w:p w14:paraId="214371C6" w14:textId="77777777" w:rsidR="00E91319" w:rsidRPr="00C20947" w:rsidRDefault="00E91319"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Final systems-level readiness model for local manufacturing</w:t>
            </w:r>
          </w:p>
        </w:tc>
      </w:tr>
    </w:tbl>
    <w:p w14:paraId="0BC0F8CA" w14:textId="77777777" w:rsidR="00E91319" w:rsidRPr="00C20947" w:rsidRDefault="00E91319" w:rsidP="007161E6">
      <w:pPr>
        <w:pBdr>
          <w:top w:val="nil"/>
          <w:left w:val="nil"/>
          <w:bottom w:val="nil"/>
          <w:right w:val="nil"/>
          <w:between w:val="nil"/>
        </w:pBdr>
        <w:spacing w:before="120" w:after="120" w:line="240" w:lineRule="auto"/>
        <w:rPr>
          <w:rFonts w:ascii="Times" w:eastAsia="Sorts Mill Goudy" w:hAnsi="Times" w:cs="Times"/>
          <w:color w:val="000000" w:themeColor="text1"/>
        </w:rPr>
      </w:pPr>
    </w:p>
    <w:p w14:paraId="364EE9D6" w14:textId="77777777" w:rsidR="00D80D8D" w:rsidRPr="00C20947" w:rsidRDefault="00D80D8D" w:rsidP="00B633A5">
      <w:pPr>
        <w:keepNext/>
        <w:pBdr>
          <w:top w:val="nil"/>
          <w:left w:val="nil"/>
          <w:bottom w:val="nil"/>
          <w:right w:val="nil"/>
          <w:between w:val="nil"/>
        </w:pBdr>
        <w:spacing w:before="120" w:after="120" w:line="240" w:lineRule="auto"/>
        <w:rPr>
          <w:rFonts w:ascii="Times" w:eastAsia="Sorts Mill Goudy" w:hAnsi="Times" w:cs="Times"/>
          <w:i/>
          <w:iCs/>
          <w:color w:val="000000" w:themeColor="text1"/>
        </w:rPr>
      </w:pPr>
      <w:r w:rsidRPr="00C20947">
        <w:rPr>
          <w:rFonts w:ascii="Times" w:eastAsia="Sorts Mill Goudy" w:hAnsi="Times" w:cs="Times"/>
          <w:i/>
          <w:iCs/>
          <w:color w:val="000000" w:themeColor="text1"/>
        </w:rPr>
        <w:lastRenderedPageBreak/>
        <w:t>Table 3: Summary of Manufacturing Capacity Across Key Malaria Commodities in Nigeria</w:t>
      </w:r>
    </w:p>
    <w:tbl>
      <w:tblPr>
        <w:tblStyle w:val="a9"/>
        <w:tblW w:w="9918" w:type="dxa"/>
        <w:jc w:val="center"/>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1314"/>
        <w:gridCol w:w="1417"/>
        <w:gridCol w:w="1060"/>
        <w:gridCol w:w="1100"/>
        <w:gridCol w:w="1799"/>
        <w:gridCol w:w="1361"/>
        <w:gridCol w:w="1867"/>
      </w:tblGrid>
      <w:tr w:rsidR="00D80D8D" w:rsidRPr="00C20947" w14:paraId="775E3CDD" w14:textId="77777777" w:rsidTr="004B74FE">
        <w:trPr>
          <w:cnfStyle w:val="100000000000" w:firstRow="1" w:lastRow="0" w:firstColumn="0" w:lastColumn="0" w:oddVBand="0" w:evenVBand="0" w:oddHBand="0" w:evenHBand="0" w:firstRowFirstColumn="0" w:firstRowLastColumn="0" w:lastRowFirstColumn="0" w:lastRowLastColumn="0"/>
          <w:jc w:val="center"/>
        </w:trPr>
        <w:tc>
          <w:tcPr>
            <w:tcW w:w="1314" w:type="dxa"/>
            <w:vAlign w:val="center"/>
          </w:tcPr>
          <w:p w14:paraId="0C6D8B6A"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Commodity Category</w:t>
            </w:r>
          </w:p>
        </w:tc>
        <w:tc>
          <w:tcPr>
            <w:tcW w:w="1417" w:type="dxa"/>
            <w:vAlign w:val="center"/>
          </w:tcPr>
          <w:p w14:paraId="618A1EB9"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Number of Identified Manufacturers</w:t>
            </w:r>
          </w:p>
        </w:tc>
        <w:tc>
          <w:tcPr>
            <w:tcW w:w="1060" w:type="dxa"/>
            <w:vAlign w:val="center"/>
          </w:tcPr>
          <w:p w14:paraId="0AC98869"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Installed Technical Capacity</w:t>
            </w:r>
          </w:p>
        </w:tc>
        <w:tc>
          <w:tcPr>
            <w:tcW w:w="1100" w:type="dxa"/>
            <w:vAlign w:val="center"/>
          </w:tcPr>
          <w:p w14:paraId="7082D884"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Current Utilization Level</w:t>
            </w:r>
          </w:p>
        </w:tc>
        <w:tc>
          <w:tcPr>
            <w:tcW w:w="1799" w:type="dxa"/>
            <w:vAlign w:val="center"/>
          </w:tcPr>
          <w:p w14:paraId="66B93EE1"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Quality/Regulatory Status</w:t>
            </w:r>
          </w:p>
        </w:tc>
        <w:tc>
          <w:tcPr>
            <w:tcW w:w="1361" w:type="dxa"/>
            <w:vAlign w:val="center"/>
          </w:tcPr>
          <w:p w14:paraId="6BAE328D"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Key Input Dependencies</w:t>
            </w:r>
          </w:p>
        </w:tc>
        <w:tc>
          <w:tcPr>
            <w:tcW w:w="1867" w:type="dxa"/>
            <w:vAlign w:val="center"/>
          </w:tcPr>
          <w:p w14:paraId="14D62BE2"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Major Bottlenecks Identified</w:t>
            </w:r>
          </w:p>
        </w:tc>
      </w:tr>
      <w:tr w:rsidR="00D80D8D" w:rsidRPr="00C20947" w14:paraId="22CB2BA4" w14:textId="77777777" w:rsidTr="004B74FE">
        <w:trPr>
          <w:jc w:val="center"/>
        </w:trPr>
        <w:tc>
          <w:tcPr>
            <w:tcW w:w="1314" w:type="dxa"/>
            <w:vAlign w:val="center"/>
          </w:tcPr>
          <w:p w14:paraId="7551DA3A"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ACTs (Artemisinin-based Combination Therapies)</w:t>
            </w:r>
          </w:p>
        </w:tc>
        <w:tc>
          <w:tcPr>
            <w:tcW w:w="1417" w:type="dxa"/>
            <w:vAlign w:val="center"/>
          </w:tcPr>
          <w:p w14:paraId="602DCB4B"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16 licensed formulators</w:t>
            </w:r>
          </w:p>
        </w:tc>
        <w:tc>
          <w:tcPr>
            <w:tcW w:w="1060" w:type="dxa"/>
            <w:vAlign w:val="center"/>
          </w:tcPr>
          <w:p w14:paraId="57DCEF8F"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&gt;1.2 billion doses/year</w:t>
            </w:r>
          </w:p>
        </w:tc>
        <w:tc>
          <w:tcPr>
            <w:tcW w:w="1100" w:type="dxa"/>
            <w:vAlign w:val="center"/>
          </w:tcPr>
          <w:p w14:paraId="51DF2FB1"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40–60% utilization</w:t>
            </w:r>
          </w:p>
        </w:tc>
        <w:tc>
          <w:tcPr>
            <w:tcW w:w="1799" w:type="dxa"/>
            <w:vAlign w:val="center"/>
          </w:tcPr>
          <w:p w14:paraId="7A3584F8"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Several GMP-compliant; none WHO PQ</w:t>
            </w:r>
          </w:p>
        </w:tc>
        <w:tc>
          <w:tcPr>
            <w:tcW w:w="1361" w:type="dxa"/>
            <w:vAlign w:val="center"/>
          </w:tcPr>
          <w:p w14:paraId="723B1EF8"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APIs entirely imported; packaging materials partly local</w:t>
            </w:r>
          </w:p>
        </w:tc>
        <w:tc>
          <w:tcPr>
            <w:tcW w:w="1867" w:type="dxa"/>
            <w:vAlign w:val="center"/>
          </w:tcPr>
          <w:p w14:paraId="611FFA1E"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Procurement unpredictability; donor preference for PQ imports; API forex exposure</w:t>
            </w:r>
          </w:p>
        </w:tc>
      </w:tr>
      <w:tr w:rsidR="00D80D8D" w:rsidRPr="00C20947" w14:paraId="223C3311" w14:textId="77777777" w:rsidTr="004B74FE">
        <w:trPr>
          <w:jc w:val="center"/>
        </w:trPr>
        <w:tc>
          <w:tcPr>
            <w:tcW w:w="1314" w:type="dxa"/>
            <w:vAlign w:val="center"/>
          </w:tcPr>
          <w:p w14:paraId="6755E4C7"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APIs (Artemisinin derivatives &amp; other antimalarial APIs)</w:t>
            </w:r>
          </w:p>
        </w:tc>
        <w:tc>
          <w:tcPr>
            <w:tcW w:w="1417" w:type="dxa"/>
            <w:vAlign w:val="center"/>
          </w:tcPr>
          <w:p w14:paraId="65369AF4"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0 fully operational; 1–2 partially ready</w:t>
            </w:r>
          </w:p>
        </w:tc>
        <w:tc>
          <w:tcPr>
            <w:tcW w:w="1060" w:type="dxa"/>
            <w:vAlign w:val="center"/>
          </w:tcPr>
          <w:p w14:paraId="7AE37BB9"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Pilot-scale potential only</w:t>
            </w:r>
          </w:p>
        </w:tc>
        <w:tc>
          <w:tcPr>
            <w:tcW w:w="1100" w:type="dxa"/>
            <w:vAlign w:val="center"/>
          </w:tcPr>
          <w:p w14:paraId="040E566E"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Not applicable</w:t>
            </w:r>
          </w:p>
        </w:tc>
        <w:tc>
          <w:tcPr>
            <w:tcW w:w="1799" w:type="dxa"/>
            <w:vAlign w:val="center"/>
          </w:tcPr>
          <w:p w14:paraId="351674EE"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 PQ; no GMP-graded API facility</w:t>
            </w:r>
          </w:p>
        </w:tc>
        <w:tc>
          <w:tcPr>
            <w:tcW w:w="1361" w:type="dxa"/>
            <w:vAlign w:val="center"/>
          </w:tcPr>
          <w:p w14:paraId="3990A66D"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100% import of intermediates &amp; solvents</w:t>
            </w:r>
          </w:p>
        </w:tc>
        <w:tc>
          <w:tcPr>
            <w:tcW w:w="1867" w:type="dxa"/>
            <w:vAlign w:val="center"/>
          </w:tcPr>
          <w:p w14:paraId="7D4D86E0"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 capital cost; no guaranteed offtake; unstable forex; limited chemical ecosystem</w:t>
            </w:r>
          </w:p>
        </w:tc>
      </w:tr>
      <w:tr w:rsidR="00D80D8D" w:rsidRPr="00C20947" w14:paraId="7E3A3E13" w14:textId="77777777" w:rsidTr="004B74FE">
        <w:trPr>
          <w:jc w:val="center"/>
        </w:trPr>
        <w:tc>
          <w:tcPr>
            <w:tcW w:w="1314" w:type="dxa"/>
            <w:vAlign w:val="center"/>
          </w:tcPr>
          <w:p w14:paraId="7A7FD808"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LLINs (Long-Lasting Insecticidal Nets)</w:t>
            </w:r>
          </w:p>
        </w:tc>
        <w:tc>
          <w:tcPr>
            <w:tcW w:w="1417" w:type="dxa"/>
            <w:vAlign w:val="center"/>
          </w:tcPr>
          <w:p w14:paraId="158FA857"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3 potential manufacturers with partial infrastructure</w:t>
            </w:r>
          </w:p>
        </w:tc>
        <w:tc>
          <w:tcPr>
            <w:tcW w:w="1060" w:type="dxa"/>
            <w:vAlign w:val="center"/>
          </w:tcPr>
          <w:p w14:paraId="4339C7C7"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Capacity for assembly; no full-scale national output</w:t>
            </w:r>
          </w:p>
        </w:tc>
        <w:tc>
          <w:tcPr>
            <w:tcW w:w="1100" w:type="dxa"/>
            <w:vAlign w:val="center"/>
          </w:tcPr>
          <w:p w14:paraId="1AB203A6"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&lt;5% of national demand</w:t>
            </w:r>
          </w:p>
        </w:tc>
        <w:tc>
          <w:tcPr>
            <w:tcW w:w="1799" w:type="dxa"/>
            <w:vAlign w:val="center"/>
          </w:tcPr>
          <w:p w14:paraId="3A42AF6D"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 WHO PQ; no accredited entomology labs</w:t>
            </w:r>
          </w:p>
        </w:tc>
        <w:tc>
          <w:tcPr>
            <w:tcW w:w="1361" w:type="dxa"/>
            <w:vAlign w:val="center"/>
          </w:tcPr>
          <w:p w14:paraId="2B50C450"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Specialized PP yarns, insecticides, UV-stable polymers all imported</w:t>
            </w:r>
          </w:p>
        </w:tc>
        <w:tc>
          <w:tcPr>
            <w:tcW w:w="1867" w:type="dxa"/>
            <w:vAlign w:val="center"/>
          </w:tcPr>
          <w:p w14:paraId="5487F120"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Lack of PQ labs; high machinery cost; absence of offtake guarantees</w:t>
            </w:r>
          </w:p>
        </w:tc>
      </w:tr>
      <w:tr w:rsidR="00D80D8D" w:rsidRPr="00C20947" w14:paraId="1E381C4A" w14:textId="77777777" w:rsidTr="004B74FE">
        <w:trPr>
          <w:jc w:val="center"/>
        </w:trPr>
        <w:tc>
          <w:tcPr>
            <w:tcW w:w="1314" w:type="dxa"/>
            <w:vAlign w:val="center"/>
          </w:tcPr>
          <w:p w14:paraId="1B6C5CDC"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RDTs (Rapid Diagnostic Test Kits)</w:t>
            </w:r>
          </w:p>
        </w:tc>
        <w:tc>
          <w:tcPr>
            <w:tcW w:w="1417" w:type="dxa"/>
            <w:vAlign w:val="center"/>
          </w:tcPr>
          <w:p w14:paraId="27332470"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7 identified; 3 facilities near operational</w:t>
            </w:r>
          </w:p>
        </w:tc>
        <w:tc>
          <w:tcPr>
            <w:tcW w:w="1060" w:type="dxa"/>
            <w:vAlign w:val="center"/>
          </w:tcPr>
          <w:p w14:paraId="70099F39"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&gt;470 million tests/year by 2026</w:t>
            </w:r>
          </w:p>
        </w:tc>
        <w:tc>
          <w:tcPr>
            <w:tcW w:w="1100" w:type="dxa"/>
            <w:vAlign w:val="center"/>
          </w:tcPr>
          <w:p w14:paraId="3C2E32F0"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20–40% utilisation (expected)</w:t>
            </w:r>
          </w:p>
        </w:tc>
        <w:tc>
          <w:tcPr>
            <w:tcW w:w="1799" w:type="dxa"/>
            <w:vAlign w:val="center"/>
          </w:tcPr>
          <w:p w14:paraId="5364E3F3"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2 manufacturers ISO 13485; progressing to ERPD/PQ</w:t>
            </w:r>
          </w:p>
        </w:tc>
        <w:tc>
          <w:tcPr>
            <w:tcW w:w="1361" w:type="dxa"/>
            <w:vAlign w:val="center"/>
          </w:tcPr>
          <w:p w14:paraId="6089B50C"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Membranes, antibodies, nitrocellulose, conjugates all imported</w:t>
            </w:r>
          </w:p>
        </w:tc>
        <w:tc>
          <w:tcPr>
            <w:tcW w:w="1867" w:type="dxa"/>
            <w:vAlign w:val="center"/>
          </w:tcPr>
          <w:p w14:paraId="1DF36A0C" w14:textId="77777777" w:rsidR="00D80D8D" w:rsidRPr="00C20947" w:rsidRDefault="00D80D8D"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 PQ; high input import dependency; limited lab validation capacity</w:t>
            </w:r>
          </w:p>
        </w:tc>
      </w:tr>
    </w:tbl>
    <w:p w14:paraId="69A1F2C3" w14:textId="77777777" w:rsidR="00D80D8D" w:rsidRPr="00C20947" w:rsidRDefault="00D80D8D" w:rsidP="00D80D8D">
      <w:pPr>
        <w:spacing w:before="120" w:after="120" w:line="240" w:lineRule="auto"/>
        <w:ind w:firstLine="720"/>
        <w:jc w:val="both"/>
        <w:rPr>
          <w:rFonts w:ascii="Times" w:eastAsia="Sorts Mill Goudy" w:hAnsi="Times" w:cs="Times"/>
          <w:color w:val="000000" w:themeColor="text1"/>
        </w:rPr>
      </w:pPr>
    </w:p>
    <w:p w14:paraId="7DCE80A0" w14:textId="77777777" w:rsidR="00EA19B0" w:rsidRPr="00C20947" w:rsidRDefault="00EA19B0" w:rsidP="00EA19B0">
      <w:pPr>
        <w:keepNext/>
        <w:pBdr>
          <w:top w:val="nil"/>
          <w:left w:val="nil"/>
          <w:bottom w:val="nil"/>
          <w:right w:val="nil"/>
          <w:between w:val="nil"/>
        </w:pBdr>
        <w:spacing w:before="120" w:after="120" w:line="240" w:lineRule="auto"/>
        <w:jc w:val="center"/>
        <w:rPr>
          <w:rFonts w:ascii="Times" w:eastAsia="Sorts Mill Goudy" w:hAnsi="Times" w:cs="Times"/>
          <w:i/>
          <w:iCs/>
          <w:color w:val="000000" w:themeColor="text1"/>
        </w:rPr>
      </w:pPr>
      <w:r w:rsidRPr="00C20947">
        <w:rPr>
          <w:rFonts w:ascii="Times" w:eastAsia="Sorts Mill Goudy" w:hAnsi="Times" w:cs="Times"/>
          <w:i/>
          <w:iCs/>
          <w:color w:val="000000" w:themeColor="text1"/>
        </w:rPr>
        <w:t>Table 4: Summary of Market Access and Procurement Constraints Across Malaria Commodities</w:t>
      </w:r>
    </w:p>
    <w:tbl>
      <w:tblPr>
        <w:tblStyle w:val="aa"/>
        <w:tblW w:w="9360"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3089"/>
        <w:gridCol w:w="1852"/>
        <w:gridCol w:w="1269"/>
        <w:gridCol w:w="1575"/>
        <w:gridCol w:w="1575"/>
      </w:tblGrid>
      <w:tr w:rsidR="00EA19B0" w:rsidRPr="00C20947" w14:paraId="528F62FC" w14:textId="77777777" w:rsidTr="004B74FE">
        <w:trPr>
          <w:cnfStyle w:val="100000000000" w:firstRow="1" w:lastRow="0" w:firstColumn="0" w:lastColumn="0" w:oddVBand="0" w:evenVBand="0" w:oddHBand="0" w:evenHBand="0" w:firstRowFirstColumn="0" w:firstRowLastColumn="0" w:lastRowFirstColumn="0" w:lastRowLastColumn="0"/>
        </w:trPr>
        <w:tc>
          <w:tcPr>
            <w:tcW w:w="3089" w:type="dxa"/>
            <w:vAlign w:val="center"/>
          </w:tcPr>
          <w:p w14:paraId="762984D0"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Constraint Category</w:t>
            </w:r>
          </w:p>
        </w:tc>
        <w:tc>
          <w:tcPr>
            <w:tcW w:w="1852" w:type="dxa"/>
            <w:vAlign w:val="center"/>
          </w:tcPr>
          <w:p w14:paraId="31D92828"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ACTs</w:t>
            </w:r>
          </w:p>
        </w:tc>
        <w:tc>
          <w:tcPr>
            <w:tcW w:w="1269" w:type="dxa"/>
            <w:vAlign w:val="center"/>
          </w:tcPr>
          <w:p w14:paraId="72E66576"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APIs</w:t>
            </w:r>
          </w:p>
        </w:tc>
        <w:tc>
          <w:tcPr>
            <w:tcW w:w="1575" w:type="dxa"/>
            <w:vAlign w:val="center"/>
          </w:tcPr>
          <w:p w14:paraId="0BCF6565"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LLINs</w:t>
            </w:r>
          </w:p>
        </w:tc>
        <w:tc>
          <w:tcPr>
            <w:tcW w:w="1575" w:type="dxa"/>
            <w:vAlign w:val="center"/>
          </w:tcPr>
          <w:p w14:paraId="2E717B2E"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RDTs</w:t>
            </w:r>
          </w:p>
        </w:tc>
      </w:tr>
      <w:tr w:rsidR="00EA19B0" w:rsidRPr="00C20947" w14:paraId="40AA753D" w14:textId="77777777" w:rsidTr="004B74FE">
        <w:tc>
          <w:tcPr>
            <w:tcW w:w="3089" w:type="dxa"/>
            <w:vAlign w:val="center"/>
          </w:tcPr>
          <w:p w14:paraId="61D53E21"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Eligibility for Donor Procurement</w:t>
            </w:r>
          </w:p>
        </w:tc>
        <w:tc>
          <w:tcPr>
            <w:tcW w:w="1852" w:type="dxa"/>
            <w:vAlign w:val="center"/>
          </w:tcPr>
          <w:p w14:paraId="4CBD56FF"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Not eligible (no PQ)</w:t>
            </w:r>
          </w:p>
        </w:tc>
        <w:tc>
          <w:tcPr>
            <w:tcW w:w="1269" w:type="dxa"/>
            <w:vAlign w:val="center"/>
          </w:tcPr>
          <w:p w14:paraId="16BF5AC4"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Not applicable</w:t>
            </w:r>
          </w:p>
        </w:tc>
        <w:tc>
          <w:tcPr>
            <w:tcW w:w="1575" w:type="dxa"/>
            <w:vAlign w:val="center"/>
          </w:tcPr>
          <w:p w14:paraId="4609DAC8"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Not eligible (no PQ)</w:t>
            </w:r>
          </w:p>
        </w:tc>
        <w:tc>
          <w:tcPr>
            <w:tcW w:w="1575" w:type="dxa"/>
            <w:vAlign w:val="center"/>
          </w:tcPr>
          <w:p w14:paraId="031B12BC"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Not eligible (no PQ)</w:t>
            </w:r>
          </w:p>
        </w:tc>
      </w:tr>
      <w:tr w:rsidR="00EA19B0" w:rsidRPr="00C20947" w14:paraId="308F5A7F" w14:textId="77777777" w:rsidTr="004B74FE">
        <w:tc>
          <w:tcPr>
            <w:tcW w:w="3089" w:type="dxa"/>
            <w:vAlign w:val="center"/>
          </w:tcPr>
          <w:p w14:paraId="66606ED1"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Dependence on Donor Market</w:t>
            </w:r>
          </w:p>
        </w:tc>
        <w:tc>
          <w:tcPr>
            <w:tcW w:w="1852" w:type="dxa"/>
            <w:vAlign w:val="center"/>
          </w:tcPr>
          <w:p w14:paraId="1C88279D"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w:t>
            </w:r>
          </w:p>
        </w:tc>
        <w:tc>
          <w:tcPr>
            <w:tcW w:w="1269" w:type="dxa"/>
            <w:vAlign w:val="center"/>
          </w:tcPr>
          <w:p w14:paraId="2E6463CA"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w:t>
            </w:r>
          </w:p>
        </w:tc>
        <w:tc>
          <w:tcPr>
            <w:tcW w:w="1575" w:type="dxa"/>
            <w:vAlign w:val="center"/>
          </w:tcPr>
          <w:p w14:paraId="5C55073C"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Very high</w:t>
            </w:r>
          </w:p>
        </w:tc>
        <w:tc>
          <w:tcPr>
            <w:tcW w:w="1575" w:type="dxa"/>
            <w:vAlign w:val="center"/>
          </w:tcPr>
          <w:p w14:paraId="4503743E"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w:t>
            </w:r>
          </w:p>
        </w:tc>
      </w:tr>
      <w:tr w:rsidR="00EA19B0" w:rsidRPr="00C20947" w14:paraId="628B4EB4" w14:textId="77777777" w:rsidTr="004B74FE">
        <w:tc>
          <w:tcPr>
            <w:tcW w:w="3089" w:type="dxa"/>
            <w:vAlign w:val="center"/>
          </w:tcPr>
          <w:p w14:paraId="068F8A2A"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lastRenderedPageBreak/>
              <w:t>Government Procurement Predictability</w:t>
            </w:r>
          </w:p>
        </w:tc>
        <w:tc>
          <w:tcPr>
            <w:tcW w:w="1852" w:type="dxa"/>
            <w:vAlign w:val="center"/>
          </w:tcPr>
          <w:p w14:paraId="4BB4206F"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Low</w:t>
            </w:r>
          </w:p>
        </w:tc>
        <w:tc>
          <w:tcPr>
            <w:tcW w:w="1269" w:type="dxa"/>
            <w:vAlign w:val="center"/>
          </w:tcPr>
          <w:p w14:paraId="584D1E7C"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Low</w:t>
            </w:r>
          </w:p>
        </w:tc>
        <w:tc>
          <w:tcPr>
            <w:tcW w:w="1575" w:type="dxa"/>
            <w:vAlign w:val="center"/>
          </w:tcPr>
          <w:p w14:paraId="219764EC"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Low</w:t>
            </w:r>
          </w:p>
        </w:tc>
        <w:tc>
          <w:tcPr>
            <w:tcW w:w="1575" w:type="dxa"/>
            <w:vAlign w:val="center"/>
          </w:tcPr>
          <w:p w14:paraId="48077E76"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Low</w:t>
            </w:r>
          </w:p>
        </w:tc>
      </w:tr>
      <w:tr w:rsidR="00EA19B0" w:rsidRPr="00C20947" w14:paraId="1B6CA7CB" w14:textId="77777777" w:rsidTr="004B74FE">
        <w:tc>
          <w:tcPr>
            <w:tcW w:w="3089" w:type="dxa"/>
            <w:vAlign w:val="center"/>
          </w:tcPr>
          <w:p w14:paraId="1557476E"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Local Content Preference Implementation</w:t>
            </w:r>
          </w:p>
        </w:tc>
        <w:tc>
          <w:tcPr>
            <w:tcW w:w="1852" w:type="dxa"/>
            <w:vAlign w:val="center"/>
          </w:tcPr>
          <w:p w14:paraId="505BF9FD"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Weak / non-operational</w:t>
            </w:r>
          </w:p>
        </w:tc>
        <w:tc>
          <w:tcPr>
            <w:tcW w:w="1269" w:type="dxa"/>
            <w:vAlign w:val="center"/>
          </w:tcPr>
          <w:p w14:paraId="73922D22"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Weak</w:t>
            </w:r>
          </w:p>
        </w:tc>
        <w:tc>
          <w:tcPr>
            <w:tcW w:w="1575" w:type="dxa"/>
            <w:vAlign w:val="center"/>
          </w:tcPr>
          <w:p w14:paraId="49DA6378"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Weak</w:t>
            </w:r>
          </w:p>
        </w:tc>
        <w:tc>
          <w:tcPr>
            <w:tcW w:w="1575" w:type="dxa"/>
            <w:vAlign w:val="center"/>
          </w:tcPr>
          <w:p w14:paraId="5A26BEA5"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Weak</w:t>
            </w:r>
          </w:p>
        </w:tc>
      </w:tr>
      <w:tr w:rsidR="00EA19B0" w:rsidRPr="00C20947" w14:paraId="4370E9A9" w14:textId="77777777" w:rsidTr="004B74FE">
        <w:tc>
          <w:tcPr>
            <w:tcW w:w="3089" w:type="dxa"/>
            <w:vAlign w:val="center"/>
          </w:tcPr>
          <w:p w14:paraId="326DE725"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Tenders Fragmentation (Federal/State)</w:t>
            </w:r>
          </w:p>
        </w:tc>
        <w:tc>
          <w:tcPr>
            <w:tcW w:w="1852" w:type="dxa"/>
            <w:vAlign w:val="center"/>
          </w:tcPr>
          <w:p w14:paraId="3D494C76"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w:t>
            </w:r>
          </w:p>
        </w:tc>
        <w:tc>
          <w:tcPr>
            <w:tcW w:w="1269" w:type="dxa"/>
            <w:vAlign w:val="center"/>
          </w:tcPr>
          <w:p w14:paraId="4007126D"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w:t>
            </w:r>
          </w:p>
        </w:tc>
        <w:tc>
          <w:tcPr>
            <w:tcW w:w="1575" w:type="dxa"/>
            <w:vAlign w:val="center"/>
          </w:tcPr>
          <w:p w14:paraId="6A5AA4FB"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w:t>
            </w:r>
          </w:p>
        </w:tc>
        <w:tc>
          <w:tcPr>
            <w:tcW w:w="1575" w:type="dxa"/>
            <w:vAlign w:val="center"/>
          </w:tcPr>
          <w:p w14:paraId="327812AB"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w:t>
            </w:r>
          </w:p>
        </w:tc>
      </w:tr>
      <w:tr w:rsidR="00EA19B0" w:rsidRPr="00C20947" w14:paraId="6A6ED50D" w14:textId="77777777" w:rsidTr="004B74FE">
        <w:tc>
          <w:tcPr>
            <w:tcW w:w="3089" w:type="dxa"/>
            <w:vAlign w:val="center"/>
          </w:tcPr>
          <w:p w14:paraId="5DC0D36E"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Payment Delays (Government)</w:t>
            </w:r>
          </w:p>
        </w:tc>
        <w:tc>
          <w:tcPr>
            <w:tcW w:w="1852" w:type="dxa"/>
            <w:vAlign w:val="center"/>
          </w:tcPr>
          <w:p w14:paraId="497C1766"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Frequent</w:t>
            </w:r>
          </w:p>
        </w:tc>
        <w:tc>
          <w:tcPr>
            <w:tcW w:w="1269" w:type="dxa"/>
            <w:vAlign w:val="center"/>
          </w:tcPr>
          <w:p w14:paraId="389A883C"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Frequent</w:t>
            </w:r>
          </w:p>
        </w:tc>
        <w:tc>
          <w:tcPr>
            <w:tcW w:w="1575" w:type="dxa"/>
            <w:vAlign w:val="center"/>
          </w:tcPr>
          <w:p w14:paraId="1B693A05"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Frequent</w:t>
            </w:r>
          </w:p>
        </w:tc>
        <w:tc>
          <w:tcPr>
            <w:tcW w:w="1575" w:type="dxa"/>
            <w:vAlign w:val="center"/>
          </w:tcPr>
          <w:p w14:paraId="2EE38B96"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Frequent</w:t>
            </w:r>
          </w:p>
        </w:tc>
      </w:tr>
      <w:tr w:rsidR="00EA19B0" w:rsidRPr="00C20947" w14:paraId="20AA48DD" w14:textId="77777777" w:rsidTr="004B74FE">
        <w:tc>
          <w:tcPr>
            <w:tcW w:w="3089" w:type="dxa"/>
            <w:vAlign w:val="center"/>
          </w:tcPr>
          <w:p w14:paraId="38F05294"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Market Visibility and Forecasting</w:t>
            </w:r>
          </w:p>
        </w:tc>
        <w:tc>
          <w:tcPr>
            <w:tcW w:w="1852" w:type="dxa"/>
            <w:vAlign w:val="center"/>
          </w:tcPr>
          <w:p w14:paraId="769CBF18"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Limited</w:t>
            </w:r>
          </w:p>
        </w:tc>
        <w:tc>
          <w:tcPr>
            <w:tcW w:w="1269" w:type="dxa"/>
            <w:vAlign w:val="center"/>
          </w:tcPr>
          <w:p w14:paraId="765BF8EC"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Limited</w:t>
            </w:r>
          </w:p>
        </w:tc>
        <w:tc>
          <w:tcPr>
            <w:tcW w:w="1575" w:type="dxa"/>
            <w:vAlign w:val="center"/>
          </w:tcPr>
          <w:p w14:paraId="416963A8"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Limited</w:t>
            </w:r>
          </w:p>
        </w:tc>
        <w:tc>
          <w:tcPr>
            <w:tcW w:w="1575" w:type="dxa"/>
            <w:vAlign w:val="center"/>
          </w:tcPr>
          <w:p w14:paraId="0320E97E"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Limited</w:t>
            </w:r>
          </w:p>
        </w:tc>
      </w:tr>
      <w:tr w:rsidR="00EA19B0" w:rsidRPr="00C20947" w14:paraId="22B76B49" w14:textId="77777777" w:rsidTr="004B74FE">
        <w:tc>
          <w:tcPr>
            <w:tcW w:w="3089" w:type="dxa"/>
            <w:vAlign w:val="center"/>
          </w:tcPr>
          <w:p w14:paraId="3FBA01B5"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Ability to Access Regional Markets</w:t>
            </w:r>
          </w:p>
        </w:tc>
        <w:tc>
          <w:tcPr>
            <w:tcW w:w="1852" w:type="dxa"/>
            <w:vAlign w:val="center"/>
          </w:tcPr>
          <w:p w14:paraId="5DE048CE"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Low (no PQ)</w:t>
            </w:r>
          </w:p>
        </w:tc>
        <w:tc>
          <w:tcPr>
            <w:tcW w:w="1269" w:type="dxa"/>
            <w:vAlign w:val="center"/>
          </w:tcPr>
          <w:p w14:paraId="0055EEB1"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w:t>
            </w:r>
          </w:p>
        </w:tc>
        <w:tc>
          <w:tcPr>
            <w:tcW w:w="1575" w:type="dxa"/>
            <w:vAlign w:val="center"/>
          </w:tcPr>
          <w:p w14:paraId="7BB2A655"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Low (no PQ)</w:t>
            </w:r>
          </w:p>
        </w:tc>
        <w:tc>
          <w:tcPr>
            <w:tcW w:w="1575" w:type="dxa"/>
            <w:vAlign w:val="center"/>
          </w:tcPr>
          <w:p w14:paraId="0FA40744"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Low (no PQ)</w:t>
            </w:r>
          </w:p>
        </w:tc>
      </w:tr>
      <w:tr w:rsidR="00EA19B0" w:rsidRPr="00C20947" w14:paraId="7656D5AB" w14:textId="77777777" w:rsidTr="004B74FE">
        <w:tc>
          <w:tcPr>
            <w:tcW w:w="3089" w:type="dxa"/>
            <w:vAlign w:val="center"/>
          </w:tcPr>
          <w:p w14:paraId="719B901B"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Binding Offtake Agreements Available</w:t>
            </w:r>
          </w:p>
        </w:tc>
        <w:tc>
          <w:tcPr>
            <w:tcW w:w="1852" w:type="dxa"/>
            <w:vAlign w:val="center"/>
          </w:tcPr>
          <w:p w14:paraId="77F44BAC"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w:t>
            </w:r>
          </w:p>
        </w:tc>
        <w:tc>
          <w:tcPr>
            <w:tcW w:w="1269" w:type="dxa"/>
            <w:vAlign w:val="center"/>
          </w:tcPr>
          <w:p w14:paraId="72080D07"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w:t>
            </w:r>
          </w:p>
        </w:tc>
        <w:tc>
          <w:tcPr>
            <w:tcW w:w="1575" w:type="dxa"/>
            <w:vAlign w:val="center"/>
          </w:tcPr>
          <w:p w14:paraId="39E8B603"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w:t>
            </w:r>
          </w:p>
        </w:tc>
        <w:tc>
          <w:tcPr>
            <w:tcW w:w="1575" w:type="dxa"/>
            <w:vAlign w:val="center"/>
          </w:tcPr>
          <w:p w14:paraId="2F9B5D4B" w14:textId="77777777" w:rsidR="00EA19B0" w:rsidRPr="00C20947" w:rsidRDefault="00EA19B0"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w:t>
            </w:r>
          </w:p>
        </w:tc>
      </w:tr>
    </w:tbl>
    <w:p w14:paraId="187931F3" w14:textId="77777777" w:rsidR="00D80D8D" w:rsidRPr="00C20947" w:rsidRDefault="00D80D8D" w:rsidP="007161E6">
      <w:pPr>
        <w:pBdr>
          <w:top w:val="nil"/>
          <w:left w:val="nil"/>
          <w:bottom w:val="nil"/>
          <w:right w:val="nil"/>
          <w:between w:val="nil"/>
        </w:pBdr>
        <w:spacing w:before="120" w:after="120" w:line="240" w:lineRule="auto"/>
        <w:rPr>
          <w:rFonts w:ascii="Times" w:eastAsia="Sorts Mill Goudy" w:hAnsi="Times" w:cs="Times"/>
          <w:color w:val="000000" w:themeColor="text1"/>
        </w:rPr>
      </w:pPr>
    </w:p>
    <w:p w14:paraId="21217C34" w14:textId="77777777" w:rsidR="00061524" w:rsidRPr="00C20947" w:rsidRDefault="00061524" w:rsidP="00061524">
      <w:pPr>
        <w:keepNext/>
        <w:pBdr>
          <w:top w:val="nil"/>
          <w:left w:val="nil"/>
          <w:bottom w:val="nil"/>
          <w:right w:val="nil"/>
          <w:between w:val="nil"/>
        </w:pBdr>
        <w:spacing w:before="120" w:after="120" w:line="240" w:lineRule="auto"/>
        <w:jc w:val="center"/>
        <w:rPr>
          <w:rFonts w:ascii="Times" w:eastAsia="Sorts Mill Goudy" w:hAnsi="Times" w:cs="Times"/>
          <w:i/>
          <w:iCs/>
          <w:color w:val="000000" w:themeColor="text1"/>
        </w:rPr>
      </w:pPr>
      <w:r w:rsidRPr="00C20947">
        <w:rPr>
          <w:rFonts w:ascii="Times" w:eastAsia="Sorts Mill Goudy" w:hAnsi="Times" w:cs="Times"/>
          <w:i/>
          <w:iCs/>
          <w:color w:val="000000" w:themeColor="text1"/>
        </w:rPr>
        <w:t>Table 5: Nigeria regulatory readiness &amp; quality assurance capacity landscape</w:t>
      </w:r>
    </w:p>
    <w:tbl>
      <w:tblPr>
        <w:tblStyle w:val="ab"/>
        <w:tblW w:w="9738"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1754"/>
        <w:gridCol w:w="2124"/>
        <w:gridCol w:w="1834"/>
        <w:gridCol w:w="2011"/>
        <w:gridCol w:w="2015"/>
      </w:tblGrid>
      <w:tr w:rsidR="00061524" w:rsidRPr="00C20947" w14:paraId="5490B88E" w14:textId="77777777" w:rsidTr="004B74FE">
        <w:trPr>
          <w:cnfStyle w:val="100000000000" w:firstRow="1" w:lastRow="0" w:firstColumn="0" w:lastColumn="0" w:oddVBand="0" w:evenVBand="0" w:oddHBand="0" w:evenHBand="0" w:firstRowFirstColumn="0" w:firstRowLastColumn="0" w:lastRowFirstColumn="0" w:lastRowLastColumn="0"/>
          <w:trHeight w:val="789"/>
        </w:trPr>
        <w:tc>
          <w:tcPr>
            <w:tcW w:w="1754" w:type="dxa"/>
            <w:vAlign w:val="center"/>
          </w:tcPr>
          <w:p w14:paraId="1CA69529"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Category</w:t>
            </w:r>
          </w:p>
        </w:tc>
        <w:tc>
          <w:tcPr>
            <w:tcW w:w="2124" w:type="dxa"/>
            <w:vAlign w:val="center"/>
          </w:tcPr>
          <w:p w14:paraId="3DB4F733"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ACT Manufacturers (n=4)</w:t>
            </w:r>
          </w:p>
        </w:tc>
        <w:tc>
          <w:tcPr>
            <w:tcW w:w="1834" w:type="dxa"/>
            <w:vAlign w:val="center"/>
          </w:tcPr>
          <w:p w14:paraId="627C26EF"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API Manufacturers (n=3)</w:t>
            </w:r>
          </w:p>
        </w:tc>
        <w:tc>
          <w:tcPr>
            <w:tcW w:w="2011" w:type="dxa"/>
            <w:vAlign w:val="center"/>
          </w:tcPr>
          <w:p w14:paraId="4FEE7CA2"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LLIN Manufacturers (n=3)</w:t>
            </w:r>
          </w:p>
        </w:tc>
        <w:tc>
          <w:tcPr>
            <w:tcW w:w="2015" w:type="dxa"/>
            <w:vAlign w:val="center"/>
          </w:tcPr>
          <w:p w14:paraId="0B303C94"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RDT Manufacturers (n=7)</w:t>
            </w:r>
          </w:p>
        </w:tc>
      </w:tr>
      <w:tr w:rsidR="00061524" w:rsidRPr="00C20947" w14:paraId="7D29AA9F" w14:textId="77777777" w:rsidTr="004B74FE">
        <w:tc>
          <w:tcPr>
            <w:tcW w:w="1754" w:type="dxa"/>
            <w:vAlign w:val="center"/>
          </w:tcPr>
          <w:p w14:paraId="4F0501AB"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Regulatory Certifications</w:t>
            </w:r>
          </w:p>
        </w:tc>
        <w:tc>
          <w:tcPr>
            <w:tcW w:w="2124" w:type="dxa"/>
            <w:vAlign w:val="center"/>
          </w:tcPr>
          <w:p w14:paraId="0E1DCE0C"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 All hold NAFDAC GMP - 2 hold ISO 9001 - 1 initiating WHO PQ dossier</w:t>
            </w:r>
          </w:p>
        </w:tc>
        <w:tc>
          <w:tcPr>
            <w:tcW w:w="1834" w:type="dxa"/>
            <w:vAlign w:val="center"/>
          </w:tcPr>
          <w:p w14:paraId="28765C6E"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 Partial NAFDAC GMP - No API PQ processes started</w:t>
            </w:r>
          </w:p>
        </w:tc>
        <w:tc>
          <w:tcPr>
            <w:tcW w:w="2011" w:type="dxa"/>
            <w:vAlign w:val="center"/>
          </w:tcPr>
          <w:p w14:paraId="5FC4B908"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- 2 hold ISO 9001 - No WHO PQ - Pre-assessment ongoing for 1 facility</w:t>
            </w:r>
          </w:p>
        </w:tc>
        <w:tc>
          <w:tcPr>
            <w:tcW w:w="2015" w:type="dxa"/>
            <w:vAlign w:val="center"/>
          </w:tcPr>
          <w:p w14:paraId="18FB5647"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- 2 hold ISO 13485 - 1 completed ERPD pre-assessment</w:t>
            </w:r>
          </w:p>
        </w:tc>
      </w:tr>
      <w:tr w:rsidR="00061524" w:rsidRPr="00C20947" w14:paraId="43BE6F60" w14:textId="77777777" w:rsidTr="004B74FE">
        <w:tc>
          <w:tcPr>
            <w:tcW w:w="1754" w:type="dxa"/>
            <w:vAlign w:val="center"/>
          </w:tcPr>
          <w:p w14:paraId="428384E1"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NAFDAC Inspection Status</w:t>
            </w:r>
          </w:p>
        </w:tc>
        <w:tc>
          <w:tcPr>
            <w:tcW w:w="2124" w:type="dxa"/>
            <w:vAlign w:val="center"/>
          </w:tcPr>
          <w:p w14:paraId="4A8D93F7"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Frequent inspections; partial compliance with cGMP</w:t>
            </w:r>
          </w:p>
        </w:tc>
        <w:tc>
          <w:tcPr>
            <w:tcW w:w="1834" w:type="dxa"/>
            <w:vAlign w:val="center"/>
          </w:tcPr>
          <w:p w14:paraId="3472379C"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Frequent but lower compliance</w:t>
            </w:r>
          </w:p>
        </w:tc>
        <w:tc>
          <w:tcPr>
            <w:tcW w:w="2011" w:type="dxa"/>
            <w:vAlign w:val="center"/>
          </w:tcPr>
          <w:p w14:paraId="1CCC1D16"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Moderate; lacking cGMP for coating lines</w:t>
            </w:r>
          </w:p>
        </w:tc>
        <w:tc>
          <w:tcPr>
            <w:tcW w:w="2015" w:type="dxa"/>
            <w:vAlign w:val="center"/>
          </w:tcPr>
          <w:p w14:paraId="5D849E6C"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 for 2 firms; low for emerging firms</w:t>
            </w:r>
          </w:p>
        </w:tc>
      </w:tr>
      <w:tr w:rsidR="00061524" w:rsidRPr="00C20947" w14:paraId="4C29A1EC" w14:textId="77777777" w:rsidTr="004B74FE">
        <w:tc>
          <w:tcPr>
            <w:tcW w:w="1754" w:type="dxa"/>
            <w:vAlign w:val="center"/>
          </w:tcPr>
          <w:p w14:paraId="7BC37D0E"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WHO PQ Readiness (Technical)</w:t>
            </w:r>
          </w:p>
        </w:tc>
        <w:tc>
          <w:tcPr>
            <w:tcW w:w="2124" w:type="dxa"/>
            <w:vAlign w:val="center"/>
          </w:tcPr>
          <w:p w14:paraId="15A1715B"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Medium (documentation gaps, weak stability data)</w:t>
            </w:r>
          </w:p>
        </w:tc>
        <w:tc>
          <w:tcPr>
            <w:tcW w:w="1834" w:type="dxa"/>
            <w:vAlign w:val="center"/>
          </w:tcPr>
          <w:p w14:paraId="6D867FDB"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Very low</w:t>
            </w:r>
          </w:p>
        </w:tc>
        <w:tc>
          <w:tcPr>
            <w:tcW w:w="2011" w:type="dxa"/>
            <w:vAlign w:val="center"/>
          </w:tcPr>
          <w:p w14:paraId="5BE3DF8E"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Low (lack of PQ testing labs)</w:t>
            </w:r>
          </w:p>
        </w:tc>
        <w:tc>
          <w:tcPr>
            <w:tcW w:w="2015" w:type="dxa"/>
            <w:vAlign w:val="center"/>
          </w:tcPr>
          <w:p w14:paraId="5004331C"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Medium–High (one nearing dossier submission)</w:t>
            </w:r>
          </w:p>
        </w:tc>
      </w:tr>
      <w:tr w:rsidR="00061524" w:rsidRPr="00C20947" w14:paraId="55053246" w14:textId="77777777" w:rsidTr="004B74FE">
        <w:tc>
          <w:tcPr>
            <w:tcW w:w="1754" w:type="dxa"/>
            <w:vAlign w:val="center"/>
          </w:tcPr>
          <w:p w14:paraId="7435B206"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QMS Implementation</w:t>
            </w:r>
          </w:p>
        </w:tc>
        <w:tc>
          <w:tcPr>
            <w:tcW w:w="2124" w:type="dxa"/>
            <w:vAlign w:val="center"/>
          </w:tcPr>
          <w:p w14:paraId="4AFB8179"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Full SOPs, CAPA, deviation logs</w:t>
            </w:r>
          </w:p>
        </w:tc>
        <w:tc>
          <w:tcPr>
            <w:tcW w:w="1834" w:type="dxa"/>
            <w:vAlign w:val="center"/>
          </w:tcPr>
          <w:p w14:paraId="2DA2CB03"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Partial SOPs; no eQMS</w:t>
            </w:r>
          </w:p>
        </w:tc>
        <w:tc>
          <w:tcPr>
            <w:tcW w:w="2011" w:type="dxa"/>
            <w:vAlign w:val="center"/>
          </w:tcPr>
          <w:p w14:paraId="5952F393"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SOPs exist but incomplete</w:t>
            </w:r>
          </w:p>
        </w:tc>
        <w:tc>
          <w:tcPr>
            <w:tcW w:w="2015" w:type="dxa"/>
            <w:vAlign w:val="center"/>
          </w:tcPr>
          <w:p w14:paraId="5E57452A"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ISO-aligned QMS for 2; manual systems for others</w:t>
            </w:r>
          </w:p>
        </w:tc>
      </w:tr>
      <w:tr w:rsidR="00061524" w:rsidRPr="00C20947" w14:paraId="372458E3" w14:textId="77777777" w:rsidTr="004B74FE">
        <w:tc>
          <w:tcPr>
            <w:tcW w:w="1754" w:type="dxa"/>
            <w:vAlign w:val="center"/>
          </w:tcPr>
          <w:p w14:paraId="43669559"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Process Validation</w:t>
            </w:r>
          </w:p>
        </w:tc>
        <w:tc>
          <w:tcPr>
            <w:tcW w:w="2124" w:type="dxa"/>
            <w:vAlign w:val="center"/>
          </w:tcPr>
          <w:p w14:paraId="517C6314"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Cleaning &amp; batch validation documented</w:t>
            </w:r>
          </w:p>
        </w:tc>
        <w:tc>
          <w:tcPr>
            <w:tcW w:w="1834" w:type="dxa"/>
            <w:vAlign w:val="center"/>
          </w:tcPr>
          <w:p w14:paraId="2BF1D7C0"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Basic validation; incomplete</w:t>
            </w:r>
          </w:p>
        </w:tc>
        <w:tc>
          <w:tcPr>
            <w:tcW w:w="2011" w:type="dxa"/>
            <w:vAlign w:val="center"/>
          </w:tcPr>
          <w:p w14:paraId="77EEA049"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 validated LLIN coating or extrusion</w:t>
            </w:r>
          </w:p>
        </w:tc>
        <w:tc>
          <w:tcPr>
            <w:tcW w:w="2015" w:type="dxa"/>
            <w:vAlign w:val="center"/>
          </w:tcPr>
          <w:p w14:paraId="188811EC"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Strip assembly validated in 2 plants</w:t>
            </w:r>
          </w:p>
        </w:tc>
      </w:tr>
      <w:tr w:rsidR="00061524" w:rsidRPr="00C20947" w14:paraId="03D23282" w14:textId="77777777" w:rsidTr="004B74FE">
        <w:tc>
          <w:tcPr>
            <w:tcW w:w="1754" w:type="dxa"/>
            <w:vAlign w:val="center"/>
          </w:tcPr>
          <w:p w14:paraId="0872C141"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lastRenderedPageBreak/>
              <w:t>Supplier Qualification</w:t>
            </w:r>
          </w:p>
        </w:tc>
        <w:tc>
          <w:tcPr>
            <w:tcW w:w="2124" w:type="dxa"/>
            <w:vAlign w:val="center"/>
          </w:tcPr>
          <w:p w14:paraId="356C8459"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Strong systems for excipients, APIs, packaging</w:t>
            </w:r>
          </w:p>
        </w:tc>
        <w:tc>
          <w:tcPr>
            <w:tcW w:w="1834" w:type="dxa"/>
            <w:vAlign w:val="center"/>
          </w:tcPr>
          <w:p w14:paraId="1F1E2AD8"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Weak (heavy China/India dependence)</w:t>
            </w:r>
          </w:p>
        </w:tc>
        <w:tc>
          <w:tcPr>
            <w:tcW w:w="2011" w:type="dxa"/>
            <w:vAlign w:val="center"/>
          </w:tcPr>
          <w:p w14:paraId="635E5225"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Weak (no polymer validation pathway)</w:t>
            </w:r>
          </w:p>
        </w:tc>
        <w:tc>
          <w:tcPr>
            <w:tcW w:w="2015" w:type="dxa"/>
            <w:vAlign w:val="center"/>
          </w:tcPr>
          <w:p w14:paraId="34823FB1"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Medium (antibody &amp; membrane procurement validated)</w:t>
            </w:r>
          </w:p>
        </w:tc>
      </w:tr>
      <w:tr w:rsidR="00061524" w:rsidRPr="00C20947" w14:paraId="379E3479" w14:textId="77777777" w:rsidTr="004B74FE">
        <w:tc>
          <w:tcPr>
            <w:tcW w:w="1754" w:type="dxa"/>
            <w:vAlign w:val="center"/>
          </w:tcPr>
          <w:p w14:paraId="31E86A76"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Internal Laboratory Capacity</w:t>
            </w:r>
          </w:p>
        </w:tc>
        <w:tc>
          <w:tcPr>
            <w:tcW w:w="2124" w:type="dxa"/>
            <w:vAlign w:val="center"/>
          </w:tcPr>
          <w:p w14:paraId="3C49046A"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Assay, dissolution, stability (partial)</w:t>
            </w:r>
          </w:p>
        </w:tc>
        <w:tc>
          <w:tcPr>
            <w:tcW w:w="1834" w:type="dxa"/>
            <w:vAlign w:val="center"/>
          </w:tcPr>
          <w:p w14:paraId="583B1E4A"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Basic QC only</w:t>
            </w:r>
          </w:p>
        </w:tc>
        <w:tc>
          <w:tcPr>
            <w:tcW w:w="2011" w:type="dxa"/>
            <w:vAlign w:val="center"/>
          </w:tcPr>
          <w:p w14:paraId="6F05D72B"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 LLIN wash-resistance or UV-aging labs</w:t>
            </w:r>
          </w:p>
        </w:tc>
        <w:tc>
          <w:tcPr>
            <w:tcW w:w="2015" w:type="dxa"/>
            <w:vAlign w:val="center"/>
          </w:tcPr>
          <w:p w14:paraId="4E1C881A"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Limited: some rapid tests, small QC labs</w:t>
            </w:r>
          </w:p>
        </w:tc>
      </w:tr>
      <w:tr w:rsidR="00061524" w:rsidRPr="00C20947" w14:paraId="4D61498F" w14:textId="77777777" w:rsidTr="004B74FE">
        <w:tc>
          <w:tcPr>
            <w:tcW w:w="1754" w:type="dxa"/>
            <w:vAlign w:val="center"/>
          </w:tcPr>
          <w:p w14:paraId="4B4FD66E"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External Lab Dependence</w:t>
            </w:r>
          </w:p>
        </w:tc>
        <w:tc>
          <w:tcPr>
            <w:tcW w:w="2124" w:type="dxa"/>
            <w:vAlign w:val="center"/>
          </w:tcPr>
          <w:p w14:paraId="50E216F2"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 for PQ analyses</w:t>
            </w:r>
          </w:p>
        </w:tc>
        <w:tc>
          <w:tcPr>
            <w:tcW w:w="1834" w:type="dxa"/>
            <w:vAlign w:val="center"/>
          </w:tcPr>
          <w:p w14:paraId="0C972BB7"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Total</w:t>
            </w:r>
          </w:p>
        </w:tc>
        <w:tc>
          <w:tcPr>
            <w:tcW w:w="2011" w:type="dxa"/>
            <w:vAlign w:val="center"/>
          </w:tcPr>
          <w:p w14:paraId="1E74D13E"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Total</w:t>
            </w:r>
          </w:p>
        </w:tc>
        <w:tc>
          <w:tcPr>
            <w:tcW w:w="2015" w:type="dxa"/>
            <w:vAlign w:val="center"/>
          </w:tcPr>
          <w:p w14:paraId="028BEF20"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 for ERPD and PQ validation</w:t>
            </w:r>
          </w:p>
        </w:tc>
      </w:tr>
      <w:tr w:rsidR="00061524" w:rsidRPr="00C20947" w14:paraId="502FE188" w14:textId="77777777" w:rsidTr="004B74FE">
        <w:tc>
          <w:tcPr>
            <w:tcW w:w="1754" w:type="dxa"/>
            <w:vAlign w:val="center"/>
          </w:tcPr>
          <w:p w14:paraId="284FCFDD"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Existence of GLP Labs</w:t>
            </w:r>
          </w:p>
        </w:tc>
        <w:tc>
          <w:tcPr>
            <w:tcW w:w="2124" w:type="dxa"/>
            <w:vAlign w:val="center"/>
          </w:tcPr>
          <w:p w14:paraId="18E624C2"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w:t>
            </w:r>
          </w:p>
        </w:tc>
        <w:tc>
          <w:tcPr>
            <w:tcW w:w="1834" w:type="dxa"/>
            <w:vAlign w:val="center"/>
          </w:tcPr>
          <w:p w14:paraId="501CE74A"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w:t>
            </w:r>
          </w:p>
        </w:tc>
        <w:tc>
          <w:tcPr>
            <w:tcW w:w="2011" w:type="dxa"/>
            <w:vAlign w:val="center"/>
          </w:tcPr>
          <w:p w14:paraId="7FE1E04A"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w:t>
            </w:r>
          </w:p>
        </w:tc>
        <w:tc>
          <w:tcPr>
            <w:tcW w:w="2015" w:type="dxa"/>
            <w:vAlign w:val="center"/>
          </w:tcPr>
          <w:p w14:paraId="176671FE"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w:t>
            </w:r>
          </w:p>
        </w:tc>
      </w:tr>
      <w:tr w:rsidR="00061524" w:rsidRPr="00C20947" w14:paraId="00028D99" w14:textId="77777777" w:rsidTr="004B74FE">
        <w:tc>
          <w:tcPr>
            <w:tcW w:w="1754" w:type="dxa"/>
            <w:vAlign w:val="center"/>
          </w:tcPr>
          <w:p w14:paraId="57EC0A74"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Bioequivalence Capability</w:t>
            </w:r>
          </w:p>
        </w:tc>
        <w:tc>
          <w:tcPr>
            <w:tcW w:w="2124" w:type="dxa"/>
            <w:vAlign w:val="center"/>
          </w:tcPr>
          <w:p w14:paraId="1559DB23"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 domestically</w:t>
            </w:r>
          </w:p>
        </w:tc>
        <w:tc>
          <w:tcPr>
            <w:tcW w:w="1834" w:type="dxa"/>
            <w:vAlign w:val="center"/>
          </w:tcPr>
          <w:p w14:paraId="33387CC5"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Not applicable</w:t>
            </w:r>
          </w:p>
        </w:tc>
        <w:tc>
          <w:tcPr>
            <w:tcW w:w="2011" w:type="dxa"/>
            <w:vAlign w:val="center"/>
          </w:tcPr>
          <w:p w14:paraId="19176E1B"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Not applicable</w:t>
            </w:r>
          </w:p>
        </w:tc>
        <w:tc>
          <w:tcPr>
            <w:tcW w:w="2015" w:type="dxa"/>
            <w:vAlign w:val="center"/>
          </w:tcPr>
          <w:p w14:paraId="32E7C1CC"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Not required</w:t>
            </w:r>
          </w:p>
        </w:tc>
      </w:tr>
      <w:tr w:rsidR="00061524" w:rsidRPr="00C20947" w14:paraId="36C35711" w14:textId="77777777" w:rsidTr="004B74FE">
        <w:tc>
          <w:tcPr>
            <w:tcW w:w="1754" w:type="dxa"/>
            <w:vAlign w:val="center"/>
          </w:tcPr>
          <w:p w14:paraId="7CFEDBED"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Documentation &amp; Record Systems</w:t>
            </w:r>
          </w:p>
        </w:tc>
        <w:tc>
          <w:tcPr>
            <w:tcW w:w="2124" w:type="dxa"/>
            <w:vAlign w:val="center"/>
          </w:tcPr>
          <w:p w14:paraId="58481FE3"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Electronic &amp; paper-based</w:t>
            </w:r>
          </w:p>
        </w:tc>
        <w:tc>
          <w:tcPr>
            <w:tcW w:w="1834" w:type="dxa"/>
            <w:vAlign w:val="center"/>
          </w:tcPr>
          <w:p w14:paraId="61FC3AC7"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Paper-based</w:t>
            </w:r>
          </w:p>
        </w:tc>
        <w:tc>
          <w:tcPr>
            <w:tcW w:w="2011" w:type="dxa"/>
            <w:vAlign w:val="center"/>
          </w:tcPr>
          <w:p w14:paraId="2467D30A"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Paper-based</w:t>
            </w:r>
          </w:p>
        </w:tc>
        <w:tc>
          <w:tcPr>
            <w:tcW w:w="2015" w:type="dxa"/>
            <w:vAlign w:val="center"/>
          </w:tcPr>
          <w:p w14:paraId="3E17EBF1"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Electronic (2 firms), manual (others)</w:t>
            </w:r>
          </w:p>
        </w:tc>
      </w:tr>
      <w:tr w:rsidR="00061524" w:rsidRPr="00C20947" w14:paraId="275F19CF" w14:textId="77777777" w:rsidTr="004B74FE">
        <w:tc>
          <w:tcPr>
            <w:tcW w:w="1754" w:type="dxa"/>
            <w:vAlign w:val="center"/>
          </w:tcPr>
          <w:p w14:paraId="7EEFEAD5"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Regulatory Gaps Identified</w:t>
            </w:r>
          </w:p>
        </w:tc>
        <w:tc>
          <w:tcPr>
            <w:tcW w:w="2124" w:type="dxa"/>
            <w:vAlign w:val="center"/>
          </w:tcPr>
          <w:p w14:paraId="5510EE68"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PQ dossier quality, data integrity, GMP audit findings</w:t>
            </w:r>
          </w:p>
        </w:tc>
        <w:tc>
          <w:tcPr>
            <w:tcW w:w="1834" w:type="dxa"/>
            <w:vAlign w:val="center"/>
          </w:tcPr>
          <w:p w14:paraId="0596DD88"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API traceability, impurity profiling</w:t>
            </w:r>
          </w:p>
        </w:tc>
        <w:tc>
          <w:tcPr>
            <w:tcW w:w="2011" w:type="dxa"/>
            <w:vAlign w:val="center"/>
          </w:tcPr>
          <w:p w14:paraId="07BD6468"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LLIN entomology, durability testing</w:t>
            </w:r>
          </w:p>
        </w:tc>
        <w:tc>
          <w:tcPr>
            <w:tcW w:w="2015" w:type="dxa"/>
            <w:vAlign w:val="center"/>
          </w:tcPr>
          <w:p w14:paraId="07C18D87"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Clinical validation gaps</w:t>
            </w:r>
          </w:p>
        </w:tc>
      </w:tr>
      <w:tr w:rsidR="00061524" w:rsidRPr="00C20947" w14:paraId="5C7D980B" w14:textId="77777777" w:rsidTr="004B74FE">
        <w:tc>
          <w:tcPr>
            <w:tcW w:w="1754" w:type="dxa"/>
            <w:vAlign w:val="center"/>
          </w:tcPr>
          <w:p w14:paraId="066DE2A9"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Overall Regulatory Maturity Rating</w:t>
            </w:r>
          </w:p>
        </w:tc>
        <w:tc>
          <w:tcPr>
            <w:tcW w:w="2124" w:type="dxa"/>
            <w:vAlign w:val="center"/>
          </w:tcPr>
          <w:p w14:paraId="409D134F"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Moderate</w:t>
            </w:r>
          </w:p>
        </w:tc>
        <w:tc>
          <w:tcPr>
            <w:tcW w:w="1834" w:type="dxa"/>
            <w:vAlign w:val="center"/>
          </w:tcPr>
          <w:p w14:paraId="64FA9417"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Low</w:t>
            </w:r>
          </w:p>
        </w:tc>
        <w:tc>
          <w:tcPr>
            <w:tcW w:w="2011" w:type="dxa"/>
            <w:vAlign w:val="center"/>
          </w:tcPr>
          <w:p w14:paraId="7C1020C0"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Low–Moderate</w:t>
            </w:r>
          </w:p>
        </w:tc>
        <w:tc>
          <w:tcPr>
            <w:tcW w:w="2015" w:type="dxa"/>
            <w:vAlign w:val="center"/>
          </w:tcPr>
          <w:p w14:paraId="11C56342"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Moderate–High</w:t>
            </w:r>
            <w:r w:rsidRPr="00C20947">
              <w:rPr>
                <w:rFonts w:eastAsia="Sorts Mill Goudy"/>
                <w:color w:val="000000" w:themeColor="text1"/>
                <w:sz w:val="22"/>
                <w:szCs w:val="22"/>
              </w:rPr>
              <w:t xml:space="preserve"> (in 2 facilities)</w:t>
            </w:r>
          </w:p>
        </w:tc>
      </w:tr>
    </w:tbl>
    <w:p w14:paraId="593EB942" w14:textId="77777777" w:rsidR="00061524" w:rsidRPr="00C20947" w:rsidRDefault="00061524" w:rsidP="00061524">
      <w:pPr>
        <w:spacing w:before="120" w:after="120" w:line="240" w:lineRule="auto"/>
        <w:jc w:val="both"/>
        <w:rPr>
          <w:rFonts w:ascii="Times" w:eastAsia="Sorts Mill Goudy" w:hAnsi="Times" w:cs="Times"/>
          <w:color w:val="000000" w:themeColor="text1"/>
        </w:rPr>
      </w:pPr>
    </w:p>
    <w:p w14:paraId="5655FBF5" w14:textId="77777777" w:rsidR="00061524" w:rsidRPr="00C20947" w:rsidRDefault="00061524" w:rsidP="00061524">
      <w:pPr>
        <w:keepNext/>
        <w:pBdr>
          <w:top w:val="nil"/>
          <w:left w:val="nil"/>
          <w:bottom w:val="nil"/>
          <w:right w:val="nil"/>
          <w:between w:val="nil"/>
        </w:pBdr>
        <w:spacing w:before="120" w:after="120" w:line="240" w:lineRule="auto"/>
        <w:jc w:val="center"/>
        <w:rPr>
          <w:rFonts w:ascii="Times" w:eastAsia="Sorts Mill Goudy" w:hAnsi="Times" w:cs="Times"/>
          <w:i/>
          <w:iCs/>
          <w:color w:val="000000" w:themeColor="text1"/>
        </w:rPr>
      </w:pPr>
      <w:r w:rsidRPr="00C20947">
        <w:rPr>
          <w:rFonts w:ascii="Times" w:eastAsia="Sorts Mill Goudy" w:hAnsi="Times" w:cs="Times"/>
          <w:i/>
          <w:iCs/>
          <w:color w:val="000000" w:themeColor="text1"/>
        </w:rPr>
        <w:t>Table 6: Summary of regulatory readiness and QA/QC capacity across malaria commodities</w:t>
      </w:r>
    </w:p>
    <w:tbl>
      <w:tblPr>
        <w:tblStyle w:val="ac"/>
        <w:tblW w:w="9360"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1169"/>
        <w:gridCol w:w="1380"/>
        <w:gridCol w:w="1172"/>
        <w:gridCol w:w="1257"/>
        <w:gridCol w:w="1133"/>
        <w:gridCol w:w="1343"/>
        <w:gridCol w:w="1906"/>
      </w:tblGrid>
      <w:tr w:rsidR="00061524" w:rsidRPr="00C20947" w14:paraId="14E75534" w14:textId="77777777" w:rsidTr="004B74FE">
        <w:trPr>
          <w:cnfStyle w:val="100000000000" w:firstRow="1" w:lastRow="0" w:firstColumn="0" w:lastColumn="0" w:oddVBand="0" w:evenVBand="0" w:oddHBand="0" w:evenHBand="0" w:firstRowFirstColumn="0" w:firstRowLastColumn="0" w:lastRowFirstColumn="0" w:lastRowLastColumn="0"/>
        </w:trPr>
        <w:tc>
          <w:tcPr>
            <w:tcW w:w="1169" w:type="dxa"/>
            <w:vAlign w:val="center"/>
          </w:tcPr>
          <w:p w14:paraId="3BAFBDD2"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Commodity</w:t>
            </w:r>
          </w:p>
        </w:tc>
        <w:tc>
          <w:tcPr>
            <w:tcW w:w="1380" w:type="dxa"/>
            <w:vAlign w:val="center"/>
          </w:tcPr>
          <w:p w14:paraId="6011F6A1"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 of Identified Manufacturers</w:t>
            </w:r>
          </w:p>
        </w:tc>
        <w:tc>
          <w:tcPr>
            <w:tcW w:w="1172" w:type="dxa"/>
            <w:vAlign w:val="center"/>
          </w:tcPr>
          <w:p w14:paraId="2C2F7A6C"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NAFDAC GMP Compliance</w:t>
            </w:r>
          </w:p>
        </w:tc>
        <w:tc>
          <w:tcPr>
            <w:tcW w:w="1257" w:type="dxa"/>
            <w:vAlign w:val="center"/>
          </w:tcPr>
          <w:p w14:paraId="34784558"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ISO Certification Status</w:t>
            </w:r>
          </w:p>
        </w:tc>
        <w:tc>
          <w:tcPr>
            <w:tcW w:w="1133" w:type="dxa"/>
            <w:vAlign w:val="center"/>
          </w:tcPr>
          <w:p w14:paraId="05091F15"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WHO PQ / ERPD Progress</w:t>
            </w:r>
          </w:p>
        </w:tc>
        <w:tc>
          <w:tcPr>
            <w:tcW w:w="1343" w:type="dxa"/>
            <w:vAlign w:val="center"/>
          </w:tcPr>
          <w:p w14:paraId="49FA2180"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QA/QC Laboratory Capacity</w:t>
            </w:r>
          </w:p>
        </w:tc>
        <w:tc>
          <w:tcPr>
            <w:tcW w:w="1906" w:type="dxa"/>
            <w:vAlign w:val="center"/>
          </w:tcPr>
          <w:p w14:paraId="1BE4002C"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Key Regulatory Gaps</w:t>
            </w:r>
          </w:p>
        </w:tc>
      </w:tr>
      <w:tr w:rsidR="00061524" w:rsidRPr="00C20947" w14:paraId="205F7B5B" w14:textId="77777777" w:rsidTr="004B74FE">
        <w:tc>
          <w:tcPr>
            <w:tcW w:w="1169" w:type="dxa"/>
            <w:vAlign w:val="center"/>
          </w:tcPr>
          <w:p w14:paraId="09BC6EBB"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ACTs</w:t>
            </w:r>
          </w:p>
        </w:tc>
        <w:tc>
          <w:tcPr>
            <w:tcW w:w="1380" w:type="dxa"/>
            <w:vAlign w:val="center"/>
          </w:tcPr>
          <w:p w14:paraId="1CF0B050"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16 current manufacturers; 1 planning entry</w:t>
            </w:r>
          </w:p>
        </w:tc>
        <w:tc>
          <w:tcPr>
            <w:tcW w:w="1172" w:type="dxa"/>
            <w:vAlign w:val="center"/>
          </w:tcPr>
          <w:p w14:paraId="58A89F43"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94.1% fully GMP-certified</w:t>
            </w:r>
          </w:p>
        </w:tc>
        <w:tc>
          <w:tcPr>
            <w:tcW w:w="1257" w:type="dxa"/>
            <w:vAlign w:val="center"/>
          </w:tcPr>
          <w:p w14:paraId="57F2C201"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Majority ISO 9001; none ISO 13485</w:t>
            </w:r>
          </w:p>
        </w:tc>
        <w:tc>
          <w:tcPr>
            <w:tcW w:w="1133" w:type="dxa"/>
            <w:vAlign w:val="center"/>
          </w:tcPr>
          <w:p w14:paraId="17097316"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i/>
                <w:iCs/>
                <w:color w:val="000000" w:themeColor="text1"/>
                <w:sz w:val="22"/>
                <w:szCs w:val="22"/>
              </w:rPr>
              <w:t>29.4%</w:t>
            </w:r>
            <w:r w:rsidRPr="00C20947">
              <w:rPr>
                <w:rFonts w:eastAsia="Sorts Mill Goudy"/>
                <w:color w:val="000000" w:themeColor="text1"/>
                <w:sz w:val="22"/>
                <w:szCs w:val="22"/>
              </w:rPr>
              <w:t xml:space="preserve"> initiated PQ; no PQ completed</w:t>
            </w:r>
          </w:p>
        </w:tc>
        <w:tc>
          <w:tcPr>
            <w:tcW w:w="1343" w:type="dxa"/>
            <w:vAlign w:val="center"/>
          </w:tcPr>
          <w:p w14:paraId="6090DAD9"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Functional QC labs in all firms; limited accreditation</w:t>
            </w:r>
          </w:p>
        </w:tc>
        <w:tc>
          <w:tcPr>
            <w:tcW w:w="1906" w:type="dxa"/>
            <w:vAlign w:val="center"/>
          </w:tcPr>
          <w:p w14:paraId="30289817"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Lack of CTD dossier completeness; insufficient method validation</w:t>
            </w:r>
          </w:p>
        </w:tc>
      </w:tr>
      <w:tr w:rsidR="00061524" w:rsidRPr="00C20947" w14:paraId="2A372BBA" w14:textId="77777777" w:rsidTr="004B74FE">
        <w:tc>
          <w:tcPr>
            <w:tcW w:w="1169" w:type="dxa"/>
            <w:vAlign w:val="center"/>
          </w:tcPr>
          <w:p w14:paraId="0A0C131A"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APIs</w:t>
            </w:r>
          </w:p>
        </w:tc>
        <w:tc>
          <w:tcPr>
            <w:tcW w:w="1380" w:type="dxa"/>
            <w:vAlign w:val="center"/>
          </w:tcPr>
          <w:p w14:paraId="0C457309"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 xml:space="preserve">0 operational for </w:t>
            </w:r>
            <w:r w:rsidRPr="00C20947">
              <w:rPr>
                <w:rFonts w:eastAsia="Sorts Mill Goudy"/>
                <w:color w:val="000000" w:themeColor="text1"/>
                <w:sz w:val="22"/>
                <w:szCs w:val="22"/>
              </w:rPr>
              <w:lastRenderedPageBreak/>
              <w:t>antimalarial APIs; 4 potential</w:t>
            </w:r>
          </w:p>
        </w:tc>
        <w:tc>
          <w:tcPr>
            <w:tcW w:w="1172" w:type="dxa"/>
            <w:vAlign w:val="center"/>
          </w:tcPr>
          <w:p w14:paraId="5F5AE8A6"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lastRenderedPageBreak/>
              <w:t>Not applicable</w:t>
            </w:r>
          </w:p>
        </w:tc>
        <w:tc>
          <w:tcPr>
            <w:tcW w:w="1257" w:type="dxa"/>
            <w:vAlign w:val="center"/>
          </w:tcPr>
          <w:p w14:paraId="3D9C13FA"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 meet ICH Q7</w:t>
            </w:r>
          </w:p>
        </w:tc>
        <w:tc>
          <w:tcPr>
            <w:tcW w:w="1133" w:type="dxa"/>
            <w:vAlign w:val="center"/>
          </w:tcPr>
          <w:p w14:paraId="27B73856"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 PQ attempts</w:t>
            </w:r>
          </w:p>
        </w:tc>
        <w:tc>
          <w:tcPr>
            <w:tcW w:w="1343" w:type="dxa"/>
            <w:vAlign w:val="center"/>
          </w:tcPr>
          <w:p w14:paraId="3AF8FEE7" w14:textId="77777777" w:rsidR="00061524" w:rsidRPr="00C20947" w:rsidRDefault="00061524" w:rsidP="004B74FE">
            <w:pPr>
              <w:spacing w:before="120" w:line="240" w:lineRule="auto"/>
              <w:rPr>
                <w:rFonts w:eastAsia="Sorts Mill Goudy"/>
                <w:color w:val="000000" w:themeColor="text1"/>
                <w:sz w:val="22"/>
                <w:szCs w:val="22"/>
                <w:lang w:val="pt-BR"/>
              </w:rPr>
            </w:pPr>
            <w:r w:rsidRPr="00C20947">
              <w:rPr>
                <w:rFonts w:eastAsia="Sorts Mill Goudy"/>
                <w:color w:val="000000" w:themeColor="text1"/>
                <w:sz w:val="22"/>
                <w:szCs w:val="22"/>
                <w:lang w:val="pt-BR"/>
              </w:rPr>
              <w:t>No API-grade QC labs</w:t>
            </w:r>
          </w:p>
        </w:tc>
        <w:tc>
          <w:tcPr>
            <w:tcW w:w="1906" w:type="dxa"/>
            <w:vAlign w:val="center"/>
          </w:tcPr>
          <w:p w14:paraId="7D57BE94"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 xml:space="preserve">No regulatory framework; no </w:t>
            </w:r>
            <w:r w:rsidRPr="00C20947">
              <w:rPr>
                <w:rFonts w:eastAsia="Sorts Mill Goudy"/>
                <w:color w:val="000000" w:themeColor="text1"/>
                <w:sz w:val="22"/>
                <w:szCs w:val="22"/>
              </w:rPr>
              <w:lastRenderedPageBreak/>
              <w:t>validated API processes</w:t>
            </w:r>
          </w:p>
        </w:tc>
      </w:tr>
      <w:tr w:rsidR="00061524" w:rsidRPr="00C20947" w14:paraId="019979EE" w14:textId="77777777" w:rsidTr="004B74FE">
        <w:tc>
          <w:tcPr>
            <w:tcW w:w="1169" w:type="dxa"/>
            <w:vAlign w:val="center"/>
          </w:tcPr>
          <w:p w14:paraId="21955112"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lastRenderedPageBreak/>
              <w:t>RDTs</w:t>
            </w:r>
          </w:p>
        </w:tc>
        <w:tc>
          <w:tcPr>
            <w:tcW w:w="1380" w:type="dxa"/>
            <w:vAlign w:val="center"/>
          </w:tcPr>
          <w:p w14:paraId="7853D27D"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7 identified; 4 engaged; 3 near operational</w:t>
            </w:r>
          </w:p>
        </w:tc>
        <w:tc>
          <w:tcPr>
            <w:tcW w:w="1172" w:type="dxa"/>
            <w:vAlign w:val="center"/>
          </w:tcPr>
          <w:p w14:paraId="42BEF308"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All NAFDAC-licensed; inspections ongoing</w:t>
            </w:r>
          </w:p>
        </w:tc>
        <w:tc>
          <w:tcPr>
            <w:tcW w:w="1257" w:type="dxa"/>
            <w:vAlign w:val="center"/>
          </w:tcPr>
          <w:p w14:paraId="327E49DB"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2 ISO 13485:2016 certified</w:t>
            </w:r>
          </w:p>
        </w:tc>
        <w:tc>
          <w:tcPr>
            <w:tcW w:w="1133" w:type="dxa"/>
            <w:vAlign w:val="center"/>
          </w:tcPr>
          <w:p w14:paraId="31E42921"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2 in ERPD/PQ discussion; none PQ-ready</w:t>
            </w:r>
          </w:p>
        </w:tc>
        <w:tc>
          <w:tcPr>
            <w:tcW w:w="1343" w:type="dxa"/>
            <w:vAlign w:val="center"/>
          </w:tcPr>
          <w:p w14:paraId="190AB746"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Limited environmental controls; no in-country lot testing</w:t>
            </w:r>
          </w:p>
        </w:tc>
        <w:tc>
          <w:tcPr>
            <w:tcW w:w="1906" w:type="dxa"/>
            <w:vAlign w:val="center"/>
          </w:tcPr>
          <w:p w14:paraId="4B25BB91"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Lack of full design files; dependence on foreign validation labs</w:t>
            </w:r>
          </w:p>
        </w:tc>
      </w:tr>
      <w:tr w:rsidR="00061524" w:rsidRPr="00C20947" w14:paraId="3617221E" w14:textId="77777777" w:rsidTr="004B74FE">
        <w:tc>
          <w:tcPr>
            <w:tcW w:w="1169" w:type="dxa"/>
            <w:vAlign w:val="center"/>
          </w:tcPr>
          <w:p w14:paraId="77E7412D"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LLINs</w:t>
            </w:r>
          </w:p>
        </w:tc>
        <w:tc>
          <w:tcPr>
            <w:tcW w:w="1380" w:type="dxa"/>
            <w:vAlign w:val="center"/>
          </w:tcPr>
          <w:p w14:paraId="7DBC5182"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Several with partial infrastructure</w:t>
            </w:r>
          </w:p>
        </w:tc>
        <w:tc>
          <w:tcPr>
            <w:tcW w:w="1172" w:type="dxa"/>
            <w:vAlign w:val="center"/>
          </w:tcPr>
          <w:p w14:paraId="3C8FDED7"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NAFDAC compliance through routine inspection</w:t>
            </w:r>
          </w:p>
        </w:tc>
        <w:tc>
          <w:tcPr>
            <w:tcW w:w="1257" w:type="dxa"/>
            <w:vAlign w:val="center"/>
          </w:tcPr>
          <w:p w14:paraId="7664A642"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 LLIN manufacturer ISO-certified</w:t>
            </w:r>
          </w:p>
        </w:tc>
        <w:tc>
          <w:tcPr>
            <w:tcW w:w="1133" w:type="dxa"/>
            <w:vAlign w:val="center"/>
          </w:tcPr>
          <w:p w14:paraId="0E4B2F1C"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2 early-stage PQ engagement</w:t>
            </w:r>
          </w:p>
        </w:tc>
        <w:tc>
          <w:tcPr>
            <w:tcW w:w="1343" w:type="dxa"/>
            <w:vAlign w:val="center"/>
          </w:tcPr>
          <w:p w14:paraId="755B05D5"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 entomology or durability-testing capability</w:t>
            </w:r>
          </w:p>
        </w:tc>
        <w:tc>
          <w:tcPr>
            <w:tcW w:w="1906" w:type="dxa"/>
            <w:vAlign w:val="center"/>
          </w:tcPr>
          <w:p w14:paraId="3FFBB337" w14:textId="77777777" w:rsidR="00061524" w:rsidRPr="00C20947" w:rsidRDefault="00061524"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 WHO-standard lab for bioefficacy/durability; incomplete QA systems</w:t>
            </w:r>
          </w:p>
        </w:tc>
      </w:tr>
    </w:tbl>
    <w:p w14:paraId="4F10D333" w14:textId="77777777" w:rsidR="00367939" w:rsidRPr="00C20947" w:rsidRDefault="00367939" w:rsidP="007161E6">
      <w:pPr>
        <w:pBdr>
          <w:top w:val="nil"/>
          <w:left w:val="nil"/>
          <w:bottom w:val="nil"/>
          <w:right w:val="nil"/>
          <w:between w:val="nil"/>
        </w:pBdr>
        <w:spacing w:before="120" w:after="120" w:line="240" w:lineRule="auto"/>
        <w:rPr>
          <w:rFonts w:ascii="Times" w:eastAsia="Sorts Mill Goudy" w:hAnsi="Times" w:cs="Times"/>
          <w:color w:val="000000" w:themeColor="text1"/>
        </w:rPr>
      </w:pPr>
    </w:p>
    <w:p w14:paraId="35B72CC7" w14:textId="77777777" w:rsidR="001038E2" w:rsidRPr="00C20947" w:rsidRDefault="001038E2" w:rsidP="001038E2">
      <w:pPr>
        <w:keepNext/>
        <w:pBdr>
          <w:top w:val="nil"/>
          <w:left w:val="nil"/>
          <w:bottom w:val="nil"/>
          <w:right w:val="nil"/>
          <w:between w:val="nil"/>
        </w:pBdr>
        <w:spacing w:before="120" w:after="120" w:line="240" w:lineRule="auto"/>
        <w:jc w:val="center"/>
        <w:rPr>
          <w:rFonts w:ascii="Times" w:eastAsia="Sorts Mill Goudy" w:hAnsi="Times" w:cs="Times"/>
          <w:i/>
          <w:iCs/>
          <w:color w:val="000000" w:themeColor="text1"/>
        </w:rPr>
      </w:pPr>
      <w:r w:rsidRPr="00C20947">
        <w:rPr>
          <w:rFonts w:ascii="Times" w:eastAsia="Sorts Mill Goudy" w:hAnsi="Times" w:cs="Times"/>
          <w:i/>
          <w:iCs/>
          <w:color w:val="000000" w:themeColor="text1"/>
        </w:rPr>
        <w:t>Table 7: Financing and Investment Landscape Across Malaria Commodity Manufacturers in Nigeria</w:t>
      </w:r>
    </w:p>
    <w:tbl>
      <w:tblPr>
        <w:tblStyle w:val="ad"/>
        <w:tblW w:w="9360"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1625"/>
        <w:gridCol w:w="1826"/>
        <w:gridCol w:w="1982"/>
        <w:gridCol w:w="1959"/>
        <w:gridCol w:w="1968"/>
      </w:tblGrid>
      <w:tr w:rsidR="001038E2" w:rsidRPr="00C20947" w14:paraId="23438BB1" w14:textId="77777777" w:rsidTr="004B74FE">
        <w:trPr>
          <w:cnfStyle w:val="100000000000" w:firstRow="1" w:lastRow="0" w:firstColumn="0" w:lastColumn="0" w:oddVBand="0" w:evenVBand="0" w:oddHBand="0" w:evenHBand="0" w:firstRowFirstColumn="0" w:firstRowLastColumn="0" w:lastRowFirstColumn="0" w:lastRowLastColumn="0"/>
        </w:trPr>
        <w:tc>
          <w:tcPr>
            <w:tcW w:w="1625" w:type="dxa"/>
            <w:vAlign w:val="center"/>
          </w:tcPr>
          <w:p w14:paraId="4F3DA25D"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Financing Dimension</w:t>
            </w:r>
          </w:p>
        </w:tc>
        <w:tc>
          <w:tcPr>
            <w:tcW w:w="1826" w:type="dxa"/>
            <w:vAlign w:val="center"/>
          </w:tcPr>
          <w:p w14:paraId="0A8A9BFC"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ACT Manufacturers (n=4)</w:t>
            </w:r>
          </w:p>
        </w:tc>
        <w:tc>
          <w:tcPr>
            <w:tcW w:w="1982" w:type="dxa"/>
            <w:vAlign w:val="center"/>
          </w:tcPr>
          <w:p w14:paraId="028ECFFE"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API Manufacturers (n=3)</w:t>
            </w:r>
          </w:p>
        </w:tc>
        <w:tc>
          <w:tcPr>
            <w:tcW w:w="1959" w:type="dxa"/>
            <w:vAlign w:val="center"/>
          </w:tcPr>
          <w:p w14:paraId="3BCDF4A7"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LLIN Manufacturers (n=3)</w:t>
            </w:r>
          </w:p>
        </w:tc>
        <w:tc>
          <w:tcPr>
            <w:tcW w:w="1968" w:type="dxa"/>
            <w:vAlign w:val="center"/>
          </w:tcPr>
          <w:p w14:paraId="672F790B"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RDT Manufacturers (n=7)</w:t>
            </w:r>
          </w:p>
        </w:tc>
      </w:tr>
      <w:tr w:rsidR="001038E2" w:rsidRPr="00C20947" w14:paraId="51DCA066" w14:textId="77777777" w:rsidTr="004B74FE">
        <w:tc>
          <w:tcPr>
            <w:tcW w:w="1625" w:type="dxa"/>
            <w:vAlign w:val="center"/>
          </w:tcPr>
          <w:p w14:paraId="7152BFF8"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Primary Funding Sources</w:t>
            </w:r>
          </w:p>
        </w:tc>
        <w:tc>
          <w:tcPr>
            <w:tcW w:w="1826" w:type="dxa"/>
            <w:vAlign w:val="center"/>
          </w:tcPr>
          <w:p w14:paraId="0E9B6F8E"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Retained earnings; short-term loans</w:t>
            </w:r>
          </w:p>
        </w:tc>
        <w:tc>
          <w:tcPr>
            <w:tcW w:w="1982" w:type="dxa"/>
            <w:vAlign w:val="center"/>
          </w:tcPr>
          <w:p w14:paraId="7C1341C5"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Private capital; small equity; limited loans</w:t>
            </w:r>
          </w:p>
        </w:tc>
        <w:tc>
          <w:tcPr>
            <w:tcW w:w="1959" w:type="dxa"/>
            <w:vAlign w:val="center"/>
          </w:tcPr>
          <w:p w14:paraId="09CF22B3"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Private equity; feasibility grants</w:t>
            </w:r>
          </w:p>
        </w:tc>
        <w:tc>
          <w:tcPr>
            <w:tcW w:w="1968" w:type="dxa"/>
            <w:vAlign w:val="center"/>
          </w:tcPr>
          <w:p w14:paraId="6A72D184"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Self-financing; small donor TA grants</w:t>
            </w:r>
          </w:p>
        </w:tc>
      </w:tr>
      <w:tr w:rsidR="001038E2" w:rsidRPr="00C20947" w14:paraId="4DEB0E1C" w14:textId="77777777" w:rsidTr="004B74FE">
        <w:tc>
          <w:tcPr>
            <w:tcW w:w="1625" w:type="dxa"/>
            <w:vAlign w:val="center"/>
          </w:tcPr>
          <w:p w14:paraId="18025507"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Interest Rates Accessed</w:t>
            </w:r>
          </w:p>
        </w:tc>
        <w:tc>
          <w:tcPr>
            <w:tcW w:w="1826" w:type="dxa"/>
            <w:vAlign w:val="center"/>
          </w:tcPr>
          <w:p w14:paraId="2C84BD91"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18–25%</w:t>
            </w:r>
          </w:p>
        </w:tc>
        <w:tc>
          <w:tcPr>
            <w:tcW w:w="1982" w:type="dxa"/>
            <w:vAlign w:val="center"/>
          </w:tcPr>
          <w:p w14:paraId="7B693D36"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20–28%</w:t>
            </w:r>
          </w:p>
        </w:tc>
        <w:tc>
          <w:tcPr>
            <w:tcW w:w="1959" w:type="dxa"/>
            <w:vAlign w:val="center"/>
          </w:tcPr>
          <w:p w14:paraId="0F5E4325"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18–23%</w:t>
            </w:r>
          </w:p>
        </w:tc>
        <w:tc>
          <w:tcPr>
            <w:tcW w:w="1968" w:type="dxa"/>
            <w:vAlign w:val="center"/>
          </w:tcPr>
          <w:p w14:paraId="2E42A61A"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18–22%</w:t>
            </w:r>
          </w:p>
        </w:tc>
      </w:tr>
      <w:tr w:rsidR="001038E2" w:rsidRPr="00C20947" w14:paraId="1F63F18A" w14:textId="77777777" w:rsidTr="004B74FE">
        <w:tc>
          <w:tcPr>
            <w:tcW w:w="1625" w:type="dxa"/>
            <w:vAlign w:val="center"/>
          </w:tcPr>
          <w:p w14:paraId="4D8919C5"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Loan Tenure</w:t>
            </w:r>
          </w:p>
        </w:tc>
        <w:tc>
          <w:tcPr>
            <w:tcW w:w="1826" w:type="dxa"/>
            <w:vAlign w:val="center"/>
          </w:tcPr>
          <w:p w14:paraId="1FAE6CFD"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2–3 years</w:t>
            </w:r>
          </w:p>
        </w:tc>
        <w:tc>
          <w:tcPr>
            <w:tcW w:w="1982" w:type="dxa"/>
            <w:vAlign w:val="center"/>
          </w:tcPr>
          <w:p w14:paraId="0197F843"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1–2 years</w:t>
            </w:r>
          </w:p>
        </w:tc>
        <w:tc>
          <w:tcPr>
            <w:tcW w:w="1959" w:type="dxa"/>
            <w:vAlign w:val="center"/>
          </w:tcPr>
          <w:p w14:paraId="3E1BC75B"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2–3 years</w:t>
            </w:r>
          </w:p>
        </w:tc>
        <w:tc>
          <w:tcPr>
            <w:tcW w:w="1968" w:type="dxa"/>
            <w:vAlign w:val="center"/>
          </w:tcPr>
          <w:p w14:paraId="4ABBBD8F"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2–3 years</w:t>
            </w:r>
          </w:p>
        </w:tc>
      </w:tr>
      <w:tr w:rsidR="001038E2" w:rsidRPr="00C20947" w14:paraId="4FFB2D84" w14:textId="77777777" w:rsidTr="004B74FE">
        <w:tc>
          <w:tcPr>
            <w:tcW w:w="1625" w:type="dxa"/>
            <w:vAlign w:val="center"/>
          </w:tcPr>
          <w:p w14:paraId="583605C3"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BOI/DBN Access</w:t>
            </w:r>
          </w:p>
        </w:tc>
        <w:tc>
          <w:tcPr>
            <w:tcW w:w="1826" w:type="dxa"/>
            <w:vAlign w:val="center"/>
          </w:tcPr>
          <w:p w14:paraId="2B87E062"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Moderate; many eligible</w:t>
            </w:r>
          </w:p>
        </w:tc>
        <w:tc>
          <w:tcPr>
            <w:tcW w:w="1982" w:type="dxa"/>
            <w:vAlign w:val="center"/>
          </w:tcPr>
          <w:p w14:paraId="16B7E193"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Low; API chemistry considered high-risk</w:t>
            </w:r>
          </w:p>
        </w:tc>
        <w:tc>
          <w:tcPr>
            <w:tcW w:w="1959" w:type="dxa"/>
            <w:vAlign w:val="center"/>
          </w:tcPr>
          <w:p w14:paraId="2755934E"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Low; LLIN equipment expensive</w:t>
            </w:r>
          </w:p>
        </w:tc>
        <w:tc>
          <w:tcPr>
            <w:tcW w:w="1968" w:type="dxa"/>
            <w:vAlign w:val="center"/>
          </w:tcPr>
          <w:p w14:paraId="1900D514"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Moderate; 2 firms received BOI facility</w:t>
            </w:r>
          </w:p>
        </w:tc>
      </w:tr>
      <w:tr w:rsidR="001038E2" w:rsidRPr="00C20947" w14:paraId="0C46DB24" w14:textId="77777777" w:rsidTr="004B74FE">
        <w:tc>
          <w:tcPr>
            <w:tcW w:w="1625" w:type="dxa"/>
            <w:vAlign w:val="center"/>
          </w:tcPr>
          <w:p w14:paraId="720E0534"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Capital Requirements</w:t>
            </w:r>
          </w:p>
        </w:tc>
        <w:tc>
          <w:tcPr>
            <w:tcW w:w="1826" w:type="dxa"/>
            <w:vAlign w:val="center"/>
          </w:tcPr>
          <w:p w14:paraId="1EEA9D72"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Medium (automation, QA upgrades)</w:t>
            </w:r>
          </w:p>
        </w:tc>
        <w:tc>
          <w:tcPr>
            <w:tcW w:w="1982" w:type="dxa"/>
            <w:vAlign w:val="center"/>
          </w:tcPr>
          <w:p w14:paraId="29A6D424"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Very High (reactors, utilities, effluent systems)</w:t>
            </w:r>
          </w:p>
        </w:tc>
        <w:tc>
          <w:tcPr>
            <w:tcW w:w="1959" w:type="dxa"/>
            <w:vAlign w:val="center"/>
          </w:tcPr>
          <w:p w14:paraId="002525A0"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Very High (extrusion, weaving, coating lines)</w:t>
            </w:r>
          </w:p>
        </w:tc>
        <w:tc>
          <w:tcPr>
            <w:tcW w:w="1968" w:type="dxa"/>
            <w:vAlign w:val="center"/>
          </w:tcPr>
          <w:p w14:paraId="2C21159C"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Medium–High (automated lamination lines)</w:t>
            </w:r>
          </w:p>
        </w:tc>
      </w:tr>
      <w:tr w:rsidR="001038E2" w:rsidRPr="00C20947" w14:paraId="33B8BF58" w14:textId="77777777" w:rsidTr="004B74FE">
        <w:tc>
          <w:tcPr>
            <w:tcW w:w="1625" w:type="dxa"/>
            <w:vAlign w:val="center"/>
          </w:tcPr>
          <w:p w14:paraId="1551B14C"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Working Capital Needs</w:t>
            </w:r>
          </w:p>
        </w:tc>
        <w:tc>
          <w:tcPr>
            <w:tcW w:w="1826" w:type="dxa"/>
            <w:vAlign w:val="center"/>
          </w:tcPr>
          <w:p w14:paraId="7A0B7371"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 (API imports)</w:t>
            </w:r>
          </w:p>
        </w:tc>
        <w:tc>
          <w:tcPr>
            <w:tcW w:w="1982" w:type="dxa"/>
            <w:vAlign w:val="center"/>
          </w:tcPr>
          <w:p w14:paraId="2458B727"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Very High (precursors, solvents)</w:t>
            </w:r>
          </w:p>
        </w:tc>
        <w:tc>
          <w:tcPr>
            <w:tcW w:w="1959" w:type="dxa"/>
            <w:vAlign w:val="center"/>
          </w:tcPr>
          <w:p w14:paraId="7A772BCE"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Medium (polymers, coating chemicals)</w:t>
            </w:r>
          </w:p>
        </w:tc>
        <w:tc>
          <w:tcPr>
            <w:tcW w:w="1968" w:type="dxa"/>
            <w:vAlign w:val="center"/>
          </w:tcPr>
          <w:p w14:paraId="48D87978"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 (membranes, antibodies, cassettes)</w:t>
            </w:r>
          </w:p>
        </w:tc>
      </w:tr>
      <w:tr w:rsidR="001038E2" w:rsidRPr="00C20947" w14:paraId="5504E63A" w14:textId="77777777" w:rsidTr="004B74FE">
        <w:tc>
          <w:tcPr>
            <w:tcW w:w="1625" w:type="dxa"/>
            <w:vAlign w:val="center"/>
          </w:tcPr>
          <w:p w14:paraId="51916923"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lastRenderedPageBreak/>
              <w:t>Foreign Exchange Exposure</w:t>
            </w:r>
          </w:p>
        </w:tc>
        <w:tc>
          <w:tcPr>
            <w:tcW w:w="1826" w:type="dxa"/>
            <w:vAlign w:val="center"/>
          </w:tcPr>
          <w:p w14:paraId="527B3935"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Very High</w:t>
            </w:r>
          </w:p>
        </w:tc>
        <w:tc>
          <w:tcPr>
            <w:tcW w:w="1982" w:type="dxa"/>
            <w:vAlign w:val="center"/>
          </w:tcPr>
          <w:p w14:paraId="5C4E89C2"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Extremely High</w:t>
            </w:r>
          </w:p>
        </w:tc>
        <w:tc>
          <w:tcPr>
            <w:tcW w:w="1959" w:type="dxa"/>
            <w:vAlign w:val="center"/>
          </w:tcPr>
          <w:p w14:paraId="4C07B9B5"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w:t>
            </w:r>
          </w:p>
        </w:tc>
        <w:tc>
          <w:tcPr>
            <w:tcW w:w="1968" w:type="dxa"/>
            <w:vAlign w:val="center"/>
          </w:tcPr>
          <w:p w14:paraId="5F6C339D"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w:t>
            </w:r>
          </w:p>
        </w:tc>
      </w:tr>
      <w:tr w:rsidR="001038E2" w:rsidRPr="00C20947" w14:paraId="594B29B9" w14:textId="77777777" w:rsidTr="004B74FE">
        <w:tc>
          <w:tcPr>
            <w:tcW w:w="1625" w:type="dxa"/>
            <w:vAlign w:val="center"/>
          </w:tcPr>
          <w:p w14:paraId="380110E5"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Donor Funding Access</w:t>
            </w:r>
          </w:p>
        </w:tc>
        <w:tc>
          <w:tcPr>
            <w:tcW w:w="1826" w:type="dxa"/>
            <w:vAlign w:val="center"/>
          </w:tcPr>
          <w:p w14:paraId="1BF1E228"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Very low (no PQ)</w:t>
            </w:r>
          </w:p>
        </w:tc>
        <w:tc>
          <w:tcPr>
            <w:tcW w:w="1982" w:type="dxa"/>
            <w:vAlign w:val="center"/>
          </w:tcPr>
          <w:p w14:paraId="297DDE84"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w:t>
            </w:r>
          </w:p>
        </w:tc>
        <w:tc>
          <w:tcPr>
            <w:tcW w:w="1959" w:type="dxa"/>
            <w:vAlign w:val="center"/>
          </w:tcPr>
          <w:p w14:paraId="5CCE3A74"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w:t>
            </w:r>
          </w:p>
        </w:tc>
        <w:tc>
          <w:tcPr>
            <w:tcW w:w="1968" w:type="dxa"/>
            <w:vAlign w:val="center"/>
          </w:tcPr>
          <w:p w14:paraId="6EA55F6F"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Low–Moderate (TA only)</w:t>
            </w:r>
          </w:p>
        </w:tc>
      </w:tr>
      <w:tr w:rsidR="001038E2" w:rsidRPr="00C20947" w14:paraId="3ABAADFC" w14:textId="77777777" w:rsidTr="004B74FE">
        <w:tc>
          <w:tcPr>
            <w:tcW w:w="1625" w:type="dxa"/>
            <w:vAlign w:val="center"/>
          </w:tcPr>
          <w:p w14:paraId="338C768C"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PQ Financing Gap</w:t>
            </w:r>
          </w:p>
        </w:tc>
        <w:tc>
          <w:tcPr>
            <w:tcW w:w="1826" w:type="dxa"/>
            <w:vAlign w:val="center"/>
          </w:tcPr>
          <w:p w14:paraId="2EACB89E"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 — stability chambers, BE studies</w:t>
            </w:r>
          </w:p>
        </w:tc>
        <w:tc>
          <w:tcPr>
            <w:tcW w:w="1982" w:type="dxa"/>
            <w:vAlign w:val="center"/>
          </w:tcPr>
          <w:p w14:paraId="3333647C"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Extremely high — no PQ pathway</w:t>
            </w:r>
          </w:p>
        </w:tc>
        <w:tc>
          <w:tcPr>
            <w:tcW w:w="1959" w:type="dxa"/>
            <w:vAlign w:val="center"/>
          </w:tcPr>
          <w:p w14:paraId="55A2AFC7"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 — PQT-VC cost prohibitive</w:t>
            </w:r>
          </w:p>
        </w:tc>
        <w:tc>
          <w:tcPr>
            <w:tcW w:w="1968" w:type="dxa"/>
            <w:vAlign w:val="center"/>
          </w:tcPr>
          <w:p w14:paraId="5D3E511D"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Medium — ERPD advanced but costly</w:t>
            </w:r>
          </w:p>
        </w:tc>
      </w:tr>
      <w:tr w:rsidR="001038E2" w:rsidRPr="00C20947" w14:paraId="1AAB6F0A" w14:textId="77777777" w:rsidTr="004B74FE">
        <w:tc>
          <w:tcPr>
            <w:tcW w:w="1625" w:type="dxa"/>
            <w:vAlign w:val="center"/>
          </w:tcPr>
          <w:p w14:paraId="26B17E55"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Incentive Uptake</w:t>
            </w:r>
          </w:p>
        </w:tc>
        <w:tc>
          <w:tcPr>
            <w:tcW w:w="1826" w:type="dxa"/>
            <w:vAlign w:val="center"/>
          </w:tcPr>
          <w:p w14:paraId="024837EF"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Partial, inconsistent</w:t>
            </w:r>
          </w:p>
        </w:tc>
        <w:tc>
          <w:tcPr>
            <w:tcW w:w="1982" w:type="dxa"/>
            <w:vAlign w:val="center"/>
          </w:tcPr>
          <w:p w14:paraId="27967004"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Very low</w:t>
            </w:r>
          </w:p>
        </w:tc>
        <w:tc>
          <w:tcPr>
            <w:tcW w:w="1959" w:type="dxa"/>
            <w:vAlign w:val="center"/>
          </w:tcPr>
          <w:p w14:paraId="51541907"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Low</w:t>
            </w:r>
          </w:p>
        </w:tc>
        <w:tc>
          <w:tcPr>
            <w:tcW w:w="1968" w:type="dxa"/>
            <w:vAlign w:val="center"/>
          </w:tcPr>
          <w:p w14:paraId="22510EA4"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Moderate (input duty waivers)</w:t>
            </w:r>
          </w:p>
        </w:tc>
      </w:tr>
      <w:tr w:rsidR="001038E2" w:rsidRPr="00C20947" w14:paraId="65E4A3AE" w14:textId="77777777" w:rsidTr="004B74FE">
        <w:tc>
          <w:tcPr>
            <w:tcW w:w="1625" w:type="dxa"/>
            <w:vAlign w:val="center"/>
          </w:tcPr>
          <w:p w14:paraId="3DCF94B8"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Key Bottlenecks</w:t>
            </w:r>
          </w:p>
        </w:tc>
        <w:tc>
          <w:tcPr>
            <w:tcW w:w="1826" w:type="dxa"/>
            <w:vAlign w:val="center"/>
          </w:tcPr>
          <w:p w14:paraId="5F8938A0"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FX volatility; delayed govt. payments</w:t>
            </w:r>
          </w:p>
        </w:tc>
        <w:tc>
          <w:tcPr>
            <w:tcW w:w="1982" w:type="dxa"/>
            <w:vAlign w:val="center"/>
          </w:tcPr>
          <w:p w14:paraId="2E4E2D8A"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 collateral; long payback not viable</w:t>
            </w:r>
          </w:p>
        </w:tc>
        <w:tc>
          <w:tcPr>
            <w:tcW w:w="1959" w:type="dxa"/>
            <w:vAlign w:val="center"/>
          </w:tcPr>
          <w:p w14:paraId="0835D1B1"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High equipment cost; PQ lab absence</w:t>
            </w:r>
          </w:p>
        </w:tc>
        <w:tc>
          <w:tcPr>
            <w:tcW w:w="1968" w:type="dxa"/>
            <w:vAlign w:val="center"/>
          </w:tcPr>
          <w:p w14:paraId="13BA1C84"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Raw material import delays; no PQ financing</w:t>
            </w:r>
          </w:p>
        </w:tc>
      </w:tr>
      <w:tr w:rsidR="001038E2" w:rsidRPr="00C20947" w14:paraId="014C1A37" w14:textId="77777777" w:rsidTr="004B74FE">
        <w:tc>
          <w:tcPr>
            <w:tcW w:w="1625" w:type="dxa"/>
            <w:vAlign w:val="center"/>
          </w:tcPr>
          <w:p w14:paraId="0F683F1A"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Overall Financial Readiness</w:t>
            </w:r>
          </w:p>
        </w:tc>
        <w:tc>
          <w:tcPr>
            <w:tcW w:w="1826" w:type="dxa"/>
            <w:vAlign w:val="center"/>
          </w:tcPr>
          <w:p w14:paraId="2D4989B6"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Moderate–Low</w:t>
            </w:r>
          </w:p>
        </w:tc>
        <w:tc>
          <w:tcPr>
            <w:tcW w:w="1982" w:type="dxa"/>
            <w:vAlign w:val="center"/>
          </w:tcPr>
          <w:p w14:paraId="7934C69B"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Very Low</w:t>
            </w:r>
          </w:p>
        </w:tc>
        <w:tc>
          <w:tcPr>
            <w:tcW w:w="1959" w:type="dxa"/>
            <w:vAlign w:val="center"/>
          </w:tcPr>
          <w:p w14:paraId="78B4310D"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Low</w:t>
            </w:r>
          </w:p>
        </w:tc>
        <w:tc>
          <w:tcPr>
            <w:tcW w:w="1968" w:type="dxa"/>
            <w:vAlign w:val="center"/>
          </w:tcPr>
          <w:p w14:paraId="33CAAC98" w14:textId="77777777" w:rsidR="001038E2" w:rsidRPr="00C20947" w:rsidRDefault="001038E2"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Moderate</w:t>
            </w:r>
            <w:r w:rsidRPr="00C20947">
              <w:rPr>
                <w:rFonts w:eastAsia="Sorts Mill Goudy"/>
                <w:color w:val="000000" w:themeColor="text1"/>
                <w:sz w:val="22"/>
                <w:szCs w:val="22"/>
              </w:rPr>
              <w:t xml:space="preserve"> (in 2 firms)</w:t>
            </w:r>
          </w:p>
        </w:tc>
      </w:tr>
    </w:tbl>
    <w:p w14:paraId="36F46539" w14:textId="77777777" w:rsidR="00CB3D28" w:rsidRPr="00C20947" w:rsidRDefault="00CB3D28" w:rsidP="00CB3D28">
      <w:pPr>
        <w:keepNext/>
        <w:pBdr>
          <w:top w:val="nil"/>
          <w:left w:val="nil"/>
          <w:bottom w:val="nil"/>
          <w:right w:val="nil"/>
          <w:between w:val="nil"/>
        </w:pBdr>
        <w:spacing w:before="120" w:after="120" w:line="240" w:lineRule="auto"/>
        <w:jc w:val="center"/>
        <w:rPr>
          <w:rFonts w:ascii="Times" w:eastAsia="Sorts Mill Goudy" w:hAnsi="Times" w:cs="Times"/>
          <w:i/>
          <w:iCs/>
          <w:color w:val="000000" w:themeColor="text1"/>
        </w:rPr>
      </w:pPr>
      <w:r w:rsidRPr="00C20947">
        <w:rPr>
          <w:rFonts w:ascii="Times" w:eastAsia="Sorts Mill Goudy" w:hAnsi="Times" w:cs="Times"/>
          <w:i/>
          <w:iCs/>
          <w:color w:val="000000" w:themeColor="text1"/>
        </w:rPr>
        <w:t>Table 8: Supply chain dependency and input constraints across commodity groups</w:t>
      </w:r>
    </w:p>
    <w:tbl>
      <w:tblPr>
        <w:tblStyle w:val="ae"/>
        <w:tblW w:w="9360"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1194"/>
        <w:gridCol w:w="1348"/>
        <w:gridCol w:w="1401"/>
        <w:gridCol w:w="1463"/>
        <w:gridCol w:w="877"/>
        <w:gridCol w:w="1373"/>
        <w:gridCol w:w="1704"/>
      </w:tblGrid>
      <w:tr w:rsidR="00CB3D28" w:rsidRPr="00C20947" w14:paraId="78EC8B6A" w14:textId="77777777" w:rsidTr="004B74FE">
        <w:trPr>
          <w:cnfStyle w:val="100000000000" w:firstRow="1" w:lastRow="0" w:firstColumn="0" w:lastColumn="0" w:oddVBand="0" w:evenVBand="0" w:oddHBand="0" w:evenHBand="0" w:firstRowFirstColumn="0" w:firstRowLastColumn="0" w:lastRowFirstColumn="0" w:lastRowLastColumn="0"/>
        </w:trPr>
        <w:tc>
          <w:tcPr>
            <w:tcW w:w="1194" w:type="dxa"/>
            <w:vAlign w:val="center"/>
          </w:tcPr>
          <w:p w14:paraId="58DBF9BF"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Commodity</w:t>
            </w:r>
          </w:p>
        </w:tc>
        <w:tc>
          <w:tcPr>
            <w:tcW w:w="1348" w:type="dxa"/>
            <w:vAlign w:val="center"/>
          </w:tcPr>
          <w:p w14:paraId="0A08FD84"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Degree of Import Dependence</w:t>
            </w:r>
          </w:p>
        </w:tc>
        <w:tc>
          <w:tcPr>
            <w:tcW w:w="1401" w:type="dxa"/>
            <w:vAlign w:val="center"/>
          </w:tcPr>
          <w:p w14:paraId="15F25E5D"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Key Imported Inputs</w:t>
            </w:r>
          </w:p>
        </w:tc>
        <w:tc>
          <w:tcPr>
            <w:tcW w:w="1463" w:type="dxa"/>
            <w:vAlign w:val="center"/>
          </w:tcPr>
          <w:p w14:paraId="0E1ACC1D"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Domestic Inputs Available</w:t>
            </w:r>
          </w:p>
        </w:tc>
        <w:tc>
          <w:tcPr>
            <w:tcW w:w="877" w:type="dxa"/>
            <w:vAlign w:val="center"/>
          </w:tcPr>
          <w:p w14:paraId="35151C19"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Typical Lead Times</w:t>
            </w:r>
          </w:p>
        </w:tc>
        <w:tc>
          <w:tcPr>
            <w:tcW w:w="1373" w:type="dxa"/>
            <w:vAlign w:val="center"/>
          </w:tcPr>
          <w:p w14:paraId="05E3C154"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Major Supply Chain Constraints</w:t>
            </w:r>
          </w:p>
        </w:tc>
        <w:tc>
          <w:tcPr>
            <w:tcW w:w="1704" w:type="dxa"/>
            <w:vAlign w:val="center"/>
          </w:tcPr>
          <w:p w14:paraId="0D7C699E"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Impact on Production</w:t>
            </w:r>
          </w:p>
        </w:tc>
      </w:tr>
      <w:tr w:rsidR="00CB3D28" w:rsidRPr="00C20947" w14:paraId="417A6357" w14:textId="77777777" w:rsidTr="004B74FE">
        <w:tc>
          <w:tcPr>
            <w:tcW w:w="1194" w:type="dxa"/>
            <w:vAlign w:val="center"/>
          </w:tcPr>
          <w:p w14:paraId="25AD6A7B"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ACTs</w:t>
            </w:r>
          </w:p>
        </w:tc>
        <w:tc>
          <w:tcPr>
            <w:tcW w:w="1348" w:type="dxa"/>
            <w:vAlign w:val="center"/>
          </w:tcPr>
          <w:p w14:paraId="08DAA5A9"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70–90%</w:t>
            </w:r>
            <w:r w:rsidRPr="00C20947">
              <w:rPr>
                <w:rFonts w:eastAsia="Sorts Mill Goudy"/>
                <w:color w:val="000000" w:themeColor="text1"/>
                <w:sz w:val="22"/>
                <w:szCs w:val="22"/>
              </w:rPr>
              <w:t xml:space="preserve"> of inputs imported</w:t>
            </w:r>
          </w:p>
        </w:tc>
        <w:tc>
          <w:tcPr>
            <w:tcW w:w="1401" w:type="dxa"/>
            <w:vAlign w:val="center"/>
          </w:tcPr>
          <w:p w14:paraId="471207FB"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APIs, blister foils, capsules, stabilizers</w:t>
            </w:r>
          </w:p>
        </w:tc>
        <w:tc>
          <w:tcPr>
            <w:tcW w:w="1463" w:type="dxa"/>
            <w:vAlign w:val="center"/>
          </w:tcPr>
          <w:p w14:paraId="19C8FBE2"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Limited excipients, some packaging</w:t>
            </w:r>
          </w:p>
        </w:tc>
        <w:tc>
          <w:tcPr>
            <w:tcW w:w="877" w:type="dxa"/>
            <w:vAlign w:val="center"/>
          </w:tcPr>
          <w:p w14:paraId="4E73BC75"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6–12 weeks</w:t>
            </w:r>
          </w:p>
        </w:tc>
        <w:tc>
          <w:tcPr>
            <w:tcW w:w="1373" w:type="dxa"/>
            <w:vAlign w:val="center"/>
          </w:tcPr>
          <w:p w14:paraId="4911A68D"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FX volatility, customs delays, LC issuance</w:t>
            </w:r>
          </w:p>
        </w:tc>
        <w:tc>
          <w:tcPr>
            <w:tcW w:w="1704" w:type="dxa"/>
            <w:vAlign w:val="center"/>
          </w:tcPr>
          <w:p w14:paraId="452F4517"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40–60% capacity utilization; batch delays due to API arrival</w:t>
            </w:r>
          </w:p>
        </w:tc>
      </w:tr>
      <w:tr w:rsidR="00CB3D28" w:rsidRPr="00C20947" w14:paraId="20117C7F" w14:textId="77777777" w:rsidTr="004B74FE">
        <w:tc>
          <w:tcPr>
            <w:tcW w:w="1194" w:type="dxa"/>
            <w:vAlign w:val="center"/>
          </w:tcPr>
          <w:p w14:paraId="0F41CE3C"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APIs</w:t>
            </w:r>
          </w:p>
        </w:tc>
        <w:tc>
          <w:tcPr>
            <w:tcW w:w="1348" w:type="dxa"/>
            <w:vAlign w:val="center"/>
          </w:tcPr>
          <w:p w14:paraId="6A918E2A"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~100%</w:t>
            </w:r>
            <w:r w:rsidRPr="00C20947">
              <w:rPr>
                <w:rFonts w:eastAsia="Sorts Mill Goudy"/>
                <w:color w:val="000000" w:themeColor="text1"/>
                <w:sz w:val="22"/>
                <w:szCs w:val="22"/>
              </w:rPr>
              <w:t xml:space="preserve"> import dependence</w:t>
            </w:r>
          </w:p>
        </w:tc>
        <w:tc>
          <w:tcPr>
            <w:tcW w:w="1401" w:type="dxa"/>
            <w:vAlign w:val="center"/>
          </w:tcPr>
          <w:p w14:paraId="6D07CE33"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Chemical precursors, catalysts, solvents, lab reagents</w:t>
            </w:r>
          </w:p>
        </w:tc>
        <w:tc>
          <w:tcPr>
            <w:tcW w:w="1463" w:type="dxa"/>
            <w:vAlign w:val="center"/>
          </w:tcPr>
          <w:p w14:paraId="5F7E7EC6"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None</w:t>
            </w:r>
          </w:p>
        </w:tc>
        <w:tc>
          <w:tcPr>
            <w:tcW w:w="877" w:type="dxa"/>
            <w:vAlign w:val="center"/>
          </w:tcPr>
          <w:p w14:paraId="12D262B3"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8–16 weeks</w:t>
            </w:r>
          </w:p>
        </w:tc>
        <w:tc>
          <w:tcPr>
            <w:tcW w:w="1373" w:type="dxa"/>
            <w:vAlign w:val="center"/>
          </w:tcPr>
          <w:p w14:paraId="2C212EAB"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 domestic precursor supply; high cost of import</w:t>
            </w:r>
          </w:p>
        </w:tc>
        <w:tc>
          <w:tcPr>
            <w:tcW w:w="1704" w:type="dxa"/>
            <w:vAlign w:val="center"/>
          </w:tcPr>
          <w:p w14:paraId="10080E19"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 commercial-scale production; stalled pilot trials</w:t>
            </w:r>
          </w:p>
        </w:tc>
      </w:tr>
      <w:tr w:rsidR="00CB3D28" w:rsidRPr="00C20947" w14:paraId="4ADB32CC" w14:textId="77777777" w:rsidTr="004B74FE">
        <w:tc>
          <w:tcPr>
            <w:tcW w:w="1194" w:type="dxa"/>
            <w:vAlign w:val="center"/>
          </w:tcPr>
          <w:p w14:paraId="59E1DC71"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RDTs</w:t>
            </w:r>
          </w:p>
        </w:tc>
        <w:tc>
          <w:tcPr>
            <w:tcW w:w="1348" w:type="dxa"/>
            <w:vAlign w:val="center"/>
          </w:tcPr>
          <w:p w14:paraId="48D2BFC1"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t>~100%</w:t>
            </w:r>
            <w:r w:rsidRPr="00C20947">
              <w:rPr>
                <w:rFonts w:eastAsia="Sorts Mill Goudy"/>
                <w:color w:val="000000" w:themeColor="text1"/>
                <w:sz w:val="22"/>
                <w:szCs w:val="22"/>
              </w:rPr>
              <w:t xml:space="preserve"> import dependence</w:t>
            </w:r>
          </w:p>
        </w:tc>
        <w:tc>
          <w:tcPr>
            <w:tcW w:w="1401" w:type="dxa"/>
            <w:vAlign w:val="center"/>
          </w:tcPr>
          <w:p w14:paraId="58132DBF"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Membranes, antibodies, conjugates, buffers, cassettes</w:t>
            </w:r>
          </w:p>
        </w:tc>
        <w:tc>
          <w:tcPr>
            <w:tcW w:w="1463" w:type="dxa"/>
            <w:vAlign w:val="center"/>
          </w:tcPr>
          <w:p w14:paraId="72CEE208"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Minimal (secondary packaging)</w:t>
            </w:r>
          </w:p>
        </w:tc>
        <w:tc>
          <w:tcPr>
            <w:tcW w:w="877" w:type="dxa"/>
            <w:vAlign w:val="center"/>
          </w:tcPr>
          <w:p w14:paraId="05C25175"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8–12 weeks</w:t>
            </w:r>
          </w:p>
        </w:tc>
        <w:tc>
          <w:tcPr>
            <w:tcW w:w="1373" w:type="dxa"/>
            <w:vAlign w:val="center"/>
          </w:tcPr>
          <w:p w14:paraId="0ABBB56C"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“Sensitive goods” clearance delays; reagent expiry risks</w:t>
            </w:r>
          </w:p>
        </w:tc>
        <w:tc>
          <w:tcPr>
            <w:tcW w:w="1704" w:type="dxa"/>
            <w:vAlign w:val="center"/>
          </w:tcPr>
          <w:p w14:paraId="5E2BA163"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Production stoppages; limited scale-up despite facility readiness</w:t>
            </w:r>
          </w:p>
        </w:tc>
      </w:tr>
      <w:tr w:rsidR="00CB3D28" w:rsidRPr="00C20947" w14:paraId="12559D59" w14:textId="77777777" w:rsidTr="004B74FE">
        <w:tc>
          <w:tcPr>
            <w:tcW w:w="1194" w:type="dxa"/>
            <w:vAlign w:val="center"/>
          </w:tcPr>
          <w:p w14:paraId="5638A229"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b/>
                <w:bCs/>
                <w:color w:val="000000" w:themeColor="text1"/>
                <w:sz w:val="22"/>
                <w:szCs w:val="22"/>
              </w:rPr>
              <w:lastRenderedPageBreak/>
              <w:t>LLINs</w:t>
            </w:r>
          </w:p>
        </w:tc>
        <w:tc>
          <w:tcPr>
            <w:tcW w:w="1348" w:type="dxa"/>
            <w:vAlign w:val="center"/>
          </w:tcPr>
          <w:p w14:paraId="55B1E7DE"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60–90% depending on process level</w:t>
            </w:r>
          </w:p>
        </w:tc>
        <w:tc>
          <w:tcPr>
            <w:tcW w:w="1401" w:type="dxa"/>
            <w:vAlign w:val="center"/>
          </w:tcPr>
          <w:p w14:paraId="25191BD9"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Specialized PP pellets, UV stabilizers, insecticides</w:t>
            </w:r>
          </w:p>
        </w:tc>
        <w:tc>
          <w:tcPr>
            <w:tcW w:w="1463" w:type="dxa"/>
            <w:vAlign w:val="center"/>
          </w:tcPr>
          <w:p w14:paraId="4F4E1266"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Basic PP resin from petrochemical firms</w:t>
            </w:r>
          </w:p>
        </w:tc>
        <w:tc>
          <w:tcPr>
            <w:tcW w:w="877" w:type="dxa"/>
            <w:vAlign w:val="center"/>
          </w:tcPr>
          <w:p w14:paraId="0124A03C"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12–20 weeks</w:t>
            </w:r>
          </w:p>
        </w:tc>
        <w:tc>
          <w:tcPr>
            <w:tcW w:w="1373" w:type="dxa"/>
            <w:vAlign w:val="center"/>
          </w:tcPr>
          <w:p w14:paraId="7523D4B7"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No domestic grades for LLIN yarn; foreign lab delays</w:t>
            </w:r>
          </w:p>
        </w:tc>
        <w:tc>
          <w:tcPr>
            <w:tcW w:w="1704" w:type="dxa"/>
            <w:vAlign w:val="center"/>
          </w:tcPr>
          <w:p w14:paraId="7AA47627" w14:textId="77777777" w:rsidR="00CB3D28" w:rsidRPr="00C20947" w:rsidRDefault="00CB3D28" w:rsidP="004B74FE">
            <w:pPr>
              <w:spacing w:before="120" w:line="240" w:lineRule="auto"/>
              <w:rPr>
                <w:rFonts w:eastAsia="Sorts Mill Goudy"/>
                <w:color w:val="000000" w:themeColor="text1"/>
                <w:sz w:val="22"/>
                <w:szCs w:val="22"/>
              </w:rPr>
            </w:pPr>
            <w:r w:rsidRPr="00C20947">
              <w:rPr>
                <w:rFonts w:eastAsia="Sorts Mill Goudy"/>
                <w:color w:val="000000" w:themeColor="text1"/>
                <w:sz w:val="22"/>
                <w:szCs w:val="22"/>
              </w:rPr>
              <w:t>Manufacturing stalls; PQ documentation gaps; low utilization (&lt;40%)</w:t>
            </w:r>
          </w:p>
        </w:tc>
      </w:tr>
    </w:tbl>
    <w:p w14:paraId="58EB14EB" w14:textId="77777777" w:rsidR="001038E2" w:rsidRPr="00C20947" w:rsidRDefault="001038E2" w:rsidP="00B633A5">
      <w:pPr>
        <w:pBdr>
          <w:top w:val="nil"/>
          <w:left w:val="nil"/>
          <w:bottom w:val="nil"/>
          <w:right w:val="nil"/>
          <w:between w:val="nil"/>
        </w:pBdr>
        <w:spacing w:before="120" w:after="120" w:line="240" w:lineRule="auto"/>
        <w:rPr>
          <w:rFonts w:ascii="Times" w:eastAsia="Sorts Mill Goudy" w:hAnsi="Times" w:cs="Times"/>
          <w:color w:val="000000" w:themeColor="text1"/>
        </w:rPr>
      </w:pPr>
    </w:p>
    <w:sectPr w:rsidR="001038E2" w:rsidRPr="00C2094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E9E315-5791-4729-A868-FEAA89CD35E1}"/>
    <w:embedBold r:id="rId2" w:fontKey="{EEE0984A-7C6F-4FE9-BACD-D300AAED434C}"/>
    <w:embedItalic r:id="rId3" w:fontKey="{9FDBC557-F30A-40D6-89EF-6E9ED7A83C8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5B36F87E-A4C1-4DEC-A9E8-64BC419EDDCD}"/>
    <w:embedItalic r:id="rId5" w:fontKey="{0B578ED1-2E8A-405E-95D0-D1165D041887}"/>
  </w:font>
  <w:font w:name="Times">
    <w:panose1 w:val="02020603050405020304"/>
    <w:charset w:val="00"/>
    <w:family w:val="roman"/>
    <w:pitch w:val="variable"/>
    <w:sig w:usb0="E0002EFF" w:usb1="C000785B" w:usb2="00000009" w:usb3="00000000" w:csb0="000001FF" w:csb1="00000000"/>
    <w:embedRegular r:id="rId6" w:fontKey="{46D69C07-270B-45B8-8B66-449AA637A040}"/>
    <w:embedBold r:id="rId7" w:fontKey="{AA7F5C28-DA3D-4BFF-AF8D-824639F87106}"/>
    <w:embedItalic r:id="rId8" w:fontKey="{8A4F221E-AE10-4B76-AF75-17E075F48E9D}"/>
  </w:font>
  <w:font w:name="Georgia">
    <w:panose1 w:val="02040502050405020303"/>
    <w:charset w:val="00"/>
    <w:family w:val="roman"/>
    <w:pitch w:val="variable"/>
    <w:sig w:usb0="00000287" w:usb1="00000000" w:usb2="00000000" w:usb3="00000000" w:csb0="0000009F" w:csb1="00000000"/>
    <w:embedItalic r:id="rId9" w:fontKey="{A4DD173E-B029-4466-8C19-35EBAA3A72BD}"/>
  </w:font>
  <w:font w:name="Sorts Mill Goudy">
    <w:charset w:val="00"/>
    <w:family w:val="auto"/>
    <w:pitch w:val="default"/>
    <w:embedRegular r:id="rId10" w:fontKey="{E6A81764-AEB4-4214-A7C0-EA7532FBA813}"/>
    <w:embedBold r:id="rId11" w:fontKey="{C3B93FE6-6234-4F8F-92BC-19041A2F65CD}"/>
    <w:embedItalic r:id="rId12" w:fontKey="{04CF74C9-6511-4948-A297-7AF7D4F35F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07978"/>
    <w:multiLevelType w:val="multilevel"/>
    <w:tmpl w:val="6CDA7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CD7F95"/>
    <w:multiLevelType w:val="multilevel"/>
    <w:tmpl w:val="AF420D3C"/>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58BD0911"/>
    <w:multiLevelType w:val="hybridMultilevel"/>
    <w:tmpl w:val="12522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F32A3F"/>
    <w:multiLevelType w:val="multilevel"/>
    <w:tmpl w:val="F2E86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C455061"/>
    <w:multiLevelType w:val="multilevel"/>
    <w:tmpl w:val="CEB46452"/>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DE2"/>
    <w:rsid w:val="00010B31"/>
    <w:rsid w:val="0001255E"/>
    <w:rsid w:val="0002566F"/>
    <w:rsid w:val="00031F4F"/>
    <w:rsid w:val="00032028"/>
    <w:rsid w:val="000517E8"/>
    <w:rsid w:val="00052C3E"/>
    <w:rsid w:val="00055FC5"/>
    <w:rsid w:val="00061524"/>
    <w:rsid w:val="000962E6"/>
    <w:rsid w:val="000F5303"/>
    <w:rsid w:val="001038E2"/>
    <w:rsid w:val="001151DB"/>
    <w:rsid w:val="001405BD"/>
    <w:rsid w:val="00142B56"/>
    <w:rsid w:val="00147320"/>
    <w:rsid w:val="00184FE1"/>
    <w:rsid w:val="0019394C"/>
    <w:rsid w:val="001B045E"/>
    <w:rsid w:val="001C4A4F"/>
    <w:rsid w:val="001F018E"/>
    <w:rsid w:val="001F43F0"/>
    <w:rsid w:val="00205F11"/>
    <w:rsid w:val="0022714A"/>
    <w:rsid w:val="002354D6"/>
    <w:rsid w:val="00250AA5"/>
    <w:rsid w:val="0027334C"/>
    <w:rsid w:val="00273C2C"/>
    <w:rsid w:val="00280DE0"/>
    <w:rsid w:val="00286F87"/>
    <w:rsid w:val="002A15E3"/>
    <w:rsid w:val="002B555F"/>
    <w:rsid w:val="002C67BE"/>
    <w:rsid w:val="002E4191"/>
    <w:rsid w:val="00334B6F"/>
    <w:rsid w:val="003365A8"/>
    <w:rsid w:val="003445C9"/>
    <w:rsid w:val="0035570E"/>
    <w:rsid w:val="00357DE2"/>
    <w:rsid w:val="00367939"/>
    <w:rsid w:val="00411419"/>
    <w:rsid w:val="00431A9A"/>
    <w:rsid w:val="00480EF5"/>
    <w:rsid w:val="00491D09"/>
    <w:rsid w:val="00492370"/>
    <w:rsid w:val="004A74C2"/>
    <w:rsid w:val="004C2390"/>
    <w:rsid w:val="004C5FD3"/>
    <w:rsid w:val="00536524"/>
    <w:rsid w:val="0054048F"/>
    <w:rsid w:val="0054447D"/>
    <w:rsid w:val="00577A53"/>
    <w:rsid w:val="0058187B"/>
    <w:rsid w:val="006070AE"/>
    <w:rsid w:val="006328B3"/>
    <w:rsid w:val="006758F6"/>
    <w:rsid w:val="006852D9"/>
    <w:rsid w:val="006D18DC"/>
    <w:rsid w:val="006F1E69"/>
    <w:rsid w:val="007161E6"/>
    <w:rsid w:val="007349C9"/>
    <w:rsid w:val="00760A3C"/>
    <w:rsid w:val="00767C28"/>
    <w:rsid w:val="007935AE"/>
    <w:rsid w:val="007A0C9E"/>
    <w:rsid w:val="007A6F56"/>
    <w:rsid w:val="007C1E79"/>
    <w:rsid w:val="007C3AAE"/>
    <w:rsid w:val="007C6FB5"/>
    <w:rsid w:val="007D77E6"/>
    <w:rsid w:val="007E3BE2"/>
    <w:rsid w:val="008001F0"/>
    <w:rsid w:val="00860588"/>
    <w:rsid w:val="00864196"/>
    <w:rsid w:val="00867E54"/>
    <w:rsid w:val="008B243B"/>
    <w:rsid w:val="008C5E88"/>
    <w:rsid w:val="008D594E"/>
    <w:rsid w:val="008E559A"/>
    <w:rsid w:val="009119F6"/>
    <w:rsid w:val="00927DF9"/>
    <w:rsid w:val="00947198"/>
    <w:rsid w:val="0097113A"/>
    <w:rsid w:val="0097188D"/>
    <w:rsid w:val="00987911"/>
    <w:rsid w:val="00994878"/>
    <w:rsid w:val="009B00B9"/>
    <w:rsid w:val="009B6374"/>
    <w:rsid w:val="009E0B6B"/>
    <w:rsid w:val="009F7946"/>
    <w:rsid w:val="00A0182E"/>
    <w:rsid w:val="00A07FE7"/>
    <w:rsid w:val="00A15C32"/>
    <w:rsid w:val="00A400AA"/>
    <w:rsid w:val="00A40DF3"/>
    <w:rsid w:val="00A749D3"/>
    <w:rsid w:val="00A74CBB"/>
    <w:rsid w:val="00AC6A1D"/>
    <w:rsid w:val="00AE6DCE"/>
    <w:rsid w:val="00AF4DF5"/>
    <w:rsid w:val="00B03346"/>
    <w:rsid w:val="00B633A5"/>
    <w:rsid w:val="00B8585F"/>
    <w:rsid w:val="00BB1F79"/>
    <w:rsid w:val="00BB4E09"/>
    <w:rsid w:val="00C05952"/>
    <w:rsid w:val="00C06A29"/>
    <w:rsid w:val="00C20947"/>
    <w:rsid w:val="00C44F68"/>
    <w:rsid w:val="00C50CFD"/>
    <w:rsid w:val="00C967D4"/>
    <w:rsid w:val="00CA40D3"/>
    <w:rsid w:val="00CB3D28"/>
    <w:rsid w:val="00CD5F5B"/>
    <w:rsid w:val="00CD7C33"/>
    <w:rsid w:val="00D005F8"/>
    <w:rsid w:val="00D01534"/>
    <w:rsid w:val="00D04EF7"/>
    <w:rsid w:val="00D0767E"/>
    <w:rsid w:val="00D10342"/>
    <w:rsid w:val="00D278A7"/>
    <w:rsid w:val="00D529D5"/>
    <w:rsid w:val="00D574D1"/>
    <w:rsid w:val="00D74A79"/>
    <w:rsid w:val="00D80D8D"/>
    <w:rsid w:val="00D85FF1"/>
    <w:rsid w:val="00DA0F27"/>
    <w:rsid w:val="00DA305F"/>
    <w:rsid w:val="00DD3361"/>
    <w:rsid w:val="00DD6CA5"/>
    <w:rsid w:val="00DE2092"/>
    <w:rsid w:val="00E05307"/>
    <w:rsid w:val="00E31C96"/>
    <w:rsid w:val="00E34E92"/>
    <w:rsid w:val="00E5039E"/>
    <w:rsid w:val="00E675BE"/>
    <w:rsid w:val="00E91319"/>
    <w:rsid w:val="00EA19B0"/>
    <w:rsid w:val="00ED3144"/>
    <w:rsid w:val="00F02D67"/>
    <w:rsid w:val="00F12D7F"/>
    <w:rsid w:val="00F202A8"/>
    <w:rsid w:val="00F30C67"/>
    <w:rsid w:val="00F5473E"/>
    <w:rsid w:val="00F7354A"/>
    <w:rsid w:val="00FC12A4"/>
    <w:rsid w:val="00FD0753"/>
    <w:rsid w:val="00FE4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58ECC"/>
  <w15:docId w15:val="{92E67C90-FBD3-435E-B9FA-2D13FCA6A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pPr>
      <w:keepNext/>
      <w:keepLines/>
      <w:spacing w:before="40" w:after="0"/>
      <w:outlineLvl w:val="3"/>
    </w:pPr>
    <w:rPr>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F577B2"/>
    <w:pPr>
      <w:ind w:left="720"/>
      <w:contextualSpacing/>
    </w:pPr>
  </w:style>
  <w:style w:type="paragraph" w:styleId="NormalWeb">
    <w:name w:val="Normal (Web)"/>
    <w:basedOn w:val="Normal"/>
    <w:uiPriority w:val="99"/>
    <w:unhideWhenUsed/>
    <w:rsid w:val="00FE586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aliases w:val="g-bold,strong,bold"/>
    <w:basedOn w:val="DefaultParagraphFont"/>
    <w:uiPriority w:val="22"/>
    <w:qFormat/>
    <w:rsid w:val="00FE586F"/>
    <w:rPr>
      <w:b/>
      <w:bCs/>
    </w:rPr>
  </w:style>
  <w:style w:type="character" w:styleId="Hyperlink">
    <w:name w:val="Hyperlink"/>
    <w:basedOn w:val="DefaultParagraphFont"/>
    <w:uiPriority w:val="99"/>
    <w:unhideWhenUsed/>
    <w:rsid w:val="00FE586F"/>
    <w:rPr>
      <w:color w:val="0000FF"/>
      <w:u w:val="single"/>
    </w:rPr>
  </w:style>
  <w:style w:type="character" w:styleId="Emphasis">
    <w:name w:val="Emphasis"/>
    <w:basedOn w:val="DefaultParagraphFont"/>
    <w:uiPriority w:val="20"/>
    <w:qFormat/>
    <w:rsid w:val="009E7083"/>
    <w:rPr>
      <w:i/>
      <w:iCs/>
    </w:rPr>
  </w:style>
  <w:style w:type="character" w:styleId="CommentReference">
    <w:name w:val="annotation reference"/>
    <w:basedOn w:val="DefaultParagraphFont"/>
    <w:uiPriority w:val="99"/>
    <w:semiHidden/>
    <w:unhideWhenUsed/>
    <w:rsid w:val="00F86D53"/>
    <w:rPr>
      <w:sz w:val="16"/>
      <w:szCs w:val="16"/>
    </w:rPr>
  </w:style>
  <w:style w:type="paragraph" w:styleId="CommentText">
    <w:name w:val="annotation text"/>
    <w:basedOn w:val="Normal"/>
    <w:link w:val="CommentTextChar"/>
    <w:uiPriority w:val="99"/>
    <w:unhideWhenUsed/>
    <w:rsid w:val="00F86D53"/>
    <w:pPr>
      <w:spacing w:line="240" w:lineRule="auto"/>
    </w:pPr>
    <w:rPr>
      <w:sz w:val="20"/>
      <w:szCs w:val="20"/>
    </w:rPr>
  </w:style>
  <w:style w:type="character" w:customStyle="1" w:styleId="CommentTextChar">
    <w:name w:val="Comment Text Char"/>
    <w:basedOn w:val="DefaultParagraphFont"/>
    <w:link w:val="CommentText"/>
    <w:uiPriority w:val="99"/>
    <w:rsid w:val="00F86D53"/>
    <w:rPr>
      <w:sz w:val="20"/>
      <w:szCs w:val="20"/>
    </w:rPr>
  </w:style>
  <w:style w:type="paragraph" w:styleId="z-TopofForm">
    <w:name w:val="HTML Top of Form"/>
    <w:basedOn w:val="Normal"/>
    <w:next w:val="Normal"/>
    <w:link w:val="z-TopofFormChar"/>
    <w:hidden/>
    <w:uiPriority w:val="99"/>
    <w:semiHidden/>
    <w:unhideWhenUsed/>
    <w:rsid w:val="00C1677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16779"/>
    <w:rPr>
      <w:rFonts w:ascii="Arial" w:eastAsia="Times New Roman" w:hAnsi="Arial" w:cs="Arial"/>
      <w:vanish/>
      <w:kern w:val="0"/>
      <w:sz w:val="16"/>
      <w:szCs w:val="16"/>
    </w:rPr>
  </w:style>
  <w:style w:type="character" w:customStyle="1" w:styleId="Heading2Char">
    <w:name w:val="Heading 2 Char"/>
    <w:basedOn w:val="DefaultParagraphFont"/>
    <w:link w:val="Heading2"/>
    <w:uiPriority w:val="9"/>
    <w:rsid w:val="00ED3226"/>
    <w:rPr>
      <w:rFonts w:ascii="Times New Roman" w:eastAsia="Times New Roman" w:hAnsi="Times New Roman" w:cs="Times New Roman"/>
      <w:b/>
      <w:bCs/>
      <w:kern w:val="0"/>
      <w:sz w:val="36"/>
      <w:szCs w:val="36"/>
    </w:rPr>
  </w:style>
  <w:style w:type="character" w:customStyle="1" w:styleId="Heading3Char">
    <w:name w:val="Heading 3 Char"/>
    <w:basedOn w:val="DefaultParagraphFont"/>
    <w:link w:val="Heading3"/>
    <w:uiPriority w:val="9"/>
    <w:rsid w:val="00ED3226"/>
    <w:rPr>
      <w:rFonts w:ascii="Times New Roman" w:eastAsia="Times New Roman" w:hAnsi="Times New Roman" w:cs="Times New Roman"/>
      <w:b/>
      <w:bCs/>
      <w:kern w:val="0"/>
      <w:sz w:val="27"/>
      <w:szCs w:val="27"/>
    </w:rPr>
  </w:style>
  <w:style w:type="paragraph" w:styleId="Revision">
    <w:name w:val="Revision"/>
    <w:hidden/>
    <w:uiPriority w:val="99"/>
    <w:semiHidden/>
    <w:rsid w:val="00765BB0"/>
    <w:pPr>
      <w:spacing w:after="0" w:line="240" w:lineRule="auto"/>
    </w:pPr>
  </w:style>
  <w:style w:type="table" w:styleId="GridTable1Light-Accent2">
    <w:name w:val="Grid Table 1 Light Accent 2"/>
    <w:basedOn w:val="TableNormal"/>
    <w:uiPriority w:val="46"/>
    <w:rsid w:val="00642D8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761954"/>
    <w:rPr>
      <w:rFonts w:asciiTheme="majorHAnsi" w:eastAsiaTheme="majorEastAsia" w:hAnsiTheme="majorHAnsi" w:cstheme="majorBidi"/>
      <w:i/>
      <w:iCs/>
      <w:color w:val="2F5496" w:themeColor="accent1" w:themeShade="BF"/>
    </w:rPr>
  </w:style>
  <w:style w:type="paragraph" w:styleId="CommentSubject">
    <w:name w:val="annotation subject"/>
    <w:basedOn w:val="CommentText"/>
    <w:next w:val="CommentText"/>
    <w:link w:val="CommentSubjectChar"/>
    <w:uiPriority w:val="99"/>
    <w:semiHidden/>
    <w:unhideWhenUsed/>
    <w:rsid w:val="00FE776B"/>
    <w:rPr>
      <w:b/>
      <w:bCs/>
    </w:rPr>
  </w:style>
  <w:style w:type="character" w:customStyle="1" w:styleId="CommentSubjectChar">
    <w:name w:val="Comment Subject Char"/>
    <w:basedOn w:val="CommentTextChar"/>
    <w:link w:val="CommentSubject"/>
    <w:uiPriority w:val="99"/>
    <w:semiHidden/>
    <w:rsid w:val="00FE776B"/>
    <w:rPr>
      <w:b/>
      <w:bCs/>
      <w:sz w:val="20"/>
      <w:szCs w:val="20"/>
    </w:rPr>
  </w:style>
  <w:style w:type="character" w:styleId="UnresolvedMention">
    <w:name w:val="Unresolved Mention"/>
    <w:basedOn w:val="DefaultParagraphFont"/>
    <w:uiPriority w:val="99"/>
    <w:semiHidden/>
    <w:unhideWhenUsed/>
    <w:rsid w:val="00557D31"/>
    <w:rPr>
      <w:color w:val="605E5C"/>
      <w:shd w:val="clear" w:color="auto" w:fill="E1DFDD"/>
    </w:rPr>
  </w:style>
  <w:style w:type="character" w:customStyle="1" w:styleId="Heading1Char">
    <w:name w:val="Heading 1 Char"/>
    <w:basedOn w:val="DefaultParagraphFont"/>
    <w:link w:val="Heading1"/>
    <w:uiPriority w:val="9"/>
    <w:rsid w:val="00EE1B7C"/>
    <w:rPr>
      <w:rFonts w:asciiTheme="majorHAnsi" w:eastAsiaTheme="majorEastAsia" w:hAnsiTheme="majorHAnsi" w:cstheme="majorBidi"/>
      <w:color w:val="2F5496" w:themeColor="accent1" w:themeShade="BF"/>
      <w:kern w:val="0"/>
      <w:sz w:val="32"/>
      <w:szCs w:val="32"/>
    </w:rPr>
  </w:style>
  <w:style w:type="table" w:customStyle="1" w:styleId="TableList31">
    <w:name w:val="Table List 31"/>
    <w:basedOn w:val="TableNormal"/>
    <w:next w:val="TableList3"/>
    <w:rsid w:val="00DD0F01"/>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New Roman" w:hAnsi="Times"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D0F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Caption">
    <w:name w:val="caption"/>
    <w:basedOn w:val="Normal"/>
    <w:next w:val="Normal"/>
    <w:uiPriority w:val="35"/>
    <w:unhideWhenUsed/>
    <w:qFormat/>
    <w:rsid w:val="00DD0F01"/>
    <w:pPr>
      <w:spacing w:after="200" w:line="240" w:lineRule="auto"/>
    </w:pPr>
    <w:rPr>
      <w:i/>
      <w:iCs/>
      <w:color w:val="44546A" w:themeColor="text2"/>
      <w:sz w:val="18"/>
      <w:szCs w:val="18"/>
    </w:rPr>
  </w:style>
  <w:style w:type="table" w:customStyle="1" w:styleId="a">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0">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1">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2">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3">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4">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5">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6">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8">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9">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a">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b">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c">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d">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ae">
    <w:basedOn w:val="TableNormal"/>
    <w:pPr>
      <w:tabs>
        <w:tab w:val="left" w:pos="567"/>
        <w:tab w:val="left" w:pos="851"/>
        <w:tab w:val="left" w:pos="1134"/>
        <w:tab w:val="left" w:pos="2268"/>
        <w:tab w:val="left" w:pos="3402"/>
        <w:tab w:val="left" w:pos="4536"/>
        <w:tab w:val="left" w:pos="5670"/>
        <w:tab w:val="left" w:pos="6804"/>
        <w:tab w:val="right" w:pos="7938"/>
      </w:tabs>
      <w:spacing w:after="120" w:line="276" w:lineRule="auto"/>
    </w:pPr>
    <w:rPr>
      <w:rFonts w:ascii="Times" w:eastAsia="Times" w:hAnsi="Times" w:cs="Times"/>
      <w:sz w:val="20"/>
      <w:szCs w:val="20"/>
    </w:rPr>
    <w:tblPr>
      <w:tblStyleRowBandSize w:val="1"/>
      <w:tblStyleColBandSize w:val="1"/>
      <w:tblCellMar>
        <w:left w:w="115" w:type="dxa"/>
        <w:right w:w="115"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paragraph" w:styleId="Bibliography">
    <w:name w:val="Bibliography"/>
    <w:basedOn w:val="Normal"/>
    <w:next w:val="Normal"/>
    <w:uiPriority w:val="37"/>
    <w:unhideWhenUsed/>
    <w:rsid w:val="0022714A"/>
    <w:pPr>
      <w:spacing w:after="0" w:line="480" w:lineRule="auto"/>
      <w:ind w:left="720" w:hanging="720"/>
    </w:pPr>
  </w:style>
  <w:style w:type="table" w:styleId="GridTable1Light">
    <w:name w:val="Grid Table 1 Light"/>
    <w:basedOn w:val="TableNormal"/>
    <w:uiPriority w:val="46"/>
    <w:rsid w:val="00C20947"/>
    <w:pPr>
      <w:spacing w:after="0" w:line="240" w:lineRule="auto"/>
    </w:pPr>
    <w:rPr>
      <w:rFonts w:asciiTheme="minorHAnsi" w:eastAsiaTheme="minorHAnsi" w:hAnsiTheme="minorHAnsi" w:cstheme="minorBidi"/>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142B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620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u.int/en/african-continental-free-trade-area?utm_source" TargetMode="External"/><Relationship Id="rId18" Type="http://schemas.openxmlformats.org/officeDocument/2006/relationships/hyperlink" Target="https://doi.org/10.1016/S0140-6736(16)32121-3" TargetMode="External"/><Relationship Id="rId26" Type="http://schemas.openxmlformats.org/officeDocument/2006/relationships/hyperlink" Target="https://www.oecd.org/en/publications/2021/07/strengthening-economic-resilience-following-the-covid-19-crisis_60546584.html" TargetMode="External"/><Relationship Id="rId39" Type="http://schemas.openxmlformats.org/officeDocument/2006/relationships/hyperlink" Target="https://archive.uneca.org/sites/default/files/PublicationFiles/review_of_policies_and_strategies_for_the_pharmaceutical_production_sector_en.pdf" TargetMode="External"/><Relationship Id="rId21" Type="http://schemas.openxmlformats.org/officeDocument/2006/relationships/hyperlink" Target="https://doi.org/10.1093/heapol/czy065" TargetMode="External"/><Relationship Id="rId34" Type="http://schemas.openxmlformats.org/officeDocument/2006/relationships/hyperlink" Target="https://www.theglobalfund.org/en/Results/" TargetMode="External"/><Relationship Id="rId42" Type="http://schemas.openxmlformats.org/officeDocument/2006/relationships/hyperlink" Target="https://www.unido.org/sites/default/files/unido-publications/2023-02/UNIDO_AR2021_EN.pdf?utm_source" TargetMode="External"/><Relationship Id="rId47" Type="http://schemas.openxmlformats.org/officeDocument/2006/relationships/hyperlink" Target="https://www.who.int/publications/i/item/9789240008267" TargetMode="External"/><Relationship Id="rId50" Type="http://schemas.openxmlformats.org/officeDocument/2006/relationships/hyperlink" Target="https://www.who.int/publications/m/item/trs986-annex2"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oi.org/10.1371/journal.pone.0217910" TargetMode="External"/><Relationship Id="rId29" Type="http://schemas.openxmlformats.org/officeDocument/2006/relationships/hyperlink" Target="https://stacks.cdc.gov/view/cdc/127722" TargetMode="External"/><Relationship Id="rId11" Type="http://schemas.openxmlformats.org/officeDocument/2006/relationships/hyperlink" Target="https://doi.org/10.1186/s13731-021-00177-1" TargetMode="External"/><Relationship Id="rId24" Type="http://schemas.openxmlformats.org/officeDocument/2006/relationships/hyperlink" Target="https://doi.org/10.1787/2e3b97fd-en" TargetMode="External"/><Relationship Id="rId32" Type="http://schemas.openxmlformats.org/officeDocument/2006/relationships/hyperlink" Target="http://ijdra.com/index.php/journal/article/view/471" TargetMode="External"/><Relationship Id="rId37" Type="http://schemas.openxmlformats.org/officeDocument/2006/relationships/hyperlink" Target="https://unctad.org/system/files/official-document/diae2024d5_en.pdf" TargetMode="External"/><Relationship Id="rId40" Type="http://schemas.openxmlformats.org/officeDocument/2006/relationships/hyperlink" Target="https://www.unido.org/sites/default/files/files/2019-10/PHARMACEUTICAL_INDUSTRY_IN_SUB-SAHARAN_AFRICA_Guide_Book.pdf" TargetMode="External"/><Relationship Id="rId45" Type="http://schemas.openxmlformats.org/officeDocument/2006/relationships/hyperlink" Target="https://www.wahooas.org/web-ooas/en/projets/wa-mrh-west-africa-medicines-regulatory-harmonization-project"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hyperlink" Target="https://fmohconnect.gov.ng/wp-content/uploads/2025/05/The-State-of-Health-of-the-Nation-Report-2024.pdf" TargetMode="External"/><Relationship Id="rId31" Type="http://schemas.openxmlformats.org/officeDocument/2006/relationships/hyperlink" Target="https://doi.org/10.15252/emmm.202216287" TargetMode="External"/><Relationship Id="rId44" Type="http://schemas.openxmlformats.org/officeDocument/2006/relationships/hyperlink" Target="https://www.who.int/publications/i/item/9789240020245"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afdb.org/sites/default/files/documents/publications/afdb_annual_report_2021_main_eng1.pdf?utm_source" TargetMode="External"/><Relationship Id="rId22" Type="http://schemas.openxmlformats.org/officeDocument/2006/relationships/hyperlink" Target="https://doi.org/10.2147/JMDH.S448654" TargetMode="External"/><Relationship Id="rId27" Type="http://schemas.openxmlformats.org/officeDocument/2006/relationships/hyperlink" Target="https://www.path.org/our-impact/resources/market-failures-and-opportunities-for-increasing-access-to-diagnostics-in-low-and-middle-income-countries/" TargetMode="External"/><Relationship Id="rId30" Type="http://schemas.openxmlformats.org/officeDocument/2006/relationships/hyperlink" Target="https://pvac.gov.ng/about-us/" TargetMode="External"/><Relationship Id="rId35" Type="http://schemas.openxmlformats.org/officeDocument/2006/relationships/hyperlink" Target="https://archive.theglobalfund.org/media/skedqy4c/archive_bm53-05-procurement-nextgen-market-shaping_update_en.pdf" TargetMode="External"/><Relationship Id="rId43" Type="http://schemas.openxmlformats.org/officeDocument/2006/relationships/hyperlink" Target="https://hub.unido.org/sites/default/files/publications/Advancing_Vaccine%20%26%20Medicine_v_1.4-lr%20%281%29.pdf" TargetMode="External"/><Relationship Id="rId48" Type="http://schemas.openxmlformats.org/officeDocument/2006/relationships/hyperlink" Target="https://www.who.int/publications/i/item/9789240011878" TargetMode="External"/><Relationship Id="rId8" Type="http://schemas.openxmlformats.org/officeDocument/2006/relationships/image" Target="media/image3.png"/><Relationship Id="rId51" Type="http://schemas.openxmlformats.org/officeDocument/2006/relationships/hyperlink" Target="https://www.who.int/teams/global-malaria-programme/reports/world-malaria-report-2023" TargetMode="External"/><Relationship Id="rId3" Type="http://schemas.openxmlformats.org/officeDocument/2006/relationships/styles" Target="styles.xml"/><Relationship Id="rId12" Type="http://schemas.openxmlformats.org/officeDocument/2006/relationships/hyperlink" Target="https://doi.org/10.1002/puh2.9" TargetMode="External"/><Relationship Id="rId17" Type="http://schemas.openxmlformats.org/officeDocument/2006/relationships/hyperlink" Target="https://doi.org/10.1186/s41120-019-0032-x" TargetMode="External"/><Relationship Id="rId25" Type="http://schemas.openxmlformats.org/officeDocument/2006/relationships/hyperlink" Target="https://doi.org/10.1186/s12889-021-12361-9" TargetMode="External"/><Relationship Id="rId33" Type="http://schemas.openxmlformats.org/officeDocument/2006/relationships/hyperlink" Target="https://doi.org/10.34172/ijhpm.2024.8070" TargetMode="External"/><Relationship Id="rId38" Type="http://schemas.openxmlformats.org/officeDocument/2006/relationships/hyperlink" Target="https://unctad.org/project/investment-incentives-local-production-essential-antibiotics-east-africa" TargetMode="External"/><Relationship Id="rId46" Type="http://schemas.openxmlformats.org/officeDocument/2006/relationships/hyperlink" Target="https://doi.org/10.1016/S0140-6736(16)31599-9" TargetMode="External"/><Relationship Id="rId20" Type="http://schemas.openxmlformats.org/officeDocument/2006/relationships/hyperlink" Target="https://nipc.gov.ng/wp-content/uploads/2019/03/nirp.pdf" TargetMode="External"/><Relationship Id="rId41" Type="http://schemas.openxmlformats.org/officeDocument/2006/relationships/hyperlink" Target="https://www.unido.org/sites/default/files/unido-publications/2023-03/UNIDO-AR2020-en.pdf"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au.int/sites/default/files/pages/32895-file-pmpa_business_plan.pdf" TargetMode="External"/><Relationship Id="rId23" Type="http://schemas.openxmlformats.org/officeDocument/2006/relationships/hyperlink" Target="https://doi.org/10.1007/s40290-017-0210-x" TargetMode="External"/><Relationship Id="rId28" Type="http://schemas.openxmlformats.org/officeDocument/2006/relationships/hyperlink" Target="https://doi.org/10.1111/j.1469-0691.2010.03279.x" TargetMode="External"/><Relationship Id="rId36" Type="http://schemas.openxmlformats.org/officeDocument/2006/relationships/hyperlink" Target="https://doi.org/10.1016/j.rcsop.2021.100037" TargetMode="External"/><Relationship Id="rId49" Type="http://schemas.openxmlformats.org/officeDocument/2006/relationships/hyperlink" Target="https://www.who.int/publications/i/item/978924002024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wq2OiemLK7ooPOb3VXa00uNX4w==">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33</Pages>
  <Words>16033</Words>
  <Characters>91391</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HSCL</dc:creator>
  <cp:lastModifiedBy>SDI 1186</cp:lastModifiedBy>
  <cp:revision>5</cp:revision>
  <dcterms:created xsi:type="dcterms:W3CDTF">2025-12-30T04:07:00Z</dcterms:created>
  <dcterms:modified xsi:type="dcterms:W3CDTF">2025-12-30T09:57:00Z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6cf60fb2-13fb-431c-9663-e88def478ad3</vt:lpwstr>
  </property>
  <property fmtid="{D5CDD505-2E9C-101B-9397-08002B2CF9AE}" pid="3" name="ZOTERO_PREF_1">
    <vt:lpwstr>&lt;data data-version="3" zotero-version="7.0.30"&gt;&lt;session id="vbNnjsEW"/&gt;&lt;style id="http://www.zotero.org/styles/apa" locale="en-GB" hasBibliography="1" bibliographyStyleHasBeenSet="1"/&gt;&lt;prefs&gt;&lt;pref name="fieldType" value="Field"/&gt;&lt;/prefs&gt;&lt;/data&gt;</vt:lpwstr>
  </property>
</Properties>
</file>