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92AE9" w14:textId="77777777" w:rsidR="000F3C5A" w:rsidRPr="000F3C5A" w:rsidRDefault="000F3C5A" w:rsidP="000F3C5A">
      <w:pPr>
        <w:spacing w:line="240" w:lineRule="auto"/>
        <w:jc w:val="center"/>
        <w:rPr>
          <w:rFonts w:ascii="Times New Roman" w:hAnsi="Times New Roman"/>
          <w:b/>
          <w:bCs/>
          <w:i/>
          <w:iCs/>
          <w:sz w:val="24"/>
          <w:szCs w:val="24"/>
          <w:u w:val="single"/>
        </w:rPr>
      </w:pPr>
      <w:r w:rsidRPr="000F3C5A">
        <w:rPr>
          <w:rFonts w:ascii="Times New Roman" w:hAnsi="Times New Roman"/>
          <w:b/>
          <w:bCs/>
          <w:i/>
          <w:iCs/>
          <w:sz w:val="24"/>
          <w:szCs w:val="24"/>
          <w:u w:val="single"/>
        </w:rPr>
        <w:t>Original Research Article</w:t>
      </w:r>
    </w:p>
    <w:p w14:paraId="087371A9" w14:textId="06EC29A8" w:rsidR="00CA5A98" w:rsidRPr="00885E5A" w:rsidRDefault="00CA5A98" w:rsidP="00885E5A">
      <w:pPr>
        <w:spacing w:line="240" w:lineRule="auto"/>
        <w:jc w:val="center"/>
        <w:rPr>
          <w:rFonts w:ascii="Times New Roman" w:hAnsi="Times New Roman"/>
          <w:b/>
          <w:bCs/>
          <w:sz w:val="24"/>
          <w:szCs w:val="24"/>
        </w:rPr>
      </w:pPr>
      <w:r w:rsidRPr="00885E5A">
        <w:rPr>
          <w:rFonts w:ascii="Times New Roman" w:hAnsi="Times New Roman"/>
          <w:b/>
          <w:bCs/>
          <w:sz w:val="24"/>
          <w:szCs w:val="24"/>
        </w:rPr>
        <w:t xml:space="preserve">Antibacterial Activity of </w:t>
      </w:r>
      <w:proofErr w:type="spellStart"/>
      <w:r w:rsidRPr="00885E5A">
        <w:rPr>
          <w:rFonts w:ascii="Times New Roman" w:hAnsi="Times New Roman"/>
          <w:b/>
          <w:bCs/>
          <w:i/>
          <w:iCs/>
          <w:sz w:val="24"/>
          <w:szCs w:val="24"/>
        </w:rPr>
        <w:t>Hunteria</w:t>
      </w:r>
      <w:proofErr w:type="spellEnd"/>
      <w:r w:rsidRPr="00885E5A">
        <w:rPr>
          <w:rFonts w:ascii="Times New Roman" w:hAnsi="Times New Roman"/>
          <w:b/>
          <w:bCs/>
          <w:i/>
          <w:iCs/>
          <w:sz w:val="24"/>
          <w:szCs w:val="24"/>
        </w:rPr>
        <w:t xml:space="preserve"> </w:t>
      </w:r>
      <w:proofErr w:type="spellStart"/>
      <w:r w:rsidRPr="00885E5A">
        <w:rPr>
          <w:rFonts w:ascii="Times New Roman" w:hAnsi="Times New Roman"/>
          <w:b/>
          <w:bCs/>
          <w:i/>
          <w:iCs/>
          <w:sz w:val="24"/>
          <w:szCs w:val="24"/>
        </w:rPr>
        <w:t>umbellata</w:t>
      </w:r>
      <w:proofErr w:type="spellEnd"/>
      <w:r w:rsidRPr="00885E5A">
        <w:rPr>
          <w:rFonts w:ascii="Times New Roman" w:hAnsi="Times New Roman"/>
          <w:b/>
          <w:bCs/>
          <w:sz w:val="24"/>
          <w:szCs w:val="24"/>
        </w:rPr>
        <w:t xml:space="preserve"> (</w:t>
      </w:r>
      <w:proofErr w:type="spellStart"/>
      <w:r w:rsidRPr="00885E5A">
        <w:rPr>
          <w:rFonts w:ascii="Times New Roman" w:hAnsi="Times New Roman"/>
          <w:b/>
          <w:bCs/>
          <w:sz w:val="24"/>
          <w:szCs w:val="24"/>
        </w:rPr>
        <w:t>Madaci</w:t>
      </w:r>
      <w:proofErr w:type="spellEnd"/>
      <w:r w:rsidRPr="00885E5A">
        <w:rPr>
          <w:rFonts w:ascii="Times New Roman" w:hAnsi="Times New Roman"/>
          <w:b/>
          <w:bCs/>
          <w:sz w:val="24"/>
          <w:szCs w:val="24"/>
        </w:rPr>
        <w:t xml:space="preserve"> Seed) Against Multidrug-Resistant </w:t>
      </w:r>
      <w:r w:rsidRPr="00885E5A">
        <w:rPr>
          <w:rFonts w:ascii="Times New Roman" w:hAnsi="Times New Roman"/>
          <w:b/>
          <w:bCs/>
          <w:i/>
          <w:iCs/>
          <w:sz w:val="24"/>
          <w:szCs w:val="24"/>
        </w:rPr>
        <w:t>Staphylococcus aureus</w:t>
      </w:r>
      <w:r w:rsidRPr="00885E5A">
        <w:rPr>
          <w:rFonts w:ascii="Times New Roman" w:hAnsi="Times New Roman"/>
          <w:b/>
          <w:bCs/>
          <w:sz w:val="24"/>
          <w:szCs w:val="24"/>
        </w:rPr>
        <w:t xml:space="preserve"> Isolated from </w:t>
      </w:r>
      <w:r w:rsidRPr="00BF6EEA">
        <w:rPr>
          <w:rFonts w:ascii="Times New Roman" w:hAnsi="Times New Roman"/>
          <w:b/>
          <w:bCs/>
          <w:sz w:val="24"/>
          <w:szCs w:val="24"/>
          <w:highlight w:val="green"/>
        </w:rPr>
        <w:t xml:space="preserve">Patients </w:t>
      </w:r>
      <w:r w:rsidR="00A818C6" w:rsidRPr="00BF6EEA">
        <w:rPr>
          <w:rFonts w:ascii="Times New Roman" w:hAnsi="Times New Roman"/>
          <w:b/>
          <w:bCs/>
          <w:sz w:val="24"/>
          <w:szCs w:val="24"/>
          <w:highlight w:val="green"/>
        </w:rPr>
        <w:t>in</w:t>
      </w:r>
      <w:r w:rsidRPr="00BF6EEA">
        <w:rPr>
          <w:rFonts w:ascii="Times New Roman" w:hAnsi="Times New Roman"/>
          <w:b/>
          <w:bCs/>
          <w:sz w:val="24"/>
          <w:szCs w:val="24"/>
          <w:highlight w:val="green"/>
        </w:rPr>
        <w:t xml:space="preserve"> </w:t>
      </w:r>
      <w:proofErr w:type="spellStart"/>
      <w:r w:rsidRPr="00BF6EEA">
        <w:rPr>
          <w:rFonts w:ascii="Times New Roman" w:hAnsi="Times New Roman"/>
          <w:b/>
          <w:bCs/>
          <w:sz w:val="24"/>
          <w:szCs w:val="24"/>
          <w:highlight w:val="green"/>
        </w:rPr>
        <w:t>Dutsin</w:t>
      </w:r>
      <w:proofErr w:type="spellEnd"/>
      <w:r w:rsidRPr="00BF6EEA">
        <w:rPr>
          <w:rFonts w:ascii="Times New Roman" w:hAnsi="Times New Roman"/>
          <w:b/>
          <w:bCs/>
          <w:sz w:val="24"/>
          <w:szCs w:val="24"/>
          <w:highlight w:val="green"/>
        </w:rPr>
        <w:t xml:space="preserve">-Ma, </w:t>
      </w:r>
      <w:proofErr w:type="spellStart"/>
      <w:r w:rsidRPr="00BF6EEA">
        <w:rPr>
          <w:rFonts w:ascii="Times New Roman" w:hAnsi="Times New Roman"/>
          <w:b/>
          <w:bCs/>
          <w:sz w:val="24"/>
          <w:szCs w:val="24"/>
          <w:highlight w:val="green"/>
        </w:rPr>
        <w:t>Katsina</w:t>
      </w:r>
      <w:proofErr w:type="spellEnd"/>
      <w:r w:rsidRPr="00BF6EEA">
        <w:rPr>
          <w:rFonts w:ascii="Times New Roman" w:hAnsi="Times New Roman"/>
          <w:b/>
          <w:bCs/>
          <w:sz w:val="24"/>
          <w:szCs w:val="24"/>
          <w:highlight w:val="green"/>
        </w:rPr>
        <w:t xml:space="preserve"> State, Nigeria</w:t>
      </w:r>
    </w:p>
    <w:p w14:paraId="05B83077" w14:textId="77777777" w:rsidR="00885E5A" w:rsidRPr="00885E5A" w:rsidRDefault="00464B77" w:rsidP="00885E5A">
      <w:pPr>
        <w:spacing w:before="240"/>
        <w:rPr>
          <w:rFonts w:ascii="Times New Roman" w:hAnsi="Times New Roman"/>
          <w:sz w:val="24"/>
          <w:szCs w:val="24"/>
        </w:rPr>
      </w:pPr>
      <w:r>
        <w:rPr>
          <w:rFonts w:ascii="Times New Roman" w:hAnsi="Times New Roman"/>
          <w:sz w:val="24"/>
          <w:szCs w:val="24"/>
        </w:rPr>
        <w:pict w14:anchorId="04E7F4FB">
          <v:rect id="_x0000_i1025" style="width:0;height:1.5pt" o:hralign="center" o:hrstd="t" o:hr="t" fillcolor="#a0a0a0" stroked="f"/>
        </w:pict>
      </w:r>
    </w:p>
    <w:p w14:paraId="683C60BF" w14:textId="32808B79" w:rsidR="00CA5A98" w:rsidRPr="00CA5A98" w:rsidRDefault="00CA5A98" w:rsidP="00CA5A98">
      <w:pPr>
        <w:spacing w:line="240" w:lineRule="auto"/>
        <w:jc w:val="both"/>
        <w:rPr>
          <w:rFonts w:ascii="Times New Roman" w:hAnsi="Times New Roman"/>
          <w:b/>
          <w:bCs/>
          <w:sz w:val="24"/>
          <w:szCs w:val="24"/>
        </w:rPr>
      </w:pPr>
      <w:r w:rsidRPr="00CA5A98">
        <w:rPr>
          <w:rFonts w:ascii="Times New Roman" w:hAnsi="Times New Roman"/>
          <w:b/>
          <w:bCs/>
          <w:sz w:val="24"/>
          <w:szCs w:val="24"/>
        </w:rPr>
        <w:t>Abstract</w:t>
      </w:r>
    </w:p>
    <w:p w14:paraId="6F58788B"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Background:</w:t>
      </w:r>
      <w:r w:rsidRPr="00CA5A98">
        <w:rPr>
          <w:rFonts w:ascii="Times New Roman" w:hAnsi="Times New Roman"/>
          <w:sz w:val="24"/>
          <w:szCs w:val="24"/>
        </w:rPr>
        <w:t xml:space="preserve"> Urinary tract infections (UTIs) caused by </w:t>
      </w:r>
      <w:r w:rsidRPr="00CA5A98">
        <w:rPr>
          <w:rFonts w:ascii="Times New Roman" w:hAnsi="Times New Roman"/>
          <w:i/>
          <w:iCs/>
          <w:sz w:val="24"/>
          <w:szCs w:val="24"/>
        </w:rPr>
        <w:t>Staphylococcus aureus</w:t>
      </w:r>
      <w:r w:rsidRPr="00CA5A98">
        <w:rPr>
          <w:rFonts w:ascii="Times New Roman" w:hAnsi="Times New Roman"/>
          <w:sz w:val="24"/>
          <w:szCs w:val="24"/>
        </w:rPr>
        <w:t xml:space="preserve"> are increasingly reported in Nigerian healthcare settings, with multidrug resistance (MDR) posing a major therapeutic challenge. The search for alternative antibacterial agents from medicinal plants has therefore gained renewed attention.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w:t>
      </w:r>
      <w:proofErr w:type="spellStart"/>
      <w:r w:rsidRPr="00CA5A98">
        <w:rPr>
          <w:rFonts w:ascii="Times New Roman" w:hAnsi="Times New Roman"/>
          <w:sz w:val="24"/>
          <w:szCs w:val="24"/>
        </w:rPr>
        <w:t>Madaci</w:t>
      </w:r>
      <w:proofErr w:type="spellEnd"/>
      <w:r w:rsidRPr="00CA5A98">
        <w:rPr>
          <w:rFonts w:ascii="Times New Roman" w:hAnsi="Times New Roman"/>
          <w:sz w:val="24"/>
          <w:szCs w:val="24"/>
        </w:rPr>
        <w:t xml:space="preserve">), widely used in traditional medicine in Northern Nigeria, is reputed for its antimicrobial properties, yet evidence against MDR </w:t>
      </w:r>
      <w:proofErr w:type="spellStart"/>
      <w:r w:rsidRPr="00CA5A98">
        <w:rPr>
          <w:rFonts w:ascii="Times New Roman" w:hAnsi="Times New Roman"/>
          <w:sz w:val="24"/>
          <w:szCs w:val="24"/>
        </w:rPr>
        <w:t>uropathogenic</w:t>
      </w:r>
      <w:proofErr w:type="spellEnd"/>
      <w:r w:rsidRPr="00CA5A98">
        <w:rPr>
          <w:rFonts w:ascii="Times New Roman" w:hAnsi="Times New Roman"/>
          <w:sz w:val="24"/>
          <w:szCs w:val="24"/>
        </w:rPr>
        <w:t xml:space="preserve"> </w:t>
      </w:r>
      <w:r w:rsidRPr="00CA5A98">
        <w:rPr>
          <w:rFonts w:ascii="Times New Roman" w:hAnsi="Times New Roman"/>
          <w:i/>
          <w:iCs/>
          <w:sz w:val="24"/>
          <w:szCs w:val="24"/>
        </w:rPr>
        <w:t>S. aureus</w:t>
      </w:r>
      <w:r w:rsidRPr="00CA5A98">
        <w:rPr>
          <w:rFonts w:ascii="Times New Roman" w:hAnsi="Times New Roman"/>
          <w:sz w:val="24"/>
          <w:szCs w:val="24"/>
        </w:rPr>
        <w:t xml:space="preserve"> remains limited.</w:t>
      </w:r>
    </w:p>
    <w:p w14:paraId="301561AF"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Objective:</w:t>
      </w:r>
      <w:r w:rsidRPr="00CA5A98">
        <w:rPr>
          <w:rFonts w:ascii="Times New Roman" w:hAnsi="Times New Roman"/>
          <w:sz w:val="24"/>
          <w:szCs w:val="24"/>
        </w:rPr>
        <w:t xml:space="preserve"> This study evaluated the in vitro antibacterial activity of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seed extracts against multidrug-resistant </w:t>
      </w:r>
      <w:r w:rsidRPr="00CA5A98">
        <w:rPr>
          <w:rFonts w:ascii="Times New Roman" w:hAnsi="Times New Roman"/>
          <w:i/>
          <w:iCs/>
          <w:sz w:val="24"/>
          <w:szCs w:val="24"/>
        </w:rPr>
        <w:t>Staphylococcus aureus</w:t>
      </w:r>
      <w:r w:rsidRPr="00CA5A98">
        <w:rPr>
          <w:rFonts w:ascii="Times New Roman" w:hAnsi="Times New Roman"/>
          <w:sz w:val="24"/>
          <w:szCs w:val="24"/>
        </w:rPr>
        <w:t xml:space="preserve"> isolated from urine samples of patients attending General Hospital </w:t>
      </w:r>
      <w:proofErr w:type="spellStart"/>
      <w:r w:rsidRPr="00CA5A98">
        <w:rPr>
          <w:rFonts w:ascii="Times New Roman" w:hAnsi="Times New Roman"/>
          <w:sz w:val="24"/>
          <w:szCs w:val="24"/>
        </w:rPr>
        <w:t>Dutsin</w:t>
      </w:r>
      <w:proofErr w:type="spellEnd"/>
      <w:r w:rsidRPr="00CA5A98">
        <w:rPr>
          <w:rFonts w:ascii="Times New Roman" w:hAnsi="Times New Roman"/>
          <w:sz w:val="24"/>
          <w:szCs w:val="24"/>
        </w:rPr>
        <w:t xml:space="preserve">-Ma, </w:t>
      </w:r>
      <w:proofErr w:type="spellStart"/>
      <w:r w:rsidRPr="00CA5A98">
        <w:rPr>
          <w:rFonts w:ascii="Times New Roman" w:hAnsi="Times New Roman"/>
          <w:sz w:val="24"/>
          <w:szCs w:val="24"/>
        </w:rPr>
        <w:t>Katsina</w:t>
      </w:r>
      <w:proofErr w:type="spellEnd"/>
      <w:r w:rsidRPr="00CA5A98">
        <w:rPr>
          <w:rFonts w:ascii="Times New Roman" w:hAnsi="Times New Roman"/>
          <w:sz w:val="24"/>
          <w:szCs w:val="24"/>
        </w:rPr>
        <w:t xml:space="preserve"> State, Nigeria.</w:t>
      </w:r>
    </w:p>
    <w:p w14:paraId="3F5153B6" w14:textId="2A2CED2A"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Methods:</w:t>
      </w:r>
      <w:r w:rsidRPr="00CA5A98">
        <w:rPr>
          <w:rFonts w:ascii="Times New Roman" w:hAnsi="Times New Roman"/>
          <w:sz w:val="24"/>
          <w:szCs w:val="24"/>
        </w:rPr>
        <w:t xml:space="preserve"> Fifty urine samples were collected from patients with suspected UTIs. </w:t>
      </w:r>
      <w:r w:rsidRPr="00CA5A98">
        <w:rPr>
          <w:rFonts w:ascii="Times New Roman" w:hAnsi="Times New Roman"/>
          <w:i/>
          <w:iCs/>
          <w:sz w:val="24"/>
          <w:szCs w:val="24"/>
        </w:rPr>
        <w:t>Staphylococcus aureus</w:t>
      </w:r>
      <w:r w:rsidRPr="00CA5A98">
        <w:rPr>
          <w:rFonts w:ascii="Times New Roman" w:hAnsi="Times New Roman"/>
          <w:sz w:val="24"/>
          <w:szCs w:val="24"/>
        </w:rPr>
        <w:t xml:space="preserve"> was isolated and identified using standard phenotypic and biochemical methods. Antimicrobial susceptibility testing was performed by the Kirby–Bauer disc diffusion method in accordance with CLSI guidelines. Multidrug resistance was defined as r</w:t>
      </w:r>
      <w:r w:rsidR="002779B2" w:rsidRPr="00885E5A">
        <w:rPr>
          <w:rFonts w:ascii="Times New Roman" w:hAnsi="Times New Roman"/>
          <w:sz w:val="24"/>
          <w:szCs w:val="24"/>
        </w:rPr>
        <w:t xml:space="preserve"> resistance to ≥1 agent in ≥3 antimicrobial classes</w:t>
      </w:r>
      <w:r w:rsidRPr="00CA5A98">
        <w:rPr>
          <w:rFonts w:ascii="Times New Roman" w:hAnsi="Times New Roman"/>
          <w:sz w:val="24"/>
          <w:szCs w:val="24"/>
        </w:rPr>
        <w:t xml:space="preserve">. Ethanol and aqueous seed extracts of </w:t>
      </w:r>
      <w:r w:rsidRPr="00CA5A98">
        <w:rPr>
          <w:rFonts w:ascii="Times New Roman" w:hAnsi="Times New Roman"/>
          <w:i/>
          <w:iCs/>
          <w:sz w:val="24"/>
          <w:szCs w:val="24"/>
        </w:rPr>
        <w:t xml:space="preserve">H.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were phytochemically screened and evaluated for antibacterial activity using agar well diffusion, minimum inhibitory concentration (MIC), and minimum bactericidal concentration (MBC) assays.</w:t>
      </w:r>
    </w:p>
    <w:p w14:paraId="2E053E7E"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Results:</w:t>
      </w:r>
      <w:r w:rsidRPr="00CA5A98">
        <w:rPr>
          <w:rFonts w:ascii="Times New Roman" w:hAnsi="Times New Roman"/>
          <w:sz w:val="24"/>
          <w:szCs w:val="24"/>
        </w:rPr>
        <w:t xml:space="preserve"> Twenty-two (44.0%) urine samples yielded </w:t>
      </w:r>
      <w:r w:rsidRPr="00CA5A98">
        <w:rPr>
          <w:rFonts w:ascii="Times New Roman" w:hAnsi="Times New Roman"/>
          <w:i/>
          <w:iCs/>
          <w:sz w:val="24"/>
          <w:szCs w:val="24"/>
        </w:rPr>
        <w:t>S. aureus</w:t>
      </w:r>
      <w:r w:rsidRPr="00CA5A98">
        <w:rPr>
          <w:rFonts w:ascii="Times New Roman" w:hAnsi="Times New Roman"/>
          <w:sz w:val="24"/>
          <w:szCs w:val="24"/>
        </w:rPr>
        <w:t>, with a higher prevalence among females (63.6%). High resistance rates were observed to cefoxitin (81.8%), ciprofloxacin (77.3%), and ampicillin (72.7%), while all isolates were susceptible to vancomycin. Multidrug resistance was detected in 81.8% of isolates. The ethanol extract demonstrated strong, concentration-dependent antibacterial activity against MDR isolates (mean inhibition zone: 21.6 ± 2.1 mm at 100 mg/mL), with MIC values predominantly between 6.25 and 12.5 mg/</w:t>
      </w:r>
      <w:proofErr w:type="spellStart"/>
      <w:r w:rsidRPr="00CA5A98">
        <w:rPr>
          <w:rFonts w:ascii="Times New Roman" w:hAnsi="Times New Roman"/>
          <w:sz w:val="24"/>
          <w:szCs w:val="24"/>
        </w:rPr>
        <w:t>mL.</w:t>
      </w:r>
      <w:proofErr w:type="spellEnd"/>
      <w:r w:rsidRPr="00CA5A98">
        <w:rPr>
          <w:rFonts w:ascii="Times New Roman" w:hAnsi="Times New Roman"/>
          <w:sz w:val="24"/>
          <w:szCs w:val="24"/>
        </w:rPr>
        <w:t xml:space="preserve"> The aqueous extract showed moderate, largely bacteriostatic activity.</w:t>
      </w:r>
    </w:p>
    <w:p w14:paraId="1A3B254B" w14:textId="77777777" w:rsidR="00CA5A98" w:rsidRPr="00885E5A"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Conclusion:</w:t>
      </w:r>
      <w:r w:rsidRPr="00CA5A98">
        <w:rPr>
          <w:rFonts w:ascii="Times New Roman" w:hAnsi="Times New Roman"/>
          <w:sz w:val="24"/>
          <w:szCs w:val="24"/>
        </w:rPr>
        <w:t xml:space="preserve">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seed extracts, particularly the ethanol extract, exhibit significant in vitro activity against MDR </w:t>
      </w:r>
      <w:r w:rsidRPr="00CA5A98">
        <w:rPr>
          <w:rFonts w:ascii="Times New Roman" w:hAnsi="Times New Roman"/>
          <w:i/>
          <w:iCs/>
          <w:sz w:val="24"/>
          <w:szCs w:val="24"/>
        </w:rPr>
        <w:t>Staphylococcus aureus</w:t>
      </w:r>
      <w:r w:rsidRPr="00CA5A98">
        <w:rPr>
          <w:rFonts w:ascii="Times New Roman" w:hAnsi="Times New Roman"/>
          <w:sz w:val="24"/>
          <w:szCs w:val="24"/>
        </w:rPr>
        <w:t xml:space="preserve"> from UTIs, supporting their potential as sources of alternative antibacterial agents.</w:t>
      </w:r>
    </w:p>
    <w:p w14:paraId="4B5F9E8E" w14:textId="77777777" w:rsidR="00CA5A98" w:rsidRPr="00CA5A98" w:rsidRDefault="00CA5A98" w:rsidP="00CA5A98">
      <w:pPr>
        <w:spacing w:line="240" w:lineRule="auto"/>
        <w:jc w:val="both"/>
        <w:rPr>
          <w:rFonts w:ascii="Times New Roman" w:hAnsi="Times New Roman"/>
          <w:b/>
          <w:bCs/>
          <w:sz w:val="24"/>
          <w:szCs w:val="24"/>
        </w:rPr>
      </w:pPr>
      <w:r w:rsidRPr="00CA5A98">
        <w:rPr>
          <w:rFonts w:ascii="Times New Roman" w:hAnsi="Times New Roman"/>
          <w:b/>
          <w:bCs/>
          <w:sz w:val="24"/>
          <w:szCs w:val="24"/>
        </w:rPr>
        <w:t>Keywords</w:t>
      </w:r>
    </w:p>
    <w:p w14:paraId="2E529DE8" w14:textId="77777777" w:rsidR="00CA5A98" w:rsidRPr="00CA5A98" w:rsidRDefault="00CA5A98" w:rsidP="00CA5A98">
      <w:pPr>
        <w:spacing w:line="240" w:lineRule="auto"/>
        <w:jc w:val="both"/>
        <w:rPr>
          <w:rFonts w:ascii="Times New Roman" w:hAnsi="Times New Roman"/>
          <w:sz w:val="24"/>
          <w:szCs w:val="24"/>
        </w:rPr>
      </w:pP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Multidrug resistance; </w:t>
      </w:r>
      <w:r w:rsidRPr="00CA5A98">
        <w:rPr>
          <w:rFonts w:ascii="Times New Roman" w:hAnsi="Times New Roman"/>
          <w:i/>
          <w:iCs/>
          <w:sz w:val="24"/>
          <w:szCs w:val="24"/>
        </w:rPr>
        <w:t>Staphylococcus aureus</w:t>
      </w:r>
      <w:r w:rsidRPr="00CA5A98">
        <w:rPr>
          <w:rFonts w:ascii="Times New Roman" w:hAnsi="Times New Roman"/>
          <w:sz w:val="24"/>
          <w:szCs w:val="24"/>
        </w:rPr>
        <w:t>; Urinary tract infection; Medicinal plants</w:t>
      </w:r>
    </w:p>
    <w:p w14:paraId="6A126697" w14:textId="77777777" w:rsidR="00CA5A98" w:rsidRPr="00CA5A98" w:rsidRDefault="00464B77" w:rsidP="00CA5A98">
      <w:pPr>
        <w:spacing w:line="240" w:lineRule="auto"/>
        <w:jc w:val="both"/>
        <w:rPr>
          <w:rFonts w:ascii="Times New Roman" w:hAnsi="Times New Roman"/>
          <w:sz w:val="24"/>
          <w:szCs w:val="24"/>
        </w:rPr>
      </w:pPr>
      <w:r>
        <w:rPr>
          <w:rFonts w:ascii="Times New Roman" w:hAnsi="Times New Roman"/>
          <w:sz w:val="24"/>
          <w:szCs w:val="24"/>
        </w:rPr>
        <w:pict w14:anchorId="70076F0E">
          <v:rect id="_x0000_i1026" style="width:0;height:1.5pt" o:hralign="center" o:hrstd="t" o:hr="t" fillcolor="#a0a0a0" stroked="f"/>
        </w:pict>
      </w:r>
    </w:p>
    <w:p w14:paraId="6487AB86" w14:textId="77777777" w:rsidR="00E827EA" w:rsidRDefault="00E827EA" w:rsidP="0032611D">
      <w:pPr>
        <w:spacing w:line="240" w:lineRule="auto"/>
        <w:jc w:val="both"/>
        <w:rPr>
          <w:rFonts w:ascii="Times New Roman" w:hAnsi="Times New Roman"/>
          <w:b/>
          <w:bCs/>
          <w:sz w:val="24"/>
          <w:szCs w:val="24"/>
        </w:rPr>
      </w:pPr>
    </w:p>
    <w:p w14:paraId="08576029" w14:textId="77777777" w:rsidR="00E827EA" w:rsidRDefault="00E827EA" w:rsidP="0032611D">
      <w:pPr>
        <w:spacing w:line="240" w:lineRule="auto"/>
        <w:jc w:val="both"/>
        <w:rPr>
          <w:rFonts w:ascii="Times New Roman" w:hAnsi="Times New Roman"/>
          <w:b/>
          <w:bCs/>
          <w:sz w:val="24"/>
          <w:szCs w:val="24"/>
        </w:rPr>
      </w:pPr>
    </w:p>
    <w:p w14:paraId="4FD44036" w14:textId="43CC1BE8" w:rsidR="00E46FA7" w:rsidRPr="00E46FA7" w:rsidRDefault="00424594" w:rsidP="0032611D">
      <w:pPr>
        <w:spacing w:line="240" w:lineRule="auto"/>
        <w:jc w:val="both"/>
        <w:rPr>
          <w:rFonts w:ascii="Times New Roman" w:hAnsi="Times New Roman"/>
          <w:b/>
          <w:bCs/>
          <w:sz w:val="24"/>
          <w:szCs w:val="24"/>
        </w:rPr>
      </w:pPr>
      <w:r w:rsidRPr="00E46FA7">
        <w:rPr>
          <w:rFonts w:ascii="Times New Roman" w:hAnsi="Times New Roman"/>
          <w:b/>
          <w:bCs/>
          <w:sz w:val="24"/>
          <w:szCs w:val="24"/>
        </w:rPr>
        <w:lastRenderedPageBreak/>
        <w:t>INTRODUCTION</w:t>
      </w:r>
    </w:p>
    <w:p w14:paraId="1CB034E8"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Urinary tract infections (UTIs) remain among the most prevalent bacterial infections worldwide, accounting for substantial morbidity across all age groups and representing a significant proportion of hospital and community-acquired infections, particularly in low- and middle-income countries (LMICs) such as Nigeria (Flores-Mireles et al., 2015; Akinwale et al., 2021). While </w:t>
      </w:r>
      <w:r w:rsidRPr="00E46FA7">
        <w:rPr>
          <w:rFonts w:ascii="Times New Roman" w:hAnsi="Times New Roman"/>
          <w:i/>
          <w:iCs/>
          <w:sz w:val="24"/>
          <w:szCs w:val="24"/>
        </w:rPr>
        <w:t>Escherichia coli</w:t>
      </w:r>
      <w:r w:rsidRPr="00E46FA7">
        <w:rPr>
          <w:rFonts w:ascii="Times New Roman" w:hAnsi="Times New Roman"/>
          <w:sz w:val="24"/>
          <w:szCs w:val="24"/>
        </w:rPr>
        <w:t xml:space="preserve"> remains the dominant </w:t>
      </w:r>
      <w:proofErr w:type="spellStart"/>
      <w:r w:rsidRPr="00E46FA7">
        <w:rPr>
          <w:rFonts w:ascii="Times New Roman" w:hAnsi="Times New Roman"/>
          <w:sz w:val="24"/>
          <w:szCs w:val="24"/>
        </w:rPr>
        <w:t>uropathogen</w:t>
      </w:r>
      <w:proofErr w:type="spellEnd"/>
      <w:r w:rsidRPr="00E46FA7">
        <w:rPr>
          <w:rFonts w:ascii="Times New Roman" w:hAnsi="Times New Roman"/>
          <w:sz w:val="24"/>
          <w:szCs w:val="24"/>
        </w:rPr>
        <w:t xml:space="preserve">, </w:t>
      </w:r>
      <w:r w:rsidRPr="00E46FA7">
        <w:rPr>
          <w:rFonts w:ascii="Times New Roman" w:hAnsi="Times New Roman"/>
          <w:i/>
          <w:iCs/>
          <w:sz w:val="24"/>
          <w:szCs w:val="24"/>
        </w:rPr>
        <w:t>Staphylococcus aureus</w:t>
      </w:r>
      <w:r w:rsidRPr="00E46FA7">
        <w:rPr>
          <w:rFonts w:ascii="Times New Roman" w:hAnsi="Times New Roman"/>
          <w:sz w:val="24"/>
          <w:szCs w:val="24"/>
        </w:rPr>
        <w:t xml:space="preserve"> has increasingly emerged as an important etiological agent of UTIs, especially in hospitalized patients, individuals with underlying comorbidities, catheterized patients, and those with prior antimicrobial exposure (</w:t>
      </w:r>
      <w:proofErr w:type="spellStart"/>
      <w:r w:rsidRPr="00E46FA7">
        <w:rPr>
          <w:rFonts w:ascii="Times New Roman" w:hAnsi="Times New Roman"/>
          <w:sz w:val="24"/>
          <w:szCs w:val="24"/>
        </w:rPr>
        <w:t>Onanuga</w:t>
      </w:r>
      <w:proofErr w:type="spellEnd"/>
      <w:r w:rsidRPr="00E46FA7">
        <w:rPr>
          <w:rFonts w:ascii="Times New Roman" w:hAnsi="Times New Roman"/>
          <w:sz w:val="24"/>
          <w:szCs w:val="24"/>
        </w:rPr>
        <w:t xml:space="preserve"> et al., 2019; </w:t>
      </w:r>
      <w:proofErr w:type="spellStart"/>
      <w:r w:rsidRPr="00E46FA7">
        <w:rPr>
          <w:rFonts w:ascii="Times New Roman" w:hAnsi="Times New Roman"/>
          <w:sz w:val="24"/>
          <w:szCs w:val="24"/>
        </w:rPr>
        <w:t>Fasiku</w:t>
      </w:r>
      <w:proofErr w:type="spellEnd"/>
      <w:r w:rsidRPr="00E46FA7">
        <w:rPr>
          <w:rFonts w:ascii="Times New Roman" w:hAnsi="Times New Roman"/>
          <w:sz w:val="24"/>
          <w:szCs w:val="24"/>
        </w:rPr>
        <w:t xml:space="preserve"> et al., 2023).</w:t>
      </w:r>
    </w:p>
    <w:p w14:paraId="2EEA613A"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Of particular concern is the rapid rise of multidrug-resistant (</w:t>
      </w:r>
      <w:r w:rsidRPr="00E46FA7">
        <w:rPr>
          <w:rFonts w:ascii="Times New Roman" w:hAnsi="Times New Roman"/>
          <w:i/>
          <w:iCs/>
          <w:sz w:val="24"/>
          <w:szCs w:val="24"/>
        </w:rPr>
        <w:t>MDR</w:t>
      </w:r>
      <w:r w:rsidRPr="00E46FA7">
        <w:rPr>
          <w:rFonts w:ascii="Times New Roman" w:hAnsi="Times New Roman"/>
          <w:sz w:val="24"/>
          <w:szCs w:val="24"/>
        </w:rPr>
        <w:t xml:space="preserve">) </w:t>
      </w:r>
      <w:r w:rsidRPr="00E46FA7">
        <w:rPr>
          <w:rFonts w:ascii="Times New Roman" w:hAnsi="Times New Roman"/>
          <w:i/>
          <w:iCs/>
          <w:sz w:val="24"/>
          <w:szCs w:val="24"/>
        </w:rPr>
        <w:t>Staphylococcus aureus</w:t>
      </w:r>
      <w:r w:rsidRPr="00E46FA7">
        <w:rPr>
          <w:rFonts w:ascii="Times New Roman" w:hAnsi="Times New Roman"/>
          <w:sz w:val="24"/>
          <w:szCs w:val="24"/>
        </w:rPr>
        <w:t xml:space="preserve">, including methicillin-resistant </w:t>
      </w:r>
      <w:r w:rsidRPr="00E46FA7">
        <w:rPr>
          <w:rFonts w:ascii="Times New Roman" w:hAnsi="Times New Roman"/>
          <w:i/>
          <w:iCs/>
          <w:sz w:val="24"/>
          <w:szCs w:val="24"/>
        </w:rPr>
        <w:t>S. aureus</w:t>
      </w:r>
      <w:r w:rsidRPr="00E46FA7">
        <w:rPr>
          <w:rFonts w:ascii="Times New Roman" w:hAnsi="Times New Roman"/>
          <w:sz w:val="24"/>
          <w:szCs w:val="24"/>
        </w:rPr>
        <w:t xml:space="preserve"> (MRSA), which has severely compromised the effectiveness of commonly used antibiotics (Turner et al., 2019). In Nigeria, several hospital-based studies conducted between 2015 and 2025 have consistently reported high resistance rates of </w:t>
      </w:r>
      <w:r w:rsidRPr="00E46FA7">
        <w:rPr>
          <w:rFonts w:ascii="Times New Roman" w:hAnsi="Times New Roman"/>
          <w:i/>
          <w:iCs/>
          <w:sz w:val="24"/>
          <w:szCs w:val="24"/>
        </w:rPr>
        <w:t>S. aureus</w:t>
      </w:r>
      <w:r w:rsidRPr="00E46FA7">
        <w:rPr>
          <w:rFonts w:ascii="Times New Roman" w:hAnsi="Times New Roman"/>
          <w:sz w:val="24"/>
          <w:szCs w:val="24"/>
        </w:rPr>
        <w:t xml:space="preserve"> to β-lactams, macrolides, fluoroquinolones, and tetracyclines, with MDR prevalence often exceeding 60–80% (</w:t>
      </w:r>
      <w:proofErr w:type="spellStart"/>
      <w:r w:rsidRPr="00E46FA7">
        <w:rPr>
          <w:rFonts w:ascii="Times New Roman" w:hAnsi="Times New Roman"/>
          <w:sz w:val="24"/>
          <w:szCs w:val="24"/>
        </w:rPr>
        <w:t>Onanuga</w:t>
      </w:r>
      <w:proofErr w:type="spellEnd"/>
      <w:r w:rsidRPr="00E46FA7">
        <w:rPr>
          <w:rFonts w:ascii="Times New Roman" w:hAnsi="Times New Roman"/>
          <w:sz w:val="24"/>
          <w:szCs w:val="24"/>
        </w:rPr>
        <w:t xml:space="preserve"> et al., 2019; Agbo et al., 2024; Olalekan et al., 2025). These resistance trends are largely attributed to irrational antibiotic use, weak antimicrobial stewardship programs, limited diagnostic capacity, and the ease of over-the-counter antibiotic access (WHO, 2021).</w:t>
      </w:r>
    </w:p>
    <w:p w14:paraId="70A0C9B4"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Although vancomycin remains the drug of last resort for severe MRSA infections, its parenteral route of administration, nephrotoxicity risk, cost, and limited availability in many Nigerian health facilities pose significant barriers to its widespread use (Turner et al., 2019; Olalekan et al., 2025). Consequently, there is an urgent need to explore alternative antimicrobial agents that are effective, affordable, and locally accessible.</w:t>
      </w:r>
    </w:p>
    <w:p w14:paraId="63670436" w14:textId="67C69CE9"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Medicinal plants have historically served as a major source of therapeutic agents, particularly in Africa, where up to 80% of the population relies partly on traditional medicine for primary healthcare (WHO, 2013). In recent years, scientific interest in plant-derived antimicrobials has intensified due to their chemical diversity, bioactive secondary metabolites, and reported activity against MDR pathogens (Okwu &amp; Abubakar, 2019; He et al., 2024). Several Nigerian medicinal plants have demonstrated promising in vitro activity against MDR </w:t>
      </w:r>
      <w:r w:rsidRPr="00E46FA7">
        <w:rPr>
          <w:rFonts w:ascii="Times New Roman" w:hAnsi="Times New Roman"/>
          <w:i/>
          <w:iCs/>
          <w:sz w:val="24"/>
          <w:szCs w:val="24"/>
        </w:rPr>
        <w:t>S. aureus</w:t>
      </w:r>
      <w:r w:rsidRPr="00E46FA7">
        <w:rPr>
          <w:rFonts w:ascii="Times New Roman" w:hAnsi="Times New Roman"/>
          <w:sz w:val="24"/>
          <w:szCs w:val="24"/>
        </w:rPr>
        <w:t>, validating their ethnomedicinal use and highlighting their potential as sources of novel antibacterial compounds (Akinyemi et al., 2018; Okwu &amp; Abubakar, 2019).</w:t>
      </w:r>
      <w:r w:rsidR="005A3F3D" w:rsidRPr="00885E5A">
        <w:rPr>
          <w:rFonts w:ascii="Times New Roman" w:hAnsi="Times New Roman"/>
          <w:sz w:val="24"/>
          <w:szCs w:val="24"/>
        </w:rPr>
        <w:t xml:space="preserve"> Systematic reviews have highlighted the significant, yet underexplored, antimicrobial potential of medicinal plants from diverse families in Northern Nigeria (Musa &amp; Aji, 2025), justifying the investigation of species like </w:t>
      </w:r>
      <w:proofErr w:type="spellStart"/>
      <w:r w:rsidR="005A3F3D" w:rsidRPr="00885E5A">
        <w:rPr>
          <w:rFonts w:ascii="Times New Roman" w:hAnsi="Times New Roman"/>
          <w:i/>
          <w:iCs/>
          <w:sz w:val="24"/>
          <w:szCs w:val="24"/>
        </w:rPr>
        <w:t>Hunteria</w:t>
      </w:r>
      <w:proofErr w:type="spellEnd"/>
      <w:r w:rsidR="005A3F3D" w:rsidRPr="00885E5A">
        <w:rPr>
          <w:rFonts w:ascii="Times New Roman" w:hAnsi="Times New Roman"/>
          <w:i/>
          <w:iCs/>
          <w:sz w:val="24"/>
          <w:szCs w:val="24"/>
        </w:rPr>
        <w:t xml:space="preserve"> </w:t>
      </w:r>
      <w:proofErr w:type="spellStart"/>
      <w:r w:rsidR="005A3F3D" w:rsidRPr="00885E5A">
        <w:rPr>
          <w:rFonts w:ascii="Times New Roman" w:hAnsi="Times New Roman"/>
          <w:i/>
          <w:iCs/>
          <w:sz w:val="24"/>
          <w:szCs w:val="24"/>
        </w:rPr>
        <w:t>umbellata</w:t>
      </w:r>
      <w:proofErr w:type="spellEnd"/>
      <w:r w:rsidR="005A3F3D" w:rsidRPr="00885E5A">
        <w:rPr>
          <w:rFonts w:ascii="Times New Roman" w:hAnsi="Times New Roman"/>
          <w:sz w:val="24"/>
          <w:szCs w:val="24"/>
        </w:rPr>
        <w:t>.</w:t>
      </w:r>
    </w:p>
    <w:p w14:paraId="02197558" w14:textId="77777777" w:rsidR="00E46FA7" w:rsidRPr="00E46FA7" w:rsidRDefault="00E46FA7" w:rsidP="0032611D">
      <w:pPr>
        <w:spacing w:line="240" w:lineRule="auto"/>
        <w:jc w:val="both"/>
        <w:rPr>
          <w:rFonts w:ascii="Times New Roman" w:hAnsi="Times New Roman"/>
          <w:sz w:val="24"/>
          <w:szCs w:val="24"/>
        </w:rPr>
      </w:pPr>
      <w:proofErr w:type="spellStart"/>
      <w:r w:rsidRPr="00E46FA7">
        <w:rPr>
          <w:rFonts w:ascii="Times New Roman" w:hAnsi="Times New Roman"/>
          <w:i/>
          <w:iCs/>
          <w:sz w:val="24"/>
          <w:szCs w:val="24"/>
        </w:rPr>
        <w:t>Hunteria</w:t>
      </w:r>
      <w:proofErr w:type="spellEnd"/>
      <w:r w:rsidRPr="00E46FA7">
        <w:rPr>
          <w:rFonts w:ascii="Times New Roman" w:hAnsi="Times New Roman"/>
          <w:i/>
          <w:iCs/>
          <w:sz w:val="24"/>
          <w:szCs w:val="24"/>
        </w:rPr>
        <w:t xml:space="preserve">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(K. Schum.), a member of the family </w:t>
      </w:r>
      <w:proofErr w:type="spellStart"/>
      <w:r w:rsidRPr="00E46FA7">
        <w:rPr>
          <w:rFonts w:ascii="Times New Roman" w:hAnsi="Times New Roman"/>
          <w:sz w:val="24"/>
          <w:szCs w:val="24"/>
        </w:rPr>
        <w:t>Apocynaceae</w:t>
      </w:r>
      <w:proofErr w:type="spellEnd"/>
      <w:r w:rsidRPr="00E46FA7">
        <w:rPr>
          <w:rFonts w:ascii="Times New Roman" w:hAnsi="Times New Roman"/>
          <w:sz w:val="24"/>
          <w:szCs w:val="24"/>
        </w:rPr>
        <w:t xml:space="preserve">, is a tropical medicinal plant widely distributed in West and Central Africa. In Northern Nigeria, it is locally known as </w:t>
      </w:r>
      <w:proofErr w:type="spellStart"/>
      <w:r w:rsidRPr="00E46FA7">
        <w:rPr>
          <w:rFonts w:ascii="Times New Roman" w:hAnsi="Times New Roman"/>
          <w:sz w:val="24"/>
          <w:szCs w:val="24"/>
        </w:rPr>
        <w:t>Madaci</w:t>
      </w:r>
      <w:proofErr w:type="spellEnd"/>
      <w:r w:rsidRPr="00E46FA7">
        <w:rPr>
          <w:rFonts w:ascii="Times New Roman" w:hAnsi="Times New Roman"/>
          <w:sz w:val="24"/>
          <w:szCs w:val="24"/>
        </w:rPr>
        <w:t xml:space="preserve"> among the Hausa population and is traditionally used in the treatment of infections, gastrointestinal disorders, inflammation, diabetes, and pain. Phytochemical investigations have revealed that </w:t>
      </w:r>
      <w:r w:rsidRPr="00E46FA7">
        <w:rPr>
          <w:rFonts w:ascii="Times New Roman" w:hAnsi="Times New Roman"/>
          <w:i/>
          <w:iCs/>
          <w:sz w:val="24"/>
          <w:szCs w:val="24"/>
        </w:rPr>
        <w:t xml:space="preserve">H.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seeds are rich in biologically active compounds, including alkaloids, saponins, tannins, and flavonoids, which are known to possess antimicrobial and anti-inflammatory properties (</w:t>
      </w:r>
      <w:proofErr w:type="spellStart"/>
      <w:r w:rsidRPr="00E46FA7">
        <w:rPr>
          <w:rFonts w:ascii="Times New Roman" w:hAnsi="Times New Roman"/>
          <w:sz w:val="24"/>
          <w:szCs w:val="24"/>
        </w:rPr>
        <w:t>Aderele</w:t>
      </w:r>
      <w:proofErr w:type="spellEnd"/>
      <w:r w:rsidRPr="00E46FA7">
        <w:rPr>
          <w:rFonts w:ascii="Times New Roman" w:hAnsi="Times New Roman"/>
          <w:sz w:val="24"/>
          <w:szCs w:val="24"/>
        </w:rPr>
        <w:t xml:space="preserve"> et al., 2020; Salisu et al., 2024).</w:t>
      </w:r>
    </w:p>
    <w:p w14:paraId="25B76FC3"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lastRenderedPageBreak/>
        <w:t xml:space="preserve">Previous studies have reported the antimicrobial activity of </w:t>
      </w:r>
      <w:r w:rsidRPr="00E46FA7">
        <w:rPr>
          <w:rFonts w:ascii="Times New Roman" w:hAnsi="Times New Roman"/>
          <w:i/>
          <w:iCs/>
          <w:sz w:val="24"/>
          <w:szCs w:val="24"/>
        </w:rPr>
        <w:t xml:space="preserve">H.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 extracts against </w:t>
      </w:r>
      <w:r w:rsidRPr="00E46FA7">
        <w:rPr>
          <w:rFonts w:ascii="Times New Roman" w:hAnsi="Times New Roman"/>
          <w:i/>
          <w:iCs/>
          <w:sz w:val="24"/>
          <w:szCs w:val="24"/>
        </w:rPr>
        <w:t>Staphylococcus aureus</w:t>
      </w:r>
      <w:r w:rsidRPr="00E46FA7">
        <w:rPr>
          <w:rFonts w:ascii="Times New Roman" w:hAnsi="Times New Roman"/>
          <w:sz w:val="24"/>
          <w:szCs w:val="24"/>
        </w:rPr>
        <w:t xml:space="preserve"> and other bacterial pathogens, with ethanol extracts often demonstrating superior activity compared to aqueous extracts due to enhanced extraction of non-polar bioactive constituents (</w:t>
      </w:r>
      <w:proofErr w:type="spellStart"/>
      <w:r w:rsidRPr="00E46FA7">
        <w:rPr>
          <w:rFonts w:ascii="Times New Roman" w:hAnsi="Times New Roman"/>
          <w:sz w:val="24"/>
          <w:szCs w:val="24"/>
        </w:rPr>
        <w:t>Aderele</w:t>
      </w:r>
      <w:proofErr w:type="spellEnd"/>
      <w:r w:rsidRPr="00E46FA7">
        <w:rPr>
          <w:rFonts w:ascii="Times New Roman" w:hAnsi="Times New Roman"/>
          <w:sz w:val="24"/>
          <w:szCs w:val="24"/>
        </w:rPr>
        <w:t xml:space="preserve"> et al., 2020; Salisu et al., 2024). However, most existing studies have either utilized non-clinical reference strains or focused on isolates from non-urinary sources, with limited emphasis on MDR </w:t>
      </w:r>
      <w:proofErr w:type="spellStart"/>
      <w:r w:rsidRPr="00E46FA7">
        <w:rPr>
          <w:rFonts w:ascii="Times New Roman" w:hAnsi="Times New Roman"/>
          <w:sz w:val="24"/>
          <w:szCs w:val="24"/>
        </w:rPr>
        <w:t>uropathogenic</w:t>
      </w:r>
      <w:proofErr w:type="spellEnd"/>
      <w:r w:rsidRPr="00E46FA7">
        <w:rPr>
          <w:rFonts w:ascii="Times New Roman" w:hAnsi="Times New Roman"/>
          <w:sz w:val="24"/>
          <w:szCs w:val="24"/>
        </w:rPr>
        <w:t xml:space="preserve"> </w:t>
      </w:r>
      <w:r w:rsidRPr="00E46FA7">
        <w:rPr>
          <w:rFonts w:ascii="Times New Roman" w:hAnsi="Times New Roman"/>
          <w:i/>
          <w:iCs/>
          <w:sz w:val="24"/>
          <w:szCs w:val="24"/>
        </w:rPr>
        <w:t>S. aureus</w:t>
      </w:r>
      <w:r w:rsidRPr="00E46FA7">
        <w:rPr>
          <w:rFonts w:ascii="Times New Roman" w:hAnsi="Times New Roman"/>
          <w:sz w:val="24"/>
          <w:szCs w:val="24"/>
        </w:rPr>
        <w:t>, particularly within Northwestern Nigeria.</w:t>
      </w:r>
    </w:p>
    <w:p w14:paraId="09474790"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Furthermore, despite increasing reports of MDR </w:t>
      </w:r>
      <w:r w:rsidRPr="00E46FA7">
        <w:rPr>
          <w:rFonts w:ascii="Times New Roman" w:hAnsi="Times New Roman"/>
          <w:i/>
          <w:iCs/>
          <w:sz w:val="24"/>
          <w:szCs w:val="24"/>
        </w:rPr>
        <w:t>S. aureus</w:t>
      </w:r>
      <w:r w:rsidRPr="00E46FA7">
        <w:rPr>
          <w:rFonts w:ascii="Times New Roman" w:hAnsi="Times New Roman"/>
          <w:sz w:val="24"/>
          <w:szCs w:val="24"/>
        </w:rPr>
        <w:t xml:space="preserve"> in Nigerian healthcare facilities, data linking antimicrobial resistance profiles with the in vitro efficacy of locally used medicinal plants remain scarce. This gap limits the rational integration of ethnomedicinal knowledge into evidence-based antimicrobial discovery and infection control strategies.</w:t>
      </w:r>
    </w:p>
    <w:p w14:paraId="0E9120E1" w14:textId="77777777" w:rsidR="00E46FA7" w:rsidRPr="00885E5A"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Therefore, this study was designed to evaluate the antibacterial activity of </w:t>
      </w:r>
      <w:proofErr w:type="spellStart"/>
      <w:r w:rsidRPr="00E46FA7">
        <w:rPr>
          <w:rFonts w:ascii="Times New Roman" w:hAnsi="Times New Roman"/>
          <w:i/>
          <w:iCs/>
          <w:sz w:val="24"/>
          <w:szCs w:val="24"/>
        </w:rPr>
        <w:t>Hunteria</w:t>
      </w:r>
      <w:proofErr w:type="spellEnd"/>
      <w:r w:rsidRPr="00E46FA7">
        <w:rPr>
          <w:rFonts w:ascii="Times New Roman" w:hAnsi="Times New Roman"/>
          <w:i/>
          <w:iCs/>
          <w:sz w:val="24"/>
          <w:szCs w:val="24"/>
        </w:rPr>
        <w:t xml:space="preserve">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 extracts against multidrug-resistant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isolated from urine samples of patients attending General Hospital </w:t>
      </w:r>
      <w:proofErr w:type="spellStart"/>
      <w:r w:rsidRPr="00E46FA7">
        <w:rPr>
          <w:rFonts w:ascii="Times New Roman" w:hAnsi="Times New Roman"/>
          <w:sz w:val="24"/>
          <w:szCs w:val="24"/>
        </w:rPr>
        <w:t>Dutsin</w:t>
      </w:r>
      <w:proofErr w:type="spellEnd"/>
      <w:r w:rsidRPr="00E46FA7">
        <w:rPr>
          <w:rFonts w:ascii="Times New Roman" w:hAnsi="Times New Roman"/>
          <w:sz w:val="24"/>
          <w:szCs w:val="24"/>
        </w:rPr>
        <w:t xml:space="preserve">-Ma, </w:t>
      </w:r>
      <w:proofErr w:type="spellStart"/>
      <w:r w:rsidRPr="00E46FA7">
        <w:rPr>
          <w:rFonts w:ascii="Times New Roman" w:hAnsi="Times New Roman"/>
          <w:sz w:val="24"/>
          <w:szCs w:val="24"/>
        </w:rPr>
        <w:t>Katsina</w:t>
      </w:r>
      <w:proofErr w:type="spellEnd"/>
      <w:r w:rsidRPr="00E46FA7">
        <w:rPr>
          <w:rFonts w:ascii="Times New Roman" w:hAnsi="Times New Roman"/>
          <w:sz w:val="24"/>
          <w:szCs w:val="24"/>
        </w:rPr>
        <w:t xml:space="preserve"> State, Nigeria. By combining antimicrobial susceptibility profiling with phytochemical analysis and extract efficacy testing, this study aims to contribute robust, locally relevant evidence toward the search for alternative therapeutic options against MDR </w:t>
      </w:r>
      <w:proofErr w:type="spellStart"/>
      <w:r w:rsidRPr="00E46FA7">
        <w:rPr>
          <w:rFonts w:ascii="Times New Roman" w:hAnsi="Times New Roman"/>
          <w:sz w:val="24"/>
          <w:szCs w:val="24"/>
        </w:rPr>
        <w:t>uropathogens</w:t>
      </w:r>
      <w:proofErr w:type="spellEnd"/>
      <w:r w:rsidRPr="00E46FA7">
        <w:rPr>
          <w:rFonts w:ascii="Times New Roman" w:hAnsi="Times New Roman"/>
          <w:sz w:val="24"/>
          <w:szCs w:val="24"/>
        </w:rPr>
        <w:t>.</w:t>
      </w:r>
    </w:p>
    <w:p w14:paraId="628D6AAA" w14:textId="77777777" w:rsidR="00BC0696" w:rsidRPr="00885E5A" w:rsidRDefault="00BC0696" w:rsidP="0032611D">
      <w:pPr>
        <w:spacing w:before="240" w:line="240" w:lineRule="auto"/>
        <w:jc w:val="both"/>
        <w:rPr>
          <w:rFonts w:ascii="Times New Roman" w:hAnsi="Times New Roman"/>
          <w:b/>
          <w:bCs/>
          <w:sz w:val="24"/>
          <w:szCs w:val="24"/>
        </w:rPr>
      </w:pPr>
      <w:r w:rsidRPr="00885E5A">
        <w:rPr>
          <w:rFonts w:ascii="Times New Roman" w:hAnsi="Times New Roman"/>
          <w:b/>
          <w:bCs/>
          <w:sz w:val="24"/>
          <w:szCs w:val="24"/>
        </w:rPr>
        <w:t>MATERIALS AND METHODS</w:t>
      </w:r>
    </w:p>
    <w:p w14:paraId="4026E394" w14:textId="77777777" w:rsidR="00BC0696" w:rsidRPr="00885E5A" w:rsidRDefault="00BC0696" w:rsidP="0032611D">
      <w:pPr>
        <w:spacing w:before="240" w:line="240" w:lineRule="auto"/>
        <w:jc w:val="both"/>
        <w:rPr>
          <w:rFonts w:ascii="Times New Roman" w:hAnsi="Times New Roman"/>
          <w:b/>
          <w:bCs/>
          <w:sz w:val="24"/>
          <w:szCs w:val="24"/>
        </w:rPr>
      </w:pPr>
      <w:r w:rsidRPr="00885E5A">
        <w:rPr>
          <w:rFonts w:ascii="Times New Roman" w:hAnsi="Times New Roman"/>
          <w:b/>
          <w:bCs/>
          <w:sz w:val="24"/>
          <w:szCs w:val="24"/>
        </w:rPr>
        <w:t>Study Area and Study Design</w:t>
      </w:r>
    </w:p>
    <w:p w14:paraId="385F714A" w14:textId="77777777" w:rsidR="002E5A44" w:rsidRPr="002E5A44"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This was a laboratory-based experimental study conducted at the Microbiology Laboratory of the Department of Microbiology, Federal University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and General Hospital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a major secondary healthcare facility located in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-Ma Local Government Area (LGA), Katsina State, north-western Nigeria.</w:t>
      </w:r>
    </w:p>
    <w:p w14:paraId="4089FE3F" w14:textId="77777777" w:rsidR="002E5A44" w:rsidRPr="002E5A44" w:rsidRDefault="002E5A44" w:rsidP="002E5A44">
      <w:pPr>
        <w:spacing w:after="160" w:line="240" w:lineRule="auto"/>
        <w:jc w:val="both"/>
        <w:rPr>
          <w:rFonts w:ascii="Times New Roman" w:hAnsi="Times New Roman"/>
          <w:sz w:val="24"/>
          <w:szCs w:val="24"/>
        </w:rPr>
      </w:pP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is situated at approximately latitude 12°27′18″ N and longitude 7°29′29″ E. The Local Government Area occupies an estimated landmass of about 527 km² and had a population of 169,671 according to the 2006 National Population Census (National Population Commission [NPC], 2006). The LGA is bordered by </w:t>
      </w:r>
      <w:proofErr w:type="spellStart"/>
      <w:r w:rsidRPr="002E5A44">
        <w:rPr>
          <w:rFonts w:ascii="Times New Roman" w:hAnsi="Times New Roman"/>
          <w:sz w:val="24"/>
          <w:szCs w:val="24"/>
        </w:rPr>
        <w:t>Kurfi</w:t>
      </w:r>
      <w:proofErr w:type="spellEnd"/>
      <w:r w:rsidRPr="002E5A44">
        <w:rPr>
          <w:rFonts w:ascii="Times New Roman" w:hAnsi="Times New Roman"/>
          <w:sz w:val="24"/>
          <w:szCs w:val="24"/>
        </w:rPr>
        <w:t xml:space="preserve"> and </w:t>
      </w:r>
      <w:proofErr w:type="spellStart"/>
      <w:r w:rsidRPr="002E5A44">
        <w:rPr>
          <w:rFonts w:ascii="Times New Roman" w:hAnsi="Times New Roman"/>
          <w:sz w:val="24"/>
          <w:szCs w:val="24"/>
        </w:rPr>
        <w:t>Charanchi</w:t>
      </w:r>
      <w:proofErr w:type="spellEnd"/>
      <w:r w:rsidRPr="002E5A44">
        <w:rPr>
          <w:rFonts w:ascii="Times New Roman" w:hAnsi="Times New Roman"/>
          <w:sz w:val="24"/>
          <w:szCs w:val="24"/>
        </w:rPr>
        <w:t xml:space="preserve"> LGAs to the north, </w:t>
      </w:r>
      <w:proofErr w:type="spellStart"/>
      <w:r w:rsidRPr="002E5A44">
        <w:rPr>
          <w:rFonts w:ascii="Times New Roman" w:hAnsi="Times New Roman"/>
          <w:sz w:val="24"/>
          <w:szCs w:val="24"/>
        </w:rPr>
        <w:t>Kankia</w:t>
      </w:r>
      <w:proofErr w:type="spellEnd"/>
      <w:r w:rsidRPr="002E5A44">
        <w:rPr>
          <w:rFonts w:ascii="Times New Roman" w:hAnsi="Times New Roman"/>
          <w:sz w:val="24"/>
          <w:szCs w:val="24"/>
        </w:rPr>
        <w:t xml:space="preserve"> LGA to the east, Safana and Dan-Musa LGAs to the west, and </w:t>
      </w:r>
      <w:proofErr w:type="spellStart"/>
      <w:r w:rsidRPr="002E5A44">
        <w:rPr>
          <w:rFonts w:ascii="Times New Roman" w:hAnsi="Times New Roman"/>
          <w:sz w:val="24"/>
          <w:szCs w:val="24"/>
        </w:rPr>
        <w:t>Matazu</w:t>
      </w:r>
      <w:proofErr w:type="spellEnd"/>
      <w:r w:rsidRPr="002E5A44">
        <w:rPr>
          <w:rFonts w:ascii="Times New Roman" w:hAnsi="Times New Roman"/>
          <w:sz w:val="24"/>
          <w:szCs w:val="24"/>
        </w:rPr>
        <w:t xml:space="preserve"> LGA to the south.</w:t>
      </w:r>
    </w:p>
    <w:p w14:paraId="08EB92FA" w14:textId="77777777" w:rsidR="002E5A44" w:rsidRPr="002E5A44"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The town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serves as the administrative headquarters of the LGA and hosts the General Hospital, which functions as the primary referral and secondary healthcare facility for residents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-Ma and surrounding rural communities. The hospital provides a broad range of medical services, including outpatient and inpatient care, as well as diagnostic laboratory services, and receives a substantial number of patients presenting with infectious diseases, including urinary tract infections (UTIs).</w:t>
      </w:r>
    </w:p>
    <w:p w14:paraId="12D93F63" w14:textId="77777777" w:rsidR="002E5A44" w:rsidRPr="00885E5A"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The semi-urban nature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coupled with limited access to advanced tertiary healthcare facilities in </w:t>
      </w:r>
      <w:proofErr w:type="spellStart"/>
      <w:r w:rsidRPr="002E5A44">
        <w:rPr>
          <w:rFonts w:ascii="Times New Roman" w:hAnsi="Times New Roman"/>
          <w:sz w:val="24"/>
          <w:szCs w:val="24"/>
        </w:rPr>
        <w:t>neighbouring</w:t>
      </w:r>
      <w:proofErr w:type="spellEnd"/>
      <w:r w:rsidRPr="002E5A44">
        <w:rPr>
          <w:rFonts w:ascii="Times New Roman" w:hAnsi="Times New Roman"/>
          <w:sz w:val="24"/>
          <w:szCs w:val="24"/>
        </w:rPr>
        <w:t xml:space="preserve"> communities, results in heavy reliance on the General Hospital for diagnosis and treatment.</w:t>
      </w:r>
      <w:r w:rsidRPr="00885E5A">
        <w:rPr>
          <w:rFonts w:ascii="Times New Roman" w:hAnsi="Times New Roman"/>
          <w:sz w:val="24"/>
          <w:szCs w:val="24"/>
        </w:rPr>
        <w:t xml:space="preserve"> This context provides a suitable setting for investigating the occurrence, antimicrobial resistance patterns, and alternative treatment options for </w:t>
      </w:r>
      <w:proofErr w:type="spellStart"/>
      <w:r w:rsidRPr="00885E5A">
        <w:rPr>
          <w:rFonts w:ascii="Times New Roman" w:hAnsi="Times New Roman"/>
          <w:sz w:val="24"/>
          <w:szCs w:val="24"/>
        </w:rPr>
        <w:t>uropathogenic</w:t>
      </w:r>
      <w:proofErr w:type="spellEnd"/>
      <w:r w:rsidRPr="00885E5A">
        <w:rPr>
          <w:rFonts w:ascii="Times New Roman" w:hAnsi="Times New Roman"/>
          <w:sz w:val="24"/>
          <w:szCs w:val="24"/>
        </w:rPr>
        <w:t xml:space="preserve"> bacteria, particularly multidrug-resistant </w:t>
      </w:r>
      <w:r w:rsidRPr="00885E5A">
        <w:rPr>
          <w:rFonts w:ascii="Times New Roman" w:hAnsi="Times New Roman"/>
          <w:i/>
          <w:iCs/>
          <w:sz w:val="24"/>
          <w:szCs w:val="24"/>
        </w:rPr>
        <w:t>Staphylococcus aureus</w:t>
      </w:r>
      <w:r w:rsidRPr="00885E5A">
        <w:rPr>
          <w:rFonts w:ascii="Times New Roman" w:hAnsi="Times New Roman"/>
          <w:sz w:val="24"/>
          <w:szCs w:val="24"/>
        </w:rPr>
        <w:t xml:space="preserve"> isolated from clinical specimens.</w:t>
      </w:r>
    </w:p>
    <w:p w14:paraId="1D490CFC" w14:textId="77777777" w:rsidR="00BC0696" w:rsidRPr="00BC0696" w:rsidRDefault="00BC0696" w:rsidP="0032611D">
      <w:pPr>
        <w:spacing w:before="240" w:line="240" w:lineRule="auto"/>
        <w:jc w:val="both"/>
        <w:rPr>
          <w:rFonts w:ascii="Times New Roman" w:hAnsi="Times New Roman"/>
          <w:b/>
          <w:bCs/>
          <w:sz w:val="24"/>
          <w:szCs w:val="24"/>
        </w:rPr>
      </w:pPr>
      <w:r w:rsidRPr="00BC0696">
        <w:rPr>
          <w:rFonts w:ascii="Times New Roman" w:hAnsi="Times New Roman"/>
          <w:b/>
          <w:bCs/>
          <w:sz w:val="24"/>
          <w:szCs w:val="24"/>
        </w:rPr>
        <w:t>Sample Collection</w:t>
      </w:r>
    </w:p>
    <w:p w14:paraId="1683E6BB" w14:textId="78699927" w:rsidR="00BC0696" w:rsidRPr="00BC0696" w:rsidRDefault="00BC0696" w:rsidP="0032611D">
      <w:pPr>
        <w:spacing w:before="240" w:line="240" w:lineRule="auto"/>
        <w:jc w:val="both"/>
        <w:rPr>
          <w:rFonts w:ascii="Times New Roman" w:hAnsi="Times New Roman"/>
          <w:sz w:val="24"/>
          <w:szCs w:val="24"/>
        </w:rPr>
      </w:pPr>
      <w:r w:rsidRPr="00BC0696">
        <w:rPr>
          <w:rFonts w:ascii="Times New Roman" w:hAnsi="Times New Roman"/>
          <w:sz w:val="24"/>
          <w:szCs w:val="24"/>
        </w:rPr>
        <w:lastRenderedPageBreak/>
        <w:t xml:space="preserve">A total of 50 urine samples were collected from patients presenting with clinical symptoms suggestive of urinary tract infection (UTI), including dysuria, urinary frequency, suprapubic pain, and cloudy urine. Midstream urine samples were collected aseptically into sterile, wide-mouth containers following standard instructions to minimize contamination (Cheesbrough, 2019). Samples were transported to the </w:t>
      </w:r>
      <w:r w:rsidR="001410C2" w:rsidRPr="002E5A44">
        <w:rPr>
          <w:rFonts w:ascii="Times New Roman" w:hAnsi="Times New Roman"/>
          <w:sz w:val="24"/>
          <w:szCs w:val="24"/>
        </w:rPr>
        <w:t xml:space="preserve">Microbiology Laboratory of the Department of Microbiology, Federal University </w:t>
      </w:r>
      <w:proofErr w:type="spellStart"/>
      <w:r w:rsidR="001410C2" w:rsidRPr="002E5A44">
        <w:rPr>
          <w:rFonts w:ascii="Times New Roman" w:hAnsi="Times New Roman"/>
          <w:sz w:val="24"/>
          <w:szCs w:val="24"/>
        </w:rPr>
        <w:t>Dutsin</w:t>
      </w:r>
      <w:proofErr w:type="spellEnd"/>
      <w:r w:rsidR="001410C2" w:rsidRPr="002E5A44">
        <w:rPr>
          <w:rFonts w:ascii="Times New Roman" w:hAnsi="Times New Roman"/>
          <w:sz w:val="24"/>
          <w:szCs w:val="24"/>
        </w:rPr>
        <w:t>-Ma</w:t>
      </w:r>
      <w:r w:rsidR="001410C2" w:rsidRPr="00885E5A">
        <w:rPr>
          <w:rFonts w:ascii="Times New Roman" w:hAnsi="Times New Roman"/>
          <w:sz w:val="24"/>
          <w:szCs w:val="24"/>
        </w:rPr>
        <w:t xml:space="preserve"> </w:t>
      </w:r>
      <w:r w:rsidRPr="00BC0696">
        <w:rPr>
          <w:rFonts w:ascii="Times New Roman" w:hAnsi="Times New Roman"/>
          <w:sz w:val="24"/>
          <w:szCs w:val="24"/>
        </w:rPr>
        <w:t>within one hour of collection and processed immediately.</w:t>
      </w:r>
    </w:p>
    <w:p w14:paraId="66D8A48E" w14:textId="1C486644" w:rsidR="00BC0696" w:rsidRPr="00885E5A" w:rsidRDefault="00BC0696"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Isolation and Identification of </w:t>
      </w:r>
      <w:r w:rsidRPr="00885E5A">
        <w:rPr>
          <w:rFonts w:ascii="Times New Roman" w:hAnsi="Times New Roman"/>
          <w:b/>
          <w:bCs/>
          <w:i/>
          <w:iCs/>
          <w:sz w:val="24"/>
          <w:szCs w:val="24"/>
        </w:rPr>
        <w:t>Staphylococcus aureus</w:t>
      </w:r>
      <w:r w:rsidRPr="00885E5A">
        <w:rPr>
          <w:rFonts w:ascii="Times New Roman" w:hAnsi="Times New Roman"/>
          <w:sz w:val="24"/>
          <w:szCs w:val="24"/>
        </w:rPr>
        <w:br/>
        <w:t>Each urine sample was mixed thoroughly, and a calibrated 1µL loop was used to inoculate onto the surface of freshly prepared 5% Sheep Blood Agar (SBA) and Mannitol Salt Agar (MSA) plates (Oxoid, UK). The plates were incubated aerobically at 37°C for 18-24 hours. Presumptive identification of </w:t>
      </w:r>
      <w:r w:rsidRPr="00885E5A">
        <w:rPr>
          <w:rFonts w:ascii="Times New Roman" w:hAnsi="Times New Roman"/>
          <w:i/>
          <w:iCs/>
          <w:sz w:val="24"/>
          <w:szCs w:val="24"/>
        </w:rPr>
        <w:t>S. aureus</w:t>
      </w:r>
      <w:r w:rsidRPr="00885E5A">
        <w:rPr>
          <w:rFonts w:ascii="Times New Roman" w:hAnsi="Times New Roman"/>
          <w:sz w:val="24"/>
          <w:szCs w:val="24"/>
        </w:rPr>
        <w:t> was based on colony morphology: medium to large, smooth, convex, golden-yellow colonies on SBA, and similar colonies surrounded by a yellow zone (indicating mannitol fermentation) on MSA. Presumptive </w:t>
      </w:r>
      <w:r w:rsidRPr="00885E5A">
        <w:rPr>
          <w:rFonts w:ascii="Times New Roman" w:hAnsi="Times New Roman"/>
          <w:i/>
          <w:iCs/>
          <w:sz w:val="24"/>
          <w:szCs w:val="24"/>
        </w:rPr>
        <w:t>S. aureus</w:t>
      </w:r>
      <w:r w:rsidRPr="00885E5A">
        <w:rPr>
          <w:rFonts w:ascii="Times New Roman" w:hAnsi="Times New Roman"/>
          <w:sz w:val="24"/>
          <w:szCs w:val="24"/>
        </w:rPr>
        <w:t xml:space="preserve"> colonies (yellow on MSA) were subjected to standard biochemical tests: catalase test (3% H₂O₂), slide and tube coagulase tests (rabbit plasma), DNase test on DNase agar, and mannitol fermentation confirmation </w:t>
      </w:r>
      <w:r w:rsidR="002779B2" w:rsidRPr="00885E5A">
        <w:rPr>
          <w:rFonts w:ascii="Times New Roman" w:hAnsi="Times New Roman"/>
          <w:sz w:val="24"/>
          <w:szCs w:val="24"/>
        </w:rPr>
        <w:t>Cheesbrough (2019)</w:t>
      </w:r>
      <w:r w:rsidRPr="00885E5A">
        <w:rPr>
          <w:rFonts w:ascii="Times New Roman" w:hAnsi="Times New Roman"/>
          <w:sz w:val="24"/>
          <w:szCs w:val="24"/>
        </w:rPr>
        <w:t>.</w:t>
      </w:r>
    </w:p>
    <w:p w14:paraId="3A09DB6C" w14:textId="4F7FCAC2" w:rsidR="00BC0696" w:rsidRPr="00885E5A" w:rsidRDefault="00470612"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Antibiotic Susceptibility Testing (AST)</w:t>
      </w:r>
      <w:r w:rsidRPr="00885E5A">
        <w:rPr>
          <w:rFonts w:ascii="Times New Roman" w:hAnsi="Times New Roman"/>
          <w:sz w:val="24"/>
          <w:szCs w:val="24"/>
        </w:rPr>
        <w:br/>
        <w:t>Antibiotic susceptibility testing was performed on all confirmed </w:t>
      </w:r>
      <w:r w:rsidRPr="00885E5A">
        <w:rPr>
          <w:rFonts w:ascii="Times New Roman" w:hAnsi="Times New Roman"/>
          <w:i/>
          <w:iCs/>
          <w:sz w:val="24"/>
          <w:szCs w:val="24"/>
        </w:rPr>
        <w:t>S. aureus</w:t>
      </w:r>
      <w:r w:rsidRPr="00885E5A">
        <w:rPr>
          <w:rFonts w:ascii="Times New Roman" w:hAnsi="Times New Roman"/>
          <w:sz w:val="24"/>
          <w:szCs w:val="24"/>
        </w:rPr>
        <w:t> isolates using the Kirby-Bauer disk diffusion method on Mueller-Hinton Agar (MHA) (Oxoid, UK) as per the Clinical and Laboratory Standards Institute guidelines (CLSI, 2023). A 0.5 McFarland standard suspension of each isolate was prepared in sterile saline and uniformly lawn-cultured on MHA plates. The following antibiotic disks (Oxoid, UK) were aseptically placed: Ampicillin (10µg), Cefoxitin (30 µg), Erythromycin (15µg), Clindamycin (2µg), Ciprofloxacin (5µg), Gentamicin (10µg), Tetracycline (30 µg), Trimethoprim-Sulfamethoxazole (1.25/23.75 µg), Chloramphenicol (30 µg), Rifampicin (5µg), and Vancomycin (30µg). Cefoxitin disk diffusion served as the surrogate test for </w:t>
      </w:r>
      <w:proofErr w:type="spellStart"/>
      <w:r w:rsidRPr="00885E5A">
        <w:rPr>
          <w:rFonts w:ascii="Times New Roman" w:hAnsi="Times New Roman"/>
          <w:i/>
          <w:iCs/>
          <w:sz w:val="24"/>
          <w:szCs w:val="24"/>
        </w:rPr>
        <w:t>mecA</w:t>
      </w:r>
      <w:proofErr w:type="spellEnd"/>
      <w:r w:rsidRPr="00885E5A">
        <w:rPr>
          <w:rFonts w:ascii="Times New Roman" w:hAnsi="Times New Roman"/>
          <w:sz w:val="24"/>
          <w:szCs w:val="24"/>
        </w:rPr>
        <w:t xml:space="preserve">-mediated oxacillin resistance (MRSA). Plates were incubated at </w:t>
      </w:r>
      <w:r w:rsidR="002779B2" w:rsidRPr="00885E5A">
        <w:rPr>
          <w:rFonts w:ascii="Times New Roman" w:hAnsi="Times New Roman"/>
          <w:sz w:val="24"/>
          <w:szCs w:val="24"/>
        </w:rPr>
        <w:t>35–37°C for 16–24 hours in accordance with CLSI guidelines</w:t>
      </w:r>
      <w:r w:rsidRPr="00885E5A">
        <w:rPr>
          <w:rFonts w:ascii="Times New Roman" w:hAnsi="Times New Roman"/>
          <w:sz w:val="24"/>
          <w:szCs w:val="24"/>
        </w:rPr>
        <w:t xml:space="preserve">. Zone diameters were measured to the nearest millimeter and interpreted using CLSI M100 2023 breakpoints. Multidrug resistance was defined according to the criteria proposed by </w:t>
      </w:r>
      <w:proofErr w:type="spellStart"/>
      <w:r w:rsidRPr="00885E5A">
        <w:rPr>
          <w:rFonts w:ascii="Times New Roman" w:hAnsi="Times New Roman"/>
          <w:sz w:val="24"/>
          <w:szCs w:val="24"/>
        </w:rPr>
        <w:t>Magiorakos</w:t>
      </w:r>
      <w:proofErr w:type="spellEnd"/>
      <w:r w:rsidRPr="00885E5A">
        <w:rPr>
          <w:rFonts w:ascii="Times New Roman" w:hAnsi="Times New Roman"/>
          <w:sz w:val="24"/>
          <w:szCs w:val="24"/>
        </w:rPr>
        <w:t xml:space="preserve"> et al. (2012), where isolates resistant to </w:t>
      </w:r>
      <w:r w:rsidR="00C71D3A" w:rsidRPr="00885E5A">
        <w:rPr>
          <w:rFonts w:ascii="Times New Roman" w:hAnsi="Times New Roman"/>
          <w:sz w:val="24"/>
          <w:szCs w:val="24"/>
        </w:rPr>
        <w:t xml:space="preserve">≥1 agent in ≥3 antimicrobial classes, in line with </w:t>
      </w:r>
      <w:proofErr w:type="spellStart"/>
      <w:r w:rsidR="00C71D3A" w:rsidRPr="00885E5A">
        <w:rPr>
          <w:rFonts w:ascii="Times New Roman" w:hAnsi="Times New Roman"/>
          <w:sz w:val="24"/>
          <w:szCs w:val="24"/>
        </w:rPr>
        <w:t>Magiorakos</w:t>
      </w:r>
      <w:proofErr w:type="spellEnd"/>
      <w:r w:rsidR="00C71D3A" w:rsidRPr="00885E5A">
        <w:rPr>
          <w:rFonts w:ascii="Times New Roman" w:hAnsi="Times New Roman"/>
          <w:sz w:val="24"/>
          <w:szCs w:val="24"/>
        </w:rPr>
        <w:t xml:space="preserve"> et al. (2012).</w:t>
      </w:r>
    </w:p>
    <w:p w14:paraId="181570A3" w14:textId="522DF6AB" w:rsidR="00470612" w:rsidRPr="00470612" w:rsidRDefault="00470612" w:rsidP="0032611D">
      <w:pPr>
        <w:spacing w:before="240" w:line="240" w:lineRule="auto"/>
        <w:jc w:val="both"/>
        <w:rPr>
          <w:rFonts w:ascii="Times New Roman" w:hAnsi="Times New Roman"/>
          <w:sz w:val="24"/>
          <w:szCs w:val="24"/>
        </w:rPr>
      </w:pPr>
      <w:r w:rsidRPr="00470612">
        <w:rPr>
          <w:rFonts w:ascii="Times New Roman" w:hAnsi="Times New Roman"/>
          <w:b/>
          <w:bCs/>
          <w:sz w:val="24"/>
          <w:szCs w:val="24"/>
        </w:rPr>
        <w:t>Plant Material Collection</w:t>
      </w:r>
      <w:r w:rsidRPr="00885E5A">
        <w:rPr>
          <w:rFonts w:ascii="Times New Roman" w:hAnsi="Times New Roman"/>
          <w:b/>
          <w:bCs/>
          <w:sz w:val="24"/>
          <w:szCs w:val="24"/>
        </w:rPr>
        <w:t xml:space="preserve"> </w:t>
      </w:r>
      <w:r w:rsidRPr="00470612">
        <w:rPr>
          <w:rFonts w:ascii="Times New Roman" w:hAnsi="Times New Roman"/>
          <w:b/>
          <w:bCs/>
          <w:sz w:val="24"/>
          <w:szCs w:val="24"/>
        </w:rPr>
        <w:t xml:space="preserve">and Authentication, </w:t>
      </w:r>
      <w:r w:rsidRPr="00470612">
        <w:rPr>
          <w:rFonts w:ascii="Times New Roman" w:hAnsi="Times New Roman"/>
          <w:sz w:val="24"/>
          <w:szCs w:val="24"/>
        </w:rPr>
        <w:br/>
        <w:t>Fresh, mature fruits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were collected from the wild in </w:t>
      </w:r>
      <w:proofErr w:type="spellStart"/>
      <w:r w:rsidRPr="00470612">
        <w:rPr>
          <w:rFonts w:ascii="Times New Roman" w:hAnsi="Times New Roman"/>
          <w:sz w:val="24"/>
          <w:szCs w:val="24"/>
        </w:rPr>
        <w:t>Dutsinma</w:t>
      </w:r>
      <w:proofErr w:type="spellEnd"/>
      <w:r w:rsidRPr="00470612">
        <w:rPr>
          <w:rFonts w:ascii="Times New Roman" w:hAnsi="Times New Roman"/>
          <w:sz w:val="24"/>
          <w:szCs w:val="24"/>
        </w:rPr>
        <w:t xml:space="preserve"> Local Government Area, Katsina State, Nigeria, in May 2023. Botanical identification and authentication were performed by a taxonomist at the Herbarium of the Department of Plant Science and Biotechnology, Federal University </w:t>
      </w:r>
      <w:proofErr w:type="spellStart"/>
      <w:r w:rsidRPr="00470612">
        <w:rPr>
          <w:rFonts w:ascii="Times New Roman" w:hAnsi="Times New Roman"/>
          <w:sz w:val="24"/>
          <w:szCs w:val="24"/>
        </w:rPr>
        <w:t>Dutsin</w:t>
      </w:r>
      <w:proofErr w:type="spellEnd"/>
      <w:r w:rsidRPr="00470612">
        <w:rPr>
          <w:rFonts w:ascii="Times New Roman" w:hAnsi="Times New Roman"/>
          <w:sz w:val="24"/>
          <w:szCs w:val="24"/>
        </w:rPr>
        <w:t>-Ma, where a voucher specimen (Voucher No.: FUDMA/H/2023/015) was deposited for future reference. The seeds were manually separated from the pulp, rinsed with distilled water, and air-dried in the shade at room temperature (25±2°C) for three weeks. The dried seeds were pulverized into a fine powder using an electric blender (</w:t>
      </w:r>
      <w:proofErr w:type="spellStart"/>
      <w:r w:rsidRPr="00470612">
        <w:rPr>
          <w:rFonts w:ascii="Times New Roman" w:hAnsi="Times New Roman"/>
          <w:sz w:val="24"/>
          <w:szCs w:val="24"/>
        </w:rPr>
        <w:t>Binatone</w:t>
      </w:r>
      <w:proofErr w:type="spellEnd"/>
      <w:r w:rsidRPr="00470612">
        <w:rPr>
          <w:rFonts w:ascii="Times New Roman" w:hAnsi="Times New Roman"/>
          <w:sz w:val="24"/>
          <w:szCs w:val="24"/>
        </w:rPr>
        <w:t>, BLG-450).</w:t>
      </w:r>
    </w:p>
    <w:p w14:paraId="139CD356" w14:textId="58CEEEE4" w:rsidR="00470612" w:rsidRPr="00885E5A" w:rsidRDefault="00470612"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 xml:space="preserve">Plant </w:t>
      </w:r>
      <w:r w:rsidRPr="00470612">
        <w:rPr>
          <w:rFonts w:ascii="Times New Roman" w:hAnsi="Times New Roman"/>
          <w:b/>
          <w:bCs/>
          <w:sz w:val="24"/>
          <w:szCs w:val="24"/>
        </w:rPr>
        <w:t>Extraction</w:t>
      </w:r>
    </w:p>
    <w:p w14:paraId="098ECDC6" w14:textId="2E907620" w:rsidR="00470612" w:rsidRPr="00470612" w:rsidRDefault="00470612" w:rsidP="0032611D">
      <w:pPr>
        <w:spacing w:before="240" w:line="240" w:lineRule="auto"/>
        <w:jc w:val="both"/>
        <w:rPr>
          <w:rFonts w:ascii="Times New Roman" w:hAnsi="Times New Roman"/>
          <w:sz w:val="24"/>
          <w:szCs w:val="24"/>
        </w:rPr>
      </w:pPr>
      <w:r w:rsidRPr="00470612">
        <w:rPr>
          <w:rFonts w:ascii="Times New Roman" w:hAnsi="Times New Roman"/>
          <w:sz w:val="24"/>
          <w:szCs w:val="24"/>
        </w:rPr>
        <w:t xml:space="preserve">For extraction, 500 g of the powdered seeds were divided into two equal parts (250 g each). One part was subjected to cold maceration with 1250 mL of absolute ethanol for 72 hours with intermittent shaking. The other part was macerated with 1250 mL of sterile distilled water. The </w:t>
      </w:r>
      <w:r w:rsidRPr="00470612">
        <w:rPr>
          <w:rFonts w:ascii="Times New Roman" w:hAnsi="Times New Roman"/>
          <w:sz w:val="24"/>
          <w:szCs w:val="24"/>
        </w:rPr>
        <w:lastRenderedPageBreak/>
        <w:t>mixtures were filtered first through sterile muslin cloth and then through Whatman No. 1 filter paper. The ethanol filtrate was concentrated under reduced pressure at 40°C using a rotary evaporator (</w:t>
      </w:r>
      <w:proofErr w:type="spellStart"/>
      <w:r w:rsidRPr="00470612">
        <w:rPr>
          <w:rFonts w:ascii="Times New Roman" w:hAnsi="Times New Roman"/>
          <w:sz w:val="24"/>
          <w:szCs w:val="24"/>
        </w:rPr>
        <w:t>Büchi</w:t>
      </w:r>
      <w:proofErr w:type="spellEnd"/>
      <w:r w:rsidRPr="00470612">
        <w:rPr>
          <w:rFonts w:ascii="Times New Roman" w:hAnsi="Times New Roman"/>
          <w:sz w:val="24"/>
          <w:szCs w:val="24"/>
        </w:rPr>
        <w:t xml:space="preserve"> Rotavapor R-300). The aqueous filtrate was freeze-dried (</w:t>
      </w:r>
      <w:proofErr w:type="spellStart"/>
      <w:r w:rsidRPr="00470612">
        <w:rPr>
          <w:rFonts w:ascii="Times New Roman" w:hAnsi="Times New Roman"/>
          <w:sz w:val="24"/>
          <w:szCs w:val="24"/>
        </w:rPr>
        <w:t>Labconco</w:t>
      </w:r>
      <w:proofErr w:type="spellEnd"/>
      <w:r w:rsidRPr="00470612">
        <w:rPr>
          <w:rFonts w:ascii="Times New Roman" w:hAnsi="Times New Roman"/>
          <w:sz w:val="24"/>
          <w:szCs w:val="24"/>
        </w:rPr>
        <w:t xml:space="preserve"> </w:t>
      </w:r>
      <w:proofErr w:type="spellStart"/>
      <w:r w:rsidRPr="00470612">
        <w:rPr>
          <w:rFonts w:ascii="Times New Roman" w:hAnsi="Times New Roman"/>
          <w:sz w:val="24"/>
          <w:szCs w:val="24"/>
        </w:rPr>
        <w:t>FreeZone</w:t>
      </w:r>
      <w:proofErr w:type="spellEnd"/>
      <w:r w:rsidRPr="00470612">
        <w:rPr>
          <w:rFonts w:ascii="Times New Roman" w:hAnsi="Times New Roman"/>
          <w:sz w:val="24"/>
          <w:szCs w:val="24"/>
        </w:rPr>
        <w:t xml:space="preserve"> 4.5) to obtain the dry crude extract. The percentage yields were calculated. The extracts were stored in airtight, amber-colored glass containers at 4°C until use.</w:t>
      </w:r>
    </w:p>
    <w:p w14:paraId="56A68B14" w14:textId="3585E5BD" w:rsidR="00470612" w:rsidRPr="00885E5A" w:rsidRDefault="00470612" w:rsidP="0032611D">
      <w:pPr>
        <w:spacing w:before="240" w:line="240" w:lineRule="auto"/>
        <w:jc w:val="both"/>
        <w:rPr>
          <w:rFonts w:ascii="Times New Roman" w:hAnsi="Times New Roman"/>
          <w:sz w:val="24"/>
          <w:szCs w:val="24"/>
        </w:rPr>
      </w:pPr>
      <w:r w:rsidRPr="00470612">
        <w:rPr>
          <w:rFonts w:ascii="Times New Roman" w:hAnsi="Times New Roman"/>
          <w:b/>
          <w:bCs/>
          <w:sz w:val="24"/>
          <w:szCs w:val="24"/>
        </w:rPr>
        <w:t>Qualitative Phytochemical Screening</w:t>
      </w:r>
      <w:r w:rsidRPr="00470612">
        <w:rPr>
          <w:rFonts w:ascii="Times New Roman" w:hAnsi="Times New Roman"/>
          <w:sz w:val="24"/>
          <w:szCs w:val="24"/>
        </w:rPr>
        <w:br/>
        <w:t xml:space="preserve">Standard qualitative phytochemical tests were conducted on both crude extracts to identify major classes of secondary metabolites, following established protocols (Harborne, 1998; </w:t>
      </w:r>
      <w:proofErr w:type="spellStart"/>
      <w:r w:rsidRPr="00470612">
        <w:rPr>
          <w:rFonts w:ascii="Times New Roman" w:hAnsi="Times New Roman"/>
          <w:sz w:val="24"/>
          <w:szCs w:val="24"/>
        </w:rPr>
        <w:t>Sofowora</w:t>
      </w:r>
      <w:proofErr w:type="spellEnd"/>
      <w:r w:rsidRPr="00470612">
        <w:rPr>
          <w:rFonts w:ascii="Times New Roman" w:hAnsi="Times New Roman"/>
          <w:sz w:val="24"/>
          <w:szCs w:val="24"/>
        </w:rPr>
        <w:t>, 1993).</w:t>
      </w:r>
      <w:r w:rsidRPr="00885E5A">
        <w:rPr>
          <w:rFonts w:ascii="Times New Roman" w:hAnsi="Times New Roman"/>
          <w:sz w:val="24"/>
          <w:szCs w:val="24"/>
        </w:rPr>
        <w:t xml:space="preserve"> Tests were performed for alkaloids (Mayer’s test), tannins (Ferric chloride test), saponins (Foam test), flavonoids (Alkaline reagent test), Steroids (Liebermann-Burchard Test) and terpenoids (Salkowski test). These tests were based on characteristic </w:t>
      </w:r>
      <w:proofErr w:type="spellStart"/>
      <w:r w:rsidRPr="00885E5A">
        <w:rPr>
          <w:rFonts w:ascii="Times New Roman" w:hAnsi="Times New Roman"/>
          <w:sz w:val="24"/>
          <w:szCs w:val="24"/>
        </w:rPr>
        <w:t>colour</w:t>
      </w:r>
      <w:proofErr w:type="spellEnd"/>
      <w:r w:rsidRPr="00885E5A">
        <w:rPr>
          <w:rFonts w:ascii="Times New Roman" w:hAnsi="Times New Roman"/>
          <w:sz w:val="24"/>
          <w:szCs w:val="24"/>
        </w:rPr>
        <w:t xml:space="preserve"> reactions and precipitate formation indicative of specific phytochemical classes.</w:t>
      </w:r>
    </w:p>
    <w:p w14:paraId="3A5A8991" w14:textId="76FB9CA6" w:rsidR="00BF6EEA" w:rsidRPr="00BF6EEA" w:rsidRDefault="00BF6EEA" w:rsidP="0032611D">
      <w:pPr>
        <w:spacing w:before="240" w:line="240" w:lineRule="auto"/>
        <w:jc w:val="both"/>
        <w:rPr>
          <w:rFonts w:ascii="Times New Roman" w:hAnsi="Times New Roman"/>
          <w:sz w:val="24"/>
          <w:szCs w:val="24"/>
        </w:rPr>
      </w:pPr>
      <w:r w:rsidRPr="00BF6EEA">
        <w:rPr>
          <w:rFonts w:ascii="Times New Roman" w:hAnsi="Times New Roman"/>
          <w:b/>
          <w:bCs/>
          <w:sz w:val="24"/>
          <w:szCs w:val="24"/>
        </w:rPr>
        <w:t>Preparation of Extract Stock Solutions</w:t>
      </w:r>
      <w:r w:rsidRPr="00BF6EEA">
        <w:rPr>
          <w:rFonts w:ascii="Times New Roman" w:hAnsi="Times New Roman"/>
          <w:sz w:val="24"/>
          <w:szCs w:val="24"/>
        </w:rPr>
        <w:br/>
      </w:r>
      <w:r w:rsidRPr="00BF6EEA">
        <w:rPr>
          <w:rFonts w:ascii="Times New Roman" w:hAnsi="Times New Roman"/>
          <w:sz w:val="24"/>
          <w:szCs w:val="24"/>
          <w:highlight w:val="green"/>
        </w:rPr>
        <w:t>For antibacterial assays, stock solutions of the crude ethanol and aqueous extracts were prepared by dissolving 1 g of each dried extract in 10 mL of the respective extraction solvent (ethanol for ethanol extract; sterile distilled water for aqueous extract) to obtain a final stock concentration of 100 mg/</w:t>
      </w:r>
      <w:proofErr w:type="spellStart"/>
      <w:r w:rsidRPr="00BF6EEA">
        <w:rPr>
          <w:rFonts w:ascii="Times New Roman" w:hAnsi="Times New Roman"/>
          <w:sz w:val="24"/>
          <w:szCs w:val="24"/>
          <w:highlight w:val="green"/>
        </w:rPr>
        <w:t>mL.</w:t>
      </w:r>
      <w:proofErr w:type="spellEnd"/>
      <w:r w:rsidRPr="00BF6EEA">
        <w:rPr>
          <w:rFonts w:ascii="Times New Roman" w:hAnsi="Times New Roman"/>
          <w:sz w:val="24"/>
          <w:szCs w:val="24"/>
          <w:highlight w:val="green"/>
        </w:rPr>
        <w:t xml:space="preserve"> The solutions were vortexed and sterilized by membrane filtration using 0.45 µm syringe filters. Working concentrations of 50, 25, 12.5, and 6.25 mg/mL were prepared by two-fold serial dilution of the stock solution using sterile Mueller–Hinton broth. The solvent control (10% DMSO or distilled water) showed no inhibitory activity.</w:t>
      </w:r>
    </w:p>
    <w:p w14:paraId="17814ADD" w14:textId="699954E3" w:rsidR="006027EC" w:rsidRPr="006027EC" w:rsidRDefault="006027EC" w:rsidP="0032611D">
      <w:pPr>
        <w:spacing w:before="240" w:line="240" w:lineRule="auto"/>
        <w:jc w:val="both"/>
        <w:rPr>
          <w:rFonts w:ascii="Times New Roman" w:hAnsi="Times New Roman"/>
          <w:b/>
          <w:bCs/>
          <w:sz w:val="24"/>
          <w:szCs w:val="24"/>
        </w:rPr>
      </w:pPr>
      <w:r w:rsidRPr="006027EC">
        <w:rPr>
          <w:rFonts w:ascii="Times New Roman" w:hAnsi="Times New Roman"/>
          <w:b/>
          <w:bCs/>
          <w:sz w:val="24"/>
          <w:szCs w:val="24"/>
        </w:rPr>
        <w:t>In Vitro Antibacterial Activity of Plant Extracts</w:t>
      </w:r>
    </w:p>
    <w:p w14:paraId="5621C18C" w14:textId="198125F1" w:rsidR="006027EC" w:rsidRPr="00885E5A" w:rsidRDefault="00BF6EEA" w:rsidP="0032611D">
      <w:pPr>
        <w:spacing w:before="240" w:line="240" w:lineRule="auto"/>
        <w:jc w:val="both"/>
        <w:rPr>
          <w:rFonts w:ascii="Times New Roman" w:hAnsi="Times New Roman"/>
          <w:sz w:val="24"/>
          <w:szCs w:val="24"/>
        </w:rPr>
      </w:pPr>
      <w:r w:rsidRPr="00BF6EEA">
        <w:rPr>
          <w:rFonts w:ascii="Times New Roman" w:hAnsi="Times New Roman"/>
          <w:sz w:val="24"/>
          <w:szCs w:val="24"/>
        </w:rPr>
        <w:t xml:space="preserve">The antibacterial activity of plant extracts was evaluated using the agar well diffusion method following standard procedures and similar approaches in recent medicinal plant studies </w:t>
      </w:r>
      <w:r w:rsidRPr="00A37DA8">
        <w:rPr>
          <w:rFonts w:ascii="Times New Roman" w:hAnsi="Times New Roman"/>
          <w:sz w:val="24"/>
          <w:szCs w:val="24"/>
          <w:highlight w:val="green"/>
        </w:rPr>
        <w:t>(Abdulmalik et al., 2024)</w:t>
      </w:r>
      <w:r w:rsidR="006027EC" w:rsidRPr="00A37DA8">
        <w:rPr>
          <w:rFonts w:ascii="Times New Roman" w:hAnsi="Times New Roman"/>
          <w:sz w:val="24"/>
          <w:szCs w:val="24"/>
          <w:highlight w:val="green"/>
        </w:rPr>
        <w:t>.</w:t>
      </w:r>
      <w:r w:rsidR="006027EC" w:rsidRPr="006027EC">
        <w:rPr>
          <w:rFonts w:ascii="Times New Roman" w:hAnsi="Times New Roman"/>
          <w:sz w:val="24"/>
          <w:szCs w:val="24"/>
        </w:rPr>
        <w:t xml:space="preserve"> Wells of 6 mm diameter were bored into Mueller–Hinton agar plates previously inoculated with standardized bacterial suspensions. Different extract concentrations (100, 50, 25, 12.5, and 6.25 mg/mL) were introduced into the wells. Vancomycin (30µg) served as the positive control. Plates were incubated at 37 °C for 24 hours, and zones of inhibition were measured in millimeters.</w:t>
      </w:r>
      <w:r w:rsidR="003118BA">
        <w:rPr>
          <w:rFonts w:ascii="Times New Roman" w:hAnsi="Times New Roman"/>
          <w:sz w:val="24"/>
          <w:szCs w:val="24"/>
        </w:rPr>
        <w:t xml:space="preserve"> </w:t>
      </w:r>
      <w:r w:rsidR="003118BA" w:rsidRPr="00BF6EEA">
        <w:rPr>
          <w:rFonts w:ascii="Times New Roman" w:hAnsi="Times New Roman"/>
          <w:sz w:val="24"/>
          <w:szCs w:val="24"/>
          <w:highlight w:val="green"/>
        </w:rPr>
        <w:t>All antibacterial assays were performed in triplicate, and the mean zone of inhibition values were recorded.</w:t>
      </w:r>
    </w:p>
    <w:p w14:paraId="6A592DBF" w14:textId="77777777" w:rsidR="006027EC" w:rsidRPr="00885E5A" w:rsidRDefault="006027EC"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Determination of Minimum Inhibitory Concentration (MIC) and Minimum Bactericidal Concentration (MBC)</w:t>
      </w:r>
    </w:p>
    <w:p w14:paraId="7E9B24AA" w14:textId="4FEDA17E" w:rsidR="006027EC" w:rsidRPr="00885E5A" w:rsidRDefault="006027EC" w:rsidP="0032611D">
      <w:pPr>
        <w:spacing w:before="240" w:line="240" w:lineRule="auto"/>
        <w:jc w:val="both"/>
        <w:rPr>
          <w:rFonts w:ascii="Times New Roman" w:hAnsi="Times New Roman"/>
          <w:sz w:val="24"/>
          <w:szCs w:val="24"/>
        </w:rPr>
      </w:pPr>
      <w:r w:rsidRPr="00885E5A">
        <w:rPr>
          <w:rFonts w:ascii="Times New Roman" w:hAnsi="Times New Roman"/>
          <w:sz w:val="24"/>
          <w:szCs w:val="24"/>
        </w:rPr>
        <w:t xml:space="preserve">The MIC was determined using the broth </w:t>
      </w:r>
      <w:proofErr w:type="spellStart"/>
      <w:r w:rsidRPr="00885E5A">
        <w:rPr>
          <w:rFonts w:ascii="Times New Roman" w:hAnsi="Times New Roman"/>
          <w:sz w:val="24"/>
          <w:szCs w:val="24"/>
        </w:rPr>
        <w:t>macrodilution</w:t>
      </w:r>
      <w:proofErr w:type="spellEnd"/>
      <w:r w:rsidRPr="00885E5A">
        <w:rPr>
          <w:rFonts w:ascii="Times New Roman" w:hAnsi="Times New Roman"/>
          <w:sz w:val="24"/>
          <w:szCs w:val="24"/>
        </w:rPr>
        <w:t xml:space="preserve"> method in sterile test tubes (13 x 100 mm), following the principles outlined in CLSI M07 (CLSI, 2018). For each MDR isolate, a series of test tubes containing 1 mL of MHB was prepared. A two-fold serial dilution of the crude extract was performed directly in the broth, creating a concentration gradient ranging from 100 mg/mL to 0.78 mg/</w:t>
      </w:r>
      <w:proofErr w:type="spellStart"/>
      <w:r w:rsidRPr="00885E5A">
        <w:rPr>
          <w:rFonts w:ascii="Times New Roman" w:hAnsi="Times New Roman"/>
          <w:sz w:val="24"/>
          <w:szCs w:val="24"/>
        </w:rPr>
        <w:t>mL.</w:t>
      </w:r>
      <w:proofErr w:type="spellEnd"/>
      <w:r w:rsidRPr="00885E5A">
        <w:rPr>
          <w:rFonts w:ascii="Times New Roman" w:hAnsi="Times New Roman"/>
          <w:sz w:val="24"/>
          <w:szCs w:val="24"/>
        </w:rPr>
        <w:t xml:space="preserve"> Each tube was then inoculated with 50 µL of a 1:100 dilution of a 0.5 McFarland standard bacterial suspension, achieving a final target inoculum of approximately 5 x 10⁵ CFU/</w:t>
      </w:r>
      <w:proofErr w:type="spellStart"/>
      <w:r w:rsidRPr="00885E5A">
        <w:rPr>
          <w:rFonts w:ascii="Times New Roman" w:hAnsi="Times New Roman"/>
          <w:sz w:val="24"/>
          <w:szCs w:val="24"/>
        </w:rPr>
        <w:t>mL.</w:t>
      </w:r>
      <w:proofErr w:type="spellEnd"/>
      <w:r w:rsidRPr="00885E5A">
        <w:rPr>
          <w:rFonts w:ascii="Times New Roman" w:hAnsi="Times New Roman"/>
          <w:sz w:val="24"/>
          <w:szCs w:val="24"/>
        </w:rPr>
        <w:t xml:space="preserve"> A growth control tube (MHB + inoculum, no extract) and a sterility control tube (MHB + extract, no inoculum) were included for each test run. All tubes were incubated at 37°C for 24 hours. After incubation, the MIC was visually determined as the lowest concentration of extract that completely inhibited visible turbidity in the broth. For MBC determination, aliquots from wells with no growth </w:t>
      </w:r>
      <w:r w:rsidRPr="00885E5A">
        <w:rPr>
          <w:rFonts w:ascii="Times New Roman" w:hAnsi="Times New Roman"/>
          <w:sz w:val="24"/>
          <w:szCs w:val="24"/>
        </w:rPr>
        <w:lastRenderedPageBreak/>
        <w:t xml:space="preserve">were </w:t>
      </w:r>
      <w:proofErr w:type="spellStart"/>
      <w:r w:rsidRPr="00885E5A">
        <w:rPr>
          <w:rFonts w:ascii="Times New Roman" w:hAnsi="Times New Roman"/>
          <w:sz w:val="24"/>
          <w:szCs w:val="24"/>
        </w:rPr>
        <w:t>subcultured</w:t>
      </w:r>
      <w:proofErr w:type="spellEnd"/>
      <w:r w:rsidRPr="00885E5A">
        <w:rPr>
          <w:rFonts w:ascii="Times New Roman" w:hAnsi="Times New Roman"/>
          <w:sz w:val="24"/>
          <w:szCs w:val="24"/>
        </w:rPr>
        <w:t xml:space="preserve"> onto nutrient agar plates. The lowest concentration showing no bacterial growth after incubation was recorded as the MBC. The MBC/MIC ratio was used to classify antibacterial activity as bactericidal (≤2) or bacteriostatic (&gt;2).</w:t>
      </w:r>
    </w:p>
    <w:p w14:paraId="503F3064" w14:textId="77777777" w:rsidR="008D0DD0" w:rsidRPr="008D0DD0" w:rsidRDefault="008D0DD0" w:rsidP="0032611D">
      <w:pPr>
        <w:spacing w:before="240" w:line="240" w:lineRule="auto"/>
        <w:jc w:val="both"/>
        <w:rPr>
          <w:rFonts w:ascii="Times New Roman" w:hAnsi="Times New Roman"/>
          <w:b/>
          <w:bCs/>
          <w:sz w:val="24"/>
          <w:szCs w:val="24"/>
        </w:rPr>
      </w:pPr>
      <w:r w:rsidRPr="008D0DD0">
        <w:rPr>
          <w:rFonts w:ascii="Times New Roman" w:hAnsi="Times New Roman"/>
          <w:b/>
          <w:bCs/>
          <w:sz w:val="24"/>
          <w:szCs w:val="24"/>
        </w:rPr>
        <w:t>Data Analysis</w:t>
      </w:r>
    </w:p>
    <w:p w14:paraId="23304A3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Data were analyzed descriptively and presented as frequencies, percentages, means, and standard deviations. Results were summarized in tables.</w:t>
      </w:r>
    </w:p>
    <w:p w14:paraId="40876B9C" w14:textId="553571A1" w:rsidR="008D0DD0" w:rsidRPr="008D0DD0" w:rsidRDefault="00026CE3" w:rsidP="0032611D">
      <w:pPr>
        <w:spacing w:before="240" w:line="240" w:lineRule="auto"/>
        <w:jc w:val="both"/>
        <w:rPr>
          <w:rFonts w:ascii="Times New Roman" w:hAnsi="Times New Roman"/>
          <w:b/>
          <w:bCs/>
          <w:sz w:val="24"/>
          <w:szCs w:val="24"/>
        </w:rPr>
      </w:pPr>
      <w:r w:rsidRPr="008D0DD0">
        <w:rPr>
          <w:rFonts w:ascii="Times New Roman" w:hAnsi="Times New Roman"/>
          <w:b/>
          <w:bCs/>
          <w:sz w:val="24"/>
          <w:szCs w:val="24"/>
        </w:rPr>
        <w:t>RESULTS</w:t>
      </w:r>
    </w:p>
    <w:p w14:paraId="26382161" w14:textId="650A25D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Out of the 50 urine samples processed from patients with suspected UTIs, 22 (44.0%) yielded pure growth of </w:t>
      </w:r>
      <w:r w:rsidRPr="008D0DD0">
        <w:rPr>
          <w:rFonts w:ascii="Times New Roman" w:hAnsi="Times New Roman"/>
          <w:i/>
          <w:iCs/>
          <w:sz w:val="24"/>
          <w:szCs w:val="24"/>
        </w:rPr>
        <w:t>Staphylococcus aureus</w:t>
      </w:r>
      <w:r w:rsidRPr="008D0DD0">
        <w:rPr>
          <w:rFonts w:ascii="Times New Roman" w:hAnsi="Times New Roman"/>
          <w:sz w:val="24"/>
          <w:szCs w:val="24"/>
        </w:rPr>
        <w:t> confirmed by phenotypic characteristics (catalase-positive, coagulase-positive, DNase-positive, mannitol fermenter). The gender distribution of the patients from whom these isolates were recovered is shown in </w:t>
      </w:r>
      <w:r w:rsidRPr="008D0DD0">
        <w:rPr>
          <w:rFonts w:ascii="Times New Roman" w:hAnsi="Times New Roman"/>
          <w:b/>
          <w:bCs/>
          <w:sz w:val="24"/>
          <w:szCs w:val="24"/>
        </w:rPr>
        <w:t>Table 1</w:t>
      </w:r>
      <w:r w:rsidRPr="008D0DD0">
        <w:rPr>
          <w:rFonts w:ascii="Times New Roman" w:hAnsi="Times New Roman"/>
          <w:sz w:val="24"/>
          <w:szCs w:val="24"/>
        </w:rPr>
        <w:t>. A higher prevalence was observed among female patients (n=14, 63.6%) compared to males (n=8, 36.4%).</w:t>
      </w:r>
    </w:p>
    <w:p w14:paraId="52655AAF"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1: Gender Distribution of Patients with </w:t>
      </w:r>
      <w:r w:rsidRPr="008D0DD0">
        <w:rPr>
          <w:rFonts w:ascii="Times New Roman" w:hAnsi="Times New Roman"/>
          <w:b/>
          <w:bCs/>
          <w:i/>
          <w:iCs/>
          <w:sz w:val="24"/>
          <w:szCs w:val="24"/>
        </w:rPr>
        <w:t>Staphylococcus aureus</w:t>
      </w:r>
      <w:r w:rsidRPr="008D0DD0">
        <w:rPr>
          <w:rFonts w:ascii="Times New Roman" w:hAnsi="Times New Roman"/>
          <w:b/>
          <w:bCs/>
          <w:sz w:val="24"/>
          <w:szCs w:val="24"/>
        </w:rPr>
        <w:t> Urinary Isolates</w:t>
      </w:r>
    </w:p>
    <w:tbl>
      <w:tblPr>
        <w:tblStyle w:val="ListTable6Colorful"/>
        <w:tblW w:w="8987" w:type="dxa"/>
        <w:shd w:val="clear" w:color="auto" w:fill="FFFFFF" w:themeFill="background1"/>
        <w:tblLook w:val="04A0" w:firstRow="1" w:lastRow="0" w:firstColumn="1" w:lastColumn="0" w:noHBand="0" w:noVBand="1"/>
      </w:tblPr>
      <w:tblGrid>
        <w:gridCol w:w="1674"/>
        <w:gridCol w:w="4254"/>
        <w:gridCol w:w="3059"/>
      </w:tblGrid>
      <w:tr w:rsidR="008D0DD0" w:rsidRPr="00885E5A" w14:paraId="3E033875" w14:textId="77777777" w:rsidTr="008D0DD0">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554BA4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Gender</w:t>
            </w:r>
          </w:p>
        </w:tc>
        <w:tc>
          <w:tcPr>
            <w:tcW w:w="0" w:type="auto"/>
            <w:shd w:val="clear" w:color="auto" w:fill="FFFFFF" w:themeFill="background1"/>
            <w:hideMark/>
          </w:tcPr>
          <w:p w14:paraId="6E79F872"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Number of Isolates (n)</w:t>
            </w:r>
          </w:p>
        </w:tc>
        <w:tc>
          <w:tcPr>
            <w:tcW w:w="0" w:type="auto"/>
            <w:shd w:val="clear" w:color="auto" w:fill="FFFFFF" w:themeFill="background1"/>
            <w:hideMark/>
          </w:tcPr>
          <w:p w14:paraId="583D2D64"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Percentage (%)</w:t>
            </w:r>
          </w:p>
        </w:tc>
      </w:tr>
      <w:tr w:rsidR="008D0DD0" w:rsidRPr="00885E5A" w14:paraId="41B06F8F" w14:textId="77777777" w:rsidTr="008D0DD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99C64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Female</w:t>
            </w:r>
          </w:p>
        </w:tc>
        <w:tc>
          <w:tcPr>
            <w:tcW w:w="0" w:type="auto"/>
            <w:shd w:val="clear" w:color="auto" w:fill="FFFFFF" w:themeFill="background1"/>
            <w:hideMark/>
          </w:tcPr>
          <w:p w14:paraId="52579F14"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w:t>
            </w:r>
          </w:p>
        </w:tc>
        <w:tc>
          <w:tcPr>
            <w:tcW w:w="0" w:type="auto"/>
            <w:shd w:val="clear" w:color="auto" w:fill="FFFFFF" w:themeFill="background1"/>
            <w:hideMark/>
          </w:tcPr>
          <w:p w14:paraId="067E989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63.6</w:t>
            </w:r>
          </w:p>
        </w:tc>
      </w:tr>
      <w:tr w:rsidR="008D0DD0" w:rsidRPr="00885E5A" w14:paraId="05CA0567" w14:textId="77777777" w:rsidTr="008D0DD0">
        <w:trPr>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8B49C3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Male</w:t>
            </w:r>
          </w:p>
        </w:tc>
        <w:tc>
          <w:tcPr>
            <w:tcW w:w="0" w:type="auto"/>
            <w:shd w:val="clear" w:color="auto" w:fill="FFFFFF" w:themeFill="background1"/>
            <w:hideMark/>
          </w:tcPr>
          <w:p w14:paraId="33D9A69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w:t>
            </w:r>
          </w:p>
        </w:tc>
        <w:tc>
          <w:tcPr>
            <w:tcW w:w="0" w:type="auto"/>
            <w:shd w:val="clear" w:color="auto" w:fill="FFFFFF" w:themeFill="background1"/>
            <w:hideMark/>
          </w:tcPr>
          <w:p w14:paraId="3FD91366"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36.4</w:t>
            </w:r>
          </w:p>
        </w:tc>
      </w:tr>
      <w:tr w:rsidR="008D0DD0" w:rsidRPr="00885E5A" w14:paraId="3DAF0B84" w14:textId="77777777" w:rsidTr="008D0DD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3DEFA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Total</w:t>
            </w:r>
          </w:p>
        </w:tc>
        <w:tc>
          <w:tcPr>
            <w:tcW w:w="0" w:type="auto"/>
            <w:shd w:val="clear" w:color="auto" w:fill="FFFFFF" w:themeFill="background1"/>
            <w:hideMark/>
          </w:tcPr>
          <w:p w14:paraId="0D1E913D"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22</w:t>
            </w:r>
          </w:p>
        </w:tc>
        <w:tc>
          <w:tcPr>
            <w:tcW w:w="0" w:type="auto"/>
            <w:shd w:val="clear" w:color="auto" w:fill="FFFFFF" w:themeFill="background1"/>
            <w:hideMark/>
          </w:tcPr>
          <w:p w14:paraId="68B688E8"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100.0</w:t>
            </w:r>
          </w:p>
        </w:tc>
      </w:tr>
    </w:tbl>
    <w:p w14:paraId="7F599B9E" w14:textId="2539D981"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The antimicrobial susceptibility profile of the 22 </w:t>
      </w:r>
      <w:r w:rsidRPr="008D0DD0">
        <w:rPr>
          <w:rFonts w:ascii="Times New Roman" w:hAnsi="Times New Roman"/>
          <w:i/>
          <w:iCs/>
          <w:sz w:val="24"/>
          <w:szCs w:val="24"/>
        </w:rPr>
        <w:t>S. aureus</w:t>
      </w:r>
      <w:r w:rsidRPr="008D0DD0">
        <w:rPr>
          <w:rFonts w:ascii="Times New Roman" w:hAnsi="Times New Roman"/>
          <w:sz w:val="24"/>
          <w:szCs w:val="24"/>
        </w:rPr>
        <w:t> isolates is detailed in </w:t>
      </w:r>
      <w:r w:rsidRPr="008D0DD0">
        <w:rPr>
          <w:rFonts w:ascii="Times New Roman" w:hAnsi="Times New Roman"/>
          <w:b/>
          <w:bCs/>
          <w:sz w:val="24"/>
          <w:szCs w:val="24"/>
        </w:rPr>
        <w:t>Table 2</w:t>
      </w:r>
      <w:r w:rsidRPr="008D0DD0">
        <w:rPr>
          <w:rFonts w:ascii="Times New Roman" w:hAnsi="Times New Roman"/>
          <w:sz w:val="24"/>
          <w:szCs w:val="24"/>
        </w:rPr>
        <w:t>. A high level of resistance was observed across multiple antibiotic classes. Resistance to cefoxitin, the surrogate marker for MRSA, was recorded in 18 isolates (81.8%). Similarly, high resistance rates were noted for ciprofloxacin (77.3%), ampicillin (72.7%), erythromycin and clindamycin (63.6% each). Moderate resistance was observed for gentamicin (36.4%), tetracycline (40.9%), and trimethoprim-sulfamethoxazole (31.8%). Lower resistance was seen for chloramphenicol (27.3%) and rifampicin (22.7%). Reassuringly, all 22 isolates (100%) exhibited susceptibility to vancomycin, with clear inhibition zones meeting the CLSI susceptibility criteria.</w:t>
      </w:r>
    </w:p>
    <w:p w14:paraId="2BB40658"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2: Antimicrobial Susceptibility Profile of Clinical </w:t>
      </w:r>
      <w:r w:rsidRPr="008D0DD0">
        <w:rPr>
          <w:rFonts w:ascii="Times New Roman" w:hAnsi="Times New Roman"/>
          <w:b/>
          <w:bCs/>
          <w:i/>
          <w:iCs/>
          <w:sz w:val="24"/>
          <w:szCs w:val="24"/>
        </w:rPr>
        <w:t>Staphylococcus aureus</w:t>
      </w:r>
      <w:r w:rsidRPr="008D0DD0">
        <w:rPr>
          <w:rFonts w:ascii="Times New Roman" w:hAnsi="Times New Roman"/>
          <w:b/>
          <w:bCs/>
          <w:sz w:val="24"/>
          <w:szCs w:val="24"/>
        </w:rPr>
        <w:t> Isolates (n=22)</w:t>
      </w:r>
    </w:p>
    <w:tbl>
      <w:tblPr>
        <w:tblStyle w:val="ListTable6Colorful"/>
        <w:tblW w:w="9239" w:type="dxa"/>
        <w:shd w:val="clear" w:color="auto" w:fill="FFFFFF" w:themeFill="background1"/>
        <w:tblLook w:val="04A0" w:firstRow="1" w:lastRow="0" w:firstColumn="1" w:lastColumn="0" w:noHBand="0" w:noVBand="1"/>
      </w:tblPr>
      <w:tblGrid>
        <w:gridCol w:w="2728"/>
        <w:gridCol w:w="1582"/>
        <w:gridCol w:w="1443"/>
        <w:gridCol w:w="1829"/>
        <w:gridCol w:w="1657"/>
      </w:tblGrid>
      <w:tr w:rsidR="00C040B5" w:rsidRPr="00885E5A" w14:paraId="6CBD9170" w14:textId="77777777" w:rsidTr="00C040B5">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46420E1"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Antibiotic (Class)</w:t>
            </w:r>
          </w:p>
        </w:tc>
        <w:tc>
          <w:tcPr>
            <w:tcW w:w="0" w:type="auto"/>
            <w:shd w:val="clear" w:color="auto" w:fill="FFFFFF" w:themeFill="background1"/>
            <w:hideMark/>
          </w:tcPr>
          <w:p w14:paraId="004E3973"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Disk Potency (µg)</w:t>
            </w:r>
          </w:p>
        </w:tc>
        <w:tc>
          <w:tcPr>
            <w:tcW w:w="0" w:type="auto"/>
            <w:shd w:val="clear" w:color="auto" w:fill="FFFFFF" w:themeFill="background1"/>
            <w:hideMark/>
          </w:tcPr>
          <w:p w14:paraId="53FE9EDB"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Resistant n (%)</w:t>
            </w:r>
          </w:p>
        </w:tc>
        <w:tc>
          <w:tcPr>
            <w:tcW w:w="0" w:type="auto"/>
            <w:shd w:val="clear" w:color="auto" w:fill="FFFFFF" w:themeFill="background1"/>
            <w:hideMark/>
          </w:tcPr>
          <w:p w14:paraId="6A212C99"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Intermediate n (%)</w:t>
            </w:r>
          </w:p>
        </w:tc>
        <w:tc>
          <w:tcPr>
            <w:tcW w:w="0" w:type="auto"/>
            <w:shd w:val="clear" w:color="auto" w:fill="FFFFFF" w:themeFill="background1"/>
            <w:hideMark/>
          </w:tcPr>
          <w:p w14:paraId="15B8C72C"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Susceptible n (%)</w:t>
            </w:r>
          </w:p>
        </w:tc>
      </w:tr>
      <w:tr w:rsidR="00C040B5" w:rsidRPr="00885E5A" w14:paraId="581726CA"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816734"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lastRenderedPageBreak/>
              <w:t>Ampicillin (Penicillin)</w:t>
            </w:r>
          </w:p>
        </w:tc>
        <w:tc>
          <w:tcPr>
            <w:tcW w:w="0" w:type="auto"/>
            <w:shd w:val="clear" w:color="auto" w:fill="FFFFFF" w:themeFill="background1"/>
            <w:hideMark/>
          </w:tcPr>
          <w:p w14:paraId="626116E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w:t>
            </w:r>
          </w:p>
        </w:tc>
        <w:tc>
          <w:tcPr>
            <w:tcW w:w="0" w:type="auto"/>
            <w:shd w:val="clear" w:color="auto" w:fill="FFFFFF" w:themeFill="background1"/>
            <w:hideMark/>
          </w:tcPr>
          <w:p w14:paraId="41B93E3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16 (72.7)</w:t>
            </w:r>
          </w:p>
        </w:tc>
        <w:tc>
          <w:tcPr>
            <w:tcW w:w="0" w:type="auto"/>
            <w:shd w:val="clear" w:color="auto" w:fill="FFFFFF" w:themeFill="background1"/>
            <w:hideMark/>
          </w:tcPr>
          <w:p w14:paraId="7A93AB33"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0E1BB5B9"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0FAAA047"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B37F02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Cefoxitin (MRSA Marker)</w:t>
            </w:r>
          </w:p>
        </w:tc>
        <w:tc>
          <w:tcPr>
            <w:tcW w:w="0" w:type="auto"/>
            <w:shd w:val="clear" w:color="auto" w:fill="FFFFFF" w:themeFill="background1"/>
            <w:hideMark/>
          </w:tcPr>
          <w:p w14:paraId="7C04905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5622055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 (81.8)</w:t>
            </w:r>
          </w:p>
        </w:tc>
        <w:tc>
          <w:tcPr>
            <w:tcW w:w="0" w:type="auto"/>
            <w:shd w:val="clear" w:color="auto" w:fill="FFFFFF" w:themeFill="background1"/>
            <w:hideMark/>
          </w:tcPr>
          <w:p w14:paraId="72349D9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0 (0.0)</w:t>
            </w:r>
          </w:p>
        </w:tc>
        <w:tc>
          <w:tcPr>
            <w:tcW w:w="0" w:type="auto"/>
            <w:shd w:val="clear" w:color="auto" w:fill="FFFFFF" w:themeFill="background1"/>
            <w:hideMark/>
          </w:tcPr>
          <w:p w14:paraId="678FB89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09E46B46" w14:textId="77777777" w:rsidTr="00C040B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FD38894"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Erythromycin (Macrolide)</w:t>
            </w:r>
          </w:p>
        </w:tc>
        <w:tc>
          <w:tcPr>
            <w:tcW w:w="0" w:type="auto"/>
            <w:shd w:val="clear" w:color="auto" w:fill="FFFFFF" w:themeFill="background1"/>
            <w:hideMark/>
          </w:tcPr>
          <w:p w14:paraId="112B65DE"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15</w:t>
            </w:r>
          </w:p>
        </w:tc>
        <w:tc>
          <w:tcPr>
            <w:tcW w:w="0" w:type="auto"/>
            <w:shd w:val="clear" w:color="auto" w:fill="FFFFFF" w:themeFill="background1"/>
            <w:hideMark/>
          </w:tcPr>
          <w:p w14:paraId="48EFAFC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 (63.6)</w:t>
            </w:r>
          </w:p>
        </w:tc>
        <w:tc>
          <w:tcPr>
            <w:tcW w:w="0" w:type="auto"/>
            <w:shd w:val="clear" w:color="auto" w:fill="FFFFFF" w:themeFill="background1"/>
            <w:hideMark/>
          </w:tcPr>
          <w:p w14:paraId="2E37D6C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c>
          <w:tcPr>
            <w:tcW w:w="0" w:type="auto"/>
            <w:shd w:val="clear" w:color="auto" w:fill="FFFFFF" w:themeFill="background1"/>
            <w:hideMark/>
          </w:tcPr>
          <w:p w14:paraId="2F37C74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4B58FF9D"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AF421AB"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Clindamycin (</w:t>
            </w:r>
            <w:proofErr w:type="spellStart"/>
            <w:r w:rsidRPr="008D0DD0">
              <w:rPr>
                <w:rFonts w:ascii="Times New Roman" w:hAnsi="Times New Roman"/>
                <w:sz w:val="24"/>
                <w:szCs w:val="24"/>
              </w:rPr>
              <w:t>Lincosamide</w:t>
            </w:r>
            <w:proofErr w:type="spellEnd"/>
            <w:r w:rsidRPr="008D0DD0">
              <w:rPr>
                <w:rFonts w:ascii="Times New Roman" w:hAnsi="Times New Roman"/>
                <w:sz w:val="24"/>
                <w:szCs w:val="24"/>
              </w:rPr>
              <w:t>)</w:t>
            </w:r>
          </w:p>
        </w:tc>
        <w:tc>
          <w:tcPr>
            <w:tcW w:w="0" w:type="auto"/>
            <w:shd w:val="clear" w:color="auto" w:fill="FFFFFF" w:themeFill="background1"/>
            <w:hideMark/>
          </w:tcPr>
          <w:p w14:paraId="22BC4A4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w:t>
            </w:r>
          </w:p>
        </w:tc>
        <w:tc>
          <w:tcPr>
            <w:tcW w:w="0" w:type="auto"/>
            <w:shd w:val="clear" w:color="auto" w:fill="FFFFFF" w:themeFill="background1"/>
            <w:hideMark/>
          </w:tcPr>
          <w:p w14:paraId="2C7B5A1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 (63.6)</w:t>
            </w:r>
          </w:p>
        </w:tc>
        <w:tc>
          <w:tcPr>
            <w:tcW w:w="0" w:type="auto"/>
            <w:shd w:val="clear" w:color="auto" w:fill="FFFFFF" w:themeFill="background1"/>
            <w:hideMark/>
          </w:tcPr>
          <w:p w14:paraId="133D0B31"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 (4.5)</w:t>
            </w:r>
          </w:p>
        </w:tc>
        <w:tc>
          <w:tcPr>
            <w:tcW w:w="0" w:type="auto"/>
            <w:shd w:val="clear" w:color="auto" w:fill="FFFFFF" w:themeFill="background1"/>
            <w:hideMark/>
          </w:tcPr>
          <w:p w14:paraId="27E3058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(31.8)</w:t>
            </w:r>
          </w:p>
        </w:tc>
      </w:tr>
      <w:tr w:rsidR="00C040B5" w:rsidRPr="00885E5A" w14:paraId="39633FF2" w14:textId="77777777" w:rsidTr="00C040B5">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052FA8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Ciprofloxacin (Fluoroquinolone)</w:t>
            </w:r>
          </w:p>
        </w:tc>
        <w:tc>
          <w:tcPr>
            <w:tcW w:w="0" w:type="auto"/>
            <w:shd w:val="clear" w:color="auto" w:fill="FFFFFF" w:themeFill="background1"/>
            <w:hideMark/>
          </w:tcPr>
          <w:p w14:paraId="7A612A3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7C9D436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17 (77.3)</w:t>
            </w:r>
          </w:p>
        </w:tc>
        <w:tc>
          <w:tcPr>
            <w:tcW w:w="0" w:type="auto"/>
            <w:shd w:val="clear" w:color="auto" w:fill="FFFFFF" w:themeFill="background1"/>
            <w:hideMark/>
          </w:tcPr>
          <w:p w14:paraId="383025A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2A206F8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r>
      <w:tr w:rsidR="00C040B5" w:rsidRPr="00885E5A" w14:paraId="592B7ABB"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98FFB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Gentamicin (Aminoglycoside)</w:t>
            </w:r>
          </w:p>
        </w:tc>
        <w:tc>
          <w:tcPr>
            <w:tcW w:w="0" w:type="auto"/>
            <w:shd w:val="clear" w:color="auto" w:fill="FFFFFF" w:themeFill="background1"/>
            <w:hideMark/>
          </w:tcPr>
          <w:p w14:paraId="1B967F9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w:t>
            </w:r>
          </w:p>
        </w:tc>
        <w:tc>
          <w:tcPr>
            <w:tcW w:w="0" w:type="auto"/>
            <w:shd w:val="clear" w:color="auto" w:fill="FFFFFF" w:themeFill="background1"/>
            <w:hideMark/>
          </w:tcPr>
          <w:p w14:paraId="77A9D6F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 (36.4)</w:t>
            </w:r>
          </w:p>
        </w:tc>
        <w:tc>
          <w:tcPr>
            <w:tcW w:w="0" w:type="auto"/>
            <w:shd w:val="clear" w:color="auto" w:fill="FFFFFF" w:themeFill="background1"/>
            <w:hideMark/>
          </w:tcPr>
          <w:p w14:paraId="49A7A488"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c>
          <w:tcPr>
            <w:tcW w:w="0" w:type="auto"/>
            <w:shd w:val="clear" w:color="auto" w:fill="FFFFFF" w:themeFill="background1"/>
            <w:hideMark/>
          </w:tcPr>
          <w:p w14:paraId="3F5FCC4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 (45.5)</w:t>
            </w:r>
          </w:p>
        </w:tc>
      </w:tr>
      <w:tr w:rsidR="00C040B5" w:rsidRPr="00885E5A" w14:paraId="19CD99BA"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103CB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Tetracycline</w:t>
            </w:r>
          </w:p>
        </w:tc>
        <w:tc>
          <w:tcPr>
            <w:tcW w:w="0" w:type="auto"/>
            <w:shd w:val="clear" w:color="auto" w:fill="FFFFFF" w:themeFill="background1"/>
            <w:hideMark/>
          </w:tcPr>
          <w:p w14:paraId="2DF5F7B9"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502D335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9 (40.9)</w:t>
            </w:r>
          </w:p>
        </w:tc>
        <w:tc>
          <w:tcPr>
            <w:tcW w:w="0" w:type="auto"/>
            <w:shd w:val="clear" w:color="auto" w:fill="FFFFFF" w:themeFill="background1"/>
            <w:hideMark/>
          </w:tcPr>
          <w:p w14:paraId="7118A212"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590E6F38"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 (45.5)</w:t>
            </w:r>
          </w:p>
        </w:tc>
      </w:tr>
      <w:tr w:rsidR="00C040B5" w:rsidRPr="00885E5A" w14:paraId="6AD147B8" w14:textId="77777777" w:rsidTr="00C040B5">
        <w:trPr>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8F3B0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Trimethoprim-Sulfamethoxazole</w:t>
            </w:r>
          </w:p>
        </w:tc>
        <w:tc>
          <w:tcPr>
            <w:tcW w:w="0" w:type="auto"/>
            <w:shd w:val="clear" w:color="auto" w:fill="FFFFFF" w:themeFill="background1"/>
            <w:hideMark/>
          </w:tcPr>
          <w:p w14:paraId="34D7655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1.25/23.75</w:t>
            </w:r>
          </w:p>
        </w:tc>
        <w:tc>
          <w:tcPr>
            <w:tcW w:w="0" w:type="auto"/>
            <w:shd w:val="clear" w:color="auto" w:fill="FFFFFF" w:themeFill="background1"/>
            <w:hideMark/>
          </w:tcPr>
          <w:p w14:paraId="465680B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(31.8)</w:t>
            </w:r>
          </w:p>
        </w:tc>
        <w:tc>
          <w:tcPr>
            <w:tcW w:w="0" w:type="auto"/>
            <w:shd w:val="clear" w:color="auto" w:fill="FFFFFF" w:themeFill="background1"/>
            <w:hideMark/>
          </w:tcPr>
          <w:p w14:paraId="7F94870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000C16B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13 (59.1)</w:t>
            </w:r>
          </w:p>
        </w:tc>
      </w:tr>
      <w:tr w:rsidR="00C040B5" w:rsidRPr="00885E5A" w14:paraId="69CC0714"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B94FBC"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Chloramphenicol</w:t>
            </w:r>
          </w:p>
        </w:tc>
        <w:tc>
          <w:tcPr>
            <w:tcW w:w="0" w:type="auto"/>
            <w:shd w:val="clear" w:color="auto" w:fill="FFFFFF" w:themeFill="background1"/>
            <w:hideMark/>
          </w:tcPr>
          <w:p w14:paraId="5534CA8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654A277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 (27.3)</w:t>
            </w:r>
          </w:p>
        </w:tc>
        <w:tc>
          <w:tcPr>
            <w:tcW w:w="0" w:type="auto"/>
            <w:shd w:val="clear" w:color="auto" w:fill="FFFFFF" w:themeFill="background1"/>
            <w:hideMark/>
          </w:tcPr>
          <w:p w14:paraId="68D896D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58204A37"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13 (59.1)</w:t>
            </w:r>
          </w:p>
        </w:tc>
      </w:tr>
      <w:tr w:rsidR="00C040B5" w:rsidRPr="00885E5A" w14:paraId="772BE92A" w14:textId="77777777" w:rsidTr="00C040B5">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338881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Rifampicin</w:t>
            </w:r>
          </w:p>
        </w:tc>
        <w:tc>
          <w:tcPr>
            <w:tcW w:w="0" w:type="auto"/>
            <w:shd w:val="clear" w:color="auto" w:fill="FFFFFF" w:themeFill="background1"/>
            <w:hideMark/>
          </w:tcPr>
          <w:p w14:paraId="3AC8F368"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4A2EA097"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 (22.7)</w:t>
            </w:r>
          </w:p>
        </w:tc>
        <w:tc>
          <w:tcPr>
            <w:tcW w:w="0" w:type="auto"/>
            <w:shd w:val="clear" w:color="auto" w:fill="FFFFFF" w:themeFill="background1"/>
            <w:hideMark/>
          </w:tcPr>
          <w:p w14:paraId="79D3A97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4818B6DC"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15 (68.2)</w:t>
            </w:r>
          </w:p>
        </w:tc>
      </w:tr>
      <w:tr w:rsidR="00C040B5" w:rsidRPr="00885E5A" w14:paraId="345A836F"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9CE8E4" w14:textId="14C7E0BF"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 xml:space="preserve">Vancomycin </w:t>
            </w:r>
          </w:p>
        </w:tc>
        <w:tc>
          <w:tcPr>
            <w:tcW w:w="0" w:type="auto"/>
            <w:shd w:val="clear" w:color="auto" w:fill="FFFFFF" w:themeFill="background1"/>
            <w:hideMark/>
          </w:tcPr>
          <w:p w14:paraId="209F5DC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30</w:t>
            </w:r>
          </w:p>
        </w:tc>
        <w:tc>
          <w:tcPr>
            <w:tcW w:w="0" w:type="auto"/>
            <w:shd w:val="clear" w:color="auto" w:fill="FFFFFF" w:themeFill="background1"/>
            <w:hideMark/>
          </w:tcPr>
          <w:p w14:paraId="1CDC704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0 (0.0)</w:t>
            </w:r>
          </w:p>
        </w:tc>
        <w:tc>
          <w:tcPr>
            <w:tcW w:w="0" w:type="auto"/>
            <w:shd w:val="clear" w:color="auto" w:fill="FFFFFF" w:themeFill="background1"/>
            <w:hideMark/>
          </w:tcPr>
          <w:p w14:paraId="4FCD4D3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0 (0.0)</w:t>
            </w:r>
          </w:p>
        </w:tc>
        <w:tc>
          <w:tcPr>
            <w:tcW w:w="0" w:type="auto"/>
            <w:shd w:val="clear" w:color="auto" w:fill="FFFFFF" w:themeFill="background1"/>
            <w:hideMark/>
          </w:tcPr>
          <w:p w14:paraId="1217C12D"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22 (100.0)</w:t>
            </w:r>
          </w:p>
        </w:tc>
      </w:tr>
    </w:tbl>
    <w:p w14:paraId="0F7119FC" w14:textId="3759F791"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Applying the international MDR classification criteria (</w:t>
      </w:r>
      <w:proofErr w:type="spellStart"/>
      <w:r w:rsidRPr="008D0DD0">
        <w:rPr>
          <w:rFonts w:ascii="Times New Roman" w:hAnsi="Times New Roman"/>
          <w:sz w:val="24"/>
          <w:szCs w:val="24"/>
        </w:rPr>
        <w:t>Magiorakos</w:t>
      </w:r>
      <w:proofErr w:type="spellEnd"/>
      <w:r w:rsidRPr="008D0DD0">
        <w:rPr>
          <w:rFonts w:ascii="Times New Roman" w:hAnsi="Times New Roman"/>
          <w:sz w:val="24"/>
          <w:szCs w:val="24"/>
        </w:rPr>
        <w:t xml:space="preserve"> et al., 2012), the resistance patterns of the 22 isolates were categorized, as presented in </w:t>
      </w:r>
      <w:r w:rsidRPr="008D0DD0">
        <w:rPr>
          <w:rFonts w:ascii="Times New Roman" w:hAnsi="Times New Roman"/>
          <w:b/>
          <w:bCs/>
          <w:sz w:val="24"/>
          <w:szCs w:val="24"/>
        </w:rPr>
        <w:t>Table 3</w:t>
      </w:r>
      <w:r w:rsidRPr="008D0DD0">
        <w:rPr>
          <w:rFonts w:ascii="Times New Roman" w:hAnsi="Times New Roman"/>
          <w:sz w:val="24"/>
          <w:szCs w:val="24"/>
        </w:rPr>
        <w:t>. The majority of isolates (n=18, 81.8%) were classified as MDR (resistant to ≥3 antimicrobial classes). Among these, 7 isolates (31.8%) exhibited resistance to 3-4 classes, 6 isolates (27.3%) to 5-6 classes, and a concerning 5 isolates (22.7%) showed extensive resistance, being non-susceptible to agents in 7 or more antimicrobial categories. Only 4 isolates (18.2%) were non-MDR.</w:t>
      </w:r>
    </w:p>
    <w:p w14:paraId="00FE982A"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3: Multidrug Resistance (MDR) Profile of </w:t>
      </w:r>
      <w:r w:rsidRPr="008D0DD0">
        <w:rPr>
          <w:rFonts w:ascii="Times New Roman" w:hAnsi="Times New Roman"/>
          <w:b/>
          <w:bCs/>
          <w:i/>
          <w:iCs/>
          <w:sz w:val="24"/>
          <w:szCs w:val="24"/>
        </w:rPr>
        <w:t>Staphylococcus aureus</w:t>
      </w:r>
      <w:r w:rsidRPr="008D0DD0">
        <w:rPr>
          <w:rFonts w:ascii="Times New Roman" w:hAnsi="Times New Roman"/>
          <w:b/>
          <w:bCs/>
          <w:sz w:val="24"/>
          <w:szCs w:val="24"/>
        </w:rPr>
        <w:t> Isolates (n = 22)</w:t>
      </w:r>
    </w:p>
    <w:tbl>
      <w:tblPr>
        <w:tblStyle w:val="ListTable6Colorful"/>
        <w:tblW w:w="0" w:type="auto"/>
        <w:shd w:val="clear" w:color="auto" w:fill="FFFFFF" w:themeFill="background1"/>
        <w:tblLook w:val="04A0" w:firstRow="1" w:lastRow="0" w:firstColumn="1" w:lastColumn="0" w:noHBand="0" w:noVBand="1"/>
      </w:tblPr>
      <w:tblGrid>
        <w:gridCol w:w="2380"/>
        <w:gridCol w:w="3381"/>
        <w:gridCol w:w="1965"/>
        <w:gridCol w:w="1634"/>
      </w:tblGrid>
      <w:tr w:rsidR="008D0DD0" w:rsidRPr="008D0DD0" w14:paraId="22B79ED3" w14:textId="77777777" w:rsidTr="00C04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203EE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lastRenderedPageBreak/>
              <w:t>Resistance Category</w:t>
            </w:r>
          </w:p>
        </w:tc>
        <w:tc>
          <w:tcPr>
            <w:tcW w:w="0" w:type="auto"/>
            <w:shd w:val="clear" w:color="auto" w:fill="FFFFFF" w:themeFill="background1"/>
            <w:hideMark/>
          </w:tcPr>
          <w:p w14:paraId="6A19EDDF"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Definition (Non-susceptible to ≥1 agent in)</w:t>
            </w:r>
          </w:p>
        </w:tc>
        <w:tc>
          <w:tcPr>
            <w:tcW w:w="0" w:type="auto"/>
            <w:shd w:val="clear" w:color="auto" w:fill="FFFFFF" w:themeFill="background1"/>
            <w:hideMark/>
          </w:tcPr>
          <w:p w14:paraId="7FC77407"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Number of Isolates (n)</w:t>
            </w:r>
          </w:p>
        </w:tc>
        <w:tc>
          <w:tcPr>
            <w:tcW w:w="0" w:type="auto"/>
            <w:shd w:val="clear" w:color="auto" w:fill="FFFFFF" w:themeFill="background1"/>
            <w:hideMark/>
          </w:tcPr>
          <w:p w14:paraId="21BB1F97"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Percentage (%)</w:t>
            </w:r>
          </w:p>
        </w:tc>
      </w:tr>
      <w:tr w:rsidR="008D0DD0" w:rsidRPr="008D0DD0" w14:paraId="7B74073A"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54DC9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Non-MDR</w:t>
            </w:r>
          </w:p>
        </w:tc>
        <w:tc>
          <w:tcPr>
            <w:tcW w:w="0" w:type="auto"/>
            <w:shd w:val="clear" w:color="auto" w:fill="FFFFFF" w:themeFill="background1"/>
            <w:hideMark/>
          </w:tcPr>
          <w:p w14:paraId="47A07CAE"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antimicrobial classes</w:t>
            </w:r>
          </w:p>
        </w:tc>
        <w:tc>
          <w:tcPr>
            <w:tcW w:w="0" w:type="auto"/>
            <w:shd w:val="clear" w:color="auto" w:fill="FFFFFF" w:themeFill="background1"/>
            <w:hideMark/>
          </w:tcPr>
          <w:p w14:paraId="72DBEC9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w:t>
            </w:r>
          </w:p>
        </w:tc>
        <w:tc>
          <w:tcPr>
            <w:tcW w:w="0" w:type="auto"/>
            <w:shd w:val="clear" w:color="auto" w:fill="FFFFFF" w:themeFill="background1"/>
            <w:hideMark/>
          </w:tcPr>
          <w:p w14:paraId="7A110ED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18.2</w:t>
            </w:r>
          </w:p>
        </w:tc>
      </w:tr>
      <w:tr w:rsidR="008D0DD0" w:rsidRPr="008D0DD0" w14:paraId="211F648D" w14:textId="77777777" w:rsidTr="00C040B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D463F4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MDR (3–4 classes)</w:t>
            </w:r>
          </w:p>
        </w:tc>
        <w:tc>
          <w:tcPr>
            <w:tcW w:w="0" w:type="auto"/>
            <w:shd w:val="clear" w:color="auto" w:fill="FFFFFF" w:themeFill="background1"/>
            <w:hideMark/>
          </w:tcPr>
          <w:p w14:paraId="7AF6160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3–4 antimicrobial classes</w:t>
            </w:r>
          </w:p>
        </w:tc>
        <w:tc>
          <w:tcPr>
            <w:tcW w:w="0" w:type="auto"/>
            <w:shd w:val="clear" w:color="auto" w:fill="FFFFFF" w:themeFill="background1"/>
            <w:hideMark/>
          </w:tcPr>
          <w:p w14:paraId="4DB6F95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w:t>
            </w:r>
          </w:p>
        </w:tc>
        <w:tc>
          <w:tcPr>
            <w:tcW w:w="0" w:type="auto"/>
            <w:shd w:val="clear" w:color="auto" w:fill="FFFFFF" w:themeFill="background1"/>
            <w:hideMark/>
          </w:tcPr>
          <w:p w14:paraId="7F880B1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31.8</w:t>
            </w:r>
          </w:p>
        </w:tc>
      </w:tr>
      <w:tr w:rsidR="008D0DD0" w:rsidRPr="008D0DD0" w14:paraId="14D55AB8"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61495E"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MDR (5–6 classes)</w:t>
            </w:r>
          </w:p>
        </w:tc>
        <w:tc>
          <w:tcPr>
            <w:tcW w:w="0" w:type="auto"/>
            <w:shd w:val="clear" w:color="auto" w:fill="FFFFFF" w:themeFill="background1"/>
            <w:hideMark/>
          </w:tcPr>
          <w:p w14:paraId="4B487450"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5–6 antimicrobial classes</w:t>
            </w:r>
          </w:p>
        </w:tc>
        <w:tc>
          <w:tcPr>
            <w:tcW w:w="0" w:type="auto"/>
            <w:shd w:val="clear" w:color="auto" w:fill="FFFFFF" w:themeFill="background1"/>
            <w:hideMark/>
          </w:tcPr>
          <w:p w14:paraId="35A300B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w:t>
            </w:r>
          </w:p>
        </w:tc>
        <w:tc>
          <w:tcPr>
            <w:tcW w:w="0" w:type="auto"/>
            <w:shd w:val="clear" w:color="auto" w:fill="FFFFFF" w:themeFill="background1"/>
            <w:hideMark/>
          </w:tcPr>
          <w:p w14:paraId="4960778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27.3</w:t>
            </w:r>
          </w:p>
        </w:tc>
      </w:tr>
      <w:tr w:rsidR="008D0DD0" w:rsidRPr="008D0DD0" w14:paraId="5D02BB6E" w14:textId="77777777" w:rsidTr="00C040B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0609E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Extensive MDR (≥7 classes)</w:t>
            </w:r>
          </w:p>
        </w:tc>
        <w:tc>
          <w:tcPr>
            <w:tcW w:w="0" w:type="auto"/>
            <w:shd w:val="clear" w:color="auto" w:fill="FFFFFF" w:themeFill="background1"/>
            <w:hideMark/>
          </w:tcPr>
          <w:p w14:paraId="7AB7B511"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antimicrobial classes</w:t>
            </w:r>
          </w:p>
        </w:tc>
        <w:tc>
          <w:tcPr>
            <w:tcW w:w="0" w:type="auto"/>
            <w:shd w:val="clear" w:color="auto" w:fill="FFFFFF" w:themeFill="background1"/>
            <w:hideMark/>
          </w:tcPr>
          <w:p w14:paraId="74AA438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42EEC4DA"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22.7</w:t>
            </w:r>
          </w:p>
        </w:tc>
      </w:tr>
      <w:tr w:rsidR="008D0DD0" w:rsidRPr="008D0DD0" w14:paraId="12AA3B59"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DD5BC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Total MDR</w:t>
            </w:r>
          </w:p>
        </w:tc>
        <w:tc>
          <w:tcPr>
            <w:tcW w:w="0" w:type="auto"/>
            <w:shd w:val="clear" w:color="auto" w:fill="FFFFFF" w:themeFill="background1"/>
            <w:hideMark/>
          </w:tcPr>
          <w:p w14:paraId="6317B67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antimicrobial classes</w:t>
            </w:r>
          </w:p>
        </w:tc>
        <w:tc>
          <w:tcPr>
            <w:tcW w:w="0" w:type="auto"/>
            <w:shd w:val="clear" w:color="auto" w:fill="FFFFFF" w:themeFill="background1"/>
            <w:hideMark/>
          </w:tcPr>
          <w:p w14:paraId="1FBEE744"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w:t>
            </w:r>
          </w:p>
        </w:tc>
        <w:tc>
          <w:tcPr>
            <w:tcW w:w="0" w:type="auto"/>
            <w:shd w:val="clear" w:color="auto" w:fill="FFFFFF" w:themeFill="background1"/>
            <w:hideMark/>
          </w:tcPr>
          <w:p w14:paraId="79BAE9D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81.8</w:t>
            </w:r>
          </w:p>
        </w:tc>
      </w:tr>
    </w:tbl>
    <w:p w14:paraId="27B36F38" w14:textId="70BBF893"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The results of the qualitative phytochemical analysis of the ethanol and aqueous seed extracts are summarized in Table 4. Alkaloids and saponins were consistently present in both solvent extracts. A notable difference was observed in the distribution of phenolic compounds: tannins were detected exclusively in the ethanol extract, whereas flavonoids were</w:t>
      </w:r>
      <w:r w:rsidR="00676887" w:rsidRPr="00885E5A">
        <w:rPr>
          <w:rFonts w:ascii="Times New Roman" w:hAnsi="Times New Roman"/>
          <w:sz w:val="24"/>
          <w:szCs w:val="24"/>
        </w:rPr>
        <w:t xml:space="preserve"> not</w:t>
      </w:r>
      <w:r w:rsidRPr="008D0DD0">
        <w:rPr>
          <w:rFonts w:ascii="Times New Roman" w:hAnsi="Times New Roman"/>
          <w:sz w:val="24"/>
          <w:szCs w:val="24"/>
        </w:rPr>
        <w:t xml:space="preserve"> found. Terpenoids and steroids were absent in both extracts under the conditions of the tests performed.</w:t>
      </w:r>
    </w:p>
    <w:p w14:paraId="29BE7F6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4: Qualitative Phytochemical Screening of </w:t>
      </w:r>
      <w:proofErr w:type="spellStart"/>
      <w:r w:rsidRPr="008D0DD0">
        <w:rPr>
          <w:rFonts w:ascii="Times New Roman" w:hAnsi="Times New Roman"/>
          <w:b/>
          <w:bCs/>
          <w:i/>
          <w:iCs/>
          <w:sz w:val="24"/>
          <w:szCs w:val="24"/>
        </w:rPr>
        <w:t>Hunteria</w:t>
      </w:r>
      <w:proofErr w:type="spellEnd"/>
      <w:r w:rsidRPr="008D0DD0">
        <w:rPr>
          <w:rFonts w:ascii="Times New Roman" w:hAnsi="Times New Roman"/>
          <w:b/>
          <w:bCs/>
          <w:i/>
          <w:iCs/>
          <w:sz w:val="24"/>
          <w:szCs w:val="24"/>
        </w:rPr>
        <w:t xml:space="preserve"> </w:t>
      </w:r>
      <w:proofErr w:type="spellStart"/>
      <w:r w:rsidRPr="008D0DD0">
        <w:rPr>
          <w:rFonts w:ascii="Times New Roman" w:hAnsi="Times New Roman"/>
          <w:b/>
          <w:bCs/>
          <w:i/>
          <w:iCs/>
          <w:sz w:val="24"/>
          <w:szCs w:val="24"/>
        </w:rPr>
        <w:t>umbellata</w:t>
      </w:r>
      <w:proofErr w:type="spellEnd"/>
      <w:r w:rsidRPr="008D0DD0">
        <w:rPr>
          <w:rFonts w:ascii="Times New Roman" w:hAnsi="Times New Roman"/>
          <w:b/>
          <w:bCs/>
          <w:sz w:val="24"/>
          <w:szCs w:val="24"/>
        </w:rPr>
        <w:t> (</w:t>
      </w:r>
      <w:proofErr w:type="spellStart"/>
      <w:r w:rsidRPr="008D0DD0">
        <w:rPr>
          <w:rFonts w:ascii="Times New Roman" w:hAnsi="Times New Roman"/>
          <w:b/>
          <w:bCs/>
          <w:sz w:val="24"/>
          <w:szCs w:val="24"/>
        </w:rPr>
        <w:t>Madaci</w:t>
      </w:r>
      <w:proofErr w:type="spellEnd"/>
      <w:r w:rsidRPr="008D0DD0">
        <w:rPr>
          <w:rFonts w:ascii="Times New Roman" w:hAnsi="Times New Roman"/>
          <w:b/>
          <w:bCs/>
          <w:sz w:val="24"/>
          <w:szCs w:val="24"/>
        </w:rPr>
        <w:t>) Seed Extracts</w:t>
      </w:r>
    </w:p>
    <w:tbl>
      <w:tblPr>
        <w:tblStyle w:val="ListTable6Colorful"/>
        <w:tblW w:w="0" w:type="auto"/>
        <w:shd w:val="clear" w:color="auto" w:fill="FFFFFF" w:themeFill="background1"/>
        <w:tblLook w:val="04A0" w:firstRow="1" w:lastRow="0" w:firstColumn="1" w:lastColumn="0" w:noHBand="0" w:noVBand="1"/>
      </w:tblPr>
      <w:tblGrid>
        <w:gridCol w:w="2330"/>
        <w:gridCol w:w="2863"/>
        <w:gridCol w:w="1863"/>
        <w:gridCol w:w="1943"/>
      </w:tblGrid>
      <w:tr w:rsidR="00F4499D" w:rsidRPr="00885E5A" w14:paraId="0BAFD090" w14:textId="77777777" w:rsidTr="00F44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C2B486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Phytochemical Class</w:t>
            </w:r>
          </w:p>
        </w:tc>
        <w:tc>
          <w:tcPr>
            <w:tcW w:w="0" w:type="auto"/>
            <w:shd w:val="clear" w:color="auto" w:fill="FFFFFF" w:themeFill="background1"/>
            <w:hideMark/>
          </w:tcPr>
          <w:p w14:paraId="738535B0"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Test/Reagent</w:t>
            </w:r>
          </w:p>
        </w:tc>
        <w:tc>
          <w:tcPr>
            <w:tcW w:w="0" w:type="auto"/>
            <w:shd w:val="clear" w:color="auto" w:fill="FFFFFF" w:themeFill="background1"/>
            <w:hideMark/>
          </w:tcPr>
          <w:p w14:paraId="58698976"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Ethanol Extract</w:t>
            </w:r>
          </w:p>
        </w:tc>
        <w:tc>
          <w:tcPr>
            <w:tcW w:w="0" w:type="auto"/>
            <w:shd w:val="clear" w:color="auto" w:fill="FFFFFF" w:themeFill="background1"/>
            <w:hideMark/>
          </w:tcPr>
          <w:p w14:paraId="63CB5CB1"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Aqueous Extract</w:t>
            </w:r>
          </w:p>
        </w:tc>
      </w:tr>
      <w:tr w:rsidR="00F4499D" w:rsidRPr="00885E5A" w14:paraId="5D0FCDD0"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E0EB1E"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Alkaloids</w:t>
            </w:r>
          </w:p>
        </w:tc>
        <w:tc>
          <w:tcPr>
            <w:tcW w:w="0" w:type="auto"/>
            <w:shd w:val="clear" w:color="auto" w:fill="FFFFFF" w:themeFill="background1"/>
            <w:hideMark/>
          </w:tcPr>
          <w:p w14:paraId="39A8D0B0"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Dragendorff’s / Mayer’s</w:t>
            </w:r>
          </w:p>
        </w:tc>
        <w:tc>
          <w:tcPr>
            <w:tcW w:w="0" w:type="auto"/>
            <w:shd w:val="clear" w:color="auto" w:fill="FFFFFF" w:themeFill="background1"/>
            <w:hideMark/>
          </w:tcPr>
          <w:p w14:paraId="1C5AD44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638E16D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00B9B4F8"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5780E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Tannins</w:t>
            </w:r>
          </w:p>
        </w:tc>
        <w:tc>
          <w:tcPr>
            <w:tcW w:w="0" w:type="auto"/>
            <w:shd w:val="clear" w:color="auto" w:fill="FFFFFF" w:themeFill="background1"/>
            <w:hideMark/>
          </w:tcPr>
          <w:p w14:paraId="31F7E2D3"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Ferric Chloride</w:t>
            </w:r>
          </w:p>
        </w:tc>
        <w:tc>
          <w:tcPr>
            <w:tcW w:w="0" w:type="auto"/>
            <w:shd w:val="clear" w:color="auto" w:fill="FFFFFF" w:themeFill="background1"/>
            <w:hideMark/>
          </w:tcPr>
          <w:p w14:paraId="0DC57D2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6C5E824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264243D2"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603E4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Flavonoids</w:t>
            </w:r>
          </w:p>
        </w:tc>
        <w:tc>
          <w:tcPr>
            <w:tcW w:w="0" w:type="auto"/>
            <w:shd w:val="clear" w:color="auto" w:fill="FFFFFF" w:themeFill="background1"/>
            <w:hideMark/>
          </w:tcPr>
          <w:p w14:paraId="5A41D567"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Alkaline Reagent / Shinoda</w:t>
            </w:r>
          </w:p>
        </w:tc>
        <w:tc>
          <w:tcPr>
            <w:tcW w:w="0" w:type="auto"/>
            <w:shd w:val="clear" w:color="auto" w:fill="FFFFFF" w:themeFill="background1"/>
            <w:hideMark/>
          </w:tcPr>
          <w:p w14:paraId="2AA4AAD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0A3B769E" w14:textId="30020BCE"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357FA9F3"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0A083"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Saponins</w:t>
            </w:r>
          </w:p>
        </w:tc>
        <w:tc>
          <w:tcPr>
            <w:tcW w:w="0" w:type="auto"/>
            <w:shd w:val="clear" w:color="auto" w:fill="FFFFFF" w:themeFill="background1"/>
            <w:hideMark/>
          </w:tcPr>
          <w:p w14:paraId="7F8A9787"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Frothing Test</w:t>
            </w:r>
          </w:p>
        </w:tc>
        <w:tc>
          <w:tcPr>
            <w:tcW w:w="0" w:type="auto"/>
            <w:shd w:val="clear" w:color="auto" w:fill="FFFFFF" w:themeFill="background1"/>
            <w:hideMark/>
          </w:tcPr>
          <w:p w14:paraId="02E4235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052D4A1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04FC1E9B"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A7A11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Terpenoids</w:t>
            </w:r>
          </w:p>
        </w:tc>
        <w:tc>
          <w:tcPr>
            <w:tcW w:w="0" w:type="auto"/>
            <w:shd w:val="clear" w:color="auto" w:fill="FFFFFF" w:themeFill="background1"/>
            <w:hideMark/>
          </w:tcPr>
          <w:p w14:paraId="22DBC76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Salkowski Test</w:t>
            </w:r>
          </w:p>
        </w:tc>
        <w:tc>
          <w:tcPr>
            <w:tcW w:w="0" w:type="auto"/>
            <w:shd w:val="clear" w:color="auto" w:fill="FFFFFF" w:themeFill="background1"/>
            <w:hideMark/>
          </w:tcPr>
          <w:p w14:paraId="647D5803"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37A661A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4EC29EA5"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2ECDD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Steroids</w:t>
            </w:r>
          </w:p>
        </w:tc>
        <w:tc>
          <w:tcPr>
            <w:tcW w:w="0" w:type="auto"/>
            <w:shd w:val="clear" w:color="auto" w:fill="FFFFFF" w:themeFill="background1"/>
            <w:hideMark/>
          </w:tcPr>
          <w:p w14:paraId="399C81E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Liebermann-Burchard</w:t>
            </w:r>
          </w:p>
        </w:tc>
        <w:tc>
          <w:tcPr>
            <w:tcW w:w="0" w:type="auto"/>
            <w:shd w:val="clear" w:color="auto" w:fill="FFFFFF" w:themeFill="background1"/>
            <w:hideMark/>
          </w:tcPr>
          <w:p w14:paraId="44308D5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15AAA683"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bl>
    <w:p w14:paraId="439A133B" w14:textId="33F410D0" w:rsidR="00F4499D" w:rsidRPr="00885E5A" w:rsidRDefault="00F4499D" w:rsidP="00F4499D">
      <w:pPr>
        <w:spacing w:before="240" w:line="240" w:lineRule="auto"/>
        <w:jc w:val="both"/>
        <w:rPr>
          <w:rFonts w:ascii="Times New Roman" w:hAnsi="Times New Roman"/>
          <w:b/>
          <w:bCs/>
          <w:i/>
          <w:iCs/>
          <w:sz w:val="24"/>
          <w:szCs w:val="24"/>
        </w:rPr>
      </w:pPr>
      <w:r w:rsidRPr="00885E5A">
        <w:rPr>
          <w:rFonts w:ascii="Times New Roman" w:hAnsi="Times New Roman"/>
          <w:i/>
          <w:iCs/>
          <w:sz w:val="24"/>
          <w:szCs w:val="24"/>
        </w:rPr>
        <w:t>Key</w:t>
      </w:r>
      <w:r w:rsidRPr="008D0DD0">
        <w:rPr>
          <w:rFonts w:ascii="Times New Roman" w:hAnsi="Times New Roman"/>
          <w:i/>
          <w:iCs/>
          <w:sz w:val="24"/>
          <w:szCs w:val="24"/>
        </w:rPr>
        <w:t>: + = Present; – =Absent.</w:t>
      </w:r>
    </w:p>
    <w:p w14:paraId="2A06BF56" w14:textId="36C52145"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lastRenderedPageBreak/>
        <w:t>Antibacterial Activity of </w:t>
      </w:r>
      <w:r w:rsidRPr="00EA6FF3">
        <w:rPr>
          <w:rFonts w:ascii="Times New Roman" w:hAnsi="Times New Roman"/>
          <w:b/>
          <w:bCs/>
          <w:i/>
          <w:iCs/>
          <w:sz w:val="24"/>
          <w:szCs w:val="24"/>
        </w:rPr>
        <w:t xml:space="preserve">H.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Extracts</w:t>
      </w:r>
      <w:r w:rsidRPr="00EA6FF3">
        <w:rPr>
          <w:rFonts w:ascii="Times New Roman" w:hAnsi="Times New Roman"/>
          <w:sz w:val="24"/>
          <w:szCs w:val="24"/>
        </w:rPr>
        <w:br/>
        <w:t>The </w:t>
      </w:r>
      <w:r w:rsidRPr="00EA6FF3">
        <w:rPr>
          <w:rFonts w:ascii="Times New Roman" w:hAnsi="Times New Roman"/>
          <w:i/>
          <w:iCs/>
          <w:sz w:val="24"/>
          <w:szCs w:val="24"/>
        </w:rPr>
        <w:t>in vitro</w:t>
      </w:r>
      <w:r w:rsidRPr="00EA6FF3">
        <w:rPr>
          <w:rFonts w:ascii="Times New Roman" w:hAnsi="Times New Roman"/>
          <w:sz w:val="24"/>
          <w:szCs w:val="24"/>
        </w:rPr>
        <w:t> antibacterial activity of the ethanol and aqueous extracts was evaluated against the 18 confirmed MDR </w:t>
      </w:r>
      <w:r w:rsidRPr="00EA6FF3">
        <w:rPr>
          <w:rFonts w:ascii="Times New Roman" w:hAnsi="Times New Roman"/>
          <w:i/>
          <w:iCs/>
          <w:sz w:val="24"/>
          <w:szCs w:val="24"/>
        </w:rPr>
        <w:t>S. aureus</w:t>
      </w:r>
      <w:r w:rsidRPr="00EA6FF3">
        <w:rPr>
          <w:rFonts w:ascii="Times New Roman" w:hAnsi="Times New Roman"/>
          <w:sz w:val="24"/>
          <w:szCs w:val="24"/>
        </w:rPr>
        <w:t> isolates. The positive control, vancomycin, inhibited all isolates with a mean zone of 18.4 ± 1.3 mm, confirming their viability and the validity of the assay system. The negative control (10% DMSO) produced no zone of inhibition.</w:t>
      </w:r>
    </w:p>
    <w:p w14:paraId="5FE70E66" w14:textId="0F0DA820"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The ethanol extract demonstrated potent, concentration-dependent antibacterial activity. As detailed in Table 5, the mean zone of inhibition (ZOI) was 21.6 ± 2.1 mm at the highest concentration (100 mg/mL) and decreased progressively to 7.3 ± 5.9 mm at the lowest tested concentration (6.25 mg/mL). At 6.25 mg/mL, 11 out of 18 isolates (61.1%) still exhibited measurable zones of inhibition ranging from 11 to 14 mm. A clear dose-response relationship was observed for all isolates.</w:t>
      </w:r>
    </w:p>
    <w:p w14:paraId="3E204376"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5: </w:t>
      </w:r>
      <w:r w:rsidRPr="00EA6FF3">
        <w:rPr>
          <w:rFonts w:ascii="Times New Roman" w:hAnsi="Times New Roman"/>
          <w:b/>
          <w:bCs/>
          <w:i/>
          <w:iCs/>
          <w:sz w:val="24"/>
          <w:szCs w:val="24"/>
        </w:rPr>
        <w:t>In vitro</w:t>
      </w:r>
      <w:r w:rsidRPr="00EA6FF3">
        <w:rPr>
          <w:rFonts w:ascii="Times New Roman" w:hAnsi="Times New Roman"/>
          <w:b/>
          <w:bCs/>
          <w:sz w:val="24"/>
          <w:szCs w:val="24"/>
        </w:rPr>
        <w:t> Antibacterial Activity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Ethanol Extract Against Multi-Drug Resistant </w:t>
      </w:r>
      <w:r w:rsidRPr="00EA6FF3">
        <w:rPr>
          <w:rFonts w:ascii="Times New Roman" w:hAnsi="Times New Roman"/>
          <w:b/>
          <w:bCs/>
          <w:i/>
          <w:iCs/>
          <w:sz w:val="24"/>
          <w:szCs w:val="24"/>
        </w:rPr>
        <w:t xml:space="preserve">Staphylococcus </w:t>
      </w:r>
      <w:proofErr w:type="gramStart"/>
      <w:r w:rsidRPr="00EA6FF3">
        <w:rPr>
          <w:rFonts w:ascii="Times New Roman" w:hAnsi="Times New Roman"/>
          <w:b/>
          <w:bCs/>
          <w:i/>
          <w:iCs/>
          <w:sz w:val="24"/>
          <w:szCs w:val="24"/>
        </w:rPr>
        <w:t>aureus</w:t>
      </w:r>
      <w:proofErr w:type="gramEnd"/>
      <w:r w:rsidRPr="00EA6FF3">
        <w:rPr>
          <w:rFonts w:ascii="Times New Roman" w:hAnsi="Times New Roman"/>
          <w:b/>
          <w:bCs/>
          <w:sz w:val="24"/>
          <w:szCs w:val="24"/>
        </w:rPr>
        <w:t> Isolates (n=18)</w:t>
      </w:r>
    </w:p>
    <w:tbl>
      <w:tblPr>
        <w:tblStyle w:val="ListTable6Colorful"/>
        <w:tblW w:w="0" w:type="auto"/>
        <w:shd w:val="clear" w:color="auto" w:fill="FFFFFF" w:themeFill="background1"/>
        <w:tblLook w:val="04A0" w:firstRow="1" w:lastRow="0" w:firstColumn="1" w:lastColumn="0" w:noHBand="0" w:noVBand="1"/>
      </w:tblPr>
      <w:tblGrid>
        <w:gridCol w:w="1198"/>
        <w:gridCol w:w="1173"/>
        <w:gridCol w:w="1113"/>
        <w:gridCol w:w="1113"/>
        <w:gridCol w:w="1203"/>
        <w:gridCol w:w="1203"/>
        <w:gridCol w:w="2357"/>
      </w:tblGrid>
      <w:tr w:rsidR="00EA6FF3" w:rsidRPr="00885E5A" w14:paraId="049A52AC"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14:paraId="76BC1AE3" w14:textId="77777777" w:rsidR="00EA6FF3" w:rsidRPr="00885E5A" w:rsidRDefault="00EA6FF3" w:rsidP="0032611D">
            <w:pPr>
              <w:spacing w:line="240" w:lineRule="auto"/>
              <w:rPr>
                <w:rFonts w:ascii="Times New Roman" w:hAnsi="Times New Roman"/>
                <w:sz w:val="24"/>
                <w:szCs w:val="24"/>
              </w:rPr>
            </w:pPr>
            <w:r w:rsidRPr="00455D0B">
              <w:rPr>
                <w:rFonts w:ascii="Times New Roman" w:hAnsi="Times New Roman"/>
                <w:sz w:val="24"/>
                <w:szCs w:val="24"/>
              </w:rPr>
              <w:t>Isolate ID</w:t>
            </w:r>
          </w:p>
        </w:tc>
        <w:tc>
          <w:tcPr>
            <w:tcW w:w="0" w:type="auto"/>
            <w:gridSpan w:val="5"/>
            <w:shd w:val="clear" w:color="auto" w:fill="FFFFFF" w:themeFill="background1"/>
          </w:tcPr>
          <w:p w14:paraId="29606DE7" w14:textId="77777777" w:rsidR="00EA6FF3" w:rsidRPr="00885E5A" w:rsidRDefault="00EA6FF3" w:rsidP="003261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Zone of Inhibition - Diameter (mm)</w:t>
            </w:r>
          </w:p>
        </w:tc>
        <w:tc>
          <w:tcPr>
            <w:tcW w:w="0" w:type="auto"/>
            <w:shd w:val="clear" w:color="auto" w:fill="FFFFFF" w:themeFill="background1"/>
          </w:tcPr>
          <w:p w14:paraId="7364FF12" w14:textId="77777777" w:rsidR="00EA6FF3" w:rsidRPr="00885E5A" w:rsidRDefault="00EA6FF3" w:rsidP="003261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Control: Vancomycin (30 µg)</w:t>
            </w:r>
          </w:p>
        </w:tc>
      </w:tr>
      <w:tr w:rsidR="00EA6FF3" w:rsidRPr="00885E5A" w14:paraId="0BC54CC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F625126" w14:textId="77777777" w:rsidR="00EA6FF3" w:rsidRPr="00455D0B" w:rsidRDefault="00EA6FF3" w:rsidP="0032611D">
            <w:pPr>
              <w:spacing w:after="160" w:line="240" w:lineRule="auto"/>
              <w:rPr>
                <w:rFonts w:ascii="Times New Roman" w:hAnsi="Times New Roman"/>
                <w:sz w:val="24"/>
                <w:szCs w:val="24"/>
              </w:rPr>
            </w:pPr>
          </w:p>
        </w:tc>
        <w:tc>
          <w:tcPr>
            <w:tcW w:w="0" w:type="auto"/>
            <w:shd w:val="clear" w:color="auto" w:fill="FFFFFF" w:themeFill="background1"/>
            <w:hideMark/>
          </w:tcPr>
          <w:p w14:paraId="69CFEF4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100 mg/mL</w:t>
            </w:r>
          </w:p>
        </w:tc>
        <w:tc>
          <w:tcPr>
            <w:tcW w:w="0" w:type="auto"/>
            <w:shd w:val="clear" w:color="auto" w:fill="FFFFFF" w:themeFill="background1"/>
            <w:hideMark/>
          </w:tcPr>
          <w:p w14:paraId="691B53C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50 mg/mL</w:t>
            </w:r>
          </w:p>
        </w:tc>
        <w:tc>
          <w:tcPr>
            <w:tcW w:w="0" w:type="auto"/>
            <w:shd w:val="clear" w:color="auto" w:fill="FFFFFF" w:themeFill="background1"/>
            <w:hideMark/>
          </w:tcPr>
          <w:p w14:paraId="5869E31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25 mg/mL</w:t>
            </w:r>
          </w:p>
        </w:tc>
        <w:tc>
          <w:tcPr>
            <w:tcW w:w="0" w:type="auto"/>
            <w:shd w:val="clear" w:color="auto" w:fill="FFFFFF" w:themeFill="background1"/>
            <w:hideMark/>
          </w:tcPr>
          <w:p w14:paraId="7139D57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12.5 mg/mL</w:t>
            </w:r>
          </w:p>
        </w:tc>
        <w:tc>
          <w:tcPr>
            <w:tcW w:w="0" w:type="auto"/>
            <w:shd w:val="clear" w:color="auto" w:fill="FFFFFF" w:themeFill="background1"/>
            <w:hideMark/>
          </w:tcPr>
          <w:p w14:paraId="52BF874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6.25 mg/mL</w:t>
            </w:r>
          </w:p>
        </w:tc>
        <w:tc>
          <w:tcPr>
            <w:tcW w:w="0" w:type="auto"/>
            <w:shd w:val="clear" w:color="auto" w:fill="FFFFFF" w:themeFill="background1"/>
            <w:hideMark/>
          </w:tcPr>
          <w:p w14:paraId="18B5A69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Zone (mm)</w:t>
            </w:r>
          </w:p>
        </w:tc>
      </w:tr>
      <w:tr w:rsidR="00EA6FF3" w:rsidRPr="00885E5A" w14:paraId="726688E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B1FE256"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MDR-SA-01</w:t>
            </w:r>
          </w:p>
        </w:tc>
        <w:tc>
          <w:tcPr>
            <w:tcW w:w="0" w:type="auto"/>
            <w:shd w:val="clear" w:color="auto" w:fill="FFFFFF" w:themeFill="background1"/>
            <w:hideMark/>
          </w:tcPr>
          <w:p w14:paraId="013AC7E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47128C8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2DA6F58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7927494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73345E26"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3B0CBAC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6C141E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9F2EF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MDR-SA-02</w:t>
            </w:r>
          </w:p>
        </w:tc>
        <w:tc>
          <w:tcPr>
            <w:tcW w:w="0" w:type="auto"/>
            <w:shd w:val="clear" w:color="auto" w:fill="FFFFFF" w:themeFill="background1"/>
            <w:hideMark/>
          </w:tcPr>
          <w:p w14:paraId="0FD93E7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24.0</w:t>
            </w:r>
          </w:p>
        </w:tc>
        <w:tc>
          <w:tcPr>
            <w:tcW w:w="0" w:type="auto"/>
            <w:shd w:val="clear" w:color="auto" w:fill="FFFFFF" w:themeFill="background1"/>
            <w:hideMark/>
          </w:tcPr>
          <w:p w14:paraId="1C3DACA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051450B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7769471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1CD9D3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6B9BE586"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45042E1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F0A67C7"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MDR-SA-03</w:t>
            </w:r>
          </w:p>
        </w:tc>
        <w:tc>
          <w:tcPr>
            <w:tcW w:w="0" w:type="auto"/>
            <w:shd w:val="clear" w:color="auto" w:fill="FFFFFF" w:themeFill="background1"/>
            <w:hideMark/>
          </w:tcPr>
          <w:p w14:paraId="5D3C18D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592620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3BC8540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F4D73E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296538F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2B465A5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3A3D15EA"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6A1A6D"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MDR-SA-04</w:t>
            </w:r>
          </w:p>
        </w:tc>
        <w:tc>
          <w:tcPr>
            <w:tcW w:w="0" w:type="auto"/>
            <w:shd w:val="clear" w:color="auto" w:fill="FFFFFF" w:themeFill="background1"/>
            <w:hideMark/>
          </w:tcPr>
          <w:p w14:paraId="1D84A62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04E72F3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340B0CE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26FB9F9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1E252B6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12FE20C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3B891D4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47E89BF"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MDR-SA-05</w:t>
            </w:r>
          </w:p>
        </w:tc>
        <w:tc>
          <w:tcPr>
            <w:tcW w:w="0" w:type="auto"/>
            <w:shd w:val="clear" w:color="auto" w:fill="FFFFFF" w:themeFill="background1"/>
            <w:hideMark/>
          </w:tcPr>
          <w:p w14:paraId="1577592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EA2FA5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D69B92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0BF13B8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4085779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5B49DBF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4EE0E38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33FDC3"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MDR-SA-06</w:t>
            </w:r>
          </w:p>
        </w:tc>
        <w:tc>
          <w:tcPr>
            <w:tcW w:w="0" w:type="auto"/>
            <w:shd w:val="clear" w:color="auto" w:fill="FFFFFF" w:themeFill="background1"/>
            <w:hideMark/>
          </w:tcPr>
          <w:p w14:paraId="639AEFB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49EA289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7236FFC"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658BF58E"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45582E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6304EC0F"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 (S)</w:t>
            </w:r>
          </w:p>
        </w:tc>
      </w:tr>
      <w:tr w:rsidR="00EA6FF3" w:rsidRPr="00885E5A" w14:paraId="6F16C56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8570FC"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MDR-SA-07</w:t>
            </w:r>
          </w:p>
        </w:tc>
        <w:tc>
          <w:tcPr>
            <w:tcW w:w="0" w:type="auto"/>
            <w:shd w:val="clear" w:color="auto" w:fill="FFFFFF" w:themeFill="background1"/>
            <w:hideMark/>
          </w:tcPr>
          <w:p w14:paraId="2E4C3D34"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3DD4BC9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25530E3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7E556AB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2DEC99D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68D5D9F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53F1D42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A09607"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MDR-SA-08</w:t>
            </w:r>
          </w:p>
        </w:tc>
        <w:tc>
          <w:tcPr>
            <w:tcW w:w="0" w:type="auto"/>
            <w:shd w:val="clear" w:color="auto" w:fill="FFFFFF" w:themeFill="background1"/>
            <w:hideMark/>
          </w:tcPr>
          <w:p w14:paraId="46A863A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4503169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228594E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79AE9F7C"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B29470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9963EBE"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01E397F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64501A"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MDR-SA-09</w:t>
            </w:r>
          </w:p>
        </w:tc>
        <w:tc>
          <w:tcPr>
            <w:tcW w:w="0" w:type="auto"/>
            <w:shd w:val="clear" w:color="auto" w:fill="FFFFFF" w:themeFill="background1"/>
            <w:hideMark/>
          </w:tcPr>
          <w:p w14:paraId="4661EC4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35B2634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1798059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3E1C6247"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61F31C8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46994B1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65A577D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499EF2"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MDR-SA-10</w:t>
            </w:r>
          </w:p>
        </w:tc>
        <w:tc>
          <w:tcPr>
            <w:tcW w:w="0" w:type="auto"/>
            <w:shd w:val="clear" w:color="auto" w:fill="FFFFFF" w:themeFill="background1"/>
            <w:hideMark/>
          </w:tcPr>
          <w:p w14:paraId="0A6376F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24D6E1E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62A5396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7798002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1D49D86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500400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BD0565F"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F2E2B3"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lastRenderedPageBreak/>
              <w:t>MDR-SA-11</w:t>
            </w:r>
          </w:p>
        </w:tc>
        <w:tc>
          <w:tcPr>
            <w:tcW w:w="0" w:type="auto"/>
            <w:shd w:val="clear" w:color="auto" w:fill="FFFFFF" w:themeFill="background1"/>
            <w:hideMark/>
          </w:tcPr>
          <w:p w14:paraId="5BEFA8F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43217E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0CC8CC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22428D0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6E294FB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41E3D0D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 (S)</w:t>
            </w:r>
          </w:p>
        </w:tc>
      </w:tr>
      <w:tr w:rsidR="00EA6FF3" w:rsidRPr="00885E5A" w14:paraId="213756C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8E5B2B"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MDR-SA-12</w:t>
            </w:r>
          </w:p>
        </w:tc>
        <w:tc>
          <w:tcPr>
            <w:tcW w:w="0" w:type="auto"/>
            <w:shd w:val="clear" w:color="auto" w:fill="FFFFFF" w:themeFill="background1"/>
            <w:hideMark/>
          </w:tcPr>
          <w:p w14:paraId="0A4C669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3008DD9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5F29B3CF"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5DE3F0C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0C97ECD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B64B31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686230F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30970A0"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MDR-SA-13</w:t>
            </w:r>
          </w:p>
        </w:tc>
        <w:tc>
          <w:tcPr>
            <w:tcW w:w="0" w:type="auto"/>
            <w:shd w:val="clear" w:color="auto" w:fill="FFFFFF" w:themeFill="background1"/>
            <w:hideMark/>
          </w:tcPr>
          <w:p w14:paraId="7C32A3E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24.0</w:t>
            </w:r>
          </w:p>
        </w:tc>
        <w:tc>
          <w:tcPr>
            <w:tcW w:w="0" w:type="auto"/>
            <w:shd w:val="clear" w:color="auto" w:fill="FFFFFF" w:themeFill="background1"/>
            <w:hideMark/>
          </w:tcPr>
          <w:p w14:paraId="3DC5F54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6E60BA3A"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0FD53DC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2B0CFB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541C9A8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4AC7FFB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9FCB252"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MDR-SA-14</w:t>
            </w:r>
          </w:p>
        </w:tc>
        <w:tc>
          <w:tcPr>
            <w:tcW w:w="0" w:type="auto"/>
            <w:shd w:val="clear" w:color="auto" w:fill="FFFFFF" w:themeFill="background1"/>
            <w:hideMark/>
          </w:tcPr>
          <w:p w14:paraId="0E51B7A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7000310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5266AB5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47C73C5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10.0</w:t>
            </w:r>
          </w:p>
        </w:tc>
        <w:tc>
          <w:tcPr>
            <w:tcW w:w="0" w:type="auto"/>
            <w:shd w:val="clear" w:color="auto" w:fill="FFFFFF" w:themeFill="background1"/>
            <w:hideMark/>
          </w:tcPr>
          <w:p w14:paraId="41627706"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797CFB7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471A2ED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A9D02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MDR-SA-15</w:t>
            </w:r>
          </w:p>
        </w:tc>
        <w:tc>
          <w:tcPr>
            <w:tcW w:w="0" w:type="auto"/>
            <w:shd w:val="clear" w:color="auto" w:fill="FFFFFF" w:themeFill="background1"/>
            <w:hideMark/>
          </w:tcPr>
          <w:p w14:paraId="0EA2EBE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1B414D2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333955D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99DF07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7B1DFDC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489CEC1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1EF55717"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284751A"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MDR-SA-16</w:t>
            </w:r>
          </w:p>
        </w:tc>
        <w:tc>
          <w:tcPr>
            <w:tcW w:w="0" w:type="auto"/>
            <w:shd w:val="clear" w:color="auto" w:fill="FFFFFF" w:themeFill="background1"/>
            <w:hideMark/>
          </w:tcPr>
          <w:p w14:paraId="3E8D55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4F1E1D3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515337E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0951F0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73D3C4D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1E32D3D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0AD5F0A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51AD67C"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MDR-SA-17</w:t>
            </w:r>
          </w:p>
        </w:tc>
        <w:tc>
          <w:tcPr>
            <w:tcW w:w="0" w:type="auto"/>
            <w:shd w:val="clear" w:color="auto" w:fill="FFFFFF" w:themeFill="background1"/>
            <w:hideMark/>
          </w:tcPr>
          <w:p w14:paraId="31A337A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5D9BBF83"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B0EF25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4774913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5DF46E2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0532D9B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572FCB8"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7E2DF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MDR-SA-18</w:t>
            </w:r>
          </w:p>
        </w:tc>
        <w:tc>
          <w:tcPr>
            <w:tcW w:w="0" w:type="auto"/>
            <w:shd w:val="clear" w:color="auto" w:fill="FFFFFF" w:themeFill="background1"/>
            <w:hideMark/>
          </w:tcPr>
          <w:p w14:paraId="1FB5CA1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C160BF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14D63DD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7A0EB6D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21896B9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2FF141B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5A400FD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56069F"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Mean ± SD</w:t>
            </w:r>
          </w:p>
        </w:tc>
        <w:tc>
          <w:tcPr>
            <w:tcW w:w="0" w:type="auto"/>
            <w:shd w:val="clear" w:color="auto" w:fill="FFFFFF" w:themeFill="background1"/>
            <w:hideMark/>
          </w:tcPr>
          <w:p w14:paraId="7A48CB3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21.6 ± 2.1</w:t>
            </w:r>
          </w:p>
        </w:tc>
        <w:tc>
          <w:tcPr>
            <w:tcW w:w="0" w:type="auto"/>
            <w:shd w:val="clear" w:color="auto" w:fill="FFFFFF" w:themeFill="background1"/>
            <w:hideMark/>
          </w:tcPr>
          <w:p w14:paraId="55A7F0F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18.7 ± 1.9</w:t>
            </w:r>
          </w:p>
        </w:tc>
        <w:tc>
          <w:tcPr>
            <w:tcW w:w="0" w:type="auto"/>
            <w:shd w:val="clear" w:color="auto" w:fill="FFFFFF" w:themeFill="background1"/>
            <w:hideMark/>
          </w:tcPr>
          <w:p w14:paraId="26D314C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16.4 ± 2.3</w:t>
            </w:r>
          </w:p>
        </w:tc>
        <w:tc>
          <w:tcPr>
            <w:tcW w:w="0" w:type="auto"/>
            <w:shd w:val="clear" w:color="auto" w:fill="FFFFFF" w:themeFill="background1"/>
            <w:hideMark/>
          </w:tcPr>
          <w:p w14:paraId="0AD21914"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12.7 ± 4.5</w:t>
            </w:r>
          </w:p>
        </w:tc>
        <w:tc>
          <w:tcPr>
            <w:tcW w:w="0" w:type="auto"/>
            <w:shd w:val="clear" w:color="auto" w:fill="FFFFFF" w:themeFill="background1"/>
            <w:hideMark/>
          </w:tcPr>
          <w:p w14:paraId="3918B98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7.3 ± 5.9</w:t>
            </w:r>
          </w:p>
        </w:tc>
        <w:tc>
          <w:tcPr>
            <w:tcW w:w="0" w:type="auto"/>
            <w:shd w:val="clear" w:color="auto" w:fill="FFFFFF" w:themeFill="background1"/>
            <w:hideMark/>
          </w:tcPr>
          <w:p w14:paraId="04916E45" w14:textId="36C89D75"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2652936" w14:textId="2B8CCF71"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 xml:space="preserve">The quantitative MIC and MBC values for the ethanol extract, determined via broth </w:t>
      </w:r>
      <w:proofErr w:type="spellStart"/>
      <w:r w:rsidRPr="00EA6FF3">
        <w:rPr>
          <w:rFonts w:ascii="Times New Roman" w:hAnsi="Times New Roman"/>
          <w:sz w:val="24"/>
          <w:szCs w:val="24"/>
        </w:rPr>
        <w:t>macrodilution</w:t>
      </w:r>
      <w:proofErr w:type="spellEnd"/>
      <w:r w:rsidRPr="00EA6FF3">
        <w:rPr>
          <w:rFonts w:ascii="Times New Roman" w:hAnsi="Times New Roman"/>
          <w:sz w:val="24"/>
          <w:szCs w:val="24"/>
        </w:rPr>
        <w:t>, are presented in Table 6. The MIC values ranged from 6.25 mg/mL to 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The MIC50 (concentration inhibiting 50% of isolates) and MIC90 (concentration inhibiting 90% of isolates) were 6.25 mg/mL and 12.5 mg/mL, respectively. The MBC values were higher, ranging from 12.5 mg/mL to &gt;100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Analysis of the MBC/MIC ratio revealed a crucial finding: the ethanol extract exhibited bactericidal activity (ratio ≤4) against 7 of the 18 isolates (38.9%), specifically MDR-SA-01, -02, -05, -07, -09, -11, and -18, with MBCs as low as 12.5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For the remaining 11 isolates (61.1%), the effect was bacteriostatic (ratio &gt;4).</w:t>
      </w:r>
    </w:p>
    <w:p w14:paraId="5DEAE0DF"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6: Minimum Inhibitory Concentration (MIC) and Minimum Bactericidal Concentration (MBC)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Ethanol Extract Against MDR S. aureus Isolates</w:t>
      </w:r>
    </w:p>
    <w:tbl>
      <w:tblPr>
        <w:tblStyle w:val="ListTable6Colorful"/>
        <w:tblW w:w="0" w:type="auto"/>
        <w:shd w:val="clear" w:color="auto" w:fill="FFFFFF" w:themeFill="background1"/>
        <w:tblLook w:val="04A0" w:firstRow="1" w:lastRow="0" w:firstColumn="1" w:lastColumn="0" w:noHBand="0" w:noVBand="1"/>
      </w:tblPr>
      <w:tblGrid>
        <w:gridCol w:w="1496"/>
        <w:gridCol w:w="1676"/>
        <w:gridCol w:w="1743"/>
        <w:gridCol w:w="1956"/>
        <w:gridCol w:w="1683"/>
      </w:tblGrid>
      <w:tr w:rsidR="004F25DF" w:rsidRPr="00455D0B" w14:paraId="29F61D31"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ADC493"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Isolate ID</w:t>
            </w:r>
          </w:p>
        </w:tc>
        <w:tc>
          <w:tcPr>
            <w:tcW w:w="0" w:type="auto"/>
            <w:shd w:val="clear" w:color="auto" w:fill="FFFFFF" w:themeFill="background1"/>
            <w:hideMark/>
          </w:tcPr>
          <w:p w14:paraId="675AFDDD"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MIC (mg/mL)</w:t>
            </w:r>
          </w:p>
        </w:tc>
        <w:tc>
          <w:tcPr>
            <w:tcW w:w="0" w:type="auto"/>
            <w:shd w:val="clear" w:color="auto" w:fill="FFFFFF" w:themeFill="background1"/>
            <w:hideMark/>
          </w:tcPr>
          <w:p w14:paraId="28C9E58C"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MBC (mg/mL)</w:t>
            </w:r>
          </w:p>
        </w:tc>
        <w:tc>
          <w:tcPr>
            <w:tcW w:w="0" w:type="auto"/>
            <w:shd w:val="clear" w:color="auto" w:fill="FFFFFF" w:themeFill="background1"/>
            <w:hideMark/>
          </w:tcPr>
          <w:p w14:paraId="6477F2AA"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MBC/MIC Ratio</w:t>
            </w:r>
          </w:p>
        </w:tc>
        <w:tc>
          <w:tcPr>
            <w:tcW w:w="0" w:type="auto"/>
            <w:shd w:val="clear" w:color="auto" w:fill="FFFFFF" w:themeFill="background1"/>
            <w:hideMark/>
          </w:tcPr>
          <w:p w14:paraId="68A5568C"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Interpretation</w:t>
            </w:r>
          </w:p>
        </w:tc>
      </w:tr>
      <w:tr w:rsidR="004F25DF" w:rsidRPr="00455D0B" w14:paraId="5E64786D"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CA9C98"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MDR-SA-01</w:t>
            </w:r>
          </w:p>
        </w:tc>
        <w:tc>
          <w:tcPr>
            <w:tcW w:w="0" w:type="auto"/>
            <w:shd w:val="clear" w:color="auto" w:fill="FFFFFF" w:themeFill="background1"/>
            <w:hideMark/>
          </w:tcPr>
          <w:p w14:paraId="34E64B1C"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01DC4D7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B955F7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C7D4FA0"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3DE6486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F6CDC7E"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MDR-SA-02</w:t>
            </w:r>
          </w:p>
        </w:tc>
        <w:tc>
          <w:tcPr>
            <w:tcW w:w="0" w:type="auto"/>
            <w:shd w:val="clear" w:color="auto" w:fill="FFFFFF" w:themeFill="background1"/>
            <w:hideMark/>
          </w:tcPr>
          <w:p w14:paraId="1E53A10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09550F1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1F30A9C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8ED97D3"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B9E78D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746D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MDR-SA-03</w:t>
            </w:r>
          </w:p>
        </w:tc>
        <w:tc>
          <w:tcPr>
            <w:tcW w:w="0" w:type="auto"/>
            <w:shd w:val="clear" w:color="auto" w:fill="FFFFFF" w:themeFill="background1"/>
            <w:hideMark/>
          </w:tcPr>
          <w:p w14:paraId="7B9CE8FB"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4DA2EF0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7EB9A7F3"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336D1A80"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5489566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8EAFDE"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MDR-SA-04</w:t>
            </w:r>
          </w:p>
        </w:tc>
        <w:tc>
          <w:tcPr>
            <w:tcW w:w="0" w:type="auto"/>
            <w:shd w:val="clear" w:color="auto" w:fill="FFFFFF" w:themeFill="background1"/>
            <w:hideMark/>
          </w:tcPr>
          <w:p w14:paraId="41FD908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379E12F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464B312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4DA881D3"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A21C38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C412E5"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MDR-SA-05</w:t>
            </w:r>
          </w:p>
        </w:tc>
        <w:tc>
          <w:tcPr>
            <w:tcW w:w="0" w:type="auto"/>
            <w:shd w:val="clear" w:color="auto" w:fill="FFFFFF" w:themeFill="background1"/>
            <w:hideMark/>
          </w:tcPr>
          <w:p w14:paraId="0415A97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4E14197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422E4F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79B7C587"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116A525"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57EDA3"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lastRenderedPageBreak/>
              <w:t>MDR-SA-06</w:t>
            </w:r>
          </w:p>
        </w:tc>
        <w:tc>
          <w:tcPr>
            <w:tcW w:w="0" w:type="auto"/>
            <w:shd w:val="clear" w:color="auto" w:fill="FFFFFF" w:themeFill="background1"/>
            <w:hideMark/>
          </w:tcPr>
          <w:p w14:paraId="744451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C068332"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20E4209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6AC3B57E"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7750AE8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CCA7EBF"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MDR-SA-07</w:t>
            </w:r>
          </w:p>
        </w:tc>
        <w:tc>
          <w:tcPr>
            <w:tcW w:w="0" w:type="auto"/>
            <w:shd w:val="clear" w:color="auto" w:fill="FFFFFF" w:themeFill="background1"/>
            <w:hideMark/>
          </w:tcPr>
          <w:p w14:paraId="4F6D141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26A7B03C"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0A20C26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5CE52F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00EC030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D438B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MDR-SA-08</w:t>
            </w:r>
          </w:p>
        </w:tc>
        <w:tc>
          <w:tcPr>
            <w:tcW w:w="0" w:type="auto"/>
            <w:shd w:val="clear" w:color="auto" w:fill="FFFFFF" w:themeFill="background1"/>
            <w:hideMark/>
          </w:tcPr>
          <w:p w14:paraId="534EFC1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1829EF46"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1BCD2002"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&gt;4</w:t>
            </w:r>
          </w:p>
        </w:tc>
        <w:tc>
          <w:tcPr>
            <w:tcW w:w="0" w:type="auto"/>
            <w:shd w:val="clear" w:color="auto" w:fill="FFFFFF" w:themeFill="background1"/>
            <w:hideMark/>
          </w:tcPr>
          <w:p w14:paraId="27519C7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04EAD6B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3D0B2A"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MDR-SA-09</w:t>
            </w:r>
          </w:p>
        </w:tc>
        <w:tc>
          <w:tcPr>
            <w:tcW w:w="0" w:type="auto"/>
            <w:shd w:val="clear" w:color="auto" w:fill="FFFFFF" w:themeFill="background1"/>
            <w:hideMark/>
          </w:tcPr>
          <w:p w14:paraId="35E2527B"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4683003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AAD0FE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4C4818C3"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4B53846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03D1210"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MDR-SA-10</w:t>
            </w:r>
          </w:p>
        </w:tc>
        <w:tc>
          <w:tcPr>
            <w:tcW w:w="0" w:type="auto"/>
            <w:shd w:val="clear" w:color="auto" w:fill="FFFFFF" w:themeFill="background1"/>
            <w:hideMark/>
          </w:tcPr>
          <w:p w14:paraId="01EABD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58391A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43773B2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50258B08"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7560027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0B3CBB"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MDR-SA-11</w:t>
            </w:r>
          </w:p>
        </w:tc>
        <w:tc>
          <w:tcPr>
            <w:tcW w:w="0" w:type="auto"/>
            <w:shd w:val="clear" w:color="auto" w:fill="FFFFFF" w:themeFill="background1"/>
            <w:hideMark/>
          </w:tcPr>
          <w:p w14:paraId="7025BF8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73327A7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90CC9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3806BBD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1A13B24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4C4CC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MDR-SA-12</w:t>
            </w:r>
          </w:p>
        </w:tc>
        <w:tc>
          <w:tcPr>
            <w:tcW w:w="0" w:type="auto"/>
            <w:shd w:val="clear" w:color="auto" w:fill="FFFFFF" w:themeFill="background1"/>
            <w:hideMark/>
          </w:tcPr>
          <w:p w14:paraId="2D2A405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48F31F8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320E24D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63A7091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46B813E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AB5D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MDR-SA-13</w:t>
            </w:r>
          </w:p>
        </w:tc>
        <w:tc>
          <w:tcPr>
            <w:tcW w:w="0" w:type="auto"/>
            <w:shd w:val="clear" w:color="auto" w:fill="FFFFFF" w:themeFill="background1"/>
            <w:hideMark/>
          </w:tcPr>
          <w:p w14:paraId="4931E66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1A61165A"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19A32F3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4575DD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3035F2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DFE54D"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MDR-SA-14</w:t>
            </w:r>
          </w:p>
        </w:tc>
        <w:tc>
          <w:tcPr>
            <w:tcW w:w="0" w:type="auto"/>
            <w:shd w:val="clear" w:color="auto" w:fill="FFFFFF" w:themeFill="background1"/>
            <w:hideMark/>
          </w:tcPr>
          <w:p w14:paraId="0E6C7BC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D5AC6D"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0A44CCB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0C6E000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0A0288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36598B4"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MDR-SA-15</w:t>
            </w:r>
          </w:p>
        </w:tc>
        <w:tc>
          <w:tcPr>
            <w:tcW w:w="0" w:type="auto"/>
            <w:shd w:val="clear" w:color="auto" w:fill="FFFFFF" w:themeFill="background1"/>
            <w:hideMark/>
          </w:tcPr>
          <w:p w14:paraId="4BA02D3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5AF4AD64"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77ACB78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380AC7C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227E905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4015E4"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MDR-SA-16</w:t>
            </w:r>
          </w:p>
        </w:tc>
        <w:tc>
          <w:tcPr>
            <w:tcW w:w="0" w:type="auto"/>
            <w:shd w:val="clear" w:color="auto" w:fill="FFFFFF" w:themeFill="background1"/>
            <w:hideMark/>
          </w:tcPr>
          <w:p w14:paraId="1494AAE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66D99D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55B2B35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43976806"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5D4AB1E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C740B21"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MDR-SA-17</w:t>
            </w:r>
          </w:p>
        </w:tc>
        <w:tc>
          <w:tcPr>
            <w:tcW w:w="0" w:type="auto"/>
            <w:shd w:val="clear" w:color="auto" w:fill="FFFFFF" w:themeFill="background1"/>
            <w:hideMark/>
          </w:tcPr>
          <w:p w14:paraId="3ADBF3AA"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31F923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0D38BFB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5520903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081343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596DB49"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MDR-SA-18</w:t>
            </w:r>
          </w:p>
        </w:tc>
        <w:tc>
          <w:tcPr>
            <w:tcW w:w="0" w:type="auto"/>
            <w:shd w:val="clear" w:color="auto" w:fill="FFFFFF" w:themeFill="background1"/>
            <w:hideMark/>
          </w:tcPr>
          <w:p w14:paraId="57672B2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2BEE5F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E16B9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4CE88D4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bl>
    <w:p w14:paraId="0AB16C5C" w14:textId="53394BED"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The aqueous extract exhibited discernibly weaker antibacterial activity compared to its ethanol counterpart. As shown in Table 7, the mean ZOI at 100 mg/mL was 15.6 ± 2.0 mm. This activity diminished sharply with dilution; the mean ZOI at 25 mg/mL was 10.4 ± 3.1 mm, and at 12.5 mg/mL it was 5.9 ± 4.4 mm, with many isolates showing no inhibition. Critically, no isolate was inhibited at the 6.25 mg/mL concentration.</w:t>
      </w:r>
    </w:p>
    <w:p w14:paraId="5396AC29"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7: </w:t>
      </w:r>
      <w:r w:rsidRPr="00EA6FF3">
        <w:rPr>
          <w:rFonts w:ascii="Times New Roman" w:hAnsi="Times New Roman"/>
          <w:b/>
          <w:bCs/>
          <w:i/>
          <w:iCs/>
          <w:sz w:val="24"/>
          <w:szCs w:val="24"/>
        </w:rPr>
        <w:t>In vitro</w:t>
      </w:r>
      <w:r w:rsidRPr="00EA6FF3">
        <w:rPr>
          <w:rFonts w:ascii="Times New Roman" w:hAnsi="Times New Roman"/>
          <w:b/>
          <w:bCs/>
          <w:sz w:val="24"/>
          <w:szCs w:val="24"/>
        </w:rPr>
        <w:t> Antibacterial Activity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Aqueous Extract Against Multi-Drug Resistant </w:t>
      </w:r>
      <w:r w:rsidRPr="00EA6FF3">
        <w:rPr>
          <w:rFonts w:ascii="Times New Roman" w:hAnsi="Times New Roman"/>
          <w:b/>
          <w:bCs/>
          <w:i/>
          <w:iCs/>
          <w:sz w:val="24"/>
          <w:szCs w:val="24"/>
        </w:rPr>
        <w:t xml:space="preserve">Staphylococcus </w:t>
      </w:r>
      <w:proofErr w:type="gramStart"/>
      <w:r w:rsidRPr="00EA6FF3">
        <w:rPr>
          <w:rFonts w:ascii="Times New Roman" w:hAnsi="Times New Roman"/>
          <w:b/>
          <w:bCs/>
          <w:i/>
          <w:iCs/>
          <w:sz w:val="24"/>
          <w:szCs w:val="24"/>
        </w:rPr>
        <w:t>aureus</w:t>
      </w:r>
      <w:proofErr w:type="gramEnd"/>
      <w:r w:rsidRPr="00EA6FF3">
        <w:rPr>
          <w:rFonts w:ascii="Times New Roman" w:hAnsi="Times New Roman"/>
          <w:b/>
          <w:bCs/>
          <w:sz w:val="24"/>
          <w:szCs w:val="24"/>
        </w:rPr>
        <w:t> Isolates</w:t>
      </w:r>
    </w:p>
    <w:tbl>
      <w:tblPr>
        <w:tblStyle w:val="ListTable6Colorful"/>
        <w:tblW w:w="0" w:type="auto"/>
        <w:shd w:val="clear" w:color="auto" w:fill="FFFFFF" w:themeFill="background1"/>
        <w:tblLook w:val="04A0" w:firstRow="1" w:lastRow="0" w:firstColumn="1" w:lastColumn="0" w:noHBand="0" w:noVBand="1"/>
      </w:tblPr>
      <w:tblGrid>
        <w:gridCol w:w="1244"/>
        <w:gridCol w:w="1173"/>
        <w:gridCol w:w="1067"/>
        <w:gridCol w:w="1113"/>
        <w:gridCol w:w="1203"/>
        <w:gridCol w:w="1203"/>
        <w:gridCol w:w="2357"/>
      </w:tblGrid>
      <w:tr w:rsidR="00442F58" w:rsidRPr="00885E5A" w14:paraId="3DF34F46"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87BC10E" w14:textId="77777777" w:rsidR="00442F58" w:rsidRPr="00885E5A" w:rsidRDefault="00442F58" w:rsidP="0032611D">
            <w:pPr>
              <w:spacing w:line="240" w:lineRule="auto"/>
              <w:rPr>
                <w:rFonts w:ascii="Times New Roman" w:hAnsi="Times New Roman"/>
                <w:sz w:val="24"/>
                <w:szCs w:val="24"/>
              </w:rPr>
            </w:pPr>
            <w:r w:rsidRPr="00885E5A">
              <w:rPr>
                <w:rFonts w:ascii="Times New Roman" w:hAnsi="Times New Roman"/>
                <w:sz w:val="24"/>
                <w:szCs w:val="24"/>
              </w:rPr>
              <w:t>Isolates</w:t>
            </w:r>
          </w:p>
        </w:tc>
        <w:tc>
          <w:tcPr>
            <w:tcW w:w="0" w:type="auto"/>
            <w:gridSpan w:val="5"/>
            <w:shd w:val="clear" w:color="auto" w:fill="FFFFFF" w:themeFill="background1"/>
          </w:tcPr>
          <w:p w14:paraId="0EA9DBA1" w14:textId="77777777" w:rsidR="00442F58" w:rsidRPr="00885E5A" w:rsidRDefault="00442F58" w:rsidP="0032611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204AC">
              <w:rPr>
                <w:rFonts w:ascii="Times New Roman" w:hAnsi="Times New Roman"/>
                <w:sz w:val="24"/>
                <w:szCs w:val="24"/>
              </w:rPr>
              <w:t>Zone of Inhibition - Diameter (mm)</w:t>
            </w:r>
          </w:p>
        </w:tc>
        <w:tc>
          <w:tcPr>
            <w:tcW w:w="0" w:type="auto"/>
            <w:shd w:val="clear" w:color="auto" w:fill="FFFFFF" w:themeFill="background1"/>
          </w:tcPr>
          <w:p w14:paraId="255B630A" w14:textId="77777777" w:rsidR="00442F58" w:rsidRPr="00885E5A" w:rsidRDefault="00442F58" w:rsidP="0032611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Control: Vancomycin (30 µg)</w:t>
            </w:r>
          </w:p>
        </w:tc>
      </w:tr>
      <w:tr w:rsidR="00442F58" w:rsidRPr="00885E5A" w14:paraId="4E856C0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3505B3" w14:textId="77777777" w:rsidR="00442F58" w:rsidRPr="006204AC" w:rsidRDefault="00442F58" w:rsidP="0032611D">
            <w:pPr>
              <w:spacing w:after="160" w:line="240" w:lineRule="auto"/>
              <w:rPr>
                <w:rFonts w:ascii="Times New Roman" w:hAnsi="Times New Roman"/>
                <w:sz w:val="24"/>
                <w:szCs w:val="24"/>
              </w:rPr>
            </w:pPr>
          </w:p>
        </w:tc>
        <w:tc>
          <w:tcPr>
            <w:tcW w:w="0" w:type="auto"/>
            <w:shd w:val="clear" w:color="auto" w:fill="FFFFFF" w:themeFill="background1"/>
            <w:hideMark/>
          </w:tcPr>
          <w:p w14:paraId="1F2872A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100 mg/mL</w:t>
            </w:r>
          </w:p>
        </w:tc>
        <w:tc>
          <w:tcPr>
            <w:tcW w:w="0" w:type="auto"/>
            <w:shd w:val="clear" w:color="auto" w:fill="FFFFFF" w:themeFill="background1"/>
            <w:hideMark/>
          </w:tcPr>
          <w:p w14:paraId="6DC252B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Zone (mm)</w:t>
            </w:r>
          </w:p>
        </w:tc>
        <w:tc>
          <w:tcPr>
            <w:tcW w:w="0" w:type="auto"/>
            <w:shd w:val="clear" w:color="auto" w:fill="FFFFFF" w:themeFill="background1"/>
            <w:hideMark/>
          </w:tcPr>
          <w:p w14:paraId="52EC3A9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25 mg/mL</w:t>
            </w:r>
          </w:p>
        </w:tc>
        <w:tc>
          <w:tcPr>
            <w:tcW w:w="0" w:type="auto"/>
            <w:shd w:val="clear" w:color="auto" w:fill="FFFFFF" w:themeFill="background1"/>
            <w:hideMark/>
          </w:tcPr>
          <w:p w14:paraId="4B90229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12.5 mg/mL</w:t>
            </w:r>
          </w:p>
        </w:tc>
        <w:tc>
          <w:tcPr>
            <w:tcW w:w="0" w:type="auto"/>
            <w:shd w:val="clear" w:color="auto" w:fill="FFFFFF" w:themeFill="background1"/>
            <w:hideMark/>
          </w:tcPr>
          <w:p w14:paraId="738C117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6.25 mg/mL</w:t>
            </w:r>
          </w:p>
        </w:tc>
        <w:tc>
          <w:tcPr>
            <w:tcW w:w="0" w:type="auto"/>
            <w:shd w:val="clear" w:color="auto" w:fill="FFFFFF" w:themeFill="background1"/>
            <w:hideMark/>
          </w:tcPr>
          <w:p w14:paraId="5F86B97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Zone (mm)</w:t>
            </w:r>
          </w:p>
        </w:tc>
      </w:tr>
      <w:tr w:rsidR="00442F58" w:rsidRPr="00885E5A" w14:paraId="14009E8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8E6763"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MDR-SA-01</w:t>
            </w:r>
          </w:p>
        </w:tc>
        <w:tc>
          <w:tcPr>
            <w:tcW w:w="0" w:type="auto"/>
            <w:shd w:val="clear" w:color="auto" w:fill="FFFFFF" w:themeFill="background1"/>
            <w:hideMark/>
          </w:tcPr>
          <w:p w14:paraId="4521442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2840DB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5B25E22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57610B7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4100C6C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55D6297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0641074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CE900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MDR-SA-02</w:t>
            </w:r>
          </w:p>
        </w:tc>
        <w:tc>
          <w:tcPr>
            <w:tcW w:w="0" w:type="auto"/>
            <w:shd w:val="clear" w:color="auto" w:fill="FFFFFF" w:themeFill="background1"/>
            <w:hideMark/>
          </w:tcPr>
          <w:p w14:paraId="6D779D4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18.0</w:t>
            </w:r>
          </w:p>
        </w:tc>
        <w:tc>
          <w:tcPr>
            <w:tcW w:w="0" w:type="auto"/>
            <w:shd w:val="clear" w:color="auto" w:fill="FFFFFF" w:themeFill="background1"/>
            <w:hideMark/>
          </w:tcPr>
          <w:p w14:paraId="20DA877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7A8C8B4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7CC7AD2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1349CD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16C63E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24F375A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C12CC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MDR-SA-03</w:t>
            </w:r>
          </w:p>
        </w:tc>
        <w:tc>
          <w:tcPr>
            <w:tcW w:w="0" w:type="auto"/>
            <w:shd w:val="clear" w:color="auto" w:fill="FFFFFF" w:themeFill="background1"/>
            <w:hideMark/>
          </w:tcPr>
          <w:p w14:paraId="18DE823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B354D5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36E5F88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2F7B08D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E0DE3E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5EC4A8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 (R)</w:t>
            </w:r>
          </w:p>
        </w:tc>
      </w:tr>
      <w:tr w:rsidR="00442F58" w:rsidRPr="00885E5A" w14:paraId="04037CB0"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F48CD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MDR-SA-04</w:t>
            </w:r>
          </w:p>
        </w:tc>
        <w:tc>
          <w:tcPr>
            <w:tcW w:w="0" w:type="auto"/>
            <w:shd w:val="clear" w:color="auto" w:fill="FFFFFF" w:themeFill="background1"/>
            <w:hideMark/>
          </w:tcPr>
          <w:p w14:paraId="02CCB8E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02DF303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474A93B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1310BD9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447442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D0F036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7.0 (R)</w:t>
            </w:r>
          </w:p>
        </w:tc>
      </w:tr>
      <w:tr w:rsidR="00442F58" w:rsidRPr="00885E5A" w14:paraId="07BF4A4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D32AB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lastRenderedPageBreak/>
              <w:t>MDR-SA-05</w:t>
            </w:r>
          </w:p>
        </w:tc>
        <w:tc>
          <w:tcPr>
            <w:tcW w:w="0" w:type="auto"/>
            <w:shd w:val="clear" w:color="auto" w:fill="FFFFFF" w:themeFill="background1"/>
            <w:hideMark/>
          </w:tcPr>
          <w:p w14:paraId="041B03A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1B67EE9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7D38F7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0D73A2F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283F592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14C50A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21.0 (S)</w:t>
            </w:r>
          </w:p>
        </w:tc>
      </w:tr>
      <w:tr w:rsidR="00442F58" w:rsidRPr="00885E5A" w14:paraId="568916F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09121F7"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MDR-SA-06</w:t>
            </w:r>
          </w:p>
        </w:tc>
        <w:tc>
          <w:tcPr>
            <w:tcW w:w="0" w:type="auto"/>
            <w:shd w:val="clear" w:color="auto" w:fill="FFFFFF" w:themeFill="background1"/>
            <w:hideMark/>
          </w:tcPr>
          <w:p w14:paraId="6AD0E5F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6B12D10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 (S)</w:t>
            </w:r>
          </w:p>
        </w:tc>
        <w:tc>
          <w:tcPr>
            <w:tcW w:w="0" w:type="auto"/>
            <w:shd w:val="clear" w:color="auto" w:fill="FFFFFF" w:themeFill="background1"/>
            <w:hideMark/>
          </w:tcPr>
          <w:p w14:paraId="4BEAD309"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AAEEF1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41711A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40C4A3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117A840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4412BF"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MDR-SA-07</w:t>
            </w:r>
          </w:p>
        </w:tc>
        <w:tc>
          <w:tcPr>
            <w:tcW w:w="0" w:type="auto"/>
            <w:shd w:val="clear" w:color="auto" w:fill="FFFFFF" w:themeFill="background1"/>
            <w:hideMark/>
          </w:tcPr>
          <w:p w14:paraId="2290089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0AA7906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595CAF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53C72A5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1AAFD99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673C5AF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23.0 (S)</w:t>
            </w:r>
          </w:p>
        </w:tc>
      </w:tr>
      <w:tr w:rsidR="00442F58" w:rsidRPr="00885E5A" w14:paraId="4522026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27F9A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MDR-SA-08</w:t>
            </w:r>
          </w:p>
        </w:tc>
        <w:tc>
          <w:tcPr>
            <w:tcW w:w="0" w:type="auto"/>
            <w:shd w:val="clear" w:color="auto" w:fill="FFFFFF" w:themeFill="background1"/>
            <w:hideMark/>
          </w:tcPr>
          <w:p w14:paraId="2CA05D59"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1F29DA3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23A5B412"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6F9D79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59D015B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EDDFC3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 (R)</w:t>
            </w:r>
          </w:p>
        </w:tc>
      </w:tr>
      <w:tr w:rsidR="00442F58" w:rsidRPr="00885E5A" w14:paraId="4662D081"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4C21DC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MDR-SA-09</w:t>
            </w:r>
          </w:p>
        </w:tc>
        <w:tc>
          <w:tcPr>
            <w:tcW w:w="0" w:type="auto"/>
            <w:shd w:val="clear" w:color="auto" w:fill="FFFFFF" w:themeFill="background1"/>
            <w:hideMark/>
          </w:tcPr>
          <w:p w14:paraId="65FC38C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19.0</w:t>
            </w:r>
          </w:p>
        </w:tc>
        <w:tc>
          <w:tcPr>
            <w:tcW w:w="0" w:type="auto"/>
            <w:shd w:val="clear" w:color="auto" w:fill="FFFFFF" w:themeFill="background1"/>
            <w:hideMark/>
          </w:tcPr>
          <w:p w14:paraId="181ADE9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59DA3ED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4A8AA5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759BEAA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986E09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0A5416C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E5C1FF"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MDR-SA-10</w:t>
            </w:r>
          </w:p>
        </w:tc>
        <w:tc>
          <w:tcPr>
            <w:tcW w:w="0" w:type="auto"/>
            <w:shd w:val="clear" w:color="auto" w:fill="FFFFFF" w:themeFill="background1"/>
            <w:hideMark/>
          </w:tcPr>
          <w:p w14:paraId="24504B6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37685F6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3A205E0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06C46F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905318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749EE9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321C705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6FB12B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MDR-SA-11</w:t>
            </w:r>
          </w:p>
        </w:tc>
        <w:tc>
          <w:tcPr>
            <w:tcW w:w="0" w:type="auto"/>
            <w:shd w:val="clear" w:color="auto" w:fill="FFFFFF" w:themeFill="background1"/>
            <w:hideMark/>
          </w:tcPr>
          <w:p w14:paraId="790A777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2196AAF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 (S)</w:t>
            </w:r>
          </w:p>
        </w:tc>
        <w:tc>
          <w:tcPr>
            <w:tcW w:w="0" w:type="auto"/>
            <w:shd w:val="clear" w:color="auto" w:fill="FFFFFF" w:themeFill="background1"/>
            <w:hideMark/>
          </w:tcPr>
          <w:p w14:paraId="2C28796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27C6317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7963B1C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0A76D6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24.0 (S)</w:t>
            </w:r>
          </w:p>
        </w:tc>
      </w:tr>
      <w:tr w:rsidR="00442F58" w:rsidRPr="00885E5A" w14:paraId="1A1B1F43"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80F943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MDR-SA-12</w:t>
            </w:r>
          </w:p>
        </w:tc>
        <w:tc>
          <w:tcPr>
            <w:tcW w:w="0" w:type="auto"/>
            <w:shd w:val="clear" w:color="auto" w:fill="FFFFFF" w:themeFill="background1"/>
            <w:hideMark/>
          </w:tcPr>
          <w:p w14:paraId="58B63E6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62843ED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066B51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5E31498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3DDC41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DB955B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 (R)</w:t>
            </w:r>
          </w:p>
        </w:tc>
      </w:tr>
      <w:tr w:rsidR="00442F58" w:rsidRPr="00885E5A" w14:paraId="7293D76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8AFA86"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MDR-SA-13</w:t>
            </w:r>
          </w:p>
        </w:tc>
        <w:tc>
          <w:tcPr>
            <w:tcW w:w="0" w:type="auto"/>
            <w:shd w:val="clear" w:color="auto" w:fill="FFFFFF" w:themeFill="background1"/>
            <w:hideMark/>
          </w:tcPr>
          <w:p w14:paraId="77B9AE7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18.0</w:t>
            </w:r>
          </w:p>
        </w:tc>
        <w:tc>
          <w:tcPr>
            <w:tcW w:w="0" w:type="auto"/>
            <w:shd w:val="clear" w:color="auto" w:fill="FFFFFF" w:themeFill="background1"/>
            <w:hideMark/>
          </w:tcPr>
          <w:p w14:paraId="2966BF2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65C036B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1A00453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176BA83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8222FE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21.0 (S)</w:t>
            </w:r>
          </w:p>
        </w:tc>
      </w:tr>
      <w:tr w:rsidR="00442F58" w:rsidRPr="00885E5A" w14:paraId="393EC06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BA7BC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MDR-SA-14</w:t>
            </w:r>
          </w:p>
        </w:tc>
        <w:tc>
          <w:tcPr>
            <w:tcW w:w="0" w:type="auto"/>
            <w:shd w:val="clear" w:color="auto" w:fill="FFFFFF" w:themeFill="background1"/>
            <w:hideMark/>
          </w:tcPr>
          <w:p w14:paraId="092A7AF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3DBB7BF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5C8F9BB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C55349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BCF436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95A536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 (S)</w:t>
            </w:r>
          </w:p>
        </w:tc>
      </w:tr>
      <w:tr w:rsidR="00442F58" w:rsidRPr="00885E5A" w14:paraId="7641899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691B4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MDR-SA-15</w:t>
            </w:r>
          </w:p>
        </w:tc>
        <w:tc>
          <w:tcPr>
            <w:tcW w:w="0" w:type="auto"/>
            <w:shd w:val="clear" w:color="auto" w:fill="FFFFFF" w:themeFill="background1"/>
            <w:hideMark/>
          </w:tcPr>
          <w:p w14:paraId="564801B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237635D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08FCAF6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60E1FFF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5926C3F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F3884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7.0 (R)</w:t>
            </w:r>
          </w:p>
        </w:tc>
      </w:tr>
      <w:tr w:rsidR="00442F58" w:rsidRPr="00885E5A" w14:paraId="3FAA216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B48F997"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MDR-SA-16</w:t>
            </w:r>
          </w:p>
        </w:tc>
        <w:tc>
          <w:tcPr>
            <w:tcW w:w="0" w:type="auto"/>
            <w:shd w:val="clear" w:color="auto" w:fill="FFFFFF" w:themeFill="background1"/>
            <w:hideMark/>
          </w:tcPr>
          <w:p w14:paraId="499C007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00CB345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0EA4D12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63F8277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42101B2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EEF5C0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23.0 (S)</w:t>
            </w:r>
          </w:p>
        </w:tc>
      </w:tr>
      <w:tr w:rsidR="00442F58" w:rsidRPr="00885E5A" w14:paraId="3D79E133"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CCF5F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MDR-SA-17</w:t>
            </w:r>
          </w:p>
        </w:tc>
        <w:tc>
          <w:tcPr>
            <w:tcW w:w="0" w:type="auto"/>
            <w:shd w:val="clear" w:color="auto" w:fill="FFFFFF" w:themeFill="background1"/>
            <w:hideMark/>
          </w:tcPr>
          <w:p w14:paraId="3A9FF1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4F4ECC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632D1B9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54881C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4B211B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E5E29E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2BE93238"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C14569"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MDR-SA-18</w:t>
            </w:r>
          </w:p>
        </w:tc>
        <w:tc>
          <w:tcPr>
            <w:tcW w:w="0" w:type="auto"/>
            <w:shd w:val="clear" w:color="auto" w:fill="FFFFFF" w:themeFill="background1"/>
            <w:hideMark/>
          </w:tcPr>
          <w:p w14:paraId="1C90857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6F5DFD06"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03C0CF9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16E9540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1049B83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72D9CE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0C51306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38623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Mean ± SD</w:t>
            </w:r>
          </w:p>
        </w:tc>
        <w:tc>
          <w:tcPr>
            <w:tcW w:w="0" w:type="auto"/>
            <w:shd w:val="clear" w:color="auto" w:fill="FFFFFF" w:themeFill="background1"/>
            <w:hideMark/>
          </w:tcPr>
          <w:p w14:paraId="0A1BAF1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15.6 ± 2.0</w:t>
            </w:r>
          </w:p>
        </w:tc>
        <w:tc>
          <w:tcPr>
            <w:tcW w:w="0" w:type="auto"/>
            <w:shd w:val="clear" w:color="auto" w:fill="FFFFFF" w:themeFill="background1"/>
            <w:hideMark/>
          </w:tcPr>
          <w:p w14:paraId="6318F58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18.4 ± 1.3</w:t>
            </w:r>
          </w:p>
        </w:tc>
        <w:tc>
          <w:tcPr>
            <w:tcW w:w="0" w:type="auto"/>
            <w:shd w:val="clear" w:color="auto" w:fill="FFFFFF" w:themeFill="background1"/>
            <w:hideMark/>
          </w:tcPr>
          <w:p w14:paraId="4F8FEC4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10.4 ± 3.1</w:t>
            </w:r>
          </w:p>
        </w:tc>
        <w:tc>
          <w:tcPr>
            <w:tcW w:w="0" w:type="auto"/>
            <w:shd w:val="clear" w:color="auto" w:fill="FFFFFF" w:themeFill="background1"/>
            <w:hideMark/>
          </w:tcPr>
          <w:p w14:paraId="5F68F88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5.9 ± 4.4</w:t>
            </w:r>
          </w:p>
        </w:tc>
        <w:tc>
          <w:tcPr>
            <w:tcW w:w="0" w:type="auto"/>
            <w:shd w:val="clear" w:color="auto" w:fill="FFFFFF" w:themeFill="background1"/>
            <w:hideMark/>
          </w:tcPr>
          <w:p w14:paraId="5914040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0.0 ± 0.0</w:t>
            </w:r>
          </w:p>
        </w:tc>
        <w:tc>
          <w:tcPr>
            <w:tcW w:w="0" w:type="auto"/>
            <w:shd w:val="clear" w:color="auto" w:fill="FFFFFF" w:themeFill="background1"/>
            <w:hideMark/>
          </w:tcPr>
          <w:p w14:paraId="6FEA587A" w14:textId="20389C15"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7A6B7BDD" w14:textId="77777777" w:rsidR="00442F58" w:rsidRPr="00885E5A" w:rsidRDefault="00442F58" w:rsidP="0032611D">
      <w:pPr>
        <w:spacing w:before="240" w:line="240" w:lineRule="auto"/>
        <w:jc w:val="both"/>
        <w:rPr>
          <w:rFonts w:ascii="Times New Roman" w:hAnsi="Times New Roman"/>
          <w:sz w:val="24"/>
          <w:szCs w:val="24"/>
        </w:rPr>
      </w:pPr>
    </w:p>
    <w:p w14:paraId="17DF89A6" w14:textId="5041767D"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The corresponding MIC/MBC data for the aqueous extract is presented in Table 8. The MIC values were higher than those for ethanol, ranging from 12.5 to 50 mg/mL, with an MIC50 of 12.5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The MBC values were 50 mg/mL or greater than 100 mg/mL for all isolates. Consequently, the MBC/MIC ratio was &gt;4 for every isolate, conclusively demonstrating that the aqueous extract exerted a purely bacteriostatic effect against the tested MDR </w:t>
      </w:r>
      <w:r w:rsidRPr="00EA6FF3">
        <w:rPr>
          <w:rFonts w:ascii="Times New Roman" w:hAnsi="Times New Roman"/>
          <w:i/>
          <w:iCs/>
          <w:sz w:val="24"/>
          <w:szCs w:val="24"/>
        </w:rPr>
        <w:t>S. aureus</w:t>
      </w:r>
      <w:r w:rsidRPr="00EA6FF3">
        <w:rPr>
          <w:rFonts w:ascii="Times New Roman" w:hAnsi="Times New Roman"/>
          <w:sz w:val="24"/>
          <w:szCs w:val="24"/>
        </w:rPr>
        <w:t> isolates.</w:t>
      </w:r>
    </w:p>
    <w:p w14:paraId="75B063F1"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lastRenderedPageBreak/>
        <w:t>Table 8: Minimum Inhibitory Concentration (MIC) and Minimum Bactericidal Concentration (MBC)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Aqueous Extract Against MDR S. aureus Isolates</w:t>
      </w:r>
    </w:p>
    <w:tbl>
      <w:tblPr>
        <w:tblStyle w:val="ListTable6Colorful"/>
        <w:tblW w:w="0" w:type="auto"/>
        <w:shd w:val="clear" w:color="auto" w:fill="FFFFFF" w:themeFill="background1"/>
        <w:tblLook w:val="04A0" w:firstRow="1" w:lastRow="0" w:firstColumn="1" w:lastColumn="0" w:noHBand="0" w:noVBand="1"/>
      </w:tblPr>
      <w:tblGrid>
        <w:gridCol w:w="1496"/>
        <w:gridCol w:w="1676"/>
        <w:gridCol w:w="1743"/>
        <w:gridCol w:w="1956"/>
        <w:gridCol w:w="1683"/>
      </w:tblGrid>
      <w:tr w:rsidR="00442F58" w:rsidRPr="006204AC" w14:paraId="005B3FD1"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5E174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Isolate ID</w:t>
            </w:r>
          </w:p>
        </w:tc>
        <w:tc>
          <w:tcPr>
            <w:tcW w:w="0" w:type="auto"/>
            <w:shd w:val="clear" w:color="auto" w:fill="FFFFFF" w:themeFill="background1"/>
            <w:hideMark/>
          </w:tcPr>
          <w:p w14:paraId="1AB0959B"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MIC (mg/mL)</w:t>
            </w:r>
          </w:p>
        </w:tc>
        <w:tc>
          <w:tcPr>
            <w:tcW w:w="0" w:type="auto"/>
            <w:shd w:val="clear" w:color="auto" w:fill="FFFFFF" w:themeFill="background1"/>
            <w:hideMark/>
          </w:tcPr>
          <w:p w14:paraId="0368215F"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MBC (mg/mL)</w:t>
            </w:r>
          </w:p>
        </w:tc>
        <w:tc>
          <w:tcPr>
            <w:tcW w:w="0" w:type="auto"/>
            <w:shd w:val="clear" w:color="auto" w:fill="FFFFFF" w:themeFill="background1"/>
            <w:hideMark/>
          </w:tcPr>
          <w:p w14:paraId="4CD4E69E"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MBC/MIC Ratio</w:t>
            </w:r>
          </w:p>
        </w:tc>
        <w:tc>
          <w:tcPr>
            <w:tcW w:w="0" w:type="auto"/>
            <w:shd w:val="clear" w:color="auto" w:fill="FFFFFF" w:themeFill="background1"/>
            <w:hideMark/>
          </w:tcPr>
          <w:p w14:paraId="1EA02294"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Interpretation</w:t>
            </w:r>
          </w:p>
        </w:tc>
      </w:tr>
      <w:tr w:rsidR="00442F58" w:rsidRPr="006204AC" w14:paraId="514221A7"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7ABE34E"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MDR-SA-01</w:t>
            </w:r>
          </w:p>
        </w:tc>
        <w:tc>
          <w:tcPr>
            <w:tcW w:w="0" w:type="auto"/>
            <w:shd w:val="clear" w:color="auto" w:fill="FFFFFF" w:themeFill="background1"/>
            <w:hideMark/>
          </w:tcPr>
          <w:p w14:paraId="283C11E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386FE9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0CE0D6F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28A4B1B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AA960F1"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111E6A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MDR-SA-02</w:t>
            </w:r>
          </w:p>
        </w:tc>
        <w:tc>
          <w:tcPr>
            <w:tcW w:w="0" w:type="auto"/>
            <w:shd w:val="clear" w:color="auto" w:fill="FFFFFF" w:themeFill="background1"/>
            <w:hideMark/>
          </w:tcPr>
          <w:p w14:paraId="56CA461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8F0E89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D1857E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69F016D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CECE79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EF8DCC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MDR-SA-03</w:t>
            </w:r>
          </w:p>
        </w:tc>
        <w:tc>
          <w:tcPr>
            <w:tcW w:w="0" w:type="auto"/>
            <w:shd w:val="clear" w:color="auto" w:fill="FFFFFF" w:themeFill="background1"/>
            <w:hideMark/>
          </w:tcPr>
          <w:p w14:paraId="7C3ADFA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79A4468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2E321F3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53E4D5D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7DBF28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7E1639"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MDR-SA-04</w:t>
            </w:r>
          </w:p>
        </w:tc>
        <w:tc>
          <w:tcPr>
            <w:tcW w:w="0" w:type="auto"/>
            <w:shd w:val="clear" w:color="auto" w:fill="FFFFFF" w:themeFill="background1"/>
            <w:hideMark/>
          </w:tcPr>
          <w:p w14:paraId="3B277EA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532562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72125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3DA9D84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383EE5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BF3850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MDR-SA-05</w:t>
            </w:r>
          </w:p>
        </w:tc>
        <w:tc>
          <w:tcPr>
            <w:tcW w:w="0" w:type="auto"/>
            <w:shd w:val="clear" w:color="auto" w:fill="FFFFFF" w:themeFill="background1"/>
            <w:hideMark/>
          </w:tcPr>
          <w:p w14:paraId="1844080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04F5F41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6AA25C5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71BC653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704CA7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5C112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MDR-SA-06</w:t>
            </w:r>
          </w:p>
        </w:tc>
        <w:tc>
          <w:tcPr>
            <w:tcW w:w="0" w:type="auto"/>
            <w:shd w:val="clear" w:color="auto" w:fill="FFFFFF" w:themeFill="background1"/>
            <w:hideMark/>
          </w:tcPr>
          <w:p w14:paraId="020B7EF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0E132D4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10BD3C0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46B41E8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4CFF542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DD6DB8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MDR-SA-07</w:t>
            </w:r>
          </w:p>
        </w:tc>
        <w:tc>
          <w:tcPr>
            <w:tcW w:w="0" w:type="auto"/>
            <w:shd w:val="clear" w:color="auto" w:fill="FFFFFF" w:themeFill="background1"/>
            <w:hideMark/>
          </w:tcPr>
          <w:p w14:paraId="16B1277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54383A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A1F6B5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1265231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1A58DF8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4C94F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MDR-SA-08</w:t>
            </w:r>
          </w:p>
        </w:tc>
        <w:tc>
          <w:tcPr>
            <w:tcW w:w="0" w:type="auto"/>
            <w:shd w:val="clear" w:color="auto" w:fill="FFFFFF" w:themeFill="background1"/>
            <w:hideMark/>
          </w:tcPr>
          <w:p w14:paraId="66FAB8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B8681F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3235AA6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&gt;2</w:t>
            </w:r>
          </w:p>
        </w:tc>
        <w:tc>
          <w:tcPr>
            <w:tcW w:w="0" w:type="auto"/>
            <w:shd w:val="clear" w:color="auto" w:fill="FFFFFF" w:themeFill="background1"/>
            <w:hideMark/>
          </w:tcPr>
          <w:p w14:paraId="4FD786B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2CAE754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83C98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MDR-SA-09</w:t>
            </w:r>
          </w:p>
        </w:tc>
        <w:tc>
          <w:tcPr>
            <w:tcW w:w="0" w:type="auto"/>
            <w:shd w:val="clear" w:color="auto" w:fill="FFFFFF" w:themeFill="background1"/>
            <w:hideMark/>
          </w:tcPr>
          <w:p w14:paraId="00D6520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39167DB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EE08EE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77D7CBB2"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F72C74C"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BD7251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MDR-SA-10</w:t>
            </w:r>
          </w:p>
        </w:tc>
        <w:tc>
          <w:tcPr>
            <w:tcW w:w="0" w:type="auto"/>
            <w:shd w:val="clear" w:color="auto" w:fill="FFFFFF" w:themeFill="background1"/>
            <w:hideMark/>
          </w:tcPr>
          <w:p w14:paraId="47B7224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57AAAA6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495701A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29E69F1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1715FB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154651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MDR-SA-11</w:t>
            </w:r>
          </w:p>
        </w:tc>
        <w:tc>
          <w:tcPr>
            <w:tcW w:w="0" w:type="auto"/>
            <w:shd w:val="clear" w:color="auto" w:fill="FFFFFF" w:themeFill="background1"/>
            <w:hideMark/>
          </w:tcPr>
          <w:p w14:paraId="5DB6B27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44EA59C6"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6D82DE2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5090E36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2D2B78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571627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MDR-SA-12</w:t>
            </w:r>
          </w:p>
        </w:tc>
        <w:tc>
          <w:tcPr>
            <w:tcW w:w="0" w:type="auto"/>
            <w:shd w:val="clear" w:color="auto" w:fill="FFFFFF" w:themeFill="background1"/>
            <w:hideMark/>
          </w:tcPr>
          <w:p w14:paraId="79DA720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4C553C6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7CFA13C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20D6930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B24E1C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8D77C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MDR-SA-13</w:t>
            </w:r>
          </w:p>
        </w:tc>
        <w:tc>
          <w:tcPr>
            <w:tcW w:w="0" w:type="auto"/>
            <w:shd w:val="clear" w:color="auto" w:fill="FFFFFF" w:themeFill="background1"/>
            <w:hideMark/>
          </w:tcPr>
          <w:p w14:paraId="0DE0637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455B8F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17A657B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637FDBE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2893147D"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0F6382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MDR-SA-14</w:t>
            </w:r>
          </w:p>
        </w:tc>
        <w:tc>
          <w:tcPr>
            <w:tcW w:w="0" w:type="auto"/>
            <w:shd w:val="clear" w:color="auto" w:fill="FFFFFF" w:themeFill="background1"/>
            <w:hideMark/>
          </w:tcPr>
          <w:p w14:paraId="50D4239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7566AE1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7F30F4A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14269E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4F2527A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D85BB34"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MDR-SA-15</w:t>
            </w:r>
          </w:p>
        </w:tc>
        <w:tc>
          <w:tcPr>
            <w:tcW w:w="0" w:type="auto"/>
            <w:shd w:val="clear" w:color="auto" w:fill="FFFFFF" w:themeFill="background1"/>
            <w:hideMark/>
          </w:tcPr>
          <w:p w14:paraId="7E6B91C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FC481F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0BAD88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0B12110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7DE064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6EAB73"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MDR-SA-16</w:t>
            </w:r>
          </w:p>
        </w:tc>
        <w:tc>
          <w:tcPr>
            <w:tcW w:w="0" w:type="auto"/>
            <w:shd w:val="clear" w:color="auto" w:fill="FFFFFF" w:themeFill="background1"/>
            <w:hideMark/>
          </w:tcPr>
          <w:p w14:paraId="33B431B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22E3481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045261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67677AC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5D14EAC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A481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MDR-SA-17</w:t>
            </w:r>
          </w:p>
        </w:tc>
        <w:tc>
          <w:tcPr>
            <w:tcW w:w="0" w:type="auto"/>
            <w:shd w:val="clear" w:color="auto" w:fill="FFFFFF" w:themeFill="background1"/>
            <w:hideMark/>
          </w:tcPr>
          <w:p w14:paraId="211945A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6191E88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3591E96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39B4831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1ED4981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680D38E"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MDR-SA-18</w:t>
            </w:r>
          </w:p>
        </w:tc>
        <w:tc>
          <w:tcPr>
            <w:tcW w:w="0" w:type="auto"/>
            <w:shd w:val="clear" w:color="auto" w:fill="FFFFFF" w:themeFill="background1"/>
            <w:hideMark/>
          </w:tcPr>
          <w:p w14:paraId="1740A59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61D2B6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48170C4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373F9F7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bl>
    <w:p w14:paraId="3A3CFC40" w14:textId="0CF089BA" w:rsidR="00BC0696" w:rsidRPr="00885E5A" w:rsidRDefault="00BC0696" w:rsidP="0032611D">
      <w:pPr>
        <w:spacing w:line="240" w:lineRule="auto"/>
        <w:jc w:val="both"/>
        <w:rPr>
          <w:rFonts w:ascii="Times New Roman" w:hAnsi="Times New Roman"/>
          <w:sz w:val="24"/>
          <w:szCs w:val="24"/>
        </w:rPr>
      </w:pPr>
    </w:p>
    <w:p w14:paraId="27E6130C" w14:textId="3353C2DF" w:rsidR="0032611D" w:rsidRPr="0032611D" w:rsidRDefault="00424594" w:rsidP="0032611D">
      <w:pPr>
        <w:spacing w:line="240" w:lineRule="auto"/>
        <w:jc w:val="both"/>
        <w:rPr>
          <w:rFonts w:ascii="Times New Roman" w:hAnsi="Times New Roman"/>
          <w:b/>
          <w:bCs/>
          <w:sz w:val="24"/>
          <w:szCs w:val="24"/>
        </w:rPr>
      </w:pPr>
      <w:r w:rsidRPr="0032611D">
        <w:rPr>
          <w:rFonts w:ascii="Times New Roman" w:hAnsi="Times New Roman"/>
          <w:b/>
          <w:bCs/>
          <w:sz w:val="24"/>
          <w:szCs w:val="24"/>
        </w:rPr>
        <w:t>DISCUSSION</w:t>
      </w:r>
    </w:p>
    <w:p w14:paraId="40756EED"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present study investigated the antibacterial activity of </w:t>
      </w:r>
      <w:proofErr w:type="spellStart"/>
      <w:r w:rsidRPr="0032611D">
        <w:rPr>
          <w:rFonts w:ascii="Times New Roman" w:hAnsi="Times New Roman"/>
          <w:i/>
          <w:iCs/>
          <w:sz w:val="24"/>
          <w:szCs w:val="24"/>
        </w:rPr>
        <w:t>Hunteria</w:t>
      </w:r>
      <w:proofErr w:type="spellEnd"/>
      <w:r w:rsidRPr="0032611D">
        <w:rPr>
          <w:rFonts w:ascii="Times New Roman" w:hAnsi="Times New Roman"/>
          <w:i/>
          <w:iCs/>
          <w:sz w:val="24"/>
          <w:szCs w:val="24"/>
        </w:rPr>
        <w:t xml:space="preserve">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 extracts against multidrug-resistant (</w:t>
      </w:r>
      <w:r w:rsidRPr="0032611D">
        <w:rPr>
          <w:rFonts w:ascii="Times New Roman" w:hAnsi="Times New Roman"/>
          <w:i/>
          <w:iCs/>
          <w:sz w:val="24"/>
          <w:szCs w:val="24"/>
        </w:rPr>
        <w:t>MDR</w:t>
      </w:r>
      <w:r w:rsidRPr="0032611D">
        <w:rPr>
          <w:rFonts w:ascii="Times New Roman" w:hAnsi="Times New Roman"/>
          <w:sz w:val="24"/>
          <w:szCs w:val="24"/>
        </w:rPr>
        <w:t xml:space="preserve">) </w:t>
      </w:r>
      <w:r w:rsidRPr="0032611D">
        <w:rPr>
          <w:rFonts w:ascii="Times New Roman" w:hAnsi="Times New Roman"/>
          <w:i/>
          <w:iCs/>
          <w:sz w:val="24"/>
          <w:szCs w:val="24"/>
        </w:rPr>
        <w:t>Staphylococcus aureus</w:t>
      </w:r>
      <w:r w:rsidRPr="0032611D">
        <w:rPr>
          <w:rFonts w:ascii="Times New Roman" w:hAnsi="Times New Roman"/>
          <w:sz w:val="24"/>
          <w:szCs w:val="24"/>
        </w:rPr>
        <w:t xml:space="preserve"> isolated from urine samples of patients attending General Hospital </w:t>
      </w:r>
      <w:proofErr w:type="spellStart"/>
      <w:r w:rsidRPr="0032611D">
        <w:rPr>
          <w:rFonts w:ascii="Times New Roman" w:hAnsi="Times New Roman"/>
          <w:sz w:val="24"/>
          <w:szCs w:val="24"/>
        </w:rPr>
        <w:t>Dutsin</w:t>
      </w:r>
      <w:proofErr w:type="spellEnd"/>
      <w:r w:rsidRPr="0032611D">
        <w:rPr>
          <w:rFonts w:ascii="Times New Roman" w:hAnsi="Times New Roman"/>
          <w:sz w:val="24"/>
          <w:szCs w:val="24"/>
        </w:rPr>
        <w:t xml:space="preserve">-Ma, </w:t>
      </w:r>
      <w:proofErr w:type="spellStart"/>
      <w:r w:rsidRPr="0032611D">
        <w:rPr>
          <w:rFonts w:ascii="Times New Roman" w:hAnsi="Times New Roman"/>
          <w:sz w:val="24"/>
          <w:szCs w:val="24"/>
        </w:rPr>
        <w:t>Katsina</w:t>
      </w:r>
      <w:proofErr w:type="spellEnd"/>
      <w:r w:rsidRPr="0032611D">
        <w:rPr>
          <w:rFonts w:ascii="Times New Roman" w:hAnsi="Times New Roman"/>
          <w:sz w:val="24"/>
          <w:szCs w:val="24"/>
        </w:rPr>
        <w:t xml:space="preserve"> State, Nigeria. The findings provide important insights into the epidemiology of </w:t>
      </w:r>
      <w:r w:rsidRPr="0032611D">
        <w:rPr>
          <w:rFonts w:ascii="Times New Roman" w:hAnsi="Times New Roman"/>
          <w:i/>
          <w:iCs/>
          <w:sz w:val="24"/>
          <w:szCs w:val="24"/>
        </w:rPr>
        <w:t>S. aureus</w:t>
      </w:r>
      <w:r w:rsidRPr="0032611D">
        <w:rPr>
          <w:rFonts w:ascii="Times New Roman" w:hAnsi="Times New Roman"/>
          <w:sz w:val="24"/>
          <w:szCs w:val="24"/>
        </w:rPr>
        <w:t>-associated UTIs and the potential role of locally available medicinal plants as alternative antimicrobial agents in resource-limited settings.</w:t>
      </w:r>
    </w:p>
    <w:p w14:paraId="742D6372"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recovery rate of </w:t>
      </w:r>
      <w:r w:rsidRPr="0032611D">
        <w:rPr>
          <w:rFonts w:ascii="Times New Roman" w:hAnsi="Times New Roman"/>
          <w:i/>
          <w:iCs/>
          <w:sz w:val="24"/>
          <w:szCs w:val="24"/>
        </w:rPr>
        <w:t>S. aureus</w:t>
      </w:r>
      <w:r w:rsidRPr="0032611D">
        <w:rPr>
          <w:rFonts w:ascii="Times New Roman" w:hAnsi="Times New Roman"/>
          <w:sz w:val="24"/>
          <w:szCs w:val="24"/>
        </w:rPr>
        <w:t xml:space="preserve"> (44.0%) from urine samples in this study underscores the growing recognition of this organism as a significant </w:t>
      </w:r>
      <w:proofErr w:type="spellStart"/>
      <w:r w:rsidRPr="0032611D">
        <w:rPr>
          <w:rFonts w:ascii="Times New Roman" w:hAnsi="Times New Roman"/>
          <w:sz w:val="24"/>
          <w:szCs w:val="24"/>
        </w:rPr>
        <w:t>uropathogen</w:t>
      </w:r>
      <w:proofErr w:type="spellEnd"/>
      <w:r w:rsidRPr="0032611D">
        <w:rPr>
          <w:rFonts w:ascii="Times New Roman" w:hAnsi="Times New Roman"/>
          <w:sz w:val="24"/>
          <w:szCs w:val="24"/>
        </w:rPr>
        <w:t xml:space="preserve">. Although </w:t>
      </w:r>
      <w:r w:rsidRPr="0032611D">
        <w:rPr>
          <w:rFonts w:ascii="Times New Roman" w:hAnsi="Times New Roman"/>
          <w:i/>
          <w:iCs/>
          <w:sz w:val="24"/>
          <w:szCs w:val="24"/>
        </w:rPr>
        <w:t>S. aureus</w:t>
      </w:r>
      <w:r w:rsidRPr="0032611D">
        <w:rPr>
          <w:rFonts w:ascii="Times New Roman" w:hAnsi="Times New Roman"/>
          <w:sz w:val="24"/>
          <w:szCs w:val="24"/>
        </w:rPr>
        <w:t xml:space="preserve"> is not traditionally considered a primary cause of UTIs, several Nigerian studies have reported comparable isolation </w:t>
      </w:r>
      <w:r w:rsidRPr="0032611D">
        <w:rPr>
          <w:rFonts w:ascii="Times New Roman" w:hAnsi="Times New Roman"/>
          <w:sz w:val="24"/>
          <w:szCs w:val="24"/>
        </w:rPr>
        <w:lastRenderedPageBreak/>
        <w:t>rates, particularly among hospitalized patients and females, suggesting changing epidemiological patterns (</w:t>
      </w:r>
      <w:proofErr w:type="spellStart"/>
      <w:r w:rsidRPr="0032611D">
        <w:rPr>
          <w:rFonts w:ascii="Times New Roman" w:hAnsi="Times New Roman"/>
          <w:sz w:val="24"/>
          <w:szCs w:val="24"/>
        </w:rPr>
        <w:t>Onanuga</w:t>
      </w:r>
      <w:proofErr w:type="spellEnd"/>
      <w:r w:rsidRPr="0032611D">
        <w:rPr>
          <w:rFonts w:ascii="Times New Roman" w:hAnsi="Times New Roman"/>
          <w:sz w:val="24"/>
          <w:szCs w:val="24"/>
        </w:rPr>
        <w:t xml:space="preserve"> et al., 2019; Akinwale et al., 2021). The higher isolation rate among female patients observed in this study is consistent with established anatomical and physiological predispositions that increase UTI risk in females, as well as findings from similar hospital-based studies in Nigeria (</w:t>
      </w:r>
      <w:proofErr w:type="spellStart"/>
      <w:r w:rsidRPr="0032611D">
        <w:rPr>
          <w:rFonts w:ascii="Times New Roman" w:hAnsi="Times New Roman"/>
          <w:sz w:val="24"/>
          <w:szCs w:val="24"/>
        </w:rPr>
        <w:t>Fasiku</w:t>
      </w:r>
      <w:proofErr w:type="spellEnd"/>
      <w:r w:rsidRPr="0032611D">
        <w:rPr>
          <w:rFonts w:ascii="Times New Roman" w:hAnsi="Times New Roman"/>
          <w:sz w:val="24"/>
          <w:szCs w:val="24"/>
        </w:rPr>
        <w:t xml:space="preserve"> et al., 2023).</w:t>
      </w:r>
    </w:p>
    <w:p w14:paraId="0C4CF518"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antimicrobial susceptibility profile revealed alarmingly high resistance rates to commonly prescribed antibiotics, including ampicillin (72.7%), ciprofloxacin (77.3%), erythromycin (63.6%), and clindamycin (63.6%). These findings align closely with recent Nigerian surveillance data reporting widespread resistance of </w:t>
      </w:r>
      <w:r w:rsidRPr="0032611D">
        <w:rPr>
          <w:rFonts w:ascii="Times New Roman" w:hAnsi="Times New Roman"/>
          <w:i/>
          <w:iCs/>
          <w:sz w:val="24"/>
          <w:szCs w:val="24"/>
        </w:rPr>
        <w:t>S. aureus</w:t>
      </w:r>
      <w:r w:rsidRPr="0032611D">
        <w:rPr>
          <w:rFonts w:ascii="Times New Roman" w:hAnsi="Times New Roman"/>
          <w:sz w:val="24"/>
          <w:szCs w:val="24"/>
        </w:rPr>
        <w:t xml:space="preserve"> to β-lactams, macrolides, and fluoroquinolones (Agbo et al., 2024; Olalekan et al., 2025). The high resistance to cefoxitin (81.8%) further indicates a substantial burden of MRSA among the isolates, corroborating reports from tertiary hospitals across different regions of Nigeria where MRSA prevalence has ranged from 40% to over 80% depending on clinical setting (</w:t>
      </w:r>
      <w:proofErr w:type="spellStart"/>
      <w:r w:rsidRPr="0032611D">
        <w:rPr>
          <w:rFonts w:ascii="Times New Roman" w:hAnsi="Times New Roman"/>
          <w:sz w:val="24"/>
          <w:szCs w:val="24"/>
        </w:rPr>
        <w:t>Onanuga</w:t>
      </w:r>
      <w:proofErr w:type="spellEnd"/>
      <w:r w:rsidRPr="0032611D">
        <w:rPr>
          <w:rFonts w:ascii="Times New Roman" w:hAnsi="Times New Roman"/>
          <w:sz w:val="24"/>
          <w:szCs w:val="24"/>
        </w:rPr>
        <w:t xml:space="preserve"> et al., 2019; </w:t>
      </w:r>
      <w:proofErr w:type="spellStart"/>
      <w:r w:rsidRPr="0032611D">
        <w:rPr>
          <w:rFonts w:ascii="Times New Roman" w:hAnsi="Times New Roman"/>
          <w:sz w:val="24"/>
          <w:szCs w:val="24"/>
        </w:rPr>
        <w:t>Bilyaminu</w:t>
      </w:r>
      <w:proofErr w:type="spellEnd"/>
      <w:r w:rsidRPr="0032611D">
        <w:rPr>
          <w:rFonts w:ascii="Times New Roman" w:hAnsi="Times New Roman"/>
          <w:sz w:val="24"/>
          <w:szCs w:val="24"/>
        </w:rPr>
        <w:t xml:space="preserve"> et al., 2025).</w:t>
      </w:r>
    </w:p>
    <w:p w14:paraId="7F6343C0"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Notably, all isolates in this study remained susceptible to vancomycin, a finding that is consistent with most Nigerian studies and suggests that vancomycin resistance among </w:t>
      </w:r>
      <w:r w:rsidRPr="0032611D">
        <w:rPr>
          <w:rFonts w:ascii="Times New Roman" w:hAnsi="Times New Roman"/>
          <w:i/>
          <w:iCs/>
          <w:sz w:val="24"/>
          <w:szCs w:val="24"/>
        </w:rPr>
        <w:t>S. aureus</w:t>
      </w:r>
      <w:r w:rsidRPr="0032611D">
        <w:rPr>
          <w:rFonts w:ascii="Times New Roman" w:hAnsi="Times New Roman"/>
          <w:sz w:val="24"/>
          <w:szCs w:val="24"/>
        </w:rPr>
        <w:t xml:space="preserve"> remains rare in the country (Olalekan et al., 2025). However, the reliance on vancomycin as a last-line agent is problematic in low-resource settings due to cost, limited availability, parenteral administration, and the risk of toxicity, highlighting the urgent need for alternative therapeutic options.</w:t>
      </w:r>
    </w:p>
    <w:p w14:paraId="1E2B1922"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multidrug resistance rate of 81.8% observed in this study is particularly concerning and reflects the escalating AMR crisis in Nigeria. Comparable MDR rates have been reported in recent Nigerian studies involving clinical </w:t>
      </w:r>
      <w:r w:rsidRPr="0032611D">
        <w:rPr>
          <w:rFonts w:ascii="Times New Roman" w:hAnsi="Times New Roman"/>
          <w:i/>
          <w:iCs/>
          <w:sz w:val="24"/>
          <w:szCs w:val="24"/>
        </w:rPr>
        <w:t>S. aureus</w:t>
      </w:r>
      <w:r w:rsidRPr="0032611D">
        <w:rPr>
          <w:rFonts w:ascii="Times New Roman" w:hAnsi="Times New Roman"/>
          <w:sz w:val="24"/>
          <w:szCs w:val="24"/>
        </w:rPr>
        <w:t xml:space="preserve"> isolates, where MDR prevalence frequently exceeds 70% (Agbo et al., 2024; </w:t>
      </w:r>
      <w:proofErr w:type="spellStart"/>
      <w:r w:rsidRPr="0032611D">
        <w:rPr>
          <w:rFonts w:ascii="Times New Roman" w:hAnsi="Times New Roman"/>
          <w:sz w:val="24"/>
          <w:szCs w:val="24"/>
        </w:rPr>
        <w:t>Fasiku</w:t>
      </w:r>
      <w:proofErr w:type="spellEnd"/>
      <w:r w:rsidRPr="0032611D">
        <w:rPr>
          <w:rFonts w:ascii="Times New Roman" w:hAnsi="Times New Roman"/>
          <w:sz w:val="24"/>
          <w:szCs w:val="24"/>
        </w:rPr>
        <w:t xml:space="preserve"> et al., 2023). The presence of extensively MDR isolates (22.7%) further emphasizes the narrowing spectrum of effective conventional antibiotics and the risk of treatment failure in UTIs caused by </w:t>
      </w:r>
      <w:r w:rsidRPr="0032611D">
        <w:rPr>
          <w:rFonts w:ascii="Times New Roman" w:hAnsi="Times New Roman"/>
          <w:i/>
          <w:iCs/>
          <w:sz w:val="24"/>
          <w:szCs w:val="24"/>
        </w:rPr>
        <w:t>S. aureus</w:t>
      </w:r>
      <w:r w:rsidRPr="0032611D">
        <w:rPr>
          <w:rFonts w:ascii="Times New Roman" w:hAnsi="Times New Roman"/>
          <w:sz w:val="24"/>
          <w:szCs w:val="24"/>
        </w:rPr>
        <w:t>.</w:t>
      </w:r>
    </w:p>
    <w:p w14:paraId="766FF4E8" w14:textId="5FCD8AFA"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phytochemical screening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 extracts revealed the presence of alkaloids and saponins in both ethanol and aqueous extracts, with tannins detected only in the ethanol extract and </w:t>
      </w:r>
      <w:r w:rsidR="008203A1" w:rsidRPr="00885E5A">
        <w:rPr>
          <w:rFonts w:ascii="Times New Roman" w:hAnsi="Times New Roman"/>
          <w:sz w:val="24"/>
          <w:szCs w:val="24"/>
        </w:rPr>
        <w:t>flavonoids</w:t>
      </w:r>
      <w:r w:rsidRPr="0032611D">
        <w:rPr>
          <w:rFonts w:ascii="Times New Roman" w:hAnsi="Times New Roman"/>
          <w:sz w:val="24"/>
          <w:szCs w:val="24"/>
        </w:rPr>
        <w:t xml:space="preserve"> in the aqueous extract. These findings are consistent with previous phytochemical reports on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seeds, which have highlighted their richness in bioactive secondary metabolites with known antimicrobial properties (</w:t>
      </w:r>
      <w:proofErr w:type="spellStart"/>
      <w:r w:rsidRPr="0032611D">
        <w:rPr>
          <w:rFonts w:ascii="Times New Roman" w:hAnsi="Times New Roman"/>
          <w:sz w:val="24"/>
          <w:szCs w:val="24"/>
        </w:rPr>
        <w:t>Aderele</w:t>
      </w:r>
      <w:proofErr w:type="spellEnd"/>
      <w:r w:rsidRPr="0032611D">
        <w:rPr>
          <w:rFonts w:ascii="Times New Roman" w:hAnsi="Times New Roman"/>
          <w:sz w:val="24"/>
          <w:szCs w:val="24"/>
        </w:rPr>
        <w:t xml:space="preserve"> et al., 2020; Salisu et al., 2024). Alkaloids and tannins, in particular, have been widely documented to exert antibacterial effects through mechanisms such as disruption of cell wall integrity, inhibition of nucleic acid synthesis, and interference with membrane permeability (He et al., 2024).</w:t>
      </w:r>
    </w:p>
    <w:p w14:paraId="40135407"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ethanol extract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demonstrated strong, concentration-dependent antibacterial activity against MDR </w:t>
      </w:r>
      <w:r w:rsidRPr="0032611D">
        <w:rPr>
          <w:rFonts w:ascii="Times New Roman" w:hAnsi="Times New Roman"/>
          <w:i/>
          <w:iCs/>
          <w:sz w:val="24"/>
          <w:szCs w:val="24"/>
        </w:rPr>
        <w:t>S. aureus</w:t>
      </w:r>
      <w:r w:rsidRPr="0032611D">
        <w:rPr>
          <w:rFonts w:ascii="Times New Roman" w:hAnsi="Times New Roman"/>
          <w:sz w:val="24"/>
          <w:szCs w:val="24"/>
        </w:rPr>
        <w:t xml:space="preserve"> isolates, with zones of inhibition reaching up to 25.0 mm at 100 mg/mL and mean inhibition diameters comparable to those produced by vancomycin in some isolates. This superior activity of the ethanol extract compared to the aqueous extract </w:t>
      </w:r>
      <w:proofErr w:type="gramStart"/>
      <w:r w:rsidRPr="0032611D">
        <w:rPr>
          <w:rFonts w:ascii="Times New Roman" w:hAnsi="Times New Roman"/>
          <w:sz w:val="24"/>
          <w:szCs w:val="24"/>
        </w:rPr>
        <w:t>is in agreement</w:t>
      </w:r>
      <w:proofErr w:type="gramEnd"/>
      <w:r w:rsidRPr="0032611D">
        <w:rPr>
          <w:rFonts w:ascii="Times New Roman" w:hAnsi="Times New Roman"/>
          <w:sz w:val="24"/>
          <w:szCs w:val="24"/>
        </w:rPr>
        <w:t xml:space="preserve"> with earlier studies, which have shown that organic solvents are more effective in extracting non-polar and moderately polar antimicrobial compounds from medicinal plants (</w:t>
      </w:r>
      <w:proofErr w:type="spellStart"/>
      <w:r w:rsidRPr="0032611D">
        <w:rPr>
          <w:rFonts w:ascii="Times New Roman" w:hAnsi="Times New Roman"/>
          <w:sz w:val="24"/>
          <w:szCs w:val="24"/>
        </w:rPr>
        <w:t>Aderele</w:t>
      </w:r>
      <w:proofErr w:type="spellEnd"/>
      <w:r w:rsidRPr="0032611D">
        <w:rPr>
          <w:rFonts w:ascii="Times New Roman" w:hAnsi="Times New Roman"/>
          <w:sz w:val="24"/>
          <w:szCs w:val="24"/>
        </w:rPr>
        <w:t xml:space="preserve"> et al., 2020). Similar solvent-dependent differences in antibacterial activity have been reported for other Nigerian medicinal plants tested against MDR </w:t>
      </w:r>
      <w:r w:rsidRPr="0032611D">
        <w:rPr>
          <w:rFonts w:ascii="Times New Roman" w:hAnsi="Times New Roman"/>
          <w:i/>
          <w:iCs/>
          <w:sz w:val="24"/>
          <w:szCs w:val="24"/>
        </w:rPr>
        <w:t>S. aureus</w:t>
      </w:r>
      <w:r w:rsidRPr="0032611D">
        <w:rPr>
          <w:rFonts w:ascii="Times New Roman" w:hAnsi="Times New Roman"/>
          <w:sz w:val="24"/>
          <w:szCs w:val="24"/>
        </w:rPr>
        <w:t xml:space="preserve"> (Okwu &amp; Abubakar, 2019).</w:t>
      </w:r>
    </w:p>
    <w:p w14:paraId="408B722D"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lastRenderedPageBreak/>
        <w:t xml:space="preserve">The MIC values of the ethanol extract (6.25–12.5 mg/mL for most isolates) indicate notable inhibitory potency against MDR </w:t>
      </w:r>
      <w:r w:rsidRPr="0032611D">
        <w:rPr>
          <w:rFonts w:ascii="Times New Roman" w:hAnsi="Times New Roman"/>
          <w:i/>
          <w:iCs/>
          <w:sz w:val="24"/>
          <w:szCs w:val="24"/>
        </w:rPr>
        <w:t>S. aureus</w:t>
      </w:r>
      <w:r w:rsidRPr="0032611D">
        <w:rPr>
          <w:rFonts w:ascii="Times New Roman" w:hAnsi="Times New Roman"/>
          <w:sz w:val="24"/>
          <w:szCs w:val="24"/>
        </w:rPr>
        <w:t xml:space="preserve">. These values are comparable to those reported for other plant extracts evaluated against MRSA in Nigeria and elsewhere, reinforcing the potential therapeutic relevance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(Akinyemi et al., 2018; Salisu et al., 2024). Furthermore, the observation of bactericidal activity (MBC/MIC ≤2) in several isolates suggests that the ethanol extract does not merely inhibit growth but may actively eliminate bacterial cells, an important attribute for managing MDR infections.</w:t>
      </w:r>
    </w:p>
    <w:p w14:paraId="40A7F5D3"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In contrast, the aqueous extract exhibited comparatively weaker antibacterial activity, with higher MIC values (12.5–50.0 mg/mL) and predominantly bacteriostatic effects. This reduced efficacy may be attributed to lower extraction efficiency of key antimicrobial constituents in water, a phenomenon widely reported in phytopharmacological studies (Harborne, 1998; He et al., 2024). Nonetheless, the observable activity of the aqueous extract still supports the ethnomedicinal use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particularly in traditional preparations where water is commonly used as the extraction medium.</w:t>
      </w:r>
    </w:p>
    <w:p w14:paraId="647134CC" w14:textId="06A470CE" w:rsidR="006F4E58" w:rsidRPr="006F4E58" w:rsidRDefault="00424594" w:rsidP="006F4E58">
      <w:pPr>
        <w:spacing w:line="240" w:lineRule="auto"/>
        <w:jc w:val="both"/>
        <w:rPr>
          <w:rFonts w:ascii="Times New Roman" w:hAnsi="Times New Roman"/>
          <w:b/>
          <w:bCs/>
          <w:sz w:val="24"/>
          <w:szCs w:val="24"/>
        </w:rPr>
      </w:pPr>
      <w:r w:rsidRPr="006F4E58">
        <w:rPr>
          <w:rFonts w:ascii="Times New Roman" w:hAnsi="Times New Roman"/>
          <w:b/>
          <w:bCs/>
          <w:sz w:val="24"/>
          <w:szCs w:val="24"/>
        </w:rPr>
        <w:t>CONCLUSION</w:t>
      </w:r>
    </w:p>
    <w:p w14:paraId="660362FA" w14:textId="77777777" w:rsidR="006F4E58" w:rsidRPr="006F4E58" w:rsidRDefault="006F4E58" w:rsidP="006F4E58">
      <w:pPr>
        <w:spacing w:line="240" w:lineRule="auto"/>
        <w:jc w:val="both"/>
        <w:rPr>
          <w:rFonts w:ascii="Times New Roman" w:hAnsi="Times New Roman"/>
          <w:sz w:val="24"/>
          <w:szCs w:val="24"/>
        </w:rPr>
      </w:pPr>
      <w:r w:rsidRPr="006F4E58">
        <w:rPr>
          <w:rFonts w:ascii="Times New Roman" w:hAnsi="Times New Roman"/>
          <w:sz w:val="24"/>
          <w:szCs w:val="24"/>
        </w:rPr>
        <w:t>This study demonstrated a high prevalence of multidrug-resistant (</w:t>
      </w:r>
      <w:r w:rsidRPr="006F4E58">
        <w:rPr>
          <w:rFonts w:ascii="Times New Roman" w:hAnsi="Times New Roman"/>
          <w:i/>
          <w:iCs/>
          <w:sz w:val="24"/>
          <w:szCs w:val="24"/>
        </w:rPr>
        <w:t>MDR</w:t>
      </w:r>
      <w:r w:rsidRPr="006F4E58">
        <w:rPr>
          <w:rFonts w:ascii="Times New Roman" w:hAnsi="Times New Roman"/>
          <w:sz w:val="24"/>
          <w:szCs w:val="24"/>
        </w:rPr>
        <w:t xml:space="preserve">) </w:t>
      </w:r>
      <w:r w:rsidRPr="006F4E58">
        <w:rPr>
          <w:rFonts w:ascii="Times New Roman" w:hAnsi="Times New Roman"/>
          <w:i/>
          <w:iCs/>
          <w:sz w:val="24"/>
          <w:szCs w:val="24"/>
        </w:rPr>
        <w:t>Staphylococcus aureus</w:t>
      </w:r>
      <w:r w:rsidRPr="006F4E58">
        <w:rPr>
          <w:rFonts w:ascii="Times New Roman" w:hAnsi="Times New Roman"/>
          <w:sz w:val="24"/>
          <w:szCs w:val="24"/>
        </w:rPr>
        <w:t xml:space="preserve"> among urinary isolates obtained from patients attending General Hospital </w:t>
      </w:r>
      <w:proofErr w:type="spellStart"/>
      <w:r w:rsidRPr="006F4E58">
        <w:rPr>
          <w:rFonts w:ascii="Times New Roman" w:hAnsi="Times New Roman"/>
          <w:sz w:val="24"/>
          <w:szCs w:val="24"/>
        </w:rPr>
        <w:t>Dutsin</w:t>
      </w:r>
      <w:proofErr w:type="spellEnd"/>
      <w:r w:rsidRPr="006F4E58">
        <w:rPr>
          <w:rFonts w:ascii="Times New Roman" w:hAnsi="Times New Roman"/>
          <w:sz w:val="24"/>
          <w:szCs w:val="24"/>
        </w:rPr>
        <w:t xml:space="preserve">-Ma, </w:t>
      </w:r>
      <w:proofErr w:type="spellStart"/>
      <w:r w:rsidRPr="006F4E58">
        <w:rPr>
          <w:rFonts w:ascii="Times New Roman" w:hAnsi="Times New Roman"/>
          <w:sz w:val="24"/>
          <w:szCs w:val="24"/>
        </w:rPr>
        <w:t>Katsina</w:t>
      </w:r>
      <w:proofErr w:type="spellEnd"/>
      <w:r w:rsidRPr="006F4E58">
        <w:rPr>
          <w:rFonts w:ascii="Times New Roman" w:hAnsi="Times New Roman"/>
          <w:sz w:val="24"/>
          <w:szCs w:val="24"/>
        </w:rPr>
        <w:t xml:space="preserve"> State, Nigeria, with more than four-fifths of the isolates exhibiting resistance to three or more antimicrobial classes. The high rates of resistance to commonly used antibiotics, including β-lactams and fluoroquinolones, highlight the growing challenge of antimicrobial resistance in the management of urinary tract infections within the study setting.</w:t>
      </w:r>
    </w:p>
    <w:p w14:paraId="2AF90E1A" w14:textId="77777777" w:rsidR="006F4E58" w:rsidRDefault="006F4E58" w:rsidP="006F4E58">
      <w:pPr>
        <w:spacing w:line="240" w:lineRule="auto"/>
        <w:jc w:val="both"/>
        <w:rPr>
          <w:rFonts w:ascii="Times New Roman" w:hAnsi="Times New Roman"/>
          <w:sz w:val="24"/>
          <w:szCs w:val="24"/>
        </w:rPr>
      </w:pPr>
      <w:r w:rsidRPr="006F4E58">
        <w:rPr>
          <w:rFonts w:ascii="Times New Roman" w:hAnsi="Times New Roman"/>
          <w:sz w:val="24"/>
          <w:szCs w:val="24"/>
        </w:rPr>
        <w:t xml:space="preserve">The seed extracts of </w:t>
      </w:r>
      <w:proofErr w:type="spellStart"/>
      <w:r w:rsidRPr="006F4E58">
        <w:rPr>
          <w:rFonts w:ascii="Times New Roman" w:hAnsi="Times New Roman"/>
          <w:i/>
          <w:iCs/>
          <w:sz w:val="24"/>
          <w:szCs w:val="24"/>
        </w:rPr>
        <w:t>Hunteria</w:t>
      </w:r>
      <w:proofErr w:type="spellEnd"/>
      <w:r w:rsidRPr="006F4E58">
        <w:rPr>
          <w:rFonts w:ascii="Times New Roman" w:hAnsi="Times New Roman"/>
          <w:i/>
          <w:iCs/>
          <w:sz w:val="24"/>
          <w:szCs w:val="24"/>
        </w:rPr>
        <w:t xml:space="preserve">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exhibited notable in vitro antibacterial activity against MDR </w:t>
      </w:r>
      <w:r w:rsidRPr="006F4E58">
        <w:rPr>
          <w:rFonts w:ascii="Times New Roman" w:hAnsi="Times New Roman"/>
          <w:i/>
          <w:iCs/>
          <w:sz w:val="24"/>
          <w:szCs w:val="24"/>
        </w:rPr>
        <w:t>S. aureus</w:t>
      </w:r>
      <w:r w:rsidRPr="006F4E58">
        <w:rPr>
          <w:rFonts w:ascii="Times New Roman" w:hAnsi="Times New Roman"/>
          <w:sz w:val="24"/>
          <w:szCs w:val="24"/>
        </w:rPr>
        <w:t xml:space="preserve">, with the ethanol extract demonstrating superior efficacy compared to the aqueous extract. The observed bactericidal activity of the ethanol extract against several MDR isolates, coupled with relatively low MIC values, suggests the presence of potent bioactive compounds capable of inhibiting or eliminating resistant </w:t>
      </w:r>
      <w:r w:rsidRPr="006F4E58">
        <w:rPr>
          <w:rFonts w:ascii="Times New Roman" w:hAnsi="Times New Roman"/>
          <w:i/>
          <w:iCs/>
          <w:sz w:val="24"/>
          <w:szCs w:val="24"/>
        </w:rPr>
        <w:t>S. aureus</w:t>
      </w:r>
      <w:r w:rsidRPr="006F4E58">
        <w:rPr>
          <w:rFonts w:ascii="Times New Roman" w:hAnsi="Times New Roman"/>
          <w:sz w:val="24"/>
          <w:szCs w:val="24"/>
        </w:rPr>
        <w:t xml:space="preserve">. These findings provide experimental support for the traditional use of </w:t>
      </w:r>
      <w:r w:rsidRPr="006F4E58">
        <w:rPr>
          <w:rFonts w:ascii="Times New Roman" w:hAnsi="Times New Roman"/>
          <w:i/>
          <w:iCs/>
          <w:sz w:val="24"/>
          <w:szCs w:val="24"/>
        </w:rPr>
        <w:t xml:space="preserve">H.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in the treatment of infectious diseases and underscore its potential as a source of alternative antibacterial agents.</w:t>
      </w:r>
    </w:p>
    <w:p w14:paraId="57106E26" w14:textId="77777777" w:rsidR="006A1507" w:rsidRPr="006F4E58" w:rsidRDefault="006A1507" w:rsidP="006A1507">
      <w:pPr>
        <w:spacing w:line="240" w:lineRule="auto"/>
        <w:jc w:val="both"/>
        <w:rPr>
          <w:rFonts w:ascii="Times New Roman" w:hAnsi="Times New Roman"/>
          <w:b/>
          <w:bCs/>
          <w:sz w:val="24"/>
          <w:szCs w:val="24"/>
        </w:rPr>
      </w:pPr>
      <w:r w:rsidRPr="006F4E58">
        <w:rPr>
          <w:rFonts w:ascii="Times New Roman" w:hAnsi="Times New Roman"/>
          <w:b/>
          <w:bCs/>
          <w:sz w:val="24"/>
          <w:szCs w:val="24"/>
        </w:rPr>
        <w:t>Limitations</w:t>
      </w:r>
    </w:p>
    <w:p w14:paraId="2C5E91D4" w14:textId="77777777" w:rsidR="006A1507" w:rsidRPr="00885E5A" w:rsidRDefault="006A1507" w:rsidP="006A1507">
      <w:pPr>
        <w:spacing w:line="240" w:lineRule="auto"/>
        <w:jc w:val="both"/>
        <w:rPr>
          <w:rFonts w:ascii="Times New Roman" w:hAnsi="Times New Roman"/>
          <w:sz w:val="24"/>
          <w:szCs w:val="24"/>
        </w:rPr>
      </w:pPr>
      <w:r w:rsidRPr="006F4E58">
        <w:rPr>
          <w:rFonts w:ascii="Times New Roman" w:hAnsi="Times New Roman"/>
          <w:sz w:val="24"/>
          <w:szCs w:val="24"/>
        </w:rPr>
        <w:t xml:space="preserve">Despite the significance of the findings, this study has some limitations. The sample size was relatively small and restricted to a single healthcare facility, which may limit the generalizability of the results to other settings. Identification of </w:t>
      </w:r>
      <w:r w:rsidRPr="006F4E58">
        <w:rPr>
          <w:rFonts w:ascii="Times New Roman" w:hAnsi="Times New Roman"/>
          <w:i/>
          <w:iCs/>
          <w:sz w:val="24"/>
          <w:szCs w:val="24"/>
        </w:rPr>
        <w:t>Staphylococcus aureus</w:t>
      </w:r>
      <w:r w:rsidRPr="006F4E58">
        <w:rPr>
          <w:rFonts w:ascii="Times New Roman" w:hAnsi="Times New Roman"/>
          <w:sz w:val="24"/>
          <w:szCs w:val="24"/>
        </w:rPr>
        <w:t xml:space="preserve"> and determination of methicillin resistance were based solely on phenotypic and biochemical methods, without molecular confirmation of resistance or virulence genes. Additionally, the antibacterial activity of </w:t>
      </w:r>
      <w:proofErr w:type="spellStart"/>
      <w:r w:rsidRPr="006F4E58">
        <w:rPr>
          <w:rFonts w:ascii="Times New Roman" w:hAnsi="Times New Roman"/>
          <w:i/>
          <w:iCs/>
          <w:sz w:val="24"/>
          <w:szCs w:val="24"/>
        </w:rPr>
        <w:t>Hunteria</w:t>
      </w:r>
      <w:proofErr w:type="spellEnd"/>
      <w:r w:rsidRPr="006F4E58">
        <w:rPr>
          <w:rFonts w:ascii="Times New Roman" w:hAnsi="Times New Roman"/>
          <w:i/>
          <w:iCs/>
          <w:sz w:val="24"/>
          <w:szCs w:val="24"/>
        </w:rPr>
        <w:t xml:space="preserve">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extracts was evaluated only in vitro; therefore, in vivo efficacy, toxicity, pharmacokinetics, and potential drug–herb interactions were not assessed. These limitations highlight the need for larger, multi-center studies incorporating molecular techniques and in vivo models.</w:t>
      </w:r>
    </w:p>
    <w:p w14:paraId="7DF9110F" w14:textId="77777777" w:rsidR="006A1507" w:rsidRPr="006F4E58" w:rsidRDefault="006A1507" w:rsidP="006F4E58">
      <w:pPr>
        <w:spacing w:line="240" w:lineRule="auto"/>
        <w:jc w:val="both"/>
        <w:rPr>
          <w:rFonts w:ascii="Times New Roman" w:hAnsi="Times New Roman"/>
          <w:sz w:val="24"/>
          <w:szCs w:val="24"/>
        </w:rPr>
      </w:pPr>
    </w:p>
    <w:p w14:paraId="6CC5D697" w14:textId="77777777" w:rsidR="00E46FA7" w:rsidRPr="00E46FA7" w:rsidRDefault="00464B77" w:rsidP="0032611D">
      <w:pPr>
        <w:spacing w:line="240" w:lineRule="auto"/>
        <w:jc w:val="both"/>
        <w:rPr>
          <w:rFonts w:ascii="Times New Roman" w:hAnsi="Times New Roman"/>
          <w:sz w:val="24"/>
          <w:szCs w:val="24"/>
        </w:rPr>
      </w:pPr>
      <w:r>
        <w:rPr>
          <w:rFonts w:ascii="Times New Roman" w:hAnsi="Times New Roman"/>
          <w:sz w:val="24"/>
          <w:szCs w:val="24"/>
        </w:rPr>
        <w:pict w14:anchorId="23F0ED21">
          <v:rect id="_x0000_i1027" style="width:0;height:1.5pt" o:hralign="center" o:hrstd="t" o:hr="t" fillcolor="#a0a0a0" stroked="f"/>
        </w:pict>
      </w:r>
    </w:p>
    <w:p w14:paraId="31CB29F4" w14:textId="121ABA0C" w:rsidR="00896E54" w:rsidRDefault="00896E54" w:rsidP="00896E54">
      <w:r>
        <w:lastRenderedPageBreak/>
        <w:t xml:space="preserve">Ethical </w:t>
      </w:r>
      <w:r w:rsidRPr="00896E54">
        <w:t>approval</w:t>
      </w:r>
      <w:bookmarkStart w:id="0" w:name="_GoBack"/>
      <w:bookmarkEnd w:id="0"/>
      <w:r>
        <w:t xml:space="preserve"> </w:t>
      </w:r>
      <w:r>
        <w:t xml:space="preserve">and </w:t>
      </w:r>
      <w:r w:rsidRPr="00896E54">
        <w:t>consent</w:t>
      </w:r>
    </w:p>
    <w:p w14:paraId="3EF9B5FA" w14:textId="5A154E94" w:rsidR="00896E54" w:rsidRDefault="00896E54" w:rsidP="00896E54">
      <w:pPr>
        <w:rPr>
          <w:highlight w:val="yellow"/>
        </w:rPr>
      </w:pPr>
      <w:r>
        <w:t xml:space="preserve">Ethical approval was granted by the </w:t>
      </w:r>
      <w:proofErr w:type="spellStart"/>
      <w:r>
        <w:t>Katsina</w:t>
      </w:r>
      <w:proofErr w:type="spellEnd"/>
      <w:r>
        <w:t xml:space="preserve"> State Health Research Ethics Committee (Approval Ref: MOH/ADM/SUB/1152/1/936) to conduct the study in General Hospital </w:t>
      </w:r>
      <w:proofErr w:type="spellStart"/>
      <w:r>
        <w:t>Dutsin</w:t>
      </w:r>
      <w:proofErr w:type="spellEnd"/>
      <w:r>
        <w:t>-Ma. Informed consent was obtained from all study participants prior to sample collection. Participation was voluntary, and confidentiality of patient information was strictly maintained throughout the study in accordance with ethical standards for biomedical research involving human subjects.</w:t>
      </w:r>
    </w:p>
    <w:p w14:paraId="7CFBC31D" w14:textId="00D67957" w:rsidR="00371CCA" w:rsidRPr="00740879" w:rsidRDefault="00371CCA" w:rsidP="00371CCA">
      <w:pPr>
        <w:rPr>
          <w:highlight w:val="yellow"/>
        </w:rPr>
      </w:pPr>
      <w:r w:rsidRPr="00740879">
        <w:rPr>
          <w:highlight w:val="yellow"/>
        </w:rPr>
        <w:t>Disclaimer (Artificial intelligence)</w:t>
      </w:r>
    </w:p>
    <w:p w14:paraId="61793475" w14:textId="77777777" w:rsidR="00371CCA" w:rsidRPr="00740879" w:rsidRDefault="00371CCA" w:rsidP="00371CC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E303AA" w14:textId="77777777" w:rsidR="00371CCA" w:rsidRDefault="00371CCA" w:rsidP="0032611D">
      <w:pPr>
        <w:spacing w:line="240" w:lineRule="auto"/>
        <w:ind w:left="720" w:hanging="720"/>
        <w:jc w:val="both"/>
        <w:rPr>
          <w:rFonts w:ascii="Times New Roman" w:hAnsi="Times New Roman"/>
          <w:b/>
          <w:bCs/>
          <w:sz w:val="24"/>
          <w:szCs w:val="24"/>
        </w:rPr>
      </w:pPr>
    </w:p>
    <w:p w14:paraId="60ACA5CC" w14:textId="03142622" w:rsidR="00765102" w:rsidRPr="00E46FA7" w:rsidRDefault="00424594" w:rsidP="0032611D">
      <w:pPr>
        <w:spacing w:line="240" w:lineRule="auto"/>
        <w:ind w:left="720" w:hanging="720"/>
        <w:jc w:val="both"/>
        <w:rPr>
          <w:rFonts w:ascii="Times New Roman" w:hAnsi="Times New Roman"/>
          <w:sz w:val="24"/>
          <w:szCs w:val="24"/>
        </w:rPr>
      </w:pPr>
      <w:r w:rsidRPr="00885E5A">
        <w:rPr>
          <w:rFonts w:ascii="Times New Roman" w:hAnsi="Times New Roman"/>
          <w:b/>
          <w:bCs/>
          <w:sz w:val="24"/>
          <w:szCs w:val="24"/>
        </w:rPr>
        <w:t>REFERENCES</w:t>
      </w:r>
    </w:p>
    <w:p w14:paraId="605FCAD1" w14:textId="759B5F04" w:rsidR="007430EB" w:rsidRDefault="007430EB" w:rsidP="0032611D">
      <w:pPr>
        <w:spacing w:line="240" w:lineRule="auto"/>
        <w:ind w:left="720" w:hanging="720"/>
        <w:jc w:val="both"/>
        <w:rPr>
          <w:rFonts w:ascii="Times New Roman" w:hAnsi="Times New Roman"/>
          <w:sz w:val="24"/>
          <w:szCs w:val="24"/>
        </w:rPr>
      </w:pPr>
      <w:r w:rsidRPr="007430EB">
        <w:rPr>
          <w:rFonts w:ascii="Times New Roman" w:hAnsi="Times New Roman"/>
          <w:sz w:val="24"/>
          <w:szCs w:val="24"/>
        </w:rPr>
        <w:t>Abdulmalik, U., Halliru, Z., Umar, A., Musa, M., &amp; Adam, A. S. (2024).</w:t>
      </w:r>
      <w:r w:rsidRPr="007430EB">
        <w:rPr>
          <w:rFonts w:ascii="Times New Roman" w:hAnsi="Times New Roman"/>
          <w:sz w:val="24"/>
          <w:szCs w:val="24"/>
        </w:rPr>
        <w:br/>
        <w:t xml:space="preserve">Phytochemical screening, GCMS analysis and antibacterial activity of </w:t>
      </w:r>
      <w:r w:rsidRPr="007430EB">
        <w:rPr>
          <w:rFonts w:ascii="Times New Roman" w:hAnsi="Times New Roman"/>
          <w:i/>
          <w:iCs/>
          <w:sz w:val="24"/>
          <w:szCs w:val="24"/>
        </w:rPr>
        <w:t>Moringa oleifera</w:t>
      </w:r>
      <w:r w:rsidRPr="007430EB">
        <w:rPr>
          <w:rFonts w:ascii="Times New Roman" w:hAnsi="Times New Roman"/>
          <w:sz w:val="24"/>
          <w:szCs w:val="24"/>
        </w:rPr>
        <w:t xml:space="preserve"> ethanolic and aqueous leaf extracts against some clinical isolates. </w:t>
      </w:r>
      <w:r w:rsidRPr="007430EB">
        <w:rPr>
          <w:rFonts w:ascii="Times New Roman" w:hAnsi="Times New Roman"/>
          <w:i/>
          <w:iCs/>
          <w:sz w:val="24"/>
          <w:szCs w:val="24"/>
        </w:rPr>
        <w:t>UMYU Journal of Microbiology Research, 9</w:t>
      </w:r>
      <w:r w:rsidRPr="007430EB">
        <w:rPr>
          <w:rFonts w:ascii="Times New Roman" w:hAnsi="Times New Roman"/>
          <w:sz w:val="24"/>
          <w:szCs w:val="24"/>
        </w:rPr>
        <w:t>(1), 34–45. https://doi.org/10.47430/ujmr.2491.004</w:t>
      </w:r>
    </w:p>
    <w:p w14:paraId="692B4EEA" w14:textId="7A245F0F" w:rsidR="00765102" w:rsidRPr="00470612" w:rsidRDefault="00765102" w:rsidP="0032611D">
      <w:pPr>
        <w:spacing w:line="240" w:lineRule="auto"/>
        <w:ind w:left="720" w:hanging="720"/>
        <w:jc w:val="both"/>
        <w:rPr>
          <w:rFonts w:ascii="Times New Roman" w:hAnsi="Times New Roman"/>
          <w:sz w:val="24"/>
          <w:szCs w:val="24"/>
        </w:rPr>
      </w:pPr>
      <w:proofErr w:type="spellStart"/>
      <w:r w:rsidRPr="00470612">
        <w:rPr>
          <w:rFonts w:ascii="Times New Roman" w:hAnsi="Times New Roman"/>
          <w:sz w:val="24"/>
          <w:szCs w:val="24"/>
        </w:rPr>
        <w:t>Aderele</w:t>
      </w:r>
      <w:proofErr w:type="spellEnd"/>
      <w:r w:rsidRPr="00470612">
        <w:rPr>
          <w:rFonts w:ascii="Times New Roman" w:hAnsi="Times New Roman"/>
          <w:sz w:val="24"/>
          <w:szCs w:val="24"/>
        </w:rPr>
        <w:t>, O. R., Rasaq, A. K., &amp; Momoh, J. O. (2020).</w:t>
      </w:r>
      <w:r w:rsidRPr="00885E5A">
        <w:rPr>
          <w:rFonts w:ascii="Times New Roman" w:hAnsi="Times New Roman"/>
          <w:sz w:val="24"/>
          <w:szCs w:val="24"/>
        </w:rPr>
        <w:t xml:space="preserve"> </w:t>
      </w:r>
      <w:r w:rsidRPr="00470612">
        <w:rPr>
          <w:rFonts w:ascii="Times New Roman" w:hAnsi="Times New Roman"/>
          <w:sz w:val="24"/>
          <w:szCs w:val="24"/>
        </w:rPr>
        <w:t xml:space="preserve">Phytochemical screening, mathematical analysis and antimicrobial activity of methanolic seed extract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w:t>
      </w:r>
      <w:r w:rsidRPr="00470612">
        <w:rPr>
          <w:rFonts w:ascii="Times New Roman" w:hAnsi="Times New Roman"/>
          <w:i/>
          <w:iCs/>
          <w:sz w:val="24"/>
          <w:szCs w:val="24"/>
        </w:rPr>
        <w:t>European Journal of Medicinal Plants, 31</w:t>
      </w:r>
      <w:r w:rsidRPr="00470612">
        <w:rPr>
          <w:rFonts w:ascii="Times New Roman" w:hAnsi="Times New Roman"/>
          <w:sz w:val="24"/>
          <w:szCs w:val="24"/>
        </w:rPr>
        <w:t>(16), 1–17.</w:t>
      </w:r>
      <w:r w:rsidRPr="00470612">
        <w:rPr>
          <w:rFonts w:ascii="Times New Roman" w:hAnsi="Times New Roman"/>
          <w:sz w:val="24"/>
          <w:szCs w:val="24"/>
        </w:rPr>
        <w:br/>
        <w:t>https://doi.org/10.9734/ejmp/2020/v31i1630325</w:t>
      </w:r>
    </w:p>
    <w:p w14:paraId="3D7F5873"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Agbo, M. C., Eze, E. A., </w:t>
      </w:r>
      <w:proofErr w:type="spellStart"/>
      <w:r w:rsidRPr="00470612">
        <w:rPr>
          <w:rFonts w:ascii="Times New Roman" w:hAnsi="Times New Roman"/>
          <w:sz w:val="24"/>
          <w:szCs w:val="24"/>
        </w:rPr>
        <w:t>Onohuean</w:t>
      </w:r>
      <w:proofErr w:type="spellEnd"/>
      <w:r w:rsidRPr="00470612">
        <w:rPr>
          <w:rFonts w:ascii="Times New Roman" w:hAnsi="Times New Roman"/>
          <w:sz w:val="24"/>
          <w:szCs w:val="24"/>
        </w:rPr>
        <w:t>, H., &amp; Eze, C. N. (2024).</w:t>
      </w:r>
      <w:r w:rsidRPr="00885E5A">
        <w:rPr>
          <w:rFonts w:ascii="Times New Roman" w:hAnsi="Times New Roman"/>
          <w:sz w:val="24"/>
          <w:szCs w:val="24"/>
        </w:rPr>
        <w:t xml:space="preserve"> </w:t>
      </w:r>
      <w:r w:rsidRPr="00470612">
        <w:rPr>
          <w:rFonts w:ascii="Times New Roman" w:hAnsi="Times New Roman"/>
          <w:sz w:val="24"/>
          <w:szCs w:val="24"/>
        </w:rPr>
        <w:t xml:space="preserve">Antimicrobial resistance markers distribution in </w:t>
      </w:r>
      <w:r w:rsidRPr="00470612">
        <w:rPr>
          <w:rFonts w:ascii="Times New Roman" w:hAnsi="Times New Roman"/>
          <w:i/>
          <w:iCs/>
          <w:sz w:val="24"/>
          <w:szCs w:val="24"/>
        </w:rPr>
        <w:t>Staphylococcus aureus</w:t>
      </w:r>
      <w:r w:rsidRPr="00470612">
        <w:rPr>
          <w:rFonts w:ascii="Times New Roman" w:hAnsi="Times New Roman"/>
          <w:sz w:val="24"/>
          <w:szCs w:val="24"/>
        </w:rPr>
        <w:t xml:space="preserve"> isolated from clinical samples in Nigeria. </w:t>
      </w:r>
      <w:r w:rsidRPr="00470612">
        <w:rPr>
          <w:rFonts w:ascii="Times New Roman" w:hAnsi="Times New Roman"/>
          <w:i/>
          <w:iCs/>
          <w:sz w:val="24"/>
          <w:szCs w:val="24"/>
        </w:rPr>
        <w:t>BMC Infectious Diseases, 24</w:t>
      </w:r>
      <w:r w:rsidRPr="00470612">
        <w:rPr>
          <w:rFonts w:ascii="Times New Roman" w:hAnsi="Times New Roman"/>
          <w:sz w:val="24"/>
          <w:szCs w:val="24"/>
        </w:rPr>
        <w:t>, 320.</w:t>
      </w:r>
      <w:r w:rsidRPr="00470612">
        <w:rPr>
          <w:rFonts w:ascii="Times New Roman" w:hAnsi="Times New Roman"/>
          <w:sz w:val="24"/>
          <w:szCs w:val="24"/>
        </w:rPr>
        <w:br/>
        <w:t>https://doi.org/10.1186/s12879-024-09126-1</w:t>
      </w:r>
    </w:p>
    <w:p w14:paraId="2214B7B6"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 xml:space="preserve">Akinwale, O. P., Olayinka, B. O., &amp; </w:t>
      </w:r>
      <w:proofErr w:type="spellStart"/>
      <w:r w:rsidRPr="00E46FA7">
        <w:rPr>
          <w:rFonts w:ascii="Times New Roman" w:hAnsi="Times New Roman"/>
          <w:sz w:val="24"/>
          <w:szCs w:val="24"/>
        </w:rPr>
        <w:t>Ehinmidu</w:t>
      </w:r>
      <w:proofErr w:type="spellEnd"/>
      <w:r w:rsidRPr="00E46FA7">
        <w:rPr>
          <w:rFonts w:ascii="Times New Roman" w:hAnsi="Times New Roman"/>
          <w:sz w:val="24"/>
          <w:szCs w:val="24"/>
        </w:rPr>
        <w:t>, J. O. (2021).</w:t>
      </w:r>
      <w:r w:rsidRPr="00E46FA7">
        <w:rPr>
          <w:rFonts w:ascii="Times New Roman" w:hAnsi="Times New Roman"/>
          <w:sz w:val="24"/>
          <w:szCs w:val="24"/>
        </w:rPr>
        <w:br/>
        <w:t xml:space="preserve">Bacterial pathogens associated with urinary tract infections and their antimicrobial susceptibility patterns in Nigeria. </w:t>
      </w:r>
      <w:r w:rsidRPr="00E46FA7">
        <w:rPr>
          <w:rFonts w:ascii="Times New Roman" w:hAnsi="Times New Roman"/>
          <w:i/>
          <w:iCs/>
          <w:sz w:val="24"/>
          <w:szCs w:val="24"/>
        </w:rPr>
        <w:t>African Journal of Clinical and Experimental Microbiology, 22</w:t>
      </w:r>
      <w:r w:rsidRPr="00E46FA7">
        <w:rPr>
          <w:rFonts w:ascii="Times New Roman" w:hAnsi="Times New Roman"/>
          <w:sz w:val="24"/>
          <w:szCs w:val="24"/>
        </w:rPr>
        <w:t>(4), 495–503.</w:t>
      </w:r>
      <w:r w:rsidRPr="00E46FA7">
        <w:rPr>
          <w:rFonts w:ascii="Times New Roman" w:hAnsi="Times New Roman"/>
          <w:sz w:val="24"/>
          <w:szCs w:val="24"/>
        </w:rPr>
        <w:br/>
        <w:t>https://doi.org/10.4314/ajcem.v22i4.10</w:t>
      </w:r>
    </w:p>
    <w:p w14:paraId="0FD8901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Akinyemi, K. O., </w:t>
      </w:r>
      <w:proofErr w:type="spellStart"/>
      <w:r w:rsidRPr="00470612">
        <w:rPr>
          <w:rFonts w:ascii="Times New Roman" w:hAnsi="Times New Roman"/>
          <w:sz w:val="24"/>
          <w:szCs w:val="24"/>
        </w:rPr>
        <w:t>Oladunmoye</w:t>
      </w:r>
      <w:proofErr w:type="spellEnd"/>
      <w:r w:rsidRPr="00470612">
        <w:rPr>
          <w:rFonts w:ascii="Times New Roman" w:hAnsi="Times New Roman"/>
          <w:sz w:val="24"/>
          <w:szCs w:val="24"/>
        </w:rPr>
        <w:t>, M. K., &amp; Ogunjobi, A. A. (2018).</w:t>
      </w:r>
      <w:r w:rsidRPr="00885E5A">
        <w:rPr>
          <w:rFonts w:ascii="Times New Roman" w:hAnsi="Times New Roman"/>
          <w:sz w:val="24"/>
          <w:szCs w:val="24"/>
        </w:rPr>
        <w:t xml:space="preserve"> </w:t>
      </w:r>
      <w:r w:rsidRPr="00470612">
        <w:rPr>
          <w:rFonts w:ascii="Times New Roman" w:hAnsi="Times New Roman"/>
          <w:sz w:val="24"/>
          <w:szCs w:val="24"/>
        </w:rPr>
        <w:t xml:space="preserve">Antimicrobial activities of medicinal plants against multidrug-resistant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w:t>
      </w:r>
      <w:r w:rsidRPr="00470612">
        <w:rPr>
          <w:rFonts w:ascii="Times New Roman" w:hAnsi="Times New Roman"/>
          <w:i/>
          <w:iCs/>
          <w:sz w:val="24"/>
          <w:szCs w:val="24"/>
        </w:rPr>
        <w:t>Journal of Ethnopharmacology, 214</w:t>
      </w:r>
      <w:r w:rsidRPr="00470612">
        <w:rPr>
          <w:rFonts w:ascii="Times New Roman" w:hAnsi="Times New Roman"/>
          <w:sz w:val="24"/>
          <w:szCs w:val="24"/>
        </w:rPr>
        <w:t>, 139–150.</w:t>
      </w:r>
      <w:r w:rsidRPr="00470612">
        <w:rPr>
          <w:rFonts w:ascii="Times New Roman" w:hAnsi="Times New Roman"/>
          <w:sz w:val="24"/>
          <w:szCs w:val="24"/>
        </w:rPr>
        <w:br/>
        <w:t>https://doi.org/10.1016/j.jep.2017.12.016</w:t>
      </w:r>
    </w:p>
    <w:p w14:paraId="21361E1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Bilyaminu, U., Yusuf, I., &amp; Jibril, A. H. (2025).</w:t>
      </w:r>
      <w:r w:rsidRPr="00470612">
        <w:rPr>
          <w:rFonts w:ascii="Times New Roman" w:hAnsi="Times New Roman"/>
          <w:sz w:val="24"/>
          <w:szCs w:val="24"/>
        </w:rPr>
        <w:br/>
        <w:t xml:space="preserve">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colonization among clinical patients in Nigeria. </w:t>
      </w:r>
      <w:r w:rsidRPr="00470612">
        <w:rPr>
          <w:rFonts w:ascii="Times New Roman" w:hAnsi="Times New Roman"/>
          <w:i/>
          <w:iCs/>
          <w:sz w:val="24"/>
          <w:szCs w:val="24"/>
        </w:rPr>
        <w:t>BMC Infectious Diseases, 25</w:t>
      </w:r>
      <w:r w:rsidRPr="00470612">
        <w:rPr>
          <w:rFonts w:ascii="Times New Roman" w:hAnsi="Times New Roman"/>
          <w:sz w:val="24"/>
          <w:szCs w:val="24"/>
        </w:rPr>
        <w:t>, 104.</w:t>
      </w:r>
      <w:r w:rsidRPr="00470612">
        <w:rPr>
          <w:rFonts w:ascii="Times New Roman" w:hAnsi="Times New Roman"/>
          <w:sz w:val="24"/>
          <w:szCs w:val="24"/>
        </w:rPr>
        <w:br/>
        <w:t>https://doi.org/10.1186/s12879-025-12166-w</w:t>
      </w:r>
    </w:p>
    <w:p w14:paraId="342D3CFD" w14:textId="77777777" w:rsidR="00765102" w:rsidRPr="00885E5A"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lastRenderedPageBreak/>
        <w:t>Clinical and Laboratory Standards Institute. (2023).</w:t>
      </w:r>
      <w:r w:rsidRPr="00885E5A">
        <w:rPr>
          <w:rFonts w:ascii="Times New Roman" w:hAnsi="Times New Roman"/>
          <w:sz w:val="24"/>
          <w:szCs w:val="24"/>
        </w:rPr>
        <w:t xml:space="preserve"> </w:t>
      </w:r>
      <w:r w:rsidRPr="00470612">
        <w:rPr>
          <w:rFonts w:ascii="Times New Roman" w:hAnsi="Times New Roman"/>
          <w:i/>
          <w:iCs/>
          <w:sz w:val="24"/>
          <w:szCs w:val="24"/>
        </w:rPr>
        <w:t>Performance standards for antimicrobial susceptibility testing</w:t>
      </w:r>
      <w:r w:rsidRPr="00470612">
        <w:rPr>
          <w:rFonts w:ascii="Times New Roman" w:hAnsi="Times New Roman"/>
          <w:sz w:val="24"/>
          <w:szCs w:val="24"/>
        </w:rPr>
        <w:t xml:space="preserve"> (33rd ed.; CLSI supplement M100). CLSI.</w:t>
      </w:r>
    </w:p>
    <w:p w14:paraId="66FE9254" w14:textId="27DB1B67" w:rsidR="009604D4" w:rsidRPr="00470612" w:rsidRDefault="009604D4"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t>Clinical and Laboratory Standards Institute (CLSI). (2018). </w:t>
      </w:r>
      <w:r w:rsidRPr="00885E5A">
        <w:rPr>
          <w:rFonts w:ascii="Times New Roman" w:hAnsi="Times New Roman"/>
          <w:i/>
          <w:iCs/>
          <w:sz w:val="24"/>
          <w:szCs w:val="24"/>
        </w:rPr>
        <w:t>Methods for dilution antimicrobial susceptibility tests for bacteria that grow aerobically</w:t>
      </w:r>
      <w:r w:rsidRPr="00885E5A">
        <w:rPr>
          <w:rFonts w:ascii="Times New Roman" w:hAnsi="Times New Roman"/>
          <w:sz w:val="24"/>
          <w:szCs w:val="24"/>
        </w:rPr>
        <w:t> (11th ed.). CLSI standard M07.</w:t>
      </w:r>
    </w:p>
    <w:p w14:paraId="46897E37" w14:textId="77777777" w:rsidR="00765102" w:rsidRPr="00E46FA7" w:rsidRDefault="00765102" w:rsidP="0032611D">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t>Fasiku</w:t>
      </w:r>
      <w:proofErr w:type="spellEnd"/>
      <w:r w:rsidRPr="00E46FA7">
        <w:rPr>
          <w:rFonts w:ascii="Times New Roman" w:hAnsi="Times New Roman"/>
          <w:sz w:val="24"/>
          <w:szCs w:val="24"/>
        </w:rPr>
        <w:t xml:space="preserve">, O. S., </w:t>
      </w:r>
      <w:proofErr w:type="spellStart"/>
      <w:r w:rsidRPr="00E46FA7">
        <w:rPr>
          <w:rFonts w:ascii="Times New Roman" w:hAnsi="Times New Roman"/>
          <w:sz w:val="24"/>
          <w:szCs w:val="24"/>
        </w:rPr>
        <w:t>Odetoyin</w:t>
      </w:r>
      <w:proofErr w:type="spellEnd"/>
      <w:r w:rsidRPr="00E46FA7">
        <w:rPr>
          <w:rFonts w:ascii="Times New Roman" w:hAnsi="Times New Roman"/>
          <w:sz w:val="24"/>
          <w:szCs w:val="24"/>
        </w:rPr>
        <w:t>, B. W., &amp; Akinyemi, K. O. (2023).</w:t>
      </w:r>
      <w:r w:rsidRPr="00E46FA7">
        <w:rPr>
          <w:rFonts w:ascii="Times New Roman" w:hAnsi="Times New Roman"/>
          <w:sz w:val="24"/>
          <w:szCs w:val="24"/>
        </w:rPr>
        <w:br/>
        <w:t xml:space="preserve">Prevalence and antibiotic susceptibility profile of </w:t>
      </w:r>
      <w:r w:rsidRPr="00E46FA7">
        <w:rPr>
          <w:rFonts w:ascii="Times New Roman" w:hAnsi="Times New Roman"/>
          <w:i/>
          <w:iCs/>
          <w:sz w:val="24"/>
          <w:szCs w:val="24"/>
        </w:rPr>
        <w:t>Staphylococcus aureus</w:t>
      </w:r>
      <w:r w:rsidRPr="00E46FA7">
        <w:rPr>
          <w:rFonts w:ascii="Times New Roman" w:hAnsi="Times New Roman"/>
          <w:sz w:val="24"/>
          <w:szCs w:val="24"/>
        </w:rPr>
        <w:t xml:space="preserve"> isolated from clinical samples in southwestern Nigeria. </w:t>
      </w:r>
      <w:r w:rsidRPr="00E46FA7">
        <w:rPr>
          <w:rFonts w:ascii="Times New Roman" w:hAnsi="Times New Roman"/>
          <w:i/>
          <w:iCs/>
          <w:sz w:val="24"/>
          <w:szCs w:val="24"/>
        </w:rPr>
        <w:t>African Health Sciences, 23</w:t>
      </w:r>
      <w:r w:rsidRPr="00E46FA7">
        <w:rPr>
          <w:rFonts w:ascii="Times New Roman" w:hAnsi="Times New Roman"/>
          <w:sz w:val="24"/>
          <w:szCs w:val="24"/>
        </w:rPr>
        <w:t>(1), 182–191.</w:t>
      </w:r>
      <w:r w:rsidRPr="00E46FA7">
        <w:rPr>
          <w:rFonts w:ascii="Times New Roman" w:hAnsi="Times New Roman"/>
          <w:sz w:val="24"/>
          <w:szCs w:val="24"/>
        </w:rPr>
        <w:br/>
        <w:t>https://doi.org/10.4314/ahs.v23i1.21</w:t>
      </w:r>
    </w:p>
    <w:p w14:paraId="7ADA6035"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 xml:space="preserve">Flores-Mireles, A. L., Walker, J. N., </w:t>
      </w:r>
      <w:proofErr w:type="spellStart"/>
      <w:r w:rsidRPr="00E46FA7">
        <w:rPr>
          <w:rFonts w:ascii="Times New Roman" w:hAnsi="Times New Roman"/>
          <w:sz w:val="24"/>
          <w:szCs w:val="24"/>
        </w:rPr>
        <w:t>Caparon</w:t>
      </w:r>
      <w:proofErr w:type="spellEnd"/>
      <w:r w:rsidRPr="00E46FA7">
        <w:rPr>
          <w:rFonts w:ascii="Times New Roman" w:hAnsi="Times New Roman"/>
          <w:sz w:val="24"/>
          <w:szCs w:val="24"/>
        </w:rPr>
        <w:t>, M., &amp; Hultgren, S. J. (2015).</w:t>
      </w:r>
      <w:r w:rsidRPr="00E46FA7">
        <w:rPr>
          <w:rFonts w:ascii="Times New Roman" w:hAnsi="Times New Roman"/>
          <w:sz w:val="24"/>
          <w:szCs w:val="24"/>
        </w:rPr>
        <w:br/>
        <w:t xml:space="preserve">Urinary tract infections: Epidemiology, mechanisms of infection and treatment options. </w:t>
      </w:r>
      <w:r w:rsidRPr="00E46FA7">
        <w:rPr>
          <w:rFonts w:ascii="Times New Roman" w:hAnsi="Times New Roman"/>
          <w:i/>
          <w:iCs/>
          <w:sz w:val="24"/>
          <w:szCs w:val="24"/>
        </w:rPr>
        <w:t>Nature Reviews Microbiology, 13</w:t>
      </w:r>
      <w:r w:rsidRPr="00E46FA7">
        <w:rPr>
          <w:rFonts w:ascii="Times New Roman" w:hAnsi="Times New Roman"/>
          <w:sz w:val="24"/>
          <w:szCs w:val="24"/>
        </w:rPr>
        <w:t>(5), 269–284.</w:t>
      </w:r>
      <w:r w:rsidRPr="00E46FA7">
        <w:rPr>
          <w:rFonts w:ascii="Times New Roman" w:hAnsi="Times New Roman"/>
          <w:sz w:val="24"/>
          <w:szCs w:val="24"/>
        </w:rPr>
        <w:br/>
      </w:r>
      <w:hyperlink r:id="rId7" w:tgtFrame="_new" w:history="1">
        <w:r w:rsidRPr="00E46FA7">
          <w:rPr>
            <w:rStyle w:val="Hyperlink"/>
            <w:rFonts w:ascii="Times New Roman" w:hAnsi="Times New Roman"/>
            <w:sz w:val="24"/>
            <w:szCs w:val="24"/>
          </w:rPr>
          <w:t>https://doi.org/10.1038/nrmicro3432</w:t>
        </w:r>
      </w:hyperlink>
    </w:p>
    <w:p w14:paraId="26A9BAE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Harborne, J. B. (1998).</w:t>
      </w:r>
      <w:r w:rsidRPr="00885E5A">
        <w:rPr>
          <w:rFonts w:ascii="Times New Roman" w:hAnsi="Times New Roman"/>
          <w:sz w:val="24"/>
          <w:szCs w:val="24"/>
        </w:rPr>
        <w:t xml:space="preserve"> </w:t>
      </w:r>
      <w:r w:rsidRPr="00470612">
        <w:rPr>
          <w:rFonts w:ascii="Times New Roman" w:hAnsi="Times New Roman"/>
          <w:i/>
          <w:iCs/>
          <w:sz w:val="24"/>
          <w:szCs w:val="24"/>
        </w:rPr>
        <w:t>Phytochemical methods: A guide to modern techniques of plant analysis</w:t>
      </w:r>
      <w:r w:rsidRPr="00470612">
        <w:rPr>
          <w:rFonts w:ascii="Times New Roman" w:hAnsi="Times New Roman"/>
          <w:sz w:val="24"/>
          <w:szCs w:val="24"/>
        </w:rPr>
        <w:t xml:space="preserve"> (3rd ed.). Chapman &amp; Hall.</w:t>
      </w:r>
    </w:p>
    <w:p w14:paraId="7753A163" w14:textId="1C0C0134"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He, Q., Li, X., Zhou, Y., &amp; Wang, Y. (2024).</w:t>
      </w:r>
      <w:r w:rsidRPr="00885E5A">
        <w:rPr>
          <w:rFonts w:ascii="Times New Roman" w:hAnsi="Times New Roman"/>
          <w:sz w:val="24"/>
          <w:szCs w:val="24"/>
        </w:rPr>
        <w:t xml:space="preserve"> </w:t>
      </w:r>
      <w:proofErr w:type="spellStart"/>
      <w:r w:rsidRPr="00E46FA7">
        <w:rPr>
          <w:rFonts w:ascii="Times New Roman" w:hAnsi="Times New Roman"/>
          <w:sz w:val="24"/>
          <w:szCs w:val="24"/>
        </w:rPr>
        <w:t>Phytotherapeutic</w:t>
      </w:r>
      <w:proofErr w:type="spellEnd"/>
      <w:r w:rsidRPr="00E46FA7">
        <w:rPr>
          <w:rFonts w:ascii="Times New Roman" w:hAnsi="Times New Roman"/>
          <w:sz w:val="24"/>
          <w:szCs w:val="24"/>
        </w:rPr>
        <w:t xml:space="preserve"> potential against methicillin-resistant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Mechanisms and evidence. </w:t>
      </w:r>
      <w:r w:rsidRPr="00E46FA7">
        <w:rPr>
          <w:rFonts w:ascii="Times New Roman" w:hAnsi="Times New Roman"/>
          <w:i/>
          <w:iCs/>
          <w:sz w:val="24"/>
          <w:szCs w:val="24"/>
        </w:rPr>
        <w:t>Chinese Medicine, 19</w:t>
      </w:r>
      <w:r w:rsidRPr="00E46FA7">
        <w:rPr>
          <w:rFonts w:ascii="Times New Roman" w:hAnsi="Times New Roman"/>
          <w:sz w:val="24"/>
          <w:szCs w:val="24"/>
        </w:rPr>
        <w:t>, 42.</w:t>
      </w:r>
      <w:r w:rsidRPr="00E46FA7">
        <w:rPr>
          <w:rFonts w:ascii="Times New Roman" w:hAnsi="Times New Roman"/>
          <w:sz w:val="24"/>
          <w:szCs w:val="24"/>
        </w:rPr>
        <w:br/>
        <w:t>https://doi.org/10.1186/s13020-024-00960-8</w:t>
      </w:r>
    </w:p>
    <w:p w14:paraId="20D9C8A2" w14:textId="1396EE8D" w:rsidR="00765102" w:rsidRPr="00470612" w:rsidRDefault="00765102"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t>C</w:t>
      </w:r>
      <w:r w:rsidRPr="00470612">
        <w:rPr>
          <w:rFonts w:ascii="Times New Roman" w:hAnsi="Times New Roman"/>
          <w:sz w:val="24"/>
          <w:szCs w:val="24"/>
        </w:rPr>
        <w:t>heesbrough, M. (2019).</w:t>
      </w:r>
      <w:r w:rsidRPr="00885E5A">
        <w:rPr>
          <w:rFonts w:ascii="Times New Roman" w:hAnsi="Times New Roman"/>
          <w:sz w:val="24"/>
          <w:szCs w:val="24"/>
        </w:rPr>
        <w:t xml:space="preserve"> </w:t>
      </w:r>
      <w:r w:rsidRPr="00470612">
        <w:rPr>
          <w:rFonts w:ascii="Times New Roman" w:hAnsi="Times New Roman"/>
          <w:i/>
          <w:iCs/>
          <w:sz w:val="24"/>
          <w:szCs w:val="24"/>
        </w:rPr>
        <w:t>District laboratory practice in tropical countries</w:t>
      </w:r>
      <w:r w:rsidRPr="00470612">
        <w:rPr>
          <w:rFonts w:ascii="Times New Roman" w:hAnsi="Times New Roman"/>
          <w:sz w:val="24"/>
          <w:szCs w:val="24"/>
        </w:rPr>
        <w:t xml:space="preserve"> (2nd ed.). Cambridge University Press.</w:t>
      </w:r>
    </w:p>
    <w:p w14:paraId="5DF2AE17" w14:textId="3618F239" w:rsidR="00765102" w:rsidRPr="00885E5A" w:rsidRDefault="00765102" w:rsidP="0032611D">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t>Magiorakos</w:t>
      </w:r>
      <w:proofErr w:type="spellEnd"/>
      <w:r w:rsidRPr="00E46FA7">
        <w:rPr>
          <w:rFonts w:ascii="Times New Roman" w:hAnsi="Times New Roman"/>
          <w:sz w:val="24"/>
          <w:szCs w:val="24"/>
        </w:rPr>
        <w:t xml:space="preserve">, A. P., Srinivasan, A., Carey, R. B., Carmeli, Y., </w:t>
      </w:r>
      <w:proofErr w:type="spellStart"/>
      <w:r w:rsidRPr="00E46FA7">
        <w:rPr>
          <w:rFonts w:ascii="Times New Roman" w:hAnsi="Times New Roman"/>
          <w:sz w:val="24"/>
          <w:szCs w:val="24"/>
        </w:rPr>
        <w:t>Falagas</w:t>
      </w:r>
      <w:proofErr w:type="spellEnd"/>
      <w:r w:rsidRPr="00E46FA7">
        <w:rPr>
          <w:rFonts w:ascii="Times New Roman" w:hAnsi="Times New Roman"/>
          <w:sz w:val="24"/>
          <w:szCs w:val="24"/>
        </w:rPr>
        <w:t>, M. E., Giske, C. G.,</w:t>
      </w:r>
      <w:r w:rsidRPr="00885E5A">
        <w:rPr>
          <w:rFonts w:ascii="Times New Roman" w:hAnsi="Times New Roman"/>
          <w:sz w:val="24"/>
          <w:szCs w:val="24"/>
        </w:rPr>
        <w:t xml:space="preserve"> </w:t>
      </w:r>
      <w:proofErr w:type="spellStart"/>
      <w:r w:rsidRPr="00E46FA7">
        <w:rPr>
          <w:rFonts w:ascii="Times New Roman" w:hAnsi="Times New Roman"/>
          <w:sz w:val="24"/>
          <w:szCs w:val="24"/>
        </w:rPr>
        <w:t>Harbarth</w:t>
      </w:r>
      <w:proofErr w:type="spellEnd"/>
      <w:r w:rsidRPr="00E46FA7">
        <w:rPr>
          <w:rFonts w:ascii="Times New Roman" w:hAnsi="Times New Roman"/>
          <w:sz w:val="24"/>
          <w:szCs w:val="24"/>
        </w:rPr>
        <w:t xml:space="preserve">, S., Hindler, J. F., </w:t>
      </w:r>
      <w:proofErr w:type="spellStart"/>
      <w:r w:rsidRPr="00E46FA7">
        <w:rPr>
          <w:rFonts w:ascii="Times New Roman" w:hAnsi="Times New Roman"/>
          <w:sz w:val="24"/>
          <w:szCs w:val="24"/>
        </w:rPr>
        <w:t>Kahlmeter</w:t>
      </w:r>
      <w:proofErr w:type="spellEnd"/>
      <w:r w:rsidRPr="00E46FA7">
        <w:rPr>
          <w:rFonts w:ascii="Times New Roman" w:hAnsi="Times New Roman"/>
          <w:sz w:val="24"/>
          <w:szCs w:val="24"/>
        </w:rPr>
        <w:t xml:space="preserve">, G., Olsson-Liljequist, B., Paterson, D. L., Rice, L. B., Stelling, J., </w:t>
      </w:r>
      <w:proofErr w:type="spellStart"/>
      <w:r w:rsidRPr="00E46FA7">
        <w:rPr>
          <w:rFonts w:ascii="Times New Roman" w:hAnsi="Times New Roman"/>
          <w:sz w:val="24"/>
          <w:szCs w:val="24"/>
        </w:rPr>
        <w:t>Struelens</w:t>
      </w:r>
      <w:proofErr w:type="spellEnd"/>
      <w:r w:rsidRPr="00E46FA7">
        <w:rPr>
          <w:rFonts w:ascii="Times New Roman" w:hAnsi="Times New Roman"/>
          <w:sz w:val="24"/>
          <w:szCs w:val="24"/>
        </w:rPr>
        <w:t xml:space="preserve">, M. J., </w:t>
      </w:r>
      <w:proofErr w:type="spellStart"/>
      <w:r w:rsidRPr="00E46FA7">
        <w:rPr>
          <w:rFonts w:ascii="Times New Roman" w:hAnsi="Times New Roman"/>
          <w:sz w:val="24"/>
          <w:szCs w:val="24"/>
        </w:rPr>
        <w:t>Vatopoulos</w:t>
      </w:r>
      <w:proofErr w:type="spellEnd"/>
      <w:r w:rsidRPr="00E46FA7">
        <w:rPr>
          <w:rFonts w:ascii="Times New Roman" w:hAnsi="Times New Roman"/>
          <w:sz w:val="24"/>
          <w:szCs w:val="24"/>
        </w:rPr>
        <w:t>, A., Weber, J. T., &amp; Monnet, D. L. (2012).</w:t>
      </w:r>
      <w:r w:rsidRPr="00E46FA7">
        <w:rPr>
          <w:rFonts w:ascii="Times New Roman" w:hAnsi="Times New Roman"/>
          <w:sz w:val="24"/>
          <w:szCs w:val="24"/>
        </w:rPr>
        <w:br/>
        <w:t xml:space="preserve">Multidrug-resistant, extensively drug-resistant and </w:t>
      </w:r>
      <w:proofErr w:type="spellStart"/>
      <w:r w:rsidRPr="00E46FA7">
        <w:rPr>
          <w:rFonts w:ascii="Times New Roman" w:hAnsi="Times New Roman"/>
          <w:sz w:val="24"/>
          <w:szCs w:val="24"/>
        </w:rPr>
        <w:t>pandrug</w:t>
      </w:r>
      <w:proofErr w:type="spellEnd"/>
      <w:r w:rsidRPr="00E46FA7">
        <w:rPr>
          <w:rFonts w:ascii="Times New Roman" w:hAnsi="Times New Roman"/>
          <w:sz w:val="24"/>
          <w:szCs w:val="24"/>
        </w:rPr>
        <w:t xml:space="preserve">-resistant bacteria: An international expert proposal for interim standard definitions. </w:t>
      </w:r>
      <w:r w:rsidRPr="00E46FA7">
        <w:rPr>
          <w:rFonts w:ascii="Times New Roman" w:hAnsi="Times New Roman"/>
          <w:i/>
          <w:iCs/>
          <w:sz w:val="24"/>
          <w:szCs w:val="24"/>
        </w:rPr>
        <w:t>Clinical Microbiology and Infection, 18</w:t>
      </w:r>
      <w:r w:rsidRPr="00E46FA7">
        <w:rPr>
          <w:rFonts w:ascii="Times New Roman" w:hAnsi="Times New Roman"/>
          <w:sz w:val="24"/>
          <w:szCs w:val="24"/>
        </w:rPr>
        <w:t>(3), 268–281.</w:t>
      </w:r>
      <w:r w:rsidRPr="00E46FA7">
        <w:rPr>
          <w:rFonts w:ascii="Times New Roman" w:hAnsi="Times New Roman"/>
          <w:sz w:val="24"/>
          <w:szCs w:val="24"/>
        </w:rPr>
        <w:br/>
      </w:r>
      <w:hyperlink r:id="rId8" w:history="1">
        <w:r w:rsidR="002E5A44" w:rsidRPr="00E46FA7">
          <w:rPr>
            <w:rStyle w:val="Hyperlink"/>
            <w:rFonts w:ascii="Times New Roman" w:hAnsi="Times New Roman"/>
            <w:sz w:val="24"/>
            <w:szCs w:val="24"/>
          </w:rPr>
          <w:t>https://doi.org/10.1111/j.1469-0691.2011.03570.x</w:t>
        </w:r>
      </w:hyperlink>
    </w:p>
    <w:p w14:paraId="559F3D79" w14:textId="1E765E49" w:rsidR="003F2123" w:rsidRPr="00885E5A" w:rsidRDefault="003F2123"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t xml:space="preserve">Musa, M. &amp; Aji, A. (2025). Antimicrobial activities of selected Fabaceae plants found in Northern Nigeria: a systematic and critical review. </w:t>
      </w:r>
      <w:r w:rsidRPr="00885E5A">
        <w:rPr>
          <w:rFonts w:ascii="Times New Roman" w:hAnsi="Times New Roman"/>
          <w:i/>
          <w:iCs/>
          <w:sz w:val="24"/>
          <w:szCs w:val="24"/>
        </w:rPr>
        <w:t>Journal of Natural Products and Drug Development</w:t>
      </w:r>
      <w:r w:rsidRPr="00885E5A">
        <w:rPr>
          <w:rFonts w:ascii="Times New Roman" w:hAnsi="Times New Roman"/>
          <w:sz w:val="24"/>
          <w:szCs w:val="24"/>
        </w:rPr>
        <w:t xml:space="preserve"> 1(1): 8-20. </w:t>
      </w:r>
      <w:hyperlink r:id="rId9" w:tgtFrame="_blank" w:history="1">
        <w:r w:rsidRPr="00885E5A">
          <w:rPr>
            <w:rStyle w:val="Hyperlink"/>
            <w:rFonts w:ascii="Times New Roman" w:hAnsi="Times New Roman"/>
            <w:sz w:val="24"/>
            <w:szCs w:val="24"/>
          </w:rPr>
          <w:t>https://journal.gomit.id/jnpdd/article/view/46</w:t>
        </w:r>
      </w:hyperlink>
    </w:p>
    <w:p w14:paraId="0F5783DA" w14:textId="3C72E905" w:rsidR="002E5A44" w:rsidRPr="00E46FA7" w:rsidRDefault="002E5A44" w:rsidP="002E5A44">
      <w:pPr>
        <w:spacing w:before="240"/>
        <w:ind w:left="720" w:hanging="720"/>
        <w:rPr>
          <w:rFonts w:ascii="Times New Roman" w:hAnsi="Times New Roman"/>
          <w:sz w:val="24"/>
          <w:szCs w:val="24"/>
        </w:rPr>
      </w:pPr>
      <w:r w:rsidRPr="00885E5A">
        <w:rPr>
          <w:rFonts w:ascii="Times New Roman" w:hAnsi="Times New Roman"/>
          <w:sz w:val="24"/>
          <w:szCs w:val="24"/>
        </w:rPr>
        <w:t>National Population Commission (NPC). (2006). </w:t>
      </w:r>
      <w:r w:rsidRPr="00885E5A">
        <w:rPr>
          <w:rFonts w:ascii="Times New Roman" w:hAnsi="Times New Roman"/>
          <w:i/>
          <w:iCs/>
          <w:sz w:val="24"/>
          <w:szCs w:val="24"/>
        </w:rPr>
        <w:t>2006 population and housing census of the Federal Republic of Nigeria: National and state population and housing tables, priority tables (Volume I)</w:t>
      </w:r>
      <w:r w:rsidRPr="00885E5A">
        <w:rPr>
          <w:rFonts w:ascii="Times New Roman" w:hAnsi="Times New Roman"/>
          <w:sz w:val="24"/>
          <w:szCs w:val="24"/>
        </w:rPr>
        <w:t>. National Population Commission.</w:t>
      </w:r>
    </w:p>
    <w:p w14:paraId="7BC53712"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Okwu, M. U., &amp; Abubakar, T. (2019).</w:t>
      </w:r>
      <w:r w:rsidRPr="00470612">
        <w:rPr>
          <w:rFonts w:ascii="Times New Roman" w:hAnsi="Times New Roman"/>
          <w:sz w:val="24"/>
          <w:szCs w:val="24"/>
        </w:rPr>
        <w:br/>
        <w:t xml:space="preserve">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(MRSA) and anti-MRSA activities of extracts of some medicinal plants: A brief review. </w:t>
      </w:r>
      <w:r w:rsidRPr="00470612">
        <w:rPr>
          <w:rFonts w:ascii="Times New Roman" w:hAnsi="Times New Roman"/>
          <w:i/>
          <w:iCs/>
          <w:sz w:val="24"/>
          <w:szCs w:val="24"/>
        </w:rPr>
        <w:t>AIMS Microbiology, 5</w:t>
      </w:r>
      <w:r w:rsidRPr="00470612">
        <w:rPr>
          <w:rFonts w:ascii="Times New Roman" w:hAnsi="Times New Roman"/>
          <w:sz w:val="24"/>
          <w:szCs w:val="24"/>
        </w:rPr>
        <w:t>(2), 117–137.</w:t>
      </w:r>
      <w:r w:rsidRPr="00470612">
        <w:rPr>
          <w:rFonts w:ascii="Times New Roman" w:hAnsi="Times New Roman"/>
          <w:sz w:val="24"/>
          <w:szCs w:val="24"/>
        </w:rPr>
        <w:br/>
        <w:t>https://doi.org/10.3934/microbiol.2019.2.117</w:t>
      </w:r>
    </w:p>
    <w:p w14:paraId="1600F516"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Olalekan, A., Boutin, S., Watson, C. M., Shittu, A. O., &amp; Okeke, I. N. (2025).</w:t>
      </w:r>
      <w:r w:rsidRPr="00470612">
        <w:rPr>
          <w:rFonts w:ascii="Times New Roman" w:hAnsi="Times New Roman"/>
          <w:sz w:val="24"/>
          <w:szCs w:val="24"/>
        </w:rPr>
        <w:br/>
        <w:t xml:space="preserve">Molecular landscape of 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strains in clinical </w:t>
      </w:r>
      <w:r w:rsidRPr="00470612">
        <w:rPr>
          <w:rFonts w:ascii="Times New Roman" w:hAnsi="Times New Roman"/>
          <w:sz w:val="24"/>
          <w:szCs w:val="24"/>
        </w:rPr>
        <w:lastRenderedPageBreak/>
        <w:t xml:space="preserve">infections from hospitals in Lagos, Nigeria. </w:t>
      </w:r>
      <w:r w:rsidRPr="00470612">
        <w:rPr>
          <w:rFonts w:ascii="Times New Roman" w:hAnsi="Times New Roman"/>
          <w:i/>
          <w:iCs/>
          <w:sz w:val="24"/>
          <w:szCs w:val="24"/>
        </w:rPr>
        <w:t>JAC-Antimicrobial Resistance, 7</w:t>
      </w:r>
      <w:r w:rsidRPr="00470612">
        <w:rPr>
          <w:rFonts w:ascii="Times New Roman" w:hAnsi="Times New Roman"/>
          <w:sz w:val="24"/>
          <w:szCs w:val="24"/>
        </w:rPr>
        <w:t>(5), dlaf161.</w:t>
      </w:r>
      <w:r w:rsidRPr="00470612">
        <w:rPr>
          <w:rFonts w:ascii="Times New Roman" w:hAnsi="Times New Roman"/>
          <w:sz w:val="24"/>
          <w:szCs w:val="24"/>
        </w:rPr>
        <w:br/>
        <w:t>https://doi.org/10.1093/jacamr/dlaf161</w:t>
      </w:r>
    </w:p>
    <w:p w14:paraId="1E8E5722" w14:textId="77777777" w:rsidR="00B55DB2" w:rsidRPr="00885E5A" w:rsidRDefault="00765102" w:rsidP="00765102">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t>Onanuga</w:t>
      </w:r>
      <w:proofErr w:type="spellEnd"/>
      <w:r w:rsidRPr="00E46FA7">
        <w:rPr>
          <w:rFonts w:ascii="Times New Roman" w:hAnsi="Times New Roman"/>
          <w:sz w:val="24"/>
          <w:szCs w:val="24"/>
        </w:rPr>
        <w:t xml:space="preserve">, A., </w:t>
      </w:r>
      <w:proofErr w:type="spellStart"/>
      <w:r w:rsidRPr="00E46FA7">
        <w:rPr>
          <w:rFonts w:ascii="Times New Roman" w:hAnsi="Times New Roman"/>
          <w:sz w:val="24"/>
          <w:szCs w:val="24"/>
        </w:rPr>
        <w:t>Mahindroo</w:t>
      </w:r>
      <w:proofErr w:type="spellEnd"/>
      <w:r w:rsidRPr="00E46FA7">
        <w:rPr>
          <w:rFonts w:ascii="Times New Roman" w:hAnsi="Times New Roman"/>
          <w:sz w:val="24"/>
          <w:szCs w:val="24"/>
        </w:rPr>
        <w:t>, J., &amp; Jabeen, K. (2019).</w:t>
      </w:r>
      <w:r w:rsidRPr="00E46FA7">
        <w:rPr>
          <w:rFonts w:ascii="Times New Roman" w:hAnsi="Times New Roman"/>
          <w:sz w:val="24"/>
          <w:szCs w:val="24"/>
        </w:rPr>
        <w:br/>
        <w:t xml:space="preserve">Antibiotic-resistant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strains in urinary tract infections: A Nigerian perspective. </w:t>
      </w:r>
      <w:r w:rsidRPr="00E46FA7">
        <w:rPr>
          <w:rFonts w:ascii="Times New Roman" w:hAnsi="Times New Roman"/>
          <w:i/>
          <w:iCs/>
          <w:sz w:val="24"/>
          <w:szCs w:val="24"/>
        </w:rPr>
        <w:t>Infection and Drug Resistance, 12</w:t>
      </w:r>
      <w:r w:rsidRPr="00E46FA7">
        <w:rPr>
          <w:rFonts w:ascii="Times New Roman" w:hAnsi="Times New Roman"/>
          <w:sz w:val="24"/>
          <w:szCs w:val="24"/>
        </w:rPr>
        <w:t>, 203–211.</w:t>
      </w:r>
    </w:p>
    <w:p w14:paraId="0861DE56" w14:textId="77777777" w:rsidR="00765102" w:rsidRPr="00885E5A"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Salisu, T. F., Yahaya, T. O., </w:t>
      </w:r>
      <w:proofErr w:type="spellStart"/>
      <w:r w:rsidRPr="00470612">
        <w:rPr>
          <w:rFonts w:ascii="Times New Roman" w:hAnsi="Times New Roman"/>
          <w:sz w:val="24"/>
          <w:szCs w:val="24"/>
        </w:rPr>
        <w:t>Fowora</w:t>
      </w:r>
      <w:proofErr w:type="spellEnd"/>
      <w:r w:rsidRPr="00470612">
        <w:rPr>
          <w:rFonts w:ascii="Times New Roman" w:hAnsi="Times New Roman"/>
          <w:sz w:val="24"/>
          <w:szCs w:val="24"/>
        </w:rPr>
        <w:t>, M. A., &amp; Adeleke, M. A. (2024).</w:t>
      </w:r>
      <w:r w:rsidRPr="00470612">
        <w:rPr>
          <w:rFonts w:ascii="Times New Roman" w:hAnsi="Times New Roman"/>
          <w:sz w:val="24"/>
          <w:szCs w:val="24"/>
        </w:rPr>
        <w:br/>
        <w:t xml:space="preserve">Phytochemical screening, GC–MS analysis and antimicrobial potential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seed extract. </w:t>
      </w:r>
      <w:r w:rsidRPr="00470612">
        <w:rPr>
          <w:rFonts w:ascii="Times New Roman" w:hAnsi="Times New Roman"/>
          <w:i/>
          <w:iCs/>
          <w:sz w:val="24"/>
          <w:szCs w:val="24"/>
        </w:rPr>
        <w:t>Future Journal of Pharmaceutical Sciences, 10</w:t>
      </w:r>
      <w:r w:rsidRPr="00470612">
        <w:rPr>
          <w:rFonts w:ascii="Times New Roman" w:hAnsi="Times New Roman"/>
          <w:sz w:val="24"/>
          <w:szCs w:val="24"/>
        </w:rPr>
        <w:t>, 49.</w:t>
      </w:r>
      <w:r w:rsidRPr="00470612">
        <w:rPr>
          <w:rFonts w:ascii="Times New Roman" w:hAnsi="Times New Roman"/>
          <w:sz w:val="24"/>
          <w:szCs w:val="24"/>
        </w:rPr>
        <w:br/>
      </w:r>
      <w:hyperlink r:id="rId10" w:tgtFrame="_new" w:history="1">
        <w:r w:rsidRPr="00470612">
          <w:rPr>
            <w:rStyle w:val="Hyperlink"/>
            <w:rFonts w:ascii="Times New Roman" w:hAnsi="Times New Roman"/>
            <w:sz w:val="24"/>
            <w:szCs w:val="24"/>
          </w:rPr>
          <w:t>https://doi.org/10.1186/s43094-024-00622-4</w:t>
        </w:r>
      </w:hyperlink>
    </w:p>
    <w:p w14:paraId="7F26EDE3" w14:textId="76D9312F" w:rsidR="002E5A44" w:rsidRPr="00470612" w:rsidRDefault="002E5A44" w:rsidP="002E5A44">
      <w:pPr>
        <w:spacing w:before="240"/>
        <w:ind w:left="720" w:hanging="720"/>
        <w:rPr>
          <w:rFonts w:ascii="Times New Roman" w:hAnsi="Times New Roman"/>
          <w:sz w:val="24"/>
          <w:szCs w:val="24"/>
        </w:rPr>
      </w:pPr>
      <w:r w:rsidRPr="00885E5A">
        <w:rPr>
          <w:rFonts w:ascii="Times New Roman" w:hAnsi="Times New Roman"/>
          <w:sz w:val="24"/>
          <w:szCs w:val="24"/>
        </w:rPr>
        <w:t>Sani, U., Musa, M., &amp; Aliyu, S. M. (2025). Evaluation of antibiotic susceptibility pattern of </w:t>
      </w:r>
      <w:r w:rsidRPr="00885E5A">
        <w:rPr>
          <w:rFonts w:ascii="Times New Roman" w:hAnsi="Times New Roman"/>
          <w:i/>
          <w:iCs/>
          <w:sz w:val="24"/>
          <w:szCs w:val="24"/>
        </w:rPr>
        <w:t>S. pneumoniae</w:t>
      </w:r>
      <w:r w:rsidRPr="00885E5A">
        <w:rPr>
          <w:rFonts w:ascii="Times New Roman" w:hAnsi="Times New Roman"/>
          <w:sz w:val="24"/>
          <w:szCs w:val="24"/>
        </w:rPr>
        <w:t xml:space="preserve"> isolated from patients with respiratory tract infections in General Hospital </w:t>
      </w:r>
      <w:proofErr w:type="spellStart"/>
      <w:r w:rsidRPr="00885E5A">
        <w:rPr>
          <w:rFonts w:ascii="Times New Roman" w:hAnsi="Times New Roman"/>
          <w:sz w:val="24"/>
          <w:szCs w:val="24"/>
        </w:rPr>
        <w:t>Dutsin</w:t>
      </w:r>
      <w:proofErr w:type="spellEnd"/>
      <w:r w:rsidRPr="00885E5A">
        <w:rPr>
          <w:rFonts w:ascii="Times New Roman" w:hAnsi="Times New Roman"/>
          <w:sz w:val="24"/>
          <w:szCs w:val="24"/>
        </w:rPr>
        <w:t xml:space="preserve">-Ma, </w:t>
      </w:r>
      <w:proofErr w:type="spellStart"/>
      <w:r w:rsidRPr="00885E5A">
        <w:rPr>
          <w:rFonts w:ascii="Times New Roman" w:hAnsi="Times New Roman"/>
          <w:sz w:val="24"/>
          <w:szCs w:val="24"/>
        </w:rPr>
        <w:t>Katsina</w:t>
      </w:r>
      <w:proofErr w:type="spellEnd"/>
      <w:r w:rsidRPr="00885E5A">
        <w:rPr>
          <w:rFonts w:ascii="Times New Roman" w:hAnsi="Times New Roman"/>
          <w:sz w:val="24"/>
          <w:szCs w:val="24"/>
        </w:rPr>
        <w:t xml:space="preserve"> State, Nigeria. </w:t>
      </w:r>
      <w:r w:rsidRPr="00885E5A">
        <w:rPr>
          <w:rFonts w:ascii="Times New Roman" w:hAnsi="Times New Roman"/>
          <w:i/>
          <w:iCs/>
          <w:sz w:val="24"/>
          <w:szCs w:val="24"/>
        </w:rPr>
        <w:t>South Asian Journal of Research in Microbiology</w:t>
      </w:r>
      <w:r w:rsidRPr="00885E5A">
        <w:rPr>
          <w:rFonts w:ascii="Times New Roman" w:hAnsi="Times New Roman"/>
          <w:sz w:val="24"/>
          <w:szCs w:val="24"/>
        </w:rPr>
        <w:t>, 19(7), 57–62. </w:t>
      </w:r>
      <w:hyperlink r:id="rId11" w:tgtFrame="_blank" w:history="1">
        <w:r w:rsidRPr="00885E5A">
          <w:rPr>
            <w:rStyle w:val="Hyperlink"/>
            <w:rFonts w:ascii="Times New Roman" w:hAnsi="Times New Roman"/>
            <w:sz w:val="24"/>
            <w:szCs w:val="24"/>
          </w:rPr>
          <w:t>https://doi.org/10.9734/sajrm/2025/v19i7452</w:t>
        </w:r>
      </w:hyperlink>
    </w:p>
    <w:p w14:paraId="2D9B3141"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 xml:space="preserve">Turner, N. A., Sharma-Kuinkel, B. K., </w:t>
      </w:r>
      <w:proofErr w:type="spellStart"/>
      <w:r w:rsidRPr="00E46FA7">
        <w:rPr>
          <w:rFonts w:ascii="Times New Roman" w:hAnsi="Times New Roman"/>
          <w:sz w:val="24"/>
          <w:szCs w:val="24"/>
        </w:rPr>
        <w:t>Maskarinec</w:t>
      </w:r>
      <w:proofErr w:type="spellEnd"/>
      <w:r w:rsidRPr="00E46FA7">
        <w:rPr>
          <w:rFonts w:ascii="Times New Roman" w:hAnsi="Times New Roman"/>
          <w:sz w:val="24"/>
          <w:szCs w:val="24"/>
        </w:rPr>
        <w:t xml:space="preserve">, S. A., Eichenberger, E. M., Shah, P. P., </w:t>
      </w:r>
      <w:proofErr w:type="spellStart"/>
      <w:r w:rsidRPr="00E46FA7">
        <w:rPr>
          <w:rFonts w:ascii="Times New Roman" w:hAnsi="Times New Roman"/>
          <w:sz w:val="24"/>
          <w:szCs w:val="24"/>
        </w:rPr>
        <w:t>Carugati</w:t>
      </w:r>
      <w:proofErr w:type="spellEnd"/>
      <w:r w:rsidRPr="00E46FA7">
        <w:rPr>
          <w:rFonts w:ascii="Times New Roman" w:hAnsi="Times New Roman"/>
          <w:sz w:val="24"/>
          <w:szCs w:val="24"/>
        </w:rPr>
        <w:t>, M., Holland, T. L., &amp; Fowler, V. G. (2019).</w:t>
      </w:r>
      <w:r w:rsidRPr="00E46FA7">
        <w:rPr>
          <w:rFonts w:ascii="Times New Roman" w:hAnsi="Times New Roman"/>
          <w:sz w:val="24"/>
          <w:szCs w:val="24"/>
        </w:rPr>
        <w:br/>
        <w:t xml:space="preserve">Methicillin-resistant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An overview of basic and clinical research. </w:t>
      </w:r>
      <w:r w:rsidRPr="00E46FA7">
        <w:rPr>
          <w:rFonts w:ascii="Times New Roman" w:hAnsi="Times New Roman"/>
          <w:i/>
          <w:iCs/>
          <w:sz w:val="24"/>
          <w:szCs w:val="24"/>
        </w:rPr>
        <w:t>Nature Reviews Microbiology, 17</w:t>
      </w:r>
      <w:r w:rsidRPr="00E46FA7">
        <w:rPr>
          <w:rFonts w:ascii="Times New Roman" w:hAnsi="Times New Roman"/>
          <w:sz w:val="24"/>
          <w:szCs w:val="24"/>
        </w:rPr>
        <w:t>(4), 203–218.</w:t>
      </w:r>
      <w:r w:rsidRPr="00E46FA7">
        <w:rPr>
          <w:rFonts w:ascii="Times New Roman" w:hAnsi="Times New Roman"/>
          <w:sz w:val="24"/>
          <w:szCs w:val="24"/>
        </w:rPr>
        <w:br/>
        <w:t>https://doi.org/10.1038/s41579-018-0147-4</w:t>
      </w:r>
    </w:p>
    <w:p w14:paraId="3DBDC812" w14:textId="770A9743"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World Health Organization. (2013).</w:t>
      </w:r>
      <w:r w:rsidRPr="00885E5A">
        <w:rPr>
          <w:rFonts w:ascii="Times New Roman" w:hAnsi="Times New Roman"/>
          <w:sz w:val="24"/>
          <w:szCs w:val="24"/>
        </w:rPr>
        <w:t xml:space="preserve"> </w:t>
      </w:r>
      <w:r w:rsidRPr="00E46FA7">
        <w:rPr>
          <w:rFonts w:ascii="Times New Roman" w:hAnsi="Times New Roman"/>
          <w:i/>
          <w:iCs/>
          <w:sz w:val="24"/>
          <w:szCs w:val="24"/>
        </w:rPr>
        <w:t>WHO traditional medicine strategy 2014–2023</w:t>
      </w:r>
      <w:r w:rsidRPr="00E46FA7">
        <w:rPr>
          <w:rFonts w:ascii="Times New Roman" w:hAnsi="Times New Roman"/>
          <w:sz w:val="24"/>
          <w:szCs w:val="24"/>
        </w:rPr>
        <w:t>. WHO Press.</w:t>
      </w:r>
    </w:p>
    <w:p w14:paraId="34B13C2C" w14:textId="4E9C4EAA"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World Health Organization. (2021).</w:t>
      </w:r>
      <w:r w:rsidRPr="00885E5A">
        <w:rPr>
          <w:rFonts w:ascii="Times New Roman" w:hAnsi="Times New Roman"/>
          <w:sz w:val="24"/>
          <w:szCs w:val="24"/>
        </w:rPr>
        <w:t xml:space="preserve"> </w:t>
      </w:r>
      <w:r w:rsidRPr="00E46FA7">
        <w:rPr>
          <w:rFonts w:ascii="Times New Roman" w:hAnsi="Times New Roman"/>
          <w:i/>
          <w:iCs/>
          <w:sz w:val="24"/>
          <w:szCs w:val="24"/>
        </w:rPr>
        <w:t>Global antimicrobial resistance and use surveillance system (GLASS) report 2021</w:t>
      </w:r>
      <w:r w:rsidRPr="00E46FA7">
        <w:rPr>
          <w:rFonts w:ascii="Times New Roman" w:hAnsi="Times New Roman"/>
          <w:sz w:val="24"/>
          <w:szCs w:val="24"/>
        </w:rPr>
        <w:t>. WHO Press.</w:t>
      </w:r>
    </w:p>
    <w:sectPr w:rsidR="00765102" w:rsidRPr="00E46F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02BA6" w14:textId="77777777" w:rsidR="00464B77" w:rsidRDefault="00464B77" w:rsidP="004F5642">
      <w:pPr>
        <w:spacing w:after="0" w:line="240" w:lineRule="auto"/>
      </w:pPr>
      <w:r>
        <w:separator/>
      </w:r>
    </w:p>
  </w:endnote>
  <w:endnote w:type="continuationSeparator" w:id="0">
    <w:p w14:paraId="26B588AD" w14:textId="77777777" w:rsidR="00464B77" w:rsidRDefault="00464B77" w:rsidP="004F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CJK SC">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4F51" w14:textId="77777777" w:rsidR="00E827EA" w:rsidRDefault="00E8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6978" w14:textId="77777777" w:rsidR="00E827EA" w:rsidRDefault="00E82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BDE5" w14:textId="77777777" w:rsidR="00E827EA" w:rsidRDefault="00E8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9D96C" w14:textId="77777777" w:rsidR="00464B77" w:rsidRDefault="00464B77" w:rsidP="004F5642">
      <w:pPr>
        <w:spacing w:after="0" w:line="240" w:lineRule="auto"/>
      </w:pPr>
      <w:r>
        <w:separator/>
      </w:r>
    </w:p>
  </w:footnote>
  <w:footnote w:type="continuationSeparator" w:id="0">
    <w:p w14:paraId="556290E3" w14:textId="77777777" w:rsidR="00464B77" w:rsidRDefault="00464B77" w:rsidP="004F5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8E20" w14:textId="31137FC4" w:rsidR="00E827EA" w:rsidRDefault="00464B77">
    <w:pPr>
      <w:pStyle w:val="Header"/>
    </w:pPr>
    <w:r>
      <w:rPr>
        <w:noProof/>
      </w:rPr>
      <w:pict w14:anchorId="0962D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533F" w14:textId="4139CF4D" w:rsidR="00E827EA" w:rsidRDefault="00464B77">
    <w:pPr>
      <w:pStyle w:val="Header"/>
    </w:pPr>
    <w:r>
      <w:rPr>
        <w:noProof/>
      </w:rPr>
      <w:pict w14:anchorId="11674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568C" w14:textId="2689B4CE" w:rsidR="00E827EA" w:rsidRDefault="00464B77">
    <w:pPr>
      <w:pStyle w:val="Header"/>
    </w:pPr>
    <w:r>
      <w:rPr>
        <w:noProof/>
      </w:rPr>
      <w:pict w14:anchorId="3C446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774AB95E"/>
    <w:lvl w:ilvl="0" w:tplc="EA509D56">
      <w:start w:val="1"/>
      <w:numFmt w:val="lowerRoman"/>
      <w:lvlText w:val="%1."/>
      <w:lvlJc w:val="right"/>
      <w:pPr>
        <w:ind w:left="360" w:hanging="360"/>
      </w:pPr>
      <w:rPr>
        <w:rFonts w:ascii="Times New Roman" w:eastAsia="Times New Roman" w:hAnsi="Times New Roman"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4E6832"/>
    <w:multiLevelType w:val="hybridMultilevel"/>
    <w:tmpl w:val="C2CC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20F1E"/>
    <w:multiLevelType w:val="multilevel"/>
    <w:tmpl w:val="32462328"/>
    <w:lvl w:ilvl="0">
      <w:start w:val="3"/>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82F00E5"/>
    <w:multiLevelType w:val="multilevel"/>
    <w:tmpl w:val="E9946B90"/>
    <w:lvl w:ilvl="0">
      <w:start w:val="1"/>
      <w:numFmt w:val="decimal"/>
      <w:lvlText w:val="%1."/>
      <w:lvlJc w:val="left"/>
      <w:pPr>
        <w:ind w:left="720" w:hanging="360"/>
      </w:pPr>
      <w:rPr>
        <w:rFonts w:eastAsia="Noto Serif CJK SC" w:hint="default"/>
      </w:rPr>
    </w:lvl>
    <w:lvl w:ilvl="1">
      <w:start w:val="1"/>
      <w:numFmt w:val="decimal"/>
      <w:isLgl/>
      <w:lvlText w:val="%1.%2"/>
      <w:lvlJc w:val="left"/>
      <w:pPr>
        <w:ind w:left="4020" w:hanging="360"/>
      </w:pPr>
      <w:rPr>
        <w:rFonts w:hint="default"/>
      </w:rPr>
    </w:lvl>
    <w:lvl w:ilvl="2">
      <w:start w:val="1"/>
      <w:numFmt w:val="decimal"/>
      <w:isLgl/>
      <w:lvlText w:val="%1.%2.%3"/>
      <w:lvlJc w:val="left"/>
      <w:pPr>
        <w:ind w:left="7680" w:hanging="720"/>
      </w:pPr>
      <w:rPr>
        <w:rFonts w:hint="default"/>
      </w:rPr>
    </w:lvl>
    <w:lvl w:ilvl="3">
      <w:start w:val="1"/>
      <w:numFmt w:val="decimal"/>
      <w:isLgl/>
      <w:lvlText w:val="%1.%2.%3.%4"/>
      <w:lvlJc w:val="left"/>
      <w:pPr>
        <w:ind w:left="10980" w:hanging="720"/>
      </w:pPr>
      <w:rPr>
        <w:rFonts w:hint="default"/>
      </w:rPr>
    </w:lvl>
    <w:lvl w:ilvl="4">
      <w:start w:val="1"/>
      <w:numFmt w:val="decimal"/>
      <w:isLgl/>
      <w:lvlText w:val="%1.%2.%3.%4.%5"/>
      <w:lvlJc w:val="left"/>
      <w:pPr>
        <w:ind w:left="14640" w:hanging="1080"/>
      </w:pPr>
      <w:rPr>
        <w:rFonts w:hint="default"/>
      </w:rPr>
    </w:lvl>
    <w:lvl w:ilvl="5">
      <w:start w:val="1"/>
      <w:numFmt w:val="decimal"/>
      <w:isLgl/>
      <w:lvlText w:val="%1.%2.%3.%4.%5.%6"/>
      <w:lvlJc w:val="left"/>
      <w:pPr>
        <w:ind w:left="17940" w:hanging="1080"/>
      </w:pPr>
      <w:rPr>
        <w:rFonts w:hint="default"/>
      </w:rPr>
    </w:lvl>
    <w:lvl w:ilvl="6">
      <w:start w:val="1"/>
      <w:numFmt w:val="decimal"/>
      <w:isLgl/>
      <w:lvlText w:val="%1.%2.%3.%4.%5.%6.%7"/>
      <w:lvlJc w:val="left"/>
      <w:pPr>
        <w:ind w:left="21600" w:hanging="1440"/>
      </w:pPr>
      <w:rPr>
        <w:rFonts w:hint="default"/>
      </w:rPr>
    </w:lvl>
    <w:lvl w:ilvl="7">
      <w:start w:val="1"/>
      <w:numFmt w:val="decimal"/>
      <w:isLgl/>
      <w:lvlText w:val="%1.%2.%3.%4.%5.%6.%7.%8"/>
      <w:lvlJc w:val="left"/>
      <w:pPr>
        <w:ind w:left="24900" w:hanging="1440"/>
      </w:pPr>
      <w:rPr>
        <w:rFonts w:hint="default"/>
      </w:rPr>
    </w:lvl>
    <w:lvl w:ilvl="8">
      <w:start w:val="1"/>
      <w:numFmt w:val="decimal"/>
      <w:isLgl/>
      <w:lvlText w:val="%1.%2.%3.%4.%5.%6.%7.%8.%9"/>
      <w:lvlJc w:val="left"/>
      <w:pPr>
        <w:ind w:left="28560" w:hanging="1800"/>
      </w:pPr>
      <w:rPr>
        <w:rFonts w:hint="default"/>
      </w:rPr>
    </w:lvl>
  </w:abstractNum>
  <w:abstractNum w:abstractNumId="4" w15:restartNumberingAfterBreak="0">
    <w:nsid w:val="3A383687"/>
    <w:multiLevelType w:val="multilevel"/>
    <w:tmpl w:val="417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E54A2"/>
    <w:multiLevelType w:val="multilevel"/>
    <w:tmpl w:val="428679D6"/>
    <w:lvl w:ilvl="0">
      <w:start w:val="1"/>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6" w15:restartNumberingAfterBreak="0">
    <w:nsid w:val="532E50F1"/>
    <w:multiLevelType w:val="hybridMultilevel"/>
    <w:tmpl w:val="26643838"/>
    <w:lvl w:ilvl="0" w:tplc="0409000F">
      <w:start w:val="1"/>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D1B09"/>
    <w:multiLevelType w:val="multilevel"/>
    <w:tmpl w:val="A9B64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35C80"/>
    <w:multiLevelType w:val="multilevel"/>
    <w:tmpl w:val="B9D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329E3"/>
    <w:multiLevelType w:val="multilevel"/>
    <w:tmpl w:val="65E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F5ACD"/>
    <w:multiLevelType w:val="multilevel"/>
    <w:tmpl w:val="64800DA0"/>
    <w:lvl w:ilvl="0">
      <w:start w:val="1"/>
      <w:numFmt w:val="decimal"/>
      <w:lvlText w:val="%1.0"/>
      <w:lvlJc w:val="left"/>
      <w:pPr>
        <w:ind w:left="780" w:hanging="600"/>
      </w:pPr>
      <w:rPr>
        <w:rFonts w:hint="default"/>
      </w:rPr>
    </w:lvl>
    <w:lvl w:ilvl="1">
      <w:start w:val="1"/>
      <w:numFmt w:val="decimal"/>
      <w:lvlText w:val="%1.%2"/>
      <w:lvlJc w:val="left"/>
      <w:pPr>
        <w:ind w:left="1500" w:hanging="60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11" w15:restartNumberingAfterBreak="0">
    <w:nsid w:val="7AF60BDD"/>
    <w:multiLevelType w:val="multilevel"/>
    <w:tmpl w:val="8818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3"/>
  </w:num>
  <w:num w:numId="4">
    <w:abstractNumId w:val="0"/>
  </w:num>
  <w:num w:numId="5">
    <w:abstractNumId w:val="6"/>
  </w:num>
  <w:num w:numId="6">
    <w:abstractNumId w:val="1"/>
  </w:num>
  <w:num w:numId="7">
    <w:abstractNumId w:val="2"/>
  </w:num>
  <w:num w:numId="8">
    <w:abstractNumId w:val="9"/>
  </w:num>
  <w:num w:numId="9">
    <w:abstractNumId w:val="11"/>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C1"/>
    <w:rsid w:val="00026CE3"/>
    <w:rsid w:val="000444C0"/>
    <w:rsid w:val="000606C9"/>
    <w:rsid w:val="000815D1"/>
    <w:rsid w:val="00092183"/>
    <w:rsid w:val="0009401E"/>
    <w:rsid w:val="000E0B93"/>
    <w:rsid w:val="000E5F4D"/>
    <w:rsid w:val="000E685D"/>
    <w:rsid w:val="000E6C31"/>
    <w:rsid w:val="000E7364"/>
    <w:rsid w:val="000F3C5A"/>
    <w:rsid w:val="000F651C"/>
    <w:rsid w:val="001410C2"/>
    <w:rsid w:val="001561D8"/>
    <w:rsid w:val="00172C91"/>
    <w:rsid w:val="00192D89"/>
    <w:rsid w:val="001A2EE8"/>
    <w:rsid w:val="001D0A95"/>
    <w:rsid w:val="001F07A9"/>
    <w:rsid w:val="00204D0E"/>
    <w:rsid w:val="00204E5E"/>
    <w:rsid w:val="002073ED"/>
    <w:rsid w:val="0021184C"/>
    <w:rsid w:val="0022658C"/>
    <w:rsid w:val="00233B37"/>
    <w:rsid w:val="00245FDE"/>
    <w:rsid w:val="002513AD"/>
    <w:rsid w:val="00276464"/>
    <w:rsid w:val="002779B2"/>
    <w:rsid w:val="00287D46"/>
    <w:rsid w:val="002E5A44"/>
    <w:rsid w:val="003065C5"/>
    <w:rsid w:val="003118BA"/>
    <w:rsid w:val="00311EA2"/>
    <w:rsid w:val="003138D4"/>
    <w:rsid w:val="003259E2"/>
    <w:rsid w:val="0032611D"/>
    <w:rsid w:val="0033392D"/>
    <w:rsid w:val="00335272"/>
    <w:rsid w:val="003449BE"/>
    <w:rsid w:val="00345FD4"/>
    <w:rsid w:val="00371CCA"/>
    <w:rsid w:val="00375ED3"/>
    <w:rsid w:val="003828E4"/>
    <w:rsid w:val="0038575A"/>
    <w:rsid w:val="00393126"/>
    <w:rsid w:val="003C369B"/>
    <w:rsid w:val="003E58DA"/>
    <w:rsid w:val="003F2123"/>
    <w:rsid w:val="00416396"/>
    <w:rsid w:val="00424594"/>
    <w:rsid w:val="00436C41"/>
    <w:rsid w:val="004371F2"/>
    <w:rsid w:val="00442F58"/>
    <w:rsid w:val="0045532F"/>
    <w:rsid w:val="00464B77"/>
    <w:rsid w:val="00467D4D"/>
    <w:rsid w:val="00470612"/>
    <w:rsid w:val="004E41E0"/>
    <w:rsid w:val="004E598A"/>
    <w:rsid w:val="004F25DF"/>
    <w:rsid w:val="004F5642"/>
    <w:rsid w:val="00503A94"/>
    <w:rsid w:val="005061C1"/>
    <w:rsid w:val="005118A2"/>
    <w:rsid w:val="005165F2"/>
    <w:rsid w:val="00533CE3"/>
    <w:rsid w:val="00537F73"/>
    <w:rsid w:val="00542C12"/>
    <w:rsid w:val="005448DF"/>
    <w:rsid w:val="00567C11"/>
    <w:rsid w:val="005704D3"/>
    <w:rsid w:val="005850F0"/>
    <w:rsid w:val="005A3F3D"/>
    <w:rsid w:val="006027EC"/>
    <w:rsid w:val="0060325E"/>
    <w:rsid w:val="0061179E"/>
    <w:rsid w:val="0062713A"/>
    <w:rsid w:val="00631A5A"/>
    <w:rsid w:val="00647CC8"/>
    <w:rsid w:val="00670B67"/>
    <w:rsid w:val="006722CB"/>
    <w:rsid w:val="00676887"/>
    <w:rsid w:val="0069071A"/>
    <w:rsid w:val="006A0B27"/>
    <w:rsid w:val="006A1507"/>
    <w:rsid w:val="006B472C"/>
    <w:rsid w:val="006D0716"/>
    <w:rsid w:val="006E000D"/>
    <w:rsid w:val="006E7D63"/>
    <w:rsid w:val="006F4E58"/>
    <w:rsid w:val="00701091"/>
    <w:rsid w:val="007430EB"/>
    <w:rsid w:val="00765102"/>
    <w:rsid w:val="00782F6C"/>
    <w:rsid w:val="007943E5"/>
    <w:rsid w:val="007A2F65"/>
    <w:rsid w:val="007B2F13"/>
    <w:rsid w:val="007F5294"/>
    <w:rsid w:val="008203A1"/>
    <w:rsid w:val="00832A32"/>
    <w:rsid w:val="00833627"/>
    <w:rsid w:val="0085533E"/>
    <w:rsid w:val="00861BE6"/>
    <w:rsid w:val="008658AD"/>
    <w:rsid w:val="00885E5A"/>
    <w:rsid w:val="00896E54"/>
    <w:rsid w:val="008B3EBB"/>
    <w:rsid w:val="008D0DD0"/>
    <w:rsid w:val="008D7E04"/>
    <w:rsid w:val="008E0901"/>
    <w:rsid w:val="009027F4"/>
    <w:rsid w:val="009064A2"/>
    <w:rsid w:val="0092021F"/>
    <w:rsid w:val="009230BC"/>
    <w:rsid w:val="00947082"/>
    <w:rsid w:val="009604D4"/>
    <w:rsid w:val="0096410F"/>
    <w:rsid w:val="00973B94"/>
    <w:rsid w:val="00984A7B"/>
    <w:rsid w:val="00985BAD"/>
    <w:rsid w:val="0099400F"/>
    <w:rsid w:val="009A5F56"/>
    <w:rsid w:val="009E77AE"/>
    <w:rsid w:val="00A04C3A"/>
    <w:rsid w:val="00A22F8B"/>
    <w:rsid w:val="00A252D7"/>
    <w:rsid w:val="00A35538"/>
    <w:rsid w:val="00A36A93"/>
    <w:rsid w:val="00A37DA8"/>
    <w:rsid w:val="00A52459"/>
    <w:rsid w:val="00A64A35"/>
    <w:rsid w:val="00A71EE2"/>
    <w:rsid w:val="00A73FEF"/>
    <w:rsid w:val="00A76E40"/>
    <w:rsid w:val="00A77203"/>
    <w:rsid w:val="00A818C6"/>
    <w:rsid w:val="00A855F1"/>
    <w:rsid w:val="00AB00C3"/>
    <w:rsid w:val="00AE6A41"/>
    <w:rsid w:val="00AF068C"/>
    <w:rsid w:val="00B106C1"/>
    <w:rsid w:val="00B55DB2"/>
    <w:rsid w:val="00B70F36"/>
    <w:rsid w:val="00B737D9"/>
    <w:rsid w:val="00B75F08"/>
    <w:rsid w:val="00BC0696"/>
    <w:rsid w:val="00BF6EEA"/>
    <w:rsid w:val="00C040B5"/>
    <w:rsid w:val="00C21E7A"/>
    <w:rsid w:val="00C362EC"/>
    <w:rsid w:val="00C3730A"/>
    <w:rsid w:val="00C37A4C"/>
    <w:rsid w:val="00C64118"/>
    <w:rsid w:val="00C66099"/>
    <w:rsid w:val="00C71D3A"/>
    <w:rsid w:val="00C86EED"/>
    <w:rsid w:val="00C9026F"/>
    <w:rsid w:val="00C973B5"/>
    <w:rsid w:val="00CA5A98"/>
    <w:rsid w:val="00CB16E6"/>
    <w:rsid w:val="00CC4934"/>
    <w:rsid w:val="00CD0DC2"/>
    <w:rsid w:val="00CD5C10"/>
    <w:rsid w:val="00D00092"/>
    <w:rsid w:val="00D0150D"/>
    <w:rsid w:val="00D0189A"/>
    <w:rsid w:val="00D5616B"/>
    <w:rsid w:val="00D67D6C"/>
    <w:rsid w:val="00D74246"/>
    <w:rsid w:val="00DB2408"/>
    <w:rsid w:val="00DC506F"/>
    <w:rsid w:val="00DC7D8D"/>
    <w:rsid w:val="00DD484F"/>
    <w:rsid w:val="00DD596B"/>
    <w:rsid w:val="00DE3F10"/>
    <w:rsid w:val="00DF571B"/>
    <w:rsid w:val="00E028BF"/>
    <w:rsid w:val="00E130DA"/>
    <w:rsid w:val="00E25A2F"/>
    <w:rsid w:val="00E46FA7"/>
    <w:rsid w:val="00E7392B"/>
    <w:rsid w:val="00E827EA"/>
    <w:rsid w:val="00EA6FF3"/>
    <w:rsid w:val="00EB51AF"/>
    <w:rsid w:val="00EF29FB"/>
    <w:rsid w:val="00F02ACA"/>
    <w:rsid w:val="00F105F9"/>
    <w:rsid w:val="00F12256"/>
    <w:rsid w:val="00F27B3B"/>
    <w:rsid w:val="00F37B1E"/>
    <w:rsid w:val="00F4499D"/>
    <w:rsid w:val="00F54927"/>
    <w:rsid w:val="00F55750"/>
    <w:rsid w:val="00F60029"/>
    <w:rsid w:val="00F659BA"/>
    <w:rsid w:val="00F70E09"/>
    <w:rsid w:val="00F74B5E"/>
    <w:rsid w:val="00F74C16"/>
    <w:rsid w:val="00FB70DE"/>
    <w:rsid w:val="00FB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930D17"/>
  <w15:chartTrackingRefBased/>
  <w15:docId w15:val="{63D2D8F5-4750-4DCF-92A8-86D60CD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6C1"/>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01E"/>
    <w:pPr>
      <w:ind w:left="720"/>
      <w:contextualSpacing/>
    </w:pPr>
  </w:style>
  <w:style w:type="paragraph" w:styleId="Header">
    <w:name w:val="header"/>
    <w:basedOn w:val="Normal"/>
    <w:link w:val="HeaderChar"/>
    <w:uiPriority w:val="99"/>
    <w:unhideWhenUsed/>
    <w:rsid w:val="004F5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642"/>
    <w:rPr>
      <w:rFonts w:ascii="Calibri" w:eastAsia="SimSun" w:hAnsi="Calibri" w:cs="Times New Roman"/>
      <w:lang w:eastAsia="zh-CN"/>
    </w:rPr>
  </w:style>
  <w:style w:type="paragraph" w:styleId="Footer">
    <w:name w:val="footer"/>
    <w:basedOn w:val="Normal"/>
    <w:link w:val="FooterChar"/>
    <w:uiPriority w:val="99"/>
    <w:unhideWhenUsed/>
    <w:rsid w:val="004F5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42"/>
    <w:rPr>
      <w:rFonts w:ascii="Calibri" w:eastAsia="SimSun" w:hAnsi="Calibri" w:cs="Times New Roman"/>
      <w:lang w:eastAsia="zh-CN"/>
    </w:rPr>
  </w:style>
  <w:style w:type="character" w:styleId="Hyperlink">
    <w:name w:val="Hyperlink"/>
    <w:rsid w:val="00AF068C"/>
    <w:rPr>
      <w:rFonts w:ascii="Calibri" w:eastAsia="SimSun" w:hAnsi="Calibri" w:cs="Times New Roman"/>
      <w:color w:val="0000FF"/>
      <w:sz w:val="21"/>
      <w:u w:val="single"/>
    </w:rPr>
  </w:style>
  <w:style w:type="character" w:styleId="UnresolvedMention">
    <w:name w:val="Unresolved Mention"/>
    <w:basedOn w:val="DefaultParagraphFont"/>
    <w:uiPriority w:val="99"/>
    <w:semiHidden/>
    <w:unhideWhenUsed/>
    <w:rsid w:val="00E46FA7"/>
    <w:rPr>
      <w:color w:val="605E5C"/>
      <w:shd w:val="clear" w:color="auto" w:fill="E1DFDD"/>
    </w:rPr>
  </w:style>
  <w:style w:type="character" w:styleId="FollowedHyperlink">
    <w:name w:val="FollowedHyperlink"/>
    <w:basedOn w:val="DefaultParagraphFont"/>
    <w:uiPriority w:val="99"/>
    <w:semiHidden/>
    <w:unhideWhenUsed/>
    <w:rsid w:val="00470612"/>
    <w:rPr>
      <w:color w:val="954F72" w:themeColor="followedHyperlink"/>
      <w:u w:val="single"/>
    </w:rPr>
  </w:style>
  <w:style w:type="table" w:styleId="TableGrid">
    <w:name w:val="Table Grid"/>
    <w:basedOn w:val="TableNormal"/>
    <w:uiPriority w:val="39"/>
    <w:rsid w:val="008D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8D0D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2E5A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9-0691.2011.03570.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nrmicro343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rm/2025/v19i745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43094-024-0062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gomit.id/jnpdd/article/view/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18</Pages>
  <Words>6269</Words>
  <Characters>35735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45</cp:revision>
  <dcterms:created xsi:type="dcterms:W3CDTF">2025-12-20T16:13:00Z</dcterms:created>
  <dcterms:modified xsi:type="dcterms:W3CDTF">2026-01-19T06:39:00Z</dcterms:modified>
</cp:coreProperties>
</file>