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07C6" w14:textId="77777777" w:rsidR="00627E24" w:rsidRPr="00627E24" w:rsidRDefault="00627E24" w:rsidP="00FB5724">
      <w:pPr>
        <w:spacing w:before="100" w:beforeAutospacing="1" w:after="100" w:afterAutospacing="1" w:line="240" w:lineRule="auto"/>
        <w:ind w:left="0" w:right="0" w:firstLine="0"/>
        <w:outlineLvl w:val="2"/>
        <w:rPr>
          <w:b/>
          <w:bCs/>
          <w:color w:val="auto"/>
          <w:kern w:val="0"/>
          <w:sz w:val="36"/>
          <w:szCs w:val="27"/>
          <w:lang w:val="en-US" w:eastAsia="en-US"/>
        </w:rPr>
      </w:pPr>
      <w:r w:rsidRPr="00627E24">
        <w:rPr>
          <w:b/>
          <w:sz w:val="28"/>
          <w:highlight w:val="yellow"/>
        </w:rPr>
        <w:t>Periodontal</w:t>
      </w:r>
      <w:r w:rsidRPr="00627E24">
        <w:rPr>
          <w:b/>
          <w:spacing w:val="-5"/>
          <w:sz w:val="28"/>
          <w:highlight w:val="yellow"/>
        </w:rPr>
        <w:t xml:space="preserve"> </w:t>
      </w:r>
      <w:r w:rsidRPr="00627E24">
        <w:rPr>
          <w:b/>
          <w:sz w:val="28"/>
          <w:highlight w:val="yellow"/>
        </w:rPr>
        <w:t>Phenotype</w:t>
      </w:r>
      <w:r w:rsidRPr="00627E24">
        <w:rPr>
          <w:b/>
          <w:spacing w:val="-4"/>
          <w:sz w:val="28"/>
          <w:highlight w:val="yellow"/>
        </w:rPr>
        <w:t xml:space="preserve"> </w:t>
      </w:r>
      <w:r w:rsidRPr="00627E24">
        <w:rPr>
          <w:b/>
          <w:sz w:val="28"/>
          <w:highlight w:val="yellow"/>
        </w:rPr>
        <w:t>and</w:t>
      </w:r>
      <w:r w:rsidRPr="00627E24">
        <w:rPr>
          <w:b/>
          <w:spacing w:val="-8"/>
          <w:sz w:val="28"/>
          <w:highlight w:val="yellow"/>
        </w:rPr>
        <w:t xml:space="preserve"> </w:t>
      </w:r>
      <w:r w:rsidRPr="00627E24">
        <w:rPr>
          <w:b/>
          <w:sz w:val="28"/>
          <w:highlight w:val="yellow"/>
        </w:rPr>
        <w:t>Gingival</w:t>
      </w:r>
      <w:r w:rsidRPr="00627E24">
        <w:rPr>
          <w:b/>
          <w:spacing w:val="-5"/>
          <w:sz w:val="28"/>
          <w:highlight w:val="yellow"/>
        </w:rPr>
        <w:t xml:space="preserve"> </w:t>
      </w:r>
      <w:r w:rsidRPr="00627E24">
        <w:rPr>
          <w:b/>
          <w:sz w:val="28"/>
          <w:highlight w:val="yellow"/>
        </w:rPr>
        <w:t>Biotype:</w:t>
      </w:r>
      <w:r w:rsidRPr="00627E24">
        <w:rPr>
          <w:b/>
          <w:spacing w:val="-4"/>
          <w:sz w:val="28"/>
          <w:highlight w:val="yellow"/>
        </w:rPr>
        <w:t xml:space="preserve"> </w:t>
      </w:r>
      <w:r w:rsidRPr="00627E24">
        <w:rPr>
          <w:b/>
          <w:sz w:val="28"/>
          <w:highlight w:val="yellow"/>
        </w:rPr>
        <w:t>Clinical</w:t>
      </w:r>
      <w:r w:rsidRPr="00627E24">
        <w:rPr>
          <w:b/>
          <w:spacing w:val="-5"/>
          <w:sz w:val="28"/>
          <w:highlight w:val="yellow"/>
        </w:rPr>
        <w:t xml:space="preserve"> </w:t>
      </w:r>
      <w:r w:rsidRPr="00627E24">
        <w:rPr>
          <w:b/>
          <w:sz w:val="28"/>
          <w:highlight w:val="yellow"/>
        </w:rPr>
        <w:t>Implications</w:t>
      </w:r>
      <w:r w:rsidRPr="00627E24">
        <w:rPr>
          <w:b/>
          <w:spacing w:val="-5"/>
          <w:sz w:val="28"/>
          <w:highlight w:val="yellow"/>
        </w:rPr>
        <w:t xml:space="preserve"> </w:t>
      </w:r>
      <w:r w:rsidRPr="00627E24">
        <w:rPr>
          <w:b/>
          <w:sz w:val="28"/>
          <w:highlight w:val="yellow"/>
        </w:rPr>
        <w:t>for</w:t>
      </w:r>
      <w:r w:rsidRPr="00627E24">
        <w:rPr>
          <w:b/>
          <w:spacing w:val="-4"/>
          <w:sz w:val="28"/>
          <w:highlight w:val="yellow"/>
        </w:rPr>
        <w:t xml:space="preserve"> </w:t>
      </w:r>
      <w:r w:rsidRPr="00627E24">
        <w:rPr>
          <w:b/>
          <w:sz w:val="28"/>
          <w:highlight w:val="yellow"/>
        </w:rPr>
        <w:t>Risk</w:t>
      </w:r>
      <w:r w:rsidRPr="00627E24">
        <w:rPr>
          <w:b/>
          <w:spacing w:val="-3"/>
          <w:sz w:val="28"/>
          <w:highlight w:val="yellow"/>
        </w:rPr>
        <w:t xml:space="preserve"> </w:t>
      </w:r>
      <w:r w:rsidRPr="00627E24">
        <w:rPr>
          <w:b/>
          <w:sz w:val="28"/>
          <w:highlight w:val="yellow"/>
        </w:rPr>
        <w:t>Assessment</w:t>
      </w:r>
      <w:r w:rsidRPr="00627E24">
        <w:rPr>
          <w:b/>
          <w:spacing w:val="-4"/>
          <w:sz w:val="28"/>
          <w:highlight w:val="yellow"/>
        </w:rPr>
        <w:t xml:space="preserve"> </w:t>
      </w:r>
      <w:r w:rsidRPr="00627E24">
        <w:rPr>
          <w:b/>
          <w:sz w:val="28"/>
          <w:highlight w:val="yellow"/>
        </w:rPr>
        <w:t>and Personalized Therapy</w:t>
      </w:r>
      <w:r w:rsidRPr="00627E24">
        <w:rPr>
          <w:b/>
          <w:bCs/>
          <w:color w:val="auto"/>
          <w:kern w:val="0"/>
          <w:sz w:val="36"/>
          <w:szCs w:val="27"/>
          <w:lang w:val="en-US" w:eastAsia="en-US"/>
        </w:rPr>
        <w:t xml:space="preserve"> </w:t>
      </w:r>
    </w:p>
    <w:p w14:paraId="57F072D2" w14:textId="77777777" w:rsidR="00627E24" w:rsidRDefault="00627E24" w:rsidP="00FB5724">
      <w:pPr>
        <w:spacing w:before="100" w:beforeAutospacing="1" w:after="100" w:afterAutospacing="1" w:line="240" w:lineRule="auto"/>
        <w:ind w:left="0" w:right="0" w:firstLine="0"/>
        <w:outlineLvl w:val="2"/>
        <w:rPr>
          <w:b/>
          <w:bCs/>
          <w:color w:val="auto"/>
          <w:kern w:val="0"/>
          <w:sz w:val="27"/>
          <w:szCs w:val="27"/>
          <w:lang w:val="en-US" w:eastAsia="en-US"/>
        </w:rPr>
      </w:pPr>
    </w:p>
    <w:p w14:paraId="35159E1E" w14:textId="623CF784"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Abstract</w:t>
      </w:r>
    </w:p>
    <w:p w14:paraId="195FAD5B" w14:textId="084A2F95" w:rsidR="00B96BA2" w:rsidRPr="00FB5724" w:rsidRDefault="00B96BA2" w:rsidP="00FB5724">
      <w:r w:rsidRPr="00B96BA2">
        <w:rPr>
          <w:color w:val="auto"/>
          <w:kern w:val="0"/>
          <w:lang w:val="en-US" w:eastAsia="en-US"/>
        </w:rPr>
        <w:t xml:space="preserve">Gingival biotype—historically described as “thin” or “thick”—has evolved into the broader concept of periodontal phenotype, integrating gingival thickness, keratinized tissue dimensions, and the underlying bone morphotype. This shift reflects growing evidence that soft tissue thickness and architecture are not merely anatomic descriptors but clinically meaningful modifiers of periodontal stability, aesthetic outcomes, and complication risk across preventive, surgical, restorative, orthodontic, and implant therapies. Thin phenotypes </w:t>
      </w:r>
      <w:r w:rsidR="00D35449" w:rsidRPr="00FB5724">
        <w:rPr>
          <w:sz w:val="22"/>
          <w:szCs w:val="20"/>
          <w:highlight w:val="yellow"/>
        </w:rPr>
        <w:t>ha</w:t>
      </w:r>
      <w:r w:rsidR="00D35449">
        <w:rPr>
          <w:sz w:val="22"/>
          <w:szCs w:val="20"/>
          <w:highlight w:val="yellow"/>
        </w:rPr>
        <w:t>ve</w:t>
      </w:r>
      <w:r w:rsidR="00D35449" w:rsidRPr="00FB5724">
        <w:rPr>
          <w:sz w:val="22"/>
          <w:szCs w:val="20"/>
          <w:highlight w:val="yellow"/>
        </w:rPr>
        <w:t xml:space="preserve"> </w:t>
      </w:r>
      <w:r w:rsidR="00FB5724" w:rsidRPr="00FB5724">
        <w:rPr>
          <w:sz w:val="22"/>
          <w:szCs w:val="20"/>
          <w:highlight w:val="yellow"/>
        </w:rPr>
        <w:t>greater susceptibility to recession resulting from</w:t>
      </w:r>
      <w:r w:rsidRPr="00FB5724">
        <w:rPr>
          <w:color w:val="auto"/>
          <w:kern w:val="0"/>
          <w:sz w:val="28"/>
          <w:highlight w:val="yellow"/>
          <w:lang w:val="en-US" w:eastAsia="en-US"/>
        </w:rPr>
        <w:t xml:space="preserve"> </w:t>
      </w:r>
      <w:r w:rsidRPr="00B96BA2">
        <w:rPr>
          <w:color w:val="auto"/>
          <w:kern w:val="0"/>
          <w:lang w:val="en-US" w:eastAsia="en-US"/>
        </w:rPr>
        <w:t>inflammation or mechanical insult, greater vulnerability to post-surgical marginal tissue changes, and an increased likelihood of aesthetic compromise when restorative or implant components shine through delicate tissue. Conversely, thicker phenotypes often demonstrate greater resistance to recession, more predictable wound stability, and improved capacity to mask restorative materials. Importantly, phenotype is not fixed; contemporary mucogingival and peri-implant soft tissue augmentation strategies can enhance gingival thickness and keratinized tissue conditions, potentially reducing risk and improving long-term stability. This narrative review synthesizes current knowledge regarding definitions, assessment methods, biologic mechanisms, and evidence-based clinical implications of gingival biotype/periodontal phenotype, emphasizing practical decision-making and interdisciplinary treatment planning. The review highlights where phenotype-based personalization is supported by clinical studies and systematic reviews, where evidence remains indirect, and how emerging digital diagnostic workflows may standardize phenotype assessment in daily practice.</w:t>
      </w:r>
      <w:r w:rsidR="002D60C4">
        <w:rPr>
          <w:color w:val="auto"/>
          <w:kern w:val="0"/>
          <w:lang w:val="en-US" w:eastAsia="en-US"/>
        </w:rPr>
        <w:t xml:space="preserve"> </w:t>
      </w:r>
      <w:r w:rsidR="002D60C4" w:rsidRPr="002D60C4">
        <w:rPr>
          <w:color w:val="auto"/>
          <w:kern w:val="0"/>
          <w:highlight w:val="yellow"/>
          <w:lang w:val="en-US" w:eastAsia="en-US"/>
        </w:rPr>
        <w:t>Current evidence supports phenotype-informed treatment planning in mucogingival surgery and peri-implant care, especially where tissue thickness is linked to early remodeling and the stability of soft tissue outcomes.</w:t>
      </w:r>
    </w:p>
    <w:p w14:paraId="068A4857" w14:textId="02748832"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FB5724">
        <w:rPr>
          <w:b/>
          <w:bCs/>
          <w:color w:val="auto"/>
          <w:kern w:val="0"/>
          <w:highlight w:val="yellow"/>
          <w:lang w:val="en-US" w:eastAsia="en-US"/>
        </w:rPr>
        <w:t>Keywords:</w:t>
      </w:r>
      <w:r w:rsidRPr="00FB5724">
        <w:rPr>
          <w:color w:val="auto"/>
          <w:kern w:val="0"/>
          <w:highlight w:val="yellow"/>
          <w:lang w:val="en-US" w:eastAsia="en-US"/>
        </w:rPr>
        <w:t xml:space="preserve"> </w:t>
      </w:r>
      <w:r w:rsidR="00FB5724" w:rsidRPr="00FB5724">
        <w:rPr>
          <w:color w:val="auto"/>
          <w:kern w:val="0"/>
          <w:highlight w:val="yellow"/>
          <w:lang w:val="en-US" w:eastAsia="en-US"/>
        </w:rPr>
        <w:t>G</w:t>
      </w:r>
      <w:r w:rsidRPr="00FB5724">
        <w:rPr>
          <w:color w:val="auto"/>
          <w:kern w:val="0"/>
          <w:highlight w:val="yellow"/>
          <w:lang w:val="en-US" w:eastAsia="en-US"/>
        </w:rPr>
        <w:t>ingival biotype; periodontal phenotype; gingival thickness; mucogingival surgery; peri-implant phenotype; esthetic dentistry.</w:t>
      </w:r>
    </w:p>
    <w:p w14:paraId="0205E1A3" w14:textId="77777777" w:rsidR="00B96BA2" w:rsidRPr="00B96BA2" w:rsidRDefault="00B96BA2" w:rsidP="00FB5724">
      <w:pPr>
        <w:spacing w:after="0" w:line="240" w:lineRule="auto"/>
        <w:ind w:left="0" w:right="0" w:firstLine="0"/>
        <w:rPr>
          <w:color w:val="auto"/>
          <w:kern w:val="0"/>
          <w:lang w:val="en-US" w:eastAsia="en-US"/>
        </w:rPr>
      </w:pPr>
    </w:p>
    <w:p w14:paraId="36ADEE40"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1. Introduction</w:t>
      </w:r>
    </w:p>
    <w:p w14:paraId="4999E465" w14:textId="2F6BDB06" w:rsidR="00B96BA2" w:rsidRPr="00B96BA2" w:rsidRDefault="002D60C4" w:rsidP="00D01C65">
      <w:pPr>
        <w:spacing w:after="100" w:afterAutospacing="1" w:line="240" w:lineRule="auto"/>
        <w:ind w:left="0" w:right="0" w:firstLine="0"/>
        <w:rPr>
          <w:color w:val="auto"/>
          <w:kern w:val="0"/>
          <w:lang w:val="en-US" w:eastAsia="en-US"/>
        </w:rPr>
      </w:pPr>
      <w:r w:rsidRPr="00D01C65">
        <w:rPr>
          <w:rFonts w:ascii="Cambria" w:hAnsi="Cambria"/>
          <w:color w:val="1B1B1B"/>
          <w:sz w:val="22"/>
          <w:szCs w:val="28"/>
          <w:highlight w:val="yellow"/>
          <w:shd w:val="clear" w:color="auto" w:fill="FFFFFF"/>
        </w:rPr>
        <w:lastRenderedPageBreak/>
        <w:t>Accurate measurement of gingival dimensions is of paramount importance during periodontal, restorative, and orthodontic treatments and implant placement. </w:t>
      </w:r>
      <w:r w:rsidRPr="00D01C65">
        <w:rPr>
          <w:color w:val="auto"/>
          <w:kern w:val="0"/>
          <w:sz w:val="20"/>
          <w:highlight w:val="yellow"/>
          <w:lang w:val="en-US" w:eastAsia="en-US"/>
        </w:rPr>
        <w:t xml:space="preserve"> </w:t>
      </w:r>
      <w:r w:rsidRPr="00D01C65">
        <w:rPr>
          <w:rFonts w:ascii="Cambria" w:hAnsi="Cambria"/>
          <w:color w:val="1B1B1B"/>
          <w:sz w:val="22"/>
          <w:szCs w:val="28"/>
          <w:highlight w:val="yellow"/>
          <w:shd w:val="clear" w:color="auto" w:fill="FFFFFF"/>
        </w:rPr>
        <w:t>Gingival phenotype should be considered before and after treatment, as it may affect the treatment plan and tissue healing process. In areas with thin gingiva, there is a tendency for less root coverage after periodontal</w:t>
      </w:r>
      <w:r>
        <w:rPr>
          <w:rFonts w:ascii="Cambria" w:hAnsi="Cambria"/>
          <w:color w:val="1B1B1B"/>
          <w:sz w:val="22"/>
          <w:szCs w:val="28"/>
          <w:highlight w:val="yellow"/>
          <w:shd w:val="clear" w:color="auto" w:fill="FFFFFF"/>
        </w:rPr>
        <w:t xml:space="preserve"> </w:t>
      </w:r>
      <w:r w:rsidRPr="00D01C65">
        <w:rPr>
          <w:rFonts w:ascii="Cambria" w:hAnsi="Cambria"/>
          <w:color w:val="1B1B1B"/>
          <w:sz w:val="22"/>
          <w:szCs w:val="28"/>
          <w:highlight w:val="yellow"/>
          <w:shd w:val="clear" w:color="auto" w:fill="FFFFFF"/>
        </w:rPr>
        <w:t>surgery and more attachment loss after periodontal treatment</w:t>
      </w:r>
      <w:r>
        <w:rPr>
          <w:rFonts w:ascii="Cambria" w:hAnsi="Cambria"/>
          <w:color w:val="1B1B1B"/>
          <w:sz w:val="22"/>
          <w:szCs w:val="28"/>
          <w:highlight w:val="yellow"/>
          <w:shd w:val="clear" w:color="auto" w:fill="FFFFFF"/>
        </w:rPr>
        <w:t xml:space="preserve"> (</w:t>
      </w:r>
      <w:proofErr w:type="spellStart"/>
      <w:r w:rsidR="00754ECF" w:rsidRPr="00004CD6">
        <w:rPr>
          <w:rFonts w:ascii="Arial" w:hAnsi="Arial" w:cs="Arial"/>
          <w:color w:val="222222"/>
          <w:sz w:val="20"/>
          <w:szCs w:val="20"/>
          <w:highlight w:val="yellow"/>
          <w:shd w:val="clear" w:color="auto" w:fill="FFFFFF"/>
        </w:rPr>
        <w:t>Pashova-Tasseva</w:t>
      </w:r>
      <w:proofErr w:type="spellEnd"/>
      <w:r w:rsidR="00754ECF" w:rsidRPr="00754ECF">
        <w:rPr>
          <w:rFonts w:ascii="Consolas" w:hAnsi="Consolas"/>
          <w:color w:val="auto"/>
          <w:kern w:val="0"/>
          <w:sz w:val="20"/>
          <w:highlight w:val="yellow"/>
          <w:lang w:val="en-US" w:eastAsia="en-US"/>
        </w:rPr>
        <w:t xml:space="preserve"> </w:t>
      </w:r>
      <w:r w:rsidR="00754ECF">
        <w:rPr>
          <w:rFonts w:ascii="Consolas" w:hAnsi="Consolas"/>
          <w:color w:val="auto"/>
          <w:kern w:val="0"/>
          <w:sz w:val="20"/>
          <w:highlight w:val="yellow"/>
          <w:lang w:val="en-US" w:eastAsia="en-US"/>
        </w:rPr>
        <w:t xml:space="preserve">et al., 2023; </w:t>
      </w:r>
      <w:proofErr w:type="spellStart"/>
      <w:r w:rsidRPr="00D01C65">
        <w:rPr>
          <w:color w:val="auto"/>
          <w:kern w:val="0"/>
          <w:sz w:val="20"/>
          <w:highlight w:val="yellow"/>
          <w:lang w:val="en-US" w:eastAsia="en-US"/>
        </w:rPr>
        <w:t>Aşkın</w:t>
      </w:r>
      <w:proofErr w:type="spellEnd"/>
      <w:r w:rsidRPr="00D01C65">
        <w:rPr>
          <w:color w:val="auto"/>
          <w:kern w:val="0"/>
          <w:sz w:val="20"/>
          <w:highlight w:val="yellow"/>
          <w:lang w:val="en-US" w:eastAsia="en-US"/>
        </w:rPr>
        <w:t xml:space="preserve"> et al., 2025</w:t>
      </w:r>
      <w:r>
        <w:rPr>
          <w:rFonts w:ascii="Cambria" w:hAnsi="Cambria"/>
          <w:color w:val="1B1B1B"/>
          <w:sz w:val="22"/>
          <w:szCs w:val="28"/>
          <w:highlight w:val="yellow"/>
          <w:shd w:val="clear" w:color="auto" w:fill="FFFFFF"/>
        </w:rPr>
        <w:t>)</w:t>
      </w:r>
      <w:r w:rsidRPr="00D01C65">
        <w:rPr>
          <w:rFonts w:ascii="Cambria" w:hAnsi="Cambria"/>
          <w:color w:val="1B1B1B"/>
          <w:sz w:val="32"/>
          <w:szCs w:val="28"/>
          <w:shd w:val="clear" w:color="auto" w:fill="FFFFFF"/>
        </w:rPr>
        <w:t>.</w:t>
      </w:r>
      <w:r w:rsidRPr="00D01C65">
        <w:rPr>
          <w:color w:val="auto"/>
          <w:kern w:val="0"/>
          <w:sz w:val="28"/>
          <w:lang w:val="en-US" w:eastAsia="en-US"/>
        </w:rPr>
        <w:t xml:space="preserve"> </w:t>
      </w:r>
      <w:r w:rsidR="00B96BA2" w:rsidRPr="00B96BA2">
        <w:rPr>
          <w:color w:val="auto"/>
          <w:kern w:val="0"/>
          <w:lang w:val="en-US" w:eastAsia="en-US"/>
        </w:rPr>
        <w:t xml:space="preserve">The soft tissue </w:t>
      </w:r>
      <w:r w:rsidR="00FB5724" w:rsidRPr="00FB5724">
        <w:rPr>
          <w:szCs w:val="20"/>
          <w:highlight w:val="yellow"/>
        </w:rPr>
        <w:t>envelope</w:t>
      </w:r>
      <w:r w:rsidR="00FB5724" w:rsidRPr="00FB5724">
        <w:rPr>
          <w:color w:val="auto"/>
          <w:kern w:val="0"/>
          <w:sz w:val="32"/>
          <w:lang w:val="en-US" w:eastAsia="en-US"/>
        </w:rPr>
        <w:t xml:space="preserve"> </w:t>
      </w:r>
      <w:r w:rsidR="00B96BA2" w:rsidRPr="00B96BA2">
        <w:rPr>
          <w:color w:val="auto"/>
          <w:kern w:val="0"/>
          <w:lang w:val="en-US" w:eastAsia="en-US"/>
        </w:rPr>
        <w:t xml:space="preserve">surrounding teeth and implants is central to periodontal health, function, and aesthetics. Yet, clinical outcomes are often influenced not only by plaque control and surgical technique but also by the patient’s baseline tissue anatomy. Among anatomical variables, “gingival biotype” has received sustained attention in periodontics because it appears to modify how </w:t>
      </w:r>
      <w:r w:rsidR="00D35449">
        <w:rPr>
          <w:color w:val="auto"/>
          <w:kern w:val="0"/>
          <w:lang w:val="en-US" w:eastAsia="en-US"/>
        </w:rPr>
        <w:t xml:space="preserve">the </w:t>
      </w:r>
      <w:r w:rsidR="00B96BA2" w:rsidRPr="00B96BA2">
        <w:rPr>
          <w:color w:val="auto"/>
          <w:kern w:val="0"/>
          <w:lang w:val="en-US" w:eastAsia="en-US"/>
        </w:rPr>
        <w:t xml:space="preserve">gingiva responds to inflammation, trauma, orthodontic movement, restorative margin positioning, and surgical manipulation. Classically, </w:t>
      </w:r>
      <w:r w:rsidR="00D35449">
        <w:rPr>
          <w:color w:val="auto"/>
          <w:kern w:val="0"/>
          <w:lang w:val="en-US" w:eastAsia="en-US"/>
        </w:rPr>
        <w:t xml:space="preserve">the </w:t>
      </w:r>
      <w:r w:rsidR="00B96BA2" w:rsidRPr="00B96BA2">
        <w:rPr>
          <w:color w:val="auto"/>
          <w:kern w:val="0"/>
          <w:lang w:val="en-US" w:eastAsia="en-US"/>
        </w:rPr>
        <w:t xml:space="preserve">gingival biotype was simplified into thin and thick categories, frequently inferred by visual inspection and probe transparency. Over time, it became evident that such a binary label is clinically useful but biologically incomplete. The contemporary view emphasizes “periodontal phenotype,” a more integrated construct that aligns with modern classification frameworks and aims to connect soft tissue thickness and keratinized tissue characteristics with the supporting bone morphology and the resulting risk profile for recession or instability (Caton et al., 2018; Jepsen et al., 2018; </w:t>
      </w:r>
      <w:proofErr w:type="spellStart"/>
      <w:r w:rsidR="00B96BA2" w:rsidRPr="00B96BA2">
        <w:rPr>
          <w:color w:val="auto"/>
          <w:kern w:val="0"/>
          <w:lang w:val="en-US" w:eastAsia="en-US"/>
        </w:rPr>
        <w:t>Papapanou</w:t>
      </w:r>
      <w:proofErr w:type="spellEnd"/>
      <w:r w:rsidR="00B96BA2" w:rsidRPr="00B96BA2">
        <w:rPr>
          <w:color w:val="auto"/>
          <w:kern w:val="0"/>
          <w:lang w:val="en-US" w:eastAsia="en-US"/>
        </w:rPr>
        <w:t xml:space="preserve"> et al., 2018).</w:t>
      </w:r>
      <w:r>
        <w:rPr>
          <w:color w:val="auto"/>
          <w:kern w:val="0"/>
          <w:lang w:val="en-US" w:eastAsia="en-US"/>
        </w:rPr>
        <w:t xml:space="preserve"> </w:t>
      </w:r>
      <w:r w:rsidRPr="00D01C65">
        <w:rPr>
          <w:rFonts w:ascii="Arial" w:hAnsi="Arial" w:cs="Arial"/>
          <w:sz w:val="20"/>
          <w:highlight w:val="yellow"/>
          <w:shd w:val="clear" w:color="auto" w:fill="FFFFFF"/>
        </w:rPr>
        <w:t xml:space="preserve">Soft tissue characteristics around teeth and implants dictate the </w:t>
      </w:r>
      <w:proofErr w:type="spellStart"/>
      <w:r w:rsidRPr="00D01C65">
        <w:rPr>
          <w:rFonts w:ascii="Arial" w:hAnsi="Arial" w:cs="Arial"/>
          <w:sz w:val="20"/>
          <w:highlight w:val="yellow"/>
          <w:shd w:val="clear" w:color="auto" w:fill="FFFFFF"/>
        </w:rPr>
        <w:t>behavior</w:t>
      </w:r>
      <w:proofErr w:type="spellEnd"/>
      <w:r w:rsidRPr="00D01C65">
        <w:rPr>
          <w:rFonts w:ascii="Arial" w:hAnsi="Arial" w:cs="Arial"/>
          <w:sz w:val="20"/>
          <w:highlight w:val="yellow"/>
          <w:shd w:val="clear" w:color="auto" w:fill="FFFFFF"/>
        </w:rPr>
        <w:t xml:space="preserve"> of surrounding tissues. Despite discrepant, overlapping, and sometimes controversial descriptions of morphological characteristics of periodontal and peri-implant tissues, assessment of site-specific phenotypical features is crucial in both clinical practice and research. These features may change over time as a function of various clinical scenarios and/or therapeutic interventions (</w:t>
      </w:r>
      <w:proofErr w:type="spellStart"/>
      <w:r w:rsidRPr="002D60C4">
        <w:rPr>
          <w:rFonts w:ascii="Arial" w:hAnsi="Arial" w:cs="Arial"/>
          <w:color w:val="222222"/>
          <w:sz w:val="20"/>
          <w:szCs w:val="20"/>
          <w:highlight w:val="yellow"/>
          <w:shd w:val="clear" w:color="auto" w:fill="FFFFFF"/>
        </w:rPr>
        <w:t>Uysal</w:t>
      </w:r>
      <w:proofErr w:type="spellEnd"/>
      <w:r w:rsidRPr="00DF7FD5">
        <w:rPr>
          <w:rFonts w:ascii="Arial" w:hAnsi="Arial" w:cs="Arial"/>
          <w:color w:val="222222"/>
          <w:sz w:val="20"/>
          <w:szCs w:val="20"/>
          <w:highlight w:val="yellow"/>
          <w:shd w:val="clear" w:color="auto" w:fill="FFFFFF"/>
        </w:rPr>
        <w:t xml:space="preserve"> et al., 2025</w:t>
      </w:r>
      <w:r w:rsidRPr="00D01C65">
        <w:rPr>
          <w:rFonts w:ascii="Arial" w:hAnsi="Arial" w:cs="Arial"/>
          <w:sz w:val="20"/>
          <w:highlight w:val="yellow"/>
          <w:shd w:val="clear" w:color="auto" w:fill="FFFFFF"/>
        </w:rPr>
        <w:t>).</w:t>
      </w:r>
    </w:p>
    <w:p w14:paraId="2FDBCAB0"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The clinical value of phenotype thinking lies in prediction and prevention. In a thin phenotype, inflammatory lesions and mechanical forces are more likely to result in marginal tissue displacement, and surgical procedures are more susceptible to soft tissue contraction or recession. In a thick phenotype, inflammation may present with more pocketing and fibrotic changes, while marginal stability and tissue masking are often better preserved. These tendencies influence therapy selection, timing, and sequencing. For example, the decision to perform connective tissue grafting with root coverage, to thicken peri-implant mucosa, or to adjust restorative margins may be guided by phenotype. Additionally, the rapid development of digital dentistry has increased interest in quantifying tissue thickness and bone morphotype using ultrasound, optical scanning, or cone-beam computed tomography (CBCT), aiming to move phenotype assessment from subjective estimation to reproducible measurement (</w:t>
      </w:r>
      <w:r w:rsidR="00345946">
        <w:rPr>
          <w:color w:val="auto"/>
          <w:kern w:val="0"/>
          <w:lang w:val="en-US" w:eastAsia="en-US"/>
        </w:rPr>
        <w:t>Schulze et al., 2024</w:t>
      </w:r>
      <w:r w:rsidRPr="00B96BA2">
        <w:rPr>
          <w:color w:val="auto"/>
          <w:kern w:val="0"/>
          <w:lang w:val="en-US" w:eastAsia="en-US"/>
        </w:rPr>
        <w:t>).</w:t>
      </w:r>
    </w:p>
    <w:p w14:paraId="1DFB8D2B" w14:textId="7BD65E51"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Despite widespread acceptance that gingival biotype matters, uncertainty remains about thresholds, measurement standardization, and how </w:t>
      </w:r>
      <w:r w:rsidR="00FB5724" w:rsidRPr="00FB5724">
        <w:rPr>
          <w:color w:val="auto"/>
          <w:kern w:val="0"/>
          <w:highlight w:val="yellow"/>
          <w:lang w:val="en-US" w:eastAsia="en-US"/>
        </w:rPr>
        <w:t>accurately</w:t>
      </w:r>
      <w:r w:rsidRPr="00B96BA2">
        <w:rPr>
          <w:color w:val="auto"/>
          <w:kern w:val="0"/>
          <w:lang w:val="en-US" w:eastAsia="en-US"/>
        </w:rPr>
        <w:t xml:space="preserve"> phenotype predicts outcomes in specific procedures. Some associations are supported by systematic reviews and randomized trials, whereas others rely on consistent clinical observation and mechanistic plausibility. A careful synthesis is therefore needed to clarify what is known, what is probable, and what is still speculative.</w:t>
      </w:r>
    </w:p>
    <w:p w14:paraId="56636C2F" w14:textId="21102240"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 xml:space="preserve">1.1 Scope and objective </w:t>
      </w:r>
    </w:p>
    <w:p w14:paraId="3F3A1E71"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This review aims to synthesize current evidence on (</w:t>
      </w:r>
      <w:proofErr w:type="spellStart"/>
      <w:r w:rsidRPr="00B96BA2">
        <w:rPr>
          <w:color w:val="auto"/>
          <w:kern w:val="0"/>
          <w:lang w:val="en-US" w:eastAsia="en-US"/>
        </w:rPr>
        <w:t>i</w:t>
      </w:r>
      <w:proofErr w:type="spellEnd"/>
      <w:r w:rsidRPr="00B96BA2">
        <w:rPr>
          <w:color w:val="auto"/>
          <w:kern w:val="0"/>
          <w:lang w:val="en-US" w:eastAsia="en-US"/>
        </w:rPr>
        <w:t xml:space="preserve">) the evolution from gingival biotype to periodontal phenotype and its clinical meaning; (ii) validated methods to assess gingival thickness and phenotype in daily practice; (iii) biological and clinical mechanisms linking phenotype to periodontal and peri-implant outcomes; and (iv) evidence-based implications for periodontal plastic surgery, orthodontics-related recession risk, restorative procedures, </w:t>
      </w:r>
      <w:r w:rsidRPr="00B96BA2">
        <w:rPr>
          <w:color w:val="auto"/>
          <w:kern w:val="0"/>
          <w:lang w:val="en-US" w:eastAsia="en-US"/>
        </w:rPr>
        <w:lastRenderedPageBreak/>
        <w:t>and implant therapy, including phenotype modification strategies. The overarching objective is to support phenotype-informed treatment planning while transparently identifying areas where evidence is limited or heterogeneous.</w:t>
      </w:r>
    </w:p>
    <w:p w14:paraId="33AEA6F3" w14:textId="77777777" w:rsidR="00B96BA2" w:rsidRPr="00B96BA2" w:rsidRDefault="00B96BA2" w:rsidP="00FB5724">
      <w:pPr>
        <w:spacing w:after="0" w:line="240" w:lineRule="auto"/>
        <w:ind w:left="0" w:right="0" w:firstLine="0"/>
        <w:rPr>
          <w:color w:val="auto"/>
          <w:kern w:val="0"/>
          <w:lang w:val="en-US" w:eastAsia="en-US"/>
        </w:rPr>
      </w:pPr>
    </w:p>
    <w:p w14:paraId="4E478035"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2. Methods for literature selection</w:t>
      </w:r>
    </w:p>
    <w:p w14:paraId="280E597B"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A focused narrative review was performed using electronic searches in PubMed/MEDLINE, Scopus, and Web of Science for peer-reviewed English-language literature published between January 1, 2010 and December 31, 2025. Search strings combined controlled vocabulary and free-text terms including: (“gingival biotype” OR “gingival phenotype” OR “periodontal phenotype” OR “gingival thickness” OR “mucosal thickness”) AND (“periodontics” OR “gingival recession” OR “root coverage” OR “mucogingival surgery” OR “peri-implant” OR “implant” OR “marginal bone loss” OR “orthodontic”). Reference lists of major consensus reports and recent systematic reviews were hand-searched to identify additional clinical trials and high-impact narrative reviews. Inclusion emphasized systematic reviews, meta-analyses, randomized clinical trials, and well-designed observational studies that directly assessed gingival/periodontal phenotype (or tissue thickness) in relation to clinical endpoints (recession, root coverage outcomes, marginal bone changes, or soft tissue stability). Exclusion prioritized case reports, small case series without clear phenotype measurement, animal studies (unless necessary for mechanistic explanation), and articles lacking a verifiable DOI or published in non-indexed sources.</w:t>
      </w:r>
    </w:p>
    <w:p w14:paraId="498B908F" w14:textId="77777777" w:rsidR="00B96BA2" w:rsidRPr="00B96BA2" w:rsidRDefault="00B96BA2" w:rsidP="00FB5724">
      <w:pPr>
        <w:spacing w:after="0" w:line="240" w:lineRule="auto"/>
        <w:ind w:left="0" w:right="0" w:firstLine="0"/>
        <w:rPr>
          <w:color w:val="auto"/>
          <w:kern w:val="0"/>
          <w:lang w:val="en-US" w:eastAsia="en-US"/>
        </w:rPr>
      </w:pPr>
    </w:p>
    <w:p w14:paraId="0A35A5BA"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3. Conceptual evolution: from gingival biotype to periodontal phenotype</w:t>
      </w:r>
    </w:p>
    <w:p w14:paraId="47239A00"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Historically, the term gingival biotype attempted to capture a clinically recognizable pattern: thin scalloped tissues with delicate architecture versus thick flat tissues with denser fibrous quality. This framework provided a quick chairside heuristic and helped explain why similar plaque levels or similar surgical procedures could yield different marginal tissue outcomes. However, the gingiva does not function in isolation from the tooth–bone complex. A thin gingival margin often coincides with thinner buccal bone plates and a more scalloped osseous profile, whereas thicker gingiva is more frequently paired with thicker, flatter bone. Consequently, modern classification and consensus documents emphasize phenotype as a multidimensional profile rather than a single trait (Caton et al., 2018; Jepsen et al., 2018; </w:t>
      </w:r>
      <w:proofErr w:type="spellStart"/>
      <w:r w:rsidRPr="00B96BA2">
        <w:rPr>
          <w:color w:val="auto"/>
          <w:kern w:val="0"/>
          <w:lang w:val="en-US" w:eastAsia="en-US"/>
        </w:rPr>
        <w:t>Papapanou</w:t>
      </w:r>
      <w:proofErr w:type="spellEnd"/>
      <w:r w:rsidRPr="00B96BA2">
        <w:rPr>
          <w:color w:val="auto"/>
          <w:kern w:val="0"/>
          <w:lang w:val="en-US" w:eastAsia="en-US"/>
        </w:rPr>
        <w:t xml:space="preserve"> et al., 2018).</w:t>
      </w:r>
    </w:p>
    <w:p w14:paraId="3BD7CC24" w14:textId="77777777"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3.1 Definitions and components</w:t>
      </w:r>
    </w:p>
    <w:p w14:paraId="60BF4842" w14:textId="61A9FD8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Within the contemporary periodontal framework, phenotype typically includes gingival thickness, keratinized tissue dimensions, and the morphologic context that influences recession susceptibility and wound stability. While terminology varies across publications, the central idea is consistent: clinicians should assess both the soft tissue envelope and the </w:t>
      </w:r>
      <w:r w:rsidRPr="00FB5724">
        <w:rPr>
          <w:color w:val="auto"/>
          <w:kern w:val="0"/>
          <w:highlight w:val="yellow"/>
          <w:lang w:val="en-US" w:eastAsia="en-US"/>
        </w:rPr>
        <w:t>anatomic</w:t>
      </w:r>
      <w:r w:rsidR="00FB5724" w:rsidRPr="00FB5724">
        <w:rPr>
          <w:color w:val="auto"/>
          <w:kern w:val="0"/>
          <w:highlight w:val="yellow"/>
          <w:lang w:val="en-US" w:eastAsia="en-US"/>
        </w:rPr>
        <w:t>al</w:t>
      </w:r>
      <w:r w:rsidRPr="00FB5724">
        <w:rPr>
          <w:color w:val="auto"/>
          <w:kern w:val="0"/>
          <w:highlight w:val="yellow"/>
          <w:lang w:val="en-US" w:eastAsia="en-US"/>
        </w:rPr>
        <w:t xml:space="preserve"> support that will influence</w:t>
      </w:r>
      <w:r w:rsidR="00FB5724" w:rsidRPr="00FB5724">
        <w:rPr>
          <w:color w:val="auto"/>
          <w:kern w:val="0"/>
          <w:highlight w:val="yellow"/>
          <w:lang w:val="en-US" w:eastAsia="en-US"/>
        </w:rPr>
        <w:t xml:space="preserve"> their</w:t>
      </w:r>
      <w:r w:rsidRPr="00FB5724">
        <w:rPr>
          <w:color w:val="auto"/>
          <w:kern w:val="0"/>
          <w:highlight w:val="yellow"/>
          <w:lang w:val="en-US" w:eastAsia="en-US"/>
        </w:rPr>
        <w:t xml:space="preserve"> response to therapy</w:t>
      </w:r>
      <w:r w:rsidRPr="00B96BA2">
        <w:rPr>
          <w:color w:val="auto"/>
          <w:kern w:val="0"/>
          <w:lang w:val="en-US" w:eastAsia="en-US"/>
        </w:rPr>
        <w:t xml:space="preserve">. In peri-implant care, the parallel construct of the peri-implant phenotype has been proposed to extend phenotype </w:t>
      </w:r>
      <w:r w:rsidRPr="00B96BA2">
        <w:rPr>
          <w:color w:val="auto"/>
          <w:kern w:val="0"/>
          <w:lang w:val="en-US" w:eastAsia="en-US"/>
        </w:rPr>
        <w:lastRenderedPageBreak/>
        <w:t xml:space="preserve">thinking to mucosal thickness and keratinized mucosa around implants, recognizing differences between tooth-associated </w:t>
      </w:r>
      <w:proofErr w:type="spellStart"/>
      <w:r w:rsidRPr="00B96BA2">
        <w:rPr>
          <w:color w:val="auto"/>
          <w:kern w:val="0"/>
          <w:lang w:val="en-US" w:eastAsia="en-US"/>
        </w:rPr>
        <w:t>supracrestal</w:t>
      </w:r>
      <w:proofErr w:type="spellEnd"/>
      <w:r w:rsidRPr="00B96BA2">
        <w:rPr>
          <w:color w:val="auto"/>
          <w:kern w:val="0"/>
          <w:lang w:val="en-US" w:eastAsia="en-US"/>
        </w:rPr>
        <w:t xml:space="preserve"> attachment and implant-associated mucosal sealing (Avila-Ortiz et al., 2020).</w:t>
      </w:r>
    </w:p>
    <w:p w14:paraId="2543FB3F" w14:textId="77777777"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3.2 Why phenotype matters biologically</w:t>
      </w:r>
    </w:p>
    <w:p w14:paraId="3C0A6F9C" w14:textId="018B341A"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Phenotype influences mechanical resistance, vascular supply distribution, collagen density, and the capacity of tissues to withstand inflammatory breakdown without apical migration of the marginal tissue. Thin marginal tissues have less connective tissue volume and may be less tolerant of surgical trauma, flap tension, or </w:t>
      </w:r>
      <w:proofErr w:type="spellStart"/>
      <w:r w:rsidRPr="00B96BA2">
        <w:rPr>
          <w:color w:val="auto"/>
          <w:kern w:val="0"/>
          <w:lang w:val="en-US" w:eastAsia="en-US"/>
        </w:rPr>
        <w:t>remode</w:t>
      </w:r>
      <w:r w:rsidR="00D35449">
        <w:rPr>
          <w:color w:val="auto"/>
          <w:kern w:val="0"/>
          <w:lang w:val="en-US" w:eastAsia="en-US"/>
        </w:rPr>
        <w:t>l</w:t>
      </w:r>
      <w:r w:rsidRPr="00B96BA2">
        <w:rPr>
          <w:color w:val="auto"/>
          <w:kern w:val="0"/>
          <w:lang w:val="en-US" w:eastAsia="en-US"/>
        </w:rPr>
        <w:t>ling</w:t>
      </w:r>
      <w:proofErr w:type="spellEnd"/>
      <w:r w:rsidRPr="00B96BA2">
        <w:rPr>
          <w:color w:val="auto"/>
          <w:kern w:val="0"/>
          <w:lang w:val="en-US" w:eastAsia="en-US"/>
        </w:rPr>
        <w:t xml:space="preserve"> events that accompany orthodontic tooth movement and restorative margin manipulation. In implant sites, mucosal thickness has been linked to the magnitude of early crestal bone remodeling, plausibly because thin soft tissues may require additional bone resorption to establish a stable </w:t>
      </w:r>
      <w:proofErr w:type="spellStart"/>
      <w:r w:rsidRPr="00B96BA2">
        <w:rPr>
          <w:color w:val="auto"/>
          <w:kern w:val="0"/>
          <w:lang w:val="en-US" w:eastAsia="en-US"/>
        </w:rPr>
        <w:t>supracrestal</w:t>
      </w:r>
      <w:proofErr w:type="spellEnd"/>
      <w:r w:rsidRPr="00B96BA2">
        <w:rPr>
          <w:color w:val="auto"/>
          <w:kern w:val="0"/>
          <w:lang w:val="en-US" w:eastAsia="en-US"/>
        </w:rPr>
        <w:t xml:space="preserve"> soft tissue dimension (Di </w:t>
      </w:r>
      <w:proofErr w:type="spellStart"/>
      <w:r w:rsidRPr="00B96BA2">
        <w:rPr>
          <w:color w:val="auto"/>
          <w:kern w:val="0"/>
          <w:lang w:val="en-US" w:eastAsia="en-US"/>
        </w:rPr>
        <w:t>Gianfilippo</w:t>
      </w:r>
      <w:proofErr w:type="spellEnd"/>
      <w:r w:rsidRPr="00B96BA2">
        <w:rPr>
          <w:color w:val="auto"/>
          <w:kern w:val="0"/>
          <w:lang w:val="en-US" w:eastAsia="en-US"/>
        </w:rPr>
        <w:t xml:space="preserve"> et al., 2020; Tang et al., 2023). These </w:t>
      </w:r>
      <w:r w:rsidRPr="00D01C65">
        <w:rPr>
          <w:color w:val="auto"/>
          <w:kern w:val="0"/>
          <w:highlight w:val="yellow"/>
          <w:lang w:val="en-US" w:eastAsia="en-US"/>
        </w:rPr>
        <w:t>biologic</w:t>
      </w:r>
      <w:r w:rsidR="00D35449" w:rsidRPr="00D01C65">
        <w:rPr>
          <w:color w:val="auto"/>
          <w:kern w:val="0"/>
          <w:highlight w:val="yellow"/>
          <w:lang w:val="en-US" w:eastAsia="en-US"/>
        </w:rPr>
        <w:t>al</w:t>
      </w:r>
      <w:r w:rsidRPr="00D01C65">
        <w:rPr>
          <w:color w:val="auto"/>
          <w:kern w:val="0"/>
          <w:highlight w:val="yellow"/>
          <w:lang w:val="en-US" w:eastAsia="en-US"/>
        </w:rPr>
        <w:t xml:space="preserve"> tendencies</w:t>
      </w:r>
      <w:r w:rsidRPr="00B96BA2">
        <w:rPr>
          <w:color w:val="auto"/>
          <w:kern w:val="0"/>
          <w:lang w:val="en-US" w:eastAsia="en-US"/>
        </w:rPr>
        <w:t xml:space="preserve"> do not mean phenotype determines outcome alone; rather, phenotype modifies probability distributions of outcomes, interacting with plaque control, surgical design, flap thickness, restorative design, and patient-level risks such as smoking or systemic health.</w:t>
      </w:r>
    </w:p>
    <w:p w14:paraId="776897B3" w14:textId="77777777" w:rsidR="00B96BA2" w:rsidRPr="00B96BA2" w:rsidRDefault="00B96BA2" w:rsidP="00FB5724">
      <w:pPr>
        <w:spacing w:after="0" w:line="240" w:lineRule="auto"/>
        <w:ind w:left="0" w:right="0" w:firstLine="0"/>
        <w:rPr>
          <w:color w:val="auto"/>
          <w:kern w:val="0"/>
          <w:lang w:val="en-US" w:eastAsia="en-US"/>
        </w:rPr>
      </w:pPr>
    </w:p>
    <w:p w14:paraId="02909AAD"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4. Assessment of gingival biotype and periodontal phenotype in clinical practice</w:t>
      </w:r>
    </w:p>
    <w:p w14:paraId="008AA0DD"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A major barrier to phenotype-based decision-making has been inconsistency in measurement. Clinicians frequently rely on visual assessment, but inter-examiner agreement can be modest, particularly for intermediate tissue thicknesses. This has driven interest in methods that are minimally invasive yet reproducible.</w:t>
      </w:r>
    </w:p>
    <w:p w14:paraId="6149F2BC"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Probe transparency has been widely used because it is simple, inexpensive, and quick. The principle is straightforward: if the periodontal probe is visible through the marginal tissue at the sulcus, the phenotype is likely thin; if not visible, thicker tissue is presumed. However, the dichotomous nature of probe transparency may fail to distinguish moderate categories, and tissue pigmentation, inflammation, and probe design may alter visibility thresholds. Efforts to refine transparency-based classification and standardize thresholds have been explored in preclinical and clinical contexts, highlighting that “thin vs thick” may be overly reductive for risk stratification (Fischer et al., 2021).</w:t>
      </w:r>
    </w:p>
    <w:p w14:paraId="6CF20CD3" w14:textId="02FEB0CB"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Direct measurements using transgingival probing or endodontic spreaders can provide numerical thickness values but are invasive and may be influenced by probing pressure and tissue compressibility. Ultrasound-based devices offer a noninvasive alternative and have been increasingly studied, though access and cost remain barriers in routine settings. Digital workflows are also gaining attention: CBCT can estimate hard tissue morphotype, while intraoral scanning and soft tissue surface models can support phenotype mapping when integrated with other data. A Periodontology 2000 review emphasized that digital diagnostic approaches may enable more standardized phenotype assessment, especially when soft tissue and bone data are combined to support personalized planning (</w:t>
      </w:r>
      <w:r w:rsidR="00345946">
        <w:rPr>
          <w:color w:val="auto"/>
          <w:kern w:val="0"/>
          <w:lang w:val="en-US" w:eastAsia="en-US"/>
        </w:rPr>
        <w:t>Schulze et al., 2024</w:t>
      </w:r>
      <w:r w:rsidRPr="00B96BA2">
        <w:rPr>
          <w:color w:val="auto"/>
          <w:kern w:val="0"/>
          <w:lang w:val="en-US" w:eastAsia="en-US"/>
        </w:rPr>
        <w:t xml:space="preserve">). Nevertheless, CBCT-based soft tissue thickness estimation can be technique-sensitive and affected by voxel size, soft tissue contrast, </w:t>
      </w:r>
      <w:r w:rsidRPr="00D01C65">
        <w:rPr>
          <w:color w:val="auto"/>
          <w:kern w:val="0"/>
          <w:highlight w:val="yellow"/>
          <w:lang w:val="en-US" w:eastAsia="en-US"/>
        </w:rPr>
        <w:t xml:space="preserve">and </w:t>
      </w:r>
      <w:r w:rsidR="00D35449" w:rsidRPr="00D01C65">
        <w:rPr>
          <w:color w:val="auto"/>
          <w:kern w:val="0"/>
          <w:highlight w:val="yellow"/>
          <w:lang w:val="en-US" w:eastAsia="en-US"/>
        </w:rPr>
        <w:t>artefacts</w:t>
      </w:r>
      <w:r w:rsidRPr="00D01C65">
        <w:rPr>
          <w:color w:val="auto"/>
          <w:kern w:val="0"/>
          <w:highlight w:val="yellow"/>
          <w:lang w:val="en-US" w:eastAsia="en-US"/>
        </w:rPr>
        <w:t>, underscoring</w:t>
      </w:r>
      <w:r w:rsidRPr="00B96BA2">
        <w:rPr>
          <w:color w:val="auto"/>
          <w:kern w:val="0"/>
          <w:lang w:val="en-US" w:eastAsia="en-US"/>
        </w:rPr>
        <w:t xml:space="preserve"> the need for validated protocols.</w:t>
      </w:r>
    </w:p>
    <w:p w14:paraId="1CE2F563"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lastRenderedPageBreak/>
        <w:t>Recent investigations revisiting phenotype classification suggest that clinically meaningful stratification may require more than a single measurement site and may benefit from integrated approaches that consider gingival thickness, keratinized tissue width, and the clinical context (</w:t>
      </w:r>
      <w:r w:rsidR="007521D0">
        <w:rPr>
          <w:color w:val="auto"/>
          <w:kern w:val="0"/>
          <w:lang w:val="en-US" w:eastAsia="en-US"/>
        </w:rPr>
        <w:t xml:space="preserve">Yildirim </w:t>
      </w:r>
      <w:proofErr w:type="spellStart"/>
      <w:r w:rsidR="007521D0">
        <w:rPr>
          <w:color w:val="auto"/>
          <w:kern w:val="0"/>
          <w:lang w:val="en-US" w:eastAsia="en-US"/>
        </w:rPr>
        <w:t>Bolat</w:t>
      </w:r>
      <w:proofErr w:type="spellEnd"/>
      <w:r w:rsidR="007521D0">
        <w:rPr>
          <w:color w:val="auto"/>
          <w:kern w:val="0"/>
          <w:lang w:val="en-US" w:eastAsia="en-US"/>
        </w:rPr>
        <w:t xml:space="preserve"> &amp; </w:t>
      </w:r>
      <w:proofErr w:type="spellStart"/>
      <w:r w:rsidR="007521D0">
        <w:rPr>
          <w:color w:val="auto"/>
          <w:kern w:val="0"/>
          <w:lang w:val="en-US" w:eastAsia="en-US"/>
        </w:rPr>
        <w:t>Lutfioglu</w:t>
      </w:r>
      <w:proofErr w:type="spellEnd"/>
      <w:r w:rsidR="007521D0">
        <w:rPr>
          <w:color w:val="auto"/>
          <w:kern w:val="0"/>
          <w:lang w:val="en-US" w:eastAsia="en-US"/>
        </w:rPr>
        <w:t>, 2025</w:t>
      </w:r>
      <w:r w:rsidRPr="00B96BA2">
        <w:rPr>
          <w:color w:val="auto"/>
          <w:kern w:val="0"/>
          <w:lang w:val="en-US" w:eastAsia="en-US"/>
        </w:rPr>
        <w:t xml:space="preserve">). From a pragmatic standpoint, the most clinically useful approach is often a two-step method: initial chairside screening using probe transparency and phenotype cues (tooth form, scallop, keratinized tissue width), followed by quantitative measurement (transgingival probing, ultrasound, or digital methods) when high-stakes </w:t>
      </w:r>
      <w:r w:rsidRPr="00D01C65">
        <w:rPr>
          <w:color w:val="auto"/>
          <w:kern w:val="0"/>
          <w:highlight w:val="yellow"/>
          <w:lang w:val="en-US" w:eastAsia="en-US"/>
        </w:rPr>
        <w:t>aesthetic</w:t>
      </w:r>
      <w:r w:rsidRPr="00B96BA2">
        <w:rPr>
          <w:color w:val="auto"/>
          <w:kern w:val="0"/>
          <w:lang w:val="en-US" w:eastAsia="en-US"/>
        </w:rPr>
        <w:t xml:space="preserve"> or surgical decisions are being made.</w:t>
      </w:r>
    </w:p>
    <w:p w14:paraId="49EC9EAC" w14:textId="77777777" w:rsidR="00B96BA2" w:rsidRPr="00B96BA2" w:rsidRDefault="00B96BA2" w:rsidP="00FB5724">
      <w:pPr>
        <w:spacing w:after="0" w:line="240" w:lineRule="auto"/>
        <w:ind w:left="0" w:right="0" w:firstLine="0"/>
        <w:rPr>
          <w:color w:val="auto"/>
          <w:kern w:val="0"/>
          <w:lang w:val="en-US" w:eastAsia="en-US"/>
        </w:rPr>
      </w:pPr>
    </w:p>
    <w:p w14:paraId="158FFFCF"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5. Phenotype and susceptibility to recession, inflammation patterns, and stability</w:t>
      </w:r>
    </w:p>
    <w:p w14:paraId="50555B13" w14:textId="503ABAF9"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Gingival recession is multifactorial, involving plaque-induced inflammation, traumatic brushing, thin labial bone, tooth malposition, frenum pull, and iatrogenic factors. Phenotype interacts with many of these risks. Thin phenotypes are often described as recession-prone, meaning that when the periodontium is challenged, the marginal tissue is more likely to migrate apically rather than maintain its coronal position. Thick phenotypes may instead show a tendency toward pocket formation or fibrotic enlargement under inflammatory challenge, though this is not universally observed and depends on host response and plaque levels.</w:t>
      </w:r>
    </w:p>
    <w:p w14:paraId="7593CE8D" w14:textId="2FA8E2A8"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From a clinical risk perspective, phenotype contributes to “tissue tolerance.” When tissues are thin, even modest inflammation or mechanical insult can exceed the </w:t>
      </w:r>
      <w:r w:rsidRPr="00D01C65">
        <w:rPr>
          <w:color w:val="auto"/>
          <w:kern w:val="0"/>
          <w:highlight w:val="yellow"/>
          <w:lang w:val="en-US" w:eastAsia="en-US"/>
        </w:rPr>
        <w:t xml:space="preserve">threshold for </w:t>
      </w:r>
      <w:r w:rsidR="00D35449" w:rsidRPr="00D01C65">
        <w:rPr>
          <w:color w:val="auto"/>
          <w:kern w:val="0"/>
          <w:highlight w:val="yellow"/>
          <w:lang w:val="en-US" w:eastAsia="en-US"/>
        </w:rPr>
        <w:t xml:space="preserve">a </w:t>
      </w:r>
      <w:r w:rsidRPr="00D01C65">
        <w:rPr>
          <w:color w:val="auto"/>
          <w:kern w:val="0"/>
          <w:highlight w:val="yellow"/>
          <w:lang w:val="en-US" w:eastAsia="en-US"/>
        </w:rPr>
        <w:t>stable</w:t>
      </w:r>
      <w:r w:rsidRPr="00B96BA2">
        <w:rPr>
          <w:color w:val="auto"/>
          <w:kern w:val="0"/>
          <w:lang w:val="en-US" w:eastAsia="en-US"/>
        </w:rPr>
        <w:t xml:space="preserve"> marginal position, particularly where buccal bone is thin </w:t>
      </w:r>
      <w:r w:rsidRPr="00FB5724">
        <w:rPr>
          <w:color w:val="auto"/>
          <w:kern w:val="0"/>
          <w:sz w:val="28"/>
          <w:highlight w:val="yellow"/>
          <w:lang w:val="en-US" w:eastAsia="en-US"/>
        </w:rPr>
        <w:t xml:space="preserve">or </w:t>
      </w:r>
      <w:r w:rsidR="00FB5724" w:rsidRPr="00FB5724">
        <w:rPr>
          <w:sz w:val="22"/>
          <w:szCs w:val="20"/>
          <w:highlight w:val="yellow"/>
        </w:rPr>
        <w:t>dehiscence</w:t>
      </w:r>
      <w:r w:rsidRPr="00FB5724">
        <w:rPr>
          <w:color w:val="auto"/>
          <w:kern w:val="0"/>
          <w:sz w:val="28"/>
          <w:highlight w:val="yellow"/>
          <w:lang w:val="en-US" w:eastAsia="en-US"/>
        </w:rPr>
        <w:t xml:space="preserve">. </w:t>
      </w:r>
      <w:r w:rsidRPr="00FB5724">
        <w:rPr>
          <w:color w:val="auto"/>
          <w:kern w:val="0"/>
          <w:highlight w:val="yellow"/>
          <w:lang w:val="en-US" w:eastAsia="en-US"/>
        </w:rPr>
        <w:t>The</w:t>
      </w:r>
      <w:r w:rsidRPr="00FB5724">
        <w:rPr>
          <w:color w:val="auto"/>
          <w:kern w:val="0"/>
          <w:lang w:val="en-US" w:eastAsia="en-US"/>
        </w:rPr>
        <w:t xml:space="preserve"> </w:t>
      </w:r>
      <w:r w:rsidRPr="00B96BA2">
        <w:rPr>
          <w:color w:val="auto"/>
          <w:kern w:val="0"/>
          <w:lang w:val="en-US" w:eastAsia="en-US"/>
        </w:rPr>
        <w:t>association between gingival phenotype and buccal bone thickness has been evaluated in systematic reviews, supporting the concept that soft tissue and bone morphotype are frequently linked, although correlation strength varies and measurement methods contribute to heterogeneity (</w:t>
      </w:r>
      <w:proofErr w:type="spellStart"/>
      <w:r w:rsidR="00345946">
        <w:rPr>
          <w:color w:val="auto"/>
          <w:kern w:val="0"/>
          <w:lang w:val="en-US" w:eastAsia="en-US"/>
        </w:rPr>
        <w:t>Shafizadeh</w:t>
      </w:r>
      <w:proofErr w:type="spellEnd"/>
      <w:r w:rsidR="00345946">
        <w:rPr>
          <w:color w:val="auto"/>
          <w:kern w:val="0"/>
          <w:lang w:val="en-US" w:eastAsia="en-US"/>
        </w:rPr>
        <w:t xml:space="preserve"> et al., 2022</w:t>
      </w:r>
      <w:r w:rsidRPr="00B96BA2">
        <w:rPr>
          <w:color w:val="auto"/>
          <w:kern w:val="0"/>
          <w:lang w:val="en-US" w:eastAsia="en-US"/>
        </w:rPr>
        <w:t>). This relationship explains why phenotype should not be considered purely cosmetic; it is often a surrogate for supporting anatomy and thus for stability.</w:t>
      </w:r>
    </w:p>
    <w:p w14:paraId="4267F195" w14:textId="77777777" w:rsidR="00B96BA2" w:rsidRPr="00B96BA2" w:rsidRDefault="00B96BA2" w:rsidP="00FB5724">
      <w:pPr>
        <w:spacing w:after="0" w:line="240" w:lineRule="auto"/>
        <w:ind w:left="0" w:right="0" w:firstLine="0"/>
        <w:rPr>
          <w:color w:val="auto"/>
          <w:kern w:val="0"/>
          <w:lang w:val="en-US" w:eastAsia="en-US"/>
        </w:rPr>
      </w:pPr>
    </w:p>
    <w:p w14:paraId="28ABAC6F"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6. Clinical importance in periodontal therapy and mucogingival surgery</w:t>
      </w:r>
    </w:p>
    <w:p w14:paraId="5D02E6DA"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Phenotype considerations become most tangible in surgical outcomes. Periodontal plastic surgery, crown lengthening, and regenerative procedures involve deliberate manipulation of the marginal tissues, and the baseline thickness of both flap and marginal gingiva can influence stability during healing.</w:t>
      </w:r>
    </w:p>
    <w:p w14:paraId="535F32CE" w14:textId="77777777"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6.1 Root coverage and soft tissue stability</w:t>
      </w:r>
    </w:p>
    <w:p w14:paraId="062CDB1C" w14:textId="7FD1106B"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Root coverage procedures for gingival recession have increasingly emphasized not only the amount of coronal root coverage achieved but also long-term stability, </w:t>
      </w:r>
      <w:r w:rsidRPr="00D01C65">
        <w:rPr>
          <w:color w:val="auto"/>
          <w:kern w:val="0"/>
          <w:highlight w:val="yellow"/>
          <w:lang w:val="en-US" w:eastAsia="en-US"/>
        </w:rPr>
        <w:t>patient-</w:t>
      </w:r>
      <w:proofErr w:type="spellStart"/>
      <w:r w:rsidRPr="00D01C65">
        <w:rPr>
          <w:color w:val="auto"/>
          <w:kern w:val="0"/>
          <w:highlight w:val="yellow"/>
          <w:lang w:val="en-US" w:eastAsia="en-US"/>
        </w:rPr>
        <w:t>centred</w:t>
      </w:r>
      <w:proofErr w:type="spellEnd"/>
      <w:r w:rsidRPr="00B96BA2">
        <w:rPr>
          <w:color w:val="auto"/>
          <w:kern w:val="0"/>
          <w:lang w:val="en-US" w:eastAsia="en-US"/>
        </w:rPr>
        <w:t xml:space="preserve"> aesthetics, and thickness gain. Studies and long-term follow-ups suggest that thicker marginal tissues and greater flap thickness are associated with more stable root coverage and improved </w:t>
      </w:r>
      <w:r w:rsidRPr="00B96BA2">
        <w:rPr>
          <w:color w:val="auto"/>
          <w:kern w:val="0"/>
          <w:lang w:val="en-US" w:eastAsia="en-US"/>
        </w:rPr>
        <w:lastRenderedPageBreak/>
        <w:t>likelihood of complete coverage, especially for challenging recessions. A randomized clinical trial comparing tunnel techniques and coronally advanced flap approaches for multiple recession defects reported that baseline phenotype and recession type influence outcomes, reinforcing the concept that root coverage is not a one-size-fits-all procedure and that phenotype modifies predictability (</w:t>
      </w:r>
      <w:proofErr w:type="spellStart"/>
      <w:r w:rsidRPr="00B96BA2">
        <w:rPr>
          <w:color w:val="auto"/>
          <w:kern w:val="0"/>
          <w:lang w:val="en-US" w:eastAsia="en-US"/>
        </w:rPr>
        <w:t>Zucchelli</w:t>
      </w:r>
      <w:proofErr w:type="spellEnd"/>
      <w:r w:rsidRPr="00B96BA2">
        <w:rPr>
          <w:color w:val="auto"/>
          <w:kern w:val="0"/>
          <w:lang w:val="en-US" w:eastAsia="en-US"/>
        </w:rPr>
        <w:t xml:space="preserve"> et al., 2014). Other randomized clinical evidence indicates that surgical strategies that increase gingival thickness may enhance outcomes in complex recession presentations (Cairo et al., 2020). Long-term follow-up data further suggest that stability can be maintained over years when adequate tissue thickness and careful technique are achieved, but relapse risk remains higher when baseline conditions are unfavorable (</w:t>
      </w:r>
      <w:proofErr w:type="spellStart"/>
      <w:r w:rsidRPr="00B96BA2">
        <w:rPr>
          <w:color w:val="auto"/>
          <w:kern w:val="0"/>
          <w:lang w:val="en-US" w:eastAsia="en-US"/>
        </w:rPr>
        <w:t>Rasperini</w:t>
      </w:r>
      <w:proofErr w:type="spellEnd"/>
      <w:r w:rsidRPr="00B96BA2">
        <w:rPr>
          <w:color w:val="auto"/>
          <w:kern w:val="0"/>
          <w:lang w:val="en-US" w:eastAsia="en-US"/>
        </w:rPr>
        <w:t xml:space="preserve"> et al., 2018).</w:t>
      </w:r>
    </w:p>
    <w:p w14:paraId="01DE8596"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From a biological standpoint, connective tissue grafting or other thickening approaches may provide added collagen volume and vascularization potential, supporting a more robust marginal tissue position over time. However, it is crucial to avoid overly deterministic interpretations. Phenotype may predict risk, but surgical precision—such as flap tension control, papilla preservation, and appropriate coronal advancement—remains essential. The best clinical reading of current evidence is that phenotype-informed case selection and phenotype modification can meaningfully increase the probability of favorable outcomes, particularly in thin or intermediate phenotypes.</w:t>
      </w:r>
    </w:p>
    <w:p w14:paraId="50B778C0" w14:textId="77777777"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6.2 Phenotype modification and the role of grafting materials</w:t>
      </w:r>
    </w:p>
    <w:p w14:paraId="29A02C81"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Contemporary periodontics increasingly frames soft tissue grafting as “phenotype modification,” shifting the aim from simply covering roots to improving the tissue environment for long-term stability and aesthetics. Collagen matrices and connective tissue grafts have been compared as adjuncts to coronally advanced flap procedures. A randomized clinical trial evaluating coronally advanced flap with a collagen matrix compared to autogenous connective tissue graft reported benefits and trade-offs relevant to phenotype modification goals, including patient morbidity and tissue thickness outcomes (</w:t>
      </w:r>
      <w:proofErr w:type="spellStart"/>
      <w:r w:rsidRPr="00B96BA2">
        <w:rPr>
          <w:color w:val="auto"/>
          <w:kern w:val="0"/>
          <w:lang w:val="en-US" w:eastAsia="en-US"/>
        </w:rPr>
        <w:t>Tonetti</w:t>
      </w:r>
      <w:proofErr w:type="spellEnd"/>
      <w:r w:rsidRPr="00B96BA2">
        <w:rPr>
          <w:color w:val="auto"/>
          <w:kern w:val="0"/>
          <w:lang w:val="en-US" w:eastAsia="en-US"/>
        </w:rPr>
        <w:t xml:space="preserve"> et al., 2018). While autogenous grafts remain a benchmark for predictable thickening, biomaterials can be appropriate in selected cases, especially when patient-centered outcomes (pain, morbidity, preference) are weighted heavily.</w:t>
      </w:r>
    </w:p>
    <w:p w14:paraId="00D817AD" w14:textId="77777777" w:rsidR="00B96BA2" w:rsidRPr="00B96BA2" w:rsidRDefault="00B96BA2" w:rsidP="00FB5724">
      <w:pPr>
        <w:spacing w:before="100" w:beforeAutospacing="1" w:after="100" w:afterAutospacing="1" w:line="240" w:lineRule="auto"/>
        <w:ind w:left="0" w:right="0" w:firstLine="0"/>
        <w:outlineLvl w:val="2"/>
        <w:rPr>
          <w:b/>
          <w:bCs/>
          <w:color w:val="auto"/>
          <w:kern w:val="0"/>
          <w:sz w:val="27"/>
          <w:szCs w:val="27"/>
          <w:lang w:val="en-US" w:eastAsia="en-US"/>
        </w:rPr>
      </w:pPr>
      <w:r w:rsidRPr="00B96BA2">
        <w:rPr>
          <w:b/>
          <w:bCs/>
          <w:color w:val="auto"/>
          <w:kern w:val="0"/>
          <w:sz w:val="27"/>
          <w:szCs w:val="27"/>
          <w:lang w:val="en-US" w:eastAsia="en-US"/>
        </w:rPr>
        <w:t xml:space="preserve">6.3 Regenerative and </w:t>
      </w:r>
      <w:proofErr w:type="spellStart"/>
      <w:r w:rsidRPr="00B96BA2">
        <w:rPr>
          <w:b/>
          <w:bCs/>
          <w:color w:val="auto"/>
          <w:kern w:val="0"/>
          <w:sz w:val="27"/>
          <w:szCs w:val="27"/>
          <w:lang w:val="en-US" w:eastAsia="en-US"/>
        </w:rPr>
        <w:t>resective</w:t>
      </w:r>
      <w:proofErr w:type="spellEnd"/>
      <w:r w:rsidRPr="00B96BA2">
        <w:rPr>
          <w:b/>
          <w:bCs/>
          <w:color w:val="auto"/>
          <w:kern w:val="0"/>
          <w:sz w:val="27"/>
          <w:szCs w:val="27"/>
          <w:lang w:val="en-US" w:eastAsia="en-US"/>
        </w:rPr>
        <w:t xml:space="preserve"> procedures, including crown lengthening</w:t>
      </w:r>
    </w:p>
    <w:p w14:paraId="7D10EDE8" w14:textId="509BB321"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Although the phenotype literature is strongest in recession therapy and implant-related bone remodeling, phenotype considerations extend to crown lengthening and </w:t>
      </w:r>
      <w:r w:rsidRPr="00D01C65">
        <w:rPr>
          <w:color w:val="auto"/>
          <w:kern w:val="0"/>
          <w:highlight w:val="yellow"/>
          <w:lang w:val="en-US" w:eastAsia="en-US"/>
        </w:rPr>
        <w:t>periodontal surgeries</w:t>
      </w:r>
      <w:r w:rsidR="00D35449" w:rsidRPr="00D01C65">
        <w:rPr>
          <w:color w:val="auto"/>
          <w:kern w:val="0"/>
          <w:highlight w:val="yellow"/>
          <w:lang w:val="en-US" w:eastAsia="en-US"/>
        </w:rPr>
        <w:t>,</w:t>
      </w:r>
      <w:r w:rsidRPr="00B96BA2">
        <w:rPr>
          <w:color w:val="auto"/>
          <w:kern w:val="0"/>
          <w:lang w:val="en-US" w:eastAsia="en-US"/>
        </w:rPr>
        <w:t xml:space="preserve"> where marginal tissue stability is required to protect restorative margins. Thin tissues are generally more prone to post-surgical recession, which can expose margins and compromise aesthetics. Thick tissues may be more forgiving but can also complicate contouring if excessive bulk remains. Even when direct trial evidence is limited for specific crown lengthening protocols, the biologic logic is consistent: the thinner the tissue, the more conservative and controlled surgical manipulation must be, and the more carefully restorative margin placement should respect </w:t>
      </w:r>
      <w:proofErr w:type="spellStart"/>
      <w:r w:rsidRPr="00B96BA2">
        <w:rPr>
          <w:color w:val="auto"/>
          <w:kern w:val="0"/>
          <w:lang w:val="en-US" w:eastAsia="en-US"/>
        </w:rPr>
        <w:t>supracrestal</w:t>
      </w:r>
      <w:proofErr w:type="spellEnd"/>
      <w:r w:rsidRPr="00B96BA2">
        <w:rPr>
          <w:color w:val="auto"/>
          <w:kern w:val="0"/>
          <w:lang w:val="en-US" w:eastAsia="en-US"/>
        </w:rPr>
        <w:t xml:space="preserve"> tissue dimensions and tissue tolerance.</w:t>
      </w:r>
    </w:p>
    <w:p w14:paraId="0D83E7FA" w14:textId="77777777" w:rsidR="00B96BA2" w:rsidRPr="00B96BA2" w:rsidRDefault="00B96BA2" w:rsidP="00FB5724">
      <w:pPr>
        <w:spacing w:after="0" w:line="240" w:lineRule="auto"/>
        <w:ind w:left="0" w:right="0" w:firstLine="0"/>
        <w:rPr>
          <w:color w:val="auto"/>
          <w:kern w:val="0"/>
          <w:lang w:val="en-US" w:eastAsia="en-US"/>
        </w:rPr>
      </w:pPr>
    </w:p>
    <w:p w14:paraId="18672914"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 xml:space="preserve">7. </w:t>
      </w:r>
      <w:r w:rsidRPr="009D7A21">
        <w:rPr>
          <w:b/>
          <w:bCs/>
          <w:color w:val="auto"/>
          <w:kern w:val="0"/>
          <w:sz w:val="28"/>
          <w:szCs w:val="36"/>
          <w:lang w:val="en-US" w:eastAsia="en-US"/>
        </w:rPr>
        <w:t>Orthodontics and recession risk: phenotype as an effect modifier</w:t>
      </w:r>
    </w:p>
    <w:p w14:paraId="489FB424"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lastRenderedPageBreak/>
        <w:t>Orthodontic tooth movement can challenge periodontal tissues, particularly when teeth are moved toward thin buccal plates or beyond the alveolar housing. The presence of a thin phenotype is often considered a risk enhancer for recession during or after orthodontic treatment, especially if plaque control is inadequate or if pre-existing dehiscence is present. A recent systematic review and meta-analysis evaluated the impact of orthodontic treatment on gingival recession and highlighted that recession risk is multifactorial, with phenotype and baseline periodontal conditions playing meaningful roles in susceptibility (</w:t>
      </w:r>
      <w:proofErr w:type="spellStart"/>
      <w:r w:rsidR="00F121D0">
        <w:rPr>
          <w:color w:val="auto"/>
          <w:kern w:val="0"/>
          <w:lang w:val="en-US" w:eastAsia="en-US"/>
        </w:rPr>
        <w:t>Cadenas</w:t>
      </w:r>
      <w:proofErr w:type="spellEnd"/>
      <w:r w:rsidR="00F121D0">
        <w:rPr>
          <w:color w:val="auto"/>
          <w:kern w:val="0"/>
          <w:lang w:val="en-US" w:eastAsia="en-US"/>
        </w:rPr>
        <w:t xml:space="preserve"> de Llano-</w:t>
      </w:r>
      <w:proofErr w:type="spellStart"/>
      <w:r w:rsidR="00F121D0">
        <w:rPr>
          <w:color w:val="auto"/>
          <w:kern w:val="0"/>
          <w:lang w:val="en-US" w:eastAsia="en-US"/>
        </w:rPr>
        <w:t>Pérula</w:t>
      </w:r>
      <w:proofErr w:type="spellEnd"/>
      <w:r w:rsidRPr="00B96BA2">
        <w:rPr>
          <w:color w:val="auto"/>
          <w:kern w:val="0"/>
          <w:lang w:val="en-US" w:eastAsia="en-US"/>
        </w:rPr>
        <w:t xml:space="preserve"> et al., 2023). Clinically, this supports pre-orthodontic periodontal evaluation that goes beyond probing depths and includes phenotype assessment, especially for patients with thin tissues, minimal keratinized tissue, or labially positioned roots.</w:t>
      </w:r>
    </w:p>
    <w:p w14:paraId="31CE94AF"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In interdisciplinary planning, the key question is not simply whether orthodontics “causes” recession, but under what anatomic and behavioral conditions recession becomes likely. Phenotype assessment helps identify patients who may benefit from preventive counseling, strict plaque control, and possibly soft tissue augmentation either before orthodontics (when recession risk is high and tissue is thin) or after orthodontics (when final tooth position reveals mucogingival limitations). The evidence base is not uniform enough to dictate a single timing strategy, but it is sufficient to justify phenotype-informed risk communication and tailored monitoring.</w:t>
      </w:r>
    </w:p>
    <w:p w14:paraId="5D2ABB9D" w14:textId="77777777" w:rsidR="00B96BA2" w:rsidRPr="00B96BA2" w:rsidRDefault="00B96BA2" w:rsidP="00FB5724">
      <w:pPr>
        <w:spacing w:after="0" w:line="240" w:lineRule="auto"/>
        <w:ind w:left="0" w:right="0" w:firstLine="0"/>
        <w:rPr>
          <w:color w:val="auto"/>
          <w:kern w:val="0"/>
          <w:lang w:val="en-US" w:eastAsia="en-US"/>
        </w:rPr>
      </w:pPr>
    </w:p>
    <w:p w14:paraId="4B6C5F29"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8. Implant and peri-implant therapy: the clinical meaning of mucosal thickness and peri-implant phenotype</w:t>
      </w:r>
    </w:p>
    <w:p w14:paraId="178B7BAB"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Implant dentistry has elevated phenotype from a cosmetic concern to a biologic stability factor because early crestal bone remodeling and marginal mucosal recession can compromise both function and appearance. Multiple systematic reviews and clinical trials have investigated whether thicker mucosa is associated with reduced marginal bone loss, particularly during the first year after loading.</w:t>
      </w:r>
    </w:p>
    <w:p w14:paraId="5D140571"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A systematic review and meta-analysis in the Journal of Periodontal &amp; Implant Science concluded that implants placed in sites with thicker mucosa (commonly operationalized as at least 2 mm) demonstrated less early marginal bone loss compared with thin mucosa, although the impact on survival and complications was less definitive (Di </w:t>
      </w:r>
      <w:proofErr w:type="spellStart"/>
      <w:r w:rsidRPr="00B96BA2">
        <w:rPr>
          <w:color w:val="auto"/>
          <w:kern w:val="0"/>
          <w:lang w:val="en-US" w:eastAsia="en-US"/>
        </w:rPr>
        <w:t>Gianfilippo</w:t>
      </w:r>
      <w:proofErr w:type="spellEnd"/>
      <w:r w:rsidRPr="00B96BA2">
        <w:rPr>
          <w:color w:val="auto"/>
          <w:kern w:val="0"/>
          <w:lang w:val="en-US" w:eastAsia="en-US"/>
        </w:rPr>
        <w:t xml:space="preserve"> et al., 2020). Another systematic review and meta-analysis in Clinical Oral Investigations similarly reported less short-term marginal bone loss in thick-mucosa groups, with weaker or nonsignificant differences in longer-term follow-up, highlighting heterogeneity and the likelihood that restorative and surgical variables interact with mucosal thickness effects (Tang et al., 2023). These findings support the concept that mucosal thickness is most influential during early remodeling and establishment of peri-implant </w:t>
      </w:r>
      <w:proofErr w:type="spellStart"/>
      <w:r w:rsidRPr="00B96BA2">
        <w:rPr>
          <w:color w:val="auto"/>
          <w:kern w:val="0"/>
          <w:lang w:val="en-US" w:eastAsia="en-US"/>
        </w:rPr>
        <w:t>supracrestal</w:t>
      </w:r>
      <w:proofErr w:type="spellEnd"/>
      <w:r w:rsidRPr="00B96BA2">
        <w:rPr>
          <w:color w:val="auto"/>
          <w:kern w:val="0"/>
          <w:lang w:val="en-US" w:eastAsia="en-US"/>
        </w:rPr>
        <w:t xml:space="preserve"> tissue attachment.</w:t>
      </w:r>
    </w:p>
    <w:p w14:paraId="6421B456"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Randomized clinical trial evidence further suggests that strategies aimed at increasing or preserving soft tissue thickness can influence crestal bone stability. A prospective controlled clinical trial assessed mucosal tissue thickening and its relationship to crestal bone stability around bone-level implants, supporting the view that tissue thickening may reduce unfavorable remodeling in selected contexts (</w:t>
      </w:r>
      <w:proofErr w:type="spellStart"/>
      <w:r w:rsidRPr="00B96BA2">
        <w:rPr>
          <w:color w:val="auto"/>
          <w:kern w:val="0"/>
          <w:lang w:val="en-US" w:eastAsia="en-US"/>
        </w:rPr>
        <w:t>Puisys</w:t>
      </w:r>
      <w:proofErr w:type="spellEnd"/>
      <w:r w:rsidRPr="00B96BA2">
        <w:rPr>
          <w:color w:val="auto"/>
          <w:kern w:val="0"/>
          <w:lang w:val="en-US" w:eastAsia="en-US"/>
        </w:rPr>
        <w:t xml:space="preserve"> &amp; </w:t>
      </w:r>
      <w:proofErr w:type="spellStart"/>
      <w:r w:rsidRPr="00B96BA2">
        <w:rPr>
          <w:color w:val="auto"/>
          <w:kern w:val="0"/>
          <w:lang w:val="en-US" w:eastAsia="en-US"/>
        </w:rPr>
        <w:t>Linkevicius</w:t>
      </w:r>
      <w:proofErr w:type="spellEnd"/>
      <w:r w:rsidRPr="00B96BA2">
        <w:rPr>
          <w:color w:val="auto"/>
          <w:kern w:val="0"/>
          <w:lang w:val="en-US" w:eastAsia="en-US"/>
        </w:rPr>
        <w:t xml:space="preserve">, 2015). Another randomized trial investigated submerged healing abutments or </w:t>
      </w:r>
      <w:proofErr w:type="spellStart"/>
      <w:r w:rsidRPr="00B96BA2">
        <w:rPr>
          <w:color w:val="auto"/>
          <w:kern w:val="0"/>
          <w:lang w:val="en-US" w:eastAsia="en-US"/>
        </w:rPr>
        <w:t>subcrestal</w:t>
      </w:r>
      <w:proofErr w:type="spellEnd"/>
      <w:r w:rsidRPr="00B96BA2">
        <w:rPr>
          <w:color w:val="auto"/>
          <w:kern w:val="0"/>
          <w:lang w:val="en-US" w:eastAsia="en-US"/>
        </w:rPr>
        <w:t xml:space="preserve"> placement in </w:t>
      </w:r>
      <w:r w:rsidRPr="00B96BA2">
        <w:rPr>
          <w:color w:val="auto"/>
          <w:kern w:val="0"/>
          <w:lang w:val="en-US" w:eastAsia="en-US"/>
        </w:rPr>
        <w:lastRenderedPageBreak/>
        <w:t>relation to soft tissue thickness and crestal bone stability, reinforcing that surgical and restorative design choices intersect with tissue phenotype and may mitigate early exposure or remodeling risks (</w:t>
      </w:r>
      <w:proofErr w:type="spellStart"/>
      <w:r w:rsidRPr="00B96BA2">
        <w:rPr>
          <w:color w:val="auto"/>
          <w:kern w:val="0"/>
          <w:lang w:val="en-US" w:eastAsia="en-US"/>
        </w:rPr>
        <w:t>Linkevicius</w:t>
      </w:r>
      <w:proofErr w:type="spellEnd"/>
      <w:r w:rsidRPr="00B96BA2">
        <w:rPr>
          <w:color w:val="auto"/>
          <w:kern w:val="0"/>
          <w:lang w:val="en-US" w:eastAsia="en-US"/>
        </w:rPr>
        <w:t xml:space="preserve"> et al., 2020). Complementary evidence indicates that vertical position adaptation relative to soft tissue thickness can help prevent early implant surface exposure, underscoring that phenotype is actionable and not merely descriptive (</w:t>
      </w:r>
      <w:proofErr w:type="spellStart"/>
      <w:r w:rsidRPr="00B96BA2">
        <w:rPr>
          <w:color w:val="auto"/>
          <w:kern w:val="0"/>
          <w:lang w:val="en-US" w:eastAsia="en-US"/>
        </w:rPr>
        <w:t>Vervaeke</w:t>
      </w:r>
      <w:proofErr w:type="spellEnd"/>
      <w:r w:rsidRPr="00B96BA2">
        <w:rPr>
          <w:color w:val="auto"/>
          <w:kern w:val="0"/>
          <w:lang w:val="en-US" w:eastAsia="en-US"/>
        </w:rPr>
        <w:t xml:space="preserve"> et al., 2018).</w:t>
      </w:r>
    </w:p>
    <w:p w14:paraId="7C1043D8" w14:textId="60681276"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Beyond marginal bone levels, peri-implant phenotype influences aesthetic integration. Thin peri-implant mucosa is more susceptible to recession and translucency, which can reveal abutment color and disrupt the soft tissue frame. A systematic review in Evidence-Based Dentistry examined whether gingival phenotype influences implant survival and clinical parameters; it concluded that survival is generally high in both phenotypes but suggested that </w:t>
      </w:r>
      <w:r w:rsidR="00D35449" w:rsidRPr="00D01C65">
        <w:rPr>
          <w:color w:val="auto"/>
          <w:kern w:val="0"/>
          <w:highlight w:val="yellow"/>
          <w:lang w:val="en-US" w:eastAsia="en-US"/>
        </w:rPr>
        <w:t xml:space="preserve">the </w:t>
      </w:r>
      <w:r w:rsidRPr="00D01C65">
        <w:rPr>
          <w:color w:val="auto"/>
          <w:kern w:val="0"/>
          <w:highlight w:val="yellow"/>
          <w:lang w:val="en-US" w:eastAsia="en-US"/>
        </w:rPr>
        <w:t xml:space="preserve">thin </w:t>
      </w:r>
      <w:r w:rsidRPr="00B96BA2">
        <w:rPr>
          <w:color w:val="auto"/>
          <w:kern w:val="0"/>
          <w:lang w:val="en-US" w:eastAsia="en-US"/>
        </w:rPr>
        <w:t xml:space="preserve">phenotype may be indirectly associated </w:t>
      </w:r>
      <w:r w:rsidRPr="00D01C65">
        <w:rPr>
          <w:color w:val="auto"/>
          <w:kern w:val="0"/>
          <w:highlight w:val="yellow"/>
          <w:lang w:val="en-US" w:eastAsia="en-US"/>
        </w:rPr>
        <w:t xml:space="preserve">with </w:t>
      </w:r>
      <w:r w:rsidR="00D35449" w:rsidRPr="00D01C65">
        <w:rPr>
          <w:color w:val="auto"/>
          <w:kern w:val="0"/>
          <w:highlight w:val="yellow"/>
          <w:lang w:val="en-US" w:eastAsia="en-US"/>
        </w:rPr>
        <w:t xml:space="preserve">a </w:t>
      </w:r>
      <w:r w:rsidRPr="00D01C65">
        <w:rPr>
          <w:color w:val="auto"/>
          <w:kern w:val="0"/>
          <w:highlight w:val="yellow"/>
          <w:lang w:val="en-US" w:eastAsia="en-US"/>
        </w:rPr>
        <w:t xml:space="preserve">higher </w:t>
      </w:r>
      <w:r w:rsidRPr="00B96BA2">
        <w:rPr>
          <w:color w:val="auto"/>
          <w:kern w:val="0"/>
          <w:lang w:val="en-US" w:eastAsia="en-US"/>
        </w:rPr>
        <w:t>risk of peri-implant complications and marginal bone concerns (da Silva et al., 2025). This aligns with the broader peri-implant phenotype concept proposed in the periodontology literature, which frames peri-implant soft tissue quality and quantity as a cornerstone of risk management and long-term maintenance (Avila-Ortiz et al., 2020).</w:t>
      </w:r>
    </w:p>
    <w:p w14:paraId="1707B84C" w14:textId="77777777" w:rsidR="00B96BA2" w:rsidRPr="00B96BA2" w:rsidRDefault="00B96BA2" w:rsidP="00FB5724">
      <w:pPr>
        <w:spacing w:after="0" w:line="240" w:lineRule="auto"/>
        <w:ind w:left="0" w:right="0" w:firstLine="0"/>
        <w:rPr>
          <w:color w:val="auto"/>
          <w:kern w:val="0"/>
          <w:lang w:val="en-US" w:eastAsia="en-US"/>
        </w:rPr>
      </w:pPr>
    </w:p>
    <w:p w14:paraId="1E35F4A2"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9. Toward phenotype-based personalized periodontics: practical decision pathways and future directions</w:t>
      </w:r>
    </w:p>
    <w:p w14:paraId="16F6A719" w14:textId="3FEF5C41"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 xml:space="preserve">A clinically useful way to apply phenotype </w:t>
      </w:r>
      <w:r w:rsidR="009D7A21" w:rsidRPr="009D7A21">
        <w:rPr>
          <w:szCs w:val="20"/>
          <w:highlight w:val="yellow"/>
        </w:rPr>
        <w:t>principles</w:t>
      </w:r>
      <w:r w:rsidR="009D7A21" w:rsidRPr="009D7A21">
        <w:rPr>
          <w:color w:val="auto"/>
          <w:kern w:val="0"/>
          <w:sz w:val="32"/>
          <w:lang w:val="en-US" w:eastAsia="en-US"/>
        </w:rPr>
        <w:t xml:space="preserve"> </w:t>
      </w:r>
      <w:r w:rsidRPr="00B96BA2">
        <w:rPr>
          <w:color w:val="auto"/>
          <w:kern w:val="0"/>
          <w:lang w:val="en-US" w:eastAsia="en-US"/>
        </w:rPr>
        <w:t xml:space="preserve">is to treat it as a risk </w:t>
      </w:r>
      <w:proofErr w:type="spellStart"/>
      <w:r w:rsidRPr="00B96BA2">
        <w:rPr>
          <w:color w:val="auto"/>
          <w:kern w:val="0"/>
          <w:lang w:val="en-US" w:eastAsia="en-US"/>
        </w:rPr>
        <w:t>stratifier</w:t>
      </w:r>
      <w:proofErr w:type="spellEnd"/>
      <w:r w:rsidRPr="00B96BA2">
        <w:rPr>
          <w:color w:val="auto"/>
          <w:kern w:val="0"/>
          <w:lang w:val="en-US" w:eastAsia="en-US"/>
        </w:rPr>
        <w:t xml:space="preserve"> that changes thresholds for intervention rather than as a rigid classifier. In a thick phenotype, many procedures remain predictable with conventional protocols, provided plaque control is adequate and surgery is performed with low tension and proper flap design. In thin phenotypes, clinicians may need to consider additional measures: gentler flap management, more conservative osseous resection in aesthetic zones, careful restorative margin placement, and a lower threshold for soft tissue augmentation when long-term marginal stability is critical.</w:t>
      </w:r>
    </w:p>
    <w:p w14:paraId="0F751F0F"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The most promising future direction is standardization. Today, clinicians may label the same patient differently depending on lighting, probe type, and examiner experience. Digital dentistry offers a route to reproducible phenotype mapping. Integrating CBCT-derived bone morphotype with optical scanning and, where available, ultrasound-based gingival thickness measurement could enable objective phenotype profiles that can be tracked longitudinally. The feasibility of such integrated approaches has been discussed in contemporary reviews, which emphasize both potential benefits and the need for validated protocols to avoid overinterpretation of imaging artifacts or non-standardized measurement points (</w:t>
      </w:r>
      <w:r w:rsidR="00345946">
        <w:rPr>
          <w:color w:val="auto"/>
          <w:kern w:val="0"/>
          <w:lang w:val="en-US" w:eastAsia="en-US"/>
        </w:rPr>
        <w:t>Schulze et al., 2024</w:t>
      </w:r>
      <w:r w:rsidRPr="00B96BA2">
        <w:rPr>
          <w:color w:val="auto"/>
          <w:kern w:val="0"/>
          <w:lang w:val="en-US" w:eastAsia="en-US"/>
        </w:rPr>
        <w:t>). As phenotype measures become more standardized, research may progress from broadly associational findings (thin vs thick) to more precise, procedure-specific thresholds and predictive models.</w:t>
      </w:r>
    </w:p>
    <w:p w14:paraId="1B35460A" w14:textId="77777777" w:rsidR="00B96BA2" w:rsidRPr="00B96BA2" w:rsidRDefault="00B96BA2" w:rsidP="00FB5724">
      <w:pPr>
        <w:spacing w:after="0" w:line="240" w:lineRule="auto"/>
        <w:ind w:left="0" w:right="0" w:firstLine="0"/>
        <w:rPr>
          <w:color w:val="auto"/>
          <w:kern w:val="0"/>
          <w:lang w:val="en-US" w:eastAsia="en-US"/>
        </w:rPr>
      </w:pPr>
    </w:p>
    <w:p w14:paraId="65CC9AF6"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10. Conclusions</w:t>
      </w:r>
    </w:p>
    <w:p w14:paraId="7561CB72"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lastRenderedPageBreak/>
        <w:t>Gingival biotype, now more comprehensively understood as periodontal phenotype, has clear clinical relevance across periodontics and implant dentistry. Thin phenotypes are generally more vulnerable to marginal tissue instability and recession, particularly under inflammatory or mechanical challenge, and may show less predictable aesthetic stability following surgical and restorative interventions. Thick phenotypes often demonstrate greater marginal stability and better masking capacity, although they are not immune to complications. Current evidence supports phenotype-informed treatment planning in mucogingival surgery and peri-implant care, especially where tissue thickness is linked to early remodeling and the stability of soft tissue outcomes. Importantly, phenotype is modifiable; targeted soft tissue augmentation strategies can improve the biological and aesthetic environment, potentially reducing risk and improving predictability. The next phase of progress will depend on standardized, reproducible phenotype measurement methods—likely supported by digital diagnostics—so that phenotype-based personalization can move from expert intuition to evidence-driven protocols.</w:t>
      </w:r>
    </w:p>
    <w:p w14:paraId="43C6CCD3" w14:textId="77777777" w:rsidR="00B96BA2" w:rsidRPr="00B96BA2" w:rsidRDefault="00B96BA2" w:rsidP="00FB5724">
      <w:pPr>
        <w:spacing w:after="0" w:line="240" w:lineRule="auto"/>
        <w:ind w:left="0" w:right="0" w:firstLine="0"/>
        <w:rPr>
          <w:color w:val="auto"/>
          <w:kern w:val="0"/>
          <w:lang w:val="en-US" w:eastAsia="en-US"/>
        </w:rPr>
      </w:pPr>
    </w:p>
    <w:p w14:paraId="3CAC9098"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11. Limitations</w:t>
      </w:r>
    </w:p>
    <w:p w14:paraId="4333FE2C" w14:textId="77777777" w:rsidR="00B96BA2" w:rsidRPr="00B96BA2" w:rsidRDefault="00B96BA2" w:rsidP="00FB5724">
      <w:pPr>
        <w:spacing w:before="100" w:beforeAutospacing="1" w:after="100" w:afterAutospacing="1" w:line="240" w:lineRule="auto"/>
        <w:ind w:left="0" w:right="0" w:firstLine="0"/>
        <w:rPr>
          <w:color w:val="auto"/>
          <w:kern w:val="0"/>
          <w:lang w:val="en-US" w:eastAsia="en-US"/>
        </w:rPr>
      </w:pPr>
      <w:r w:rsidRPr="00B96BA2">
        <w:rPr>
          <w:color w:val="auto"/>
          <w:kern w:val="0"/>
          <w:lang w:val="en-US" w:eastAsia="en-US"/>
        </w:rPr>
        <w:t>This review is narrative in nature and therefore cannot eliminate selection bias inherent in non-systematic synthesis. Although emphasis was placed on systematic reviews, randomized trials, and consensus reports, differences in phenotype definitions, measurement points, and outcome reporting across studies limit direct comparability. Additionally, many clinical outcomes are influenced by confounders such as oral hygiene, smoking, surgical technique variation, and restorative design; therefore, phenotype should be interpreted as a risk modifier rather than a deterministic predictor. Finally, because clinical trials often enroll selected patient populations, generalizability to diverse ethnic groups and broader clinical settings may be incomplete.</w:t>
      </w:r>
    </w:p>
    <w:p w14:paraId="15ED802C" w14:textId="77777777" w:rsidR="009D7A21" w:rsidRPr="00D01C65" w:rsidRDefault="009D7A21" w:rsidP="009D7A21">
      <w:pPr>
        <w:rPr>
          <w:b/>
          <w:highlight w:val="yellow"/>
        </w:rPr>
      </w:pPr>
      <w:r w:rsidRPr="00D01C65">
        <w:rPr>
          <w:b/>
          <w:highlight w:val="yellow"/>
        </w:rPr>
        <w:t>Disclaimer (Artificial intelligence)</w:t>
      </w:r>
    </w:p>
    <w:p w14:paraId="5EA66F3E" w14:textId="77777777" w:rsidR="009D7A21" w:rsidRDefault="009D7A21" w:rsidP="009D7A21">
      <w:r w:rsidRPr="00D01C65">
        <w:rPr>
          <w:highlight w:val="yellow"/>
        </w:rPr>
        <w:t>Author(s) hereby declare that NO generative AI technologies such as Large Language Models (</w:t>
      </w:r>
      <w:proofErr w:type="spellStart"/>
      <w:r w:rsidRPr="00D01C65">
        <w:rPr>
          <w:highlight w:val="yellow"/>
        </w:rPr>
        <w:t>ChatGPT</w:t>
      </w:r>
      <w:proofErr w:type="spellEnd"/>
      <w:r w:rsidRPr="00D01C65">
        <w:rPr>
          <w:highlight w:val="yellow"/>
        </w:rPr>
        <w:t>, COPILOT, etc.) and text-to-image generators have been used during the writing or editing of this manuscript.</w:t>
      </w:r>
      <w:r>
        <w:t xml:space="preserve"> </w:t>
      </w:r>
    </w:p>
    <w:p w14:paraId="3CAAA77D" w14:textId="77777777" w:rsidR="00B96BA2" w:rsidRPr="00B96BA2" w:rsidRDefault="00B96BA2" w:rsidP="00FB5724">
      <w:pPr>
        <w:spacing w:after="0" w:line="240" w:lineRule="auto"/>
        <w:ind w:left="0" w:right="0" w:firstLine="0"/>
        <w:rPr>
          <w:color w:val="auto"/>
          <w:kern w:val="0"/>
          <w:lang w:val="en-US" w:eastAsia="en-US"/>
        </w:rPr>
      </w:pPr>
    </w:p>
    <w:p w14:paraId="79E84784" w14:textId="77777777" w:rsidR="00B96BA2" w:rsidRPr="00B96BA2" w:rsidRDefault="00B96BA2" w:rsidP="00FB5724">
      <w:pPr>
        <w:spacing w:before="100" w:beforeAutospacing="1" w:after="100" w:afterAutospacing="1" w:line="240" w:lineRule="auto"/>
        <w:ind w:left="0" w:right="0" w:firstLine="0"/>
        <w:outlineLvl w:val="1"/>
        <w:rPr>
          <w:b/>
          <w:bCs/>
          <w:color w:val="auto"/>
          <w:kern w:val="0"/>
          <w:sz w:val="36"/>
          <w:szCs w:val="36"/>
          <w:lang w:val="en-US" w:eastAsia="en-US"/>
        </w:rPr>
      </w:pPr>
      <w:r w:rsidRPr="00B96BA2">
        <w:rPr>
          <w:b/>
          <w:bCs/>
          <w:color w:val="auto"/>
          <w:kern w:val="0"/>
          <w:sz w:val="36"/>
          <w:szCs w:val="36"/>
          <w:lang w:val="en-US" w:eastAsia="en-US"/>
        </w:rPr>
        <w:t xml:space="preserve">References </w:t>
      </w:r>
    </w:p>
    <w:p w14:paraId="5F0C7C60"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Avila-Ortiz, G., Gonzalez-Martin, O., </w:t>
      </w:r>
      <w:proofErr w:type="spellStart"/>
      <w:r w:rsidRPr="003D52BF">
        <w:rPr>
          <w:color w:val="212121"/>
          <w:shd w:val="clear" w:color="auto" w:fill="FFFFFF"/>
        </w:rPr>
        <w:t>Couso-Queiruga</w:t>
      </w:r>
      <w:proofErr w:type="spellEnd"/>
      <w:r w:rsidRPr="003D52BF">
        <w:rPr>
          <w:color w:val="212121"/>
          <w:shd w:val="clear" w:color="auto" w:fill="FFFFFF"/>
        </w:rPr>
        <w:t>, E., &amp; Wang, H. L. (2020). The peri-implant phenotype. </w:t>
      </w:r>
      <w:r w:rsidRPr="003D52BF">
        <w:rPr>
          <w:i/>
          <w:iCs/>
          <w:color w:val="212121"/>
          <w:shd w:val="clear" w:color="auto" w:fill="FFFFFF"/>
        </w:rPr>
        <w:t>Journal of periodontology</w:t>
      </w:r>
      <w:r w:rsidRPr="003D52BF">
        <w:rPr>
          <w:color w:val="212121"/>
          <w:shd w:val="clear" w:color="auto" w:fill="FFFFFF"/>
        </w:rPr>
        <w:t>, </w:t>
      </w:r>
      <w:r w:rsidRPr="003D52BF">
        <w:rPr>
          <w:i/>
          <w:iCs/>
          <w:color w:val="212121"/>
          <w:shd w:val="clear" w:color="auto" w:fill="FFFFFF"/>
        </w:rPr>
        <w:t>91</w:t>
      </w:r>
      <w:r w:rsidRPr="003D52BF">
        <w:rPr>
          <w:color w:val="212121"/>
          <w:shd w:val="clear" w:color="auto" w:fill="FFFFFF"/>
        </w:rPr>
        <w:t xml:space="preserve">(3), 283–288. </w:t>
      </w:r>
      <w:hyperlink r:id="rId8" w:history="1">
        <w:r w:rsidRPr="003D52BF">
          <w:rPr>
            <w:rStyle w:val="Hyperlink"/>
            <w:shd w:val="clear" w:color="auto" w:fill="FFFFFF"/>
          </w:rPr>
          <w:t>https://doi.org/10.1002/JPER.19-0566</w:t>
        </w:r>
      </w:hyperlink>
      <w:r w:rsidRPr="003D52BF">
        <w:rPr>
          <w:color w:val="212121"/>
          <w:shd w:val="clear" w:color="auto" w:fill="FFFFFF"/>
        </w:rPr>
        <w:t xml:space="preserve"> </w:t>
      </w:r>
    </w:p>
    <w:p w14:paraId="7D0C5E97"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Cadenas</w:t>
      </w:r>
      <w:proofErr w:type="spellEnd"/>
      <w:r w:rsidRPr="003D52BF">
        <w:rPr>
          <w:color w:val="212121"/>
          <w:shd w:val="clear" w:color="auto" w:fill="FFFFFF"/>
        </w:rPr>
        <w:t xml:space="preserve"> de Llano-</w:t>
      </w:r>
      <w:proofErr w:type="spellStart"/>
      <w:r w:rsidRPr="003D52BF">
        <w:rPr>
          <w:color w:val="212121"/>
          <w:shd w:val="clear" w:color="auto" w:fill="FFFFFF"/>
        </w:rPr>
        <w:t>Pérula</w:t>
      </w:r>
      <w:proofErr w:type="spellEnd"/>
      <w:r w:rsidRPr="003D52BF">
        <w:rPr>
          <w:color w:val="212121"/>
          <w:shd w:val="clear" w:color="auto" w:fill="FFFFFF"/>
        </w:rPr>
        <w:t xml:space="preserve">, M., Castro, A. B., </w:t>
      </w:r>
      <w:proofErr w:type="spellStart"/>
      <w:r w:rsidRPr="003D52BF">
        <w:rPr>
          <w:color w:val="212121"/>
          <w:shd w:val="clear" w:color="auto" w:fill="FFFFFF"/>
        </w:rPr>
        <w:t>Danneels</w:t>
      </w:r>
      <w:proofErr w:type="spellEnd"/>
      <w:r w:rsidRPr="003D52BF">
        <w:rPr>
          <w:color w:val="212121"/>
          <w:shd w:val="clear" w:color="auto" w:fill="FFFFFF"/>
        </w:rPr>
        <w:t xml:space="preserve">, M., </w:t>
      </w:r>
      <w:proofErr w:type="spellStart"/>
      <w:r w:rsidRPr="003D52BF">
        <w:rPr>
          <w:color w:val="212121"/>
          <w:shd w:val="clear" w:color="auto" w:fill="FFFFFF"/>
        </w:rPr>
        <w:t>Schelfhout</w:t>
      </w:r>
      <w:proofErr w:type="spellEnd"/>
      <w:r w:rsidRPr="003D52BF">
        <w:rPr>
          <w:color w:val="212121"/>
          <w:shd w:val="clear" w:color="auto" w:fill="FFFFFF"/>
        </w:rPr>
        <w:t xml:space="preserve">, A., </w:t>
      </w:r>
      <w:proofErr w:type="spellStart"/>
      <w:r w:rsidRPr="003D52BF">
        <w:rPr>
          <w:color w:val="212121"/>
          <w:shd w:val="clear" w:color="auto" w:fill="FFFFFF"/>
        </w:rPr>
        <w:t>Teughels</w:t>
      </w:r>
      <w:proofErr w:type="spellEnd"/>
      <w:r w:rsidRPr="003D52BF">
        <w:rPr>
          <w:color w:val="212121"/>
          <w:shd w:val="clear" w:color="auto" w:fill="FFFFFF"/>
        </w:rPr>
        <w:t>, W., &amp; Willems, G. (2023). Risk factors for gingival recessions after orthodontic treatment: a systematic review. </w:t>
      </w:r>
      <w:r w:rsidRPr="003D52BF">
        <w:rPr>
          <w:i/>
          <w:iCs/>
          <w:color w:val="212121"/>
          <w:shd w:val="clear" w:color="auto" w:fill="FFFFFF"/>
        </w:rPr>
        <w:t>European journal of orthodontics</w:t>
      </w:r>
      <w:r w:rsidRPr="003D52BF">
        <w:rPr>
          <w:color w:val="212121"/>
          <w:shd w:val="clear" w:color="auto" w:fill="FFFFFF"/>
        </w:rPr>
        <w:t>, </w:t>
      </w:r>
      <w:r w:rsidRPr="003D52BF">
        <w:rPr>
          <w:i/>
          <w:iCs/>
          <w:color w:val="212121"/>
          <w:shd w:val="clear" w:color="auto" w:fill="FFFFFF"/>
        </w:rPr>
        <w:t>45</w:t>
      </w:r>
      <w:r w:rsidRPr="003D52BF">
        <w:rPr>
          <w:color w:val="212121"/>
          <w:shd w:val="clear" w:color="auto" w:fill="FFFFFF"/>
        </w:rPr>
        <w:t xml:space="preserve">(5), 528–544. </w:t>
      </w:r>
      <w:hyperlink r:id="rId9" w:history="1">
        <w:r w:rsidRPr="003D52BF">
          <w:rPr>
            <w:rStyle w:val="Hyperlink"/>
            <w:shd w:val="clear" w:color="auto" w:fill="FFFFFF"/>
          </w:rPr>
          <w:t>https://doi.org/10.1093/ejo/cjad026</w:t>
        </w:r>
      </w:hyperlink>
      <w:r w:rsidRPr="003D52BF">
        <w:rPr>
          <w:color w:val="212121"/>
          <w:shd w:val="clear" w:color="auto" w:fill="FFFFFF"/>
        </w:rPr>
        <w:t xml:space="preserve"> </w:t>
      </w:r>
    </w:p>
    <w:p w14:paraId="5E95C063"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Cairo, F., </w:t>
      </w:r>
      <w:proofErr w:type="spellStart"/>
      <w:r w:rsidRPr="003D52BF">
        <w:rPr>
          <w:color w:val="212121"/>
          <w:shd w:val="clear" w:color="auto" w:fill="FFFFFF"/>
        </w:rPr>
        <w:t>Cortellini</w:t>
      </w:r>
      <w:proofErr w:type="spellEnd"/>
      <w:r w:rsidRPr="003D52BF">
        <w:rPr>
          <w:color w:val="212121"/>
          <w:shd w:val="clear" w:color="auto" w:fill="FFFFFF"/>
        </w:rPr>
        <w:t xml:space="preserve">, P., </w:t>
      </w:r>
      <w:proofErr w:type="spellStart"/>
      <w:r w:rsidRPr="003D52BF">
        <w:rPr>
          <w:color w:val="212121"/>
          <w:shd w:val="clear" w:color="auto" w:fill="FFFFFF"/>
        </w:rPr>
        <w:t>Nieri</w:t>
      </w:r>
      <w:proofErr w:type="spellEnd"/>
      <w:r w:rsidRPr="003D52BF">
        <w:rPr>
          <w:color w:val="212121"/>
          <w:shd w:val="clear" w:color="auto" w:fill="FFFFFF"/>
        </w:rPr>
        <w:t xml:space="preserve">, M., </w:t>
      </w:r>
      <w:proofErr w:type="spellStart"/>
      <w:r w:rsidRPr="003D52BF">
        <w:rPr>
          <w:color w:val="212121"/>
          <w:shd w:val="clear" w:color="auto" w:fill="FFFFFF"/>
        </w:rPr>
        <w:t>Pilloni</w:t>
      </w:r>
      <w:proofErr w:type="spellEnd"/>
      <w:r w:rsidRPr="003D52BF">
        <w:rPr>
          <w:color w:val="212121"/>
          <w:shd w:val="clear" w:color="auto" w:fill="FFFFFF"/>
        </w:rPr>
        <w:t xml:space="preserve">, A., </w:t>
      </w:r>
      <w:proofErr w:type="spellStart"/>
      <w:r w:rsidRPr="003D52BF">
        <w:rPr>
          <w:color w:val="212121"/>
          <w:shd w:val="clear" w:color="auto" w:fill="FFFFFF"/>
        </w:rPr>
        <w:t>Barbato</w:t>
      </w:r>
      <w:proofErr w:type="spellEnd"/>
      <w:r w:rsidRPr="003D52BF">
        <w:rPr>
          <w:color w:val="212121"/>
          <w:shd w:val="clear" w:color="auto" w:fill="FFFFFF"/>
        </w:rPr>
        <w:t xml:space="preserve">, L., </w:t>
      </w:r>
      <w:proofErr w:type="spellStart"/>
      <w:r w:rsidRPr="003D52BF">
        <w:rPr>
          <w:color w:val="212121"/>
          <w:shd w:val="clear" w:color="auto" w:fill="FFFFFF"/>
        </w:rPr>
        <w:t>Pagavino</w:t>
      </w:r>
      <w:proofErr w:type="spellEnd"/>
      <w:r w:rsidRPr="003D52BF">
        <w:rPr>
          <w:color w:val="212121"/>
          <w:shd w:val="clear" w:color="auto" w:fill="FFFFFF"/>
        </w:rPr>
        <w:t xml:space="preserve">, G., &amp; </w:t>
      </w:r>
      <w:proofErr w:type="spellStart"/>
      <w:r w:rsidRPr="003D52BF">
        <w:rPr>
          <w:color w:val="212121"/>
          <w:shd w:val="clear" w:color="auto" w:fill="FFFFFF"/>
        </w:rPr>
        <w:t>Tonetti</w:t>
      </w:r>
      <w:proofErr w:type="spellEnd"/>
      <w:r w:rsidRPr="003D52BF">
        <w:rPr>
          <w:color w:val="212121"/>
          <w:shd w:val="clear" w:color="auto" w:fill="FFFFFF"/>
        </w:rPr>
        <w:t xml:space="preserve">, M. (2020). Coronally advanced flap and composite restoration of the enamel with or without </w:t>
      </w:r>
      <w:r w:rsidRPr="003D52BF">
        <w:rPr>
          <w:color w:val="212121"/>
          <w:shd w:val="clear" w:color="auto" w:fill="FFFFFF"/>
        </w:rPr>
        <w:lastRenderedPageBreak/>
        <w:t>connective tissue graft for the treatment of single maxillary gingival recession with non-carious cervical lesion. A randomized controlled clinical trial. </w:t>
      </w:r>
      <w:r w:rsidRPr="003D52BF">
        <w:rPr>
          <w:i/>
          <w:iCs/>
          <w:color w:val="212121"/>
          <w:shd w:val="clear" w:color="auto" w:fill="FFFFFF"/>
        </w:rPr>
        <w:t>Journal of clinical periodontology</w:t>
      </w:r>
      <w:r w:rsidRPr="003D52BF">
        <w:rPr>
          <w:color w:val="212121"/>
          <w:shd w:val="clear" w:color="auto" w:fill="FFFFFF"/>
        </w:rPr>
        <w:t>, </w:t>
      </w:r>
      <w:r w:rsidRPr="003D52BF">
        <w:rPr>
          <w:i/>
          <w:iCs/>
          <w:color w:val="212121"/>
          <w:shd w:val="clear" w:color="auto" w:fill="FFFFFF"/>
        </w:rPr>
        <w:t>47</w:t>
      </w:r>
      <w:r w:rsidRPr="003D52BF">
        <w:rPr>
          <w:color w:val="212121"/>
          <w:shd w:val="clear" w:color="auto" w:fill="FFFFFF"/>
        </w:rPr>
        <w:t xml:space="preserve">(3), 362–371. </w:t>
      </w:r>
      <w:hyperlink r:id="rId10" w:history="1">
        <w:r w:rsidRPr="003D52BF">
          <w:rPr>
            <w:rStyle w:val="Hyperlink"/>
            <w:shd w:val="clear" w:color="auto" w:fill="FFFFFF"/>
          </w:rPr>
          <w:t>https://doi.org/10.1111/jcpe.13229</w:t>
        </w:r>
      </w:hyperlink>
      <w:r w:rsidRPr="003D52BF">
        <w:rPr>
          <w:color w:val="212121"/>
          <w:shd w:val="clear" w:color="auto" w:fill="FFFFFF"/>
        </w:rPr>
        <w:t xml:space="preserve"> </w:t>
      </w:r>
    </w:p>
    <w:p w14:paraId="320287A2"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Caton, J. G., Armitage, G., </w:t>
      </w:r>
      <w:proofErr w:type="spellStart"/>
      <w:r w:rsidRPr="003D52BF">
        <w:rPr>
          <w:color w:val="212121"/>
          <w:shd w:val="clear" w:color="auto" w:fill="FFFFFF"/>
        </w:rPr>
        <w:t>Berglundh</w:t>
      </w:r>
      <w:proofErr w:type="spellEnd"/>
      <w:r w:rsidRPr="003D52BF">
        <w:rPr>
          <w:color w:val="212121"/>
          <w:shd w:val="clear" w:color="auto" w:fill="FFFFFF"/>
        </w:rPr>
        <w:t xml:space="preserve">, T., Chapple, I. L. C., Jepsen, S., </w:t>
      </w:r>
      <w:proofErr w:type="spellStart"/>
      <w:r w:rsidRPr="003D52BF">
        <w:rPr>
          <w:color w:val="212121"/>
          <w:shd w:val="clear" w:color="auto" w:fill="FFFFFF"/>
        </w:rPr>
        <w:t>Kornman</w:t>
      </w:r>
      <w:proofErr w:type="spellEnd"/>
      <w:r w:rsidRPr="003D52BF">
        <w:rPr>
          <w:color w:val="212121"/>
          <w:shd w:val="clear" w:color="auto" w:fill="FFFFFF"/>
        </w:rPr>
        <w:t xml:space="preserve">, K. S., </w:t>
      </w:r>
      <w:proofErr w:type="spellStart"/>
      <w:r w:rsidRPr="003D52BF">
        <w:rPr>
          <w:color w:val="212121"/>
          <w:shd w:val="clear" w:color="auto" w:fill="FFFFFF"/>
        </w:rPr>
        <w:t>Mealey</w:t>
      </w:r>
      <w:proofErr w:type="spellEnd"/>
      <w:r w:rsidRPr="003D52BF">
        <w:rPr>
          <w:color w:val="212121"/>
          <w:shd w:val="clear" w:color="auto" w:fill="FFFFFF"/>
        </w:rPr>
        <w:t xml:space="preserve">, B. L., </w:t>
      </w:r>
      <w:proofErr w:type="spellStart"/>
      <w:r w:rsidRPr="003D52BF">
        <w:rPr>
          <w:color w:val="212121"/>
          <w:shd w:val="clear" w:color="auto" w:fill="FFFFFF"/>
        </w:rPr>
        <w:t>Papapanou</w:t>
      </w:r>
      <w:proofErr w:type="spellEnd"/>
      <w:r w:rsidRPr="003D52BF">
        <w:rPr>
          <w:color w:val="212121"/>
          <w:shd w:val="clear" w:color="auto" w:fill="FFFFFF"/>
        </w:rPr>
        <w:t xml:space="preserve">, P. N., Sanz, M., &amp; </w:t>
      </w:r>
      <w:proofErr w:type="spellStart"/>
      <w:r w:rsidRPr="003D52BF">
        <w:rPr>
          <w:color w:val="212121"/>
          <w:shd w:val="clear" w:color="auto" w:fill="FFFFFF"/>
        </w:rPr>
        <w:t>Tonetti</w:t>
      </w:r>
      <w:proofErr w:type="spellEnd"/>
      <w:r w:rsidRPr="003D52BF">
        <w:rPr>
          <w:color w:val="212121"/>
          <w:shd w:val="clear" w:color="auto" w:fill="FFFFFF"/>
        </w:rPr>
        <w:t>, M. S. (2018). A new classification scheme for periodontal and peri-implant diseases and conditions - Introduction and key changes from the 1999 classification. </w:t>
      </w:r>
      <w:r w:rsidRPr="003D52BF">
        <w:rPr>
          <w:i/>
          <w:iCs/>
          <w:color w:val="212121"/>
          <w:shd w:val="clear" w:color="auto" w:fill="FFFFFF"/>
        </w:rPr>
        <w:t>Journal of clinical periodontology</w:t>
      </w:r>
      <w:r w:rsidRPr="003D52BF">
        <w:rPr>
          <w:color w:val="212121"/>
          <w:shd w:val="clear" w:color="auto" w:fill="FFFFFF"/>
        </w:rPr>
        <w:t>, </w:t>
      </w:r>
      <w:r w:rsidRPr="003D52BF">
        <w:rPr>
          <w:i/>
          <w:iCs/>
          <w:color w:val="212121"/>
          <w:shd w:val="clear" w:color="auto" w:fill="FFFFFF"/>
        </w:rPr>
        <w:t xml:space="preserve">45 </w:t>
      </w:r>
      <w:proofErr w:type="spellStart"/>
      <w:r w:rsidRPr="003D52BF">
        <w:rPr>
          <w:i/>
          <w:iCs/>
          <w:color w:val="212121"/>
          <w:shd w:val="clear" w:color="auto" w:fill="FFFFFF"/>
        </w:rPr>
        <w:t>Suppl</w:t>
      </w:r>
      <w:proofErr w:type="spellEnd"/>
      <w:r w:rsidRPr="003D52BF">
        <w:rPr>
          <w:i/>
          <w:iCs/>
          <w:color w:val="212121"/>
          <w:shd w:val="clear" w:color="auto" w:fill="FFFFFF"/>
        </w:rPr>
        <w:t xml:space="preserve"> 20</w:t>
      </w:r>
      <w:r w:rsidRPr="003D52BF">
        <w:rPr>
          <w:color w:val="212121"/>
          <w:shd w:val="clear" w:color="auto" w:fill="FFFFFF"/>
        </w:rPr>
        <w:t xml:space="preserve">, S1–S8. </w:t>
      </w:r>
      <w:hyperlink r:id="rId11" w:history="1">
        <w:r w:rsidRPr="003D52BF">
          <w:rPr>
            <w:rStyle w:val="Hyperlink"/>
            <w:shd w:val="clear" w:color="auto" w:fill="FFFFFF"/>
          </w:rPr>
          <w:t>https://doi.org/10.1111/jcpe.12935</w:t>
        </w:r>
      </w:hyperlink>
      <w:r w:rsidRPr="003D52BF">
        <w:rPr>
          <w:color w:val="212121"/>
          <w:shd w:val="clear" w:color="auto" w:fill="FFFFFF"/>
        </w:rPr>
        <w:t xml:space="preserve"> </w:t>
      </w:r>
    </w:p>
    <w:p w14:paraId="261A1A62"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Cortellini</w:t>
      </w:r>
      <w:proofErr w:type="spellEnd"/>
      <w:r w:rsidRPr="003D52BF">
        <w:rPr>
          <w:color w:val="212121"/>
          <w:shd w:val="clear" w:color="auto" w:fill="FFFFFF"/>
        </w:rPr>
        <w:t xml:space="preserve">, P., &amp; </w:t>
      </w:r>
      <w:proofErr w:type="spellStart"/>
      <w:r w:rsidRPr="003D52BF">
        <w:rPr>
          <w:color w:val="212121"/>
          <w:shd w:val="clear" w:color="auto" w:fill="FFFFFF"/>
        </w:rPr>
        <w:t>Bissada</w:t>
      </w:r>
      <w:proofErr w:type="spellEnd"/>
      <w:r w:rsidRPr="003D52BF">
        <w:rPr>
          <w:color w:val="212121"/>
          <w:shd w:val="clear" w:color="auto" w:fill="FFFFFF"/>
        </w:rPr>
        <w:t>, N. F. (2018). Mucogingival conditions in the natural dentition: Narrative review, case definitions, and diagnostic considerations. </w:t>
      </w:r>
      <w:r w:rsidRPr="003D52BF">
        <w:rPr>
          <w:i/>
          <w:iCs/>
          <w:color w:val="212121"/>
          <w:shd w:val="clear" w:color="auto" w:fill="FFFFFF"/>
        </w:rPr>
        <w:t>Journal of periodontology</w:t>
      </w:r>
      <w:r w:rsidRPr="003D52BF">
        <w:rPr>
          <w:color w:val="212121"/>
          <w:shd w:val="clear" w:color="auto" w:fill="FFFFFF"/>
        </w:rPr>
        <w:t>, </w:t>
      </w:r>
      <w:r w:rsidRPr="003D52BF">
        <w:rPr>
          <w:i/>
          <w:iCs/>
          <w:color w:val="212121"/>
          <w:shd w:val="clear" w:color="auto" w:fill="FFFFFF"/>
        </w:rPr>
        <w:t xml:space="preserve">89 </w:t>
      </w:r>
      <w:proofErr w:type="spellStart"/>
      <w:r w:rsidRPr="003D52BF">
        <w:rPr>
          <w:i/>
          <w:iCs/>
          <w:color w:val="212121"/>
          <w:shd w:val="clear" w:color="auto" w:fill="FFFFFF"/>
        </w:rPr>
        <w:t>Suppl</w:t>
      </w:r>
      <w:proofErr w:type="spellEnd"/>
      <w:r w:rsidRPr="003D52BF">
        <w:rPr>
          <w:i/>
          <w:iCs/>
          <w:color w:val="212121"/>
          <w:shd w:val="clear" w:color="auto" w:fill="FFFFFF"/>
        </w:rPr>
        <w:t xml:space="preserve"> 1</w:t>
      </w:r>
      <w:r w:rsidRPr="003D52BF">
        <w:rPr>
          <w:color w:val="212121"/>
          <w:shd w:val="clear" w:color="auto" w:fill="FFFFFF"/>
        </w:rPr>
        <w:t xml:space="preserve">, S204–S213. </w:t>
      </w:r>
      <w:hyperlink r:id="rId12" w:history="1">
        <w:r w:rsidRPr="003D52BF">
          <w:rPr>
            <w:rStyle w:val="Hyperlink"/>
            <w:shd w:val="clear" w:color="auto" w:fill="FFFFFF"/>
          </w:rPr>
          <w:t>https://doi.org/10.1002/JPER.16-0671</w:t>
        </w:r>
      </w:hyperlink>
      <w:r w:rsidRPr="003D52BF">
        <w:rPr>
          <w:color w:val="212121"/>
          <w:shd w:val="clear" w:color="auto" w:fill="FFFFFF"/>
        </w:rPr>
        <w:t xml:space="preserve"> </w:t>
      </w:r>
    </w:p>
    <w:p w14:paraId="5272F4D9"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da Silva, D. M., Castro, F., Martins, B., </w:t>
      </w:r>
      <w:proofErr w:type="spellStart"/>
      <w:r w:rsidRPr="003D52BF">
        <w:rPr>
          <w:color w:val="212121"/>
          <w:shd w:val="clear" w:color="auto" w:fill="FFFFFF"/>
        </w:rPr>
        <w:t>Fraile</w:t>
      </w:r>
      <w:proofErr w:type="spellEnd"/>
      <w:r w:rsidRPr="003D52BF">
        <w:rPr>
          <w:color w:val="212121"/>
          <w:shd w:val="clear" w:color="auto" w:fill="FFFFFF"/>
        </w:rPr>
        <w:t>, J. F., Fernandes, J. C. H., &amp; Fernandes, G. V. O. (2025). The influence of the gingival phenotype on implant survival rate and clinical parameters: a systematic review. </w:t>
      </w:r>
      <w:r w:rsidRPr="003D52BF">
        <w:rPr>
          <w:i/>
          <w:iCs/>
          <w:color w:val="212121"/>
          <w:shd w:val="clear" w:color="auto" w:fill="FFFFFF"/>
        </w:rPr>
        <w:t>Evidence-based dentistry</w:t>
      </w:r>
      <w:r w:rsidRPr="003D52BF">
        <w:rPr>
          <w:color w:val="212121"/>
          <w:shd w:val="clear" w:color="auto" w:fill="FFFFFF"/>
        </w:rPr>
        <w:t>, </w:t>
      </w:r>
      <w:r w:rsidRPr="003D52BF">
        <w:rPr>
          <w:i/>
          <w:iCs/>
          <w:color w:val="212121"/>
          <w:shd w:val="clear" w:color="auto" w:fill="FFFFFF"/>
        </w:rPr>
        <w:t>26</w:t>
      </w:r>
      <w:r w:rsidRPr="003D52BF">
        <w:rPr>
          <w:color w:val="212121"/>
          <w:shd w:val="clear" w:color="auto" w:fill="FFFFFF"/>
        </w:rPr>
        <w:t xml:space="preserve">(2), 119. </w:t>
      </w:r>
      <w:hyperlink r:id="rId13" w:history="1">
        <w:r w:rsidRPr="003D52BF">
          <w:rPr>
            <w:rStyle w:val="Hyperlink"/>
            <w:shd w:val="clear" w:color="auto" w:fill="FFFFFF"/>
          </w:rPr>
          <w:t>https://doi.org/10.1038/s41432-025-01114-x</w:t>
        </w:r>
      </w:hyperlink>
      <w:r w:rsidRPr="003D52BF">
        <w:rPr>
          <w:color w:val="212121"/>
          <w:shd w:val="clear" w:color="auto" w:fill="FFFFFF"/>
        </w:rPr>
        <w:t xml:space="preserve"> </w:t>
      </w:r>
    </w:p>
    <w:p w14:paraId="1F27FB1B"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Di </w:t>
      </w:r>
      <w:proofErr w:type="spellStart"/>
      <w:r w:rsidRPr="003D52BF">
        <w:rPr>
          <w:color w:val="212121"/>
          <w:shd w:val="clear" w:color="auto" w:fill="FFFFFF"/>
        </w:rPr>
        <w:t>Gianfilippo</w:t>
      </w:r>
      <w:proofErr w:type="spellEnd"/>
      <w:r w:rsidRPr="003D52BF">
        <w:rPr>
          <w:color w:val="212121"/>
          <w:shd w:val="clear" w:color="auto" w:fill="FFFFFF"/>
        </w:rPr>
        <w:t xml:space="preserve">, R., Valente, N. A., </w:t>
      </w:r>
      <w:proofErr w:type="spellStart"/>
      <w:r w:rsidRPr="003D52BF">
        <w:rPr>
          <w:color w:val="212121"/>
          <w:shd w:val="clear" w:color="auto" w:fill="FFFFFF"/>
        </w:rPr>
        <w:t>Toti</w:t>
      </w:r>
      <w:proofErr w:type="spellEnd"/>
      <w:r w:rsidRPr="003D52BF">
        <w:rPr>
          <w:color w:val="212121"/>
          <w:shd w:val="clear" w:color="auto" w:fill="FFFFFF"/>
        </w:rPr>
        <w:t>, P., Wang, H. L., &amp; Barone, A. (2020). Influence of implant mucosal thickness on early bone loss: a systematic review with meta-analysis. </w:t>
      </w:r>
      <w:r w:rsidRPr="003D52BF">
        <w:rPr>
          <w:i/>
          <w:iCs/>
          <w:color w:val="212121"/>
          <w:shd w:val="clear" w:color="auto" w:fill="FFFFFF"/>
        </w:rPr>
        <w:t>Journal of periodontal &amp; implant science</w:t>
      </w:r>
      <w:r w:rsidRPr="003D52BF">
        <w:rPr>
          <w:color w:val="212121"/>
          <w:shd w:val="clear" w:color="auto" w:fill="FFFFFF"/>
        </w:rPr>
        <w:t>, </w:t>
      </w:r>
      <w:r w:rsidRPr="003D52BF">
        <w:rPr>
          <w:i/>
          <w:iCs/>
          <w:color w:val="212121"/>
          <w:shd w:val="clear" w:color="auto" w:fill="FFFFFF"/>
        </w:rPr>
        <w:t>50</w:t>
      </w:r>
      <w:r w:rsidRPr="003D52BF">
        <w:rPr>
          <w:color w:val="212121"/>
          <w:shd w:val="clear" w:color="auto" w:fill="FFFFFF"/>
        </w:rPr>
        <w:t xml:space="preserve">(4), 209–225. </w:t>
      </w:r>
      <w:hyperlink r:id="rId14" w:history="1">
        <w:r w:rsidRPr="003D52BF">
          <w:rPr>
            <w:rStyle w:val="Hyperlink"/>
            <w:shd w:val="clear" w:color="auto" w:fill="FFFFFF"/>
          </w:rPr>
          <w:t>https://doi.org/10.5051/jpis.1904440222</w:t>
        </w:r>
      </w:hyperlink>
      <w:r w:rsidRPr="003D52BF">
        <w:rPr>
          <w:color w:val="212121"/>
          <w:shd w:val="clear" w:color="auto" w:fill="FFFFFF"/>
        </w:rPr>
        <w:t xml:space="preserve"> </w:t>
      </w:r>
    </w:p>
    <w:p w14:paraId="5BD8FF37"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Fickl</w:t>
      </w:r>
      <w:proofErr w:type="spellEnd"/>
      <w:r w:rsidRPr="003D52BF">
        <w:rPr>
          <w:color w:val="212121"/>
          <w:shd w:val="clear" w:color="auto" w:fill="FFFFFF"/>
        </w:rPr>
        <w:t xml:space="preserve">, S., Therese </w:t>
      </w:r>
      <w:proofErr w:type="spellStart"/>
      <w:r w:rsidRPr="003D52BF">
        <w:rPr>
          <w:color w:val="212121"/>
          <w:shd w:val="clear" w:color="auto" w:fill="FFFFFF"/>
        </w:rPr>
        <w:t>Kröger</w:t>
      </w:r>
      <w:proofErr w:type="spellEnd"/>
      <w:r w:rsidRPr="003D52BF">
        <w:rPr>
          <w:color w:val="212121"/>
          <w:shd w:val="clear" w:color="auto" w:fill="FFFFFF"/>
        </w:rPr>
        <w:t xml:space="preserve">, A., Dietrich, T., &amp; </w:t>
      </w:r>
      <w:proofErr w:type="spellStart"/>
      <w:r w:rsidRPr="003D52BF">
        <w:rPr>
          <w:color w:val="212121"/>
          <w:shd w:val="clear" w:color="auto" w:fill="FFFFFF"/>
        </w:rPr>
        <w:t>Kebschull</w:t>
      </w:r>
      <w:proofErr w:type="spellEnd"/>
      <w:r w:rsidRPr="003D52BF">
        <w:rPr>
          <w:color w:val="212121"/>
          <w:shd w:val="clear" w:color="auto" w:fill="FFFFFF"/>
        </w:rPr>
        <w:t>, M. (2021). Influence of soft tissue augmentation procedures around dental implants on marginal bone level changes-A systematic review. </w:t>
      </w:r>
      <w:r w:rsidRPr="003D52BF">
        <w:rPr>
          <w:i/>
          <w:iCs/>
          <w:color w:val="212121"/>
          <w:shd w:val="clear" w:color="auto" w:fill="FFFFFF"/>
        </w:rPr>
        <w:t>Clinical oral implants research</w:t>
      </w:r>
      <w:r w:rsidRPr="003D52BF">
        <w:rPr>
          <w:color w:val="212121"/>
          <w:shd w:val="clear" w:color="auto" w:fill="FFFFFF"/>
        </w:rPr>
        <w:t>, </w:t>
      </w:r>
      <w:r w:rsidRPr="003D52BF">
        <w:rPr>
          <w:i/>
          <w:iCs/>
          <w:color w:val="212121"/>
          <w:shd w:val="clear" w:color="auto" w:fill="FFFFFF"/>
        </w:rPr>
        <w:t xml:space="preserve">32 </w:t>
      </w:r>
      <w:proofErr w:type="spellStart"/>
      <w:r w:rsidRPr="003D52BF">
        <w:rPr>
          <w:i/>
          <w:iCs/>
          <w:color w:val="212121"/>
          <w:shd w:val="clear" w:color="auto" w:fill="FFFFFF"/>
        </w:rPr>
        <w:t>Suppl</w:t>
      </w:r>
      <w:proofErr w:type="spellEnd"/>
      <w:r w:rsidRPr="003D52BF">
        <w:rPr>
          <w:i/>
          <w:iCs/>
          <w:color w:val="212121"/>
          <w:shd w:val="clear" w:color="auto" w:fill="FFFFFF"/>
        </w:rPr>
        <w:t xml:space="preserve"> 21</w:t>
      </w:r>
      <w:r w:rsidRPr="003D52BF">
        <w:rPr>
          <w:color w:val="212121"/>
          <w:shd w:val="clear" w:color="auto" w:fill="FFFFFF"/>
        </w:rPr>
        <w:t xml:space="preserve">, 108–137. </w:t>
      </w:r>
      <w:hyperlink r:id="rId15" w:history="1">
        <w:r w:rsidRPr="003D52BF">
          <w:rPr>
            <w:rStyle w:val="Hyperlink"/>
            <w:shd w:val="clear" w:color="auto" w:fill="FFFFFF"/>
          </w:rPr>
          <w:t>https://doi.org/10.1111/clr.13829</w:t>
        </w:r>
      </w:hyperlink>
      <w:r w:rsidRPr="003D52BF">
        <w:rPr>
          <w:color w:val="212121"/>
          <w:shd w:val="clear" w:color="auto" w:fill="FFFFFF"/>
        </w:rPr>
        <w:t xml:space="preserve"> </w:t>
      </w:r>
    </w:p>
    <w:p w14:paraId="2EC3DAF7"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Fischer, K. R., </w:t>
      </w:r>
      <w:proofErr w:type="spellStart"/>
      <w:r w:rsidRPr="003D52BF">
        <w:rPr>
          <w:color w:val="212121"/>
          <w:shd w:val="clear" w:color="auto" w:fill="FFFFFF"/>
        </w:rPr>
        <w:t>Büchel</w:t>
      </w:r>
      <w:proofErr w:type="spellEnd"/>
      <w:r w:rsidRPr="003D52BF">
        <w:rPr>
          <w:color w:val="212121"/>
          <w:shd w:val="clear" w:color="auto" w:fill="FFFFFF"/>
        </w:rPr>
        <w:t xml:space="preserve">, J., Testori, T., </w:t>
      </w:r>
      <w:proofErr w:type="spellStart"/>
      <w:r w:rsidRPr="003D52BF">
        <w:rPr>
          <w:color w:val="212121"/>
          <w:shd w:val="clear" w:color="auto" w:fill="FFFFFF"/>
        </w:rPr>
        <w:t>Rasperini</w:t>
      </w:r>
      <w:proofErr w:type="spellEnd"/>
      <w:r w:rsidRPr="003D52BF">
        <w:rPr>
          <w:color w:val="212121"/>
          <w:shd w:val="clear" w:color="auto" w:fill="FFFFFF"/>
        </w:rPr>
        <w:t xml:space="preserve">, G., </w:t>
      </w:r>
      <w:proofErr w:type="spellStart"/>
      <w:r w:rsidRPr="003D52BF">
        <w:rPr>
          <w:color w:val="212121"/>
          <w:shd w:val="clear" w:color="auto" w:fill="FFFFFF"/>
        </w:rPr>
        <w:t>Attin</w:t>
      </w:r>
      <w:proofErr w:type="spellEnd"/>
      <w:r w:rsidRPr="003D52BF">
        <w:rPr>
          <w:color w:val="212121"/>
          <w:shd w:val="clear" w:color="auto" w:fill="FFFFFF"/>
        </w:rPr>
        <w:t xml:space="preserve">, T., &amp; </w:t>
      </w:r>
      <w:proofErr w:type="spellStart"/>
      <w:r w:rsidRPr="003D52BF">
        <w:rPr>
          <w:color w:val="212121"/>
          <w:shd w:val="clear" w:color="auto" w:fill="FFFFFF"/>
        </w:rPr>
        <w:t>Schmidlin</w:t>
      </w:r>
      <w:proofErr w:type="spellEnd"/>
      <w:r w:rsidRPr="003D52BF">
        <w:rPr>
          <w:color w:val="212121"/>
          <w:shd w:val="clear" w:color="auto" w:fill="FFFFFF"/>
        </w:rPr>
        <w:t>, P. (2021). Gingival phenotype assessment methods and classifications revisited: a preclinical study. </w:t>
      </w:r>
      <w:r w:rsidRPr="003D52BF">
        <w:rPr>
          <w:i/>
          <w:iCs/>
          <w:color w:val="212121"/>
          <w:shd w:val="clear" w:color="auto" w:fill="FFFFFF"/>
        </w:rPr>
        <w:t>Clinical oral investigations</w:t>
      </w:r>
      <w:r w:rsidRPr="003D52BF">
        <w:rPr>
          <w:color w:val="212121"/>
          <w:shd w:val="clear" w:color="auto" w:fill="FFFFFF"/>
        </w:rPr>
        <w:t>, </w:t>
      </w:r>
      <w:r w:rsidRPr="003D52BF">
        <w:rPr>
          <w:i/>
          <w:iCs/>
          <w:color w:val="212121"/>
          <w:shd w:val="clear" w:color="auto" w:fill="FFFFFF"/>
        </w:rPr>
        <w:t>25</w:t>
      </w:r>
      <w:r w:rsidRPr="003D52BF">
        <w:rPr>
          <w:color w:val="212121"/>
          <w:shd w:val="clear" w:color="auto" w:fill="FFFFFF"/>
        </w:rPr>
        <w:t xml:space="preserve">(9), 5513–5518. </w:t>
      </w:r>
      <w:hyperlink r:id="rId16" w:history="1">
        <w:r w:rsidRPr="003D52BF">
          <w:rPr>
            <w:rStyle w:val="Hyperlink"/>
            <w:shd w:val="clear" w:color="auto" w:fill="FFFFFF"/>
          </w:rPr>
          <w:t>https://doi.org/10.1007/s00784-021-03860-5</w:t>
        </w:r>
      </w:hyperlink>
      <w:r w:rsidRPr="003D52BF">
        <w:rPr>
          <w:color w:val="212121"/>
          <w:shd w:val="clear" w:color="auto" w:fill="FFFFFF"/>
        </w:rPr>
        <w:t xml:space="preserve"> </w:t>
      </w:r>
    </w:p>
    <w:p w14:paraId="2AB4047B" w14:textId="77777777" w:rsidR="00F121D0" w:rsidRPr="003D52BF" w:rsidRDefault="00F121D0" w:rsidP="003D52BF">
      <w:pPr>
        <w:pStyle w:val="ListParagraph"/>
        <w:numPr>
          <w:ilvl w:val="0"/>
          <w:numId w:val="35"/>
        </w:numPr>
        <w:spacing w:before="100" w:beforeAutospacing="1" w:after="100" w:afterAutospacing="1" w:line="240" w:lineRule="auto"/>
        <w:rPr>
          <w:lang w:val="en-US"/>
        </w:rPr>
      </w:pPr>
      <w:r w:rsidRPr="003D52BF">
        <w:rPr>
          <w:color w:val="212121"/>
          <w:shd w:val="clear" w:color="auto" w:fill="FFFFFF"/>
        </w:rPr>
        <w:t xml:space="preserve">Jepsen, S., Caton, J. G., </w:t>
      </w:r>
      <w:proofErr w:type="spellStart"/>
      <w:r w:rsidRPr="003D52BF">
        <w:rPr>
          <w:color w:val="212121"/>
          <w:shd w:val="clear" w:color="auto" w:fill="FFFFFF"/>
        </w:rPr>
        <w:t>Albandar</w:t>
      </w:r>
      <w:proofErr w:type="spellEnd"/>
      <w:r w:rsidRPr="003D52BF">
        <w:rPr>
          <w:color w:val="212121"/>
          <w:shd w:val="clear" w:color="auto" w:fill="FFFFFF"/>
        </w:rPr>
        <w:t xml:space="preserve">, J. M., </w:t>
      </w:r>
      <w:proofErr w:type="spellStart"/>
      <w:r w:rsidRPr="003D52BF">
        <w:rPr>
          <w:color w:val="212121"/>
          <w:shd w:val="clear" w:color="auto" w:fill="FFFFFF"/>
        </w:rPr>
        <w:t>Bissada</w:t>
      </w:r>
      <w:proofErr w:type="spellEnd"/>
      <w:r w:rsidRPr="003D52BF">
        <w:rPr>
          <w:color w:val="212121"/>
          <w:shd w:val="clear" w:color="auto" w:fill="FFFFFF"/>
        </w:rPr>
        <w:t xml:space="preserve">, N. F., Bouchard, P., </w:t>
      </w:r>
      <w:proofErr w:type="spellStart"/>
      <w:r w:rsidRPr="003D52BF">
        <w:rPr>
          <w:color w:val="212121"/>
          <w:shd w:val="clear" w:color="auto" w:fill="FFFFFF"/>
        </w:rPr>
        <w:t>Cortellini</w:t>
      </w:r>
      <w:proofErr w:type="spellEnd"/>
      <w:r w:rsidRPr="003D52BF">
        <w:rPr>
          <w:color w:val="212121"/>
          <w:shd w:val="clear" w:color="auto" w:fill="FFFFFF"/>
        </w:rPr>
        <w:t xml:space="preserve">, P., </w:t>
      </w:r>
      <w:proofErr w:type="spellStart"/>
      <w:r w:rsidRPr="003D52BF">
        <w:rPr>
          <w:color w:val="212121"/>
          <w:shd w:val="clear" w:color="auto" w:fill="FFFFFF"/>
        </w:rPr>
        <w:t>Demirel</w:t>
      </w:r>
      <w:proofErr w:type="spellEnd"/>
      <w:r w:rsidRPr="003D52BF">
        <w:rPr>
          <w:color w:val="212121"/>
          <w:shd w:val="clear" w:color="auto" w:fill="FFFFFF"/>
        </w:rPr>
        <w:t xml:space="preserve">, K., de </w:t>
      </w:r>
      <w:proofErr w:type="spellStart"/>
      <w:r w:rsidRPr="003D52BF">
        <w:rPr>
          <w:color w:val="212121"/>
          <w:shd w:val="clear" w:color="auto" w:fill="FFFFFF"/>
        </w:rPr>
        <w:t>Sanctis</w:t>
      </w:r>
      <w:proofErr w:type="spellEnd"/>
      <w:r w:rsidRPr="003D52BF">
        <w:rPr>
          <w:color w:val="212121"/>
          <w:shd w:val="clear" w:color="auto" w:fill="FFFFFF"/>
        </w:rPr>
        <w:t xml:space="preserve">, M., </w:t>
      </w:r>
      <w:proofErr w:type="spellStart"/>
      <w:r w:rsidRPr="003D52BF">
        <w:rPr>
          <w:color w:val="212121"/>
          <w:shd w:val="clear" w:color="auto" w:fill="FFFFFF"/>
        </w:rPr>
        <w:t>Ercoli</w:t>
      </w:r>
      <w:proofErr w:type="spellEnd"/>
      <w:r w:rsidRPr="003D52BF">
        <w:rPr>
          <w:color w:val="212121"/>
          <w:shd w:val="clear" w:color="auto" w:fill="FFFFFF"/>
        </w:rPr>
        <w:t xml:space="preserve">, C., Fan, J., </w:t>
      </w:r>
      <w:proofErr w:type="spellStart"/>
      <w:r w:rsidRPr="003D52BF">
        <w:rPr>
          <w:color w:val="212121"/>
          <w:shd w:val="clear" w:color="auto" w:fill="FFFFFF"/>
        </w:rPr>
        <w:t>Geurs</w:t>
      </w:r>
      <w:proofErr w:type="spellEnd"/>
      <w:r w:rsidRPr="003D52BF">
        <w:rPr>
          <w:color w:val="212121"/>
          <w:shd w:val="clear" w:color="auto" w:fill="FFFFFF"/>
        </w:rPr>
        <w:t xml:space="preserve">, N. C., Hughes, F. J., </w:t>
      </w:r>
      <w:proofErr w:type="spellStart"/>
      <w:r w:rsidRPr="003D52BF">
        <w:rPr>
          <w:color w:val="212121"/>
          <w:shd w:val="clear" w:color="auto" w:fill="FFFFFF"/>
        </w:rPr>
        <w:t>Jin</w:t>
      </w:r>
      <w:proofErr w:type="spellEnd"/>
      <w:r w:rsidRPr="003D52BF">
        <w:rPr>
          <w:color w:val="212121"/>
          <w:shd w:val="clear" w:color="auto" w:fill="FFFFFF"/>
        </w:rPr>
        <w:t xml:space="preserve">, L., </w:t>
      </w:r>
      <w:proofErr w:type="spellStart"/>
      <w:r w:rsidRPr="003D52BF">
        <w:rPr>
          <w:color w:val="212121"/>
          <w:shd w:val="clear" w:color="auto" w:fill="FFFFFF"/>
        </w:rPr>
        <w:t>Kantarci</w:t>
      </w:r>
      <w:proofErr w:type="spellEnd"/>
      <w:r w:rsidRPr="003D52BF">
        <w:rPr>
          <w:color w:val="212121"/>
          <w:shd w:val="clear" w:color="auto" w:fill="FFFFFF"/>
        </w:rPr>
        <w:t xml:space="preserve">, A., </w:t>
      </w:r>
      <w:proofErr w:type="spellStart"/>
      <w:r w:rsidRPr="003D52BF">
        <w:rPr>
          <w:color w:val="212121"/>
          <w:shd w:val="clear" w:color="auto" w:fill="FFFFFF"/>
        </w:rPr>
        <w:t>Lalla</w:t>
      </w:r>
      <w:proofErr w:type="spellEnd"/>
      <w:r w:rsidRPr="003D52BF">
        <w:rPr>
          <w:color w:val="212121"/>
          <w:shd w:val="clear" w:color="auto" w:fill="FFFFFF"/>
        </w:rPr>
        <w:t xml:space="preserve">, E., </w:t>
      </w:r>
      <w:proofErr w:type="spellStart"/>
      <w:r w:rsidRPr="003D52BF">
        <w:rPr>
          <w:color w:val="212121"/>
          <w:shd w:val="clear" w:color="auto" w:fill="FFFFFF"/>
        </w:rPr>
        <w:t>Madianos</w:t>
      </w:r>
      <w:proofErr w:type="spellEnd"/>
      <w:r w:rsidRPr="003D52BF">
        <w:rPr>
          <w:color w:val="212121"/>
          <w:shd w:val="clear" w:color="auto" w:fill="FFFFFF"/>
        </w:rPr>
        <w:t xml:space="preserve">, P. N., Matthews, D., McGuire, M. K., Mills, M. P., </w:t>
      </w:r>
      <w:proofErr w:type="spellStart"/>
      <w:r w:rsidRPr="003D52BF">
        <w:rPr>
          <w:color w:val="212121"/>
          <w:shd w:val="clear" w:color="auto" w:fill="FFFFFF"/>
        </w:rPr>
        <w:t>Preshaw</w:t>
      </w:r>
      <w:proofErr w:type="spellEnd"/>
      <w:r w:rsidRPr="003D52BF">
        <w:rPr>
          <w:color w:val="212121"/>
          <w:shd w:val="clear" w:color="auto" w:fill="FFFFFF"/>
        </w:rPr>
        <w:t>, P. M., … Yamazaki, K. (2018). Periodontal manifestations of systemic diseases and developmental and acquired conditions: Consensus report of workgroup 3 of the 2017 World Workshop on the Classification of Periodontal and Peri-Implant Diseases and Conditions. </w:t>
      </w:r>
      <w:r w:rsidRPr="003D52BF">
        <w:rPr>
          <w:i/>
          <w:iCs/>
          <w:color w:val="212121"/>
          <w:shd w:val="clear" w:color="auto" w:fill="FFFFFF"/>
        </w:rPr>
        <w:t>Journal of periodontology</w:t>
      </w:r>
      <w:r w:rsidRPr="003D52BF">
        <w:rPr>
          <w:color w:val="212121"/>
          <w:shd w:val="clear" w:color="auto" w:fill="FFFFFF"/>
        </w:rPr>
        <w:t>, </w:t>
      </w:r>
      <w:r w:rsidRPr="003D52BF">
        <w:rPr>
          <w:i/>
          <w:iCs/>
          <w:color w:val="212121"/>
          <w:shd w:val="clear" w:color="auto" w:fill="FFFFFF"/>
        </w:rPr>
        <w:t xml:space="preserve">89 </w:t>
      </w:r>
      <w:proofErr w:type="spellStart"/>
      <w:r w:rsidRPr="003D52BF">
        <w:rPr>
          <w:i/>
          <w:iCs/>
          <w:color w:val="212121"/>
          <w:shd w:val="clear" w:color="auto" w:fill="FFFFFF"/>
        </w:rPr>
        <w:t>Suppl</w:t>
      </w:r>
      <w:proofErr w:type="spellEnd"/>
      <w:r w:rsidRPr="003D52BF">
        <w:rPr>
          <w:i/>
          <w:iCs/>
          <w:color w:val="212121"/>
          <w:shd w:val="clear" w:color="auto" w:fill="FFFFFF"/>
        </w:rPr>
        <w:t xml:space="preserve"> 1</w:t>
      </w:r>
      <w:r w:rsidRPr="003D52BF">
        <w:rPr>
          <w:color w:val="212121"/>
          <w:shd w:val="clear" w:color="auto" w:fill="FFFFFF"/>
        </w:rPr>
        <w:t xml:space="preserve">, S237–S248. </w:t>
      </w:r>
      <w:hyperlink r:id="rId17" w:history="1">
        <w:r w:rsidRPr="003D52BF">
          <w:rPr>
            <w:rStyle w:val="Hyperlink"/>
            <w:shd w:val="clear" w:color="auto" w:fill="FFFFFF"/>
          </w:rPr>
          <w:t>https://doi.org/10.1002/JPER.17-0733</w:t>
        </w:r>
      </w:hyperlink>
      <w:r w:rsidRPr="003D52BF">
        <w:rPr>
          <w:color w:val="212121"/>
          <w:shd w:val="clear" w:color="auto" w:fill="FFFFFF"/>
        </w:rPr>
        <w:t xml:space="preserve"> </w:t>
      </w:r>
    </w:p>
    <w:p w14:paraId="571CB8DA" w14:textId="77777777" w:rsidR="00F121D0" w:rsidRPr="003D52BF" w:rsidRDefault="00F121D0" w:rsidP="003D52BF">
      <w:pPr>
        <w:pStyle w:val="ListParagraph"/>
        <w:numPr>
          <w:ilvl w:val="0"/>
          <w:numId w:val="35"/>
        </w:numPr>
        <w:spacing w:before="100" w:beforeAutospacing="1" w:after="100" w:afterAutospacing="1" w:line="240" w:lineRule="auto"/>
        <w:rPr>
          <w:lang w:val="en-US"/>
        </w:rPr>
      </w:pPr>
      <w:proofErr w:type="spellStart"/>
      <w:r w:rsidRPr="003D52BF">
        <w:rPr>
          <w:color w:val="212121"/>
          <w:shd w:val="clear" w:color="auto" w:fill="FFFFFF"/>
        </w:rPr>
        <w:t>Linkevicius</w:t>
      </w:r>
      <w:proofErr w:type="spellEnd"/>
      <w:r w:rsidRPr="003D52BF">
        <w:rPr>
          <w:color w:val="212121"/>
          <w:shd w:val="clear" w:color="auto" w:fill="FFFFFF"/>
        </w:rPr>
        <w:t xml:space="preserve">, T., </w:t>
      </w:r>
      <w:proofErr w:type="spellStart"/>
      <w:r w:rsidRPr="003D52BF">
        <w:rPr>
          <w:color w:val="212121"/>
          <w:shd w:val="clear" w:color="auto" w:fill="FFFFFF"/>
        </w:rPr>
        <w:t>Puisys</w:t>
      </w:r>
      <w:proofErr w:type="spellEnd"/>
      <w:r w:rsidRPr="003D52BF">
        <w:rPr>
          <w:color w:val="212121"/>
          <w:shd w:val="clear" w:color="auto" w:fill="FFFFFF"/>
        </w:rPr>
        <w:t xml:space="preserve">, A., </w:t>
      </w:r>
      <w:proofErr w:type="spellStart"/>
      <w:r w:rsidRPr="003D52BF">
        <w:rPr>
          <w:color w:val="212121"/>
          <w:shd w:val="clear" w:color="auto" w:fill="FFFFFF"/>
        </w:rPr>
        <w:t>Linkevicius</w:t>
      </w:r>
      <w:proofErr w:type="spellEnd"/>
      <w:r w:rsidRPr="003D52BF">
        <w:rPr>
          <w:color w:val="212121"/>
          <w:shd w:val="clear" w:color="auto" w:fill="FFFFFF"/>
        </w:rPr>
        <w:t xml:space="preserve">, R., </w:t>
      </w:r>
      <w:proofErr w:type="spellStart"/>
      <w:r w:rsidRPr="003D52BF">
        <w:rPr>
          <w:color w:val="212121"/>
          <w:shd w:val="clear" w:color="auto" w:fill="FFFFFF"/>
        </w:rPr>
        <w:t>Alkimavicius</w:t>
      </w:r>
      <w:proofErr w:type="spellEnd"/>
      <w:r w:rsidRPr="003D52BF">
        <w:rPr>
          <w:color w:val="212121"/>
          <w:shd w:val="clear" w:color="auto" w:fill="FFFFFF"/>
        </w:rPr>
        <w:t xml:space="preserve">, J., </w:t>
      </w:r>
      <w:proofErr w:type="spellStart"/>
      <w:r w:rsidRPr="003D52BF">
        <w:rPr>
          <w:color w:val="212121"/>
          <w:shd w:val="clear" w:color="auto" w:fill="FFFFFF"/>
        </w:rPr>
        <w:t>Gineviciute</w:t>
      </w:r>
      <w:proofErr w:type="spellEnd"/>
      <w:r w:rsidRPr="003D52BF">
        <w:rPr>
          <w:color w:val="212121"/>
          <w:shd w:val="clear" w:color="auto" w:fill="FFFFFF"/>
        </w:rPr>
        <w:t xml:space="preserve">, E., &amp; </w:t>
      </w:r>
      <w:proofErr w:type="spellStart"/>
      <w:r w:rsidRPr="003D52BF">
        <w:rPr>
          <w:color w:val="212121"/>
          <w:shd w:val="clear" w:color="auto" w:fill="FFFFFF"/>
        </w:rPr>
        <w:t>Linkeviciene</w:t>
      </w:r>
      <w:proofErr w:type="spellEnd"/>
      <w:r w:rsidRPr="003D52BF">
        <w:rPr>
          <w:color w:val="212121"/>
          <w:shd w:val="clear" w:color="auto" w:fill="FFFFFF"/>
        </w:rPr>
        <w:t xml:space="preserve">, L. (2020). The influence of submerged healing abutment or </w:t>
      </w:r>
      <w:proofErr w:type="spellStart"/>
      <w:r w:rsidRPr="003D52BF">
        <w:rPr>
          <w:color w:val="212121"/>
          <w:shd w:val="clear" w:color="auto" w:fill="FFFFFF"/>
        </w:rPr>
        <w:t>subcrestal</w:t>
      </w:r>
      <w:proofErr w:type="spellEnd"/>
      <w:r w:rsidRPr="003D52BF">
        <w:rPr>
          <w:color w:val="212121"/>
          <w:shd w:val="clear" w:color="auto" w:fill="FFFFFF"/>
        </w:rPr>
        <w:t xml:space="preserve"> implant placement on soft tissue thickness and crestal bone stability. A 2-year randomized clinical trial. </w:t>
      </w:r>
      <w:r w:rsidRPr="003D52BF">
        <w:rPr>
          <w:i/>
          <w:iCs/>
          <w:color w:val="212121"/>
          <w:shd w:val="clear" w:color="auto" w:fill="FFFFFF"/>
        </w:rPr>
        <w:t>Clinical implant dentistry and related research</w:t>
      </w:r>
      <w:r w:rsidRPr="003D52BF">
        <w:rPr>
          <w:color w:val="212121"/>
          <w:shd w:val="clear" w:color="auto" w:fill="FFFFFF"/>
        </w:rPr>
        <w:t>, </w:t>
      </w:r>
      <w:r w:rsidRPr="003D52BF">
        <w:rPr>
          <w:i/>
          <w:iCs/>
          <w:color w:val="212121"/>
          <w:shd w:val="clear" w:color="auto" w:fill="FFFFFF"/>
        </w:rPr>
        <w:t>22</w:t>
      </w:r>
      <w:r w:rsidRPr="003D52BF">
        <w:rPr>
          <w:color w:val="212121"/>
          <w:shd w:val="clear" w:color="auto" w:fill="FFFFFF"/>
        </w:rPr>
        <w:t xml:space="preserve">(4), 497–506. </w:t>
      </w:r>
      <w:hyperlink r:id="rId18" w:history="1">
        <w:r w:rsidRPr="003D52BF">
          <w:rPr>
            <w:rStyle w:val="Hyperlink"/>
            <w:shd w:val="clear" w:color="auto" w:fill="FFFFFF"/>
          </w:rPr>
          <w:t>https://doi.org/10.1111/cid.12903</w:t>
        </w:r>
      </w:hyperlink>
      <w:r w:rsidRPr="003D52BF">
        <w:rPr>
          <w:color w:val="212121"/>
          <w:shd w:val="clear" w:color="auto" w:fill="FFFFFF"/>
        </w:rPr>
        <w:t xml:space="preserve"> </w:t>
      </w:r>
    </w:p>
    <w:p w14:paraId="03EC58B1"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Papapanou</w:t>
      </w:r>
      <w:proofErr w:type="spellEnd"/>
      <w:r w:rsidRPr="003D52BF">
        <w:rPr>
          <w:color w:val="212121"/>
          <w:shd w:val="clear" w:color="auto" w:fill="FFFFFF"/>
        </w:rPr>
        <w:t xml:space="preserve">, P. N., Sanz, M., </w:t>
      </w:r>
      <w:proofErr w:type="spellStart"/>
      <w:r w:rsidRPr="003D52BF">
        <w:rPr>
          <w:color w:val="212121"/>
          <w:shd w:val="clear" w:color="auto" w:fill="FFFFFF"/>
        </w:rPr>
        <w:t>Buduneli</w:t>
      </w:r>
      <w:proofErr w:type="spellEnd"/>
      <w:r w:rsidRPr="003D52BF">
        <w:rPr>
          <w:color w:val="212121"/>
          <w:shd w:val="clear" w:color="auto" w:fill="FFFFFF"/>
        </w:rPr>
        <w:t xml:space="preserve">, N., Dietrich, T., </w:t>
      </w:r>
      <w:proofErr w:type="spellStart"/>
      <w:r w:rsidRPr="003D52BF">
        <w:rPr>
          <w:color w:val="212121"/>
          <w:shd w:val="clear" w:color="auto" w:fill="FFFFFF"/>
        </w:rPr>
        <w:t>Feres</w:t>
      </w:r>
      <w:proofErr w:type="spellEnd"/>
      <w:r w:rsidRPr="003D52BF">
        <w:rPr>
          <w:color w:val="212121"/>
          <w:shd w:val="clear" w:color="auto" w:fill="FFFFFF"/>
        </w:rPr>
        <w:t xml:space="preserve">, M., Fine, D. H., </w:t>
      </w:r>
      <w:proofErr w:type="spellStart"/>
      <w:r w:rsidRPr="003D52BF">
        <w:rPr>
          <w:color w:val="212121"/>
          <w:shd w:val="clear" w:color="auto" w:fill="FFFFFF"/>
        </w:rPr>
        <w:t>Flemmig</w:t>
      </w:r>
      <w:proofErr w:type="spellEnd"/>
      <w:r w:rsidRPr="003D52BF">
        <w:rPr>
          <w:color w:val="212121"/>
          <w:shd w:val="clear" w:color="auto" w:fill="FFFFFF"/>
        </w:rPr>
        <w:t xml:space="preserve">, T. F., Garcia, R., </w:t>
      </w:r>
      <w:proofErr w:type="spellStart"/>
      <w:r w:rsidRPr="003D52BF">
        <w:rPr>
          <w:color w:val="212121"/>
          <w:shd w:val="clear" w:color="auto" w:fill="FFFFFF"/>
        </w:rPr>
        <w:t>Giannobile</w:t>
      </w:r>
      <w:proofErr w:type="spellEnd"/>
      <w:r w:rsidRPr="003D52BF">
        <w:rPr>
          <w:color w:val="212121"/>
          <w:shd w:val="clear" w:color="auto" w:fill="FFFFFF"/>
        </w:rPr>
        <w:t xml:space="preserve">, W. V., Graziani, F., Greenwell, H., Herrera, D., Kao, R. T., </w:t>
      </w:r>
      <w:proofErr w:type="spellStart"/>
      <w:r w:rsidRPr="003D52BF">
        <w:rPr>
          <w:color w:val="212121"/>
          <w:shd w:val="clear" w:color="auto" w:fill="FFFFFF"/>
        </w:rPr>
        <w:t>Kebschull</w:t>
      </w:r>
      <w:proofErr w:type="spellEnd"/>
      <w:r w:rsidRPr="003D52BF">
        <w:rPr>
          <w:color w:val="212121"/>
          <w:shd w:val="clear" w:color="auto" w:fill="FFFFFF"/>
        </w:rPr>
        <w:t xml:space="preserve">, M., Kinane, D. F., Kirkwood, K. L., Kocher, T., </w:t>
      </w:r>
      <w:proofErr w:type="spellStart"/>
      <w:r w:rsidRPr="003D52BF">
        <w:rPr>
          <w:color w:val="212121"/>
          <w:shd w:val="clear" w:color="auto" w:fill="FFFFFF"/>
        </w:rPr>
        <w:t>Kornman</w:t>
      </w:r>
      <w:proofErr w:type="spellEnd"/>
      <w:r w:rsidRPr="003D52BF">
        <w:rPr>
          <w:color w:val="212121"/>
          <w:shd w:val="clear" w:color="auto" w:fill="FFFFFF"/>
        </w:rPr>
        <w:t xml:space="preserve">, K. S., Kumar, P. S., Loos, B. G., … </w:t>
      </w:r>
      <w:proofErr w:type="spellStart"/>
      <w:r w:rsidRPr="003D52BF">
        <w:rPr>
          <w:color w:val="212121"/>
          <w:shd w:val="clear" w:color="auto" w:fill="FFFFFF"/>
        </w:rPr>
        <w:t>Tonetti</w:t>
      </w:r>
      <w:proofErr w:type="spellEnd"/>
      <w:r w:rsidRPr="003D52BF">
        <w:rPr>
          <w:color w:val="212121"/>
          <w:shd w:val="clear" w:color="auto" w:fill="FFFFFF"/>
        </w:rPr>
        <w:t>, M. S. (2018). Periodontitis: Consensus report of workgroup 2 of the 2017 World Workshop on the Classification of Periodontal and Peri-Implant Diseases and Conditions. </w:t>
      </w:r>
      <w:r w:rsidRPr="003D52BF">
        <w:rPr>
          <w:i/>
          <w:iCs/>
          <w:color w:val="212121"/>
          <w:shd w:val="clear" w:color="auto" w:fill="FFFFFF"/>
        </w:rPr>
        <w:t>Journal of periodontology</w:t>
      </w:r>
      <w:r w:rsidRPr="003D52BF">
        <w:rPr>
          <w:color w:val="212121"/>
          <w:shd w:val="clear" w:color="auto" w:fill="FFFFFF"/>
        </w:rPr>
        <w:t>, </w:t>
      </w:r>
      <w:r w:rsidRPr="003D52BF">
        <w:rPr>
          <w:i/>
          <w:iCs/>
          <w:color w:val="212121"/>
          <w:shd w:val="clear" w:color="auto" w:fill="FFFFFF"/>
        </w:rPr>
        <w:t xml:space="preserve">89 </w:t>
      </w:r>
      <w:proofErr w:type="spellStart"/>
      <w:r w:rsidRPr="003D52BF">
        <w:rPr>
          <w:i/>
          <w:iCs/>
          <w:color w:val="212121"/>
          <w:shd w:val="clear" w:color="auto" w:fill="FFFFFF"/>
        </w:rPr>
        <w:t>Suppl</w:t>
      </w:r>
      <w:proofErr w:type="spellEnd"/>
      <w:r w:rsidRPr="003D52BF">
        <w:rPr>
          <w:i/>
          <w:iCs/>
          <w:color w:val="212121"/>
          <w:shd w:val="clear" w:color="auto" w:fill="FFFFFF"/>
        </w:rPr>
        <w:t xml:space="preserve"> 1</w:t>
      </w:r>
      <w:r w:rsidRPr="003D52BF">
        <w:rPr>
          <w:color w:val="212121"/>
          <w:shd w:val="clear" w:color="auto" w:fill="FFFFFF"/>
        </w:rPr>
        <w:t xml:space="preserve">, S173–S182. </w:t>
      </w:r>
      <w:hyperlink r:id="rId19" w:history="1">
        <w:r w:rsidRPr="003D52BF">
          <w:rPr>
            <w:rStyle w:val="Hyperlink"/>
            <w:shd w:val="clear" w:color="auto" w:fill="FFFFFF"/>
          </w:rPr>
          <w:t>https://doi.org/10.1002/JPER.17-0721</w:t>
        </w:r>
      </w:hyperlink>
      <w:r w:rsidRPr="003D52BF">
        <w:rPr>
          <w:color w:val="212121"/>
          <w:shd w:val="clear" w:color="auto" w:fill="FFFFFF"/>
        </w:rPr>
        <w:t xml:space="preserve"> </w:t>
      </w:r>
    </w:p>
    <w:p w14:paraId="1D133B72"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Puisys</w:t>
      </w:r>
      <w:proofErr w:type="spellEnd"/>
      <w:r w:rsidRPr="003D52BF">
        <w:rPr>
          <w:color w:val="212121"/>
          <w:shd w:val="clear" w:color="auto" w:fill="FFFFFF"/>
        </w:rPr>
        <w:t xml:space="preserve">, A., &amp; </w:t>
      </w:r>
      <w:proofErr w:type="spellStart"/>
      <w:r w:rsidRPr="003D52BF">
        <w:rPr>
          <w:color w:val="212121"/>
          <w:shd w:val="clear" w:color="auto" w:fill="FFFFFF"/>
        </w:rPr>
        <w:t>Linkevicius</w:t>
      </w:r>
      <w:proofErr w:type="spellEnd"/>
      <w:r w:rsidRPr="003D52BF">
        <w:rPr>
          <w:color w:val="212121"/>
          <w:shd w:val="clear" w:color="auto" w:fill="FFFFFF"/>
        </w:rPr>
        <w:t>, T. (2015). The influence of mucosal tissue thickening on crestal bone stability around bone-level implants. A prospective controlled clinical trial. </w:t>
      </w:r>
      <w:r w:rsidRPr="003D52BF">
        <w:rPr>
          <w:i/>
          <w:iCs/>
          <w:color w:val="212121"/>
          <w:shd w:val="clear" w:color="auto" w:fill="FFFFFF"/>
        </w:rPr>
        <w:t>Clinical oral implants research</w:t>
      </w:r>
      <w:r w:rsidRPr="003D52BF">
        <w:rPr>
          <w:color w:val="212121"/>
          <w:shd w:val="clear" w:color="auto" w:fill="FFFFFF"/>
        </w:rPr>
        <w:t>, </w:t>
      </w:r>
      <w:r w:rsidRPr="003D52BF">
        <w:rPr>
          <w:i/>
          <w:iCs/>
          <w:color w:val="212121"/>
          <w:shd w:val="clear" w:color="auto" w:fill="FFFFFF"/>
        </w:rPr>
        <w:t>26</w:t>
      </w:r>
      <w:r w:rsidRPr="003D52BF">
        <w:rPr>
          <w:color w:val="212121"/>
          <w:shd w:val="clear" w:color="auto" w:fill="FFFFFF"/>
        </w:rPr>
        <w:t xml:space="preserve">(2), 123–129. </w:t>
      </w:r>
      <w:hyperlink r:id="rId20" w:history="1">
        <w:r w:rsidRPr="003D52BF">
          <w:rPr>
            <w:rStyle w:val="Hyperlink"/>
            <w:shd w:val="clear" w:color="auto" w:fill="FFFFFF"/>
          </w:rPr>
          <w:t>https://doi.org/10.1111/clr.12301</w:t>
        </w:r>
      </w:hyperlink>
      <w:r w:rsidRPr="003D52BF">
        <w:rPr>
          <w:color w:val="212121"/>
          <w:shd w:val="clear" w:color="auto" w:fill="FFFFFF"/>
        </w:rPr>
        <w:t xml:space="preserve"> </w:t>
      </w:r>
    </w:p>
    <w:p w14:paraId="05DC4049"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Rasperini</w:t>
      </w:r>
      <w:proofErr w:type="spellEnd"/>
      <w:r w:rsidRPr="003D52BF">
        <w:rPr>
          <w:color w:val="212121"/>
          <w:shd w:val="clear" w:color="auto" w:fill="FFFFFF"/>
        </w:rPr>
        <w:t xml:space="preserve">, G., </w:t>
      </w:r>
      <w:proofErr w:type="spellStart"/>
      <w:r w:rsidRPr="003D52BF">
        <w:rPr>
          <w:color w:val="212121"/>
          <w:shd w:val="clear" w:color="auto" w:fill="FFFFFF"/>
        </w:rPr>
        <w:t>Acunzo</w:t>
      </w:r>
      <w:proofErr w:type="spellEnd"/>
      <w:r w:rsidRPr="003D52BF">
        <w:rPr>
          <w:color w:val="212121"/>
          <w:shd w:val="clear" w:color="auto" w:fill="FFFFFF"/>
        </w:rPr>
        <w:t xml:space="preserve">, R., Pellegrini, G., </w:t>
      </w:r>
      <w:proofErr w:type="spellStart"/>
      <w:r w:rsidRPr="003D52BF">
        <w:rPr>
          <w:color w:val="212121"/>
          <w:shd w:val="clear" w:color="auto" w:fill="FFFFFF"/>
        </w:rPr>
        <w:t>Pagni</w:t>
      </w:r>
      <w:proofErr w:type="spellEnd"/>
      <w:r w:rsidRPr="003D52BF">
        <w:rPr>
          <w:color w:val="212121"/>
          <w:shd w:val="clear" w:color="auto" w:fill="FFFFFF"/>
        </w:rPr>
        <w:t xml:space="preserve">, G., </w:t>
      </w:r>
      <w:proofErr w:type="spellStart"/>
      <w:r w:rsidRPr="003D52BF">
        <w:rPr>
          <w:color w:val="212121"/>
          <w:shd w:val="clear" w:color="auto" w:fill="FFFFFF"/>
        </w:rPr>
        <w:t>Tonetti</w:t>
      </w:r>
      <w:proofErr w:type="spellEnd"/>
      <w:r w:rsidRPr="003D52BF">
        <w:rPr>
          <w:color w:val="212121"/>
          <w:shd w:val="clear" w:color="auto" w:fill="FFFFFF"/>
        </w:rPr>
        <w:t xml:space="preserve">, M., </w:t>
      </w:r>
      <w:proofErr w:type="spellStart"/>
      <w:r w:rsidRPr="003D52BF">
        <w:rPr>
          <w:color w:val="212121"/>
          <w:shd w:val="clear" w:color="auto" w:fill="FFFFFF"/>
        </w:rPr>
        <w:t>Pini</w:t>
      </w:r>
      <w:proofErr w:type="spellEnd"/>
      <w:r w:rsidRPr="003D52BF">
        <w:rPr>
          <w:color w:val="212121"/>
          <w:shd w:val="clear" w:color="auto" w:fill="FFFFFF"/>
        </w:rPr>
        <w:t xml:space="preserve"> Prato, G. P., &amp; </w:t>
      </w:r>
      <w:proofErr w:type="spellStart"/>
      <w:r w:rsidRPr="003D52BF">
        <w:rPr>
          <w:color w:val="212121"/>
          <w:shd w:val="clear" w:color="auto" w:fill="FFFFFF"/>
        </w:rPr>
        <w:t>Cortellini</w:t>
      </w:r>
      <w:proofErr w:type="spellEnd"/>
      <w:r w:rsidRPr="003D52BF">
        <w:rPr>
          <w:color w:val="212121"/>
          <w:shd w:val="clear" w:color="auto" w:fill="FFFFFF"/>
        </w:rPr>
        <w:t>, P. (2018). Predictor factors for long-term outcomes stability of coronally advanced flap with or without connective tissue graft in the treatment of single maxillary gingival recessions: 9 years results of a randomized controlled clinical trial. </w:t>
      </w:r>
      <w:r w:rsidRPr="003D52BF">
        <w:rPr>
          <w:i/>
          <w:iCs/>
          <w:color w:val="212121"/>
          <w:shd w:val="clear" w:color="auto" w:fill="FFFFFF"/>
        </w:rPr>
        <w:t>Journal of clinical periodontology</w:t>
      </w:r>
      <w:r w:rsidRPr="003D52BF">
        <w:rPr>
          <w:color w:val="212121"/>
          <w:shd w:val="clear" w:color="auto" w:fill="FFFFFF"/>
        </w:rPr>
        <w:t>, </w:t>
      </w:r>
      <w:r w:rsidRPr="003D52BF">
        <w:rPr>
          <w:i/>
          <w:iCs/>
          <w:color w:val="212121"/>
          <w:shd w:val="clear" w:color="auto" w:fill="FFFFFF"/>
        </w:rPr>
        <w:t>45</w:t>
      </w:r>
      <w:r w:rsidRPr="003D52BF">
        <w:rPr>
          <w:color w:val="212121"/>
          <w:shd w:val="clear" w:color="auto" w:fill="FFFFFF"/>
        </w:rPr>
        <w:t xml:space="preserve">(9), 1107–1117. </w:t>
      </w:r>
      <w:hyperlink r:id="rId21" w:history="1">
        <w:r w:rsidRPr="003D52BF">
          <w:rPr>
            <w:rStyle w:val="Hyperlink"/>
            <w:shd w:val="clear" w:color="auto" w:fill="FFFFFF"/>
          </w:rPr>
          <w:t>https://doi.org/10.1111/jcpe.12932</w:t>
        </w:r>
      </w:hyperlink>
      <w:r w:rsidRPr="003D52BF">
        <w:rPr>
          <w:color w:val="212121"/>
          <w:shd w:val="clear" w:color="auto" w:fill="FFFFFF"/>
        </w:rPr>
        <w:t xml:space="preserve"> </w:t>
      </w:r>
    </w:p>
    <w:p w14:paraId="6D9AE903"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lastRenderedPageBreak/>
        <w:t xml:space="preserve">Schulze, R., </w:t>
      </w:r>
      <w:proofErr w:type="spellStart"/>
      <w:r w:rsidRPr="003D52BF">
        <w:rPr>
          <w:color w:val="212121"/>
          <w:shd w:val="clear" w:color="auto" w:fill="FFFFFF"/>
        </w:rPr>
        <w:t>Couso-Queiruga</w:t>
      </w:r>
      <w:proofErr w:type="spellEnd"/>
      <w:r w:rsidRPr="003D52BF">
        <w:rPr>
          <w:color w:val="212121"/>
          <w:shd w:val="clear" w:color="auto" w:fill="FFFFFF"/>
        </w:rPr>
        <w:t xml:space="preserve">, E., &amp; </w:t>
      </w:r>
      <w:proofErr w:type="spellStart"/>
      <w:r w:rsidRPr="003D52BF">
        <w:rPr>
          <w:color w:val="212121"/>
          <w:shd w:val="clear" w:color="auto" w:fill="FFFFFF"/>
        </w:rPr>
        <w:t>Katsaros</w:t>
      </w:r>
      <w:proofErr w:type="spellEnd"/>
      <w:r w:rsidRPr="003D52BF">
        <w:rPr>
          <w:color w:val="212121"/>
          <w:shd w:val="clear" w:color="auto" w:fill="FFFFFF"/>
        </w:rPr>
        <w:t>, C. (2024). Accuracy of cone-beam computed tomography in imaging the components of the periodontal phenotype. </w:t>
      </w:r>
      <w:r w:rsidRPr="003D52BF">
        <w:rPr>
          <w:i/>
          <w:iCs/>
          <w:color w:val="212121"/>
          <w:shd w:val="clear" w:color="auto" w:fill="FFFFFF"/>
        </w:rPr>
        <w:t>Periodontology 2000</w:t>
      </w:r>
      <w:r w:rsidRPr="003D52BF">
        <w:rPr>
          <w:color w:val="212121"/>
          <w:shd w:val="clear" w:color="auto" w:fill="FFFFFF"/>
        </w:rPr>
        <w:t xml:space="preserve">, 10.1111/prd.12556. Advance online publication. </w:t>
      </w:r>
      <w:hyperlink r:id="rId22" w:history="1">
        <w:r w:rsidRPr="003D52BF">
          <w:rPr>
            <w:rStyle w:val="Hyperlink"/>
            <w:shd w:val="clear" w:color="auto" w:fill="FFFFFF"/>
          </w:rPr>
          <w:t>https://doi.org/10.1111/prd.12556</w:t>
        </w:r>
      </w:hyperlink>
      <w:r w:rsidRPr="003D52BF">
        <w:rPr>
          <w:color w:val="212121"/>
          <w:shd w:val="clear" w:color="auto" w:fill="FFFFFF"/>
        </w:rPr>
        <w:t xml:space="preserve"> </w:t>
      </w:r>
    </w:p>
    <w:p w14:paraId="6AEA16A4"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proofErr w:type="spellStart"/>
      <w:r w:rsidRPr="003D52BF">
        <w:rPr>
          <w:color w:val="212121"/>
          <w:shd w:val="clear" w:color="auto" w:fill="FFFFFF"/>
        </w:rPr>
        <w:t>Shafizadeh</w:t>
      </w:r>
      <w:proofErr w:type="spellEnd"/>
      <w:r w:rsidRPr="003D52BF">
        <w:rPr>
          <w:color w:val="212121"/>
          <w:shd w:val="clear" w:color="auto" w:fill="FFFFFF"/>
        </w:rPr>
        <w:t xml:space="preserve">, M., Amid, R., </w:t>
      </w:r>
      <w:proofErr w:type="spellStart"/>
      <w:r w:rsidRPr="003D52BF">
        <w:rPr>
          <w:color w:val="212121"/>
          <w:shd w:val="clear" w:color="auto" w:fill="FFFFFF"/>
        </w:rPr>
        <w:t>Tehranchi</w:t>
      </w:r>
      <w:proofErr w:type="spellEnd"/>
      <w:r w:rsidRPr="003D52BF">
        <w:rPr>
          <w:color w:val="212121"/>
          <w:shd w:val="clear" w:color="auto" w:fill="FFFFFF"/>
        </w:rPr>
        <w:t xml:space="preserve">, A., &amp; </w:t>
      </w:r>
      <w:proofErr w:type="spellStart"/>
      <w:r w:rsidRPr="003D52BF">
        <w:rPr>
          <w:color w:val="212121"/>
          <w:shd w:val="clear" w:color="auto" w:fill="FFFFFF"/>
        </w:rPr>
        <w:t>Motamedian</w:t>
      </w:r>
      <w:proofErr w:type="spellEnd"/>
      <w:r w:rsidRPr="003D52BF">
        <w:rPr>
          <w:color w:val="212121"/>
          <w:shd w:val="clear" w:color="auto" w:fill="FFFFFF"/>
        </w:rPr>
        <w:t>, S. R. (2022). Evaluation of the association between gingival phenotype and alveolar bone thickness: A systematic review and meta-analysis. </w:t>
      </w:r>
      <w:r w:rsidRPr="003D52BF">
        <w:rPr>
          <w:i/>
          <w:iCs/>
          <w:color w:val="212121"/>
          <w:shd w:val="clear" w:color="auto" w:fill="FFFFFF"/>
        </w:rPr>
        <w:t>Archives of oral biology</w:t>
      </w:r>
      <w:r w:rsidRPr="003D52BF">
        <w:rPr>
          <w:color w:val="212121"/>
          <w:shd w:val="clear" w:color="auto" w:fill="FFFFFF"/>
        </w:rPr>
        <w:t>, </w:t>
      </w:r>
      <w:r w:rsidRPr="003D52BF">
        <w:rPr>
          <w:i/>
          <w:iCs/>
          <w:color w:val="212121"/>
          <w:shd w:val="clear" w:color="auto" w:fill="FFFFFF"/>
        </w:rPr>
        <w:t>133</w:t>
      </w:r>
      <w:r w:rsidRPr="003D52BF">
        <w:rPr>
          <w:color w:val="212121"/>
          <w:shd w:val="clear" w:color="auto" w:fill="FFFFFF"/>
        </w:rPr>
        <w:t xml:space="preserve">, 105287. </w:t>
      </w:r>
      <w:hyperlink r:id="rId23" w:history="1">
        <w:r w:rsidRPr="003D52BF">
          <w:rPr>
            <w:rStyle w:val="Hyperlink"/>
            <w:shd w:val="clear" w:color="auto" w:fill="FFFFFF"/>
          </w:rPr>
          <w:t>https://doi.org/10.1016/j.archoralbio.2021.105287</w:t>
        </w:r>
      </w:hyperlink>
      <w:r w:rsidRPr="003D52BF">
        <w:rPr>
          <w:color w:val="212121"/>
          <w:shd w:val="clear" w:color="auto" w:fill="FFFFFF"/>
        </w:rPr>
        <w:t xml:space="preserve"> </w:t>
      </w:r>
    </w:p>
    <w:p w14:paraId="317389D7"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Suárez-López Del Amo, F., Lin, G. H., </w:t>
      </w:r>
      <w:proofErr w:type="spellStart"/>
      <w:r w:rsidRPr="003D52BF">
        <w:rPr>
          <w:color w:val="212121"/>
          <w:shd w:val="clear" w:color="auto" w:fill="FFFFFF"/>
        </w:rPr>
        <w:t>Monje</w:t>
      </w:r>
      <w:proofErr w:type="spellEnd"/>
      <w:r w:rsidRPr="003D52BF">
        <w:rPr>
          <w:color w:val="212121"/>
          <w:shd w:val="clear" w:color="auto" w:fill="FFFFFF"/>
        </w:rPr>
        <w:t>, A., Galindo-Moreno, P., &amp; Wang, H. L. (2016). Influence of Soft Tissue Thickness on Peri-Implant Marginal Bone Loss: A Systematic Review and Meta-Analysis. </w:t>
      </w:r>
      <w:r w:rsidRPr="003D52BF">
        <w:rPr>
          <w:i/>
          <w:iCs/>
          <w:color w:val="212121"/>
          <w:shd w:val="clear" w:color="auto" w:fill="FFFFFF"/>
        </w:rPr>
        <w:t>Journal of periodontology</w:t>
      </w:r>
      <w:r w:rsidRPr="003D52BF">
        <w:rPr>
          <w:color w:val="212121"/>
          <w:shd w:val="clear" w:color="auto" w:fill="FFFFFF"/>
        </w:rPr>
        <w:t>, </w:t>
      </w:r>
      <w:r w:rsidRPr="003D52BF">
        <w:rPr>
          <w:i/>
          <w:iCs/>
          <w:color w:val="212121"/>
          <w:shd w:val="clear" w:color="auto" w:fill="FFFFFF"/>
        </w:rPr>
        <w:t>87</w:t>
      </w:r>
      <w:r w:rsidRPr="003D52BF">
        <w:rPr>
          <w:color w:val="212121"/>
          <w:shd w:val="clear" w:color="auto" w:fill="FFFFFF"/>
        </w:rPr>
        <w:t xml:space="preserve">(6), 690–699. </w:t>
      </w:r>
      <w:hyperlink r:id="rId24" w:history="1">
        <w:r w:rsidRPr="003D52BF">
          <w:rPr>
            <w:rStyle w:val="Hyperlink"/>
            <w:shd w:val="clear" w:color="auto" w:fill="FFFFFF"/>
          </w:rPr>
          <w:t>https://doi.org/10.1902/jop.2016.150571</w:t>
        </w:r>
      </w:hyperlink>
      <w:r w:rsidRPr="003D52BF">
        <w:rPr>
          <w:color w:val="212121"/>
          <w:shd w:val="clear" w:color="auto" w:fill="FFFFFF"/>
        </w:rPr>
        <w:t xml:space="preserve"> </w:t>
      </w:r>
    </w:p>
    <w:p w14:paraId="387BC51D" w14:textId="77777777" w:rsidR="00F121D0" w:rsidRPr="003D52BF" w:rsidRDefault="00F121D0" w:rsidP="003D52BF">
      <w:pPr>
        <w:pStyle w:val="ListParagraph"/>
        <w:numPr>
          <w:ilvl w:val="0"/>
          <w:numId w:val="35"/>
        </w:numPr>
        <w:spacing w:before="100" w:beforeAutospacing="1" w:after="100" w:afterAutospacing="1" w:line="240" w:lineRule="auto"/>
        <w:rPr>
          <w:lang w:val="en-US"/>
        </w:rPr>
      </w:pPr>
      <w:r w:rsidRPr="003D52BF">
        <w:rPr>
          <w:color w:val="212121"/>
          <w:shd w:val="clear" w:color="auto" w:fill="FFFFFF"/>
        </w:rPr>
        <w:t xml:space="preserve">Tang, P., Meng, Z., Song, X., Huang, J., </w:t>
      </w:r>
      <w:proofErr w:type="spellStart"/>
      <w:r w:rsidRPr="003D52BF">
        <w:rPr>
          <w:color w:val="212121"/>
          <w:shd w:val="clear" w:color="auto" w:fill="FFFFFF"/>
        </w:rPr>
        <w:t>Su</w:t>
      </w:r>
      <w:proofErr w:type="spellEnd"/>
      <w:r w:rsidRPr="003D52BF">
        <w:rPr>
          <w:color w:val="212121"/>
          <w:shd w:val="clear" w:color="auto" w:fill="FFFFFF"/>
        </w:rPr>
        <w:t>, C., &amp; Li, L. (2023). Influence of different mucosal phenotype on early and long-term marginal bone loss around implants: a systematic review and meta-analysis. </w:t>
      </w:r>
      <w:r w:rsidRPr="003D52BF">
        <w:rPr>
          <w:i/>
          <w:iCs/>
          <w:color w:val="212121"/>
          <w:shd w:val="clear" w:color="auto" w:fill="FFFFFF"/>
        </w:rPr>
        <w:t>Clinical oral investigations</w:t>
      </w:r>
      <w:r w:rsidRPr="003D52BF">
        <w:rPr>
          <w:color w:val="212121"/>
          <w:shd w:val="clear" w:color="auto" w:fill="FFFFFF"/>
        </w:rPr>
        <w:t>, </w:t>
      </w:r>
      <w:r w:rsidRPr="003D52BF">
        <w:rPr>
          <w:i/>
          <w:iCs/>
          <w:color w:val="212121"/>
          <w:shd w:val="clear" w:color="auto" w:fill="FFFFFF"/>
        </w:rPr>
        <w:t>27</w:t>
      </w:r>
      <w:r w:rsidRPr="003D52BF">
        <w:rPr>
          <w:color w:val="212121"/>
          <w:shd w:val="clear" w:color="auto" w:fill="FFFFFF"/>
        </w:rPr>
        <w:t xml:space="preserve">(4), 1391–1407. </w:t>
      </w:r>
      <w:hyperlink r:id="rId25" w:history="1">
        <w:r w:rsidRPr="003D52BF">
          <w:rPr>
            <w:rStyle w:val="Hyperlink"/>
            <w:shd w:val="clear" w:color="auto" w:fill="FFFFFF"/>
          </w:rPr>
          <w:t>https://doi.org/10.1007/s00784-023-04902-w</w:t>
        </w:r>
      </w:hyperlink>
      <w:r w:rsidRPr="003D52BF">
        <w:rPr>
          <w:color w:val="212121"/>
          <w:shd w:val="clear" w:color="auto" w:fill="FFFFFF"/>
        </w:rPr>
        <w:t xml:space="preserve"> </w:t>
      </w:r>
    </w:p>
    <w:p w14:paraId="7F45B25D" w14:textId="77777777" w:rsidR="00F121D0" w:rsidRPr="003D52BF" w:rsidRDefault="00F121D0" w:rsidP="003D52BF">
      <w:pPr>
        <w:pStyle w:val="ListParagraph"/>
        <w:numPr>
          <w:ilvl w:val="0"/>
          <w:numId w:val="35"/>
        </w:numPr>
        <w:spacing w:before="100" w:beforeAutospacing="1" w:after="100" w:afterAutospacing="1" w:line="240" w:lineRule="auto"/>
        <w:rPr>
          <w:lang w:val="en-US"/>
        </w:rPr>
      </w:pPr>
      <w:proofErr w:type="spellStart"/>
      <w:r w:rsidRPr="003D52BF">
        <w:rPr>
          <w:color w:val="212121"/>
          <w:shd w:val="clear" w:color="auto" w:fill="FFFFFF"/>
        </w:rPr>
        <w:t>Tonetti</w:t>
      </w:r>
      <w:proofErr w:type="spellEnd"/>
      <w:r w:rsidRPr="003D52BF">
        <w:rPr>
          <w:color w:val="212121"/>
          <w:shd w:val="clear" w:color="auto" w:fill="FFFFFF"/>
        </w:rPr>
        <w:t xml:space="preserve">, M. S., </w:t>
      </w:r>
      <w:proofErr w:type="spellStart"/>
      <w:r w:rsidRPr="003D52BF">
        <w:rPr>
          <w:color w:val="212121"/>
          <w:shd w:val="clear" w:color="auto" w:fill="FFFFFF"/>
        </w:rPr>
        <w:t>Cortellini</w:t>
      </w:r>
      <w:proofErr w:type="spellEnd"/>
      <w:r w:rsidRPr="003D52BF">
        <w:rPr>
          <w:color w:val="212121"/>
          <w:shd w:val="clear" w:color="auto" w:fill="FFFFFF"/>
        </w:rPr>
        <w:t xml:space="preserve">, P., Pellegrini, G., </w:t>
      </w:r>
      <w:proofErr w:type="spellStart"/>
      <w:r w:rsidRPr="003D52BF">
        <w:rPr>
          <w:color w:val="212121"/>
          <w:shd w:val="clear" w:color="auto" w:fill="FFFFFF"/>
        </w:rPr>
        <w:t>Nieri</w:t>
      </w:r>
      <w:proofErr w:type="spellEnd"/>
      <w:r w:rsidRPr="003D52BF">
        <w:rPr>
          <w:color w:val="212121"/>
          <w:shd w:val="clear" w:color="auto" w:fill="FFFFFF"/>
        </w:rPr>
        <w:t xml:space="preserve">, M., </w:t>
      </w:r>
      <w:proofErr w:type="spellStart"/>
      <w:r w:rsidRPr="003D52BF">
        <w:rPr>
          <w:color w:val="212121"/>
          <w:shd w:val="clear" w:color="auto" w:fill="FFFFFF"/>
        </w:rPr>
        <w:t>Bonaccini</w:t>
      </w:r>
      <w:proofErr w:type="spellEnd"/>
      <w:r w:rsidRPr="003D52BF">
        <w:rPr>
          <w:color w:val="212121"/>
          <w:shd w:val="clear" w:color="auto" w:fill="FFFFFF"/>
        </w:rPr>
        <w:t xml:space="preserve">, D., Allegri, M., Bouchard, P., Cairo, F., </w:t>
      </w:r>
      <w:proofErr w:type="spellStart"/>
      <w:r w:rsidRPr="003D52BF">
        <w:rPr>
          <w:color w:val="212121"/>
          <w:shd w:val="clear" w:color="auto" w:fill="FFFFFF"/>
        </w:rPr>
        <w:t>Conforti</w:t>
      </w:r>
      <w:proofErr w:type="spellEnd"/>
      <w:r w:rsidRPr="003D52BF">
        <w:rPr>
          <w:color w:val="212121"/>
          <w:shd w:val="clear" w:color="auto" w:fill="FFFFFF"/>
        </w:rPr>
        <w:t xml:space="preserve">, G., </w:t>
      </w:r>
      <w:proofErr w:type="spellStart"/>
      <w:r w:rsidRPr="003D52BF">
        <w:rPr>
          <w:color w:val="212121"/>
          <w:shd w:val="clear" w:color="auto" w:fill="FFFFFF"/>
        </w:rPr>
        <w:t>Fourmousis</w:t>
      </w:r>
      <w:proofErr w:type="spellEnd"/>
      <w:r w:rsidRPr="003D52BF">
        <w:rPr>
          <w:color w:val="212121"/>
          <w:shd w:val="clear" w:color="auto" w:fill="FFFFFF"/>
        </w:rPr>
        <w:t xml:space="preserve">, I., Graziani, F., Guerrero, A., </w:t>
      </w:r>
      <w:proofErr w:type="spellStart"/>
      <w:r w:rsidRPr="003D52BF">
        <w:rPr>
          <w:color w:val="212121"/>
          <w:shd w:val="clear" w:color="auto" w:fill="FFFFFF"/>
        </w:rPr>
        <w:t>Halben</w:t>
      </w:r>
      <w:proofErr w:type="spellEnd"/>
      <w:r w:rsidRPr="003D52BF">
        <w:rPr>
          <w:color w:val="212121"/>
          <w:shd w:val="clear" w:color="auto" w:fill="FFFFFF"/>
        </w:rPr>
        <w:t xml:space="preserve">, J., </w:t>
      </w:r>
      <w:proofErr w:type="spellStart"/>
      <w:r w:rsidRPr="003D52BF">
        <w:rPr>
          <w:color w:val="212121"/>
          <w:shd w:val="clear" w:color="auto" w:fill="FFFFFF"/>
        </w:rPr>
        <w:t>Malet</w:t>
      </w:r>
      <w:proofErr w:type="spellEnd"/>
      <w:r w:rsidRPr="003D52BF">
        <w:rPr>
          <w:color w:val="212121"/>
          <w:shd w:val="clear" w:color="auto" w:fill="FFFFFF"/>
        </w:rPr>
        <w:t xml:space="preserve">, J., </w:t>
      </w:r>
      <w:proofErr w:type="spellStart"/>
      <w:r w:rsidRPr="003D52BF">
        <w:rPr>
          <w:color w:val="212121"/>
          <w:shd w:val="clear" w:color="auto" w:fill="FFFFFF"/>
        </w:rPr>
        <w:t>Rasperini</w:t>
      </w:r>
      <w:proofErr w:type="spellEnd"/>
      <w:r w:rsidRPr="003D52BF">
        <w:rPr>
          <w:color w:val="212121"/>
          <w:shd w:val="clear" w:color="auto" w:fill="FFFFFF"/>
        </w:rPr>
        <w:t xml:space="preserve">, G., </w:t>
      </w:r>
      <w:proofErr w:type="spellStart"/>
      <w:r w:rsidRPr="003D52BF">
        <w:rPr>
          <w:color w:val="212121"/>
          <w:shd w:val="clear" w:color="auto" w:fill="FFFFFF"/>
        </w:rPr>
        <w:t>Topoll</w:t>
      </w:r>
      <w:proofErr w:type="spellEnd"/>
      <w:r w:rsidRPr="003D52BF">
        <w:rPr>
          <w:color w:val="212121"/>
          <w:shd w:val="clear" w:color="auto" w:fill="FFFFFF"/>
        </w:rPr>
        <w:t xml:space="preserve">, H., Wachtel, H., </w:t>
      </w:r>
      <w:proofErr w:type="spellStart"/>
      <w:r w:rsidRPr="003D52BF">
        <w:rPr>
          <w:color w:val="212121"/>
          <w:shd w:val="clear" w:color="auto" w:fill="FFFFFF"/>
        </w:rPr>
        <w:t>Wallkamm</w:t>
      </w:r>
      <w:proofErr w:type="spellEnd"/>
      <w:r w:rsidRPr="003D52BF">
        <w:rPr>
          <w:color w:val="212121"/>
          <w:shd w:val="clear" w:color="auto" w:fill="FFFFFF"/>
        </w:rPr>
        <w:t xml:space="preserve">, B., </w:t>
      </w:r>
      <w:proofErr w:type="spellStart"/>
      <w:r w:rsidRPr="003D52BF">
        <w:rPr>
          <w:color w:val="212121"/>
          <w:shd w:val="clear" w:color="auto" w:fill="FFFFFF"/>
        </w:rPr>
        <w:t>Zabalegui</w:t>
      </w:r>
      <w:proofErr w:type="spellEnd"/>
      <w:r w:rsidRPr="003D52BF">
        <w:rPr>
          <w:color w:val="212121"/>
          <w:shd w:val="clear" w:color="auto" w:fill="FFFFFF"/>
        </w:rPr>
        <w:t xml:space="preserve">, I., &amp; </w:t>
      </w:r>
      <w:proofErr w:type="spellStart"/>
      <w:r w:rsidRPr="003D52BF">
        <w:rPr>
          <w:color w:val="212121"/>
          <w:shd w:val="clear" w:color="auto" w:fill="FFFFFF"/>
        </w:rPr>
        <w:t>Zuhr</w:t>
      </w:r>
      <w:proofErr w:type="spellEnd"/>
      <w:r w:rsidRPr="003D52BF">
        <w:rPr>
          <w:color w:val="212121"/>
          <w:shd w:val="clear" w:color="auto" w:fill="FFFFFF"/>
        </w:rPr>
        <w:t xml:space="preserve">, O. (2018). </w:t>
      </w:r>
      <w:proofErr w:type="spellStart"/>
      <w:r w:rsidRPr="003D52BF">
        <w:rPr>
          <w:color w:val="212121"/>
          <w:shd w:val="clear" w:color="auto" w:fill="FFFFFF"/>
        </w:rPr>
        <w:t>Xenogenic</w:t>
      </w:r>
      <w:proofErr w:type="spellEnd"/>
      <w:r w:rsidRPr="003D52BF">
        <w:rPr>
          <w:color w:val="212121"/>
          <w:shd w:val="clear" w:color="auto" w:fill="FFFFFF"/>
        </w:rPr>
        <w:t xml:space="preserve"> collagen matrix or autologous connective tissue graft as adjunct to coronally advanced flaps for coverage of multiple adjacent gingival recession: Randomized trial assessing non-inferiority in root coverage and superiority in oral health-related quality of life. </w:t>
      </w:r>
      <w:r w:rsidRPr="003D52BF">
        <w:rPr>
          <w:i/>
          <w:iCs/>
          <w:color w:val="212121"/>
          <w:shd w:val="clear" w:color="auto" w:fill="FFFFFF"/>
        </w:rPr>
        <w:t>Journal of clinical periodontology</w:t>
      </w:r>
      <w:r w:rsidRPr="003D52BF">
        <w:rPr>
          <w:color w:val="212121"/>
          <w:shd w:val="clear" w:color="auto" w:fill="FFFFFF"/>
        </w:rPr>
        <w:t>, </w:t>
      </w:r>
      <w:r w:rsidRPr="003D52BF">
        <w:rPr>
          <w:i/>
          <w:iCs/>
          <w:color w:val="212121"/>
          <w:shd w:val="clear" w:color="auto" w:fill="FFFFFF"/>
        </w:rPr>
        <w:t>45</w:t>
      </w:r>
      <w:r w:rsidRPr="003D52BF">
        <w:rPr>
          <w:color w:val="212121"/>
          <w:shd w:val="clear" w:color="auto" w:fill="FFFFFF"/>
        </w:rPr>
        <w:t xml:space="preserve">(1), 78–88. </w:t>
      </w:r>
      <w:hyperlink r:id="rId26" w:history="1">
        <w:r w:rsidRPr="003D52BF">
          <w:rPr>
            <w:rStyle w:val="Hyperlink"/>
            <w:shd w:val="clear" w:color="auto" w:fill="FFFFFF"/>
          </w:rPr>
          <w:t>https://doi.org/10.1111/jcpe.12834</w:t>
        </w:r>
      </w:hyperlink>
      <w:r w:rsidRPr="003D52BF">
        <w:rPr>
          <w:color w:val="212121"/>
          <w:shd w:val="clear" w:color="auto" w:fill="FFFFFF"/>
        </w:rPr>
        <w:t xml:space="preserve"> </w:t>
      </w:r>
    </w:p>
    <w:p w14:paraId="2FD888E8" w14:textId="77777777" w:rsidR="00F121D0" w:rsidRPr="003D52BF" w:rsidRDefault="00F121D0" w:rsidP="003D52BF">
      <w:pPr>
        <w:pStyle w:val="ListParagraph"/>
        <w:numPr>
          <w:ilvl w:val="0"/>
          <w:numId w:val="35"/>
        </w:numPr>
        <w:spacing w:before="100" w:beforeAutospacing="1" w:after="100" w:afterAutospacing="1" w:line="240" w:lineRule="auto"/>
        <w:rPr>
          <w:lang w:val="en-US"/>
        </w:rPr>
      </w:pPr>
      <w:proofErr w:type="spellStart"/>
      <w:r w:rsidRPr="003D52BF">
        <w:rPr>
          <w:lang w:val="en-US"/>
        </w:rPr>
        <w:t>Vervaeke</w:t>
      </w:r>
      <w:proofErr w:type="spellEnd"/>
      <w:r w:rsidRPr="003D52BF">
        <w:rPr>
          <w:lang w:val="en-US"/>
        </w:rPr>
        <w:t xml:space="preserve">, S., Matthys, C., Nassar, R., </w:t>
      </w:r>
      <w:proofErr w:type="spellStart"/>
      <w:r w:rsidRPr="003D52BF">
        <w:rPr>
          <w:lang w:val="en-US"/>
        </w:rPr>
        <w:t>Christiaens</w:t>
      </w:r>
      <w:proofErr w:type="spellEnd"/>
      <w:r w:rsidRPr="003D52BF">
        <w:rPr>
          <w:lang w:val="en-US"/>
        </w:rPr>
        <w:t xml:space="preserve">, V., </w:t>
      </w:r>
      <w:proofErr w:type="spellStart"/>
      <w:r w:rsidRPr="003D52BF">
        <w:rPr>
          <w:lang w:val="en-US"/>
        </w:rPr>
        <w:t>Cosyn</w:t>
      </w:r>
      <w:proofErr w:type="spellEnd"/>
      <w:r w:rsidRPr="003D52BF">
        <w:rPr>
          <w:lang w:val="en-US"/>
        </w:rPr>
        <w:t xml:space="preserve">, J., &amp; De </w:t>
      </w:r>
      <w:proofErr w:type="spellStart"/>
      <w:r w:rsidRPr="003D52BF">
        <w:rPr>
          <w:lang w:val="en-US"/>
        </w:rPr>
        <w:t>Bruyn</w:t>
      </w:r>
      <w:proofErr w:type="spellEnd"/>
      <w:r w:rsidRPr="003D52BF">
        <w:rPr>
          <w:lang w:val="en-US"/>
        </w:rPr>
        <w:t xml:space="preserve">, H. (2018). Adapting the vertical position of implants with a conical connection in relation to soft tissue thickness prevents early implant surface exposure: A 2-year prospective intra-subject comparison. Journal of clinical periodontology, 45(5), 605–612. </w:t>
      </w:r>
      <w:hyperlink r:id="rId27" w:history="1">
        <w:r w:rsidRPr="003D52BF">
          <w:rPr>
            <w:rStyle w:val="Hyperlink"/>
            <w:lang w:val="en-US"/>
          </w:rPr>
          <w:t>https://doi.org/10.1111/jcpe.12871</w:t>
        </w:r>
      </w:hyperlink>
    </w:p>
    <w:p w14:paraId="2108EE25" w14:textId="77777777" w:rsidR="00F121D0" w:rsidRPr="003D52BF" w:rsidRDefault="00F121D0" w:rsidP="003D52BF">
      <w:pPr>
        <w:pStyle w:val="ListParagraph"/>
        <w:numPr>
          <w:ilvl w:val="0"/>
          <w:numId w:val="35"/>
        </w:numPr>
        <w:spacing w:before="100" w:beforeAutospacing="1" w:after="100" w:afterAutospacing="1" w:line="240" w:lineRule="auto"/>
        <w:rPr>
          <w:color w:val="212121"/>
          <w:shd w:val="clear" w:color="auto" w:fill="FFFFFF"/>
        </w:rPr>
      </w:pPr>
      <w:r w:rsidRPr="003D52BF">
        <w:rPr>
          <w:color w:val="212121"/>
          <w:shd w:val="clear" w:color="auto" w:fill="FFFFFF"/>
        </w:rPr>
        <w:t xml:space="preserve">Yildirim </w:t>
      </w:r>
      <w:proofErr w:type="spellStart"/>
      <w:r w:rsidRPr="003D52BF">
        <w:rPr>
          <w:color w:val="212121"/>
          <w:shd w:val="clear" w:color="auto" w:fill="FFFFFF"/>
        </w:rPr>
        <w:t>Bolat</w:t>
      </w:r>
      <w:proofErr w:type="spellEnd"/>
      <w:r w:rsidRPr="003D52BF">
        <w:rPr>
          <w:color w:val="212121"/>
          <w:shd w:val="clear" w:color="auto" w:fill="FFFFFF"/>
        </w:rPr>
        <w:t xml:space="preserve">, S., &amp; </w:t>
      </w:r>
      <w:proofErr w:type="spellStart"/>
      <w:r w:rsidRPr="003D52BF">
        <w:rPr>
          <w:color w:val="212121"/>
          <w:shd w:val="clear" w:color="auto" w:fill="FFFFFF"/>
        </w:rPr>
        <w:t>Lutfioglu</w:t>
      </w:r>
      <w:proofErr w:type="spellEnd"/>
      <w:r w:rsidRPr="003D52BF">
        <w:rPr>
          <w:color w:val="212121"/>
          <w:shd w:val="clear" w:color="auto" w:fill="FFFFFF"/>
        </w:rPr>
        <w:t>, M. (2025). Evaluation of gingival phenotype: the role of gingival thickness measurements from different vertical gingival levels. </w:t>
      </w:r>
      <w:r w:rsidRPr="003D52BF">
        <w:rPr>
          <w:i/>
          <w:iCs/>
          <w:color w:val="212121"/>
          <w:shd w:val="clear" w:color="auto" w:fill="FFFFFF"/>
        </w:rPr>
        <w:t>Clinical oral investigations</w:t>
      </w:r>
      <w:r w:rsidRPr="003D52BF">
        <w:rPr>
          <w:color w:val="212121"/>
          <w:shd w:val="clear" w:color="auto" w:fill="FFFFFF"/>
        </w:rPr>
        <w:t>, </w:t>
      </w:r>
      <w:r w:rsidRPr="003D52BF">
        <w:rPr>
          <w:i/>
          <w:iCs/>
          <w:color w:val="212121"/>
          <w:shd w:val="clear" w:color="auto" w:fill="FFFFFF"/>
        </w:rPr>
        <w:t>29</w:t>
      </w:r>
      <w:r w:rsidRPr="003D52BF">
        <w:rPr>
          <w:color w:val="212121"/>
          <w:shd w:val="clear" w:color="auto" w:fill="FFFFFF"/>
        </w:rPr>
        <w:t xml:space="preserve">(1), 87. </w:t>
      </w:r>
      <w:hyperlink r:id="rId28" w:history="1">
        <w:r w:rsidRPr="003D52BF">
          <w:rPr>
            <w:rStyle w:val="Hyperlink"/>
            <w:shd w:val="clear" w:color="auto" w:fill="FFFFFF"/>
          </w:rPr>
          <w:t>https://doi.org/10.1007/s00784-024-06143-x</w:t>
        </w:r>
      </w:hyperlink>
      <w:r w:rsidRPr="003D52BF">
        <w:rPr>
          <w:color w:val="212121"/>
          <w:shd w:val="clear" w:color="auto" w:fill="FFFFFF"/>
        </w:rPr>
        <w:t xml:space="preserve"> </w:t>
      </w:r>
    </w:p>
    <w:p w14:paraId="6EA4CE51" w14:textId="51F3D789" w:rsidR="00F121D0" w:rsidRPr="003D52BF" w:rsidRDefault="00F121D0" w:rsidP="003D52BF">
      <w:pPr>
        <w:pStyle w:val="ListParagraph"/>
        <w:numPr>
          <w:ilvl w:val="0"/>
          <w:numId w:val="35"/>
        </w:numPr>
        <w:spacing w:before="100" w:beforeAutospacing="1" w:after="100" w:afterAutospacing="1" w:line="240" w:lineRule="auto"/>
        <w:rPr>
          <w:lang w:val="en-US"/>
        </w:rPr>
      </w:pPr>
      <w:proofErr w:type="spellStart"/>
      <w:r w:rsidRPr="003D52BF">
        <w:rPr>
          <w:lang w:val="en-US"/>
        </w:rPr>
        <w:t>Zucchelli</w:t>
      </w:r>
      <w:proofErr w:type="spellEnd"/>
      <w:r w:rsidRPr="003D52BF">
        <w:rPr>
          <w:lang w:val="en-US"/>
        </w:rPr>
        <w:t xml:space="preserve">, G., </w:t>
      </w:r>
      <w:proofErr w:type="spellStart"/>
      <w:r w:rsidRPr="003D52BF">
        <w:rPr>
          <w:lang w:val="en-US"/>
        </w:rPr>
        <w:t>Marzadori</w:t>
      </w:r>
      <w:proofErr w:type="spellEnd"/>
      <w:r w:rsidRPr="003D52BF">
        <w:rPr>
          <w:lang w:val="en-US"/>
        </w:rPr>
        <w:t xml:space="preserve">, M., </w:t>
      </w:r>
      <w:proofErr w:type="spellStart"/>
      <w:r w:rsidRPr="003D52BF">
        <w:rPr>
          <w:lang w:val="en-US"/>
        </w:rPr>
        <w:t>Mounssif</w:t>
      </w:r>
      <w:proofErr w:type="spellEnd"/>
      <w:r w:rsidRPr="003D52BF">
        <w:rPr>
          <w:lang w:val="en-US"/>
        </w:rPr>
        <w:t xml:space="preserve">, I., </w:t>
      </w:r>
      <w:proofErr w:type="spellStart"/>
      <w:r w:rsidRPr="003D52BF">
        <w:rPr>
          <w:lang w:val="en-US"/>
        </w:rPr>
        <w:t>Mazzotti</w:t>
      </w:r>
      <w:proofErr w:type="spellEnd"/>
      <w:r w:rsidRPr="003D52BF">
        <w:rPr>
          <w:lang w:val="en-US"/>
        </w:rPr>
        <w:t xml:space="preserve">, C., &amp; </w:t>
      </w:r>
      <w:proofErr w:type="spellStart"/>
      <w:r w:rsidRPr="003D52BF">
        <w:rPr>
          <w:lang w:val="en-US"/>
        </w:rPr>
        <w:t>Stefanini</w:t>
      </w:r>
      <w:proofErr w:type="spellEnd"/>
      <w:r w:rsidRPr="003D52BF">
        <w:rPr>
          <w:lang w:val="en-US"/>
        </w:rPr>
        <w:t>, M. (2014). Coronally advanced flap + connective</w:t>
      </w:r>
      <w:bookmarkStart w:id="0" w:name="_GoBack"/>
      <w:bookmarkEnd w:id="0"/>
      <w:r w:rsidRPr="003D52BF">
        <w:rPr>
          <w:lang w:val="en-US"/>
        </w:rPr>
        <w:t xml:space="preserve"> tissue graft techniques for the treatment of deep gingival recession in the lower incisors. A controlled randomized clinical trial. Journal of clinical periodontology, 41(8), 806–813. </w:t>
      </w:r>
      <w:hyperlink r:id="rId29" w:history="1">
        <w:r w:rsidRPr="003D52BF">
          <w:rPr>
            <w:rStyle w:val="Hyperlink"/>
            <w:lang w:val="en-US"/>
          </w:rPr>
          <w:t>https://doi.org/10.1111/jcpe.12269</w:t>
        </w:r>
      </w:hyperlink>
      <w:r w:rsidRPr="003D52BF">
        <w:rPr>
          <w:lang w:val="en-US"/>
        </w:rPr>
        <w:t xml:space="preserve">  </w:t>
      </w:r>
    </w:p>
    <w:p w14:paraId="7B898337" w14:textId="77777777" w:rsidR="002D60C4" w:rsidRPr="003D52BF" w:rsidRDefault="002D60C4" w:rsidP="003D52BF">
      <w:pPr>
        <w:pStyle w:val="ListParagraph"/>
        <w:numPr>
          <w:ilvl w:val="0"/>
          <w:numId w:val="35"/>
        </w:numPr>
        <w:spacing w:after="0" w:line="240" w:lineRule="auto"/>
        <w:rPr>
          <w:rFonts w:ascii="Consolas" w:hAnsi="Consolas"/>
          <w:sz w:val="20"/>
          <w:lang w:val="en-US"/>
        </w:rPr>
      </w:pPr>
      <w:proofErr w:type="spellStart"/>
      <w:r w:rsidRPr="003D52BF">
        <w:rPr>
          <w:rFonts w:ascii="Consolas" w:hAnsi="Consolas"/>
          <w:sz w:val="20"/>
          <w:highlight w:val="yellow"/>
          <w:lang w:val="en-US"/>
        </w:rPr>
        <w:t>Aşkın</w:t>
      </w:r>
      <w:proofErr w:type="spellEnd"/>
      <w:r w:rsidRPr="003D52BF">
        <w:rPr>
          <w:rFonts w:ascii="Consolas" w:hAnsi="Consolas"/>
          <w:sz w:val="20"/>
          <w:highlight w:val="yellow"/>
          <w:lang w:val="en-US"/>
        </w:rPr>
        <w:t xml:space="preserve"> Dİ, </w:t>
      </w:r>
      <w:proofErr w:type="spellStart"/>
      <w:r w:rsidRPr="003D52BF">
        <w:rPr>
          <w:rFonts w:ascii="Consolas" w:hAnsi="Consolas"/>
          <w:sz w:val="20"/>
          <w:highlight w:val="yellow"/>
          <w:lang w:val="en-US"/>
        </w:rPr>
        <w:t>Tayman</w:t>
      </w:r>
      <w:proofErr w:type="spellEnd"/>
      <w:r w:rsidRPr="003D52BF">
        <w:rPr>
          <w:rFonts w:ascii="Consolas" w:hAnsi="Consolas"/>
          <w:sz w:val="20"/>
          <w:highlight w:val="yellow"/>
          <w:lang w:val="en-US"/>
        </w:rPr>
        <w:t xml:space="preserve"> MA, </w:t>
      </w:r>
      <w:proofErr w:type="spellStart"/>
      <w:r w:rsidRPr="003D52BF">
        <w:rPr>
          <w:rFonts w:ascii="Consolas" w:hAnsi="Consolas"/>
          <w:sz w:val="20"/>
          <w:highlight w:val="yellow"/>
          <w:lang w:val="en-US"/>
        </w:rPr>
        <w:t>Çelik</w:t>
      </w:r>
      <w:proofErr w:type="spellEnd"/>
      <w:r w:rsidRPr="003D52BF">
        <w:rPr>
          <w:rFonts w:ascii="Consolas" w:hAnsi="Consolas"/>
          <w:sz w:val="20"/>
          <w:highlight w:val="yellow"/>
          <w:lang w:val="en-US"/>
        </w:rPr>
        <w:t xml:space="preserve"> B, </w:t>
      </w:r>
      <w:proofErr w:type="spellStart"/>
      <w:r w:rsidRPr="003D52BF">
        <w:rPr>
          <w:rFonts w:ascii="Consolas" w:hAnsi="Consolas"/>
          <w:sz w:val="20"/>
          <w:highlight w:val="yellow"/>
          <w:lang w:val="en-US"/>
        </w:rPr>
        <w:t>Kamburoğlu</w:t>
      </w:r>
      <w:proofErr w:type="spellEnd"/>
      <w:r w:rsidRPr="003D52BF">
        <w:rPr>
          <w:rFonts w:ascii="Consolas" w:hAnsi="Consolas"/>
          <w:sz w:val="20"/>
          <w:highlight w:val="yellow"/>
          <w:lang w:val="en-US"/>
        </w:rPr>
        <w:t xml:space="preserve"> K, </w:t>
      </w:r>
      <w:proofErr w:type="spellStart"/>
      <w:r w:rsidRPr="003D52BF">
        <w:rPr>
          <w:rFonts w:ascii="Consolas" w:hAnsi="Consolas"/>
          <w:sz w:val="20"/>
          <w:highlight w:val="yellow"/>
          <w:lang w:val="en-US"/>
        </w:rPr>
        <w:t>Özen</w:t>
      </w:r>
      <w:proofErr w:type="spellEnd"/>
      <w:r w:rsidRPr="003D52BF">
        <w:rPr>
          <w:rFonts w:ascii="Consolas" w:hAnsi="Consolas"/>
          <w:sz w:val="20"/>
          <w:highlight w:val="yellow"/>
          <w:lang w:val="en-US"/>
        </w:rPr>
        <w:t xml:space="preserve"> D. Comparison of gingival and periodontal phenotype classification methods and phenotype-related clinical parameters: cross-sectional observational study. BMC Oral Health. 2025 Apr 23;25(1):620. </w:t>
      </w:r>
      <w:proofErr w:type="spellStart"/>
      <w:r w:rsidRPr="003D52BF">
        <w:rPr>
          <w:rFonts w:ascii="Consolas" w:hAnsi="Consolas"/>
          <w:sz w:val="20"/>
          <w:highlight w:val="yellow"/>
          <w:lang w:val="en-US"/>
        </w:rPr>
        <w:t>doi</w:t>
      </w:r>
      <w:proofErr w:type="spellEnd"/>
      <w:r w:rsidRPr="003D52BF">
        <w:rPr>
          <w:rFonts w:ascii="Consolas" w:hAnsi="Consolas"/>
          <w:sz w:val="20"/>
          <w:highlight w:val="yellow"/>
          <w:lang w:val="en-US"/>
        </w:rPr>
        <w:t>: 10.1186/s12903-025-06007-0. PMID: 40269862; PMCID: PMC12020244.</w:t>
      </w:r>
    </w:p>
    <w:p w14:paraId="12A0908B" w14:textId="47401344" w:rsidR="002D60C4" w:rsidRPr="003D52BF" w:rsidRDefault="002D60C4" w:rsidP="003D52BF">
      <w:pPr>
        <w:pStyle w:val="ListParagraph"/>
        <w:numPr>
          <w:ilvl w:val="0"/>
          <w:numId w:val="35"/>
        </w:numPr>
        <w:spacing w:before="100" w:beforeAutospacing="1" w:after="100" w:afterAutospacing="1" w:line="240" w:lineRule="auto"/>
        <w:rPr>
          <w:rFonts w:ascii="Arial" w:hAnsi="Arial" w:cs="Arial"/>
          <w:color w:val="222222"/>
          <w:sz w:val="20"/>
          <w:szCs w:val="20"/>
          <w:highlight w:val="yellow"/>
          <w:shd w:val="clear" w:color="auto" w:fill="FFFFFF"/>
        </w:rPr>
      </w:pPr>
      <w:proofErr w:type="spellStart"/>
      <w:r w:rsidRPr="003D52BF">
        <w:rPr>
          <w:rFonts w:ascii="Arial" w:hAnsi="Arial" w:cs="Arial"/>
          <w:color w:val="222222"/>
          <w:sz w:val="20"/>
          <w:szCs w:val="20"/>
          <w:highlight w:val="yellow"/>
          <w:shd w:val="clear" w:color="auto" w:fill="FFFFFF"/>
        </w:rPr>
        <w:t>Uysal</w:t>
      </w:r>
      <w:proofErr w:type="spellEnd"/>
      <w:r w:rsidRPr="003D52BF">
        <w:rPr>
          <w:rFonts w:ascii="Arial" w:hAnsi="Arial" w:cs="Arial"/>
          <w:color w:val="222222"/>
          <w:sz w:val="20"/>
          <w:szCs w:val="20"/>
          <w:highlight w:val="yellow"/>
          <w:shd w:val="clear" w:color="auto" w:fill="FFFFFF"/>
        </w:rPr>
        <w:t xml:space="preserve">, B. F., </w:t>
      </w:r>
      <w:proofErr w:type="spellStart"/>
      <w:r w:rsidRPr="003D52BF">
        <w:rPr>
          <w:rFonts w:ascii="Arial" w:hAnsi="Arial" w:cs="Arial"/>
          <w:color w:val="222222"/>
          <w:sz w:val="20"/>
          <w:szCs w:val="20"/>
          <w:highlight w:val="yellow"/>
          <w:shd w:val="clear" w:color="auto" w:fill="FFFFFF"/>
        </w:rPr>
        <w:t>Köse</w:t>
      </w:r>
      <w:proofErr w:type="spellEnd"/>
      <w:r w:rsidRPr="003D52BF">
        <w:rPr>
          <w:rFonts w:ascii="Arial" w:hAnsi="Arial" w:cs="Arial"/>
          <w:color w:val="222222"/>
          <w:sz w:val="20"/>
          <w:szCs w:val="20"/>
          <w:highlight w:val="yellow"/>
          <w:shd w:val="clear" w:color="auto" w:fill="FFFFFF"/>
        </w:rPr>
        <w:t xml:space="preserve">, T., &amp; </w:t>
      </w:r>
      <w:proofErr w:type="spellStart"/>
      <w:r w:rsidRPr="003D52BF">
        <w:rPr>
          <w:rFonts w:ascii="Arial" w:hAnsi="Arial" w:cs="Arial"/>
          <w:color w:val="222222"/>
          <w:sz w:val="20"/>
          <w:szCs w:val="20"/>
          <w:highlight w:val="yellow"/>
          <w:shd w:val="clear" w:color="auto" w:fill="FFFFFF"/>
        </w:rPr>
        <w:t>Gürkan</w:t>
      </w:r>
      <w:proofErr w:type="spellEnd"/>
      <w:r w:rsidRPr="003D52BF">
        <w:rPr>
          <w:rFonts w:ascii="Arial" w:hAnsi="Arial" w:cs="Arial"/>
          <w:color w:val="222222"/>
          <w:sz w:val="20"/>
          <w:szCs w:val="20"/>
          <w:highlight w:val="yellow"/>
          <w:shd w:val="clear" w:color="auto" w:fill="FFFFFF"/>
        </w:rPr>
        <w:t>, A. (2025). Gingival phenotype classification by visual and probe visibility assessments: Relationship with thickness and probe design. </w:t>
      </w:r>
      <w:r w:rsidRPr="003D52BF">
        <w:rPr>
          <w:rFonts w:ascii="Arial" w:hAnsi="Arial" w:cs="Arial"/>
          <w:i/>
          <w:iCs/>
          <w:color w:val="222222"/>
          <w:sz w:val="20"/>
          <w:szCs w:val="20"/>
          <w:highlight w:val="yellow"/>
          <w:shd w:val="clear" w:color="auto" w:fill="FFFFFF"/>
        </w:rPr>
        <w:t>Journal of Periodontology</w:t>
      </w:r>
      <w:r w:rsidRPr="003D52BF">
        <w:rPr>
          <w:rFonts w:ascii="Arial" w:hAnsi="Arial" w:cs="Arial"/>
          <w:color w:val="222222"/>
          <w:sz w:val="20"/>
          <w:szCs w:val="20"/>
          <w:highlight w:val="yellow"/>
          <w:shd w:val="clear" w:color="auto" w:fill="FFFFFF"/>
        </w:rPr>
        <w:t>, </w:t>
      </w:r>
      <w:r w:rsidRPr="003D52BF">
        <w:rPr>
          <w:rFonts w:ascii="Arial" w:hAnsi="Arial" w:cs="Arial"/>
          <w:i/>
          <w:iCs/>
          <w:color w:val="222222"/>
          <w:sz w:val="20"/>
          <w:szCs w:val="20"/>
          <w:highlight w:val="yellow"/>
          <w:shd w:val="clear" w:color="auto" w:fill="FFFFFF"/>
        </w:rPr>
        <w:t>96</w:t>
      </w:r>
      <w:r w:rsidRPr="003D52BF">
        <w:rPr>
          <w:rFonts w:ascii="Arial" w:hAnsi="Arial" w:cs="Arial"/>
          <w:color w:val="222222"/>
          <w:sz w:val="20"/>
          <w:szCs w:val="20"/>
          <w:highlight w:val="yellow"/>
          <w:shd w:val="clear" w:color="auto" w:fill="FFFFFF"/>
        </w:rPr>
        <w:t>(4), 309-320.</w:t>
      </w:r>
    </w:p>
    <w:p w14:paraId="002FE7A8" w14:textId="6882A15C" w:rsidR="00754ECF" w:rsidRPr="003D52BF" w:rsidRDefault="00754ECF" w:rsidP="003D52BF">
      <w:pPr>
        <w:pStyle w:val="ListParagraph"/>
        <w:numPr>
          <w:ilvl w:val="0"/>
          <w:numId w:val="35"/>
        </w:numPr>
        <w:spacing w:before="100" w:beforeAutospacing="1" w:after="100" w:afterAutospacing="1" w:line="240" w:lineRule="auto"/>
        <w:rPr>
          <w:lang w:val="en-US"/>
        </w:rPr>
      </w:pPr>
      <w:proofErr w:type="spellStart"/>
      <w:r w:rsidRPr="003D52BF">
        <w:rPr>
          <w:rFonts w:ascii="Arial" w:hAnsi="Arial" w:cs="Arial"/>
          <w:color w:val="222222"/>
          <w:sz w:val="20"/>
          <w:szCs w:val="20"/>
          <w:highlight w:val="yellow"/>
          <w:shd w:val="clear" w:color="auto" w:fill="FFFFFF"/>
        </w:rPr>
        <w:t>Pashova-Tasseva</w:t>
      </w:r>
      <w:proofErr w:type="spellEnd"/>
      <w:r w:rsidRPr="003D52BF">
        <w:rPr>
          <w:rFonts w:ascii="Arial" w:hAnsi="Arial" w:cs="Arial"/>
          <w:color w:val="222222"/>
          <w:sz w:val="20"/>
          <w:szCs w:val="20"/>
          <w:highlight w:val="yellow"/>
          <w:shd w:val="clear" w:color="auto" w:fill="FFFFFF"/>
        </w:rPr>
        <w:t xml:space="preserve">, Z., </w:t>
      </w:r>
      <w:proofErr w:type="spellStart"/>
      <w:r w:rsidRPr="003D52BF">
        <w:rPr>
          <w:rFonts w:ascii="Arial" w:hAnsi="Arial" w:cs="Arial"/>
          <w:color w:val="222222"/>
          <w:sz w:val="20"/>
          <w:szCs w:val="20"/>
          <w:highlight w:val="yellow"/>
          <w:shd w:val="clear" w:color="auto" w:fill="FFFFFF"/>
        </w:rPr>
        <w:t>Mlachkova</w:t>
      </w:r>
      <w:proofErr w:type="spellEnd"/>
      <w:r w:rsidRPr="003D52BF">
        <w:rPr>
          <w:rFonts w:ascii="Arial" w:hAnsi="Arial" w:cs="Arial"/>
          <w:color w:val="222222"/>
          <w:sz w:val="20"/>
          <w:szCs w:val="20"/>
          <w:highlight w:val="yellow"/>
          <w:shd w:val="clear" w:color="auto" w:fill="FFFFFF"/>
        </w:rPr>
        <w:t xml:space="preserve">, A., &amp; </w:t>
      </w:r>
      <w:proofErr w:type="spellStart"/>
      <w:r w:rsidRPr="003D52BF">
        <w:rPr>
          <w:rFonts w:ascii="Arial" w:hAnsi="Arial" w:cs="Arial"/>
          <w:color w:val="222222"/>
          <w:sz w:val="20"/>
          <w:szCs w:val="20"/>
          <w:highlight w:val="yellow"/>
          <w:shd w:val="clear" w:color="auto" w:fill="FFFFFF"/>
        </w:rPr>
        <w:t>Tosheva</w:t>
      </w:r>
      <w:proofErr w:type="spellEnd"/>
      <w:r w:rsidRPr="003D52BF">
        <w:rPr>
          <w:rFonts w:ascii="Arial" w:hAnsi="Arial" w:cs="Arial"/>
          <w:color w:val="222222"/>
          <w:sz w:val="20"/>
          <w:szCs w:val="20"/>
          <w:highlight w:val="yellow"/>
          <w:shd w:val="clear" w:color="auto" w:fill="FFFFFF"/>
        </w:rPr>
        <w:t>, E. (2023). Impact of gingival phenotype on the periodontal disease. </w:t>
      </w:r>
      <w:r w:rsidRPr="003D52BF">
        <w:rPr>
          <w:rFonts w:ascii="Arial" w:hAnsi="Arial" w:cs="Arial"/>
          <w:i/>
          <w:iCs/>
          <w:color w:val="222222"/>
          <w:sz w:val="20"/>
          <w:szCs w:val="20"/>
          <w:highlight w:val="yellow"/>
          <w:shd w:val="clear" w:color="auto" w:fill="FFFFFF"/>
        </w:rPr>
        <w:t xml:space="preserve">Folia </w:t>
      </w:r>
      <w:proofErr w:type="spellStart"/>
      <w:r w:rsidRPr="003D52BF">
        <w:rPr>
          <w:rFonts w:ascii="Arial" w:hAnsi="Arial" w:cs="Arial"/>
          <w:i/>
          <w:iCs/>
          <w:color w:val="222222"/>
          <w:sz w:val="20"/>
          <w:szCs w:val="20"/>
          <w:highlight w:val="yellow"/>
          <w:shd w:val="clear" w:color="auto" w:fill="FFFFFF"/>
        </w:rPr>
        <w:t>Medica</w:t>
      </w:r>
      <w:proofErr w:type="spellEnd"/>
      <w:r w:rsidRPr="003D52BF">
        <w:rPr>
          <w:rFonts w:ascii="Arial" w:hAnsi="Arial" w:cs="Arial"/>
          <w:color w:val="222222"/>
          <w:sz w:val="20"/>
          <w:szCs w:val="20"/>
          <w:highlight w:val="yellow"/>
          <w:shd w:val="clear" w:color="auto" w:fill="FFFFFF"/>
        </w:rPr>
        <w:t>, </w:t>
      </w:r>
      <w:r w:rsidRPr="003D52BF">
        <w:rPr>
          <w:rFonts w:ascii="Arial" w:hAnsi="Arial" w:cs="Arial"/>
          <w:i/>
          <w:iCs/>
          <w:color w:val="222222"/>
          <w:sz w:val="20"/>
          <w:szCs w:val="20"/>
          <w:highlight w:val="yellow"/>
          <w:shd w:val="clear" w:color="auto" w:fill="FFFFFF"/>
        </w:rPr>
        <w:t>65</w:t>
      </w:r>
      <w:r w:rsidRPr="003D52BF">
        <w:rPr>
          <w:rFonts w:ascii="Arial" w:hAnsi="Arial" w:cs="Arial"/>
          <w:color w:val="222222"/>
          <w:sz w:val="20"/>
          <w:szCs w:val="20"/>
          <w:highlight w:val="yellow"/>
          <w:shd w:val="clear" w:color="auto" w:fill="FFFFFF"/>
        </w:rPr>
        <w:t>(3), 468-475.</w:t>
      </w:r>
    </w:p>
    <w:sectPr w:rsidR="00754ECF" w:rsidRPr="003D52BF"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A6A23" w16cex:dateUtc="2026-01-14T00:06:00Z"/>
  <w16cex:commentExtensible w16cex:durableId="0AD128F6" w16cex:dateUtc="2026-01-14T00:27:00Z"/>
  <w16cex:commentExtensible w16cex:durableId="4E4119D5" w16cex:dateUtc="2026-01-14T00:06:00Z"/>
  <w16cex:commentExtensible w16cex:durableId="12F34012" w16cex:dateUtc="2026-01-14T00:28:00Z"/>
  <w16cex:commentExtensible w16cex:durableId="3ADF4C71" w16cex:dateUtc="2026-01-14T00:53:00Z"/>
  <w16cex:commentExtensible w16cex:durableId="67A932F8" w16cex:dateUtc="2026-01-14T00:57:00Z"/>
  <w16cex:commentExtensible w16cex:durableId="162E7B0C" w16cex:dateUtc="2026-01-14T00:57:00Z"/>
  <w16cex:commentExtensible w16cex:durableId="04E1AB15" w16cex:dateUtc="2026-01-14T00:57:00Z"/>
  <w16cex:commentExtensible w16cex:durableId="34D3C437" w16cex:dateUtc="2026-01-14T00:58:00Z"/>
  <w16cex:commentExtensible w16cex:durableId="1E365854" w16cex:dateUtc="2026-01-14T01:36:00Z"/>
  <w16cex:commentExtensible w16cex:durableId="7A3E9C84" w16cex:dateUtc="2026-01-14T01:37:00Z"/>
  <w16cex:commentExtensible w16cex:durableId="2A86CC38" w16cex:dateUtc="2026-01-14T01:38:00Z"/>
  <w16cex:commentExtensible w16cex:durableId="437AE15A" w16cex:dateUtc="2026-01-14T01:47:00Z"/>
  <w16cex:commentExtensible w16cex:durableId="41C7604D" w16cex:dateUtc="2026-01-14T01:48:00Z"/>
  <w16cex:commentExtensible w16cex:durableId="1FA48F8C" w16cex:dateUtc="2026-01-14T01:49:00Z"/>
  <w16cex:commentExtensible w16cex:durableId="74117FAA" w16cex:dateUtc="2026-01-14T01:49:00Z"/>
  <w16cex:commentExtensible w16cex:durableId="3E99B810" w16cex:dateUtc="2026-01-14T01:50:00Z"/>
  <w16cex:commentExtensible w16cex:durableId="7B3F5DD7" w16cex:dateUtc="2026-01-14T01:58:00Z"/>
  <w16cex:commentExtensible w16cex:durableId="1DC41A13" w16cex:dateUtc="2026-01-14T01:59:00Z"/>
  <w16cex:commentExtensible w16cex:durableId="659854A1" w16cex:dateUtc="2026-01-14T01:59:00Z"/>
  <w16cex:commentExtensible w16cex:durableId="55898880" w16cex:dateUtc="2026-01-14T02: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0E88" w14:textId="77777777" w:rsidR="00033A30" w:rsidRDefault="00033A30" w:rsidP="00E97301">
      <w:pPr>
        <w:spacing w:after="0" w:line="240" w:lineRule="auto"/>
      </w:pPr>
      <w:r>
        <w:separator/>
      </w:r>
    </w:p>
  </w:endnote>
  <w:endnote w:type="continuationSeparator" w:id="0">
    <w:p w14:paraId="3147259F" w14:textId="77777777" w:rsidR="00033A30" w:rsidRDefault="00033A30" w:rsidP="00E9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9BA8" w14:textId="77777777" w:rsidR="00E97301" w:rsidRDefault="00E97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9AFB" w14:textId="77777777" w:rsidR="00E97301" w:rsidRDefault="00E97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C0B2" w14:textId="77777777" w:rsidR="00E97301" w:rsidRDefault="00E97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B6CB" w14:textId="77777777" w:rsidR="00033A30" w:rsidRDefault="00033A30" w:rsidP="00E97301">
      <w:pPr>
        <w:spacing w:after="0" w:line="240" w:lineRule="auto"/>
      </w:pPr>
      <w:r>
        <w:separator/>
      </w:r>
    </w:p>
  </w:footnote>
  <w:footnote w:type="continuationSeparator" w:id="0">
    <w:p w14:paraId="189A467A" w14:textId="77777777" w:rsidR="00033A30" w:rsidRDefault="00033A30" w:rsidP="00E9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5319" w14:textId="77777777" w:rsidR="00E97301" w:rsidRDefault="00033A30">
    <w:pPr>
      <w:pStyle w:val="Header"/>
    </w:pPr>
    <w:r>
      <w:rPr>
        <w:noProof/>
      </w:rPr>
      <w:pict w14:anchorId="445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8" o:spid="_x0000_s2051"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1633" w14:textId="77777777" w:rsidR="00E97301" w:rsidRDefault="00033A30">
    <w:pPr>
      <w:pStyle w:val="Header"/>
    </w:pPr>
    <w:r>
      <w:rPr>
        <w:noProof/>
      </w:rPr>
      <w:pict w14:anchorId="1BA55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9" o:spid="_x0000_s2050"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A0EB" w14:textId="77777777" w:rsidR="00E97301" w:rsidRDefault="00033A30">
    <w:pPr>
      <w:pStyle w:val="Header"/>
    </w:pPr>
    <w:r>
      <w:rPr>
        <w:noProof/>
      </w:rPr>
      <w:pict w14:anchorId="63A28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7" o:spid="_x0000_s2049"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26445"/>
    <w:multiLevelType w:val="hybridMultilevel"/>
    <w:tmpl w:val="F6E8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3"/>
  </w:num>
  <w:num w:numId="4">
    <w:abstractNumId w:val="8"/>
  </w:num>
  <w:num w:numId="5">
    <w:abstractNumId w:val="22"/>
  </w:num>
  <w:num w:numId="6">
    <w:abstractNumId w:val="10"/>
  </w:num>
  <w:num w:numId="7">
    <w:abstractNumId w:val="2"/>
  </w:num>
  <w:num w:numId="8">
    <w:abstractNumId w:val="34"/>
  </w:num>
  <w:num w:numId="9">
    <w:abstractNumId w:val="11"/>
  </w:num>
  <w:num w:numId="10">
    <w:abstractNumId w:val="12"/>
  </w:num>
  <w:num w:numId="11">
    <w:abstractNumId w:val="18"/>
  </w:num>
  <w:num w:numId="12">
    <w:abstractNumId w:val="17"/>
  </w:num>
  <w:num w:numId="13">
    <w:abstractNumId w:val="19"/>
  </w:num>
  <w:num w:numId="14">
    <w:abstractNumId w:val="9"/>
  </w:num>
  <w:num w:numId="15">
    <w:abstractNumId w:val="1"/>
  </w:num>
  <w:num w:numId="16">
    <w:abstractNumId w:val="20"/>
  </w:num>
  <w:num w:numId="17">
    <w:abstractNumId w:val="31"/>
  </w:num>
  <w:num w:numId="18">
    <w:abstractNumId w:val="29"/>
  </w:num>
  <w:num w:numId="19">
    <w:abstractNumId w:val="28"/>
  </w:num>
  <w:num w:numId="20">
    <w:abstractNumId w:val="15"/>
  </w:num>
  <w:num w:numId="21">
    <w:abstractNumId w:val="24"/>
  </w:num>
  <w:num w:numId="22">
    <w:abstractNumId w:val="26"/>
  </w:num>
  <w:num w:numId="23">
    <w:abstractNumId w:val="0"/>
  </w:num>
  <w:num w:numId="24">
    <w:abstractNumId w:val="33"/>
  </w:num>
  <w:num w:numId="25">
    <w:abstractNumId w:val="5"/>
  </w:num>
  <w:num w:numId="26">
    <w:abstractNumId w:val="21"/>
  </w:num>
  <w:num w:numId="27">
    <w:abstractNumId w:val="27"/>
  </w:num>
  <w:num w:numId="28">
    <w:abstractNumId w:val="25"/>
  </w:num>
  <w:num w:numId="29">
    <w:abstractNumId w:val="16"/>
  </w:num>
  <w:num w:numId="30">
    <w:abstractNumId w:val="32"/>
  </w:num>
  <w:num w:numId="31">
    <w:abstractNumId w:val="14"/>
  </w:num>
  <w:num w:numId="32">
    <w:abstractNumId w:val="30"/>
  </w:num>
  <w:num w:numId="33">
    <w:abstractNumId w:val="3"/>
  </w:num>
  <w:num w:numId="34">
    <w:abstractNumId w:val="4"/>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I0MjGxtDAzNDW3MDFW0lEKTi0uzszPAykwrAUAq4LU7SwAAAA="/>
  </w:docVars>
  <w:rsids>
    <w:rsidRoot w:val="00761CB6"/>
    <w:rsid w:val="00004A77"/>
    <w:rsid w:val="000078F4"/>
    <w:rsid w:val="00007AAB"/>
    <w:rsid w:val="00033A30"/>
    <w:rsid w:val="000425DD"/>
    <w:rsid w:val="00053D7A"/>
    <w:rsid w:val="0005616C"/>
    <w:rsid w:val="0006037D"/>
    <w:rsid w:val="0006413B"/>
    <w:rsid w:val="000643E7"/>
    <w:rsid w:val="0006527C"/>
    <w:rsid w:val="000652AA"/>
    <w:rsid w:val="00070307"/>
    <w:rsid w:val="00086EDD"/>
    <w:rsid w:val="000A0EB4"/>
    <w:rsid w:val="000A79B2"/>
    <w:rsid w:val="000C4F0E"/>
    <w:rsid w:val="000D461E"/>
    <w:rsid w:val="000D6AAA"/>
    <w:rsid w:val="000E67D1"/>
    <w:rsid w:val="000E709D"/>
    <w:rsid w:val="000F27AA"/>
    <w:rsid w:val="00114147"/>
    <w:rsid w:val="001261CC"/>
    <w:rsid w:val="00126ADF"/>
    <w:rsid w:val="00131E50"/>
    <w:rsid w:val="00135191"/>
    <w:rsid w:val="00135889"/>
    <w:rsid w:val="00142919"/>
    <w:rsid w:val="001514E1"/>
    <w:rsid w:val="001560E3"/>
    <w:rsid w:val="00166050"/>
    <w:rsid w:val="00181BEA"/>
    <w:rsid w:val="00186E2A"/>
    <w:rsid w:val="0019059D"/>
    <w:rsid w:val="0019667B"/>
    <w:rsid w:val="001A0E70"/>
    <w:rsid w:val="001A165A"/>
    <w:rsid w:val="001A3703"/>
    <w:rsid w:val="001A7A4E"/>
    <w:rsid w:val="001B2FA4"/>
    <w:rsid w:val="001B5753"/>
    <w:rsid w:val="001E6EC5"/>
    <w:rsid w:val="00202F35"/>
    <w:rsid w:val="0022042D"/>
    <w:rsid w:val="002312EA"/>
    <w:rsid w:val="0024324D"/>
    <w:rsid w:val="002477E1"/>
    <w:rsid w:val="0025339C"/>
    <w:rsid w:val="00257AC1"/>
    <w:rsid w:val="00260455"/>
    <w:rsid w:val="00260B1D"/>
    <w:rsid w:val="00267B17"/>
    <w:rsid w:val="00271A26"/>
    <w:rsid w:val="002778DD"/>
    <w:rsid w:val="00284F1F"/>
    <w:rsid w:val="002A01F2"/>
    <w:rsid w:val="002A4C47"/>
    <w:rsid w:val="002B76E6"/>
    <w:rsid w:val="002C0DF9"/>
    <w:rsid w:val="002C48BB"/>
    <w:rsid w:val="002D60C4"/>
    <w:rsid w:val="002D6FFA"/>
    <w:rsid w:val="002E0776"/>
    <w:rsid w:val="002F0434"/>
    <w:rsid w:val="002F4C0C"/>
    <w:rsid w:val="00307595"/>
    <w:rsid w:val="0031286E"/>
    <w:rsid w:val="00326096"/>
    <w:rsid w:val="00332243"/>
    <w:rsid w:val="00345946"/>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D52BF"/>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B3DA4"/>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A2AA6"/>
    <w:rsid w:val="005A5DEC"/>
    <w:rsid w:val="005B18D2"/>
    <w:rsid w:val="005B22C5"/>
    <w:rsid w:val="005B4ADB"/>
    <w:rsid w:val="005D2267"/>
    <w:rsid w:val="005F1FE6"/>
    <w:rsid w:val="006009AA"/>
    <w:rsid w:val="00605701"/>
    <w:rsid w:val="0061521F"/>
    <w:rsid w:val="00622C65"/>
    <w:rsid w:val="00626F6E"/>
    <w:rsid w:val="00627E24"/>
    <w:rsid w:val="00630F23"/>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21D0"/>
    <w:rsid w:val="00754ECF"/>
    <w:rsid w:val="00755BDC"/>
    <w:rsid w:val="00761CB6"/>
    <w:rsid w:val="00773599"/>
    <w:rsid w:val="00774395"/>
    <w:rsid w:val="0078275D"/>
    <w:rsid w:val="00783E9E"/>
    <w:rsid w:val="00786C67"/>
    <w:rsid w:val="007A7B26"/>
    <w:rsid w:val="007B0E74"/>
    <w:rsid w:val="007B437D"/>
    <w:rsid w:val="007C5F8A"/>
    <w:rsid w:val="007C7951"/>
    <w:rsid w:val="007D03BC"/>
    <w:rsid w:val="007D38FC"/>
    <w:rsid w:val="007E249F"/>
    <w:rsid w:val="007F1928"/>
    <w:rsid w:val="008017C0"/>
    <w:rsid w:val="00804929"/>
    <w:rsid w:val="008107F6"/>
    <w:rsid w:val="00812006"/>
    <w:rsid w:val="00820C75"/>
    <w:rsid w:val="00826AC2"/>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C2A6A"/>
    <w:rsid w:val="008E71C6"/>
    <w:rsid w:val="008F3850"/>
    <w:rsid w:val="00911A60"/>
    <w:rsid w:val="00916DED"/>
    <w:rsid w:val="00921557"/>
    <w:rsid w:val="00925CAF"/>
    <w:rsid w:val="00935182"/>
    <w:rsid w:val="00951A3D"/>
    <w:rsid w:val="009536DC"/>
    <w:rsid w:val="009851F5"/>
    <w:rsid w:val="009929A7"/>
    <w:rsid w:val="00992B92"/>
    <w:rsid w:val="00994A4A"/>
    <w:rsid w:val="009B30FC"/>
    <w:rsid w:val="009B3A8A"/>
    <w:rsid w:val="009B55DE"/>
    <w:rsid w:val="009D05A9"/>
    <w:rsid w:val="009D0B9D"/>
    <w:rsid w:val="009D13F6"/>
    <w:rsid w:val="009D5BA5"/>
    <w:rsid w:val="009D7A21"/>
    <w:rsid w:val="009E5244"/>
    <w:rsid w:val="009F0120"/>
    <w:rsid w:val="00A00B22"/>
    <w:rsid w:val="00A029C3"/>
    <w:rsid w:val="00A2270F"/>
    <w:rsid w:val="00A24B38"/>
    <w:rsid w:val="00A27BF4"/>
    <w:rsid w:val="00A478B2"/>
    <w:rsid w:val="00A50845"/>
    <w:rsid w:val="00A5299F"/>
    <w:rsid w:val="00A54719"/>
    <w:rsid w:val="00A57A87"/>
    <w:rsid w:val="00A62C46"/>
    <w:rsid w:val="00A64590"/>
    <w:rsid w:val="00A7055A"/>
    <w:rsid w:val="00A8506E"/>
    <w:rsid w:val="00A8742B"/>
    <w:rsid w:val="00A97AEF"/>
    <w:rsid w:val="00AA2B64"/>
    <w:rsid w:val="00AA4644"/>
    <w:rsid w:val="00AA4B35"/>
    <w:rsid w:val="00AB0C7A"/>
    <w:rsid w:val="00AB1103"/>
    <w:rsid w:val="00AD7B8B"/>
    <w:rsid w:val="00AE651D"/>
    <w:rsid w:val="00AE79C2"/>
    <w:rsid w:val="00AF7425"/>
    <w:rsid w:val="00B02E12"/>
    <w:rsid w:val="00B06888"/>
    <w:rsid w:val="00B1065D"/>
    <w:rsid w:val="00B451DB"/>
    <w:rsid w:val="00B6043D"/>
    <w:rsid w:val="00B84C19"/>
    <w:rsid w:val="00B96BA2"/>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A5316"/>
    <w:rsid w:val="00CB0EDD"/>
    <w:rsid w:val="00CB6EB6"/>
    <w:rsid w:val="00CB75A8"/>
    <w:rsid w:val="00CC40DF"/>
    <w:rsid w:val="00CE051F"/>
    <w:rsid w:val="00CE0C42"/>
    <w:rsid w:val="00CE5BFA"/>
    <w:rsid w:val="00CF3244"/>
    <w:rsid w:val="00D01C65"/>
    <w:rsid w:val="00D055EE"/>
    <w:rsid w:val="00D07932"/>
    <w:rsid w:val="00D2322A"/>
    <w:rsid w:val="00D35449"/>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DF7FD5"/>
    <w:rsid w:val="00E125DA"/>
    <w:rsid w:val="00E20962"/>
    <w:rsid w:val="00E22310"/>
    <w:rsid w:val="00E40B47"/>
    <w:rsid w:val="00E52157"/>
    <w:rsid w:val="00E643E8"/>
    <w:rsid w:val="00E6564A"/>
    <w:rsid w:val="00E7044C"/>
    <w:rsid w:val="00E76785"/>
    <w:rsid w:val="00E93BAE"/>
    <w:rsid w:val="00E97301"/>
    <w:rsid w:val="00E97F4E"/>
    <w:rsid w:val="00EA45FD"/>
    <w:rsid w:val="00EC266D"/>
    <w:rsid w:val="00EC4D6C"/>
    <w:rsid w:val="00EE2E7D"/>
    <w:rsid w:val="00EF4D40"/>
    <w:rsid w:val="00EF4D87"/>
    <w:rsid w:val="00F121D0"/>
    <w:rsid w:val="00F124D2"/>
    <w:rsid w:val="00F13040"/>
    <w:rsid w:val="00F133C3"/>
    <w:rsid w:val="00F278AB"/>
    <w:rsid w:val="00F36C5B"/>
    <w:rsid w:val="00F43CC2"/>
    <w:rsid w:val="00F45317"/>
    <w:rsid w:val="00F4728A"/>
    <w:rsid w:val="00F6047F"/>
    <w:rsid w:val="00F754E8"/>
    <w:rsid w:val="00FA03AB"/>
    <w:rsid w:val="00FA5C8B"/>
    <w:rsid w:val="00FA7321"/>
    <w:rsid w:val="00FB1450"/>
    <w:rsid w:val="00FB5724"/>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61639"/>
  <w15:docId w15:val="{5DAC3667-5A3C-4B0E-B03D-79EFE3BD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E9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0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9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01"/>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135889"/>
    <w:rPr>
      <w:sz w:val="16"/>
      <w:szCs w:val="16"/>
    </w:rPr>
  </w:style>
  <w:style w:type="paragraph" w:styleId="CommentText">
    <w:name w:val="annotation text"/>
    <w:basedOn w:val="Normal"/>
    <w:link w:val="CommentTextChar"/>
    <w:uiPriority w:val="99"/>
    <w:semiHidden/>
    <w:unhideWhenUsed/>
    <w:rsid w:val="00135889"/>
    <w:pPr>
      <w:spacing w:line="240" w:lineRule="auto"/>
    </w:pPr>
    <w:rPr>
      <w:sz w:val="20"/>
      <w:szCs w:val="20"/>
    </w:rPr>
  </w:style>
  <w:style w:type="character" w:customStyle="1" w:styleId="CommentTextChar">
    <w:name w:val="Comment Text Char"/>
    <w:basedOn w:val="DefaultParagraphFont"/>
    <w:link w:val="CommentText"/>
    <w:uiPriority w:val="99"/>
    <w:semiHidden/>
    <w:rsid w:val="00135889"/>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135889"/>
    <w:rPr>
      <w:b/>
      <w:bCs/>
    </w:rPr>
  </w:style>
  <w:style w:type="character" w:customStyle="1" w:styleId="CommentSubjectChar">
    <w:name w:val="Comment Subject Char"/>
    <w:basedOn w:val="CommentTextChar"/>
    <w:link w:val="CommentSubject"/>
    <w:uiPriority w:val="99"/>
    <w:semiHidden/>
    <w:rsid w:val="00135889"/>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88967686">
      <w:bodyDiv w:val="1"/>
      <w:marLeft w:val="0"/>
      <w:marRight w:val="0"/>
      <w:marTop w:val="0"/>
      <w:marBottom w:val="0"/>
      <w:divBdr>
        <w:top w:val="none" w:sz="0" w:space="0" w:color="auto"/>
        <w:left w:val="none" w:sz="0" w:space="0" w:color="auto"/>
        <w:bottom w:val="none" w:sz="0" w:space="0" w:color="auto"/>
        <w:right w:val="none" w:sz="0" w:space="0" w:color="auto"/>
      </w:divBdr>
      <w:divsChild>
        <w:div w:id="10959567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32-025-01114-x" TargetMode="External"/><Relationship Id="rId18" Type="http://schemas.openxmlformats.org/officeDocument/2006/relationships/hyperlink" Target="https://doi.org/10.1111/cid.12903" TargetMode="External"/><Relationship Id="rId26" Type="http://schemas.openxmlformats.org/officeDocument/2006/relationships/hyperlink" Target="https://doi.org/10.1111/jcpe.12834" TargetMode="External"/><Relationship Id="rId21" Type="http://schemas.openxmlformats.org/officeDocument/2006/relationships/hyperlink" Target="https://doi.org/10.1111/jcpe.1293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2/JPER.16-0671" TargetMode="External"/><Relationship Id="rId17" Type="http://schemas.openxmlformats.org/officeDocument/2006/relationships/hyperlink" Target="https://doi.org/10.1002/JPER.17-0733" TargetMode="External"/><Relationship Id="rId25" Type="http://schemas.openxmlformats.org/officeDocument/2006/relationships/hyperlink" Target="https://doi.org/10.1007/s00784-023-04902-w" TargetMode="Externa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07/s00784-021-03860-5" TargetMode="External"/><Relationship Id="rId20" Type="http://schemas.openxmlformats.org/officeDocument/2006/relationships/hyperlink" Target="https://doi.org/10.1111/clr.12301" TargetMode="External"/><Relationship Id="rId29" Type="http://schemas.openxmlformats.org/officeDocument/2006/relationships/hyperlink" Target="https://doi.org/10.1111/jcpe.12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cpe.12935" TargetMode="External"/><Relationship Id="rId24" Type="http://schemas.openxmlformats.org/officeDocument/2006/relationships/hyperlink" Target="https://doi.org/10.1902/jop.2016.15057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clr.13829" TargetMode="External"/><Relationship Id="rId23" Type="http://schemas.openxmlformats.org/officeDocument/2006/relationships/hyperlink" Target="https://doi.org/10.1016/j.archoralbio.2021.105287" TargetMode="External"/><Relationship Id="rId28" Type="http://schemas.openxmlformats.org/officeDocument/2006/relationships/hyperlink" Target="https://doi.org/10.1007/s00784-024-06143-x" TargetMode="External"/><Relationship Id="rId36" Type="http://schemas.openxmlformats.org/officeDocument/2006/relationships/fontTable" Target="fontTable.xml"/><Relationship Id="rId10" Type="http://schemas.openxmlformats.org/officeDocument/2006/relationships/hyperlink" Target="https://doi.org/10.1111/jcpe.13229" TargetMode="External"/><Relationship Id="rId19" Type="http://schemas.openxmlformats.org/officeDocument/2006/relationships/hyperlink" Target="https://doi.org/10.1002/JPER.17-07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93/ejo/cjad026" TargetMode="External"/><Relationship Id="rId14" Type="http://schemas.openxmlformats.org/officeDocument/2006/relationships/hyperlink" Target="https://doi.org/10.5051/jpis.1904440222" TargetMode="External"/><Relationship Id="rId22" Type="http://schemas.openxmlformats.org/officeDocument/2006/relationships/hyperlink" Target="https://doi.org/10.1111/prd.12556" TargetMode="External"/><Relationship Id="rId27" Type="http://schemas.openxmlformats.org/officeDocument/2006/relationships/hyperlink" Target="https://doi.org/10.1111/jcpe.1287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2/JPER.19-056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1E101-E613-4342-9DB5-00DAE1A6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6637</TotalTime>
  <Pages>11</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97</cp:revision>
  <cp:lastPrinted>2025-12-13T07:14:00Z</cp:lastPrinted>
  <dcterms:created xsi:type="dcterms:W3CDTF">2025-09-24T12:44:00Z</dcterms:created>
  <dcterms:modified xsi:type="dcterms:W3CDTF">2026-01-16T06:35:00Z</dcterms:modified>
</cp:coreProperties>
</file>