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3B576" w14:textId="539547FB" w:rsidR="00D450E3" w:rsidRPr="00A5194A" w:rsidRDefault="00D450E3" w:rsidP="00D450E3">
      <w:pPr>
        <w:rPr>
          <w:rFonts w:ascii="Times New Roman" w:hAnsi="Times New Roman" w:cs="Times New Roman"/>
          <w:b/>
          <w:bCs/>
          <w:sz w:val="24"/>
          <w:szCs w:val="24"/>
        </w:rPr>
      </w:pPr>
      <w:r w:rsidRPr="00A5194A">
        <w:rPr>
          <w:rFonts w:ascii="Arial" w:hAnsi="Arial" w:cs="Arial"/>
          <w:b/>
          <w:bCs/>
          <w:noProof/>
          <w:sz w:val="20"/>
          <w:szCs w:val="20"/>
        </w:rPr>
        <w:t>Original Research Article</w:t>
      </w:r>
    </w:p>
    <w:p w14:paraId="1C073844" w14:textId="77777777" w:rsidR="00A25B21" w:rsidRPr="006D4FE8" w:rsidRDefault="00A25B21" w:rsidP="006D4FE8">
      <w:pPr>
        <w:jc w:val="center"/>
        <w:rPr>
          <w:rFonts w:ascii="Arial" w:hAnsi="Arial" w:cs="Arial"/>
          <w:b/>
          <w:bCs/>
          <w:lang w:val="tr-TR" w:eastAsia="tr-TR"/>
        </w:rPr>
      </w:pPr>
      <w:r w:rsidRPr="006D4FE8">
        <w:rPr>
          <w:rFonts w:ascii="Arial" w:hAnsi="Arial" w:cs="Arial"/>
          <w:b/>
          <w:bCs/>
          <w:lang w:val="tr-TR" w:eastAsia="tr-TR"/>
        </w:rPr>
        <w:t>Association Between Complete Blood Count Parameters and Venous Thromboembolism Risk Scores in Hospitalized Patients at a Tertiary Hospital in Nigeria</w:t>
      </w:r>
    </w:p>
    <w:p w14:paraId="43156779" w14:textId="77777777" w:rsidR="0010107D" w:rsidRDefault="0010107D" w:rsidP="0019626B">
      <w:pPr>
        <w:jc w:val="both"/>
        <w:rPr>
          <w:rFonts w:ascii="Arial" w:hAnsi="Arial" w:cs="Arial"/>
          <w:b/>
          <w:bCs/>
          <w:lang w:val="en-IN"/>
        </w:rPr>
      </w:pPr>
    </w:p>
    <w:p w14:paraId="51F2ABCE" w14:textId="59CDB13D" w:rsidR="00835203" w:rsidRDefault="00835203" w:rsidP="0019626B">
      <w:pPr>
        <w:jc w:val="both"/>
        <w:rPr>
          <w:rFonts w:ascii="Arial" w:hAnsi="Arial" w:cs="Arial"/>
          <w:b/>
          <w:bCs/>
          <w:lang w:val="en-IN"/>
        </w:rPr>
      </w:pPr>
      <w:r>
        <w:rPr>
          <w:rFonts w:ascii="Arial" w:hAnsi="Arial" w:cs="Arial"/>
          <w:b/>
          <w:bCs/>
          <w:lang w:val="en-IN"/>
        </w:rPr>
        <w:t>ABSTRACT</w:t>
      </w:r>
    </w:p>
    <w:p w14:paraId="6A6A86D6" w14:textId="77777777" w:rsidR="009B2C24" w:rsidRDefault="009B2C24" w:rsidP="0019626B">
      <w:pPr>
        <w:jc w:val="both"/>
        <w:rPr>
          <w:rFonts w:ascii="Arial" w:hAnsi="Arial" w:cs="Arial"/>
        </w:rPr>
      </w:pPr>
      <w:r w:rsidRPr="009B2C24">
        <w:rPr>
          <w:rFonts w:ascii="Arial" w:hAnsi="Arial" w:cs="Arial"/>
          <w:b/>
          <w:bCs/>
        </w:rPr>
        <w:t xml:space="preserve">Background: </w:t>
      </w:r>
      <w:r w:rsidRPr="009B2C24">
        <w:rPr>
          <w:rFonts w:ascii="Arial" w:hAnsi="Arial" w:cs="Arial"/>
        </w:rPr>
        <w:t>A dose-dependent increase in the risk of venous thromboembolism (VTE)</w:t>
      </w:r>
      <w:r w:rsidRPr="009B2C24">
        <w:rPr>
          <w:rFonts w:ascii="Arial" w:hAnsi="Arial" w:cs="Arial"/>
          <w:b/>
          <w:bCs/>
        </w:rPr>
        <w:t xml:space="preserve"> </w:t>
      </w:r>
      <w:r w:rsidRPr="009B2C24">
        <w:rPr>
          <w:rFonts w:ascii="Arial" w:hAnsi="Arial" w:cs="Arial"/>
        </w:rPr>
        <w:t xml:space="preserve">has been reported with higher monocyte counts and red cell distribution width (RDW) in patients with thrombosis. Although the D-dimer assay remains the most widely used biomarker for VTE assessment, it is limited by a high rate of negative imaging results. Moreover, in resource-limited settings such as ours, there is a need for cost-effective screening strategies for VTE risk assessment. Objective: To evaluate the association between Complete Blood Count (CBC) parameters, D-dimer, and Lupus Anticoagulant (LA) with VTE risk scores among hospitalized patients at risk of VTE in Enugu State, Nigeria. </w:t>
      </w:r>
    </w:p>
    <w:p w14:paraId="398F0445" w14:textId="77777777" w:rsidR="00F05BBC" w:rsidRDefault="009B2C24" w:rsidP="0019626B">
      <w:pPr>
        <w:jc w:val="both"/>
        <w:rPr>
          <w:rFonts w:ascii="Arial" w:hAnsi="Arial" w:cs="Arial"/>
        </w:rPr>
      </w:pPr>
      <w:r w:rsidRPr="009B2C24">
        <w:rPr>
          <w:rFonts w:ascii="Arial" w:hAnsi="Arial" w:cs="Arial"/>
          <w:b/>
          <w:bCs/>
        </w:rPr>
        <w:t>Methods:</w:t>
      </w:r>
      <w:r w:rsidRPr="009B2C24">
        <w:rPr>
          <w:rFonts w:ascii="Arial" w:hAnsi="Arial" w:cs="Arial"/>
        </w:rPr>
        <w:t xml:space="preserve"> The study population comprised medical patients, surgical patients, and healthy control subjects. The study was a cross sectionalstudy, VTE risk was assessed using the Caprini Risk Assessment Model (RAM) and high VTE risk was defined using the Caprini Risk Assessment Model (RAM ≥5). Ethical approval for the study was obtained from the University of Nigeria Research Ethics Committee. </w:t>
      </w:r>
    </w:p>
    <w:p w14:paraId="1600E1C3" w14:textId="04B547C5" w:rsidR="005F088B" w:rsidRDefault="009B2C24" w:rsidP="0019626B">
      <w:pPr>
        <w:jc w:val="both"/>
        <w:rPr>
          <w:rFonts w:ascii="Arial" w:hAnsi="Arial" w:cs="Arial"/>
        </w:rPr>
      </w:pPr>
      <w:r w:rsidRPr="005F088B">
        <w:rPr>
          <w:rFonts w:ascii="Arial" w:hAnsi="Arial" w:cs="Arial"/>
          <w:b/>
          <w:bCs/>
        </w:rPr>
        <w:t>Results:</w:t>
      </w:r>
      <w:r w:rsidRPr="009B2C24">
        <w:rPr>
          <w:rFonts w:ascii="Arial" w:hAnsi="Arial" w:cs="Arial"/>
        </w:rPr>
        <w:t xml:space="preserve"> Among surgical patients, univariate analysis showed no significant association between most assayed parameters and high VTE risk (P &gt; 0.05), except for mean corpuscular haemoglobin concentration (MCHC) (OR: 0.54; 95% CI: 0.30–0.98; P = 0.044). After adjustment for sex, age, body mass index (BMI), and ABO blood group in the multivariate model, the inverse association between MCHC and high VTE risk persisted (OR: 0.39; 95% CI: 0.18–0.86; P = 0.020), alongside a significant association with lymphocyte count (OR: 0.36; 95% CI: 0.30–0.98; P = 0.037). In medical patients, univariate analysis revealed no significant associations between any blood count parameters and high VTE risk (P &gt; 0.05). </w:t>
      </w:r>
    </w:p>
    <w:p w14:paraId="6AD0BF76" w14:textId="5DBC25BE" w:rsidR="0019626B" w:rsidRPr="009B2C24" w:rsidRDefault="009B2C24" w:rsidP="0019626B">
      <w:pPr>
        <w:jc w:val="both"/>
        <w:rPr>
          <w:rFonts w:ascii="Arial" w:hAnsi="Arial" w:cs="Arial"/>
        </w:rPr>
      </w:pPr>
      <w:r w:rsidRPr="005F088B">
        <w:rPr>
          <w:rFonts w:ascii="Arial" w:hAnsi="Arial" w:cs="Arial"/>
          <w:b/>
          <w:bCs/>
        </w:rPr>
        <w:t>Conclusion:</w:t>
      </w:r>
      <w:r w:rsidRPr="009B2C24">
        <w:rPr>
          <w:rFonts w:ascii="Arial" w:hAnsi="Arial" w:cs="Arial"/>
        </w:rPr>
        <w:t xml:space="preserve"> This study demonstrates a significant association between MCHC and VTE risk scores among surgical patients. However, larger studies with longitudinal follow-up are required to establish the predictive value of these parameters for the actual development of VTE events</w:t>
      </w:r>
      <w:r w:rsidR="0019626B" w:rsidRPr="009B2C24">
        <w:rPr>
          <w:rFonts w:ascii="Arial" w:hAnsi="Arial" w:cs="Arial"/>
        </w:rPr>
        <w:t>.</w:t>
      </w:r>
    </w:p>
    <w:p w14:paraId="173B0293" w14:textId="77777777" w:rsidR="002E31E9" w:rsidRPr="003C1D4F" w:rsidRDefault="002E31E9" w:rsidP="002E31E9">
      <w:pPr>
        <w:rPr>
          <w:rFonts w:ascii="Arial" w:hAnsi="Arial" w:cs="Arial"/>
        </w:rPr>
      </w:pPr>
    </w:p>
    <w:p w14:paraId="4DDE8510" w14:textId="77777777" w:rsidR="002E31E9" w:rsidRPr="003C1D4F" w:rsidRDefault="002E31E9" w:rsidP="002E31E9">
      <w:pPr>
        <w:rPr>
          <w:rFonts w:ascii="Arial" w:hAnsi="Arial" w:cs="Arial"/>
        </w:rPr>
      </w:pPr>
      <w:r w:rsidRPr="003C1D4F">
        <w:rPr>
          <w:rFonts w:ascii="Arial" w:hAnsi="Arial" w:cs="Arial"/>
        </w:rPr>
        <w:t>Keywords: venous thromboembolism; complete blood count parameters; VTE Risk</w:t>
      </w:r>
    </w:p>
    <w:p w14:paraId="6CA39179" w14:textId="77777777" w:rsidR="002E31E9" w:rsidRPr="003C1D4F" w:rsidRDefault="002E31E9" w:rsidP="002E31E9">
      <w:pPr>
        <w:rPr>
          <w:rFonts w:ascii="Arial" w:hAnsi="Arial" w:cs="Arial"/>
        </w:rPr>
      </w:pPr>
    </w:p>
    <w:p w14:paraId="5A10C6EA" w14:textId="77777777" w:rsidR="002E31E9" w:rsidRDefault="002E31E9" w:rsidP="002E31E9">
      <w:pPr>
        <w:rPr>
          <w:rFonts w:ascii="Arial" w:hAnsi="Arial" w:cs="Arial"/>
        </w:rPr>
      </w:pPr>
    </w:p>
    <w:p w14:paraId="55231BB1" w14:textId="77777777" w:rsidR="003D11EC" w:rsidRDefault="003D11EC" w:rsidP="002E31E9">
      <w:pPr>
        <w:rPr>
          <w:rFonts w:ascii="Arial" w:hAnsi="Arial" w:cs="Arial"/>
        </w:rPr>
      </w:pPr>
    </w:p>
    <w:p w14:paraId="38E00C99" w14:textId="77777777" w:rsidR="003D11EC" w:rsidRDefault="003D11EC" w:rsidP="002E31E9">
      <w:pPr>
        <w:rPr>
          <w:rFonts w:ascii="Arial" w:hAnsi="Arial" w:cs="Arial"/>
        </w:rPr>
      </w:pPr>
    </w:p>
    <w:p w14:paraId="47B162D8" w14:textId="77777777" w:rsidR="003D11EC" w:rsidRDefault="003D11EC" w:rsidP="002E31E9">
      <w:pPr>
        <w:rPr>
          <w:rFonts w:ascii="Arial" w:hAnsi="Arial" w:cs="Arial"/>
        </w:rPr>
      </w:pPr>
    </w:p>
    <w:p w14:paraId="0C764965" w14:textId="77777777" w:rsidR="003D11EC" w:rsidRDefault="003D11EC" w:rsidP="002E31E9">
      <w:pPr>
        <w:rPr>
          <w:rFonts w:ascii="Arial" w:hAnsi="Arial" w:cs="Arial"/>
        </w:rPr>
      </w:pPr>
    </w:p>
    <w:p w14:paraId="078C0825" w14:textId="77777777" w:rsidR="00700160" w:rsidRPr="003C1D4F" w:rsidRDefault="00700160" w:rsidP="002E31E9">
      <w:pPr>
        <w:rPr>
          <w:rFonts w:ascii="Arial" w:hAnsi="Arial" w:cs="Arial"/>
        </w:rPr>
      </w:pPr>
    </w:p>
    <w:p w14:paraId="50ABF7DE" w14:textId="77777777" w:rsidR="002E31E9" w:rsidRPr="003C1D4F" w:rsidRDefault="002E31E9" w:rsidP="002E31E9">
      <w:pPr>
        <w:rPr>
          <w:rFonts w:ascii="Arial" w:hAnsi="Arial" w:cs="Arial"/>
        </w:rPr>
      </w:pPr>
    </w:p>
    <w:p w14:paraId="1A2B7636" w14:textId="77777777" w:rsidR="002E31E9" w:rsidRDefault="002E31E9" w:rsidP="00606BC4">
      <w:pPr>
        <w:jc w:val="both"/>
        <w:rPr>
          <w:rFonts w:ascii="Arial" w:hAnsi="Arial" w:cs="Arial"/>
          <w:b/>
        </w:rPr>
      </w:pPr>
      <w:r w:rsidRPr="003C1D4F">
        <w:rPr>
          <w:rFonts w:ascii="Arial" w:hAnsi="Arial" w:cs="Arial"/>
          <w:b/>
        </w:rPr>
        <w:t>Introduction</w:t>
      </w:r>
    </w:p>
    <w:p w14:paraId="08A1AB08" w14:textId="77777777" w:rsidR="00AB21F6" w:rsidRPr="00B57645" w:rsidRDefault="00AB21F6" w:rsidP="00AB21F6">
      <w:pPr>
        <w:jc w:val="both"/>
        <w:rPr>
          <w:rFonts w:ascii="Arial" w:hAnsi="Arial" w:cs="Arial"/>
          <w:bCs/>
          <w:lang/>
        </w:rPr>
      </w:pPr>
      <w:r w:rsidRPr="00B57645">
        <w:rPr>
          <w:rFonts w:ascii="Arial" w:hAnsi="Arial" w:cs="Arial"/>
          <w:bCs/>
          <w:lang/>
        </w:rPr>
        <w:t>Venous thromboembolism (VTE) is a multifactorial disorder resulting from complex interactions between clinical risk factors and prothrombotic predispositions, which may be either acquired or inherited (thrombophilia) (Souto et al., 2000). VTE represents a major global public health challenge and is one of the leading causes of mortality among hospitalised patients worldwide. It is the third most common vascular condition after myocardial infarction and stroke, affecting approximately 300,000 to 600,000 individuals annually in the United States. In Africa, the burden of VTE is particularly pronounced following surgery, pregnancy, and the postpartum period among women, with high prevalence and associated mortality reported (Danwang et al., 2017).</w:t>
      </w:r>
    </w:p>
    <w:p w14:paraId="3D2AFB31" w14:textId="77777777" w:rsidR="00AB21F6" w:rsidRPr="00B57645" w:rsidRDefault="00AB21F6" w:rsidP="00AB21F6">
      <w:pPr>
        <w:jc w:val="both"/>
        <w:rPr>
          <w:rFonts w:ascii="Arial" w:hAnsi="Arial" w:cs="Arial"/>
          <w:bCs/>
          <w:lang/>
        </w:rPr>
      </w:pPr>
      <w:r w:rsidRPr="00B57645">
        <w:rPr>
          <w:rFonts w:ascii="Arial" w:hAnsi="Arial" w:cs="Arial"/>
          <w:bCs/>
          <w:lang/>
        </w:rPr>
        <w:t>Importantly, VTE is a largely preventable cause of morbidity and mortality among both medical and surgical patients (Kesieme et al., 2016). Globally, thromboembolic conditions were estimated to account for approximately one in four deaths in 2010 (Wendelboe &amp; Raskob, 2016). Evidence from the Global Burden of Disease project, systematic reviews, and population-based studies highlights the substantial incidence, disability-adjusted life-years, and healthcare burden attributable to VTE. Epidemiological data indicate higher VTE incidence among Black populations and lower rates among Asian, Asian-American, and Native American populations, with incidence increasing markedly with advancing age. The relationship between sex and VTE incidence is complex and appears to be modified by age (Heit, 2015).</w:t>
      </w:r>
    </w:p>
    <w:p w14:paraId="34F363DD" w14:textId="77777777" w:rsidR="00AB21F6" w:rsidRPr="00B57645" w:rsidRDefault="00AB21F6" w:rsidP="00AB21F6">
      <w:pPr>
        <w:jc w:val="both"/>
        <w:rPr>
          <w:rFonts w:ascii="Arial" w:hAnsi="Arial" w:cs="Arial"/>
          <w:bCs/>
          <w:lang/>
        </w:rPr>
      </w:pPr>
      <w:r w:rsidRPr="00B57645">
        <w:rPr>
          <w:rFonts w:ascii="Arial" w:hAnsi="Arial" w:cs="Arial"/>
          <w:bCs/>
          <w:lang/>
        </w:rPr>
        <w:t>The pathogenesis of venous thrombosis typically originates in regions of reduced or disturbed blood flow, such as valve pockets in the deep veins of the lower limbs or the venous sinuses (Stone et al., 2017). Blood stasis in these regions leads to reduced oxygen tension and increased haematocrit, creating a hypercoagulable microenvironment. This environment downregulates key antithrombotic proteins preferentially expressed at venous valves, including thrombomodulin and the endothelial protein C receptor (EPCR) (Brooks et al., 2009). Venous thrombosis begins with the formation of small fibrin deposits in areas of low flow, which progressively enlarge, occlude the vessel lumen, and trigger activation of the coagulation cascade. As this process evolves, platelets, fibrin, and red blood cells aggregate to form an intravascular clot, known as a venous thrombus (Behravesh et al., 2017).</w:t>
      </w:r>
    </w:p>
    <w:p w14:paraId="784ADFB0" w14:textId="77777777" w:rsidR="00AB21F6" w:rsidRPr="00B57645" w:rsidRDefault="00AB21F6" w:rsidP="00AB21F6">
      <w:pPr>
        <w:jc w:val="both"/>
        <w:rPr>
          <w:rFonts w:ascii="Arial" w:hAnsi="Arial" w:cs="Arial"/>
          <w:bCs/>
          <w:lang/>
        </w:rPr>
      </w:pPr>
      <w:r w:rsidRPr="00B57645">
        <w:rPr>
          <w:rFonts w:ascii="Arial" w:hAnsi="Arial" w:cs="Arial"/>
          <w:bCs/>
          <w:lang/>
        </w:rPr>
        <w:t>Thrombosis underlies major cardiovascular and cerebrovascular conditions, including myocardial infarction, ischaemic stroke, and VTE, and remains a leading global cause of mortality, accounting for up to one in five deaths worldwide in 1990 (Lozano et al., 2012).</w:t>
      </w:r>
    </w:p>
    <w:p w14:paraId="54E0AADB" w14:textId="688671DF" w:rsidR="00AB21F6" w:rsidRPr="00B57645" w:rsidRDefault="00AB21F6" w:rsidP="00606BC4">
      <w:pPr>
        <w:jc w:val="both"/>
        <w:rPr>
          <w:rFonts w:ascii="Arial" w:hAnsi="Arial" w:cs="Arial"/>
          <w:bCs/>
          <w:lang/>
        </w:rPr>
      </w:pPr>
      <w:r w:rsidRPr="00B57645">
        <w:rPr>
          <w:rFonts w:ascii="Arial" w:hAnsi="Arial" w:cs="Arial"/>
          <w:bCs/>
          <w:lang/>
        </w:rPr>
        <w:t xml:space="preserve">Laboratory investigations that support the diagnosis and risk assessment of VTE include complete blood count (CBC), D-dimer assay, lupus anticoagulant and antiphospholipid antibody </w:t>
      </w:r>
      <w:r w:rsidRPr="00B57645">
        <w:rPr>
          <w:rFonts w:ascii="Arial" w:hAnsi="Arial" w:cs="Arial"/>
          <w:bCs/>
          <w:lang/>
        </w:rPr>
        <w:lastRenderedPageBreak/>
        <w:t>testing, Factor V Leiden mutation analysis, prothrombin G20210A mutation testing, and assessment of hyperhomocysteinaemia, among others. However, careful clinical evaluation of presenting symptoms, signs, and associated risk factors—together with differentiation from other medical conditions—remains central to accurate diagnosis. Several studies have reported associations between CBC parameters, D-dimer levels, and lupus anticoagulant with VTE risk among hospitalised patients. Nonetheless, uncertainties persist, partly due to limited data and inconsistent findings. These gaps underscore the extent to which VTE diagnosis is frequently missed and thromboprophylaxis underutilised in resource-limited settings such as ours.</w:t>
      </w:r>
    </w:p>
    <w:p w14:paraId="7EE60122" w14:textId="77777777" w:rsidR="00E367A2" w:rsidRPr="00A65F25" w:rsidRDefault="00E367A2" w:rsidP="00E367A2">
      <w:pPr>
        <w:rPr>
          <w:rFonts w:ascii="Arial" w:hAnsi="Arial" w:cs="Arial"/>
          <w:b/>
          <w:bCs/>
        </w:rPr>
      </w:pPr>
      <w:r w:rsidRPr="00A65F25">
        <w:rPr>
          <w:rFonts w:ascii="Arial" w:hAnsi="Arial" w:cs="Arial"/>
          <w:b/>
          <w:bCs/>
        </w:rPr>
        <w:t>MATERIALS AND METHODS</w:t>
      </w:r>
    </w:p>
    <w:p w14:paraId="504DDDB2" w14:textId="028EADD3" w:rsidR="00E367A2" w:rsidRPr="00A65F25" w:rsidRDefault="00E367A2" w:rsidP="00E367A2">
      <w:pPr>
        <w:jc w:val="both"/>
        <w:rPr>
          <w:rFonts w:ascii="Arial" w:hAnsi="Arial" w:cs="Arial"/>
          <w:b/>
          <w:bCs/>
        </w:rPr>
      </w:pPr>
      <w:r w:rsidRPr="00A65F25">
        <w:rPr>
          <w:rFonts w:ascii="Arial" w:hAnsi="Arial" w:cs="Arial"/>
          <w:b/>
          <w:bCs/>
        </w:rPr>
        <w:t>Study Population and Study Setting</w:t>
      </w:r>
    </w:p>
    <w:p w14:paraId="4274BBFE" w14:textId="51407D35" w:rsidR="00E367A2" w:rsidRPr="00E367A2" w:rsidRDefault="00E367A2" w:rsidP="00E367A2">
      <w:pPr>
        <w:jc w:val="both"/>
        <w:rPr>
          <w:rFonts w:ascii="Arial" w:hAnsi="Arial" w:cs="Arial"/>
        </w:rPr>
      </w:pPr>
      <w:r w:rsidRPr="00E367A2">
        <w:rPr>
          <w:rFonts w:ascii="Arial" w:hAnsi="Arial" w:cs="Arial"/>
        </w:rPr>
        <w:t>This study was conducted among patients admitted to the medical and surgical wards of the Enugu State University Teaching Hospital (ESUTH), Park Lane, Enugu, South-East Nigeria. The study population comprised all patients who met the predefined inclusion criteria during the study period. The study commenced in June 2020 and was completed in November 2020. Apparently healthy individuals with no history of venous thromboembolism or known coagulation disorders were recruited as controls.</w:t>
      </w:r>
    </w:p>
    <w:p w14:paraId="6C2D1D44" w14:textId="083A50EA" w:rsidR="00E367A2" w:rsidRPr="00A65F25" w:rsidRDefault="00E367A2" w:rsidP="00E367A2">
      <w:pPr>
        <w:jc w:val="both"/>
        <w:rPr>
          <w:rFonts w:ascii="Arial" w:hAnsi="Arial" w:cs="Arial"/>
          <w:b/>
          <w:bCs/>
        </w:rPr>
      </w:pPr>
      <w:r w:rsidRPr="00A65F25">
        <w:rPr>
          <w:rFonts w:ascii="Arial" w:hAnsi="Arial" w:cs="Arial"/>
          <w:b/>
          <w:bCs/>
        </w:rPr>
        <w:t>Sample Size and Sample Collection</w:t>
      </w:r>
    </w:p>
    <w:p w14:paraId="40FBD435" w14:textId="41A2C322" w:rsidR="00E367A2" w:rsidRPr="00E367A2" w:rsidRDefault="00E367A2" w:rsidP="00E367A2">
      <w:pPr>
        <w:jc w:val="both"/>
        <w:rPr>
          <w:rFonts w:ascii="Arial" w:hAnsi="Arial" w:cs="Arial"/>
        </w:rPr>
      </w:pPr>
      <w:r w:rsidRPr="00E367A2">
        <w:rPr>
          <w:rFonts w:ascii="Arial" w:hAnsi="Arial" w:cs="Arial"/>
        </w:rPr>
        <w:t>A total of one hundred and thirty-five (135) participants were enrolled in the study. These included 45 patients from the medical wards, 45 patients from the surgical wards, and 45 apparently healthy individuals who served as controls.</w:t>
      </w:r>
    </w:p>
    <w:p w14:paraId="26762C73" w14:textId="78F22CBE" w:rsidR="00E367A2" w:rsidRPr="00E367A2" w:rsidRDefault="00E367A2" w:rsidP="00E367A2">
      <w:pPr>
        <w:jc w:val="both"/>
        <w:rPr>
          <w:rFonts w:ascii="Arial" w:hAnsi="Arial" w:cs="Arial"/>
        </w:rPr>
      </w:pPr>
      <w:r w:rsidRPr="00E367A2">
        <w:rPr>
          <w:rFonts w:ascii="Arial" w:hAnsi="Arial" w:cs="Arial"/>
        </w:rPr>
        <w:t>Seven millilitres (7 mL) of venous blood was collected aseptically from each participant. Of this, 4.5 mL was dispensed into plain tubes containing 500 µL of 3.2 g/dL trisodium citrate for coagulation assays, while the remaining 2.5 mL was transferred into ethylenediaminetetraacetic acid (EDTA) tubes for haematological analysis.</w:t>
      </w:r>
    </w:p>
    <w:p w14:paraId="30F911A2" w14:textId="1A020535" w:rsidR="00E367A2" w:rsidRPr="00A65F25" w:rsidRDefault="00E367A2" w:rsidP="00E367A2">
      <w:pPr>
        <w:jc w:val="both"/>
        <w:rPr>
          <w:rFonts w:ascii="Arial" w:hAnsi="Arial" w:cs="Arial"/>
          <w:b/>
          <w:bCs/>
        </w:rPr>
      </w:pPr>
      <w:r w:rsidRPr="00A65F25">
        <w:rPr>
          <w:rFonts w:ascii="Arial" w:hAnsi="Arial" w:cs="Arial"/>
          <w:b/>
          <w:bCs/>
        </w:rPr>
        <w:t>Preparation of Platelet-Poor Plasma</w:t>
      </w:r>
    </w:p>
    <w:p w14:paraId="7C3D8AF7" w14:textId="3EDD8A72" w:rsidR="00E367A2" w:rsidRDefault="00E367A2" w:rsidP="00E367A2">
      <w:pPr>
        <w:jc w:val="both"/>
        <w:rPr>
          <w:rFonts w:ascii="Arial" w:hAnsi="Arial" w:cs="Arial"/>
        </w:rPr>
      </w:pPr>
      <w:r w:rsidRPr="00E367A2">
        <w:rPr>
          <w:rFonts w:ascii="Arial" w:hAnsi="Arial" w:cs="Arial"/>
        </w:rPr>
        <w:t>Citrated blood samples were centrifuged at 2000 revolutions per minute (rpm) for 5 minutes to obtain platelet-poor plasma, which was subsequently used for coagulation assays.</w:t>
      </w:r>
    </w:p>
    <w:p w14:paraId="6E56A509" w14:textId="30AA51A0" w:rsidR="002E534A" w:rsidRPr="00A65F25" w:rsidRDefault="002E534A" w:rsidP="00E367A2">
      <w:pPr>
        <w:jc w:val="both"/>
        <w:rPr>
          <w:rFonts w:ascii="Arial" w:hAnsi="Arial" w:cs="Arial"/>
          <w:b/>
          <w:bCs/>
        </w:rPr>
      </w:pPr>
      <w:r w:rsidRPr="00A65F25">
        <w:rPr>
          <w:rFonts w:ascii="Arial" w:hAnsi="Arial" w:cs="Arial"/>
          <w:b/>
          <w:bCs/>
        </w:rPr>
        <w:t>Laboratory Investigations:</w:t>
      </w:r>
    </w:p>
    <w:p w14:paraId="0BB4D50B" w14:textId="1A4FE93B" w:rsidR="00E367A2" w:rsidRPr="00E367A2" w:rsidRDefault="00E367A2" w:rsidP="00E367A2">
      <w:pPr>
        <w:jc w:val="both"/>
        <w:rPr>
          <w:rFonts w:ascii="Arial" w:hAnsi="Arial" w:cs="Arial"/>
        </w:rPr>
      </w:pPr>
      <w:r w:rsidRPr="00E367A2">
        <w:rPr>
          <w:rFonts w:ascii="Arial" w:hAnsi="Arial" w:cs="Arial"/>
        </w:rPr>
        <w:t>Assessment of Risk Factors</w:t>
      </w:r>
      <w:r w:rsidR="002E534A">
        <w:rPr>
          <w:rFonts w:ascii="Arial" w:hAnsi="Arial" w:cs="Arial"/>
        </w:rPr>
        <w:t xml:space="preserve">: </w:t>
      </w:r>
      <w:r w:rsidRPr="00E367A2">
        <w:rPr>
          <w:rFonts w:ascii="Arial" w:hAnsi="Arial" w:cs="Arial"/>
        </w:rPr>
        <w:t>Risk factors for venous thromboembolism among hospitalised patients were assessed using the Caprini (2005) risk assessment questionnaire.</w:t>
      </w:r>
      <w:r w:rsidR="00A65F25">
        <w:rPr>
          <w:rFonts w:ascii="Arial" w:hAnsi="Arial" w:cs="Arial"/>
        </w:rPr>
        <w:t xml:space="preserve"> </w:t>
      </w:r>
      <w:r w:rsidRPr="00E367A2">
        <w:rPr>
          <w:rFonts w:ascii="Arial" w:hAnsi="Arial" w:cs="Arial"/>
        </w:rPr>
        <w:t>Haematological Analysis</w:t>
      </w:r>
      <w:r w:rsidR="002E534A">
        <w:rPr>
          <w:rFonts w:ascii="Arial" w:hAnsi="Arial" w:cs="Arial"/>
        </w:rPr>
        <w:t xml:space="preserve">: </w:t>
      </w:r>
      <w:r w:rsidRPr="00E367A2">
        <w:rPr>
          <w:rFonts w:ascii="Arial" w:hAnsi="Arial" w:cs="Arial"/>
        </w:rPr>
        <w:t>EDTA-anticoagulated blood samples were used for complete blood count (CBC) and ABO blood grouping. Haematological parameters were analysed using an automated five-part differential haematology analyser (Mythic 022, Switzerland</w:t>
      </w:r>
      <w:proofErr w:type="gramStart"/>
      <w:r w:rsidRPr="00E367A2">
        <w:rPr>
          <w:rFonts w:ascii="Arial" w:hAnsi="Arial" w:cs="Arial"/>
        </w:rPr>
        <w:t>).D</w:t>
      </w:r>
      <w:proofErr w:type="gramEnd"/>
      <w:r w:rsidRPr="00E367A2">
        <w:rPr>
          <w:rFonts w:ascii="Arial" w:hAnsi="Arial" w:cs="Arial"/>
        </w:rPr>
        <w:t>-Dimer Assay</w:t>
      </w:r>
      <w:r w:rsidR="002E534A">
        <w:rPr>
          <w:rFonts w:ascii="Arial" w:hAnsi="Arial" w:cs="Arial"/>
        </w:rPr>
        <w:t xml:space="preserve">: </w:t>
      </w:r>
      <w:r w:rsidRPr="00E367A2">
        <w:rPr>
          <w:rFonts w:ascii="Arial" w:hAnsi="Arial" w:cs="Arial"/>
        </w:rPr>
        <w:t xml:space="preserve">D-dimer levels were measured using the Technozym® D-Dimer Enzyme-Linked Immunosorbent Assay (ELISA) kit, following the manufacturer’s instructions. Citrated plasma samples were used for the </w:t>
      </w:r>
      <w:proofErr w:type="gramStart"/>
      <w:r w:rsidRPr="00E367A2">
        <w:rPr>
          <w:rFonts w:ascii="Arial" w:hAnsi="Arial" w:cs="Arial"/>
        </w:rPr>
        <w:t>assay.Lupus</w:t>
      </w:r>
      <w:proofErr w:type="gramEnd"/>
      <w:r w:rsidRPr="00E367A2">
        <w:rPr>
          <w:rFonts w:ascii="Arial" w:hAnsi="Arial" w:cs="Arial"/>
        </w:rPr>
        <w:t xml:space="preserve"> Anticoagulant Assay</w:t>
      </w:r>
      <w:r w:rsidR="002E534A">
        <w:rPr>
          <w:rFonts w:ascii="Arial" w:hAnsi="Arial" w:cs="Arial"/>
        </w:rPr>
        <w:t xml:space="preserve">: </w:t>
      </w:r>
      <w:r w:rsidRPr="00E367A2">
        <w:rPr>
          <w:rFonts w:ascii="Arial" w:hAnsi="Arial" w:cs="Arial"/>
        </w:rPr>
        <w:t xml:space="preserve">Lupus anticoagulant (LA) testing was performed using the Technoclot® LA Screen and Technoclot® LA Confirm reagents (Technoclone, </w:t>
      </w:r>
      <w:r w:rsidRPr="00E367A2">
        <w:rPr>
          <w:rFonts w:ascii="Arial" w:hAnsi="Arial" w:cs="Arial"/>
        </w:rPr>
        <w:lastRenderedPageBreak/>
        <w:t>Austria), which are based on a simplified dilute Russell’s viper venom time (dRVVT) method. The assays were carried out as one-stage clotting tests using the Mindray C2000-4 semi-automated coagulation analyser. Screening and confirmatory tests were conducted in accordance with the manufacturer’s protocol.</w:t>
      </w:r>
    </w:p>
    <w:p w14:paraId="335DC650" w14:textId="77777777" w:rsidR="00E367A2" w:rsidRPr="00E367A2" w:rsidRDefault="00E367A2" w:rsidP="00E367A2">
      <w:pPr>
        <w:jc w:val="both"/>
        <w:rPr>
          <w:rFonts w:ascii="Arial" w:hAnsi="Arial" w:cs="Arial"/>
        </w:rPr>
      </w:pPr>
    </w:p>
    <w:p w14:paraId="2F8DB132" w14:textId="77777777" w:rsidR="00E367A2" w:rsidRPr="00A65F25" w:rsidRDefault="00E367A2" w:rsidP="00E367A2">
      <w:pPr>
        <w:jc w:val="both"/>
        <w:rPr>
          <w:rFonts w:ascii="Arial" w:hAnsi="Arial" w:cs="Arial"/>
          <w:b/>
          <w:bCs/>
        </w:rPr>
      </w:pPr>
      <w:r w:rsidRPr="00A65F25">
        <w:rPr>
          <w:rFonts w:ascii="Arial" w:hAnsi="Arial" w:cs="Arial"/>
          <w:b/>
          <w:bCs/>
        </w:rPr>
        <w:t>Statistical Analysis</w:t>
      </w:r>
    </w:p>
    <w:p w14:paraId="3FFF0855" w14:textId="7784E7FF" w:rsidR="002E31E9" w:rsidRPr="00E367A2" w:rsidRDefault="00E367A2" w:rsidP="00E367A2">
      <w:pPr>
        <w:jc w:val="both"/>
        <w:rPr>
          <w:rFonts w:ascii="Arial" w:hAnsi="Arial" w:cs="Arial"/>
        </w:rPr>
      </w:pPr>
      <w:r w:rsidRPr="00E367A2">
        <w:rPr>
          <w:rFonts w:ascii="Arial" w:hAnsi="Arial" w:cs="Arial"/>
        </w:rPr>
        <w:t>Statistical analysis was performed using the Statistical Package for Social Sciences (SPSS), version 23. Categorical variables, including sex, ABO blood group, point risk factors, and VTE risk assessment categories, were summarised using frequencies and percentages. Associations between categorical variables were assessed using the Chi-square test or Fisher’s exact test, as appropriate. Continuous variables were analysed using one-way analysis of variance (ANOVA), and results were expressed as mean ± standard deviation. A p-value of &lt;0.05 was considered statistically significant.</w:t>
      </w:r>
    </w:p>
    <w:p w14:paraId="2FE290FC" w14:textId="77777777" w:rsidR="002E31E9" w:rsidRPr="00EA762F" w:rsidRDefault="002E31E9" w:rsidP="002E31E9">
      <w:pPr>
        <w:rPr>
          <w:b/>
        </w:rPr>
      </w:pPr>
    </w:p>
    <w:p w14:paraId="21E0EBE4" w14:textId="77777777" w:rsidR="002E31E9" w:rsidRPr="00DE0255" w:rsidRDefault="003F0590" w:rsidP="002E31E9">
      <w:pPr>
        <w:rPr>
          <w:rFonts w:ascii="Arial" w:hAnsi="Arial" w:cs="Arial"/>
          <w:b/>
        </w:rPr>
      </w:pPr>
      <w:r w:rsidRPr="00DE0255">
        <w:rPr>
          <w:rFonts w:ascii="Arial" w:hAnsi="Arial" w:cs="Arial"/>
          <w:b/>
        </w:rPr>
        <w:t>RESULTS</w:t>
      </w:r>
    </w:p>
    <w:tbl>
      <w:tblPr>
        <w:tblW w:w="0" w:type="auto"/>
        <w:tblLayout w:type="fixed"/>
        <w:tblLook w:val="04A0" w:firstRow="1" w:lastRow="0" w:firstColumn="1" w:lastColumn="0" w:noHBand="0" w:noVBand="1"/>
      </w:tblPr>
      <w:tblGrid>
        <w:gridCol w:w="2808"/>
        <w:gridCol w:w="135"/>
        <w:gridCol w:w="2161"/>
        <w:gridCol w:w="2296"/>
        <w:gridCol w:w="2176"/>
      </w:tblGrid>
      <w:tr w:rsidR="00987EE1" w:rsidRPr="00DE0255" w14:paraId="6D0DC0CA" w14:textId="77777777" w:rsidTr="00606BC4">
        <w:trPr>
          <w:trHeight w:val="432"/>
        </w:trPr>
        <w:tc>
          <w:tcPr>
            <w:tcW w:w="9576" w:type="dxa"/>
            <w:gridSpan w:val="5"/>
            <w:tcBorders>
              <w:top w:val="nil"/>
              <w:left w:val="nil"/>
              <w:bottom w:val="single" w:sz="8" w:space="0" w:color="auto"/>
              <w:right w:val="nil"/>
            </w:tcBorders>
            <w:noWrap/>
            <w:vAlign w:val="bottom"/>
            <w:hideMark/>
          </w:tcPr>
          <w:p w14:paraId="4CC64339" w14:textId="77777777" w:rsidR="00987EE1" w:rsidRPr="00DE0255" w:rsidRDefault="00987EE1" w:rsidP="00606BC4">
            <w:pPr>
              <w:spacing w:after="0" w:line="240" w:lineRule="auto"/>
              <w:rPr>
                <w:rFonts w:ascii="Arial" w:eastAsia="Times New Roman" w:hAnsi="Arial" w:cs="Arial"/>
                <w:b/>
                <w:bCs/>
                <w:sz w:val="18"/>
                <w:szCs w:val="18"/>
              </w:rPr>
            </w:pPr>
            <w:r w:rsidRPr="00DE0255">
              <w:rPr>
                <w:rFonts w:ascii="Arial" w:eastAsia="Times New Roman" w:hAnsi="Arial" w:cs="Arial"/>
                <w:b/>
                <w:bCs/>
                <w:sz w:val="18"/>
                <w:szCs w:val="18"/>
              </w:rPr>
              <w:t>Table 1: Socio-characteristics of study population</w:t>
            </w:r>
          </w:p>
        </w:tc>
      </w:tr>
      <w:tr w:rsidR="00987EE1" w:rsidRPr="00DE0255" w14:paraId="413A0C82" w14:textId="77777777" w:rsidTr="00606BC4">
        <w:trPr>
          <w:trHeight w:val="432"/>
        </w:trPr>
        <w:tc>
          <w:tcPr>
            <w:tcW w:w="2943" w:type="dxa"/>
            <w:gridSpan w:val="2"/>
            <w:tcBorders>
              <w:top w:val="nil"/>
              <w:left w:val="nil"/>
              <w:bottom w:val="single" w:sz="8" w:space="0" w:color="auto"/>
              <w:right w:val="nil"/>
            </w:tcBorders>
            <w:noWrap/>
            <w:vAlign w:val="bottom"/>
            <w:hideMark/>
          </w:tcPr>
          <w:p w14:paraId="43A9F27A" w14:textId="77777777" w:rsidR="00987EE1" w:rsidRPr="00DE0255" w:rsidRDefault="00987EE1" w:rsidP="00606BC4">
            <w:pPr>
              <w:spacing w:after="0" w:line="240" w:lineRule="auto"/>
              <w:rPr>
                <w:rFonts w:ascii="Arial" w:eastAsia="Times New Roman" w:hAnsi="Arial" w:cs="Arial"/>
                <w:b/>
                <w:bCs/>
                <w:sz w:val="18"/>
                <w:szCs w:val="18"/>
              </w:rPr>
            </w:pPr>
            <w:r w:rsidRPr="00DE0255">
              <w:rPr>
                <w:rFonts w:ascii="Arial" w:eastAsia="Times New Roman" w:hAnsi="Arial" w:cs="Arial"/>
                <w:b/>
                <w:bCs/>
                <w:sz w:val="18"/>
                <w:szCs w:val="18"/>
              </w:rPr>
              <w:t>Characteristics</w:t>
            </w:r>
          </w:p>
        </w:tc>
        <w:tc>
          <w:tcPr>
            <w:tcW w:w="2161" w:type="dxa"/>
            <w:tcBorders>
              <w:top w:val="nil"/>
              <w:left w:val="nil"/>
              <w:bottom w:val="single" w:sz="8" w:space="0" w:color="auto"/>
              <w:right w:val="nil"/>
            </w:tcBorders>
            <w:vAlign w:val="bottom"/>
            <w:hideMark/>
          </w:tcPr>
          <w:p w14:paraId="69C81E24"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Medical patients</w:t>
            </w:r>
          </w:p>
          <w:p w14:paraId="3D393387"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(n=45) </w:t>
            </w:r>
          </w:p>
        </w:tc>
        <w:tc>
          <w:tcPr>
            <w:tcW w:w="2296" w:type="dxa"/>
            <w:tcBorders>
              <w:top w:val="nil"/>
              <w:left w:val="nil"/>
              <w:bottom w:val="single" w:sz="8" w:space="0" w:color="auto"/>
              <w:right w:val="nil"/>
            </w:tcBorders>
            <w:vAlign w:val="bottom"/>
            <w:hideMark/>
          </w:tcPr>
          <w:p w14:paraId="567AA3D3"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Surgical patients (n=45) </w:t>
            </w:r>
          </w:p>
        </w:tc>
        <w:tc>
          <w:tcPr>
            <w:tcW w:w="2176" w:type="dxa"/>
            <w:tcBorders>
              <w:top w:val="nil"/>
              <w:left w:val="nil"/>
              <w:bottom w:val="single" w:sz="8" w:space="0" w:color="auto"/>
              <w:right w:val="nil"/>
            </w:tcBorders>
            <w:vAlign w:val="bottom"/>
            <w:hideMark/>
          </w:tcPr>
          <w:p w14:paraId="39EBB111"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Control subjects</w:t>
            </w:r>
          </w:p>
          <w:p w14:paraId="21F4A3BB"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(n=45) </w:t>
            </w:r>
          </w:p>
        </w:tc>
      </w:tr>
      <w:tr w:rsidR="00987EE1" w:rsidRPr="00DE0255" w14:paraId="6AB6A420" w14:textId="77777777" w:rsidTr="00606BC4">
        <w:trPr>
          <w:trHeight w:val="432"/>
        </w:trPr>
        <w:tc>
          <w:tcPr>
            <w:tcW w:w="2943" w:type="dxa"/>
            <w:gridSpan w:val="2"/>
            <w:tcBorders>
              <w:top w:val="nil"/>
              <w:left w:val="nil"/>
              <w:bottom w:val="nil"/>
              <w:right w:val="nil"/>
            </w:tcBorders>
            <w:noWrap/>
            <w:vAlign w:val="bottom"/>
            <w:hideMark/>
          </w:tcPr>
          <w:p w14:paraId="6AFEAD51"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 xml:space="preserve">Age (years) </w:t>
            </w:r>
            <w:r w:rsidRPr="00DE0255">
              <w:rPr>
                <w:rFonts w:ascii="Arial" w:eastAsia="Times New Roman" w:hAnsi="Arial" w:cs="Arial"/>
                <w:bCs/>
                <w:sz w:val="18"/>
                <w:szCs w:val="18"/>
              </w:rPr>
              <w:t>Median (IQR)</w:t>
            </w:r>
          </w:p>
        </w:tc>
        <w:tc>
          <w:tcPr>
            <w:tcW w:w="2161" w:type="dxa"/>
            <w:tcBorders>
              <w:top w:val="nil"/>
              <w:left w:val="nil"/>
              <w:bottom w:val="nil"/>
              <w:right w:val="nil"/>
            </w:tcBorders>
            <w:noWrap/>
            <w:vAlign w:val="bottom"/>
            <w:hideMark/>
          </w:tcPr>
          <w:p w14:paraId="474BF150"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49 (35 – 59)</w:t>
            </w:r>
          </w:p>
        </w:tc>
        <w:tc>
          <w:tcPr>
            <w:tcW w:w="2296" w:type="dxa"/>
            <w:tcBorders>
              <w:top w:val="nil"/>
              <w:left w:val="nil"/>
              <w:bottom w:val="nil"/>
              <w:right w:val="nil"/>
            </w:tcBorders>
            <w:noWrap/>
            <w:vAlign w:val="bottom"/>
            <w:hideMark/>
          </w:tcPr>
          <w:p w14:paraId="477571B0"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49 (37.5 – 62)</w:t>
            </w:r>
          </w:p>
        </w:tc>
        <w:tc>
          <w:tcPr>
            <w:tcW w:w="2176" w:type="dxa"/>
            <w:tcBorders>
              <w:top w:val="nil"/>
              <w:left w:val="nil"/>
              <w:bottom w:val="nil"/>
              <w:right w:val="nil"/>
            </w:tcBorders>
            <w:noWrap/>
            <w:vAlign w:val="bottom"/>
            <w:hideMark/>
          </w:tcPr>
          <w:p w14:paraId="7F974ECA"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21 (20 – 23)</w:t>
            </w:r>
          </w:p>
        </w:tc>
      </w:tr>
      <w:tr w:rsidR="00987EE1" w:rsidRPr="00DE0255" w14:paraId="5CCAC993" w14:textId="77777777" w:rsidTr="00606BC4">
        <w:trPr>
          <w:trHeight w:val="432"/>
        </w:trPr>
        <w:tc>
          <w:tcPr>
            <w:tcW w:w="2943" w:type="dxa"/>
            <w:gridSpan w:val="2"/>
            <w:tcBorders>
              <w:top w:val="nil"/>
              <w:left w:val="nil"/>
              <w:bottom w:val="nil"/>
              <w:right w:val="nil"/>
            </w:tcBorders>
            <w:noWrap/>
            <w:vAlign w:val="bottom"/>
            <w:hideMark/>
          </w:tcPr>
          <w:p w14:paraId="7BC34C7E" w14:textId="77777777" w:rsidR="00987EE1" w:rsidRPr="00DE0255" w:rsidRDefault="00987EE1" w:rsidP="00606BC4">
            <w:pPr>
              <w:spacing w:after="0" w:line="240" w:lineRule="auto"/>
              <w:rPr>
                <w:rFonts w:ascii="Arial" w:eastAsia="Times New Roman" w:hAnsi="Arial" w:cs="Arial"/>
                <w:b/>
                <w:bCs/>
                <w:sz w:val="18"/>
                <w:szCs w:val="18"/>
              </w:rPr>
            </w:pPr>
            <w:r w:rsidRPr="00DE0255">
              <w:rPr>
                <w:rFonts w:ascii="Arial" w:eastAsia="Times New Roman" w:hAnsi="Arial" w:cs="Arial"/>
                <w:b/>
                <w:bCs/>
                <w:sz w:val="18"/>
                <w:szCs w:val="18"/>
              </w:rPr>
              <w:t>Gender</w:t>
            </w:r>
          </w:p>
        </w:tc>
        <w:tc>
          <w:tcPr>
            <w:tcW w:w="2161" w:type="dxa"/>
            <w:tcBorders>
              <w:top w:val="nil"/>
              <w:left w:val="nil"/>
              <w:bottom w:val="nil"/>
              <w:right w:val="nil"/>
            </w:tcBorders>
            <w:noWrap/>
            <w:vAlign w:val="bottom"/>
            <w:hideMark/>
          </w:tcPr>
          <w:p w14:paraId="0E5A7B0F" w14:textId="77777777" w:rsidR="00987EE1" w:rsidRPr="00DE0255" w:rsidRDefault="00987EE1" w:rsidP="00606BC4">
            <w:pPr>
              <w:spacing w:after="0" w:line="240" w:lineRule="auto"/>
              <w:rPr>
                <w:rFonts w:ascii="Arial" w:eastAsia="Times New Roman" w:hAnsi="Arial" w:cs="Arial"/>
                <w:sz w:val="18"/>
                <w:szCs w:val="18"/>
              </w:rPr>
            </w:pPr>
          </w:p>
        </w:tc>
        <w:tc>
          <w:tcPr>
            <w:tcW w:w="2296" w:type="dxa"/>
            <w:tcBorders>
              <w:top w:val="nil"/>
              <w:left w:val="nil"/>
              <w:bottom w:val="nil"/>
              <w:right w:val="nil"/>
            </w:tcBorders>
            <w:noWrap/>
            <w:vAlign w:val="bottom"/>
            <w:hideMark/>
          </w:tcPr>
          <w:p w14:paraId="402F9689" w14:textId="77777777" w:rsidR="00987EE1" w:rsidRPr="00DE0255" w:rsidRDefault="00987EE1" w:rsidP="00606BC4">
            <w:pPr>
              <w:spacing w:after="0" w:line="240" w:lineRule="auto"/>
              <w:rPr>
                <w:rFonts w:ascii="Arial" w:eastAsia="Times New Roman" w:hAnsi="Arial" w:cs="Arial"/>
                <w:sz w:val="18"/>
                <w:szCs w:val="18"/>
              </w:rPr>
            </w:pPr>
          </w:p>
        </w:tc>
        <w:tc>
          <w:tcPr>
            <w:tcW w:w="2176" w:type="dxa"/>
            <w:tcBorders>
              <w:top w:val="nil"/>
              <w:left w:val="nil"/>
              <w:bottom w:val="nil"/>
              <w:right w:val="nil"/>
            </w:tcBorders>
            <w:noWrap/>
            <w:vAlign w:val="bottom"/>
            <w:hideMark/>
          </w:tcPr>
          <w:p w14:paraId="7CAEE66C" w14:textId="77777777" w:rsidR="00987EE1" w:rsidRPr="00DE0255" w:rsidRDefault="00987EE1" w:rsidP="00606BC4">
            <w:pPr>
              <w:spacing w:after="0" w:line="240" w:lineRule="auto"/>
              <w:rPr>
                <w:rFonts w:ascii="Arial" w:eastAsia="Times New Roman" w:hAnsi="Arial" w:cs="Arial"/>
                <w:sz w:val="18"/>
                <w:szCs w:val="18"/>
              </w:rPr>
            </w:pPr>
          </w:p>
        </w:tc>
      </w:tr>
      <w:tr w:rsidR="00987EE1" w:rsidRPr="00DE0255" w14:paraId="31A2C40E" w14:textId="77777777" w:rsidTr="00606BC4">
        <w:trPr>
          <w:trHeight w:val="432"/>
        </w:trPr>
        <w:tc>
          <w:tcPr>
            <w:tcW w:w="2943" w:type="dxa"/>
            <w:gridSpan w:val="2"/>
            <w:tcBorders>
              <w:top w:val="nil"/>
              <w:left w:val="nil"/>
              <w:bottom w:val="nil"/>
              <w:right w:val="nil"/>
            </w:tcBorders>
            <w:noWrap/>
            <w:vAlign w:val="bottom"/>
            <w:hideMark/>
          </w:tcPr>
          <w:p w14:paraId="6AA3EE7B"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Male n (%)</w:t>
            </w:r>
          </w:p>
        </w:tc>
        <w:tc>
          <w:tcPr>
            <w:tcW w:w="2161" w:type="dxa"/>
            <w:tcBorders>
              <w:top w:val="nil"/>
              <w:left w:val="nil"/>
              <w:bottom w:val="nil"/>
              <w:right w:val="nil"/>
            </w:tcBorders>
            <w:noWrap/>
            <w:vAlign w:val="bottom"/>
            <w:hideMark/>
          </w:tcPr>
          <w:p w14:paraId="2E00DBF9"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23 (51.1%)</w:t>
            </w:r>
          </w:p>
        </w:tc>
        <w:tc>
          <w:tcPr>
            <w:tcW w:w="2296" w:type="dxa"/>
            <w:tcBorders>
              <w:top w:val="nil"/>
              <w:left w:val="nil"/>
              <w:bottom w:val="nil"/>
              <w:right w:val="nil"/>
            </w:tcBorders>
            <w:noWrap/>
            <w:vAlign w:val="bottom"/>
            <w:hideMark/>
          </w:tcPr>
          <w:p w14:paraId="72039986"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28 (62.2%)</w:t>
            </w:r>
          </w:p>
        </w:tc>
        <w:tc>
          <w:tcPr>
            <w:tcW w:w="2176" w:type="dxa"/>
            <w:tcBorders>
              <w:top w:val="nil"/>
              <w:left w:val="nil"/>
              <w:bottom w:val="nil"/>
              <w:right w:val="nil"/>
            </w:tcBorders>
            <w:noWrap/>
            <w:vAlign w:val="bottom"/>
            <w:hideMark/>
          </w:tcPr>
          <w:p w14:paraId="0F25A11E"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15 (33.3%)</w:t>
            </w:r>
          </w:p>
        </w:tc>
      </w:tr>
      <w:tr w:rsidR="00987EE1" w:rsidRPr="00DE0255" w14:paraId="6B42F30F" w14:textId="77777777" w:rsidTr="00606BC4">
        <w:trPr>
          <w:trHeight w:val="432"/>
        </w:trPr>
        <w:tc>
          <w:tcPr>
            <w:tcW w:w="2943" w:type="dxa"/>
            <w:gridSpan w:val="2"/>
            <w:tcBorders>
              <w:top w:val="nil"/>
              <w:left w:val="nil"/>
              <w:bottom w:val="nil"/>
              <w:right w:val="nil"/>
            </w:tcBorders>
            <w:noWrap/>
            <w:vAlign w:val="bottom"/>
            <w:hideMark/>
          </w:tcPr>
          <w:p w14:paraId="4C4823DA"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Female n (%)</w:t>
            </w:r>
          </w:p>
        </w:tc>
        <w:tc>
          <w:tcPr>
            <w:tcW w:w="2161" w:type="dxa"/>
            <w:tcBorders>
              <w:top w:val="nil"/>
              <w:left w:val="nil"/>
              <w:bottom w:val="nil"/>
              <w:right w:val="nil"/>
            </w:tcBorders>
            <w:noWrap/>
            <w:vAlign w:val="bottom"/>
            <w:hideMark/>
          </w:tcPr>
          <w:p w14:paraId="0694491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22 (48.9%)</w:t>
            </w:r>
          </w:p>
        </w:tc>
        <w:tc>
          <w:tcPr>
            <w:tcW w:w="2296" w:type="dxa"/>
            <w:tcBorders>
              <w:top w:val="nil"/>
              <w:left w:val="nil"/>
              <w:bottom w:val="nil"/>
              <w:right w:val="nil"/>
            </w:tcBorders>
            <w:noWrap/>
            <w:vAlign w:val="bottom"/>
            <w:hideMark/>
          </w:tcPr>
          <w:p w14:paraId="01C42071"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17 (37.8%)</w:t>
            </w:r>
          </w:p>
        </w:tc>
        <w:tc>
          <w:tcPr>
            <w:tcW w:w="2176" w:type="dxa"/>
            <w:tcBorders>
              <w:top w:val="nil"/>
              <w:left w:val="nil"/>
              <w:bottom w:val="nil"/>
              <w:right w:val="nil"/>
            </w:tcBorders>
            <w:noWrap/>
            <w:vAlign w:val="bottom"/>
            <w:hideMark/>
          </w:tcPr>
          <w:p w14:paraId="5C1D4DEA"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30 (66.7%)</w:t>
            </w:r>
          </w:p>
        </w:tc>
      </w:tr>
      <w:tr w:rsidR="00987EE1" w:rsidRPr="00DE0255" w14:paraId="1F860D7D" w14:textId="77777777" w:rsidTr="00606BC4">
        <w:trPr>
          <w:trHeight w:val="432"/>
        </w:trPr>
        <w:tc>
          <w:tcPr>
            <w:tcW w:w="2943" w:type="dxa"/>
            <w:gridSpan w:val="2"/>
            <w:tcBorders>
              <w:top w:val="nil"/>
              <w:left w:val="nil"/>
              <w:bottom w:val="nil"/>
              <w:right w:val="nil"/>
            </w:tcBorders>
            <w:noWrap/>
            <w:vAlign w:val="bottom"/>
            <w:hideMark/>
          </w:tcPr>
          <w:p w14:paraId="02736A42"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 xml:space="preserve">Weight (kg) </w:t>
            </w:r>
            <w:r w:rsidRPr="00DE0255">
              <w:rPr>
                <w:rFonts w:ascii="Arial" w:eastAsia="Times New Roman" w:hAnsi="Arial" w:cs="Arial"/>
                <w:bCs/>
                <w:sz w:val="18"/>
                <w:szCs w:val="18"/>
              </w:rPr>
              <w:t>Median (IQR)</w:t>
            </w:r>
          </w:p>
        </w:tc>
        <w:tc>
          <w:tcPr>
            <w:tcW w:w="2161" w:type="dxa"/>
            <w:tcBorders>
              <w:top w:val="nil"/>
              <w:left w:val="nil"/>
              <w:bottom w:val="nil"/>
              <w:right w:val="nil"/>
            </w:tcBorders>
            <w:noWrap/>
            <w:vAlign w:val="bottom"/>
          </w:tcPr>
          <w:p w14:paraId="20C0175B"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62.0 (59.5 – 69.0)</w:t>
            </w:r>
          </w:p>
        </w:tc>
        <w:tc>
          <w:tcPr>
            <w:tcW w:w="2296" w:type="dxa"/>
            <w:tcBorders>
              <w:top w:val="nil"/>
              <w:left w:val="nil"/>
              <w:bottom w:val="nil"/>
              <w:right w:val="nil"/>
            </w:tcBorders>
            <w:noWrap/>
            <w:vAlign w:val="bottom"/>
          </w:tcPr>
          <w:p w14:paraId="044CCC71"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59 (52 – 68)</w:t>
            </w:r>
          </w:p>
        </w:tc>
        <w:tc>
          <w:tcPr>
            <w:tcW w:w="2176" w:type="dxa"/>
            <w:tcBorders>
              <w:top w:val="nil"/>
              <w:left w:val="nil"/>
              <w:bottom w:val="nil"/>
              <w:right w:val="nil"/>
            </w:tcBorders>
            <w:noWrap/>
            <w:vAlign w:val="bottom"/>
          </w:tcPr>
          <w:p w14:paraId="114BAF05"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62 (56 – 68)</w:t>
            </w:r>
          </w:p>
        </w:tc>
      </w:tr>
      <w:tr w:rsidR="00987EE1" w:rsidRPr="00DE0255" w14:paraId="5FA85D58" w14:textId="77777777" w:rsidTr="00606BC4">
        <w:trPr>
          <w:trHeight w:val="432"/>
        </w:trPr>
        <w:tc>
          <w:tcPr>
            <w:tcW w:w="2943" w:type="dxa"/>
            <w:gridSpan w:val="2"/>
            <w:tcBorders>
              <w:top w:val="nil"/>
              <w:left w:val="nil"/>
              <w:bottom w:val="nil"/>
              <w:right w:val="nil"/>
            </w:tcBorders>
            <w:noWrap/>
            <w:vAlign w:val="bottom"/>
            <w:hideMark/>
          </w:tcPr>
          <w:p w14:paraId="74C03080"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Height (m</w:t>
            </w:r>
            <w:r w:rsidRPr="00DE0255">
              <w:rPr>
                <w:rFonts w:ascii="Arial" w:eastAsia="Times New Roman" w:hAnsi="Arial" w:cs="Arial"/>
                <w:sz w:val="18"/>
                <w:szCs w:val="18"/>
                <w:vertAlign w:val="superscript"/>
              </w:rPr>
              <w:t>2</w:t>
            </w:r>
            <w:r w:rsidRPr="00DE0255">
              <w:rPr>
                <w:rFonts w:ascii="Arial" w:eastAsia="Times New Roman" w:hAnsi="Arial" w:cs="Arial"/>
                <w:sz w:val="18"/>
                <w:szCs w:val="18"/>
              </w:rPr>
              <w:t xml:space="preserve">) </w:t>
            </w:r>
            <w:r w:rsidRPr="00DE0255">
              <w:rPr>
                <w:rFonts w:ascii="Arial" w:eastAsia="Times New Roman" w:hAnsi="Arial" w:cs="Arial"/>
                <w:bCs/>
                <w:sz w:val="18"/>
                <w:szCs w:val="18"/>
              </w:rPr>
              <w:t>Median (IQR)</w:t>
            </w:r>
          </w:p>
        </w:tc>
        <w:tc>
          <w:tcPr>
            <w:tcW w:w="2161" w:type="dxa"/>
            <w:tcBorders>
              <w:top w:val="nil"/>
              <w:left w:val="nil"/>
              <w:bottom w:val="nil"/>
              <w:right w:val="nil"/>
            </w:tcBorders>
            <w:noWrap/>
            <w:vAlign w:val="bottom"/>
          </w:tcPr>
          <w:p w14:paraId="0C119245"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1.51 (1.37 – 1.60)</w:t>
            </w:r>
          </w:p>
        </w:tc>
        <w:tc>
          <w:tcPr>
            <w:tcW w:w="2296" w:type="dxa"/>
            <w:tcBorders>
              <w:top w:val="nil"/>
              <w:left w:val="nil"/>
              <w:bottom w:val="nil"/>
              <w:right w:val="nil"/>
            </w:tcBorders>
            <w:noWrap/>
            <w:vAlign w:val="bottom"/>
          </w:tcPr>
          <w:p w14:paraId="1925069C"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1.47 (1.42 – 1.57)</w:t>
            </w:r>
          </w:p>
        </w:tc>
        <w:tc>
          <w:tcPr>
            <w:tcW w:w="2176" w:type="dxa"/>
            <w:tcBorders>
              <w:top w:val="nil"/>
              <w:left w:val="nil"/>
              <w:bottom w:val="nil"/>
              <w:right w:val="nil"/>
            </w:tcBorders>
            <w:noWrap/>
            <w:vAlign w:val="bottom"/>
          </w:tcPr>
          <w:p w14:paraId="3C7B4239"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1.57 (1.47 – 1.62)</w:t>
            </w:r>
          </w:p>
        </w:tc>
      </w:tr>
      <w:tr w:rsidR="00987EE1" w:rsidRPr="00DE0255" w14:paraId="5A6E1E1C" w14:textId="77777777" w:rsidTr="00606BC4">
        <w:trPr>
          <w:trHeight w:val="432"/>
        </w:trPr>
        <w:tc>
          <w:tcPr>
            <w:tcW w:w="2943" w:type="dxa"/>
            <w:gridSpan w:val="2"/>
            <w:tcBorders>
              <w:top w:val="nil"/>
              <w:left w:val="nil"/>
              <w:bottom w:val="nil"/>
              <w:right w:val="nil"/>
            </w:tcBorders>
            <w:noWrap/>
            <w:vAlign w:val="bottom"/>
            <w:hideMark/>
          </w:tcPr>
          <w:p w14:paraId="5911F499"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BMI (kg/m</w:t>
            </w:r>
            <w:r w:rsidRPr="00DE0255">
              <w:rPr>
                <w:rFonts w:ascii="Arial" w:eastAsia="Times New Roman" w:hAnsi="Arial" w:cs="Arial"/>
                <w:sz w:val="18"/>
                <w:szCs w:val="18"/>
                <w:vertAlign w:val="superscript"/>
              </w:rPr>
              <w:t>2</w:t>
            </w:r>
            <w:r w:rsidRPr="00DE0255">
              <w:rPr>
                <w:rFonts w:ascii="Arial" w:eastAsia="Times New Roman" w:hAnsi="Arial" w:cs="Arial"/>
                <w:sz w:val="18"/>
                <w:szCs w:val="18"/>
              </w:rPr>
              <w:t xml:space="preserve">) </w:t>
            </w:r>
            <w:r w:rsidRPr="00DE0255">
              <w:rPr>
                <w:rFonts w:ascii="Arial" w:eastAsia="Times New Roman" w:hAnsi="Arial" w:cs="Arial"/>
                <w:bCs/>
                <w:sz w:val="18"/>
                <w:szCs w:val="18"/>
              </w:rPr>
              <w:t>Median (IQR)</w:t>
            </w:r>
          </w:p>
        </w:tc>
        <w:tc>
          <w:tcPr>
            <w:tcW w:w="2161" w:type="dxa"/>
            <w:tcBorders>
              <w:top w:val="nil"/>
              <w:left w:val="nil"/>
              <w:bottom w:val="nil"/>
              <w:right w:val="nil"/>
            </w:tcBorders>
            <w:noWrap/>
            <w:vAlign w:val="bottom"/>
          </w:tcPr>
          <w:p w14:paraId="20E1868C"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28.6 (26.0 – 32.9)</w:t>
            </w:r>
          </w:p>
        </w:tc>
        <w:tc>
          <w:tcPr>
            <w:tcW w:w="2296" w:type="dxa"/>
            <w:tcBorders>
              <w:top w:val="nil"/>
              <w:left w:val="nil"/>
              <w:bottom w:val="nil"/>
              <w:right w:val="nil"/>
            </w:tcBorders>
            <w:noWrap/>
            <w:vAlign w:val="bottom"/>
          </w:tcPr>
          <w:p w14:paraId="06F37118"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28.7 (25.4 – 30.7)</w:t>
            </w:r>
          </w:p>
        </w:tc>
        <w:tc>
          <w:tcPr>
            <w:tcW w:w="2176" w:type="dxa"/>
            <w:tcBorders>
              <w:top w:val="nil"/>
              <w:left w:val="nil"/>
              <w:bottom w:val="nil"/>
              <w:right w:val="nil"/>
            </w:tcBorders>
            <w:noWrap/>
            <w:vAlign w:val="bottom"/>
          </w:tcPr>
          <w:p w14:paraId="44465D1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26.1 (22.6 – 28.8</w:t>
            </w:r>
          </w:p>
        </w:tc>
      </w:tr>
      <w:tr w:rsidR="00987EE1" w:rsidRPr="00DE0255" w14:paraId="28F2541F" w14:textId="77777777" w:rsidTr="00606BC4">
        <w:trPr>
          <w:trHeight w:val="432"/>
        </w:trPr>
        <w:tc>
          <w:tcPr>
            <w:tcW w:w="9576" w:type="dxa"/>
            <w:gridSpan w:val="5"/>
            <w:tcBorders>
              <w:top w:val="nil"/>
              <w:left w:val="nil"/>
              <w:bottom w:val="nil"/>
              <w:right w:val="nil"/>
            </w:tcBorders>
            <w:noWrap/>
            <w:vAlign w:val="bottom"/>
            <w:hideMark/>
          </w:tcPr>
          <w:p w14:paraId="4D860172" w14:textId="77777777" w:rsidR="00987EE1" w:rsidRPr="00DE0255" w:rsidRDefault="00987EE1" w:rsidP="00606BC4">
            <w:pPr>
              <w:spacing w:after="0" w:line="240" w:lineRule="auto"/>
              <w:rPr>
                <w:rFonts w:ascii="Arial" w:eastAsia="Times New Roman" w:hAnsi="Arial" w:cs="Arial"/>
                <w:b/>
                <w:bCs/>
                <w:color w:val="000000"/>
                <w:sz w:val="18"/>
                <w:szCs w:val="18"/>
              </w:rPr>
            </w:pPr>
            <w:r w:rsidRPr="00DE0255">
              <w:rPr>
                <w:rFonts w:ascii="Arial" w:eastAsia="Times New Roman" w:hAnsi="Arial" w:cs="Arial"/>
                <w:b/>
                <w:bCs/>
                <w:color w:val="000000"/>
                <w:sz w:val="18"/>
                <w:szCs w:val="18"/>
              </w:rPr>
              <w:t>ABO Blood group</w:t>
            </w:r>
          </w:p>
        </w:tc>
      </w:tr>
      <w:tr w:rsidR="00987EE1" w:rsidRPr="00DE0255" w14:paraId="19588E24" w14:textId="77777777" w:rsidTr="00606BC4">
        <w:trPr>
          <w:trHeight w:val="432"/>
        </w:trPr>
        <w:tc>
          <w:tcPr>
            <w:tcW w:w="2943" w:type="dxa"/>
            <w:gridSpan w:val="2"/>
            <w:tcBorders>
              <w:top w:val="nil"/>
              <w:left w:val="nil"/>
              <w:bottom w:val="nil"/>
              <w:right w:val="nil"/>
            </w:tcBorders>
            <w:noWrap/>
            <w:vAlign w:val="bottom"/>
            <w:hideMark/>
          </w:tcPr>
          <w:p w14:paraId="7391FDB4" w14:textId="77777777" w:rsidR="00987EE1" w:rsidRPr="00DE0255" w:rsidRDefault="00987EE1" w:rsidP="00606BC4">
            <w:pPr>
              <w:spacing w:after="0" w:line="240" w:lineRule="auto"/>
              <w:rPr>
                <w:rFonts w:ascii="Arial" w:eastAsia="Times New Roman" w:hAnsi="Arial" w:cs="Arial"/>
                <w:color w:val="000000"/>
                <w:sz w:val="18"/>
                <w:szCs w:val="18"/>
              </w:rPr>
            </w:pPr>
            <w:r w:rsidRPr="00DE0255">
              <w:rPr>
                <w:rFonts w:ascii="Arial" w:eastAsia="Times New Roman" w:hAnsi="Arial" w:cs="Arial"/>
                <w:color w:val="000000"/>
                <w:sz w:val="18"/>
                <w:szCs w:val="18"/>
              </w:rPr>
              <w:t>A</w:t>
            </w:r>
          </w:p>
        </w:tc>
        <w:tc>
          <w:tcPr>
            <w:tcW w:w="2161" w:type="dxa"/>
            <w:tcBorders>
              <w:top w:val="nil"/>
              <w:left w:val="nil"/>
              <w:bottom w:val="nil"/>
              <w:right w:val="nil"/>
            </w:tcBorders>
            <w:noWrap/>
            <w:vAlign w:val="bottom"/>
          </w:tcPr>
          <w:p w14:paraId="42BED76E"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13 (28.9%)</w:t>
            </w:r>
          </w:p>
        </w:tc>
        <w:tc>
          <w:tcPr>
            <w:tcW w:w="2296" w:type="dxa"/>
            <w:tcBorders>
              <w:top w:val="nil"/>
              <w:left w:val="nil"/>
              <w:bottom w:val="nil"/>
              <w:right w:val="nil"/>
            </w:tcBorders>
            <w:noWrap/>
            <w:vAlign w:val="bottom"/>
          </w:tcPr>
          <w:p w14:paraId="2E5B6650"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8 (17.8%)</w:t>
            </w:r>
          </w:p>
        </w:tc>
        <w:tc>
          <w:tcPr>
            <w:tcW w:w="2176" w:type="dxa"/>
            <w:tcBorders>
              <w:top w:val="nil"/>
              <w:left w:val="nil"/>
              <w:bottom w:val="nil"/>
              <w:right w:val="nil"/>
            </w:tcBorders>
            <w:noWrap/>
            <w:vAlign w:val="bottom"/>
          </w:tcPr>
          <w:p w14:paraId="0370CC41"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 (13.3%)</w:t>
            </w:r>
          </w:p>
        </w:tc>
      </w:tr>
      <w:tr w:rsidR="00987EE1" w:rsidRPr="00DE0255" w14:paraId="7C7389E0" w14:textId="77777777" w:rsidTr="00606BC4">
        <w:trPr>
          <w:trHeight w:val="432"/>
        </w:trPr>
        <w:tc>
          <w:tcPr>
            <w:tcW w:w="2943" w:type="dxa"/>
            <w:gridSpan w:val="2"/>
            <w:tcBorders>
              <w:top w:val="nil"/>
              <w:left w:val="nil"/>
              <w:bottom w:val="nil"/>
              <w:right w:val="nil"/>
            </w:tcBorders>
            <w:noWrap/>
            <w:vAlign w:val="bottom"/>
            <w:hideMark/>
          </w:tcPr>
          <w:p w14:paraId="7551BB37" w14:textId="77777777" w:rsidR="00987EE1" w:rsidRPr="00DE0255" w:rsidRDefault="00987EE1" w:rsidP="00606BC4">
            <w:pPr>
              <w:spacing w:after="0" w:line="240" w:lineRule="auto"/>
              <w:rPr>
                <w:rFonts w:ascii="Arial" w:eastAsia="Times New Roman" w:hAnsi="Arial" w:cs="Arial"/>
                <w:color w:val="000000"/>
                <w:sz w:val="18"/>
                <w:szCs w:val="18"/>
              </w:rPr>
            </w:pPr>
            <w:r w:rsidRPr="00DE0255">
              <w:rPr>
                <w:rFonts w:ascii="Arial" w:eastAsia="Times New Roman" w:hAnsi="Arial" w:cs="Arial"/>
                <w:color w:val="000000"/>
                <w:sz w:val="18"/>
                <w:szCs w:val="18"/>
              </w:rPr>
              <w:t>B</w:t>
            </w:r>
          </w:p>
        </w:tc>
        <w:tc>
          <w:tcPr>
            <w:tcW w:w="2161" w:type="dxa"/>
            <w:tcBorders>
              <w:top w:val="nil"/>
              <w:left w:val="nil"/>
              <w:bottom w:val="nil"/>
              <w:right w:val="nil"/>
            </w:tcBorders>
            <w:noWrap/>
            <w:vAlign w:val="bottom"/>
          </w:tcPr>
          <w:p w14:paraId="5B881966"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5 (11.1%)</w:t>
            </w:r>
          </w:p>
        </w:tc>
        <w:tc>
          <w:tcPr>
            <w:tcW w:w="2296" w:type="dxa"/>
            <w:tcBorders>
              <w:top w:val="nil"/>
              <w:left w:val="nil"/>
              <w:bottom w:val="nil"/>
              <w:right w:val="nil"/>
            </w:tcBorders>
            <w:noWrap/>
            <w:vAlign w:val="bottom"/>
          </w:tcPr>
          <w:p w14:paraId="0F4357F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 (13.3%)</w:t>
            </w:r>
          </w:p>
        </w:tc>
        <w:tc>
          <w:tcPr>
            <w:tcW w:w="2176" w:type="dxa"/>
            <w:tcBorders>
              <w:top w:val="nil"/>
              <w:left w:val="nil"/>
              <w:bottom w:val="nil"/>
              <w:right w:val="nil"/>
            </w:tcBorders>
            <w:noWrap/>
            <w:vAlign w:val="bottom"/>
          </w:tcPr>
          <w:p w14:paraId="25926684"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9 (20.0%)</w:t>
            </w:r>
          </w:p>
        </w:tc>
      </w:tr>
      <w:tr w:rsidR="00987EE1" w:rsidRPr="00DE0255" w14:paraId="64AEF32B" w14:textId="77777777" w:rsidTr="00606BC4">
        <w:trPr>
          <w:trHeight w:val="432"/>
        </w:trPr>
        <w:tc>
          <w:tcPr>
            <w:tcW w:w="2943" w:type="dxa"/>
            <w:gridSpan w:val="2"/>
            <w:tcBorders>
              <w:top w:val="nil"/>
              <w:left w:val="nil"/>
              <w:bottom w:val="nil"/>
              <w:right w:val="nil"/>
            </w:tcBorders>
            <w:noWrap/>
            <w:vAlign w:val="bottom"/>
            <w:hideMark/>
          </w:tcPr>
          <w:p w14:paraId="777D51DB"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O</w:t>
            </w:r>
          </w:p>
        </w:tc>
        <w:tc>
          <w:tcPr>
            <w:tcW w:w="2161" w:type="dxa"/>
            <w:tcBorders>
              <w:top w:val="nil"/>
              <w:left w:val="nil"/>
              <w:bottom w:val="nil"/>
              <w:right w:val="nil"/>
            </w:tcBorders>
            <w:noWrap/>
            <w:vAlign w:val="bottom"/>
          </w:tcPr>
          <w:p w14:paraId="1DBA2596"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27 (60.0%)</w:t>
            </w:r>
          </w:p>
        </w:tc>
        <w:tc>
          <w:tcPr>
            <w:tcW w:w="2296" w:type="dxa"/>
            <w:tcBorders>
              <w:top w:val="nil"/>
              <w:left w:val="nil"/>
              <w:bottom w:val="nil"/>
              <w:right w:val="nil"/>
            </w:tcBorders>
            <w:noWrap/>
            <w:vAlign w:val="bottom"/>
          </w:tcPr>
          <w:p w14:paraId="0940BC0B"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31 (68.9%)</w:t>
            </w:r>
          </w:p>
        </w:tc>
        <w:tc>
          <w:tcPr>
            <w:tcW w:w="2176" w:type="dxa"/>
            <w:tcBorders>
              <w:top w:val="nil"/>
              <w:left w:val="nil"/>
              <w:bottom w:val="nil"/>
              <w:right w:val="nil"/>
            </w:tcBorders>
            <w:noWrap/>
            <w:vAlign w:val="bottom"/>
          </w:tcPr>
          <w:p w14:paraId="137AAF9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30 (66.7%)</w:t>
            </w:r>
          </w:p>
        </w:tc>
      </w:tr>
      <w:tr w:rsidR="00987EE1" w:rsidRPr="00DE0255" w14:paraId="56974A65" w14:textId="77777777" w:rsidTr="00606BC4">
        <w:trPr>
          <w:trHeight w:val="432"/>
        </w:trPr>
        <w:tc>
          <w:tcPr>
            <w:tcW w:w="5104" w:type="dxa"/>
            <w:gridSpan w:val="3"/>
            <w:tcBorders>
              <w:top w:val="nil"/>
              <w:left w:val="nil"/>
              <w:bottom w:val="nil"/>
              <w:right w:val="nil"/>
            </w:tcBorders>
            <w:noWrap/>
            <w:vAlign w:val="bottom"/>
            <w:hideMark/>
          </w:tcPr>
          <w:p w14:paraId="26B3A51E" w14:textId="77777777" w:rsidR="00987EE1" w:rsidRPr="00DE0255" w:rsidRDefault="00987EE1" w:rsidP="00606BC4">
            <w:pPr>
              <w:spacing w:after="0" w:line="240" w:lineRule="auto"/>
              <w:rPr>
                <w:rFonts w:ascii="Arial" w:eastAsia="Times New Roman" w:hAnsi="Arial" w:cs="Arial"/>
                <w:b/>
                <w:bCs/>
                <w:sz w:val="18"/>
                <w:szCs w:val="18"/>
              </w:rPr>
            </w:pPr>
            <w:r w:rsidRPr="00DE0255">
              <w:rPr>
                <w:rFonts w:ascii="Arial" w:eastAsia="Times New Roman" w:hAnsi="Arial" w:cs="Arial"/>
                <w:b/>
                <w:bCs/>
                <w:sz w:val="18"/>
                <w:szCs w:val="18"/>
              </w:rPr>
              <w:t xml:space="preserve">VTE Risk factor assessment </w:t>
            </w:r>
          </w:p>
        </w:tc>
        <w:tc>
          <w:tcPr>
            <w:tcW w:w="2296" w:type="dxa"/>
            <w:tcBorders>
              <w:top w:val="nil"/>
              <w:left w:val="nil"/>
              <w:bottom w:val="nil"/>
              <w:right w:val="nil"/>
            </w:tcBorders>
            <w:noWrap/>
            <w:vAlign w:val="bottom"/>
            <w:hideMark/>
          </w:tcPr>
          <w:p w14:paraId="54D24A56" w14:textId="77777777" w:rsidR="00987EE1" w:rsidRPr="00DE0255" w:rsidRDefault="00987EE1" w:rsidP="00606BC4">
            <w:pPr>
              <w:spacing w:after="0" w:line="240" w:lineRule="auto"/>
              <w:rPr>
                <w:rFonts w:ascii="Arial" w:eastAsia="Times New Roman" w:hAnsi="Arial" w:cs="Arial"/>
                <w:sz w:val="18"/>
                <w:szCs w:val="18"/>
              </w:rPr>
            </w:pPr>
          </w:p>
        </w:tc>
        <w:tc>
          <w:tcPr>
            <w:tcW w:w="2176" w:type="dxa"/>
            <w:tcBorders>
              <w:top w:val="nil"/>
              <w:left w:val="nil"/>
              <w:bottom w:val="nil"/>
              <w:right w:val="nil"/>
            </w:tcBorders>
            <w:noWrap/>
            <w:vAlign w:val="bottom"/>
            <w:hideMark/>
          </w:tcPr>
          <w:p w14:paraId="227AA84D" w14:textId="77777777" w:rsidR="00987EE1" w:rsidRPr="00DE0255" w:rsidRDefault="00987EE1" w:rsidP="00606BC4">
            <w:pPr>
              <w:spacing w:after="0" w:line="240" w:lineRule="auto"/>
              <w:rPr>
                <w:rFonts w:ascii="Arial" w:eastAsia="Times New Roman" w:hAnsi="Arial" w:cs="Arial"/>
                <w:sz w:val="18"/>
                <w:szCs w:val="18"/>
              </w:rPr>
            </w:pPr>
          </w:p>
        </w:tc>
      </w:tr>
      <w:tr w:rsidR="00987EE1" w:rsidRPr="00DE0255" w14:paraId="2FF4B40A" w14:textId="77777777" w:rsidTr="00606BC4">
        <w:trPr>
          <w:trHeight w:val="432"/>
        </w:trPr>
        <w:tc>
          <w:tcPr>
            <w:tcW w:w="2808" w:type="dxa"/>
            <w:tcBorders>
              <w:top w:val="nil"/>
              <w:left w:val="nil"/>
              <w:bottom w:val="nil"/>
              <w:right w:val="nil"/>
            </w:tcBorders>
            <w:noWrap/>
            <w:vAlign w:val="bottom"/>
            <w:hideMark/>
          </w:tcPr>
          <w:p w14:paraId="050DD5EB"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Low risk (Score = 0-2)</w:t>
            </w:r>
          </w:p>
        </w:tc>
        <w:tc>
          <w:tcPr>
            <w:tcW w:w="2296" w:type="dxa"/>
            <w:gridSpan w:val="2"/>
            <w:tcBorders>
              <w:top w:val="nil"/>
              <w:left w:val="nil"/>
              <w:bottom w:val="nil"/>
              <w:right w:val="nil"/>
            </w:tcBorders>
            <w:noWrap/>
            <w:vAlign w:val="bottom"/>
            <w:hideMark/>
          </w:tcPr>
          <w:p w14:paraId="7ED447F2"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5 (11.1%)</w:t>
            </w:r>
          </w:p>
        </w:tc>
        <w:tc>
          <w:tcPr>
            <w:tcW w:w="2296" w:type="dxa"/>
            <w:tcBorders>
              <w:top w:val="nil"/>
              <w:left w:val="nil"/>
              <w:bottom w:val="nil"/>
              <w:right w:val="nil"/>
            </w:tcBorders>
            <w:noWrap/>
            <w:vAlign w:val="bottom"/>
            <w:hideMark/>
          </w:tcPr>
          <w:p w14:paraId="30D91C3B"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w:t>
            </w:r>
          </w:p>
        </w:tc>
        <w:tc>
          <w:tcPr>
            <w:tcW w:w="2176" w:type="dxa"/>
            <w:tcBorders>
              <w:top w:val="nil"/>
              <w:left w:val="nil"/>
              <w:bottom w:val="nil"/>
              <w:right w:val="nil"/>
            </w:tcBorders>
            <w:noWrap/>
            <w:vAlign w:val="bottom"/>
            <w:hideMark/>
          </w:tcPr>
          <w:p w14:paraId="141CCD1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 xml:space="preserve">– </w:t>
            </w:r>
          </w:p>
        </w:tc>
      </w:tr>
      <w:tr w:rsidR="00987EE1" w:rsidRPr="00DE0255" w14:paraId="7A4962DE" w14:textId="77777777" w:rsidTr="00606BC4">
        <w:trPr>
          <w:trHeight w:val="432"/>
        </w:trPr>
        <w:tc>
          <w:tcPr>
            <w:tcW w:w="2808" w:type="dxa"/>
            <w:tcBorders>
              <w:top w:val="nil"/>
              <w:left w:val="nil"/>
              <w:bottom w:val="nil"/>
              <w:right w:val="nil"/>
            </w:tcBorders>
            <w:noWrap/>
            <w:vAlign w:val="bottom"/>
            <w:hideMark/>
          </w:tcPr>
          <w:p w14:paraId="59AB9E73"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Moderate risk (Score=3-4)</w:t>
            </w:r>
          </w:p>
        </w:tc>
        <w:tc>
          <w:tcPr>
            <w:tcW w:w="2296" w:type="dxa"/>
            <w:gridSpan w:val="2"/>
            <w:tcBorders>
              <w:top w:val="nil"/>
              <w:left w:val="nil"/>
              <w:bottom w:val="nil"/>
              <w:right w:val="nil"/>
            </w:tcBorders>
            <w:noWrap/>
            <w:vAlign w:val="bottom"/>
            <w:hideMark/>
          </w:tcPr>
          <w:p w14:paraId="27EA922C"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 (13.3%)</w:t>
            </w:r>
          </w:p>
        </w:tc>
        <w:tc>
          <w:tcPr>
            <w:tcW w:w="2296" w:type="dxa"/>
            <w:tcBorders>
              <w:top w:val="nil"/>
              <w:left w:val="nil"/>
              <w:bottom w:val="nil"/>
              <w:right w:val="nil"/>
            </w:tcBorders>
            <w:noWrap/>
            <w:vAlign w:val="bottom"/>
            <w:hideMark/>
          </w:tcPr>
          <w:p w14:paraId="6CF66724"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 (13.3%)</w:t>
            </w:r>
          </w:p>
        </w:tc>
        <w:tc>
          <w:tcPr>
            <w:tcW w:w="2176" w:type="dxa"/>
            <w:tcBorders>
              <w:top w:val="nil"/>
              <w:left w:val="nil"/>
              <w:bottom w:val="nil"/>
              <w:right w:val="nil"/>
            </w:tcBorders>
            <w:noWrap/>
            <w:vAlign w:val="bottom"/>
            <w:hideMark/>
          </w:tcPr>
          <w:p w14:paraId="43DFC305"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 xml:space="preserve">– </w:t>
            </w:r>
          </w:p>
        </w:tc>
      </w:tr>
      <w:tr w:rsidR="00987EE1" w:rsidRPr="00DE0255" w14:paraId="27A39433" w14:textId="77777777" w:rsidTr="00606BC4">
        <w:trPr>
          <w:trHeight w:val="432"/>
        </w:trPr>
        <w:tc>
          <w:tcPr>
            <w:tcW w:w="2808" w:type="dxa"/>
            <w:tcBorders>
              <w:top w:val="nil"/>
              <w:left w:val="nil"/>
              <w:bottom w:val="nil"/>
              <w:right w:val="nil"/>
            </w:tcBorders>
            <w:noWrap/>
            <w:vAlign w:val="bottom"/>
            <w:hideMark/>
          </w:tcPr>
          <w:p w14:paraId="6C62C67F"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lastRenderedPageBreak/>
              <w:t>High risk (Score ≥5)</w:t>
            </w:r>
          </w:p>
        </w:tc>
        <w:tc>
          <w:tcPr>
            <w:tcW w:w="2296" w:type="dxa"/>
            <w:gridSpan w:val="2"/>
            <w:tcBorders>
              <w:top w:val="nil"/>
              <w:left w:val="nil"/>
              <w:bottom w:val="nil"/>
              <w:right w:val="nil"/>
            </w:tcBorders>
            <w:noWrap/>
            <w:vAlign w:val="bottom"/>
            <w:hideMark/>
          </w:tcPr>
          <w:p w14:paraId="2465ED0D"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34 (75.6%)</w:t>
            </w:r>
          </w:p>
        </w:tc>
        <w:tc>
          <w:tcPr>
            <w:tcW w:w="2296" w:type="dxa"/>
            <w:tcBorders>
              <w:top w:val="nil"/>
              <w:left w:val="nil"/>
              <w:bottom w:val="nil"/>
              <w:right w:val="nil"/>
            </w:tcBorders>
            <w:noWrap/>
            <w:vAlign w:val="bottom"/>
            <w:hideMark/>
          </w:tcPr>
          <w:p w14:paraId="7543C96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39 (86.7%)</w:t>
            </w:r>
          </w:p>
        </w:tc>
        <w:tc>
          <w:tcPr>
            <w:tcW w:w="2176" w:type="dxa"/>
            <w:tcBorders>
              <w:top w:val="nil"/>
              <w:left w:val="nil"/>
              <w:bottom w:val="nil"/>
              <w:right w:val="nil"/>
            </w:tcBorders>
            <w:noWrap/>
            <w:vAlign w:val="bottom"/>
            <w:hideMark/>
          </w:tcPr>
          <w:p w14:paraId="4491C79C"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 xml:space="preserve">– </w:t>
            </w:r>
          </w:p>
        </w:tc>
      </w:tr>
      <w:tr w:rsidR="00987EE1" w:rsidRPr="00DE0255" w14:paraId="161FFCF2" w14:textId="77777777" w:rsidTr="00606BC4">
        <w:trPr>
          <w:trHeight w:val="432"/>
        </w:trPr>
        <w:tc>
          <w:tcPr>
            <w:tcW w:w="2808" w:type="dxa"/>
            <w:tcBorders>
              <w:top w:val="nil"/>
              <w:left w:val="nil"/>
              <w:bottom w:val="nil"/>
              <w:right w:val="nil"/>
            </w:tcBorders>
            <w:noWrap/>
            <w:vAlign w:val="bottom"/>
            <w:hideMark/>
          </w:tcPr>
          <w:p w14:paraId="49792AEA" w14:textId="77777777" w:rsidR="00987EE1" w:rsidRPr="00DE0255" w:rsidRDefault="00987EE1" w:rsidP="00606BC4">
            <w:pPr>
              <w:spacing w:after="0" w:line="240" w:lineRule="auto"/>
              <w:rPr>
                <w:rFonts w:ascii="Arial" w:eastAsia="Times New Roman" w:hAnsi="Arial" w:cs="Arial"/>
                <w:b/>
                <w:bCs/>
                <w:sz w:val="18"/>
                <w:szCs w:val="18"/>
              </w:rPr>
            </w:pPr>
            <w:r w:rsidRPr="00DE0255">
              <w:rPr>
                <w:rFonts w:ascii="Arial" w:eastAsia="Times New Roman" w:hAnsi="Arial" w:cs="Arial"/>
                <w:b/>
                <w:bCs/>
                <w:sz w:val="18"/>
                <w:szCs w:val="18"/>
              </w:rPr>
              <w:t>Laboratory parameters</w:t>
            </w:r>
          </w:p>
        </w:tc>
        <w:tc>
          <w:tcPr>
            <w:tcW w:w="2296" w:type="dxa"/>
            <w:gridSpan w:val="2"/>
            <w:tcBorders>
              <w:top w:val="nil"/>
              <w:left w:val="nil"/>
              <w:bottom w:val="nil"/>
              <w:right w:val="nil"/>
            </w:tcBorders>
            <w:noWrap/>
            <w:vAlign w:val="bottom"/>
            <w:hideMark/>
          </w:tcPr>
          <w:p w14:paraId="48702A4D" w14:textId="77777777" w:rsidR="00987EE1" w:rsidRPr="00DE0255" w:rsidRDefault="00987EE1" w:rsidP="00606BC4">
            <w:pPr>
              <w:spacing w:after="0" w:line="240" w:lineRule="auto"/>
              <w:jc w:val="center"/>
              <w:rPr>
                <w:rFonts w:ascii="Arial" w:eastAsia="Times New Roman" w:hAnsi="Arial" w:cs="Arial"/>
                <w:b/>
                <w:bCs/>
                <w:sz w:val="18"/>
                <w:szCs w:val="18"/>
              </w:rPr>
            </w:pPr>
            <w:r w:rsidRPr="00DE0255">
              <w:rPr>
                <w:rFonts w:ascii="Arial" w:eastAsia="Times New Roman" w:hAnsi="Arial" w:cs="Arial"/>
                <w:b/>
                <w:bCs/>
                <w:sz w:val="18"/>
                <w:szCs w:val="18"/>
              </w:rPr>
              <w:t>Median (IQR)</w:t>
            </w:r>
          </w:p>
        </w:tc>
        <w:tc>
          <w:tcPr>
            <w:tcW w:w="2296" w:type="dxa"/>
            <w:tcBorders>
              <w:top w:val="nil"/>
              <w:left w:val="nil"/>
              <w:bottom w:val="nil"/>
              <w:right w:val="nil"/>
            </w:tcBorders>
            <w:noWrap/>
            <w:vAlign w:val="bottom"/>
            <w:hideMark/>
          </w:tcPr>
          <w:p w14:paraId="121396E7" w14:textId="77777777" w:rsidR="00987EE1" w:rsidRPr="00DE0255" w:rsidRDefault="00987EE1" w:rsidP="00606BC4">
            <w:pPr>
              <w:spacing w:after="0" w:line="240" w:lineRule="auto"/>
              <w:jc w:val="center"/>
              <w:rPr>
                <w:rFonts w:ascii="Arial" w:eastAsia="Times New Roman" w:hAnsi="Arial" w:cs="Arial"/>
                <w:b/>
                <w:bCs/>
                <w:color w:val="FF0000"/>
                <w:sz w:val="18"/>
                <w:szCs w:val="18"/>
              </w:rPr>
            </w:pPr>
          </w:p>
        </w:tc>
        <w:tc>
          <w:tcPr>
            <w:tcW w:w="2176" w:type="dxa"/>
            <w:tcBorders>
              <w:top w:val="nil"/>
              <w:left w:val="nil"/>
              <w:bottom w:val="nil"/>
              <w:right w:val="nil"/>
            </w:tcBorders>
            <w:noWrap/>
            <w:vAlign w:val="bottom"/>
            <w:hideMark/>
          </w:tcPr>
          <w:p w14:paraId="1490E7F9" w14:textId="77777777" w:rsidR="00987EE1" w:rsidRPr="00DE0255" w:rsidRDefault="00987EE1" w:rsidP="00606BC4">
            <w:pPr>
              <w:spacing w:after="0" w:line="240" w:lineRule="auto"/>
              <w:rPr>
                <w:rFonts w:ascii="Arial" w:eastAsia="Times New Roman" w:hAnsi="Arial" w:cs="Arial"/>
                <w:color w:val="FF0000"/>
                <w:sz w:val="18"/>
                <w:szCs w:val="18"/>
              </w:rPr>
            </w:pPr>
          </w:p>
        </w:tc>
      </w:tr>
      <w:tr w:rsidR="00987EE1" w:rsidRPr="00DE0255" w14:paraId="44888BC5" w14:textId="77777777" w:rsidTr="00606BC4">
        <w:trPr>
          <w:trHeight w:val="432"/>
        </w:trPr>
        <w:tc>
          <w:tcPr>
            <w:tcW w:w="2808" w:type="dxa"/>
            <w:tcBorders>
              <w:top w:val="nil"/>
              <w:left w:val="nil"/>
              <w:bottom w:val="nil"/>
              <w:right w:val="nil"/>
            </w:tcBorders>
            <w:noWrap/>
            <w:vAlign w:val="bottom"/>
            <w:hideMark/>
          </w:tcPr>
          <w:p w14:paraId="6437A04F"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WBC (×10</w:t>
            </w:r>
            <w:r w:rsidRPr="00DE0255">
              <w:rPr>
                <w:rFonts w:ascii="Arial" w:eastAsia="Times New Roman" w:hAnsi="Arial" w:cs="Arial"/>
                <w:sz w:val="18"/>
                <w:szCs w:val="18"/>
                <w:vertAlign w:val="superscript"/>
              </w:rPr>
              <w:t>9</w:t>
            </w:r>
            <w:r w:rsidRPr="00DE0255">
              <w:rPr>
                <w:rFonts w:ascii="Arial" w:eastAsia="Times New Roman" w:hAnsi="Arial" w:cs="Arial"/>
                <w:sz w:val="18"/>
                <w:szCs w:val="18"/>
              </w:rPr>
              <w:t>/L)</w:t>
            </w:r>
          </w:p>
        </w:tc>
        <w:tc>
          <w:tcPr>
            <w:tcW w:w="2296" w:type="dxa"/>
            <w:gridSpan w:val="2"/>
            <w:tcBorders>
              <w:top w:val="nil"/>
              <w:left w:val="nil"/>
              <w:bottom w:val="nil"/>
              <w:right w:val="nil"/>
            </w:tcBorders>
            <w:noWrap/>
            <w:vAlign w:val="bottom"/>
          </w:tcPr>
          <w:p w14:paraId="450DF315"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6.2 (4.5 – 8.1)</w:t>
            </w:r>
          </w:p>
        </w:tc>
        <w:tc>
          <w:tcPr>
            <w:tcW w:w="2296" w:type="dxa"/>
            <w:tcBorders>
              <w:top w:val="nil"/>
              <w:left w:val="nil"/>
              <w:bottom w:val="nil"/>
              <w:right w:val="nil"/>
            </w:tcBorders>
            <w:noWrap/>
            <w:vAlign w:val="bottom"/>
          </w:tcPr>
          <w:p w14:paraId="43333430"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5.7 (4.2 – 7.8)</w:t>
            </w:r>
          </w:p>
        </w:tc>
        <w:tc>
          <w:tcPr>
            <w:tcW w:w="2176" w:type="dxa"/>
            <w:tcBorders>
              <w:top w:val="nil"/>
              <w:left w:val="nil"/>
              <w:bottom w:val="nil"/>
              <w:right w:val="nil"/>
            </w:tcBorders>
            <w:noWrap/>
            <w:vAlign w:val="bottom"/>
          </w:tcPr>
          <w:p w14:paraId="1E65DAD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4.8 (4.1 – 6.0)</w:t>
            </w:r>
          </w:p>
        </w:tc>
      </w:tr>
      <w:tr w:rsidR="00987EE1" w:rsidRPr="00DE0255" w14:paraId="18F32C04" w14:textId="77777777" w:rsidTr="00606BC4">
        <w:trPr>
          <w:trHeight w:val="432"/>
        </w:trPr>
        <w:tc>
          <w:tcPr>
            <w:tcW w:w="2808" w:type="dxa"/>
            <w:tcBorders>
              <w:top w:val="nil"/>
              <w:left w:val="nil"/>
              <w:bottom w:val="nil"/>
              <w:right w:val="nil"/>
            </w:tcBorders>
            <w:noWrap/>
            <w:vAlign w:val="bottom"/>
          </w:tcPr>
          <w:p w14:paraId="4566EA78"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 xml:space="preserve">HGB (g/dl) </w:t>
            </w:r>
          </w:p>
        </w:tc>
        <w:tc>
          <w:tcPr>
            <w:tcW w:w="2296" w:type="dxa"/>
            <w:gridSpan w:val="2"/>
            <w:tcBorders>
              <w:top w:val="nil"/>
              <w:left w:val="nil"/>
              <w:bottom w:val="nil"/>
              <w:right w:val="nil"/>
            </w:tcBorders>
            <w:noWrap/>
            <w:vAlign w:val="bottom"/>
          </w:tcPr>
          <w:p w14:paraId="183DD8A2"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11.4 (9.5 – 12.7)</w:t>
            </w:r>
          </w:p>
        </w:tc>
        <w:tc>
          <w:tcPr>
            <w:tcW w:w="2296" w:type="dxa"/>
            <w:tcBorders>
              <w:top w:val="nil"/>
              <w:left w:val="nil"/>
              <w:bottom w:val="nil"/>
              <w:right w:val="nil"/>
            </w:tcBorders>
            <w:noWrap/>
            <w:vAlign w:val="bottom"/>
          </w:tcPr>
          <w:p w14:paraId="17AC8CEE"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12.2 (11.0 – 14.0)</w:t>
            </w:r>
          </w:p>
        </w:tc>
        <w:tc>
          <w:tcPr>
            <w:tcW w:w="2176" w:type="dxa"/>
            <w:tcBorders>
              <w:top w:val="nil"/>
              <w:left w:val="nil"/>
              <w:bottom w:val="nil"/>
              <w:right w:val="nil"/>
            </w:tcBorders>
            <w:noWrap/>
            <w:vAlign w:val="bottom"/>
          </w:tcPr>
          <w:p w14:paraId="51A7444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12.3 (11.1 – 13.5)</w:t>
            </w:r>
          </w:p>
        </w:tc>
      </w:tr>
      <w:tr w:rsidR="00987EE1" w:rsidRPr="00DE0255" w14:paraId="371A4600" w14:textId="77777777" w:rsidTr="00606BC4">
        <w:trPr>
          <w:trHeight w:val="432"/>
        </w:trPr>
        <w:tc>
          <w:tcPr>
            <w:tcW w:w="2808" w:type="dxa"/>
            <w:tcBorders>
              <w:top w:val="nil"/>
              <w:left w:val="nil"/>
              <w:bottom w:val="nil"/>
              <w:right w:val="nil"/>
            </w:tcBorders>
            <w:noWrap/>
            <w:vAlign w:val="bottom"/>
            <w:hideMark/>
          </w:tcPr>
          <w:p w14:paraId="43EC4F39"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PLT (×10</w:t>
            </w:r>
            <w:r w:rsidRPr="00DE0255">
              <w:rPr>
                <w:rFonts w:ascii="Arial" w:eastAsia="Times New Roman" w:hAnsi="Arial" w:cs="Arial"/>
                <w:sz w:val="18"/>
                <w:szCs w:val="18"/>
                <w:vertAlign w:val="superscript"/>
              </w:rPr>
              <w:t>9</w:t>
            </w:r>
            <w:r w:rsidRPr="00DE0255">
              <w:rPr>
                <w:rFonts w:ascii="Arial" w:eastAsia="Times New Roman" w:hAnsi="Arial" w:cs="Arial"/>
                <w:sz w:val="18"/>
                <w:szCs w:val="18"/>
              </w:rPr>
              <w:t>/L)</w:t>
            </w:r>
          </w:p>
        </w:tc>
        <w:tc>
          <w:tcPr>
            <w:tcW w:w="2296" w:type="dxa"/>
            <w:gridSpan w:val="2"/>
            <w:tcBorders>
              <w:top w:val="nil"/>
              <w:left w:val="nil"/>
              <w:bottom w:val="nil"/>
              <w:right w:val="nil"/>
            </w:tcBorders>
            <w:noWrap/>
            <w:vAlign w:val="bottom"/>
          </w:tcPr>
          <w:p w14:paraId="5BA81945"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255.5 (181 – 326)</w:t>
            </w:r>
          </w:p>
        </w:tc>
        <w:tc>
          <w:tcPr>
            <w:tcW w:w="2296" w:type="dxa"/>
            <w:tcBorders>
              <w:top w:val="nil"/>
              <w:left w:val="nil"/>
              <w:bottom w:val="nil"/>
              <w:right w:val="nil"/>
            </w:tcBorders>
            <w:noWrap/>
            <w:vAlign w:val="bottom"/>
          </w:tcPr>
          <w:p w14:paraId="5ADE448E"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220 (166 – 285)</w:t>
            </w:r>
          </w:p>
        </w:tc>
        <w:tc>
          <w:tcPr>
            <w:tcW w:w="2176" w:type="dxa"/>
            <w:tcBorders>
              <w:top w:val="nil"/>
              <w:left w:val="nil"/>
              <w:bottom w:val="nil"/>
              <w:right w:val="nil"/>
            </w:tcBorders>
            <w:noWrap/>
            <w:vAlign w:val="bottom"/>
          </w:tcPr>
          <w:p w14:paraId="1BF8E949"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218 (186.5 – 271)</w:t>
            </w:r>
          </w:p>
        </w:tc>
      </w:tr>
      <w:tr w:rsidR="00987EE1" w:rsidRPr="00DE0255" w14:paraId="3AA458D2" w14:textId="77777777" w:rsidTr="00606BC4">
        <w:trPr>
          <w:trHeight w:val="432"/>
        </w:trPr>
        <w:tc>
          <w:tcPr>
            <w:tcW w:w="2808" w:type="dxa"/>
            <w:tcBorders>
              <w:top w:val="nil"/>
              <w:left w:val="nil"/>
              <w:bottom w:val="nil"/>
              <w:right w:val="nil"/>
            </w:tcBorders>
            <w:noWrap/>
            <w:vAlign w:val="bottom"/>
            <w:hideMark/>
          </w:tcPr>
          <w:p w14:paraId="05FC357C"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MPV (fl)</w:t>
            </w:r>
          </w:p>
        </w:tc>
        <w:tc>
          <w:tcPr>
            <w:tcW w:w="2296" w:type="dxa"/>
            <w:gridSpan w:val="2"/>
            <w:tcBorders>
              <w:top w:val="nil"/>
              <w:left w:val="nil"/>
              <w:bottom w:val="nil"/>
              <w:right w:val="nil"/>
            </w:tcBorders>
            <w:noWrap/>
            <w:vAlign w:val="bottom"/>
          </w:tcPr>
          <w:p w14:paraId="379C947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8.2 (7.7 – 8.7)</w:t>
            </w:r>
          </w:p>
        </w:tc>
        <w:tc>
          <w:tcPr>
            <w:tcW w:w="2296" w:type="dxa"/>
            <w:tcBorders>
              <w:top w:val="nil"/>
              <w:left w:val="nil"/>
              <w:bottom w:val="nil"/>
              <w:right w:val="nil"/>
            </w:tcBorders>
            <w:noWrap/>
            <w:vAlign w:val="bottom"/>
          </w:tcPr>
          <w:p w14:paraId="0CF85879"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7.7 (7.4 – 8.7)</w:t>
            </w:r>
          </w:p>
        </w:tc>
        <w:tc>
          <w:tcPr>
            <w:tcW w:w="2176" w:type="dxa"/>
            <w:tcBorders>
              <w:top w:val="nil"/>
              <w:left w:val="nil"/>
              <w:bottom w:val="nil"/>
              <w:right w:val="nil"/>
            </w:tcBorders>
            <w:noWrap/>
            <w:vAlign w:val="bottom"/>
          </w:tcPr>
          <w:p w14:paraId="2E66D91F"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8.6 (8.4 – 9.2)</w:t>
            </w:r>
          </w:p>
        </w:tc>
      </w:tr>
      <w:tr w:rsidR="00987EE1" w:rsidRPr="00DE0255" w14:paraId="6A17602E" w14:textId="77777777" w:rsidTr="00606BC4">
        <w:trPr>
          <w:trHeight w:val="432"/>
        </w:trPr>
        <w:tc>
          <w:tcPr>
            <w:tcW w:w="2808" w:type="dxa"/>
            <w:tcBorders>
              <w:top w:val="nil"/>
              <w:left w:val="nil"/>
              <w:bottom w:val="nil"/>
              <w:right w:val="nil"/>
            </w:tcBorders>
            <w:noWrap/>
            <w:vAlign w:val="bottom"/>
            <w:hideMark/>
          </w:tcPr>
          <w:p w14:paraId="4DF052F8"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PCT (%)</w:t>
            </w:r>
          </w:p>
        </w:tc>
        <w:tc>
          <w:tcPr>
            <w:tcW w:w="2296" w:type="dxa"/>
            <w:gridSpan w:val="2"/>
            <w:tcBorders>
              <w:top w:val="nil"/>
              <w:left w:val="nil"/>
              <w:bottom w:val="nil"/>
              <w:right w:val="nil"/>
            </w:tcBorders>
            <w:noWrap/>
            <w:vAlign w:val="bottom"/>
          </w:tcPr>
          <w:p w14:paraId="17ABD66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0.20 (0.17 – 0.26)</w:t>
            </w:r>
          </w:p>
        </w:tc>
        <w:tc>
          <w:tcPr>
            <w:tcW w:w="2296" w:type="dxa"/>
            <w:tcBorders>
              <w:top w:val="nil"/>
              <w:left w:val="nil"/>
              <w:bottom w:val="nil"/>
              <w:right w:val="nil"/>
            </w:tcBorders>
            <w:noWrap/>
            <w:vAlign w:val="bottom"/>
          </w:tcPr>
          <w:p w14:paraId="364CECE2"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0.18 (0.14 – 0.23)</w:t>
            </w:r>
          </w:p>
        </w:tc>
        <w:tc>
          <w:tcPr>
            <w:tcW w:w="2176" w:type="dxa"/>
            <w:tcBorders>
              <w:top w:val="nil"/>
              <w:left w:val="nil"/>
              <w:bottom w:val="nil"/>
              <w:right w:val="nil"/>
            </w:tcBorders>
            <w:noWrap/>
            <w:vAlign w:val="bottom"/>
          </w:tcPr>
          <w:p w14:paraId="40286E2C"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0.19 (0.16 – 0.23)</w:t>
            </w:r>
          </w:p>
        </w:tc>
      </w:tr>
      <w:tr w:rsidR="00987EE1" w:rsidRPr="00DE0255" w14:paraId="10F15EE4" w14:textId="77777777" w:rsidTr="00606BC4">
        <w:trPr>
          <w:trHeight w:val="432"/>
        </w:trPr>
        <w:tc>
          <w:tcPr>
            <w:tcW w:w="2808" w:type="dxa"/>
            <w:tcBorders>
              <w:top w:val="nil"/>
              <w:left w:val="nil"/>
              <w:bottom w:val="nil"/>
              <w:right w:val="nil"/>
            </w:tcBorders>
            <w:noWrap/>
            <w:vAlign w:val="bottom"/>
            <w:hideMark/>
          </w:tcPr>
          <w:p w14:paraId="1DD1A885"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PDW (fl)</w:t>
            </w:r>
          </w:p>
        </w:tc>
        <w:tc>
          <w:tcPr>
            <w:tcW w:w="2296" w:type="dxa"/>
            <w:gridSpan w:val="2"/>
            <w:tcBorders>
              <w:top w:val="nil"/>
              <w:left w:val="nil"/>
              <w:bottom w:val="nil"/>
              <w:right w:val="nil"/>
            </w:tcBorders>
            <w:noWrap/>
            <w:vAlign w:val="bottom"/>
          </w:tcPr>
          <w:p w14:paraId="0F3AA7B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13.3 (12.1 – 14.5)</w:t>
            </w:r>
          </w:p>
        </w:tc>
        <w:tc>
          <w:tcPr>
            <w:tcW w:w="2296" w:type="dxa"/>
            <w:tcBorders>
              <w:top w:val="nil"/>
              <w:left w:val="nil"/>
              <w:bottom w:val="nil"/>
              <w:right w:val="nil"/>
            </w:tcBorders>
            <w:noWrap/>
            <w:vAlign w:val="bottom"/>
          </w:tcPr>
          <w:p w14:paraId="5840260A"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13.0 (11.2 – 14.3)</w:t>
            </w:r>
          </w:p>
        </w:tc>
        <w:tc>
          <w:tcPr>
            <w:tcW w:w="2176" w:type="dxa"/>
            <w:tcBorders>
              <w:top w:val="nil"/>
              <w:left w:val="nil"/>
              <w:bottom w:val="nil"/>
              <w:right w:val="nil"/>
            </w:tcBorders>
            <w:noWrap/>
            <w:vAlign w:val="bottom"/>
          </w:tcPr>
          <w:p w14:paraId="3000275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14.4 (14.0 – 15.2)</w:t>
            </w:r>
          </w:p>
        </w:tc>
      </w:tr>
      <w:tr w:rsidR="00987EE1" w:rsidRPr="00DE0255" w14:paraId="739CB2C0" w14:textId="77777777" w:rsidTr="00606BC4">
        <w:trPr>
          <w:trHeight w:val="432"/>
        </w:trPr>
        <w:tc>
          <w:tcPr>
            <w:tcW w:w="2808" w:type="dxa"/>
            <w:tcBorders>
              <w:top w:val="nil"/>
              <w:left w:val="nil"/>
              <w:right w:val="nil"/>
            </w:tcBorders>
            <w:noWrap/>
            <w:vAlign w:val="bottom"/>
            <w:hideMark/>
          </w:tcPr>
          <w:p w14:paraId="16D20C19"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PLCR (%)</w:t>
            </w:r>
          </w:p>
        </w:tc>
        <w:tc>
          <w:tcPr>
            <w:tcW w:w="2296" w:type="dxa"/>
            <w:gridSpan w:val="2"/>
            <w:tcBorders>
              <w:top w:val="nil"/>
              <w:left w:val="nil"/>
              <w:right w:val="nil"/>
            </w:tcBorders>
            <w:noWrap/>
            <w:vAlign w:val="bottom"/>
          </w:tcPr>
          <w:p w14:paraId="1326E890"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13.2 (11.2 – 16.2)</w:t>
            </w:r>
          </w:p>
        </w:tc>
        <w:tc>
          <w:tcPr>
            <w:tcW w:w="2296" w:type="dxa"/>
            <w:tcBorders>
              <w:top w:val="nil"/>
              <w:left w:val="nil"/>
              <w:right w:val="nil"/>
            </w:tcBorders>
            <w:noWrap/>
            <w:vAlign w:val="bottom"/>
          </w:tcPr>
          <w:p w14:paraId="56B488BE"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11.3 (7.4 – 18.6)</w:t>
            </w:r>
          </w:p>
        </w:tc>
        <w:tc>
          <w:tcPr>
            <w:tcW w:w="2176" w:type="dxa"/>
            <w:tcBorders>
              <w:top w:val="nil"/>
              <w:left w:val="nil"/>
              <w:right w:val="nil"/>
            </w:tcBorders>
            <w:noWrap/>
            <w:vAlign w:val="bottom"/>
          </w:tcPr>
          <w:p w14:paraId="66EED636"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16.7 (14.1 – 19.8)</w:t>
            </w:r>
          </w:p>
        </w:tc>
      </w:tr>
      <w:tr w:rsidR="00987EE1" w:rsidRPr="00DE0255" w14:paraId="64FC3059" w14:textId="77777777" w:rsidTr="00606BC4">
        <w:trPr>
          <w:trHeight w:val="432"/>
        </w:trPr>
        <w:tc>
          <w:tcPr>
            <w:tcW w:w="2808" w:type="dxa"/>
            <w:tcBorders>
              <w:top w:val="nil"/>
              <w:left w:val="nil"/>
              <w:bottom w:val="nil"/>
              <w:right w:val="nil"/>
            </w:tcBorders>
            <w:noWrap/>
            <w:vAlign w:val="bottom"/>
            <w:hideMark/>
          </w:tcPr>
          <w:p w14:paraId="5D82677C"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D-dimer (ng/ml)</w:t>
            </w:r>
          </w:p>
        </w:tc>
        <w:tc>
          <w:tcPr>
            <w:tcW w:w="2296" w:type="dxa"/>
            <w:gridSpan w:val="2"/>
            <w:tcBorders>
              <w:top w:val="nil"/>
              <w:left w:val="nil"/>
              <w:bottom w:val="nil"/>
              <w:right w:val="nil"/>
            </w:tcBorders>
            <w:noWrap/>
            <w:vAlign w:val="bottom"/>
          </w:tcPr>
          <w:p w14:paraId="6EC8E41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275 (131.9 – 767.7)</w:t>
            </w:r>
          </w:p>
        </w:tc>
        <w:tc>
          <w:tcPr>
            <w:tcW w:w="2296" w:type="dxa"/>
            <w:tcBorders>
              <w:top w:val="nil"/>
              <w:left w:val="nil"/>
              <w:bottom w:val="nil"/>
              <w:right w:val="nil"/>
            </w:tcBorders>
            <w:noWrap/>
            <w:vAlign w:val="bottom"/>
          </w:tcPr>
          <w:p w14:paraId="2BE2998D"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490.2 (133.2 – 881.6)</w:t>
            </w:r>
          </w:p>
        </w:tc>
        <w:tc>
          <w:tcPr>
            <w:tcW w:w="2176" w:type="dxa"/>
            <w:tcBorders>
              <w:top w:val="nil"/>
              <w:left w:val="nil"/>
              <w:bottom w:val="nil"/>
              <w:right w:val="nil"/>
            </w:tcBorders>
            <w:noWrap/>
            <w:vAlign w:val="bottom"/>
          </w:tcPr>
          <w:p w14:paraId="2F297863"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117 (78.8</w:t>
            </w:r>
            <w:r w:rsidRPr="00DE0255">
              <w:rPr>
                <w:rFonts w:ascii="Arial" w:hAnsi="Arial" w:cs="Arial"/>
                <w:color w:val="000000"/>
                <w:sz w:val="18"/>
                <w:szCs w:val="18"/>
              </w:rPr>
              <w:t xml:space="preserve"> – 164.3</w:t>
            </w:r>
            <w:r w:rsidRPr="00DE0255">
              <w:rPr>
                <w:rFonts w:ascii="Arial" w:eastAsia="Times New Roman" w:hAnsi="Arial" w:cs="Arial"/>
                <w:sz w:val="18"/>
                <w:szCs w:val="18"/>
              </w:rPr>
              <w:t>)</w:t>
            </w:r>
          </w:p>
        </w:tc>
      </w:tr>
      <w:tr w:rsidR="00987EE1" w:rsidRPr="00DE0255" w14:paraId="36A1E900" w14:textId="77777777" w:rsidTr="00606BC4">
        <w:trPr>
          <w:trHeight w:val="432"/>
        </w:trPr>
        <w:tc>
          <w:tcPr>
            <w:tcW w:w="2808" w:type="dxa"/>
            <w:tcBorders>
              <w:top w:val="nil"/>
              <w:left w:val="nil"/>
              <w:bottom w:val="single" w:sz="4" w:space="0" w:color="auto"/>
              <w:right w:val="nil"/>
            </w:tcBorders>
            <w:noWrap/>
            <w:vAlign w:val="bottom"/>
            <w:hideMark/>
          </w:tcPr>
          <w:p w14:paraId="39D7C3FD" w14:textId="77777777" w:rsidR="00987EE1" w:rsidRPr="00DE0255" w:rsidRDefault="00987EE1" w:rsidP="00606BC4">
            <w:pPr>
              <w:spacing w:after="0" w:line="240" w:lineRule="auto"/>
              <w:rPr>
                <w:rFonts w:ascii="Arial" w:eastAsia="Times New Roman" w:hAnsi="Arial" w:cs="Arial"/>
                <w:sz w:val="18"/>
                <w:szCs w:val="18"/>
              </w:rPr>
            </w:pPr>
            <w:r w:rsidRPr="00DE0255">
              <w:rPr>
                <w:rFonts w:ascii="Arial" w:eastAsia="Times New Roman" w:hAnsi="Arial" w:cs="Arial"/>
                <w:sz w:val="18"/>
                <w:szCs w:val="18"/>
              </w:rPr>
              <w:t>LA</w:t>
            </w:r>
          </w:p>
        </w:tc>
        <w:tc>
          <w:tcPr>
            <w:tcW w:w="2296" w:type="dxa"/>
            <w:gridSpan w:val="2"/>
            <w:tcBorders>
              <w:top w:val="nil"/>
              <w:left w:val="nil"/>
              <w:bottom w:val="single" w:sz="4" w:space="0" w:color="auto"/>
              <w:right w:val="nil"/>
            </w:tcBorders>
            <w:noWrap/>
            <w:vAlign w:val="bottom"/>
          </w:tcPr>
          <w:p w14:paraId="25868BD7"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 xml:space="preserve">0.52 (0.48 – 0.57) </w:t>
            </w:r>
          </w:p>
        </w:tc>
        <w:tc>
          <w:tcPr>
            <w:tcW w:w="2296" w:type="dxa"/>
            <w:tcBorders>
              <w:top w:val="nil"/>
              <w:left w:val="nil"/>
              <w:bottom w:val="single" w:sz="4" w:space="0" w:color="auto"/>
              <w:right w:val="nil"/>
            </w:tcBorders>
            <w:noWrap/>
            <w:vAlign w:val="bottom"/>
          </w:tcPr>
          <w:p w14:paraId="35AF8329"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0.48 (0.45 – 0.55)</w:t>
            </w:r>
          </w:p>
        </w:tc>
        <w:tc>
          <w:tcPr>
            <w:tcW w:w="2176" w:type="dxa"/>
            <w:tcBorders>
              <w:top w:val="nil"/>
              <w:left w:val="nil"/>
              <w:bottom w:val="single" w:sz="4" w:space="0" w:color="auto"/>
              <w:right w:val="nil"/>
            </w:tcBorders>
            <w:noWrap/>
            <w:vAlign w:val="bottom"/>
          </w:tcPr>
          <w:p w14:paraId="29477D62" w14:textId="77777777" w:rsidR="00987EE1" w:rsidRPr="00DE0255" w:rsidRDefault="00987EE1" w:rsidP="00606BC4">
            <w:pPr>
              <w:spacing w:after="0" w:line="240" w:lineRule="auto"/>
              <w:jc w:val="center"/>
              <w:rPr>
                <w:rFonts w:ascii="Arial" w:eastAsia="Times New Roman" w:hAnsi="Arial" w:cs="Arial"/>
                <w:sz w:val="18"/>
                <w:szCs w:val="18"/>
              </w:rPr>
            </w:pPr>
            <w:r w:rsidRPr="00DE0255">
              <w:rPr>
                <w:rFonts w:ascii="Arial" w:eastAsia="Times New Roman" w:hAnsi="Arial" w:cs="Arial"/>
                <w:sz w:val="18"/>
                <w:szCs w:val="18"/>
              </w:rPr>
              <w:t xml:space="preserve"> – </w:t>
            </w:r>
          </w:p>
        </w:tc>
      </w:tr>
    </w:tbl>
    <w:p w14:paraId="7C747B04" w14:textId="77777777" w:rsidR="00F868F5" w:rsidRPr="00DE0255" w:rsidRDefault="00F868F5" w:rsidP="00F868F5">
      <w:pPr>
        <w:spacing w:after="0" w:line="240" w:lineRule="auto"/>
        <w:jc w:val="both"/>
        <w:rPr>
          <w:rFonts w:ascii="Arial" w:eastAsia="Times New Roman" w:hAnsi="Arial" w:cs="Arial"/>
          <w:sz w:val="18"/>
          <w:szCs w:val="18"/>
        </w:rPr>
      </w:pPr>
      <w:r w:rsidRPr="00DE0255">
        <w:rPr>
          <w:rFonts w:ascii="Arial" w:eastAsia="Times New Roman" w:hAnsi="Arial" w:cs="Arial"/>
          <w:sz w:val="18"/>
          <w:szCs w:val="18"/>
        </w:rPr>
        <w:t xml:space="preserve">Result reported as Frequency and percentage for qualitative data, Median (IQR – Interquartile range) for quantitative data, * Median difference significant at p≤0.05, </w:t>
      </w:r>
      <w:r w:rsidRPr="00DE0255">
        <w:rPr>
          <w:rFonts w:ascii="Arial" w:eastAsia="Times New Roman" w:hAnsi="Arial" w:cs="Arial"/>
          <w:sz w:val="18"/>
          <w:szCs w:val="18"/>
          <w:vertAlign w:val="superscript"/>
        </w:rPr>
        <w:t xml:space="preserve">a </w:t>
      </w:r>
      <w:r w:rsidRPr="00DE0255">
        <w:rPr>
          <w:rFonts w:ascii="Arial" w:eastAsia="Times New Roman" w:hAnsi="Arial" w:cs="Arial"/>
          <w:sz w:val="18"/>
          <w:szCs w:val="18"/>
        </w:rPr>
        <w:t>– media</w:t>
      </w:r>
      <w:r w:rsidRPr="00DE0255">
        <w:rPr>
          <w:rFonts w:ascii="Arial" w:hAnsi="Arial" w:cs="Arial"/>
          <w:sz w:val="18"/>
          <w:szCs w:val="18"/>
        </w:rPr>
        <w:t>n</w:t>
      </w:r>
      <w:r w:rsidRPr="00DE0255">
        <w:rPr>
          <w:rFonts w:ascii="Arial" w:eastAsia="Times New Roman" w:hAnsi="Arial" w:cs="Arial"/>
          <w:sz w:val="18"/>
          <w:szCs w:val="18"/>
        </w:rPr>
        <w:t xml:space="preserve"> significantly different compared with control subject at p≤0.05, </w:t>
      </w:r>
      <w:r w:rsidRPr="00DE0255">
        <w:rPr>
          <w:rFonts w:ascii="Arial" w:eastAsia="Times New Roman" w:hAnsi="Arial" w:cs="Arial"/>
          <w:sz w:val="18"/>
          <w:szCs w:val="18"/>
          <w:vertAlign w:val="superscript"/>
        </w:rPr>
        <w:t xml:space="preserve">b </w:t>
      </w:r>
      <w:r w:rsidRPr="00DE0255">
        <w:rPr>
          <w:rFonts w:ascii="Arial" w:eastAsia="Times New Roman" w:hAnsi="Arial" w:cs="Arial"/>
          <w:sz w:val="18"/>
          <w:szCs w:val="18"/>
        </w:rPr>
        <w:t>– median significantly different compared with surgical patients at p≤0.05</w:t>
      </w:r>
    </w:p>
    <w:p w14:paraId="1BA03660" w14:textId="77777777" w:rsidR="00F868F5" w:rsidRPr="00DE0255" w:rsidRDefault="00F868F5" w:rsidP="00F868F5">
      <w:pPr>
        <w:jc w:val="both"/>
        <w:rPr>
          <w:rFonts w:ascii="Arial" w:eastAsia="Times New Roman" w:hAnsi="Arial" w:cs="Arial"/>
          <w:sz w:val="18"/>
          <w:szCs w:val="18"/>
        </w:rPr>
      </w:pPr>
      <w:r w:rsidRPr="00DE0255">
        <w:rPr>
          <w:rFonts w:ascii="Arial" w:eastAsia="Times New Roman" w:hAnsi="Arial" w:cs="Arial"/>
          <w:sz w:val="18"/>
          <w:szCs w:val="18"/>
        </w:rPr>
        <w:t xml:space="preserve">BMI – Body Mass Index, VTE – Venous </w:t>
      </w:r>
      <w:r w:rsidRPr="00DE0255">
        <w:rPr>
          <w:rFonts w:ascii="Arial" w:hAnsi="Arial" w:cs="Arial"/>
          <w:sz w:val="18"/>
          <w:szCs w:val="18"/>
        </w:rPr>
        <w:t>thromboembolism,</w:t>
      </w:r>
      <w:r w:rsidRPr="00DE0255">
        <w:rPr>
          <w:rFonts w:ascii="Arial" w:eastAsia="Times New Roman" w:hAnsi="Arial" w:cs="Arial"/>
          <w:sz w:val="18"/>
          <w:szCs w:val="18"/>
        </w:rPr>
        <w:t xml:space="preserve"> HGB – Haemoglobin, WBC – White blood cell, PLT – Platelet, MPV – Mean platelet volume, PCT – Plateletcrit, PDW – Platelet volume distribution width, PLCR – Platelet larger cell ratio, LA – Lupus anticoagulant</w:t>
      </w:r>
    </w:p>
    <w:p w14:paraId="6C52C655" w14:textId="77777777" w:rsidR="00987EE1" w:rsidRDefault="00987EE1" w:rsidP="002E31E9"/>
    <w:p w14:paraId="2513DF73" w14:textId="380BE356" w:rsidR="00F868F5" w:rsidRPr="00D90404" w:rsidRDefault="00D90404" w:rsidP="00D90404">
      <w:pPr>
        <w:jc w:val="both"/>
        <w:rPr>
          <w:rFonts w:ascii="Arial" w:hAnsi="Arial" w:cs="Arial"/>
        </w:rPr>
      </w:pPr>
      <w:r w:rsidRPr="00D90404">
        <w:rPr>
          <w:rFonts w:ascii="Arial" w:hAnsi="Arial" w:cs="Arial"/>
        </w:rPr>
        <w:t>The results showed that among all complete blood count parameters assessed, only the median eosinophil count demonstrated a statistically significant difference (p &lt; 0.05). Patients classified as low risk exhibited significantly higher median eosinophil levels compared with those in the moderate- and high-risk categories. With respect to D-dimer levels, the median value in patients with moderate risk was significantly higher (p &lt; 0.05) than that observed in patients with high risk. Additionally, patients in the low-risk category had a significantly lower median D-dimer level (p &lt; 0.05) compared with those in the moderate-risk group. No statistically significant difference was observed in lupus anticoagulant levels across the risk categories (p &gt; 0.05).</w:t>
      </w:r>
    </w:p>
    <w:p w14:paraId="067001C4" w14:textId="77777777" w:rsidR="002E31E9" w:rsidRDefault="002E31E9" w:rsidP="002E31E9"/>
    <w:p w14:paraId="12007E85" w14:textId="77777777" w:rsidR="002E31E9" w:rsidRDefault="002E31E9" w:rsidP="002E31E9">
      <w:r w:rsidRPr="00BC74EE">
        <w:rPr>
          <w:rFonts w:ascii="Times New Roman" w:hAnsi="Times New Roman" w:cs="Times New Roman"/>
          <w:noProof/>
        </w:rPr>
        <w:drawing>
          <wp:inline distT="0" distB="0" distL="0" distR="0" wp14:anchorId="319756AF" wp14:editId="15E55443">
            <wp:extent cx="5314950" cy="19145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8025E47" w14:textId="77777777" w:rsidR="002E31E9" w:rsidRDefault="002E31E9" w:rsidP="002E31E9"/>
    <w:p w14:paraId="56B3F5FA" w14:textId="77777777" w:rsidR="00CC0480" w:rsidRPr="00CC0480" w:rsidRDefault="00CC0480" w:rsidP="00CC0480">
      <w:pPr>
        <w:spacing w:line="360" w:lineRule="auto"/>
        <w:jc w:val="both"/>
        <w:rPr>
          <w:rFonts w:ascii="Arial" w:eastAsia="Times New Roman" w:hAnsi="Arial" w:cs="Arial"/>
          <w:lang/>
        </w:rPr>
      </w:pPr>
      <w:r w:rsidRPr="00CC0480">
        <w:rPr>
          <w:rFonts w:ascii="Arial" w:eastAsia="Times New Roman" w:hAnsi="Arial" w:cs="Arial"/>
          <w:lang/>
        </w:rPr>
        <w:t>To examine the relationship between the assayed parameters and VTE risk, correlation analyses were performed (Table 1). In the overall patient population, only mean corpuscular haemoglobin concentration (MCHC) showed a statistically significant inverse correlation with VTE risk (ρ = −0.216, p = 0.041). When medical patients were analysed separately, MCHC similarly demonstrated a significant inverse correlation with VTE risk (ρ = −0.352, p = 0.018). Among surgical patients, red blood cell (RBC) count showed a significant positive correlation with VTE risk (ρ = 0.350, p = 0.018), while haemoglobin (HGB) exhibited a significant negative correlation (ρ = −0.416, p = 0.005).</w:t>
      </w:r>
    </w:p>
    <w:p w14:paraId="50F04D63" w14:textId="77777777" w:rsidR="00CC0480" w:rsidRPr="00CC0480" w:rsidRDefault="00CC0480" w:rsidP="00CC0480">
      <w:pPr>
        <w:spacing w:line="360" w:lineRule="auto"/>
        <w:jc w:val="both"/>
        <w:rPr>
          <w:rFonts w:ascii="Arial" w:eastAsia="Times New Roman" w:hAnsi="Arial" w:cs="Arial"/>
          <w:lang/>
        </w:rPr>
      </w:pPr>
      <w:r w:rsidRPr="00CC0480">
        <w:rPr>
          <w:rFonts w:ascii="Arial" w:eastAsia="Times New Roman" w:hAnsi="Arial" w:cs="Arial"/>
          <w:lang/>
        </w:rPr>
        <w:t>Binary logistic regression was subsequently used to evaluate the associations of complete blood count parameters, D-dimer, and lupus anticoagulant (LA) with high VTE risk compared with low/moderate risk. Multivariate models were further adjusted for sex, age, body mass index, and ABO blood group. Univariate and multivariate results are presented in Tables 2–4.</w:t>
      </w:r>
    </w:p>
    <w:p w14:paraId="2DD5B970" w14:textId="77777777" w:rsidR="00CC0480" w:rsidRPr="00CC0480" w:rsidRDefault="00CC0480" w:rsidP="00CC0480">
      <w:pPr>
        <w:spacing w:line="360" w:lineRule="auto"/>
        <w:jc w:val="both"/>
        <w:rPr>
          <w:rFonts w:ascii="Arial" w:eastAsia="Times New Roman" w:hAnsi="Arial" w:cs="Arial"/>
          <w:lang/>
        </w:rPr>
      </w:pPr>
      <w:r w:rsidRPr="00CC0480">
        <w:rPr>
          <w:rFonts w:ascii="Arial" w:eastAsia="Times New Roman" w:hAnsi="Arial" w:cs="Arial"/>
          <w:lang/>
        </w:rPr>
        <w:t>In the overall population (Table 2), only MCHC showed a significant univariate association with high VTE risk (OR: 0.54, 95% CI: 0.30–0.98, p = 0.044). This association remained significant after adjustment (OR: 0.39, 95% CI: 0.18–0.86, p = 0.020), along with lymphocyte count (OR: 0.36, 95% CI: 0.14–0.94, p = 0.037).</w:t>
      </w:r>
    </w:p>
    <w:p w14:paraId="7B37DBCB" w14:textId="77777777" w:rsidR="00CC0480" w:rsidRPr="00CC0480" w:rsidRDefault="00CC0480" w:rsidP="00CC0480">
      <w:pPr>
        <w:spacing w:line="360" w:lineRule="auto"/>
        <w:jc w:val="both"/>
        <w:rPr>
          <w:rFonts w:ascii="Arial" w:eastAsia="Times New Roman" w:hAnsi="Arial" w:cs="Arial"/>
          <w:lang/>
        </w:rPr>
      </w:pPr>
      <w:r w:rsidRPr="00CC0480">
        <w:rPr>
          <w:rFonts w:ascii="Arial" w:eastAsia="Times New Roman" w:hAnsi="Arial" w:cs="Arial"/>
          <w:lang/>
        </w:rPr>
        <w:t>Among medical patients (Table 3), significant univariate associations with high VTE risk were observed for MCHC, RBC count, and D-dimer (p &lt; 0.05). These associations persisted in the multivariate model for MCHC (OR: 0.01, 95% CI: 0.01–0.71, p = 0.022), RBC (OR: 6.09, 95% CI: 1.09–34.06, p = 0.040), and D-dimer (p = 0.045). Additional significant associations were observed for lymphocyte count, plateletcrit (PCT), and LA.</w:t>
      </w:r>
    </w:p>
    <w:p w14:paraId="28F80058" w14:textId="77777777" w:rsidR="00CC0480" w:rsidRPr="00CC0480" w:rsidRDefault="00CC0480" w:rsidP="00CC0480">
      <w:pPr>
        <w:spacing w:line="360" w:lineRule="auto"/>
        <w:jc w:val="both"/>
        <w:rPr>
          <w:rFonts w:ascii="Arial" w:eastAsia="Times New Roman" w:hAnsi="Arial" w:cs="Arial"/>
          <w:lang/>
        </w:rPr>
      </w:pPr>
      <w:r w:rsidRPr="00CC0480">
        <w:rPr>
          <w:rFonts w:ascii="Arial" w:eastAsia="Times New Roman" w:hAnsi="Arial" w:cs="Arial"/>
          <w:lang/>
        </w:rPr>
        <w:t>In surgical patients (Table 4), haemoglobin was the only parameter significantly associated with high VTE risk in univariate analysis (OR: 0.61, 95% CI: 0.39–0.95, p = 0.030). No parameter remained significant after multivariate adjustment.</w:t>
      </w:r>
    </w:p>
    <w:p w14:paraId="6FD53DAF" w14:textId="6DEBE2AE" w:rsidR="00F868F5" w:rsidRPr="003C1D4F" w:rsidRDefault="00F868F5" w:rsidP="00F868F5">
      <w:pPr>
        <w:spacing w:line="360" w:lineRule="auto"/>
        <w:jc w:val="both"/>
        <w:rPr>
          <w:rFonts w:ascii="Arial" w:eastAsia="Times New Roman" w:hAnsi="Arial" w:cs="Arial"/>
        </w:rPr>
      </w:pPr>
    </w:p>
    <w:tbl>
      <w:tblPr>
        <w:tblW w:w="5000" w:type="pct"/>
        <w:tblLook w:val="04A0" w:firstRow="1" w:lastRow="0" w:firstColumn="1" w:lastColumn="0" w:noHBand="0" w:noVBand="1"/>
      </w:tblPr>
      <w:tblGrid>
        <w:gridCol w:w="1888"/>
        <w:gridCol w:w="2313"/>
        <w:gridCol w:w="1424"/>
        <w:gridCol w:w="2570"/>
        <w:gridCol w:w="1381"/>
      </w:tblGrid>
      <w:tr w:rsidR="00F868F5" w:rsidRPr="00CC0480" w14:paraId="09F76263" w14:textId="77777777" w:rsidTr="00606BC4">
        <w:trPr>
          <w:trHeight w:val="432"/>
        </w:trPr>
        <w:tc>
          <w:tcPr>
            <w:tcW w:w="5000" w:type="pct"/>
            <w:gridSpan w:val="5"/>
            <w:tcBorders>
              <w:bottom w:val="single" w:sz="4" w:space="0" w:color="auto"/>
            </w:tcBorders>
            <w:noWrap/>
            <w:vAlign w:val="bottom"/>
          </w:tcPr>
          <w:p w14:paraId="62AC604D" w14:textId="40F97AA5" w:rsidR="00F868F5" w:rsidRPr="00CC0480" w:rsidRDefault="00F868F5" w:rsidP="00606BC4">
            <w:pPr>
              <w:spacing w:after="0" w:line="240" w:lineRule="auto"/>
              <w:jc w:val="both"/>
              <w:rPr>
                <w:rFonts w:ascii="Arial" w:eastAsia="Times New Roman" w:hAnsi="Arial" w:cs="Arial"/>
                <w:b/>
                <w:bCs/>
                <w:sz w:val="18"/>
                <w:szCs w:val="18"/>
              </w:rPr>
            </w:pPr>
            <w:r w:rsidRPr="00CC0480">
              <w:rPr>
                <w:rFonts w:ascii="Arial" w:eastAsia="Times New Roman" w:hAnsi="Arial" w:cs="Arial"/>
                <w:b/>
                <w:bCs/>
                <w:sz w:val="18"/>
                <w:szCs w:val="18"/>
              </w:rPr>
              <w:t>Ta</w:t>
            </w:r>
            <w:r w:rsidRPr="00CC0480">
              <w:rPr>
                <w:rFonts w:ascii="Arial" w:eastAsia="Times New Roman" w:hAnsi="Arial" w:cs="Arial"/>
                <w:b/>
                <w:color w:val="000000"/>
                <w:sz w:val="18"/>
                <w:szCs w:val="18"/>
                <w:lang w:val="en-GB"/>
              </w:rPr>
              <w:t>b</w:t>
            </w:r>
            <w:r w:rsidRPr="00CC0480">
              <w:rPr>
                <w:rFonts w:ascii="Arial" w:eastAsia="Times New Roman" w:hAnsi="Arial" w:cs="Arial"/>
                <w:b/>
                <w:color w:val="000000"/>
                <w:sz w:val="18"/>
                <w:szCs w:val="18"/>
              </w:rPr>
              <w:t xml:space="preserve">le </w:t>
            </w:r>
            <w:r w:rsidR="006B3D99" w:rsidRPr="00CC0480">
              <w:rPr>
                <w:rFonts w:ascii="Arial" w:eastAsia="Times New Roman" w:hAnsi="Arial" w:cs="Arial"/>
                <w:b/>
                <w:color w:val="000000"/>
                <w:sz w:val="18"/>
                <w:szCs w:val="18"/>
              </w:rPr>
              <w:t>2</w:t>
            </w:r>
            <w:r w:rsidRPr="00CC0480">
              <w:rPr>
                <w:rFonts w:ascii="Arial" w:eastAsia="Times New Roman" w:hAnsi="Arial" w:cs="Arial"/>
                <w:b/>
                <w:color w:val="000000"/>
                <w:sz w:val="18"/>
                <w:szCs w:val="18"/>
              </w:rPr>
              <w:t>:</w:t>
            </w:r>
            <w:r w:rsidRPr="00CC0480">
              <w:rPr>
                <w:rFonts w:ascii="Arial" w:eastAsia="Times New Roman" w:hAnsi="Arial" w:cs="Arial"/>
                <w:b/>
                <w:bCs/>
                <w:sz w:val="18"/>
                <w:szCs w:val="18"/>
              </w:rPr>
              <w:t xml:space="preserve"> Associatio</w:t>
            </w:r>
            <w:r w:rsidRPr="00CC0480">
              <w:rPr>
                <w:rFonts w:ascii="Arial" w:eastAsia="Times New Roman" w:hAnsi="Arial" w:cs="Arial"/>
                <w:b/>
                <w:sz w:val="18"/>
                <w:szCs w:val="18"/>
              </w:rPr>
              <w:t>n</w:t>
            </w:r>
            <w:r w:rsidRPr="00CC0480">
              <w:rPr>
                <w:rFonts w:ascii="Arial" w:eastAsia="Times New Roman" w:hAnsi="Arial" w:cs="Arial"/>
                <w:b/>
                <w:bCs/>
                <w:sz w:val="18"/>
                <w:szCs w:val="18"/>
              </w:rPr>
              <w:t xml:space="preserve"> of Haematological profile, D-dimer and Lupus anticoagulant levels with high risk of VTE occurrence i</w:t>
            </w:r>
            <w:r w:rsidRPr="00CC0480">
              <w:rPr>
                <w:rFonts w:ascii="Arial" w:eastAsia="Times New Roman" w:hAnsi="Arial" w:cs="Arial"/>
                <w:b/>
                <w:sz w:val="18"/>
                <w:szCs w:val="18"/>
              </w:rPr>
              <w:t>n general patients</w:t>
            </w:r>
          </w:p>
        </w:tc>
      </w:tr>
      <w:tr w:rsidR="00F868F5" w:rsidRPr="00CC0480" w14:paraId="31D579EF" w14:textId="77777777" w:rsidTr="00606BC4">
        <w:trPr>
          <w:trHeight w:val="432"/>
        </w:trPr>
        <w:tc>
          <w:tcPr>
            <w:tcW w:w="985" w:type="pct"/>
            <w:tcBorders>
              <w:top w:val="single" w:sz="4" w:space="0" w:color="auto"/>
              <w:bottom w:val="single" w:sz="4" w:space="0" w:color="auto"/>
            </w:tcBorders>
            <w:noWrap/>
            <w:vAlign w:val="bottom"/>
          </w:tcPr>
          <w:p w14:paraId="72861F77" w14:textId="77777777" w:rsidR="00F868F5" w:rsidRPr="00CC0480" w:rsidRDefault="00F868F5" w:rsidP="00606BC4">
            <w:pPr>
              <w:spacing w:after="0" w:line="240" w:lineRule="auto"/>
              <w:rPr>
                <w:rFonts w:ascii="Arial" w:eastAsia="Times New Roman" w:hAnsi="Arial" w:cs="Arial"/>
                <w:b/>
                <w:bCs/>
                <w:sz w:val="18"/>
                <w:szCs w:val="18"/>
              </w:rPr>
            </w:pPr>
          </w:p>
        </w:tc>
        <w:tc>
          <w:tcPr>
            <w:tcW w:w="1950" w:type="pct"/>
            <w:gridSpan w:val="2"/>
            <w:tcBorders>
              <w:top w:val="single" w:sz="4" w:space="0" w:color="auto"/>
              <w:bottom w:val="single" w:sz="4" w:space="0" w:color="auto"/>
            </w:tcBorders>
            <w:vAlign w:val="bottom"/>
          </w:tcPr>
          <w:p w14:paraId="1E721E94"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U</w:t>
            </w:r>
            <w:r w:rsidRPr="00CC0480">
              <w:rPr>
                <w:rFonts w:ascii="Arial" w:eastAsia="Times New Roman" w:hAnsi="Arial" w:cs="Arial"/>
                <w:b/>
                <w:sz w:val="18"/>
                <w:szCs w:val="18"/>
              </w:rPr>
              <w:t>nivariate Logistic Regression</w:t>
            </w:r>
          </w:p>
        </w:tc>
        <w:tc>
          <w:tcPr>
            <w:tcW w:w="2065" w:type="pct"/>
            <w:gridSpan w:val="2"/>
            <w:tcBorders>
              <w:top w:val="single" w:sz="4" w:space="0" w:color="auto"/>
              <w:bottom w:val="single" w:sz="4" w:space="0" w:color="auto"/>
            </w:tcBorders>
            <w:vAlign w:val="bottom"/>
          </w:tcPr>
          <w:p w14:paraId="1B0BE178"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Mult</w:t>
            </w:r>
            <w:r w:rsidRPr="00CC0480">
              <w:rPr>
                <w:rFonts w:ascii="Arial" w:eastAsia="Times New Roman" w:hAnsi="Arial" w:cs="Arial"/>
                <w:b/>
                <w:sz w:val="18"/>
                <w:szCs w:val="18"/>
              </w:rPr>
              <w:t>ivariate Logistic Regression</w:t>
            </w:r>
          </w:p>
        </w:tc>
      </w:tr>
      <w:tr w:rsidR="00F868F5" w:rsidRPr="00CC0480" w14:paraId="761F8FA7" w14:textId="77777777" w:rsidTr="00606BC4">
        <w:trPr>
          <w:trHeight w:val="432"/>
        </w:trPr>
        <w:tc>
          <w:tcPr>
            <w:tcW w:w="985" w:type="pct"/>
            <w:tcBorders>
              <w:top w:val="single" w:sz="4" w:space="0" w:color="auto"/>
              <w:bottom w:val="single" w:sz="4" w:space="0" w:color="auto"/>
            </w:tcBorders>
            <w:noWrap/>
            <w:vAlign w:val="bottom"/>
            <w:hideMark/>
          </w:tcPr>
          <w:p w14:paraId="65B38849" w14:textId="77777777" w:rsidR="00F868F5" w:rsidRPr="00CC0480" w:rsidRDefault="00F868F5" w:rsidP="00606BC4">
            <w:pPr>
              <w:spacing w:after="0" w:line="240" w:lineRule="auto"/>
              <w:rPr>
                <w:rFonts w:ascii="Arial" w:eastAsia="Times New Roman" w:hAnsi="Arial" w:cs="Arial"/>
                <w:b/>
                <w:bCs/>
                <w:sz w:val="18"/>
                <w:szCs w:val="18"/>
              </w:rPr>
            </w:pPr>
            <w:r w:rsidRPr="00CC0480">
              <w:rPr>
                <w:rFonts w:ascii="Arial" w:eastAsia="Times New Roman" w:hAnsi="Arial" w:cs="Arial"/>
                <w:b/>
                <w:bCs/>
                <w:sz w:val="18"/>
                <w:szCs w:val="18"/>
              </w:rPr>
              <w:t>Parameter</w:t>
            </w:r>
          </w:p>
        </w:tc>
        <w:tc>
          <w:tcPr>
            <w:tcW w:w="1213" w:type="pct"/>
            <w:tcBorders>
              <w:top w:val="single" w:sz="4" w:space="0" w:color="auto"/>
              <w:bottom w:val="single" w:sz="4" w:space="0" w:color="auto"/>
            </w:tcBorders>
            <w:vAlign w:val="bottom"/>
            <w:hideMark/>
          </w:tcPr>
          <w:p w14:paraId="338036C8"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Odds Ratio </w:t>
            </w:r>
          </w:p>
          <w:p w14:paraId="58C25D76"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sz w:val="18"/>
                <w:szCs w:val="18"/>
              </w:rPr>
              <w:t xml:space="preserve">(95%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737" w:type="pct"/>
            <w:tcBorders>
              <w:top w:val="single" w:sz="4" w:space="0" w:color="auto"/>
              <w:bottom w:val="single" w:sz="4" w:space="0" w:color="auto"/>
            </w:tcBorders>
            <w:vAlign w:val="bottom"/>
          </w:tcPr>
          <w:p w14:paraId="33886AA9"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bCs/>
                <w:sz w:val="18"/>
                <w:szCs w:val="18"/>
              </w:rPr>
              <w:t>P-value</w:t>
            </w:r>
          </w:p>
        </w:tc>
        <w:tc>
          <w:tcPr>
            <w:tcW w:w="1351" w:type="pct"/>
            <w:tcBorders>
              <w:top w:val="single" w:sz="4" w:space="0" w:color="auto"/>
              <w:bottom w:val="single" w:sz="4" w:space="0" w:color="auto"/>
            </w:tcBorders>
            <w:vAlign w:val="bottom"/>
            <w:hideMark/>
          </w:tcPr>
          <w:p w14:paraId="1370935D"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Adjusted Odds Ratio (95%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714" w:type="pct"/>
            <w:tcBorders>
              <w:top w:val="single" w:sz="4" w:space="0" w:color="auto"/>
              <w:bottom w:val="single" w:sz="4" w:space="0" w:color="auto"/>
            </w:tcBorders>
            <w:noWrap/>
            <w:vAlign w:val="bottom"/>
            <w:hideMark/>
          </w:tcPr>
          <w:p w14:paraId="60D21294"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P-value</w:t>
            </w:r>
          </w:p>
        </w:tc>
      </w:tr>
      <w:tr w:rsidR="00F868F5" w:rsidRPr="00CC0480" w14:paraId="04A1AC5F" w14:textId="77777777" w:rsidTr="00606BC4">
        <w:trPr>
          <w:trHeight w:val="432"/>
        </w:trPr>
        <w:tc>
          <w:tcPr>
            <w:tcW w:w="985" w:type="pct"/>
            <w:tcBorders>
              <w:top w:val="single" w:sz="4" w:space="0" w:color="auto"/>
            </w:tcBorders>
            <w:noWrap/>
            <w:vAlign w:val="bottom"/>
            <w:hideMark/>
          </w:tcPr>
          <w:p w14:paraId="33D6FC58"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WBC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tcBorders>
              <w:top w:val="single" w:sz="4" w:space="0" w:color="auto"/>
            </w:tcBorders>
            <w:noWrap/>
            <w:vAlign w:val="bottom"/>
          </w:tcPr>
          <w:p w14:paraId="599B8D6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1.08 (0.86 – 1.34)</w:t>
            </w:r>
          </w:p>
        </w:tc>
        <w:tc>
          <w:tcPr>
            <w:tcW w:w="737" w:type="pct"/>
            <w:tcBorders>
              <w:top w:val="single" w:sz="4" w:space="0" w:color="auto"/>
            </w:tcBorders>
            <w:vAlign w:val="bottom"/>
          </w:tcPr>
          <w:p w14:paraId="3F8D065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0.515</w:t>
            </w:r>
          </w:p>
        </w:tc>
        <w:tc>
          <w:tcPr>
            <w:tcW w:w="1351" w:type="pct"/>
            <w:tcBorders>
              <w:top w:val="single" w:sz="4" w:space="0" w:color="auto"/>
            </w:tcBorders>
            <w:noWrap/>
            <w:vAlign w:val="bottom"/>
          </w:tcPr>
          <w:p w14:paraId="2039ABA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1.10 (0.86 – 1.40)</w:t>
            </w:r>
          </w:p>
        </w:tc>
        <w:tc>
          <w:tcPr>
            <w:tcW w:w="714" w:type="pct"/>
            <w:tcBorders>
              <w:top w:val="single" w:sz="4" w:space="0" w:color="auto"/>
            </w:tcBorders>
            <w:noWrap/>
            <w:vAlign w:val="bottom"/>
            <w:hideMark/>
          </w:tcPr>
          <w:p w14:paraId="5F7AC9E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0.457</w:t>
            </w:r>
          </w:p>
        </w:tc>
      </w:tr>
      <w:tr w:rsidR="00F868F5" w:rsidRPr="00CC0480" w14:paraId="121B28ED" w14:textId="77777777" w:rsidTr="00606BC4">
        <w:trPr>
          <w:trHeight w:val="432"/>
        </w:trPr>
        <w:tc>
          <w:tcPr>
            <w:tcW w:w="985" w:type="pct"/>
            <w:noWrap/>
            <w:vAlign w:val="bottom"/>
            <w:hideMark/>
          </w:tcPr>
          <w:p w14:paraId="495E641F"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lastRenderedPageBreak/>
              <w:t xml:space="preserve">Neutrophil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4533C82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1.09 (0.88 – 1.35)</w:t>
            </w:r>
          </w:p>
        </w:tc>
        <w:tc>
          <w:tcPr>
            <w:tcW w:w="737" w:type="pct"/>
            <w:vAlign w:val="bottom"/>
          </w:tcPr>
          <w:p w14:paraId="6E92B0F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0.426</w:t>
            </w:r>
          </w:p>
        </w:tc>
        <w:tc>
          <w:tcPr>
            <w:tcW w:w="1351" w:type="pct"/>
            <w:noWrap/>
            <w:vAlign w:val="bottom"/>
          </w:tcPr>
          <w:p w14:paraId="0C9D1A4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1.19 (0.91 – 1.54)</w:t>
            </w:r>
          </w:p>
        </w:tc>
        <w:tc>
          <w:tcPr>
            <w:tcW w:w="714" w:type="pct"/>
            <w:noWrap/>
            <w:vAlign w:val="bottom"/>
            <w:hideMark/>
          </w:tcPr>
          <w:p w14:paraId="0204ED9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0.203</w:t>
            </w:r>
          </w:p>
        </w:tc>
      </w:tr>
      <w:tr w:rsidR="00F868F5" w:rsidRPr="00CC0480" w14:paraId="40629EAE" w14:textId="77777777" w:rsidTr="00606BC4">
        <w:trPr>
          <w:trHeight w:val="432"/>
        </w:trPr>
        <w:tc>
          <w:tcPr>
            <w:tcW w:w="985" w:type="pct"/>
            <w:noWrap/>
            <w:vAlign w:val="bottom"/>
            <w:hideMark/>
          </w:tcPr>
          <w:p w14:paraId="36FDBDA1"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Lymphocyte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3F60967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0.71 (0.34 – 1.49)</w:t>
            </w:r>
          </w:p>
        </w:tc>
        <w:tc>
          <w:tcPr>
            <w:tcW w:w="737" w:type="pct"/>
            <w:vAlign w:val="bottom"/>
          </w:tcPr>
          <w:p w14:paraId="7778356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0.370</w:t>
            </w:r>
          </w:p>
        </w:tc>
        <w:tc>
          <w:tcPr>
            <w:tcW w:w="1351" w:type="pct"/>
            <w:noWrap/>
            <w:vAlign w:val="bottom"/>
          </w:tcPr>
          <w:p w14:paraId="59A6A8A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0.36 (0.14 – 0.94)</w:t>
            </w:r>
          </w:p>
        </w:tc>
        <w:tc>
          <w:tcPr>
            <w:tcW w:w="714" w:type="pct"/>
            <w:noWrap/>
            <w:vAlign w:val="bottom"/>
            <w:hideMark/>
          </w:tcPr>
          <w:p w14:paraId="69A0297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0.037*</w:t>
            </w:r>
          </w:p>
        </w:tc>
      </w:tr>
      <w:tr w:rsidR="00F868F5" w:rsidRPr="00CC0480" w14:paraId="7F054E0B" w14:textId="77777777" w:rsidTr="00606BC4">
        <w:trPr>
          <w:trHeight w:val="432"/>
        </w:trPr>
        <w:tc>
          <w:tcPr>
            <w:tcW w:w="985" w:type="pct"/>
            <w:noWrap/>
            <w:vAlign w:val="bottom"/>
            <w:hideMark/>
          </w:tcPr>
          <w:p w14:paraId="226E4FC1"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Monocyte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7CF6711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0.43 (0.05 – 4.06)</w:t>
            </w:r>
          </w:p>
        </w:tc>
        <w:tc>
          <w:tcPr>
            <w:tcW w:w="737" w:type="pct"/>
            <w:vAlign w:val="bottom"/>
          </w:tcPr>
          <w:p w14:paraId="155D27E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0.464</w:t>
            </w:r>
          </w:p>
        </w:tc>
        <w:tc>
          <w:tcPr>
            <w:tcW w:w="1351" w:type="pct"/>
            <w:noWrap/>
            <w:vAlign w:val="bottom"/>
          </w:tcPr>
          <w:p w14:paraId="31D03A0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0.43 (0.04 – 4.17)</w:t>
            </w:r>
          </w:p>
        </w:tc>
        <w:tc>
          <w:tcPr>
            <w:tcW w:w="714" w:type="pct"/>
            <w:noWrap/>
            <w:vAlign w:val="bottom"/>
            <w:hideMark/>
          </w:tcPr>
          <w:p w14:paraId="1C4E32F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0.466</w:t>
            </w:r>
          </w:p>
        </w:tc>
      </w:tr>
      <w:tr w:rsidR="00F868F5" w:rsidRPr="00CC0480" w14:paraId="3D8669BD" w14:textId="77777777" w:rsidTr="00606BC4">
        <w:trPr>
          <w:trHeight w:val="432"/>
        </w:trPr>
        <w:tc>
          <w:tcPr>
            <w:tcW w:w="985" w:type="pct"/>
            <w:noWrap/>
            <w:vAlign w:val="bottom"/>
            <w:hideMark/>
          </w:tcPr>
          <w:p w14:paraId="098FFDED"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Eosinophil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740D1F5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0.16 (0.02 – 1.70)</w:t>
            </w:r>
          </w:p>
        </w:tc>
        <w:tc>
          <w:tcPr>
            <w:tcW w:w="737" w:type="pct"/>
            <w:vAlign w:val="bottom"/>
          </w:tcPr>
          <w:p w14:paraId="36797B2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0.130</w:t>
            </w:r>
          </w:p>
        </w:tc>
        <w:tc>
          <w:tcPr>
            <w:tcW w:w="1351" w:type="pct"/>
            <w:noWrap/>
            <w:vAlign w:val="bottom"/>
          </w:tcPr>
          <w:p w14:paraId="6D76093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0.08 (0.01 – 1.31)</w:t>
            </w:r>
          </w:p>
        </w:tc>
        <w:tc>
          <w:tcPr>
            <w:tcW w:w="714" w:type="pct"/>
            <w:noWrap/>
            <w:vAlign w:val="bottom"/>
            <w:hideMark/>
          </w:tcPr>
          <w:p w14:paraId="644B72F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0.077</w:t>
            </w:r>
          </w:p>
        </w:tc>
      </w:tr>
      <w:tr w:rsidR="00F868F5" w:rsidRPr="00CC0480" w14:paraId="0BE6EBF0" w14:textId="77777777" w:rsidTr="00606BC4">
        <w:trPr>
          <w:trHeight w:val="432"/>
        </w:trPr>
        <w:tc>
          <w:tcPr>
            <w:tcW w:w="985" w:type="pct"/>
            <w:noWrap/>
            <w:vAlign w:val="bottom"/>
            <w:hideMark/>
          </w:tcPr>
          <w:p w14:paraId="689342BC"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Basophil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747426A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5.72 (0.0 – 6.16 x 10</w:t>
            </w:r>
            <w:r w:rsidRPr="00CC0480">
              <w:rPr>
                <w:rFonts w:ascii="Arial" w:eastAsia="Times New Roman" w:hAnsi="Arial" w:cs="Arial"/>
                <w:sz w:val="18"/>
                <w:szCs w:val="18"/>
                <w:vertAlign w:val="superscript"/>
              </w:rPr>
              <w:t>7</w:t>
            </w:r>
            <w:r w:rsidRPr="00CC0480">
              <w:rPr>
                <w:rFonts w:ascii="Arial" w:eastAsia="Times New Roman" w:hAnsi="Arial" w:cs="Arial"/>
                <w:sz w:val="18"/>
                <w:szCs w:val="18"/>
              </w:rPr>
              <w:t>)</w:t>
            </w:r>
          </w:p>
        </w:tc>
        <w:tc>
          <w:tcPr>
            <w:tcW w:w="737" w:type="pct"/>
            <w:vAlign w:val="bottom"/>
          </w:tcPr>
          <w:p w14:paraId="26FB8DE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0.833</w:t>
            </w:r>
          </w:p>
        </w:tc>
        <w:tc>
          <w:tcPr>
            <w:tcW w:w="1351" w:type="pct"/>
            <w:noWrap/>
            <w:vAlign w:val="bottom"/>
          </w:tcPr>
          <w:p w14:paraId="1B801B2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0.21 (0.0 – 7.25 x 10</w:t>
            </w:r>
            <w:r w:rsidRPr="00CC0480">
              <w:rPr>
                <w:rFonts w:ascii="Arial" w:eastAsia="Times New Roman" w:hAnsi="Arial" w:cs="Arial"/>
                <w:sz w:val="18"/>
                <w:szCs w:val="18"/>
                <w:vertAlign w:val="superscript"/>
              </w:rPr>
              <w:t>6</w:t>
            </w:r>
            <w:r w:rsidRPr="00CC0480">
              <w:rPr>
                <w:rFonts w:ascii="Arial" w:eastAsia="Times New Roman" w:hAnsi="Arial" w:cs="Arial"/>
                <w:sz w:val="18"/>
                <w:szCs w:val="18"/>
              </w:rPr>
              <w:t>)</w:t>
            </w:r>
          </w:p>
        </w:tc>
        <w:tc>
          <w:tcPr>
            <w:tcW w:w="714" w:type="pct"/>
            <w:noWrap/>
            <w:vAlign w:val="bottom"/>
            <w:hideMark/>
          </w:tcPr>
          <w:p w14:paraId="1C9E9C8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0.860</w:t>
            </w:r>
          </w:p>
        </w:tc>
      </w:tr>
      <w:tr w:rsidR="00F868F5" w:rsidRPr="00CC0480" w14:paraId="0B39475A" w14:textId="77777777" w:rsidTr="00606BC4">
        <w:trPr>
          <w:trHeight w:val="432"/>
        </w:trPr>
        <w:tc>
          <w:tcPr>
            <w:tcW w:w="985" w:type="pct"/>
            <w:noWrap/>
            <w:vAlign w:val="bottom"/>
            <w:hideMark/>
          </w:tcPr>
          <w:p w14:paraId="34F61F52"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RBC (×10</w:t>
            </w:r>
            <w:r w:rsidRPr="00CC0480">
              <w:rPr>
                <w:rFonts w:ascii="Arial" w:eastAsia="Times New Roman" w:hAnsi="Arial" w:cs="Arial"/>
                <w:sz w:val="18"/>
                <w:szCs w:val="18"/>
                <w:vertAlign w:val="superscript"/>
              </w:rPr>
              <w:t>12</w:t>
            </w:r>
            <w:r w:rsidRPr="00CC0480">
              <w:rPr>
                <w:rFonts w:ascii="Arial" w:eastAsia="Times New Roman" w:hAnsi="Arial" w:cs="Arial"/>
                <w:sz w:val="18"/>
                <w:szCs w:val="18"/>
              </w:rPr>
              <w:t>/L)</w:t>
            </w:r>
          </w:p>
        </w:tc>
        <w:tc>
          <w:tcPr>
            <w:tcW w:w="1213" w:type="pct"/>
            <w:vAlign w:val="bottom"/>
          </w:tcPr>
          <w:p w14:paraId="611C4B0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1.33 (0.72 – 2.48)</w:t>
            </w:r>
          </w:p>
        </w:tc>
        <w:tc>
          <w:tcPr>
            <w:tcW w:w="737" w:type="pct"/>
            <w:vAlign w:val="bottom"/>
          </w:tcPr>
          <w:p w14:paraId="15782FC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0.365</w:t>
            </w:r>
          </w:p>
        </w:tc>
        <w:tc>
          <w:tcPr>
            <w:tcW w:w="1351" w:type="pct"/>
            <w:noWrap/>
            <w:vAlign w:val="bottom"/>
          </w:tcPr>
          <w:p w14:paraId="3ECCC68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1.10 (0.58 – 2.06)</w:t>
            </w:r>
          </w:p>
        </w:tc>
        <w:tc>
          <w:tcPr>
            <w:tcW w:w="714" w:type="pct"/>
            <w:noWrap/>
            <w:vAlign w:val="bottom"/>
            <w:hideMark/>
          </w:tcPr>
          <w:p w14:paraId="50E8BA2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0.778</w:t>
            </w:r>
          </w:p>
        </w:tc>
      </w:tr>
      <w:tr w:rsidR="00F868F5" w:rsidRPr="00CC0480" w14:paraId="537C439C" w14:textId="77777777" w:rsidTr="00606BC4">
        <w:trPr>
          <w:trHeight w:val="432"/>
        </w:trPr>
        <w:tc>
          <w:tcPr>
            <w:tcW w:w="985" w:type="pct"/>
            <w:noWrap/>
            <w:vAlign w:val="bottom"/>
            <w:hideMark/>
          </w:tcPr>
          <w:p w14:paraId="2F73067D"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HGB (g/dl) </w:t>
            </w:r>
          </w:p>
        </w:tc>
        <w:tc>
          <w:tcPr>
            <w:tcW w:w="1213" w:type="pct"/>
            <w:vAlign w:val="bottom"/>
          </w:tcPr>
          <w:p w14:paraId="6ACCA52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1.03 (0.83 – 1.28)</w:t>
            </w:r>
          </w:p>
        </w:tc>
        <w:tc>
          <w:tcPr>
            <w:tcW w:w="737" w:type="pct"/>
            <w:vAlign w:val="bottom"/>
          </w:tcPr>
          <w:p w14:paraId="47E7B3E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0.821</w:t>
            </w:r>
          </w:p>
        </w:tc>
        <w:tc>
          <w:tcPr>
            <w:tcW w:w="1351" w:type="pct"/>
            <w:noWrap/>
            <w:vAlign w:val="bottom"/>
          </w:tcPr>
          <w:p w14:paraId="1EEDD21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0.98 (0.78 – 1.22)</w:t>
            </w:r>
          </w:p>
        </w:tc>
        <w:tc>
          <w:tcPr>
            <w:tcW w:w="714" w:type="pct"/>
            <w:noWrap/>
            <w:vAlign w:val="bottom"/>
            <w:hideMark/>
          </w:tcPr>
          <w:p w14:paraId="24A11A5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0.831</w:t>
            </w:r>
          </w:p>
        </w:tc>
      </w:tr>
      <w:tr w:rsidR="00F868F5" w:rsidRPr="00CC0480" w14:paraId="27535B9F" w14:textId="77777777" w:rsidTr="00606BC4">
        <w:trPr>
          <w:trHeight w:val="432"/>
        </w:trPr>
        <w:tc>
          <w:tcPr>
            <w:tcW w:w="985" w:type="pct"/>
            <w:noWrap/>
            <w:vAlign w:val="bottom"/>
            <w:hideMark/>
          </w:tcPr>
          <w:p w14:paraId="613AA6DD"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HCT (%) </w:t>
            </w:r>
          </w:p>
        </w:tc>
        <w:tc>
          <w:tcPr>
            <w:tcW w:w="1213" w:type="pct"/>
            <w:vAlign w:val="bottom"/>
          </w:tcPr>
          <w:p w14:paraId="22205B6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(0.95 – 1.08)</w:t>
            </w:r>
          </w:p>
        </w:tc>
        <w:tc>
          <w:tcPr>
            <w:tcW w:w="737" w:type="pct"/>
            <w:vAlign w:val="bottom"/>
          </w:tcPr>
          <w:p w14:paraId="4E5F669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0.723</w:t>
            </w:r>
          </w:p>
        </w:tc>
        <w:tc>
          <w:tcPr>
            <w:tcW w:w="1351" w:type="pct"/>
            <w:noWrap/>
            <w:vAlign w:val="bottom"/>
          </w:tcPr>
          <w:p w14:paraId="3CEEB4F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 (0.93 – 1.06)</w:t>
            </w:r>
          </w:p>
        </w:tc>
        <w:tc>
          <w:tcPr>
            <w:tcW w:w="714" w:type="pct"/>
            <w:noWrap/>
            <w:vAlign w:val="bottom"/>
            <w:hideMark/>
          </w:tcPr>
          <w:p w14:paraId="2CA093D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0.809</w:t>
            </w:r>
          </w:p>
        </w:tc>
      </w:tr>
      <w:tr w:rsidR="00F868F5" w:rsidRPr="00CC0480" w14:paraId="7E672BB4" w14:textId="77777777" w:rsidTr="00606BC4">
        <w:trPr>
          <w:trHeight w:val="432"/>
        </w:trPr>
        <w:tc>
          <w:tcPr>
            <w:tcW w:w="985" w:type="pct"/>
            <w:noWrap/>
            <w:vAlign w:val="bottom"/>
            <w:hideMark/>
          </w:tcPr>
          <w:p w14:paraId="43EE9A0F"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MCV (fl) </w:t>
            </w:r>
          </w:p>
        </w:tc>
        <w:tc>
          <w:tcPr>
            <w:tcW w:w="1213" w:type="pct"/>
            <w:vAlign w:val="bottom"/>
          </w:tcPr>
          <w:p w14:paraId="33990D3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(0.98 – 1.03)</w:t>
            </w:r>
          </w:p>
        </w:tc>
        <w:tc>
          <w:tcPr>
            <w:tcW w:w="737" w:type="pct"/>
            <w:vAlign w:val="bottom"/>
          </w:tcPr>
          <w:p w14:paraId="119DA43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0.738</w:t>
            </w:r>
          </w:p>
        </w:tc>
        <w:tc>
          <w:tcPr>
            <w:tcW w:w="1351" w:type="pct"/>
            <w:noWrap/>
            <w:vAlign w:val="bottom"/>
          </w:tcPr>
          <w:p w14:paraId="67B0CD2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(0.98 – 1.03)</w:t>
            </w:r>
          </w:p>
        </w:tc>
        <w:tc>
          <w:tcPr>
            <w:tcW w:w="714" w:type="pct"/>
            <w:noWrap/>
            <w:vAlign w:val="bottom"/>
            <w:hideMark/>
          </w:tcPr>
          <w:p w14:paraId="04BA695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0.725</w:t>
            </w:r>
          </w:p>
        </w:tc>
      </w:tr>
      <w:tr w:rsidR="00F868F5" w:rsidRPr="00CC0480" w14:paraId="614A1437" w14:textId="77777777" w:rsidTr="00606BC4">
        <w:trPr>
          <w:trHeight w:val="432"/>
        </w:trPr>
        <w:tc>
          <w:tcPr>
            <w:tcW w:w="985" w:type="pct"/>
            <w:noWrap/>
            <w:vAlign w:val="bottom"/>
            <w:hideMark/>
          </w:tcPr>
          <w:p w14:paraId="57048C14"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 (pg) </w:t>
            </w:r>
          </w:p>
        </w:tc>
        <w:tc>
          <w:tcPr>
            <w:tcW w:w="1213" w:type="pct"/>
            <w:vAlign w:val="bottom"/>
          </w:tcPr>
          <w:p w14:paraId="647EC67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0.85 (0.68 – 1.06)</w:t>
            </w:r>
          </w:p>
        </w:tc>
        <w:tc>
          <w:tcPr>
            <w:tcW w:w="737" w:type="pct"/>
            <w:vAlign w:val="bottom"/>
          </w:tcPr>
          <w:p w14:paraId="6E91807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0.141</w:t>
            </w:r>
          </w:p>
        </w:tc>
        <w:tc>
          <w:tcPr>
            <w:tcW w:w="1351" w:type="pct"/>
            <w:noWrap/>
            <w:vAlign w:val="bottom"/>
          </w:tcPr>
          <w:p w14:paraId="5EFAA4B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0.85 (0.65 – 1.10)</w:t>
            </w:r>
          </w:p>
        </w:tc>
        <w:tc>
          <w:tcPr>
            <w:tcW w:w="714" w:type="pct"/>
            <w:noWrap/>
            <w:vAlign w:val="bottom"/>
            <w:hideMark/>
          </w:tcPr>
          <w:p w14:paraId="508D8C3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0.222</w:t>
            </w:r>
          </w:p>
        </w:tc>
      </w:tr>
      <w:tr w:rsidR="00F868F5" w:rsidRPr="00CC0480" w14:paraId="07BD2AAB" w14:textId="77777777" w:rsidTr="00606BC4">
        <w:trPr>
          <w:trHeight w:val="432"/>
        </w:trPr>
        <w:tc>
          <w:tcPr>
            <w:tcW w:w="985" w:type="pct"/>
            <w:noWrap/>
            <w:vAlign w:val="bottom"/>
            <w:hideMark/>
          </w:tcPr>
          <w:p w14:paraId="71F67F2F"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MCHC (g/l) </w:t>
            </w:r>
          </w:p>
        </w:tc>
        <w:tc>
          <w:tcPr>
            <w:tcW w:w="1213" w:type="pct"/>
            <w:vAlign w:val="bottom"/>
          </w:tcPr>
          <w:p w14:paraId="187A1BE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0.54 (0.30 – 0.98)</w:t>
            </w:r>
          </w:p>
        </w:tc>
        <w:tc>
          <w:tcPr>
            <w:tcW w:w="737" w:type="pct"/>
            <w:vAlign w:val="bottom"/>
          </w:tcPr>
          <w:p w14:paraId="1F8DEB4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0.044*</w:t>
            </w:r>
          </w:p>
        </w:tc>
        <w:tc>
          <w:tcPr>
            <w:tcW w:w="1351" w:type="pct"/>
            <w:noWrap/>
            <w:vAlign w:val="bottom"/>
          </w:tcPr>
          <w:p w14:paraId="2288B62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0.39 (0.18 – 0.86)</w:t>
            </w:r>
          </w:p>
        </w:tc>
        <w:tc>
          <w:tcPr>
            <w:tcW w:w="714" w:type="pct"/>
            <w:noWrap/>
            <w:vAlign w:val="bottom"/>
            <w:hideMark/>
          </w:tcPr>
          <w:p w14:paraId="71C0AD1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0.020*</w:t>
            </w:r>
          </w:p>
        </w:tc>
      </w:tr>
      <w:tr w:rsidR="00F868F5" w:rsidRPr="00CC0480" w14:paraId="6601B5CF" w14:textId="77777777" w:rsidTr="00606BC4">
        <w:trPr>
          <w:trHeight w:val="432"/>
        </w:trPr>
        <w:tc>
          <w:tcPr>
            <w:tcW w:w="985" w:type="pct"/>
            <w:noWrap/>
            <w:vAlign w:val="bottom"/>
            <w:hideMark/>
          </w:tcPr>
          <w:p w14:paraId="7F1A9764"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PLT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13" w:type="pct"/>
            <w:vAlign w:val="bottom"/>
          </w:tcPr>
          <w:p w14:paraId="3A2EDD2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(1.00 – 1.01)</w:t>
            </w:r>
          </w:p>
        </w:tc>
        <w:tc>
          <w:tcPr>
            <w:tcW w:w="737" w:type="pct"/>
            <w:vAlign w:val="bottom"/>
          </w:tcPr>
          <w:p w14:paraId="32E6E48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0.562</w:t>
            </w:r>
          </w:p>
        </w:tc>
        <w:tc>
          <w:tcPr>
            <w:tcW w:w="1351" w:type="pct"/>
            <w:noWrap/>
            <w:vAlign w:val="bottom"/>
          </w:tcPr>
          <w:p w14:paraId="5ED9F43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(0.99 – 1.01)</w:t>
            </w:r>
          </w:p>
        </w:tc>
        <w:tc>
          <w:tcPr>
            <w:tcW w:w="714" w:type="pct"/>
            <w:noWrap/>
            <w:vAlign w:val="bottom"/>
            <w:hideMark/>
          </w:tcPr>
          <w:p w14:paraId="6A7A043E"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     0.130</w:t>
            </w:r>
          </w:p>
        </w:tc>
      </w:tr>
      <w:tr w:rsidR="00F868F5" w:rsidRPr="00CC0480" w14:paraId="24F27608" w14:textId="77777777" w:rsidTr="00606BC4">
        <w:trPr>
          <w:trHeight w:val="432"/>
        </w:trPr>
        <w:tc>
          <w:tcPr>
            <w:tcW w:w="985" w:type="pct"/>
            <w:noWrap/>
            <w:vAlign w:val="bottom"/>
            <w:hideMark/>
          </w:tcPr>
          <w:p w14:paraId="6AA8A6A1"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MPV (fl)</w:t>
            </w:r>
          </w:p>
        </w:tc>
        <w:tc>
          <w:tcPr>
            <w:tcW w:w="1213" w:type="pct"/>
            <w:vAlign w:val="bottom"/>
          </w:tcPr>
          <w:p w14:paraId="630D65E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0.81 (0.47 – 1.39)</w:t>
            </w:r>
          </w:p>
        </w:tc>
        <w:tc>
          <w:tcPr>
            <w:tcW w:w="737" w:type="pct"/>
            <w:vAlign w:val="bottom"/>
          </w:tcPr>
          <w:p w14:paraId="140BFD1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0.445</w:t>
            </w:r>
          </w:p>
        </w:tc>
        <w:tc>
          <w:tcPr>
            <w:tcW w:w="1351" w:type="pct"/>
            <w:noWrap/>
            <w:vAlign w:val="bottom"/>
          </w:tcPr>
          <w:p w14:paraId="2AF9BDA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0.77 (0.41 – 1.43)</w:t>
            </w:r>
          </w:p>
        </w:tc>
        <w:tc>
          <w:tcPr>
            <w:tcW w:w="714" w:type="pct"/>
            <w:noWrap/>
            <w:vAlign w:val="bottom"/>
            <w:hideMark/>
          </w:tcPr>
          <w:p w14:paraId="49ED055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0.402</w:t>
            </w:r>
          </w:p>
        </w:tc>
      </w:tr>
      <w:tr w:rsidR="00F868F5" w:rsidRPr="00CC0480" w14:paraId="12D81DB9" w14:textId="77777777" w:rsidTr="00606BC4">
        <w:trPr>
          <w:trHeight w:val="432"/>
        </w:trPr>
        <w:tc>
          <w:tcPr>
            <w:tcW w:w="985" w:type="pct"/>
            <w:noWrap/>
            <w:vAlign w:val="bottom"/>
            <w:hideMark/>
          </w:tcPr>
          <w:p w14:paraId="04A6D6D1"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PCT (%) </w:t>
            </w:r>
          </w:p>
        </w:tc>
        <w:tc>
          <w:tcPr>
            <w:tcW w:w="1213" w:type="pct"/>
            <w:vAlign w:val="bottom"/>
          </w:tcPr>
          <w:p w14:paraId="0F8BD57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2.30 (0.0 – 1.6 x 10</w:t>
            </w:r>
            <w:r w:rsidRPr="00CC0480">
              <w:rPr>
                <w:rFonts w:ascii="Arial" w:eastAsia="Times New Roman" w:hAnsi="Arial" w:cs="Arial"/>
                <w:sz w:val="18"/>
                <w:szCs w:val="18"/>
                <w:vertAlign w:val="superscript"/>
              </w:rPr>
              <w:t>3</w:t>
            </w:r>
            <w:r w:rsidRPr="00CC0480">
              <w:rPr>
                <w:rFonts w:ascii="Arial" w:eastAsia="Times New Roman" w:hAnsi="Arial" w:cs="Arial"/>
                <w:sz w:val="18"/>
                <w:szCs w:val="18"/>
              </w:rPr>
              <w:t>)</w:t>
            </w:r>
          </w:p>
        </w:tc>
        <w:tc>
          <w:tcPr>
            <w:tcW w:w="737" w:type="pct"/>
            <w:vAlign w:val="bottom"/>
          </w:tcPr>
          <w:p w14:paraId="0288D8E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0.802</w:t>
            </w:r>
          </w:p>
        </w:tc>
        <w:tc>
          <w:tcPr>
            <w:tcW w:w="1351" w:type="pct"/>
            <w:noWrap/>
            <w:vAlign w:val="bottom"/>
          </w:tcPr>
          <w:p w14:paraId="56F6B36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287.63 (0.09 – 9.5x</w:t>
            </w:r>
            <w:proofErr w:type="gramStart"/>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 xml:space="preserve">5 </w:t>
            </w:r>
            <w:r w:rsidRPr="00CC0480">
              <w:rPr>
                <w:rFonts w:ascii="Arial" w:eastAsia="Times New Roman" w:hAnsi="Arial" w:cs="Arial"/>
                <w:sz w:val="18"/>
                <w:szCs w:val="18"/>
              </w:rPr>
              <w:t>)</w:t>
            </w:r>
            <w:proofErr w:type="gramEnd"/>
          </w:p>
        </w:tc>
        <w:tc>
          <w:tcPr>
            <w:tcW w:w="714" w:type="pct"/>
            <w:noWrap/>
            <w:vAlign w:val="bottom"/>
            <w:hideMark/>
          </w:tcPr>
          <w:p w14:paraId="514D057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0.171</w:t>
            </w:r>
          </w:p>
        </w:tc>
      </w:tr>
      <w:tr w:rsidR="00F868F5" w:rsidRPr="00CC0480" w14:paraId="0ED26F22" w14:textId="77777777" w:rsidTr="00606BC4">
        <w:trPr>
          <w:trHeight w:val="432"/>
        </w:trPr>
        <w:tc>
          <w:tcPr>
            <w:tcW w:w="985" w:type="pct"/>
            <w:noWrap/>
            <w:vAlign w:val="bottom"/>
            <w:hideMark/>
          </w:tcPr>
          <w:p w14:paraId="07F8F41D"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PDW (fl) </w:t>
            </w:r>
          </w:p>
        </w:tc>
        <w:tc>
          <w:tcPr>
            <w:tcW w:w="1213" w:type="pct"/>
            <w:vAlign w:val="bottom"/>
          </w:tcPr>
          <w:p w14:paraId="74B9AEF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1.09 (0.84 – 1.41)</w:t>
            </w:r>
          </w:p>
        </w:tc>
        <w:tc>
          <w:tcPr>
            <w:tcW w:w="737" w:type="pct"/>
            <w:vAlign w:val="bottom"/>
          </w:tcPr>
          <w:p w14:paraId="1279F69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0.526</w:t>
            </w:r>
          </w:p>
        </w:tc>
        <w:tc>
          <w:tcPr>
            <w:tcW w:w="1351" w:type="pct"/>
            <w:vAlign w:val="bottom"/>
          </w:tcPr>
          <w:p w14:paraId="6BF52BC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1.09 (0.81 – 1.48)</w:t>
            </w:r>
          </w:p>
        </w:tc>
        <w:tc>
          <w:tcPr>
            <w:tcW w:w="714" w:type="pct"/>
            <w:noWrap/>
            <w:vAlign w:val="bottom"/>
            <w:hideMark/>
          </w:tcPr>
          <w:p w14:paraId="379CA0D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0.565</w:t>
            </w:r>
          </w:p>
        </w:tc>
      </w:tr>
      <w:tr w:rsidR="00F868F5" w:rsidRPr="00CC0480" w14:paraId="7701F749" w14:textId="77777777" w:rsidTr="00606BC4">
        <w:trPr>
          <w:trHeight w:val="432"/>
        </w:trPr>
        <w:tc>
          <w:tcPr>
            <w:tcW w:w="985" w:type="pct"/>
            <w:noWrap/>
            <w:vAlign w:val="bottom"/>
            <w:hideMark/>
          </w:tcPr>
          <w:p w14:paraId="39FE32D5"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PLCR (%)</w:t>
            </w:r>
          </w:p>
        </w:tc>
        <w:tc>
          <w:tcPr>
            <w:tcW w:w="1213" w:type="pct"/>
            <w:vAlign w:val="bottom"/>
          </w:tcPr>
          <w:p w14:paraId="67F0FA2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 (0.92 – 1.06)</w:t>
            </w:r>
          </w:p>
        </w:tc>
        <w:tc>
          <w:tcPr>
            <w:tcW w:w="737" w:type="pct"/>
            <w:vAlign w:val="bottom"/>
          </w:tcPr>
          <w:p w14:paraId="22B9B62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0.713</w:t>
            </w:r>
          </w:p>
        </w:tc>
        <w:tc>
          <w:tcPr>
            <w:tcW w:w="1351" w:type="pct"/>
            <w:noWrap/>
            <w:vAlign w:val="bottom"/>
          </w:tcPr>
          <w:p w14:paraId="498D1BE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0.97 (0.90 – 1.05)</w:t>
            </w:r>
          </w:p>
        </w:tc>
        <w:tc>
          <w:tcPr>
            <w:tcW w:w="714" w:type="pct"/>
            <w:noWrap/>
            <w:vAlign w:val="bottom"/>
          </w:tcPr>
          <w:p w14:paraId="4573654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0.482</w:t>
            </w:r>
          </w:p>
        </w:tc>
      </w:tr>
      <w:tr w:rsidR="00F868F5" w:rsidRPr="00CC0480" w14:paraId="1E1053B4" w14:textId="77777777" w:rsidTr="00606BC4">
        <w:trPr>
          <w:trHeight w:val="432"/>
        </w:trPr>
        <w:tc>
          <w:tcPr>
            <w:tcW w:w="985" w:type="pct"/>
            <w:noWrap/>
            <w:vAlign w:val="bottom"/>
            <w:hideMark/>
          </w:tcPr>
          <w:p w14:paraId="2178B431"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D-dimer (ng/ml)</w:t>
            </w:r>
          </w:p>
        </w:tc>
        <w:tc>
          <w:tcPr>
            <w:tcW w:w="1213" w:type="pct"/>
            <w:noWrap/>
            <w:vAlign w:val="bottom"/>
          </w:tcPr>
          <w:p w14:paraId="2EA57B4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1.00)</w:t>
            </w:r>
          </w:p>
        </w:tc>
        <w:tc>
          <w:tcPr>
            <w:tcW w:w="737" w:type="pct"/>
            <w:vAlign w:val="bottom"/>
          </w:tcPr>
          <w:p w14:paraId="1D76B3C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0.235</w:t>
            </w:r>
          </w:p>
        </w:tc>
        <w:tc>
          <w:tcPr>
            <w:tcW w:w="1351" w:type="pct"/>
            <w:noWrap/>
            <w:vAlign w:val="bottom"/>
          </w:tcPr>
          <w:p w14:paraId="6DDB852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1.00)</w:t>
            </w:r>
          </w:p>
        </w:tc>
        <w:tc>
          <w:tcPr>
            <w:tcW w:w="714" w:type="pct"/>
            <w:noWrap/>
            <w:vAlign w:val="bottom"/>
          </w:tcPr>
          <w:p w14:paraId="198F006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0.239</w:t>
            </w:r>
          </w:p>
        </w:tc>
      </w:tr>
      <w:tr w:rsidR="00F868F5" w:rsidRPr="00CC0480" w14:paraId="4BF0AF09" w14:textId="77777777" w:rsidTr="00606BC4">
        <w:trPr>
          <w:trHeight w:val="432"/>
        </w:trPr>
        <w:tc>
          <w:tcPr>
            <w:tcW w:w="985" w:type="pct"/>
            <w:tcBorders>
              <w:bottom w:val="single" w:sz="4" w:space="0" w:color="auto"/>
            </w:tcBorders>
            <w:noWrap/>
            <w:vAlign w:val="bottom"/>
            <w:hideMark/>
          </w:tcPr>
          <w:p w14:paraId="7367EEC3"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 LA</w:t>
            </w:r>
          </w:p>
        </w:tc>
        <w:tc>
          <w:tcPr>
            <w:tcW w:w="1213" w:type="pct"/>
            <w:tcBorders>
              <w:bottom w:val="single" w:sz="4" w:space="0" w:color="auto"/>
            </w:tcBorders>
            <w:noWrap/>
            <w:vAlign w:val="bottom"/>
          </w:tcPr>
          <w:p w14:paraId="753FAEE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0.17 (0.0 – 215.60)</w:t>
            </w:r>
          </w:p>
        </w:tc>
        <w:tc>
          <w:tcPr>
            <w:tcW w:w="737" w:type="pct"/>
            <w:tcBorders>
              <w:bottom w:val="single" w:sz="4" w:space="0" w:color="auto"/>
            </w:tcBorders>
            <w:vAlign w:val="bottom"/>
          </w:tcPr>
          <w:p w14:paraId="27254B0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0.629</w:t>
            </w:r>
          </w:p>
        </w:tc>
        <w:tc>
          <w:tcPr>
            <w:tcW w:w="1351" w:type="pct"/>
            <w:tcBorders>
              <w:bottom w:val="single" w:sz="4" w:space="0" w:color="auto"/>
            </w:tcBorders>
            <w:noWrap/>
            <w:vAlign w:val="bottom"/>
          </w:tcPr>
          <w:p w14:paraId="5CBB27A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0.02 (0.0 – 386.93)</w:t>
            </w:r>
          </w:p>
        </w:tc>
        <w:tc>
          <w:tcPr>
            <w:tcW w:w="714" w:type="pct"/>
            <w:tcBorders>
              <w:bottom w:val="single" w:sz="4" w:space="0" w:color="auto"/>
            </w:tcBorders>
            <w:noWrap/>
            <w:vAlign w:val="bottom"/>
          </w:tcPr>
          <w:p w14:paraId="12EDE82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0.420</w:t>
            </w:r>
          </w:p>
        </w:tc>
      </w:tr>
    </w:tbl>
    <w:p w14:paraId="6B77B7F2" w14:textId="77777777" w:rsidR="00F868F5" w:rsidRPr="00CC0480" w:rsidRDefault="00F868F5" w:rsidP="00F868F5">
      <w:pPr>
        <w:spacing w:after="0" w:line="240" w:lineRule="auto"/>
        <w:jc w:val="both"/>
        <w:rPr>
          <w:rFonts w:ascii="Arial" w:eastAsia="Times New Roman" w:hAnsi="Arial" w:cs="Arial"/>
          <w:sz w:val="18"/>
          <w:szCs w:val="18"/>
        </w:rPr>
      </w:pPr>
      <w:r w:rsidRPr="00CC0480">
        <w:rPr>
          <w:rFonts w:ascii="Arial" w:eastAsia="Times New Roman" w:hAnsi="Arial" w:cs="Arial"/>
          <w:color w:val="000000"/>
          <w:sz w:val="18"/>
          <w:szCs w:val="18"/>
        </w:rPr>
        <w:t>CI: Confidence interval</w:t>
      </w:r>
      <w:r w:rsidRPr="00CC0480">
        <w:rPr>
          <w:rFonts w:ascii="Arial" w:eastAsia="Times New Roman" w:hAnsi="Arial" w:cs="Arial"/>
          <w:sz w:val="18"/>
          <w:szCs w:val="18"/>
        </w:rPr>
        <w:t>, WBC – White blood cell, RBC – Red blood cell, HGB – Haemoglobin, HCT – Haematocrit, MCV – Mean cell volume, MCH – Mean cell haemoglobin, MCHC – Mean cell haemoglobin concentration, PLT – Platelet, MPV – Mean platelet volume, PCT – Plateletcrit, PDW – Platelet volume distribution width, PLCR – Platelet larger cell ratio, LA – Lupus anticoagulant</w:t>
      </w:r>
    </w:p>
    <w:p w14:paraId="6AD8AA49" w14:textId="77777777" w:rsidR="00F868F5" w:rsidRDefault="00F868F5" w:rsidP="00F868F5">
      <w:pPr>
        <w:jc w:val="both"/>
        <w:rPr>
          <w:rFonts w:ascii="Times New Roman" w:hAnsi="Times New Roman"/>
          <w:sz w:val="24"/>
          <w:szCs w:val="24"/>
        </w:rPr>
      </w:pPr>
    </w:p>
    <w:tbl>
      <w:tblPr>
        <w:tblW w:w="5000" w:type="pct"/>
        <w:tblLook w:val="04A0" w:firstRow="1" w:lastRow="0" w:firstColumn="1" w:lastColumn="0" w:noHBand="0" w:noVBand="1"/>
      </w:tblPr>
      <w:tblGrid>
        <w:gridCol w:w="1888"/>
        <w:gridCol w:w="2348"/>
        <w:gridCol w:w="1382"/>
        <w:gridCol w:w="2625"/>
        <w:gridCol w:w="1333"/>
      </w:tblGrid>
      <w:tr w:rsidR="00F868F5" w:rsidRPr="00CC0480" w14:paraId="2C09A3C5" w14:textId="77777777" w:rsidTr="00606BC4">
        <w:trPr>
          <w:trHeight w:val="432"/>
        </w:trPr>
        <w:tc>
          <w:tcPr>
            <w:tcW w:w="5000" w:type="pct"/>
            <w:gridSpan w:val="5"/>
            <w:tcBorders>
              <w:bottom w:val="single" w:sz="4" w:space="0" w:color="auto"/>
            </w:tcBorders>
            <w:noWrap/>
            <w:vAlign w:val="bottom"/>
          </w:tcPr>
          <w:p w14:paraId="1509979A" w14:textId="238E8D1D" w:rsidR="00F868F5" w:rsidRPr="00CC0480" w:rsidRDefault="00F868F5" w:rsidP="00606BC4">
            <w:pPr>
              <w:spacing w:after="0" w:line="240" w:lineRule="auto"/>
              <w:jc w:val="both"/>
              <w:rPr>
                <w:rFonts w:ascii="Arial" w:eastAsia="Times New Roman" w:hAnsi="Arial" w:cs="Arial"/>
                <w:b/>
                <w:bCs/>
                <w:sz w:val="18"/>
                <w:szCs w:val="18"/>
              </w:rPr>
            </w:pPr>
            <w:r w:rsidRPr="00CC0480">
              <w:rPr>
                <w:rFonts w:ascii="Arial" w:eastAsia="Times New Roman" w:hAnsi="Arial" w:cs="Arial"/>
                <w:b/>
                <w:bCs/>
                <w:sz w:val="18"/>
                <w:szCs w:val="18"/>
              </w:rPr>
              <w:t>Ta</w:t>
            </w:r>
            <w:r w:rsidRPr="00CC0480">
              <w:rPr>
                <w:rFonts w:ascii="Arial" w:eastAsia="Times New Roman" w:hAnsi="Arial" w:cs="Arial"/>
                <w:b/>
                <w:color w:val="000000"/>
                <w:sz w:val="18"/>
                <w:szCs w:val="18"/>
                <w:lang w:val="en-GB"/>
              </w:rPr>
              <w:t>b</w:t>
            </w:r>
            <w:r w:rsidRPr="00CC0480">
              <w:rPr>
                <w:rFonts w:ascii="Arial" w:eastAsia="Times New Roman" w:hAnsi="Arial" w:cs="Arial"/>
                <w:b/>
                <w:color w:val="000000"/>
                <w:sz w:val="18"/>
                <w:szCs w:val="18"/>
              </w:rPr>
              <w:t xml:space="preserve">le </w:t>
            </w:r>
            <w:r w:rsidR="006B3D99" w:rsidRPr="00CC0480">
              <w:rPr>
                <w:rFonts w:ascii="Arial" w:eastAsia="Times New Roman" w:hAnsi="Arial" w:cs="Arial"/>
                <w:b/>
                <w:color w:val="000000"/>
                <w:sz w:val="18"/>
                <w:szCs w:val="18"/>
              </w:rPr>
              <w:t>3</w:t>
            </w:r>
            <w:r w:rsidRPr="00CC0480">
              <w:rPr>
                <w:rFonts w:ascii="Arial" w:eastAsia="Times New Roman" w:hAnsi="Arial" w:cs="Arial"/>
                <w:b/>
                <w:color w:val="000000"/>
                <w:sz w:val="18"/>
                <w:szCs w:val="18"/>
              </w:rPr>
              <w:t>:</w:t>
            </w:r>
            <w:r w:rsidRPr="00CC0480">
              <w:rPr>
                <w:rFonts w:ascii="Arial" w:eastAsia="Times New Roman" w:hAnsi="Arial" w:cs="Arial"/>
                <w:b/>
                <w:bCs/>
                <w:sz w:val="18"/>
                <w:szCs w:val="18"/>
              </w:rPr>
              <w:t xml:space="preserve"> Associatio</w:t>
            </w:r>
            <w:r w:rsidRPr="00CC0480">
              <w:rPr>
                <w:rFonts w:ascii="Arial" w:eastAsia="Times New Roman" w:hAnsi="Arial" w:cs="Arial"/>
                <w:b/>
                <w:sz w:val="18"/>
                <w:szCs w:val="18"/>
              </w:rPr>
              <w:t>n</w:t>
            </w:r>
            <w:r w:rsidRPr="00CC0480">
              <w:rPr>
                <w:rFonts w:ascii="Arial" w:eastAsia="Times New Roman" w:hAnsi="Arial" w:cs="Arial"/>
                <w:b/>
                <w:bCs/>
                <w:sz w:val="18"/>
                <w:szCs w:val="18"/>
              </w:rPr>
              <w:t xml:space="preserve"> of Haematological profile, D-dimer and Lupus anticoagulant levels with high risk of VTE occurrence i</w:t>
            </w:r>
            <w:r w:rsidRPr="00CC0480">
              <w:rPr>
                <w:rFonts w:ascii="Arial" w:eastAsia="Times New Roman" w:hAnsi="Arial" w:cs="Arial"/>
                <w:b/>
                <w:sz w:val="18"/>
                <w:szCs w:val="18"/>
              </w:rPr>
              <w:t>n medical patients</w:t>
            </w:r>
          </w:p>
        </w:tc>
      </w:tr>
      <w:tr w:rsidR="00F868F5" w:rsidRPr="00CC0480" w14:paraId="0F5A8184" w14:textId="77777777" w:rsidTr="00606BC4">
        <w:trPr>
          <w:trHeight w:val="432"/>
        </w:trPr>
        <w:tc>
          <w:tcPr>
            <w:tcW w:w="985" w:type="pct"/>
            <w:tcBorders>
              <w:top w:val="single" w:sz="4" w:space="0" w:color="auto"/>
              <w:bottom w:val="single" w:sz="4" w:space="0" w:color="auto"/>
            </w:tcBorders>
            <w:noWrap/>
            <w:vAlign w:val="bottom"/>
          </w:tcPr>
          <w:p w14:paraId="08DC9895" w14:textId="77777777" w:rsidR="00F868F5" w:rsidRPr="00CC0480" w:rsidRDefault="00F868F5" w:rsidP="00606BC4">
            <w:pPr>
              <w:spacing w:after="0" w:line="240" w:lineRule="auto"/>
              <w:rPr>
                <w:rFonts w:ascii="Arial" w:eastAsia="Times New Roman" w:hAnsi="Arial" w:cs="Arial"/>
                <w:b/>
                <w:bCs/>
                <w:sz w:val="18"/>
                <w:szCs w:val="18"/>
              </w:rPr>
            </w:pPr>
          </w:p>
        </w:tc>
        <w:tc>
          <w:tcPr>
            <w:tcW w:w="1945" w:type="pct"/>
            <w:gridSpan w:val="2"/>
            <w:tcBorders>
              <w:top w:val="single" w:sz="4" w:space="0" w:color="auto"/>
              <w:bottom w:val="single" w:sz="4" w:space="0" w:color="auto"/>
            </w:tcBorders>
            <w:vAlign w:val="bottom"/>
          </w:tcPr>
          <w:p w14:paraId="11D641B5"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U</w:t>
            </w:r>
            <w:r w:rsidRPr="00CC0480">
              <w:rPr>
                <w:rFonts w:ascii="Arial" w:eastAsia="Times New Roman" w:hAnsi="Arial" w:cs="Arial"/>
                <w:b/>
                <w:sz w:val="18"/>
                <w:szCs w:val="18"/>
              </w:rPr>
              <w:t>nivariate Logistic Regression</w:t>
            </w:r>
          </w:p>
        </w:tc>
        <w:tc>
          <w:tcPr>
            <w:tcW w:w="2070" w:type="pct"/>
            <w:gridSpan w:val="2"/>
            <w:tcBorders>
              <w:top w:val="single" w:sz="4" w:space="0" w:color="auto"/>
              <w:bottom w:val="single" w:sz="4" w:space="0" w:color="auto"/>
            </w:tcBorders>
            <w:vAlign w:val="bottom"/>
          </w:tcPr>
          <w:p w14:paraId="63A36B5C"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Mult</w:t>
            </w:r>
            <w:r w:rsidRPr="00CC0480">
              <w:rPr>
                <w:rFonts w:ascii="Arial" w:eastAsia="Times New Roman" w:hAnsi="Arial" w:cs="Arial"/>
                <w:b/>
                <w:sz w:val="18"/>
                <w:szCs w:val="18"/>
              </w:rPr>
              <w:t>ivariate Logistic Regression</w:t>
            </w:r>
          </w:p>
        </w:tc>
      </w:tr>
      <w:tr w:rsidR="00F868F5" w:rsidRPr="00CC0480" w14:paraId="7872DFAC" w14:textId="77777777" w:rsidTr="00606BC4">
        <w:trPr>
          <w:trHeight w:val="432"/>
        </w:trPr>
        <w:tc>
          <w:tcPr>
            <w:tcW w:w="985" w:type="pct"/>
            <w:tcBorders>
              <w:top w:val="single" w:sz="4" w:space="0" w:color="auto"/>
              <w:bottom w:val="single" w:sz="4" w:space="0" w:color="auto"/>
            </w:tcBorders>
            <w:noWrap/>
            <w:vAlign w:val="bottom"/>
            <w:hideMark/>
          </w:tcPr>
          <w:p w14:paraId="1E27574F" w14:textId="77777777" w:rsidR="00F868F5" w:rsidRPr="00CC0480" w:rsidRDefault="00F868F5" w:rsidP="00606BC4">
            <w:pPr>
              <w:spacing w:after="0" w:line="240" w:lineRule="auto"/>
              <w:rPr>
                <w:rFonts w:ascii="Arial" w:eastAsia="Times New Roman" w:hAnsi="Arial" w:cs="Arial"/>
                <w:b/>
                <w:bCs/>
                <w:sz w:val="18"/>
                <w:szCs w:val="18"/>
              </w:rPr>
            </w:pPr>
            <w:r w:rsidRPr="00CC0480">
              <w:rPr>
                <w:rFonts w:ascii="Arial" w:eastAsia="Times New Roman" w:hAnsi="Arial" w:cs="Arial"/>
                <w:b/>
                <w:bCs/>
                <w:sz w:val="18"/>
                <w:szCs w:val="18"/>
              </w:rPr>
              <w:t>Parameter</w:t>
            </w:r>
          </w:p>
        </w:tc>
        <w:tc>
          <w:tcPr>
            <w:tcW w:w="1232" w:type="pct"/>
            <w:tcBorders>
              <w:top w:val="single" w:sz="4" w:space="0" w:color="auto"/>
              <w:bottom w:val="single" w:sz="4" w:space="0" w:color="auto"/>
            </w:tcBorders>
            <w:vAlign w:val="bottom"/>
            <w:hideMark/>
          </w:tcPr>
          <w:p w14:paraId="664D2792"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Odds Ratio </w:t>
            </w:r>
          </w:p>
          <w:p w14:paraId="38F3FCE2"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sz w:val="18"/>
                <w:szCs w:val="18"/>
              </w:rPr>
              <w:t xml:space="preserve">(95%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714" w:type="pct"/>
            <w:tcBorders>
              <w:top w:val="single" w:sz="4" w:space="0" w:color="auto"/>
              <w:bottom w:val="single" w:sz="4" w:space="0" w:color="auto"/>
            </w:tcBorders>
            <w:vAlign w:val="bottom"/>
          </w:tcPr>
          <w:p w14:paraId="033932B6"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bCs/>
                <w:sz w:val="18"/>
                <w:szCs w:val="18"/>
              </w:rPr>
              <w:t>P-value</w:t>
            </w:r>
          </w:p>
        </w:tc>
        <w:tc>
          <w:tcPr>
            <w:tcW w:w="1381" w:type="pct"/>
            <w:tcBorders>
              <w:top w:val="single" w:sz="4" w:space="0" w:color="auto"/>
              <w:bottom w:val="single" w:sz="4" w:space="0" w:color="auto"/>
            </w:tcBorders>
            <w:vAlign w:val="bottom"/>
            <w:hideMark/>
          </w:tcPr>
          <w:p w14:paraId="445B23F8"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Adjusted Odds Ratio (95%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689" w:type="pct"/>
            <w:tcBorders>
              <w:top w:val="single" w:sz="4" w:space="0" w:color="auto"/>
              <w:bottom w:val="single" w:sz="4" w:space="0" w:color="auto"/>
            </w:tcBorders>
            <w:noWrap/>
            <w:vAlign w:val="bottom"/>
            <w:hideMark/>
          </w:tcPr>
          <w:p w14:paraId="777FAF3E"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P-value</w:t>
            </w:r>
          </w:p>
        </w:tc>
      </w:tr>
      <w:tr w:rsidR="00F868F5" w:rsidRPr="00CC0480" w14:paraId="7BF66DB3" w14:textId="77777777" w:rsidTr="00606BC4">
        <w:trPr>
          <w:trHeight w:val="432"/>
        </w:trPr>
        <w:tc>
          <w:tcPr>
            <w:tcW w:w="985" w:type="pct"/>
            <w:tcBorders>
              <w:top w:val="single" w:sz="4" w:space="0" w:color="auto"/>
            </w:tcBorders>
            <w:noWrap/>
            <w:vAlign w:val="bottom"/>
            <w:hideMark/>
          </w:tcPr>
          <w:p w14:paraId="69FBB6F4"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WBC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tcBorders>
              <w:top w:val="single" w:sz="4" w:space="0" w:color="auto"/>
            </w:tcBorders>
            <w:noWrap/>
            <w:vAlign w:val="bottom"/>
          </w:tcPr>
          <w:p w14:paraId="78A6970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(0.79 – 1.30)</w:t>
            </w:r>
          </w:p>
        </w:tc>
        <w:tc>
          <w:tcPr>
            <w:tcW w:w="714" w:type="pct"/>
            <w:tcBorders>
              <w:top w:val="single" w:sz="4" w:space="0" w:color="auto"/>
            </w:tcBorders>
            <w:vAlign w:val="bottom"/>
          </w:tcPr>
          <w:p w14:paraId="29FC4F4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0.069</w:t>
            </w:r>
          </w:p>
        </w:tc>
        <w:tc>
          <w:tcPr>
            <w:tcW w:w="1381" w:type="pct"/>
            <w:tcBorders>
              <w:top w:val="single" w:sz="4" w:space="0" w:color="auto"/>
            </w:tcBorders>
            <w:noWrap/>
            <w:vAlign w:val="bottom"/>
          </w:tcPr>
          <w:p w14:paraId="4F79C33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1.04 (0.76 – 1.44)</w:t>
            </w:r>
          </w:p>
        </w:tc>
        <w:tc>
          <w:tcPr>
            <w:tcW w:w="689" w:type="pct"/>
            <w:tcBorders>
              <w:top w:val="single" w:sz="4" w:space="0" w:color="auto"/>
            </w:tcBorders>
            <w:noWrap/>
            <w:vAlign w:val="bottom"/>
            <w:hideMark/>
          </w:tcPr>
          <w:p w14:paraId="0D43C55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0.796</w:t>
            </w:r>
          </w:p>
        </w:tc>
      </w:tr>
      <w:tr w:rsidR="00F868F5" w:rsidRPr="00CC0480" w14:paraId="73FF2D20" w14:textId="77777777" w:rsidTr="00606BC4">
        <w:trPr>
          <w:trHeight w:val="432"/>
        </w:trPr>
        <w:tc>
          <w:tcPr>
            <w:tcW w:w="985" w:type="pct"/>
            <w:noWrap/>
            <w:vAlign w:val="bottom"/>
            <w:hideMark/>
          </w:tcPr>
          <w:p w14:paraId="37DB56BA"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Neutrophil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749AEA3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(0.80 – 1.28)</w:t>
            </w:r>
          </w:p>
        </w:tc>
        <w:tc>
          <w:tcPr>
            <w:tcW w:w="714" w:type="pct"/>
            <w:vAlign w:val="bottom"/>
          </w:tcPr>
          <w:p w14:paraId="76185F9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0.109</w:t>
            </w:r>
          </w:p>
        </w:tc>
        <w:tc>
          <w:tcPr>
            <w:tcW w:w="1381" w:type="pct"/>
            <w:noWrap/>
            <w:vAlign w:val="bottom"/>
          </w:tcPr>
          <w:p w14:paraId="201786B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1.13 (0.81 – 1.57)</w:t>
            </w:r>
          </w:p>
        </w:tc>
        <w:tc>
          <w:tcPr>
            <w:tcW w:w="689" w:type="pct"/>
            <w:noWrap/>
            <w:vAlign w:val="bottom"/>
            <w:hideMark/>
          </w:tcPr>
          <w:p w14:paraId="4197B4C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0.468</w:t>
            </w:r>
          </w:p>
        </w:tc>
      </w:tr>
      <w:tr w:rsidR="00F868F5" w:rsidRPr="00CC0480" w14:paraId="4D808EB6" w14:textId="77777777" w:rsidTr="00606BC4">
        <w:trPr>
          <w:trHeight w:val="432"/>
        </w:trPr>
        <w:tc>
          <w:tcPr>
            <w:tcW w:w="985" w:type="pct"/>
            <w:noWrap/>
            <w:vAlign w:val="bottom"/>
            <w:hideMark/>
          </w:tcPr>
          <w:p w14:paraId="1F7327FA"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Lymphocyte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1FD1655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0.92 (0.37 – 2.32)</w:t>
            </w:r>
          </w:p>
        </w:tc>
        <w:tc>
          <w:tcPr>
            <w:tcW w:w="714" w:type="pct"/>
            <w:vAlign w:val="bottom"/>
          </w:tcPr>
          <w:p w14:paraId="3F293A9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0.867</w:t>
            </w:r>
          </w:p>
        </w:tc>
        <w:tc>
          <w:tcPr>
            <w:tcW w:w="1381" w:type="pct"/>
            <w:noWrap/>
            <w:vAlign w:val="bottom"/>
          </w:tcPr>
          <w:p w14:paraId="2BBA262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0.14 (0.03 – 0.82)</w:t>
            </w:r>
          </w:p>
        </w:tc>
        <w:tc>
          <w:tcPr>
            <w:tcW w:w="689" w:type="pct"/>
            <w:noWrap/>
            <w:vAlign w:val="bottom"/>
            <w:hideMark/>
          </w:tcPr>
          <w:p w14:paraId="1F56517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0.029*</w:t>
            </w:r>
          </w:p>
        </w:tc>
      </w:tr>
      <w:tr w:rsidR="00F868F5" w:rsidRPr="00CC0480" w14:paraId="5B82D252" w14:textId="77777777" w:rsidTr="00606BC4">
        <w:trPr>
          <w:trHeight w:val="432"/>
        </w:trPr>
        <w:tc>
          <w:tcPr>
            <w:tcW w:w="985" w:type="pct"/>
            <w:noWrap/>
            <w:vAlign w:val="bottom"/>
            <w:hideMark/>
          </w:tcPr>
          <w:p w14:paraId="57EFAA57"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Monocyte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2066BDB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0.18 (0.01 – 4.89)</w:t>
            </w:r>
          </w:p>
        </w:tc>
        <w:tc>
          <w:tcPr>
            <w:tcW w:w="714" w:type="pct"/>
            <w:vAlign w:val="bottom"/>
          </w:tcPr>
          <w:p w14:paraId="20892E3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0.308</w:t>
            </w:r>
          </w:p>
        </w:tc>
        <w:tc>
          <w:tcPr>
            <w:tcW w:w="1381" w:type="pct"/>
            <w:noWrap/>
            <w:vAlign w:val="bottom"/>
          </w:tcPr>
          <w:p w14:paraId="49BDA1F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0.65 (0.0 – 120.39)</w:t>
            </w:r>
          </w:p>
        </w:tc>
        <w:tc>
          <w:tcPr>
            <w:tcW w:w="689" w:type="pct"/>
            <w:noWrap/>
            <w:vAlign w:val="bottom"/>
            <w:hideMark/>
          </w:tcPr>
          <w:p w14:paraId="0AFB088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0.872</w:t>
            </w:r>
          </w:p>
        </w:tc>
      </w:tr>
      <w:tr w:rsidR="00F868F5" w:rsidRPr="00CC0480" w14:paraId="6C750295" w14:textId="77777777" w:rsidTr="00606BC4">
        <w:trPr>
          <w:trHeight w:val="432"/>
        </w:trPr>
        <w:tc>
          <w:tcPr>
            <w:tcW w:w="985" w:type="pct"/>
            <w:noWrap/>
            <w:vAlign w:val="bottom"/>
            <w:hideMark/>
          </w:tcPr>
          <w:p w14:paraId="44CB853B"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Eosinophil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4EC3026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0.17 (0.0 – 21.08)</w:t>
            </w:r>
          </w:p>
        </w:tc>
        <w:tc>
          <w:tcPr>
            <w:tcW w:w="714" w:type="pct"/>
            <w:vAlign w:val="bottom"/>
          </w:tcPr>
          <w:p w14:paraId="2A40C8D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0.262</w:t>
            </w:r>
          </w:p>
        </w:tc>
        <w:tc>
          <w:tcPr>
            <w:tcW w:w="1381" w:type="pct"/>
            <w:noWrap/>
            <w:vAlign w:val="bottom"/>
          </w:tcPr>
          <w:p w14:paraId="1265D79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 (0.0 – 19.96)</w:t>
            </w:r>
          </w:p>
        </w:tc>
        <w:tc>
          <w:tcPr>
            <w:tcW w:w="689" w:type="pct"/>
            <w:noWrap/>
            <w:vAlign w:val="bottom"/>
            <w:hideMark/>
          </w:tcPr>
          <w:p w14:paraId="680D975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0.118</w:t>
            </w:r>
          </w:p>
        </w:tc>
      </w:tr>
      <w:tr w:rsidR="00F868F5" w:rsidRPr="00CC0480" w14:paraId="77C13D81" w14:textId="77777777" w:rsidTr="00606BC4">
        <w:trPr>
          <w:trHeight w:val="432"/>
        </w:trPr>
        <w:tc>
          <w:tcPr>
            <w:tcW w:w="985" w:type="pct"/>
            <w:noWrap/>
            <w:vAlign w:val="bottom"/>
            <w:hideMark/>
          </w:tcPr>
          <w:p w14:paraId="5FF0FD9F"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lastRenderedPageBreak/>
              <w:t xml:space="preserve">Basophil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3B3EA16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0.70 (0.0 – 3.31 x 10</w:t>
            </w:r>
            <w:r w:rsidRPr="00CC0480">
              <w:rPr>
                <w:rFonts w:ascii="Arial" w:eastAsia="Times New Roman" w:hAnsi="Arial" w:cs="Arial"/>
                <w:sz w:val="18"/>
                <w:szCs w:val="18"/>
                <w:vertAlign w:val="superscript"/>
              </w:rPr>
              <w:t>7</w:t>
            </w:r>
            <w:r w:rsidRPr="00CC0480">
              <w:rPr>
                <w:rFonts w:ascii="Arial" w:eastAsia="Times New Roman" w:hAnsi="Arial" w:cs="Arial"/>
                <w:sz w:val="18"/>
                <w:szCs w:val="18"/>
              </w:rPr>
              <w:t>)</w:t>
            </w:r>
          </w:p>
        </w:tc>
        <w:tc>
          <w:tcPr>
            <w:tcW w:w="714" w:type="pct"/>
            <w:vAlign w:val="bottom"/>
          </w:tcPr>
          <w:p w14:paraId="6CC250F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0.968</w:t>
            </w:r>
          </w:p>
        </w:tc>
        <w:tc>
          <w:tcPr>
            <w:tcW w:w="1381" w:type="pct"/>
            <w:noWrap/>
            <w:vAlign w:val="bottom"/>
          </w:tcPr>
          <w:p w14:paraId="75AA0E0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 (0.0 – 8.54 x 10</w:t>
            </w:r>
            <w:r w:rsidRPr="00CC0480">
              <w:rPr>
                <w:rFonts w:ascii="Arial" w:eastAsia="Times New Roman" w:hAnsi="Arial" w:cs="Arial"/>
                <w:sz w:val="18"/>
                <w:szCs w:val="18"/>
                <w:vertAlign w:val="superscript"/>
              </w:rPr>
              <w:t>5</w:t>
            </w:r>
            <w:r w:rsidRPr="00CC0480">
              <w:rPr>
                <w:rFonts w:ascii="Arial" w:eastAsia="Times New Roman" w:hAnsi="Arial" w:cs="Arial"/>
                <w:sz w:val="18"/>
                <w:szCs w:val="18"/>
              </w:rPr>
              <w:t>)</w:t>
            </w:r>
          </w:p>
        </w:tc>
        <w:tc>
          <w:tcPr>
            <w:tcW w:w="689" w:type="pct"/>
            <w:noWrap/>
            <w:vAlign w:val="bottom"/>
            <w:hideMark/>
          </w:tcPr>
          <w:p w14:paraId="17E999E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0.430</w:t>
            </w:r>
          </w:p>
        </w:tc>
      </w:tr>
      <w:tr w:rsidR="00F868F5" w:rsidRPr="00CC0480" w14:paraId="43468FBE" w14:textId="77777777" w:rsidTr="00606BC4">
        <w:trPr>
          <w:trHeight w:val="432"/>
        </w:trPr>
        <w:tc>
          <w:tcPr>
            <w:tcW w:w="985" w:type="pct"/>
            <w:noWrap/>
            <w:vAlign w:val="bottom"/>
            <w:hideMark/>
          </w:tcPr>
          <w:p w14:paraId="4B6165DD"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RBC (×10</w:t>
            </w:r>
            <w:r w:rsidRPr="00CC0480">
              <w:rPr>
                <w:rFonts w:ascii="Arial" w:eastAsia="Times New Roman" w:hAnsi="Arial" w:cs="Arial"/>
                <w:sz w:val="18"/>
                <w:szCs w:val="18"/>
                <w:vertAlign w:val="superscript"/>
              </w:rPr>
              <w:t>12</w:t>
            </w:r>
            <w:r w:rsidRPr="00CC0480">
              <w:rPr>
                <w:rFonts w:ascii="Arial" w:eastAsia="Times New Roman" w:hAnsi="Arial" w:cs="Arial"/>
                <w:sz w:val="18"/>
                <w:szCs w:val="18"/>
              </w:rPr>
              <w:t>/L)</w:t>
            </w:r>
          </w:p>
        </w:tc>
        <w:tc>
          <w:tcPr>
            <w:tcW w:w="1232" w:type="pct"/>
            <w:vAlign w:val="bottom"/>
          </w:tcPr>
          <w:p w14:paraId="728DAD9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3.01 (1.08 – 8.42)</w:t>
            </w:r>
          </w:p>
        </w:tc>
        <w:tc>
          <w:tcPr>
            <w:tcW w:w="714" w:type="pct"/>
            <w:vAlign w:val="bottom"/>
          </w:tcPr>
          <w:p w14:paraId="404A7A8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0.036*</w:t>
            </w:r>
          </w:p>
        </w:tc>
        <w:tc>
          <w:tcPr>
            <w:tcW w:w="1381" w:type="pct"/>
            <w:noWrap/>
            <w:vAlign w:val="bottom"/>
          </w:tcPr>
          <w:p w14:paraId="044BC89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6.09 (1.09 – 34.06)</w:t>
            </w:r>
          </w:p>
        </w:tc>
        <w:tc>
          <w:tcPr>
            <w:tcW w:w="689" w:type="pct"/>
            <w:noWrap/>
            <w:vAlign w:val="bottom"/>
            <w:hideMark/>
          </w:tcPr>
          <w:p w14:paraId="6A5B152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0.040*</w:t>
            </w:r>
          </w:p>
        </w:tc>
      </w:tr>
      <w:tr w:rsidR="00F868F5" w:rsidRPr="00CC0480" w14:paraId="7C09B0EC" w14:textId="77777777" w:rsidTr="00606BC4">
        <w:trPr>
          <w:trHeight w:val="432"/>
        </w:trPr>
        <w:tc>
          <w:tcPr>
            <w:tcW w:w="985" w:type="pct"/>
            <w:noWrap/>
            <w:vAlign w:val="bottom"/>
            <w:hideMark/>
          </w:tcPr>
          <w:p w14:paraId="0505566D"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HGB (g/dl) </w:t>
            </w:r>
          </w:p>
        </w:tc>
        <w:tc>
          <w:tcPr>
            <w:tcW w:w="1232" w:type="pct"/>
            <w:vAlign w:val="bottom"/>
          </w:tcPr>
          <w:p w14:paraId="38D1446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1.39 (0.98 – 1.98)</w:t>
            </w:r>
          </w:p>
        </w:tc>
        <w:tc>
          <w:tcPr>
            <w:tcW w:w="714" w:type="pct"/>
            <w:vAlign w:val="bottom"/>
          </w:tcPr>
          <w:p w14:paraId="4F38FA3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0.062</w:t>
            </w:r>
          </w:p>
        </w:tc>
        <w:tc>
          <w:tcPr>
            <w:tcW w:w="1381" w:type="pct"/>
            <w:noWrap/>
            <w:vAlign w:val="bottom"/>
          </w:tcPr>
          <w:p w14:paraId="57E47DB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1.64 (0.95 – 2.82)</w:t>
            </w:r>
          </w:p>
        </w:tc>
        <w:tc>
          <w:tcPr>
            <w:tcW w:w="689" w:type="pct"/>
            <w:noWrap/>
            <w:vAlign w:val="bottom"/>
            <w:hideMark/>
          </w:tcPr>
          <w:p w14:paraId="73B82FA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0.075</w:t>
            </w:r>
          </w:p>
        </w:tc>
      </w:tr>
      <w:tr w:rsidR="00F868F5" w:rsidRPr="00CC0480" w14:paraId="650710AF" w14:textId="77777777" w:rsidTr="00606BC4">
        <w:trPr>
          <w:trHeight w:val="432"/>
        </w:trPr>
        <w:tc>
          <w:tcPr>
            <w:tcW w:w="985" w:type="pct"/>
            <w:noWrap/>
            <w:vAlign w:val="bottom"/>
            <w:hideMark/>
          </w:tcPr>
          <w:p w14:paraId="1AD54D0A"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HCT (%) </w:t>
            </w:r>
          </w:p>
        </w:tc>
        <w:tc>
          <w:tcPr>
            <w:tcW w:w="1232" w:type="pct"/>
            <w:vAlign w:val="bottom"/>
          </w:tcPr>
          <w:p w14:paraId="03F9437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1.04 (0.96 – 1.14)</w:t>
            </w:r>
          </w:p>
        </w:tc>
        <w:tc>
          <w:tcPr>
            <w:tcW w:w="714" w:type="pct"/>
            <w:vAlign w:val="bottom"/>
          </w:tcPr>
          <w:p w14:paraId="0C9ED77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0.333</w:t>
            </w:r>
          </w:p>
        </w:tc>
        <w:tc>
          <w:tcPr>
            <w:tcW w:w="1381" w:type="pct"/>
            <w:noWrap/>
            <w:vAlign w:val="bottom"/>
          </w:tcPr>
          <w:p w14:paraId="44BDE8B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1.08 (0.94 – 1.24)</w:t>
            </w:r>
          </w:p>
        </w:tc>
        <w:tc>
          <w:tcPr>
            <w:tcW w:w="689" w:type="pct"/>
            <w:noWrap/>
            <w:vAlign w:val="bottom"/>
            <w:hideMark/>
          </w:tcPr>
          <w:p w14:paraId="4496B76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0.287</w:t>
            </w:r>
          </w:p>
        </w:tc>
      </w:tr>
      <w:tr w:rsidR="00F868F5" w:rsidRPr="00CC0480" w14:paraId="7DE9703C" w14:textId="77777777" w:rsidTr="00606BC4">
        <w:trPr>
          <w:trHeight w:val="432"/>
        </w:trPr>
        <w:tc>
          <w:tcPr>
            <w:tcW w:w="985" w:type="pct"/>
            <w:noWrap/>
            <w:vAlign w:val="bottom"/>
            <w:hideMark/>
          </w:tcPr>
          <w:p w14:paraId="5B17E5BC"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MCV (fl) </w:t>
            </w:r>
          </w:p>
        </w:tc>
        <w:tc>
          <w:tcPr>
            <w:tcW w:w="1232" w:type="pct"/>
            <w:vAlign w:val="bottom"/>
          </w:tcPr>
          <w:p w14:paraId="3ED5472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(0.98 – 1.03)</w:t>
            </w:r>
          </w:p>
        </w:tc>
        <w:tc>
          <w:tcPr>
            <w:tcW w:w="714" w:type="pct"/>
            <w:vAlign w:val="bottom"/>
          </w:tcPr>
          <w:p w14:paraId="17182FB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0.878</w:t>
            </w:r>
          </w:p>
        </w:tc>
        <w:tc>
          <w:tcPr>
            <w:tcW w:w="1381" w:type="pct"/>
            <w:noWrap/>
            <w:vAlign w:val="bottom"/>
          </w:tcPr>
          <w:p w14:paraId="15EB32F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1.02 (0.98 – 1.07)</w:t>
            </w:r>
          </w:p>
        </w:tc>
        <w:tc>
          <w:tcPr>
            <w:tcW w:w="689" w:type="pct"/>
            <w:noWrap/>
            <w:vAlign w:val="bottom"/>
            <w:hideMark/>
          </w:tcPr>
          <w:p w14:paraId="7B0EB2A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0.331</w:t>
            </w:r>
          </w:p>
        </w:tc>
      </w:tr>
      <w:tr w:rsidR="00F868F5" w:rsidRPr="00CC0480" w14:paraId="4CBB5CE0" w14:textId="77777777" w:rsidTr="00606BC4">
        <w:trPr>
          <w:trHeight w:val="432"/>
        </w:trPr>
        <w:tc>
          <w:tcPr>
            <w:tcW w:w="985" w:type="pct"/>
            <w:noWrap/>
            <w:vAlign w:val="bottom"/>
            <w:hideMark/>
          </w:tcPr>
          <w:p w14:paraId="7F83A275"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 (pg) </w:t>
            </w:r>
          </w:p>
        </w:tc>
        <w:tc>
          <w:tcPr>
            <w:tcW w:w="1232" w:type="pct"/>
            <w:vAlign w:val="bottom"/>
          </w:tcPr>
          <w:p w14:paraId="77FC5BA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0.848 (0.63 – 1.14)</w:t>
            </w:r>
          </w:p>
        </w:tc>
        <w:tc>
          <w:tcPr>
            <w:tcW w:w="714" w:type="pct"/>
            <w:vAlign w:val="bottom"/>
          </w:tcPr>
          <w:p w14:paraId="275557A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0.271</w:t>
            </w:r>
          </w:p>
        </w:tc>
        <w:tc>
          <w:tcPr>
            <w:tcW w:w="1381" w:type="pct"/>
            <w:noWrap/>
            <w:vAlign w:val="bottom"/>
          </w:tcPr>
          <w:p w14:paraId="1010AC3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0.79 (0.50 – 1.26)</w:t>
            </w:r>
          </w:p>
        </w:tc>
        <w:tc>
          <w:tcPr>
            <w:tcW w:w="689" w:type="pct"/>
            <w:noWrap/>
            <w:vAlign w:val="bottom"/>
            <w:hideMark/>
          </w:tcPr>
          <w:p w14:paraId="6AAB67D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0.321</w:t>
            </w:r>
          </w:p>
        </w:tc>
      </w:tr>
      <w:tr w:rsidR="00F868F5" w:rsidRPr="00CC0480" w14:paraId="7AAF99C4" w14:textId="77777777" w:rsidTr="00606BC4">
        <w:trPr>
          <w:trHeight w:val="432"/>
        </w:trPr>
        <w:tc>
          <w:tcPr>
            <w:tcW w:w="985" w:type="pct"/>
            <w:noWrap/>
            <w:vAlign w:val="bottom"/>
            <w:hideMark/>
          </w:tcPr>
          <w:p w14:paraId="4AE6D8F0"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MCHC (g/l) </w:t>
            </w:r>
          </w:p>
        </w:tc>
        <w:tc>
          <w:tcPr>
            <w:tcW w:w="1232" w:type="pct"/>
            <w:vAlign w:val="bottom"/>
          </w:tcPr>
          <w:p w14:paraId="151D47A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0.42 (0.19 – 0.92)</w:t>
            </w:r>
          </w:p>
        </w:tc>
        <w:tc>
          <w:tcPr>
            <w:tcW w:w="714" w:type="pct"/>
            <w:vAlign w:val="bottom"/>
          </w:tcPr>
          <w:p w14:paraId="1F53A58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0.030*</w:t>
            </w:r>
          </w:p>
        </w:tc>
        <w:tc>
          <w:tcPr>
            <w:tcW w:w="1381" w:type="pct"/>
            <w:noWrap/>
            <w:vAlign w:val="bottom"/>
          </w:tcPr>
          <w:p w14:paraId="67029C5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0.01 (0.01 – 0.71)</w:t>
            </w:r>
          </w:p>
        </w:tc>
        <w:tc>
          <w:tcPr>
            <w:tcW w:w="689" w:type="pct"/>
            <w:noWrap/>
            <w:vAlign w:val="bottom"/>
            <w:hideMark/>
          </w:tcPr>
          <w:p w14:paraId="6A347D1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0.022*</w:t>
            </w:r>
          </w:p>
        </w:tc>
      </w:tr>
      <w:tr w:rsidR="00F868F5" w:rsidRPr="00CC0480" w14:paraId="6D86818A" w14:textId="77777777" w:rsidTr="00606BC4">
        <w:trPr>
          <w:trHeight w:val="432"/>
        </w:trPr>
        <w:tc>
          <w:tcPr>
            <w:tcW w:w="985" w:type="pct"/>
            <w:noWrap/>
            <w:vAlign w:val="bottom"/>
            <w:hideMark/>
          </w:tcPr>
          <w:p w14:paraId="3DAB002B"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PLT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32" w:type="pct"/>
            <w:vAlign w:val="bottom"/>
          </w:tcPr>
          <w:p w14:paraId="6432572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1.01)</w:t>
            </w:r>
          </w:p>
        </w:tc>
        <w:tc>
          <w:tcPr>
            <w:tcW w:w="714" w:type="pct"/>
            <w:vAlign w:val="bottom"/>
          </w:tcPr>
          <w:p w14:paraId="7A462B5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0.815</w:t>
            </w:r>
          </w:p>
        </w:tc>
        <w:tc>
          <w:tcPr>
            <w:tcW w:w="1381" w:type="pct"/>
            <w:noWrap/>
            <w:vAlign w:val="bottom"/>
          </w:tcPr>
          <w:p w14:paraId="70FA717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(1.00 – 1.03)</w:t>
            </w:r>
          </w:p>
        </w:tc>
        <w:tc>
          <w:tcPr>
            <w:tcW w:w="689" w:type="pct"/>
            <w:noWrap/>
            <w:vAlign w:val="bottom"/>
            <w:hideMark/>
          </w:tcPr>
          <w:p w14:paraId="52DFC49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0.086</w:t>
            </w:r>
          </w:p>
        </w:tc>
      </w:tr>
      <w:tr w:rsidR="00F868F5" w:rsidRPr="00CC0480" w14:paraId="0621763B" w14:textId="77777777" w:rsidTr="00606BC4">
        <w:trPr>
          <w:trHeight w:val="432"/>
        </w:trPr>
        <w:tc>
          <w:tcPr>
            <w:tcW w:w="985" w:type="pct"/>
            <w:noWrap/>
            <w:vAlign w:val="bottom"/>
            <w:hideMark/>
          </w:tcPr>
          <w:p w14:paraId="5C248869"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MPV (fl)</w:t>
            </w:r>
          </w:p>
        </w:tc>
        <w:tc>
          <w:tcPr>
            <w:tcW w:w="1232" w:type="pct"/>
            <w:vAlign w:val="bottom"/>
          </w:tcPr>
          <w:p w14:paraId="009218F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1.03 (0.56 – 1.88)</w:t>
            </w:r>
          </w:p>
        </w:tc>
        <w:tc>
          <w:tcPr>
            <w:tcW w:w="714" w:type="pct"/>
            <w:vAlign w:val="bottom"/>
          </w:tcPr>
          <w:p w14:paraId="7FD44FA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0.927</w:t>
            </w:r>
          </w:p>
        </w:tc>
        <w:tc>
          <w:tcPr>
            <w:tcW w:w="1381" w:type="pct"/>
            <w:noWrap/>
            <w:vAlign w:val="bottom"/>
          </w:tcPr>
          <w:p w14:paraId="0F00EC6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0.93 (3.6 – 2.42)</w:t>
            </w:r>
          </w:p>
        </w:tc>
        <w:tc>
          <w:tcPr>
            <w:tcW w:w="689" w:type="pct"/>
            <w:noWrap/>
            <w:vAlign w:val="bottom"/>
            <w:hideMark/>
          </w:tcPr>
          <w:p w14:paraId="3178E62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0.876</w:t>
            </w:r>
          </w:p>
        </w:tc>
      </w:tr>
      <w:tr w:rsidR="00F868F5" w:rsidRPr="00CC0480" w14:paraId="30ED887D" w14:textId="77777777" w:rsidTr="00606BC4">
        <w:trPr>
          <w:trHeight w:val="432"/>
        </w:trPr>
        <w:tc>
          <w:tcPr>
            <w:tcW w:w="985" w:type="pct"/>
            <w:noWrap/>
            <w:vAlign w:val="bottom"/>
            <w:hideMark/>
          </w:tcPr>
          <w:p w14:paraId="4CC15AAC"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PCT (%) </w:t>
            </w:r>
          </w:p>
        </w:tc>
        <w:tc>
          <w:tcPr>
            <w:tcW w:w="1232" w:type="pct"/>
            <w:vAlign w:val="bottom"/>
          </w:tcPr>
          <w:p w14:paraId="30C05CE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9.31 (0.0 – 4.87 x 10</w:t>
            </w:r>
            <w:r w:rsidRPr="00CC0480">
              <w:rPr>
                <w:rFonts w:ascii="Arial" w:eastAsia="Times New Roman" w:hAnsi="Arial" w:cs="Arial"/>
                <w:sz w:val="18"/>
                <w:szCs w:val="18"/>
                <w:vertAlign w:val="superscript"/>
              </w:rPr>
              <w:t>4</w:t>
            </w:r>
            <w:r w:rsidRPr="00CC0480">
              <w:rPr>
                <w:rFonts w:ascii="Arial" w:eastAsia="Times New Roman" w:hAnsi="Arial" w:cs="Arial"/>
                <w:sz w:val="18"/>
                <w:szCs w:val="18"/>
              </w:rPr>
              <w:t>)</w:t>
            </w:r>
          </w:p>
        </w:tc>
        <w:tc>
          <w:tcPr>
            <w:tcW w:w="714" w:type="pct"/>
            <w:vAlign w:val="bottom"/>
          </w:tcPr>
          <w:p w14:paraId="5EB8599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0.609</w:t>
            </w:r>
          </w:p>
        </w:tc>
        <w:tc>
          <w:tcPr>
            <w:tcW w:w="1381" w:type="pct"/>
            <w:noWrap/>
            <w:vAlign w:val="bottom"/>
          </w:tcPr>
          <w:p w14:paraId="6151C9A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6.6 x 10</w:t>
            </w:r>
            <w:r w:rsidRPr="00CC0480">
              <w:rPr>
                <w:rFonts w:ascii="Arial" w:eastAsia="Times New Roman" w:hAnsi="Arial" w:cs="Arial"/>
                <w:sz w:val="18"/>
                <w:szCs w:val="18"/>
                <w:vertAlign w:val="superscript"/>
              </w:rPr>
              <w:t xml:space="preserve">12 </w:t>
            </w:r>
            <w:r w:rsidRPr="00CC0480">
              <w:rPr>
                <w:rFonts w:ascii="Arial" w:eastAsia="Times New Roman" w:hAnsi="Arial" w:cs="Arial"/>
                <w:sz w:val="18"/>
                <w:szCs w:val="18"/>
              </w:rPr>
              <w:t>(4.30 – 1.0 x 10</w:t>
            </w:r>
            <w:r w:rsidRPr="00CC0480">
              <w:rPr>
                <w:rFonts w:ascii="Arial" w:eastAsia="Times New Roman" w:hAnsi="Arial" w:cs="Arial"/>
                <w:sz w:val="18"/>
                <w:szCs w:val="18"/>
                <w:vertAlign w:val="superscript"/>
              </w:rPr>
              <w:t>25</w:t>
            </w:r>
            <w:r w:rsidRPr="00CC0480">
              <w:rPr>
                <w:rFonts w:ascii="Arial" w:eastAsia="Times New Roman" w:hAnsi="Arial" w:cs="Arial"/>
                <w:sz w:val="18"/>
                <w:szCs w:val="18"/>
              </w:rPr>
              <w:t>)</w:t>
            </w:r>
          </w:p>
        </w:tc>
        <w:tc>
          <w:tcPr>
            <w:tcW w:w="689" w:type="pct"/>
            <w:noWrap/>
            <w:vAlign w:val="bottom"/>
            <w:hideMark/>
          </w:tcPr>
          <w:p w14:paraId="19B0DBD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0.039*</w:t>
            </w:r>
          </w:p>
        </w:tc>
      </w:tr>
      <w:tr w:rsidR="00F868F5" w:rsidRPr="00CC0480" w14:paraId="3739DDD2" w14:textId="77777777" w:rsidTr="00606BC4">
        <w:trPr>
          <w:trHeight w:val="432"/>
        </w:trPr>
        <w:tc>
          <w:tcPr>
            <w:tcW w:w="985" w:type="pct"/>
            <w:noWrap/>
            <w:vAlign w:val="bottom"/>
            <w:hideMark/>
          </w:tcPr>
          <w:p w14:paraId="2399F9A8"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PDW (fl) </w:t>
            </w:r>
          </w:p>
        </w:tc>
        <w:tc>
          <w:tcPr>
            <w:tcW w:w="1232" w:type="pct"/>
            <w:vAlign w:val="bottom"/>
          </w:tcPr>
          <w:p w14:paraId="650B582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1.39 (0.89 – 2.18)</w:t>
            </w:r>
          </w:p>
        </w:tc>
        <w:tc>
          <w:tcPr>
            <w:tcW w:w="714" w:type="pct"/>
            <w:vAlign w:val="bottom"/>
          </w:tcPr>
          <w:p w14:paraId="7F40C95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0.149</w:t>
            </w:r>
          </w:p>
        </w:tc>
        <w:tc>
          <w:tcPr>
            <w:tcW w:w="1381" w:type="pct"/>
            <w:vAlign w:val="bottom"/>
          </w:tcPr>
          <w:p w14:paraId="737A241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1.15 (0.69 – 1.90)</w:t>
            </w:r>
          </w:p>
        </w:tc>
        <w:tc>
          <w:tcPr>
            <w:tcW w:w="689" w:type="pct"/>
            <w:noWrap/>
            <w:vAlign w:val="bottom"/>
            <w:hideMark/>
          </w:tcPr>
          <w:p w14:paraId="2FC86E3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0.596</w:t>
            </w:r>
          </w:p>
        </w:tc>
      </w:tr>
      <w:tr w:rsidR="00F868F5" w:rsidRPr="00CC0480" w14:paraId="1AC08E66" w14:textId="77777777" w:rsidTr="00606BC4">
        <w:trPr>
          <w:trHeight w:val="432"/>
        </w:trPr>
        <w:tc>
          <w:tcPr>
            <w:tcW w:w="985" w:type="pct"/>
            <w:noWrap/>
            <w:vAlign w:val="bottom"/>
            <w:hideMark/>
          </w:tcPr>
          <w:p w14:paraId="41FF9BF4"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PLCR (%)</w:t>
            </w:r>
          </w:p>
        </w:tc>
        <w:tc>
          <w:tcPr>
            <w:tcW w:w="1232" w:type="pct"/>
            <w:vAlign w:val="bottom"/>
          </w:tcPr>
          <w:p w14:paraId="060EB13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1.04 (0.94 – 1.16)</w:t>
            </w:r>
          </w:p>
        </w:tc>
        <w:tc>
          <w:tcPr>
            <w:tcW w:w="714" w:type="pct"/>
            <w:vAlign w:val="bottom"/>
          </w:tcPr>
          <w:p w14:paraId="7CB2439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0.445</w:t>
            </w:r>
          </w:p>
        </w:tc>
        <w:tc>
          <w:tcPr>
            <w:tcW w:w="1381" w:type="pct"/>
            <w:noWrap/>
            <w:vAlign w:val="bottom"/>
          </w:tcPr>
          <w:p w14:paraId="5DD77D7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0.98 (0.86 – 1.12)</w:t>
            </w:r>
          </w:p>
        </w:tc>
        <w:tc>
          <w:tcPr>
            <w:tcW w:w="689" w:type="pct"/>
            <w:noWrap/>
            <w:vAlign w:val="bottom"/>
          </w:tcPr>
          <w:p w14:paraId="2EF57CC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0.980</w:t>
            </w:r>
          </w:p>
        </w:tc>
      </w:tr>
      <w:tr w:rsidR="00F868F5" w:rsidRPr="00CC0480" w14:paraId="53C48D88" w14:textId="77777777" w:rsidTr="00606BC4">
        <w:trPr>
          <w:trHeight w:val="432"/>
        </w:trPr>
        <w:tc>
          <w:tcPr>
            <w:tcW w:w="985" w:type="pct"/>
            <w:noWrap/>
            <w:vAlign w:val="bottom"/>
            <w:hideMark/>
          </w:tcPr>
          <w:p w14:paraId="6823AA0E"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D-dimer (ng/ml)</w:t>
            </w:r>
          </w:p>
        </w:tc>
        <w:tc>
          <w:tcPr>
            <w:tcW w:w="1232" w:type="pct"/>
            <w:noWrap/>
            <w:vAlign w:val="bottom"/>
          </w:tcPr>
          <w:p w14:paraId="3B3FD47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1.00)</w:t>
            </w:r>
          </w:p>
        </w:tc>
        <w:tc>
          <w:tcPr>
            <w:tcW w:w="714" w:type="pct"/>
            <w:vAlign w:val="bottom"/>
          </w:tcPr>
          <w:p w14:paraId="1AC6E35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0.052*</w:t>
            </w:r>
          </w:p>
        </w:tc>
        <w:tc>
          <w:tcPr>
            <w:tcW w:w="1381" w:type="pct"/>
            <w:noWrap/>
            <w:vAlign w:val="bottom"/>
          </w:tcPr>
          <w:p w14:paraId="5B0BB7E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1.00)</w:t>
            </w:r>
          </w:p>
        </w:tc>
        <w:tc>
          <w:tcPr>
            <w:tcW w:w="689" w:type="pct"/>
            <w:noWrap/>
            <w:vAlign w:val="bottom"/>
          </w:tcPr>
          <w:p w14:paraId="6B9BD19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0.045*</w:t>
            </w:r>
          </w:p>
        </w:tc>
      </w:tr>
      <w:tr w:rsidR="00F868F5" w:rsidRPr="00CC0480" w14:paraId="5FF14085" w14:textId="77777777" w:rsidTr="00606BC4">
        <w:trPr>
          <w:trHeight w:val="432"/>
        </w:trPr>
        <w:tc>
          <w:tcPr>
            <w:tcW w:w="985" w:type="pct"/>
            <w:tcBorders>
              <w:bottom w:val="single" w:sz="4" w:space="0" w:color="auto"/>
            </w:tcBorders>
            <w:noWrap/>
            <w:vAlign w:val="bottom"/>
            <w:hideMark/>
          </w:tcPr>
          <w:p w14:paraId="36768807"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LA </w:t>
            </w:r>
          </w:p>
        </w:tc>
        <w:tc>
          <w:tcPr>
            <w:tcW w:w="1232" w:type="pct"/>
            <w:tcBorders>
              <w:bottom w:val="single" w:sz="4" w:space="0" w:color="auto"/>
            </w:tcBorders>
            <w:noWrap/>
            <w:vAlign w:val="bottom"/>
          </w:tcPr>
          <w:p w14:paraId="7C4D446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 (0.0 – 28.32)</w:t>
            </w:r>
          </w:p>
        </w:tc>
        <w:tc>
          <w:tcPr>
            <w:tcW w:w="714" w:type="pct"/>
            <w:tcBorders>
              <w:bottom w:val="single" w:sz="4" w:space="0" w:color="auto"/>
            </w:tcBorders>
            <w:vAlign w:val="bottom"/>
          </w:tcPr>
          <w:p w14:paraId="3B468879"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      0.454</w:t>
            </w:r>
          </w:p>
        </w:tc>
        <w:tc>
          <w:tcPr>
            <w:tcW w:w="1381" w:type="pct"/>
            <w:tcBorders>
              <w:bottom w:val="single" w:sz="4" w:space="0" w:color="auto"/>
            </w:tcBorders>
            <w:noWrap/>
            <w:vAlign w:val="bottom"/>
          </w:tcPr>
          <w:p w14:paraId="1BEE6E7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 (0.0 – 0.59)</w:t>
            </w:r>
          </w:p>
        </w:tc>
        <w:tc>
          <w:tcPr>
            <w:tcW w:w="689" w:type="pct"/>
            <w:tcBorders>
              <w:bottom w:val="single" w:sz="4" w:space="0" w:color="auto"/>
            </w:tcBorders>
            <w:noWrap/>
            <w:vAlign w:val="bottom"/>
          </w:tcPr>
          <w:p w14:paraId="250F886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0.046*</w:t>
            </w:r>
          </w:p>
        </w:tc>
      </w:tr>
    </w:tbl>
    <w:p w14:paraId="45450B61" w14:textId="77777777" w:rsidR="00F868F5" w:rsidRPr="00CC0480" w:rsidRDefault="00F868F5" w:rsidP="00F868F5">
      <w:pPr>
        <w:spacing w:after="0" w:line="240" w:lineRule="auto"/>
        <w:jc w:val="both"/>
        <w:rPr>
          <w:rFonts w:ascii="Arial" w:eastAsia="Times New Roman" w:hAnsi="Arial" w:cs="Arial"/>
          <w:sz w:val="18"/>
          <w:szCs w:val="18"/>
        </w:rPr>
      </w:pPr>
      <w:r w:rsidRPr="00CC0480">
        <w:rPr>
          <w:rFonts w:ascii="Arial" w:eastAsia="Times New Roman" w:hAnsi="Arial" w:cs="Arial"/>
          <w:color w:val="000000"/>
          <w:sz w:val="18"/>
          <w:szCs w:val="18"/>
        </w:rPr>
        <w:t>CI: Confidence interval</w:t>
      </w:r>
      <w:r w:rsidRPr="00CC0480">
        <w:rPr>
          <w:rFonts w:ascii="Arial" w:eastAsia="Times New Roman" w:hAnsi="Arial" w:cs="Arial"/>
          <w:sz w:val="18"/>
          <w:szCs w:val="18"/>
        </w:rPr>
        <w:t>, WBC – White blood cell, RBC – Red blood cell, HGB – Haemoglobin, HCT – Haematocrit, MCV – Mean cell volume, MCH – Mean cell haemoglobin, MCHC – Mean cell haemoglobin concentration, PLT – Platelet, MPV – Mean platelet volume, PCT – Plateletcrit, PDW – Platelet volume distribution width, PLCR – Platelet larger cell ratio, LA – Lupus anticoagulant</w:t>
      </w:r>
    </w:p>
    <w:p w14:paraId="04D252A5" w14:textId="77777777" w:rsidR="00F868F5" w:rsidRPr="00B5490C" w:rsidRDefault="00F868F5" w:rsidP="00F868F5">
      <w:pPr>
        <w:jc w:val="both"/>
        <w:rPr>
          <w:rFonts w:ascii="Times New Roman" w:eastAsia="Times New Roman" w:hAnsi="Times New Roman"/>
          <w:sz w:val="24"/>
          <w:szCs w:val="24"/>
        </w:rPr>
      </w:pPr>
    </w:p>
    <w:tbl>
      <w:tblPr>
        <w:tblW w:w="5000" w:type="pct"/>
        <w:tblLook w:val="04A0" w:firstRow="1" w:lastRow="0" w:firstColumn="1" w:lastColumn="0" w:noHBand="0" w:noVBand="1"/>
      </w:tblPr>
      <w:tblGrid>
        <w:gridCol w:w="1889"/>
        <w:gridCol w:w="2365"/>
        <w:gridCol w:w="1358"/>
        <w:gridCol w:w="2657"/>
        <w:gridCol w:w="1307"/>
      </w:tblGrid>
      <w:tr w:rsidR="00F868F5" w:rsidRPr="00CC0480" w14:paraId="45AF1D1A" w14:textId="77777777" w:rsidTr="00606BC4">
        <w:trPr>
          <w:trHeight w:val="432"/>
        </w:trPr>
        <w:tc>
          <w:tcPr>
            <w:tcW w:w="5000" w:type="pct"/>
            <w:gridSpan w:val="5"/>
            <w:tcBorders>
              <w:bottom w:val="single" w:sz="4" w:space="0" w:color="auto"/>
            </w:tcBorders>
            <w:noWrap/>
            <w:vAlign w:val="bottom"/>
          </w:tcPr>
          <w:p w14:paraId="13B94595" w14:textId="73D99990" w:rsidR="00F868F5" w:rsidRPr="00CC0480" w:rsidRDefault="00F868F5" w:rsidP="00606BC4">
            <w:pPr>
              <w:spacing w:after="0" w:line="240" w:lineRule="auto"/>
              <w:jc w:val="both"/>
              <w:rPr>
                <w:rFonts w:ascii="Arial" w:eastAsia="Times New Roman" w:hAnsi="Arial" w:cs="Arial"/>
                <w:b/>
                <w:bCs/>
                <w:sz w:val="18"/>
                <w:szCs w:val="18"/>
              </w:rPr>
            </w:pPr>
            <w:r w:rsidRPr="00CC0480">
              <w:rPr>
                <w:rFonts w:ascii="Arial" w:eastAsia="Times New Roman" w:hAnsi="Arial" w:cs="Arial"/>
                <w:b/>
                <w:bCs/>
                <w:sz w:val="18"/>
                <w:szCs w:val="18"/>
              </w:rPr>
              <w:t>Ta</w:t>
            </w:r>
            <w:r w:rsidRPr="00CC0480">
              <w:rPr>
                <w:rFonts w:ascii="Arial" w:eastAsia="Times New Roman" w:hAnsi="Arial" w:cs="Arial"/>
                <w:b/>
                <w:color w:val="000000"/>
                <w:sz w:val="18"/>
                <w:szCs w:val="18"/>
                <w:lang w:val="en-GB"/>
              </w:rPr>
              <w:t>b</w:t>
            </w:r>
            <w:r w:rsidRPr="00CC0480">
              <w:rPr>
                <w:rFonts w:ascii="Arial" w:eastAsia="Times New Roman" w:hAnsi="Arial" w:cs="Arial"/>
                <w:b/>
                <w:color w:val="000000"/>
                <w:sz w:val="18"/>
                <w:szCs w:val="18"/>
              </w:rPr>
              <w:t xml:space="preserve">le </w:t>
            </w:r>
            <w:r w:rsidR="006B3D99" w:rsidRPr="00CC0480">
              <w:rPr>
                <w:rFonts w:ascii="Arial" w:eastAsia="Times New Roman" w:hAnsi="Arial" w:cs="Arial"/>
                <w:b/>
                <w:color w:val="000000"/>
                <w:sz w:val="18"/>
                <w:szCs w:val="18"/>
              </w:rPr>
              <w:t>4</w:t>
            </w:r>
            <w:r w:rsidRPr="00CC0480">
              <w:rPr>
                <w:rFonts w:ascii="Arial" w:eastAsia="Times New Roman" w:hAnsi="Arial" w:cs="Arial"/>
                <w:b/>
                <w:color w:val="000000"/>
                <w:sz w:val="18"/>
                <w:szCs w:val="18"/>
              </w:rPr>
              <w:t>:</w:t>
            </w:r>
            <w:r w:rsidRPr="00CC0480">
              <w:rPr>
                <w:rFonts w:ascii="Arial" w:eastAsia="Times New Roman" w:hAnsi="Arial" w:cs="Arial"/>
                <w:b/>
                <w:bCs/>
                <w:sz w:val="18"/>
                <w:szCs w:val="18"/>
              </w:rPr>
              <w:t xml:space="preserve"> Associatio</w:t>
            </w:r>
            <w:r w:rsidRPr="00CC0480">
              <w:rPr>
                <w:rFonts w:ascii="Arial" w:eastAsia="Times New Roman" w:hAnsi="Arial" w:cs="Arial"/>
                <w:b/>
                <w:sz w:val="18"/>
                <w:szCs w:val="18"/>
              </w:rPr>
              <w:t>n</w:t>
            </w:r>
            <w:r w:rsidRPr="00CC0480">
              <w:rPr>
                <w:rFonts w:ascii="Arial" w:eastAsia="Times New Roman" w:hAnsi="Arial" w:cs="Arial"/>
                <w:b/>
                <w:bCs/>
                <w:sz w:val="18"/>
                <w:szCs w:val="18"/>
              </w:rPr>
              <w:t xml:space="preserve"> of Haematological profile, D-dimer and Lupus anticoagulant levels with high risk of VTE occurrence i</w:t>
            </w:r>
            <w:r w:rsidRPr="00CC0480">
              <w:rPr>
                <w:rFonts w:ascii="Arial" w:eastAsia="Times New Roman" w:hAnsi="Arial" w:cs="Arial"/>
                <w:b/>
                <w:sz w:val="18"/>
                <w:szCs w:val="18"/>
              </w:rPr>
              <w:t>n surgical patients</w:t>
            </w:r>
          </w:p>
        </w:tc>
      </w:tr>
      <w:tr w:rsidR="00F868F5" w:rsidRPr="00CC0480" w14:paraId="6DC03C61" w14:textId="77777777" w:rsidTr="00606BC4">
        <w:trPr>
          <w:trHeight w:val="432"/>
        </w:trPr>
        <w:tc>
          <w:tcPr>
            <w:tcW w:w="986" w:type="pct"/>
            <w:tcBorders>
              <w:top w:val="single" w:sz="4" w:space="0" w:color="auto"/>
              <w:bottom w:val="single" w:sz="4" w:space="0" w:color="auto"/>
            </w:tcBorders>
            <w:noWrap/>
            <w:vAlign w:val="bottom"/>
          </w:tcPr>
          <w:p w14:paraId="69FC3C38" w14:textId="77777777" w:rsidR="00F868F5" w:rsidRPr="00CC0480" w:rsidRDefault="00F868F5" w:rsidP="00606BC4">
            <w:pPr>
              <w:spacing w:after="0" w:line="240" w:lineRule="auto"/>
              <w:rPr>
                <w:rFonts w:ascii="Arial" w:eastAsia="Times New Roman" w:hAnsi="Arial" w:cs="Arial"/>
                <w:b/>
                <w:bCs/>
                <w:sz w:val="18"/>
                <w:szCs w:val="18"/>
              </w:rPr>
            </w:pPr>
          </w:p>
        </w:tc>
        <w:tc>
          <w:tcPr>
            <w:tcW w:w="1942" w:type="pct"/>
            <w:gridSpan w:val="2"/>
            <w:tcBorders>
              <w:top w:val="single" w:sz="4" w:space="0" w:color="auto"/>
              <w:bottom w:val="single" w:sz="4" w:space="0" w:color="auto"/>
            </w:tcBorders>
            <w:vAlign w:val="bottom"/>
          </w:tcPr>
          <w:p w14:paraId="0C9F1F04"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U</w:t>
            </w:r>
            <w:r w:rsidRPr="00CC0480">
              <w:rPr>
                <w:rFonts w:ascii="Arial" w:eastAsia="Times New Roman" w:hAnsi="Arial" w:cs="Arial"/>
                <w:b/>
                <w:sz w:val="18"/>
                <w:szCs w:val="18"/>
              </w:rPr>
              <w:t>nivariate Logistic Regression</w:t>
            </w:r>
          </w:p>
        </w:tc>
        <w:tc>
          <w:tcPr>
            <w:tcW w:w="2072" w:type="pct"/>
            <w:gridSpan w:val="2"/>
            <w:tcBorders>
              <w:top w:val="single" w:sz="4" w:space="0" w:color="auto"/>
              <w:bottom w:val="single" w:sz="4" w:space="0" w:color="auto"/>
            </w:tcBorders>
            <w:vAlign w:val="bottom"/>
          </w:tcPr>
          <w:p w14:paraId="4F759ACB"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Mult</w:t>
            </w:r>
            <w:r w:rsidRPr="00CC0480">
              <w:rPr>
                <w:rFonts w:ascii="Arial" w:eastAsia="Times New Roman" w:hAnsi="Arial" w:cs="Arial"/>
                <w:b/>
                <w:sz w:val="18"/>
                <w:szCs w:val="18"/>
              </w:rPr>
              <w:t>ivariate Logistic Regression</w:t>
            </w:r>
          </w:p>
        </w:tc>
      </w:tr>
      <w:tr w:rsidR="00F868F5" w:rsidRPr="00CC0480" w14:paraId="4617F5DA" w14:textId="77777777" w:rsidTr="00606BC4">
        <w:trPr>
          <w:trHeight w:val="432"/>
        </w:trPr>
        <w:tc>
          <w:tcPr>
            <w:tcW w:w="986" w:type="pct"/>
            <w:tcBorders>
              <w:top w:val="single" w:sz="4" w:space="0" w:color="auto"/>
              <w:bottom w:val="single" w:sz="4" w:space="0" w:color="auto"/>
            </w:tcBorders>
            <w:noWrap/>
            <w:vAlign w:val="bottom"/>
            <w:hideMark/>
          </w:tcPr>
          <w:p w14:paraId="02D93EE4" w14:textId="77777777" w:rsidR="00F868F5" w:rsidRPr="00CC0480" w:rsidRDefault="00F868F5" w:rsidP="00606BC4">
            <w:pPr>
              <w:spacing w:after="0" w:line="240" w:lineRule="auto"/>
              <w:rPr>
                <w:rFonts w:ascii="Arial" w:eastAsia="Times New Roman" w:hAnsi="Arial" w:cs="Arial"/>
                <w:b/>
                <w:bCs/>
                <w:sz w:val="18"/>
                <w:szCs w:val="18"/>
              </w:rPr>
            </w:pPr>
            <w:r w:rsidRPr="00CC0480">
              <w:rPr>
                <w:rFonts w:ascii="Arial" w:eastAsia="Times New Roman" w:hAnsi="Arial" w:cs="Arial"/>
                <w:b/>
                <w:bCs/>
                <w:sz w:val="18"/>
                <w:szCs w:val="18"/>
              </w:rPr>
              <w:t>Parameter</w:t>
            </w:r>
          </w:p>
        </w:tc>
        <w:tc>
          <w:tcPr>
            <w:tcW w:w="1241" w:type="pct"/>
            <w:tcBorders>
              <w:top w:val="single" w:sz="4" w:space="0" w:color="auto"/>
              <w:bottom w:val="single" w:sz="4" w:space="0" w:color="auto"/>
            </w:tcBorders>
            <w:vAlign w:val="bottom"/>
            <w:hideMark/>
          </w:tcPr>
          <w:p w14:paraId="634E68CC"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Odds Ratio </w:t>
            </w:r>
          </w:p>
          <w:p w14:paraId="52174E40"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sz w:val="18"/>
                <w:szCs w:val="18"/>
              </w:rPr>
              <w:t xml:space="preserve">(95%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701" w:type="pct"/>
            <w:tcBorders>
              <w:top w:val="single" w:sz="4" w:space="0" w:color="auto"/>
              <w:bottom w:val="single" w:sz="4" w:space="0" w:color="auto"/>
            </w:tcBorders>
            <w:vAlign w:val="bottom"/>
          </w:tcPr>
          <w:p w14:paraId="6321CC8F"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bCs/>
                <w:sz w:val="18"/>
                <w:szCs w:val="18"/>
              </w:rPr>
              <w:t>P-value</w:t>
            </w:r>
          </w:p>
        </w:tc>
        <w:tc>
          <w:tcPr>
            <w:tcW w:w="1398" w:type="pct"/>
            <w:tcBorders>
              <w:top w:val="single" w:sz="4" w:space="0" w:color="auto"/>
              <w:bottom w:val="single" w:sz="4" w:space="0" w:color="auto"/>
            </w:tcBorders>
            <w:vAlign w:val="bottom"/>
            <w:hideMark/>
          </w:tcPr>
          <w:p w14:paraId="22B16597" w14:textId="77777777" w:rsidR="00F868F5" w:rsidRPr="00CC0480" w:rsidRDefault="00F868F5" w:rsidP="00606BC4">
            <w:pPr>
              <w:spacing w:after="0" w:line="240" w:lineRule="auto"/>
              <w:jc w:val="center"/>
              <w:rPr>
                <w:rFonts w:ascii="Arial" w:eastAsia="Times New Roman" w:hAnsi="Arial" w:cs="Arial"/>
                <w:b/>
                <w:sz w:val="18"/>
                <w:szCs w:val="18"/>
              </w:rPr>
            </w:pPr>
            <w:r w:rsidRPr="00CC0480">
              <w:rPr>
                <w:rFonts w:ascii="Arial" w:eastAsia="Times New Roman" w:hAnsi="Arial" w:cs="Arial"/>
                <w:b/>
                <w:sz w:val="18"/>
                <w:szCs w:val="18"/>
              </w:rPr>
              <w:t xml:space="preserve">Adjusted Odds Ratio (95% </w:t>
            </w:r>
            <w:proofErr w:type="gramStart"/>
            <w:r w:rsidRPr="00CC0480">
              <w:rPr>
                <w:rFonts w:ascii="Arial" w:eastAsia="Times New Roman" w:hAnsi="Arial" w:cs="Arial"/>
                <w:b/>
                <w:bCs/>
                <w:sz w:val="18"/>
                <w:szCs w:val="18"/>
              </w:rPr>
              <w:t>CI</w:t>
            </w:r>
            <w:r w:rsidRPr="00CC0480">
              <w:rPr>
                <w:rFonts w:ascii="Arial" w:eastAsia="Times New Roman" w:hAnsi="Arial" w:cs="Arial"/>
                <w:b/>
                <w:sz w:val="18"/>
                <w:szCs w:val="18"/>
              </w:rPr>
              <w:t xml:space="preserve"> )</w:t>
            </w:r>
            <w:proofErr w:type="gramEnd"/>
          </w:p>
        </w:tc>
        <w:tc>
          <w:tcPr>
            <w:tcW w:w="674" w:type="pct"/>
            <w:tcBorders>
              <w:top w:val="single" w:sz="4" w:space="0" w:color="auto"/>
              <w:bottom w:val="single" w:sz="4" w:space="0" w:color="auto"/>
            </w:tcBorders>
            <w:noWrap/>
            <w:vAlign w:val="bottom"/>
            <w:hideMark/>
          </w:tcPr>
          <w:p w14:paraId="0A930AF4" w14:textId="77777777" w:rsidR="00F868F5" w:rsidRPr="00CC0480" w:rsidRDefault="00F868F5" w:rsidP="00606BC4">
            <w:pPr>
              <w:spacing w:after="0" w:line="240" w:lineRule="auto"/>
              <w:jc w:val="center"/>
              <w:rPr>
                <w:rFonts w:ascii="Arial" w:eastAsia="Times New Roman" w:hAnsi="Arial" w:cs="Arial"/>
                <w:b/>
                <w:bCs/>
                <w:sz w:val="18"/>
                <w:szCs w:val="18"/>
              </w:rPr>
            </w:pPr>
            <w:r w:rsidRPr="00CC0480">
              <w:rPr>
                <w:rFonts w:ascii="Arial" w:eastAsia="Times New Roman" w:hAnsi="Arial" w:cs="Arial"/>
                <w:b/>
                <w:bCs/>
                <w:sz w:val="18"/>
                <w:szCs w:val="18"/>
              </w:rPr>
              <w:t>P-value</w:t>
            </w:r>
          </w:p>
        </w:tc>
      </w:tr>
      <w:tr w:rsidR="00F868F5" w:rsidRPr="00CC0480" w14:paraId="5BBC819C" w14:textId="77777777" w:rsidTr="00606BC4">
        <w:trPr>
          <w:trHeight w:val="432"/>
        </w:trPr>
        <w:tc>
          <w:tcPr>
            <w:tcW w:w="986" w:type="pct"/>
            <w:tcBorders>
              <w:top w:val="single" w:sz="4" w:space="0" w:color="auto"/>
            </w:tcBorders>
            <w:noWrap/>
            <w:vAlign w:val="bottom"/>
            <w:hideMark/>
          </w:tcPr>
          <w:p w14:paraId="203F836A"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WBC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tcBorders>
              <w:top w:val="single" w:sz="4" w:space="0" w:color="auto"/>
            </w:tcBorders>
            <w:noWrap/>
            <w:vAlign w:val="bottom"/>
          </w:tcPr>
          <w:p w14:paraId="3FA13D7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1.39 (0.81 – 2.38)</w:t>
            </w:r>
          </w:p>
        </w:tc>
        <w:tc>
          <w:tcPr>
            <w:tcW w:w="701" w:type="pct"/>
            <w:tcBorders>
              <w:top w:val="single" w:sz="4" w:space="0" w:color="auto"/>
            </w:tcBorders>
            <w:vAlign w:val="bottom"/>
          </w:tcPr>
          <w:p w14:paraId="27BFF4C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0.237</w:t>
            </w:r>
          </w:p>
        </w:tc>
        <w:tc>
          <w:tcPr>
            <w:tcW w:w="1398" w:type="pct"/>
            <w:tcBorders>
              <w:top w:val="single" w:sz="4" w:space="0" w:color="auto"/>
            </w:tcBorders>
            <w:noWrap/>
            <w:vAlign w:val="bottom"/>
          </w:tcPr>
          <w:p w14:paraId="0A1DEAA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2.31 (0.84 – 6.31)</w:t>
            </w:r>
          </w:p>
        </w:tc>
        <w:tc>
          <w:tcPr>
            <w:tcW w:w="674" w:type="pct"/>
            <w:tcBorders>
              <w:top w:val="single" w:sz="4" w:space="0" w:color="auto"/>
            </w:tcBorders>
            <w:noWrap/>
            <w:vAlign w:val="bottom"/>
            <w:hideMark/>
          </w:tcPr>
          <w:p w14:paraId="38C0E92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0.104</w:t>
            </w:r>
          </w:p>
        </w:tc>
      </w:tr>
      <w:tr w:rsidR="00F868F5" w:rsidRPr="00CC0480" w14:paraId="7D326F8B" w14:textId="77777777" w:rsidTr="00606BC4">
        <w:trPr>
          <w:trHeight w:val="432"/>
        </w:trPr>
        <w:tc>
          <w:tcPr>
            <w:tcW w:w="986" w:type="pct"/>
            <w:noWrap/>
            <w:vAlign w:val="bottom"/>
            <w:hideMark/>
          </w:tcPr>
          <w:p w14:paraId="69C529B7"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Neutrophil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4BDE4ED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1.46 (0.81 – 2.64)</w:t>
            </w:r>
          </w:p>
        </w:tc>
        <w:tc>
          <w:tcPr>
            <w:tcW w:w="701" w:type="pct"/>
            <w:vAlign w:val="bottom"/>
          </w:tcPr>
          <w:p w14:paraId="2A833D2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0.206</w:t>
            </w:r>
          </w:p>
        </w:tc>
        <w:tc>
          <w:tcPr>
            <w:tcW w:w="1398" w:type="pct"/>
            <w:noWrap/>
            <w:vAlign w:val="bottom"/>
          </w:tcPr>
          <w:p w14:paraId="07CE2A6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11.53 (0.89 – 2.59 x 10</w:t>
            </w:r>
            <w:r w:rsidRPr="00CC0480">
              <w:rPr>
                <w:rFonts w:ascii="Arial" w:eastAsia="Times New Roman" w:hAnsi="Arial" w:cs="Arial"/>
                <w:sz w:val="18"/>
                <w:szCs w:val="18"/>
                <w:vertAlign w:val="superscript"/>
              </w:rPr>
              <w:t>6</w:t>
            </w:r>
            <w:r w:rsidRPr="00CC0480">
              <w:rPr>
                <w:rFonts w:ascii="Arial" w:eastAsia="Times New Roman" w:hAnsi="Arial" w:cs="Arial"/>
                <w:sz w:val="18"/>
                <w:szCs w:val="18"/>
              </w:rPr>
              <w:t>)</w:t>
            </w:r>
          </w:p>
        </w:tc>
        <w:tc>
          <w:tcPr>
            <w:tcW w:w="674" w:type="pct"/>
            <w:noWrap/>
            <w:vAlign w:val="bottom"/>
            <w:hideMark/>
          </w:tcPr>
          <w:p w14:paraId="0B3EA45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0.062</w:t>
            </w:r>
          </w:p>
        </w:tc>
      </w:tr>
      <w:tr w:rsidR="00F868F5" w:rsidRPr="00CC0480" w14:paraId="49A4B261" w14:textId="77777777" w:rsidTr="00606BC4">
        <w:trPr>
          <w:trHeight w:val="432"/>
        </w:trPr>
        <w:tc>
          <w:tcPr>
            <w:tcW w:w="986" w:type="pct"/>
            <w:noWrap/>
            <w:vAlign w:val="bottom"/>
            <w:hideMark/>
          </w:tcPr>
          <w:p w14:paraId="12EE2993"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Lymphocyte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55BDAC7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0.50 (0.16 – 1.59)</w:t>
            </w:r>
          </w:p>
        </w:tc>
        <w:tc>
          <w:tcPr>
            <w:tcW w:w="701" w:type="pct"/>
            <w:vAlign w:val="bottom"/>
          </w:tcPr>
          <w:p w14:paraId="688E36A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0.240</w:t>
            </w:r>
          </w:p>
        </w:tc>
        <w:tc>
          <w:tcPr>
            <w:tcW w:w="1398" w:type="pct"/>
            <w:noWrap/>
            <w:vAlign w:val="bottom"/>
          </w:tcPr>
          <w:p w14:paraId="32D4AF2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0.36 (0.05 – 2.45)</w:t>
            </w:r>
          </w:p>
        </w:tc>
        <w:tc>
          <w:tcPr>
            <w:tcW w:w="674" w:type="pct"/>
            <w:noWrap/>
            <w:vAlign w:val="bottom"/>
            <w:hideMark/>
          </w:tcPr>
          <w:p w14:paraId="2450C51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0.296</w:t>
            </w:r>
          </w:p>
        </w:tc>
      </w:tr>
      <w:tr w:rsidR="00F868F5" w:rsidRPr="00CC0480" w14:paraId="0476DA28" w14:textId="77777777" w:rsidTr="00606BC4">
        <w:trPr>
          <w:trHeight w:val="432"/>
        </w:trPr>
        <w:tc>
          <w:tcPr>
            <w:tcW w:w="986" w:type="pct"/>
            <w:noWrap/>
            <w:vAlign w:val="bottom"/>
            <w:hideMark/>
          </w:tcPr>
          <w:p w14:paraId="4E5C1C96"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Monocyte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3EC18F2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6.18 (0.08 – 506.90)</w:t>
            </w:r>
          </w:p>
        </w:tc>
        <w:tc>
          <w:tcPr>
            <w:tcW w:w="701" w:type="pct"/>
            <w:vAlign w:val="bottom"/>
          </w:tcPr>
          <w:p w14:paraId="229E34F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0.418</w:t>
            </w:r>
          </w:p>
        </w:tc>
        <w:tc>
          <w:tcPr>
            <w:tcW w:w="1398" w:type="pct"/>
            <w:noWrap/>
            <w:vAlign w:val="bottom"/>
          </w:tcPr>
          <w:p w14:paraId="2A61F6F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70.87 (0.05 – 1.05 x 10</w:t>
            </w:r>
            <w:r w:rsidRPr="00CC0480">
              <w:rPr>
                <w:rFonts w:ascii="Arial" w:eastAsia="Times New Roman" w:hAnsi="Arial" w:cs="Arial"/>
                <w:sz w:val="18"/>
                <w:szCs w:val="18"/>
                <w:vertAlign w:val="superscript"/>
              </w:rPr>
              <w:t>5</w:t>
            </w:r>
            <w:r w:rsidRPr="00CC0480">
              <w:rPr>
                <w:rFonts w:ascii="Arial" w:eastAsia="Times New Roman" w:hAnsi="Arial" w:cs="Arial"/>
                <w:sz w:val="18"/>
                <w:szCs w:val="18"/>
              </w:rPr>
              <w:t>)</w:t>
            </w:r>
          </w:p>
        </w:tc>
        <w:tc>
          <w:tcPr>
            <w:tcW w:w="674" w:type="pct"/>
            <w:noWrap/>
            <w:vAlign w:val="bottom"/>
            <w:hideMark/>
          </w:tcPr>
          <w:p w14:paraId="0B4C2D6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0.253</w:t>
            </w:r>
          </w:p>
        </w:tc>
      </w:tr>
      <w:tr w:rsidR="00F868F5" w:rsidRPr="00CC0480" w14:paraId="0E0073EB" w14:textId="77777777" w:rsidTr="00606BC4">
        <w:trPr>
          <w:trHeight w:val="432"/>
        </w:trPr>
        <w:tc>
          <w:tcPr>
            <w:tcW w:w="986" w:type="pct"/>
            <w:noWrap/>
            <w:vAlign w:val="bottom"/>
            <w:hideMark/>
          </w:tcPr>
          <w:p w14:paraId="5E9BEF2B"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Eosinophil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1F333F2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0.45 (0.00 – 62.66)</w:t>
            </w:r>
          </w:p>
        </w:tc>
        <w:tc>
          <w:tcPr>
            <w:tcW w:w="701" w:type="pct"/>
            <w:vAlign w:val="bottom"/>
          </w:tcPr>
          <w:p w14:paraId="0C09AE2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0.753</w:t>
            </w:r>
          </w:p>
        </w:tc>
        <w:tc>
          <w:tcPr>
            <w:tcW w:w="1398" w:type="pct"/>
            <w:noWrap/>
            <w:vAlign w:val="bottom"/>
          </w:tcPr>
          <w:p w14:paraId="6A6AEDD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0.48 (0.0 – 8465.01)</w:t>
            </w:r>
          </w:p>
        </w:tc>
        <w:tc>
          <w:tcPr>
            <w:tcW w:w="674" w:type="pct"/>
            <w:noWrap/>
            <w:vAlign w:val="bottom"/>
            <w:hideMark/>
          </w:tcPr>
          <w:p w14:paraId="23339C5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0.993</w:t>
            </w:r>
          </w:p>
        </w:tc>
      </w:tr>
      <w:tr w:rsidR="00F868F5" w:rsidRPr="00CC0480" w14:paraId="620861E9" w14:textId="77777777" w:rsidTr="00606BC4">
        <w:trPr>
          <w:trHeight w:val="432"/>
        </w:trPr>
        <w:tc>
          <w:tcPr>
            <w:tcW w:w="986" w:type="pct"/>
            <w:noWrap/>
            <w:vAlign w:val="bottom"/>
            <w:hideMark/>
          </w:tcPr>
          <w:p w14:paraId="426BC375"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Basophil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3B36251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2.55 x 10</w:t>
            </w:r>
            <w:r w:rsidRPr="00CC0480">
              <w:rPr>
                <w:rFonts w:ascii="Arial" w:eastAsia="Times New Roman" w:hAnsi="Arial" w:cs="Arial"/>
                <w:sz w:val="18"/>
                <w:szCs w:val="18"/>
                <w:vertAlign w:val="superscript"/>
              </w:rPr>
              <w:t xml:space="preserve">84 </w:t>
            </w:r>
          </w:p>
        </w:tc>
        <w:tc>
          <w:tcPr>
            <w:tcW w:w="701" w:type="pct"/>
            <w:vAlign w:val="bottom"/>
          </w:tcPr>
          <w:p w14:paraId="273A998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0.999</w:t>
            </w:r>
          </w:p>
        </w:tc>
        <w:tc>
          <w:tcPr>
            <w:tcW w:w="1398" w:type="pct"/>
            <w:noWrap/>
            <w:vAlign w:val="bottom"/>
          </w:tcPr>
          <w:p w14:paraId="0E21DC7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2.70 x 10</w:t>
            </w:r>
            <w:r w:rsidRPr="00CC0480">
              <w:rPr>
                <w:rFonts w:ascii="Arial" w:eastAsia="Times New Roman" w:hAnsi="Arial" w:cs="Arial"/>
                <w:sz w:val="18"/>
                <w:szCs w:val="18"/>
                <w:vertAlign w:val="superscript"/>
              </w:rPr>
              <w:t>84</w:t>
            </w:r>
            <w:r w:rsidRPr="00CC0480">
              <w:rPr>
                <w:rFonts w:ascii="Arial" w:eastAsia="Times New Roman" w:hAnsi="Arial" w:cs="Arial"/>
                <w:sz w:val="18"/>
                <w:szCs w:val="18"/>
              </w:rPr>
              <w:t xml:space="preserve"> (0.00)</w:t>
            </w:r>
          </w:p>
        </w:tc>
        <w:tc>
          <w:tcPr>
            <w:tcW w:w="674" w:type="pct"/>
            <w:noWrap/>
            <w:vAlign w:val="bottom"/>
            <w:hideMark/>
          </w:tcPr>
          <w:p w14:paraId="4414839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0.999</w:t>
            </w:r>
          </w:p>
        </w:tc>
      </w:tr>
      <w:tr w:rsidR="00F868F5" w:rsidRPr="00CC0480" w14:paraId="3DB3C87A" w14:textId="77777777" w:rsidTr="00606BC4">
        <w:trPr>
          <w:trHeight w:val="432"/>
        </w:trPr>
        <w:tc>
          <w:tcPr>
            <w:tcW w:w="986" w:type="pct"/>
            <w:noWrap/>
            <w:vAlign w:val="bottom"/>
            <w:hideMark/>
          </w:tcPr>
          <w:p w14:paraId="76A11ABB"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RBC (×10</w:t>
            </w:r>
            <w:r w:rsidRPr="00CC0480">
              <w:rPr>
                <w:rFonts w:ascii="Arial" w:eastAsia="Times New Roman" w:hAnsi="Arial" w:cs="Arial"/>
                <w:sz w:val="18"/>
                <w:szCs w:val="18"/>
                <w:vertAlign w:val="superscript"/>
              </w:rPr>
              <w:t>12</w:t>
            </w:r>
            <w:r w:rsidRPr="00CC0480">
              <w:rPr>
                <w:rFonts w:ascii="Arial" w:eastAsia="Times New Roman" w:hAnsi="Arial" w:cs="Arial"/>
                <w:sz w:val="18"/>
                <w:szCs w:val="18"/>
              </w:rPr>
              <w:t>/L)</w:t>
            </w:r>
          </w:p>
        </w:tc>
        <w:tc>
          <w:tcPr>
            <w:tcW w:w="1241" w:type="pct"/>
            <w:vAlign w:val="bottom"/>
          </w:tcPr>
          <w:p w14:paraId="1D8B782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0.34 (0.11 – 1.08)</w:t>
            </w:r>
          </w:p>
        </w:tc>
        <w:tc>
          <w:tcPr>
            <w:tcW w:w="701" w:type="pct"/>
            <w:vAlign w:val="bottom"/>
          </w:tcPr>
          <w:p w14:paraId="0A8CA87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0.066</w:t>
            </w:r>
          </w:p>
        </w:tc>
        <w:tc>
          <w:tcPr>
            <w:tcW w:w="1398" w:type="pct"/>
            <w:noWrap/>
            <w:vAlign w:val="bottom"/>
          </w:tcPr>
          <w:p w14:paraId="5127973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0.21 (0.02 – 2.88)</w:t>
            </w:r>
          </w:p>
        </w:tc>
        <w:tc>
          <w:tcPr>
            <w:tcW w:w="674" w:type="pct"/>
            <w:noWrap/>
            <w:vAlign w:val="bottom"/>
            <w:hideMark/>
          </w:tcPr>
          <w:p w14:paraId="76E1562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0.240</w:t>
            </w:r>
          </w:p>
        </w:tc>
      </w:tr>
      <w:tr w:rsidR="00F868F5" w:rsidRPr="00CC0480" w14:paraId="49CDE081" w14:textId="77777777" w:rsidTr="00606BC4">
        <w:trPr>
          <w:trHeight w:val="432"/>
        </w:trPr>
        <w:tc>
          <w:tcPr>
            <w:tcW w:w="986" w:type="pct"/>
            <w:noWrap/>
            <w:vAlign w:val="bottom"/>
            <w:hideMark/>
          </w:tcPr>
          <w:p w14:paraId="351EB8C7"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HGB (g/dl) </w:t>
            </w:r>
          </w:p>
        </w:tc>
        <w:tc>
          <w:tcPr>
            <w:tcW w:w="1241" w:type="pct"/>
            <w:vAlign w:val="bottom"/>
          </w:tcPr>
          <w:p w14:paraId="76A3769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0.61 (0.39 – 0.95)</w:t>
            </w:r>
          </w:p>
        </w:tc>
        <w:tc>
          <w:tcPr>
            <w:tcW w:w="701" w:type="pct"/>
            <w:vAlign w:val="bottom"/>
          </w:tcPr>
          <w:p w14:paraId="7808956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0.030*</w:t>
            </w:r>
          </w:p>
        </w:tc>
        <w:tc>
          <w:tcPr>
            <w:tcW w:w="1398" w:type="pct"/>
            <w:noWrap/>
            <w:vAlign w:val="bottom"/>
          </w:tcPr>
          <w:p w14:paraId="7C59876E"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0.02 (0.0 – 1.43)</w:t>
            </w:r>
          </w:p>
        </w:tc>
        <w:tc>
          <w:tcPr>
            <w:tcW w:w="674" w:type="pct"/>
            <w:noWrap/>
            <w:vAlign w:val="bottom"/>
            <w:hideMark/>
          </w:tcPr>
          <w:p w14:paraId="11AD8B8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0.073</w:t>
            </w:r>
          </w:p>
        </w:tc>
      </w:tr>
      <w:tr w:rsidR="00F868F5" w:rsidRPr="00CC0480" w14:paraId="28D077C0" w14:textId="77777777" w:rsidTr="00606BC4">
        <w:trPr>
          <w:trHeight w:val="432"/>
        </w:trPr>
        <w:tc>
          <w:tcPr>
            <w:tcW w:w="986" w:type="pct"/>
            <w:noWrap/>
            <w:vAlign w:val="bottom"/>
            <w:hideMark/>
          </w:tcPr>
          <w:p w14:paraId="7A2A8C60"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HCT (%) </w:t>
            </w:r>
          </w:p>
        </w:tc>
        <w:tc>
          <w:tcPr>
            <w:tcW w:w="1241" w:type="pct"/>
            <w:vAlign w:val="bottom"/>
          </w:tcPr>
          <w:p w14:paraId="4D58451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0.94 (0.84 – 1.06)</w:t>
            </w:r>
          </w:p>
        </w:tc>
        <w:tc>
          <w:tcPr>
            <w:tcW w:w="701" w:type="pct"/>
            <w:vAlign w:val="bottom"/>
          </w:tcPr>
          <w:p w14:paraId="4E5EA9A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0.309</w:t>
            </w:r>
          </w:p>
        </w:tc>
        <w:tc>
          <w:tcPr>
            <w:tcW w:w="1398" w:type="pct"/>
            <w:noWrap/>
            <w:vAlign w:val="bottom"/>
          </w:tcPr>
          <w:p w14:paraId="209FCEB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0.22 (0.04 – 1.10)</w:t>
            </w:r>
          </w:p>
        </w:tc>
        <w:tc>
          <w:tcPr>
            <w:tcW w:w="674" w:type="pct"/>
            <w:noWrap/>
            <w:vAlign w:val="bottom"/>
            <w:hideMark/>
          </w:tcPr>
          <w:p w14:paraId="2DC9911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0.064</w:t>
            </w:r>
          </w:p>
        </w:tc>
      </w:tr>
      <w:tr w:rsidR="00F868F5" w:rsidRPr="00CC0480" w14:paraId="7D7CC301" w14:textId="77777777" w:rsidTr="00606BC4">
        <w:trPr>
          <w:trHeight w:val="432"/>
        </w:trPr>
        <w:tc>
          <w:tcPr>
            <w:tcW w:w="986" w:type="pct"/>
            <w:noWrap/>
            <w:vAlign w:val="bottom"/>
            <w:hideMark/>
          </w:tcPr>
          <w:p w14:paraId="608ECA67"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lastRenderedPageBreak/>
              <w:t xml:space="preserve">MCV (fl) </w:t>
            </w:r>
          </w:p>
        </w:tc>
        <w:tc>
          <w:tcPr>
            <w:tcW w:w="1241" w:type="pct"/>
            <w:vAlign w:val="bottom"/>
          </w:tcPr>
          <w:p w14:paraId="60F7C07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(0.97 – 1.04)</w:t>
            </w:r>
          </w:p>
        </w:tc>
        <w:tc>
          <w:tcPr>
            <w:tcW w:w="701" w:type="pct"/>
            <w:vAlign w:val="bottom"/>
          </w:tcPr>
          <w:p w14:paraId="1B9F500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0.776</w:t>
            </w:r>
          </w:p>
        </w:tc>
        <w:tc>
          <w:tcPr>
            <w:tcW w:w="1398" w:type="pct"/>
            <w:noWrap/>
            <w:vAlign w:val="bottom"/>
          </w:tcPr>
          <w:p w14:paraId="49CECCC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0.00</w:t>
            </w:r>
          </w:p>
        </w:tc>
        <w:tc>
          <w:tcPr>
            <w:tcW w:w="674" w:type="pct"/>
            <w:noWrap/>
            <w:vAlign w:val="bottom"/>
            <w:hideMark/>
          </w:tcPr>
          <w:p w14:paraId="1D91CD4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0.948</w:t>
            </w:r>
          </w:p>
        </w:tc>
      </w:tr>
      <w:tr w:rsidR="00F868F5" w:rsidRPr="00CC0480" w14:paraId="7584522E" w14:textId="77777777" w:rsidTr="00606BC4">
        <w:trPr>
          <w:trHeight w:val="432"/>
        </w:trPr>
        <w:tc>
          <w:tcPr>
            <w:tcW w:w="986" w:type="pct"/>
            <w:noWrap/>
            <w:vAlign w:val="bottom"/>
            <w:hideMark/>
          </w:tcPr>
          <w:p w14:paraId="3651EFA1"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 (pg) </w:t>
            </w:r>
          </w:p>
        </w:tc>
        <w:tc>
          <w:tcPr>
            <w:tcW w:w="1241" w:type="pct"/>
            <w:vAlign w:val="bottom"/>
          </w:tcPr>
          <w:p w14:paraId="0062CD7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0.849 (0.60 – 1.19)</w:t>
            </w:r>
          </w:p>
        </w:tc>
        <w:tc>
          <w:tcPr>
            <w:tcW w:w="701" w:type="pct"/>
            <w:vAlign w:val="bottom"/>
          </w:tcPr>
          <w:p w14:paraId="6971A0E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0.345</w:t>
            </w:r>
          </w:p>
        </w:tc>
        <w:tc>
          <w:tcPr>
            <w:tcW w:w="1398" w:type="pct"/>
            <w:noWrap/>
            <w:vAlign w:val="bottom"/>
          </w:tcPr>
          <w:p w14:paraId="47379B9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0.60 (0.26 – 1.43)</w:t>
            </w:r>
          </w:p>
        </w:tc>
        <w:tc>
          <w:tcPr>
            <w:tcW w:w="674" w:type="pct"/>
            <w:noWrap/>
            <w:vAlign w:val="bottom"/>
            <w:hideMark/>
          </w:tcPr>
          <w:p w14:paraId="3B598D08"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0.252</w:t>
            </w:r>
          </w:p>
        </w:tc>
      </w:tr>
      <w:tr w:rsidR="00F868F5" w:rsidRPr="00CC0480" w14:paraId="6164F1BD" w14:textId="77777777" w:rsidTr="00606BC4">
        <w:trPr>
          <w:trHeight w:val="432"/>
        </w:trPr>
        <w:tc>
          <w:tcPr>
            <w:tcW w:w="986" w:type="pct"/>
            <w:noWrap/>
            <w:vAlign w:val="bottom"/>
            <w:hideMark/>
          </w:tcPr>
          <w:p w14:paraId="7051AC96"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MCHC (g/l) </w:t>
            </w:r>
          </w:p>
        </w:tc>
        <w:tc>
          <w:tcPr>
            <w:tcW w:w="1241" w:type="pct"/>
            <w:vAlign w:val="bottom"/>
          </w:tcPr>
          <w:p w14:paraId="0856FCB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0.88 (0.32 – 2.47)</w:t>
            </w:r>
          </w:p>
        </w:tc>
        <w:tc>
          <w:tcPr>
            <w:tcW w:w="701" w:type="pct"/>
            <w:vAlign w:val="bottom"/>
          </w:tcPr>
          <w:p w14:paraId="0C28D21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0.810</w:t>
            </w:r>
          </w:p>
        </w:tc>
        <w:tc>
          <w:tcPr>
            <w:tcW w:w="1398" w:type="pct"/>
            <w:noWrap/>
            <w:vAlign w:val="bottom"/>
          </w:tcPr>
          <w:p w14:paraId="150F9FC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0.59 (0.10 – 3.37)</w:t>
            </w:r>
          </w:p>
        </w:tc>
        <w:tc>
          <w:tcPr>
            <w:tcW w:w="674" w:type="pct"/>
            <w:noWrap/>
            <w:vAlign w:val="bottom"/>
            <w:hideMark/>
          </w:tcPr>
          <w:p w14:paraId="1370973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0.555</w:t>
            </w:r>
          </w:p>
        </w:tc>
      </w:tr>
      <w:tr w:rsidR="00F868F5" w:rsidRPr="00CC0480" w14:paraId="76A9AD37" w14:textId="77777777" w:rsidTr="00606BC4">
        <w:trPr>
          <w:trHeight w:val="432"/>
        </w:trPr>
        <w:tc>
          <w:tcPr>
            <w:tcW w:w="986" w:type="pct"/>
            <w:noWrap/>
            <w:vAlign w:val="bottom"/>
            <w:hideMark/>
          </w:tcPr>
          <w:p w14:paraId="789ACFAD"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PLT </w:t>
            </w:r>
            <w:r w:rsidRPr="00CC0480">
              <w:rPr>
                <w:rFonts w:ascii="Arial" w:eastAsia="Times New Roman" w:hAnsi="Arial" w:cs="Arial"/>
                <w:sz w:val="18"/>
                <w:szCs w:val="18"/>
              </w:rPr>
              <w:t>(×10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/L)</w:t>
            </w:r>
          </w:p>
        </w:tc>
        <w:tc>
          <w:tcPr>
            <w:tcW w:w="1241" w:type="pct"/>
            <w:vAlign w:val="bottom"/>
          </w:tcPr>
          <w:p w14:paraId="661E0EE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(1.00 – 1.02)</w:t>
            </w:r>
          </w:p>
        </w:tc>
        <w:tc>
          <w:tcPr>
            <w:tcW w:w="701" w:type="pct"/>
            <w:vAlign w:val="bottom"/>
          </w:tcPr>
          <w:p w14:paraId="2A2E222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0.318</w:t>
            </w:r>
          </w:p>
        </w:tc>
        <w:tc>
          <w:tcPr>
            <w:tcW w:w="1398" w:type="pct"/>
            <w:noWrap/>
            <w:vAlign w:val="bottom"/>
          </w:tcPr>
          <w:p w14:paraId="46E156D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(0.99 – 1.02)</w:t>
            </w:r>
          </w:p>
        </w:tc>
        <w:tc>
          <w:tcPr>
            <w:tcW w:w="674" w:type="pct"/>
            <w:noWrap/>
            <w:vAlign w:val="bottom"/>
            <w:hideMark/>
          </w:tcPr>
          <w:p w14:paraId="4DCE193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0.303</w:t>
            </w:r>
          </w:p>
        </w:tc>
      </w:tr>
      <w:tr w:rsidR="00F868F5" w:rsidRPr="00CC0480" w14:paraId="678F78F4" w14:textId="77777777" w:rsidTr="00606BC4">
        <w:trPr>
          <w:trHeight w:val="432"/>
        </w:trPr>
        <w:tc>
          <w:tcPr>
            <w:tcW w:w="986" w:type="pct"/>
            <w:noWrap/>
            <w:vAlign w:val="bottom"/>
            <w:hideMark/>
          </w:tcPr>
          <w:p w14:paraId="66670233"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MPV (fl)</w:t>
            </w:r>
          </w:p>
        </w:tc>
        <w:tc>
          <w:tcPr>
            <w:tcW w:w="1241" w:type="pct"/>
            <w:vAlign w:val="bottom"/>
          </w:tcPr>
          <w:p w14:paraId="18CC5C0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0.54 (0.23 – 1.26)</w:t>
            </w:r>
          </w:p>
        </w:tc>
        <w:tc>
          <w:tcPr>
            <w:tcW w:w="701" w:type="pct"/>
            <w:vAlign w:val="bottom"/>
          </w:tcPr>
          <w:p w14:paraId="72F3824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0.154</w:t>
            </w:r>
          </w:p>
        </w:tc>
        <w:tc>
          <w:tcPr>
            <w:tcW w:w="1398" w:type="pct"/>
            <w:noWrap/>
            <w:vAlign w:val="bottom"/>
          </w:tcPr>
          <w:p w14:paraId="02D918A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0.47 (0.12 – 1.86)</w:t>
            </w:r>
          </w:p>
        </w:tc>
        <w:tc>
          <w:tcPr>
            <w:tcW w:w="674" w:type="pct"/>
            <w:noWrap/>
            <w:vAlign w:val="bottom"/>
            <w:hideMark/>
          </w:tcPr>
          <w:p w14:paraId="5D92E60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0.281</w:t>
            </w:r>
          </w:p>
        </w:tc>
      </w:tr>
      <w:tr w:rsidR="00F868F5" w:rsidRPr="00CC0480" w14:paraId="0CE5EB64" w14:textId="77777777" w:rsidTr="00606BC4">
        <w:trPr>
          <w:trHeight w:val="432"/>
        </w:trPr>
        <w:tc>
          <w:tcPr>
            <w:tcW w:w="986" w:type="pct"/>
            <w:noWrap/>
            <w:vAlign w:val="bottom"/>
            <w:hideMark/>
          </w:tcPr>
          <w:p w14:paraId="06201464"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PCT (%) </w:t>
            </w:r>
          </w:p>
        </w:tc>
        <w:tc>
          <w:tcPr>
            <w:tcW w:w="1241" w:type="pct"/>
            <w:vAlign w:val="bottom"/>
          </w:tcPr>
          <w:p w14:paraId="17BAFB7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1.92 (0.0 – 1.37 x 10</w:t>
            </w:r>
            <w:r w:rsidRPr="00CC0480">
              <w:rPr>
                <w:rFonts w:ascii="Arial" w:eastAsia="Times New Roman" w:hAnsi="Arial" w:cs="Arial"/>
                <w:sz w:val="18"/>
                <w:szCs w:val="18"/>
                <w:vertAlign w:val="superscript"/>
              </w:rPr>
              <w:t>5</w:t>
            </w:r>
            <w:r w:rsidRPr="00CC0480">
              <w:rPr>
                <w:rFonts w:ascii="Arial" w:eastAsia="Times New Roman" w:hAnsi="Arial" w:cs="Arial"/>
                <w:sz w:val="18"/>
                <w:szCs w:val="18"/>
              </w:rPr>
              <w:t>)</w:t>
            </w:r>
          </w:p>
        </w:tc>
        <w:tc>
          <w:tcPr>
            <w:tcW w:w="701" w:type="pct"/>
            <w:vAlign w:val="bottom"/>
          </w:tcPr>
          <w:p w14:paraId="7B4D2A5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0.909</w:t>
            </w:r>
          </w:p>
        </w:tc>
        <w:tc>
          <w:tcPr>
            <w:tcW w:w="1398" w:type="pct"/>
            <w:noWrap/>
            <w:vAlign w:val="bottom"/>
          </w:tcPr>
          <w:p w14:paraId="5A5D4076"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46.44 (0.0 – 1.56 x 10</w:t>
            </w:r>
            <w:r w:rsidRPr="00CC0480">
              <w:rPr>
                <w:rFonts w:ascii="Arial" w:eastAsia="Times New Roman" w:hAnsi="Arial" w:cs="Arial"/>
                <w:sz w:val="18"/>
                <w:szCs w:val="18"/>
                <w:vertAlign w:val="superscript"/>
              </w:rPr>
              <w:t>9</w:t>
            </w:r>
            <w:r w:rsidRPr="00CC0480">
              <w:rPr>
                <w:rFonts w:ascii="Arial" w:eastAsia="Times New Roman" w:hAnsi="Arial" w:cs="Arial"/>
                <w:sz w:val="18"/>
                <w:szCs w:val="18"/>
              </w:rPr>
              <w:t>)</w:t>
            </w:r>
          </w:p>
        </w:tc>
        <w:tc>
          <w:tcPr>
            <w:tcW w:w="674" w:type="pct"/>
            <w:noWrap/>
            <w:vAlign w:val="bottom"/>
            <w:hideMark/>
          </w:tcPr>
          <w:p w14:paraId="467EE36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0.664</w:t>
            </w:r>
          </w:p>
        </w:tc>
      </w:tr>
      <w:tr w:rsidR="00F868F5" w:rsidRPr="00CC0480" w14:paraId="7B92F7E0" w14:textId="77777777" w:rsidTr="00606BC4">
        <w:trPr>
          <w:trHeight w:val="432"/>
        </w:trPr>
        <w:tc>
          <w:tcPr>
            <w:tcW w:w="986" w:type="pct"/>
            <w:noWrap/>
            <w:vAlign w:val="bottom"/>
            <w:hideMark/>
          </w:tcPr>
          <w:p w14:paraId="6B840510"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 xml:space="preserve">PDW (fl) </w:t>
            </w:r>
          </w:p>
        </w:tc>
        <w:tc>
          <w:tcPr>
            <w:tcW w:w="1241" w:type="pct"/>
            <w:vAlign w:val="bottom"/>
          </w:tcPr>
          <w:p w14:paraId="42C3175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0.95 (0.67 – 1.34)</w:t>
            </w:r>
          </w:p>
        </w:tc>
        <w:tc>
          <w:tcPr>
            <w:tcW w:w="701" w:type="pct"/>
            <w:vAlign w:val="bottom"/>
          </w:tcPr>
          <w:p w14:paraId="51627CD4"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0.757</w:t>
            </w:r>
          </w:p>
        </w:tc>
        <w:tc>
          <w:tcPr>
            <w:tcW w:w="1398" w:type="pct"/>
            <w:vAlign w:val="bottom"/>
          </w:tcPr>
          <w:p w14:paraId="4A5BBB43"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0.99 (0.62 – 1.60)</w:t>
            </w:r>
          </w:p>
        </w:tc>
        <w:tc>
          <w:tcPr>
            <w:tcW w:w="674" w:type="pct"/>
            <w:noWrap/>
            <w:vAlign w:val="bottom"/>
            <w:hideMark/>
          </w:tcPr>
          <w:p w14:paraId="3C2BE8E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0.976</w:t>
            </w:r>
          </w:p>
        </w:tc>
      </w:tr>
      <w:tr w:rsidR="00F868F5" w:rsidRPr="00CC0480" w14:paraId="53166D3F" w14:textId="77777777" w:rsidTr="00606BC4">
        <w:trPr>
          <w:trHeight w:val="432"/>
        </w:trPr>
        <w:tc>
          <w:tcPr>
            <w:tcW w:w="986" w:type="pct"/>
            <w:noWrap/>
            <w:vAlign w:val="bottom"/>
            <w:hideMark/>
          </w:tcPr>
          <w:p w14:paraId="503C4648"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PLCR (%)</w:t>
            </w:r>
          </w:p>
        </w:tc>
        <w:tc>
          <w:tcPr>
            <w:tcW w:w="1241" w:type="pct"/>
            <w:vAlign w:val="bottom"/>
          </w:tcPr>
          <w:p w14:paraId="33612660"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0.94 (0.85 – 1.04)</w:t>
            </w:r>
          </w:p>
        </w:tc>
        <w:tc>
          <w:tcPr>
            <w:tcW w:w="701" w:type="pct"/>
            <w:vAlign w:val="bottom"/>
          </w:tcPr>
          <w:p w14:paraId="310A122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0.247</w:t>
            </w:r>
          </w:p>
        </w:tc>
        <w:tc>
          <w:tcPr>
            <w:tcW w:w="1398" w:type="pct"/>
            <w:noWrap/>
            <w:vAlign w:val="bottom"/>
          </w:tcPr>
          <w:p w14:paraId="6A667359"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0.95 (0.81 – 1.12)</w:t>
            </w:r>
          </w:p>
        </w:tc>
        <w:tc>
          <w:tcPr>
            <w:tcW w:w="674" w:type="pct"/>
            <w:noWrap/>
            <w:vAlign w:val="bottom"/>
          </w:tcPr>
          <w:p w14:paraId="776404BB"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0.557</w:t>
            </w:r>
          </w:p>
        </w:tc>
      </w:tr>
      <w:tr w:rsidR="00F868F5" w:rsidRPr="00CC0480" w14:paraId="7AE58E00" w14:textId="77777777" w:rsidTr="00606BC4">
        <w:trPr>
          <w:trHeight w:val="432"/>
        </w:trPr>
        <w:tc>
          <w:tcPr>
            <w:tcW w:w="986" w:type="pct"/>
            <w:noWrap/>
            <w:vAlign w:val="bottom"/>
            <w:hideMark/>
          </w:tcPr>
          <w:p w14:paraId="1E69F8B5" w14:textId="77777777" w:rsidR="00F868F5" w:rsidRPr="00CC0480" w:rsidRDefault="00F868F5" w:rsidP="00606BC4">
            <w:pPr>
              <w:spacing w:after="0" w:line="240" w:lineRule="auto"/>
              <w:rPr>
                <w:rFonts w:ascii="Arial" w:eastAsia="Times New Roman" w:hAnsi="Arial" w:cs="Arial"/>
                <w:sz w:val="18"/>
                <w:szCs w:val="18"/>
              </w:rPr>
            </w:pPr>
            <w:r w:rsidRPr="00CC0480">
              <w:rPr>
                <w:rFonts w:ascii="Arial" w:eastAsia="Times New Roman" w:hAnsi="Arial" w:cs="Arial"/>
                <w:sz w:val="18"/>
                <w:szCs w:val="18"/>
              </w:rPr>
              <w:t>D-dimer (ng/ml)</w:t>
            </w:r>
          </w:p>
        </w:tc>
        <w:tc>
          <w:tcPr>
            <w:tcW w:w="1241" w:type="pct"/>
            <w:noWrap/>
            <w:vAlign w:val="bottom"/>
          </w:tcPr>
          <w:p w14:paraId="62770407"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1.00 (0.99 – 1.00)</w:t>
            </w:r>
          </w:p>
        </w:tc>
        <w:tc>
          <w:tcPr>
            <w:tcW w:w="701" w:type="pct"/>
            <w:vAlign w:val="bottom"/>
          </w:tcPr>
          <w:p w14:paraId="0AE27D4D"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0.771</w:t>
            </w:r>
          </w:p>
        </w:tc>
        <w:tc>
          <w:tcPr>
            <w:tcW w:w="1398" w:type="pct"/>
            <w:noWrap/>
            <w:vAlign w:val="bottom"/>
          </w:tcPr>
          <w:p w14:paraId="2DEDB702"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1.01 (1.00 – 1.01)</w:t>
            </w:r>
          </w:p>
        </w:tc>
        <w:tc>
          <w:tcPr>
            <w:tcW w:w="674" w:type="pct"/>
            <w:noWrap/>
            <w:vAlign w:val="bottom"/>
          </w:tcPr>
          <w:p w14:paraId="13929EDF"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0.271</w:t>
            </w:r>
          </w:p>
        </w:tc>
      </w:tr>
      <w:tr w:rsidR="00F868F5" w:rsidRPr="00CC0480" w14:paraId="2EBFB370" w14:textId="77777777" w:rsidTr="00606BC4">
        <w:trPr>
          <w:trHeight w:val="432"/>
        </w:trPr>
        <w:tc>
          <w:tcPr>
            <w:tcW w:w="986" w:type="pct"/>
            <w:tcBorders>
              <w:bottom w:val="single" w:sz="4" w:space="0" w:color="auto"/>
            </w:tcBorders>
            <w:noWrap/>
            <w:vAlign w:val="bottom"/>
            <w:hideMark/>
          </w:tcPr>
          <w:p w14:paraId="538590A8" w14:textId="77777777" w:rsidR="00F868F5" w:rsidRPr="00CC0480" w:rsidRDefault="00F868F5" w:rsidP="00606BC4">
            <w:pPr>
              <w:spacing w:after="0" w:line="240" w:lineRule="auto"/>
              <w:rPr>
                <w:rFonts w:ascii="Arial" w:eastAsia="Times New Roman" w:hAnsi="Arial" w:cs="Arial"/>
                <w:color w:val="000000"/>
                <w:sz w:val="18"/>
                <w:szCs w:val="18"/>
              </w:rPr>
            </w:pPr>
            <w:r w:rsidRPr="00CC0480">
              <w:rPr>
                <w:rFonts w:ascii="Arial" w:eastAsia="Times New Roman" w:hAnsi="Arial" w:cs="Arial"/>
                <w:color w:val="000000"/>
                <w:sz w:val="18"/>
                <w:szCs w:val="18"/>
              </w:rPr>
              <w:t xml:space="preserve"> LA</w:t>
            </w:r>
          </w:p>
        </w:tc>
        <w:tc>
          <w:tcPr>
            <w:tcW w:w="1241" w:type="pct"/>
            <w:tcBorders>
              <w:bottom w:val="single" w:sz="4" w:space="0" w:color="auto"/>
            </w:tcBorders>
            <w:noWrap/>
            <w:vAlign w:val="bottom"/>
          </w:tcPr>
          <w:p w14:paraId="460B6435"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183.8 (0.0 – 4.69 x 10</w:t>
            </w:r>
            <w:r w:rsidRPr="00CC0480">
              <w:rPr>
                <w:rFonts w:ascii="Arial" w:eastAsia="Times New Roman" w:hAnsi="Arial" w:cs="Arial"/>
                <w:sz w:val="18"/>
                <w:szCs w:val="18"/>
                <w:vertAlign w:val="superscript"/>
              </w:rPr>
              <w:t>8</w:t>
            </w:r>
            <w:r w:rsidRPr="00CC0480">
              <w:rPr>
                <w:rFonts w:ascii="Arial" w:eastAsia="Times New Roman" w:hAnsi="Arial" w:cs="Arial"/>
                <w:sz w:val="18"/>
                <w:szCs w:val="18"/>
              </w:rPr>
              <w:t>)</w:t>
            </w:r>
          </w:p>
        </w:tc>
        <w:tc>
          <w:tcPr>
            <w:tcW w:w="701" w:type="pct"/>
            <w:tcBorders>
              <w:bottom w:val="single" w:sz="4" w:space="0" w:color="auto"/>
            </w:tcBorders>
            <w:vAlign w:val="bottom"/>
          </w:tcPr>
          <w:p w14:paraId="3E1023AA"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0.489</w:t>
            </w:r>
          </w:p>
        </w:tc>
        <w:tc>
          <w:tcPr>
            <w:tcW w:w="1398" w:type="pct"/>
            <w:tcBorders>
              <w:bottom w:val="single" w:sz="4" w:space="0" w:color="auto"/>
            </w:tcBorders>
            <w:noWrap/>
            <w:vAlign w:val="bottom"/>
          </w:tcPr>
          <w:p w14:paraId="0C350581"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9.2 x 10</w:t>
            </w:r>
            <w:r w:rsidRPr="00CC0480">
              <w:rPr>
                <w:rFonts w:ascii="Arial" w:eastAsia="Times New Roman" w:hAnsi="Arial" w:cs="Arial"/>
                <w:sz w:val="18"/>
                <w:szCs w:val="18"/>
                <w:vertAlign w:val="superscript"/>
              </w:rPr>
              <w:t>11</w:t>
            </w:r>
            <w:r w:rsidRPr="00CC0480">
              <w:rPr>
                <w:rFonts w:ascii="Arial" w:eastAsia="Times New Roman" w:hAnsi="Arial" w:cs="Arial"/>
                <w:sz w:val="18"/>
                <w:szCs w:val="18"/>
              </w:rPr>
              <w:t xml:space="preserve"> (0.0 – 2.07 x 10</w:t>
            </w:r>
            <w:r w:rsidRPr="00CC0480">
              <w:rPr>
                <w:rFonts w:ascii="Arial" w:eastAsia="Times New Roman" w:hAnsi="Arial" w:cs="Arial"/>
                <w:sz w:val="18"/>
                <w:szCs w:val="18"/>
                <w:vertAlign w:val="superscript"/>
              </w:rPr>
              <w:t>28</w:t>
            </w:r>
            <w:r w:rsidRPr="00CC0480">
              <w:rPr>
                <w:rFonts w:ascii="Arial" w:eastAsia="Times New Roman" w:hAnsi="Arial" w:cs="Arial"/>
                <w:sz w:val="18"/>
                <w:szCs w:val="18"/>
              </w:rPr>
              <w:t>)</w:t>
            </w:r>
          </w:p>
        </w:tc>
        <w:tc>
          <w:tcPr>
            <w:tcW w:w="674" w:type="pct"/>
            <w:tcBorders>
              <w:bottom w:val="single" w:sz="4" w:space="0" w:color="auto"/>
            </w:tcBorders>
            <w:noWrap/>
            <w:vAlign w:val="bottom"/>
          </w:tcPr>
          <w:p w14:paraId="6920EA0C" w14:textId="77777777" w:rsidR="00F868F5" w:rsidRPr="00CC0480" w:rsidRDefault="00F868F5" w:rsidP="00606BC4">
            <w:pPr>
              <w:spacing w:after="0" w:line="240" w:lineRule="auto"/>
              <w:jc w:val="center"/>
              <w:rPr>
                <w:rFonts w:ascii="Arial" w:eastAsia="Times New Roman" w:hAnsi="Arial" w:cs="Arial"/>
                <w:sz w:val="18"/>
                <w:szCs w:val="18"/>
              </w:rPr>
            </w:pPr>
            <w:r w:rsidRPr="00CC0480">
              <w:rPr>
                <w:rFonts w:ascii="Arial" w:eastAsia="Times New Roman" w:hAnsi="Arial" w:cs="Arial"/>
                <w:sz w:val="18"/>
                <w:szCs w:val="18"/>
              </w:rPr>
              <w:t>0.151</w:t>
            </w:r>
          </w:p>
        </w:tc>
      </w:tr>
    </w:tbl>
    <w:p w14:paraId="0B53AACE" w14:textId="77777777" w:rsidR="00F868F5" w:rsidRPr="00CC0480" w:rsidRDefault="00F868F5" w:rsidP="00F868F5">
      <w:pPr>
        <w:spacing w:after="0" w:line="240" w:lineRule="auto"/>
        <w:jc w:val="both"/>
        <w:rPr>
          <w:rFonts w:ascii="Arial" w:eastAsia="Times New Roman" w:hAnsi="Arial" w:cs="Arial"/>
          <w:sz w:val="18"/>
          <w:szCs w:val="18"/>
        </w:rPr>
      </w:pPr>
      <w:r w:rsidRPr="00CC0480">
        <w:rPr>
          <w:rFonts w:ascii="Arial" w:eastAsia="Times New Roman" w:hAnsi="Arial" w:cs="Arial"/>
          <w:color w:val="000000"/>
          <w:sz w:val="18"/>
          <w:szCs w:val="18"/>
        </w:rPr>
        <w:t>CI: Confidence interval</w:t>
      </w:r>
      <w:r w:rsidRPr="00CC0480">
        <w:rPr>
          <w:rFonts w:ascii="Arial" w:eastAsia="Times New Roman" w:hAnsi="Arial" w:cs="Arial"/>
          <w:sz w:val="18"/>
          <w:szCs w:val="18"/>
        </w:rPr>
        <w:t>, WBC – White blood cell, RBC – Red blood cell, HGB – Haemoglobin, HCT – Haematocrit, MCV – Mean cell volume, MCH – Mean cell haemoglobin, MCHC – Mean cell haemoglobin concentration, PLT – Platelet, MPV – Mean platelet volume, PCT – Plateletcrit, PDW – Platelet volume distribution width, PLCR – Platelet larger cell ratio, LA – Lupus anticoagulant</w:t>
      </w:r>
    </w:p>
    <w:p w14:paraId="23CC4F85" w14:textId="77777777" w:rsidR="008D0B66" w:rsidRDefault="008D0B66"/>
    <w:p w14:paraId="6BA0BE33" w14:textId="77777777" w:rsidR="00A5194A" w:rsidRPr="00A5194A" w:rsidRDefault="00A5194A" w:rsidP="00A5194A">
      <w:pPr>
        <w:jc w:val="both"/>
        <w:rPr>
          <w:rFonts w:ascii="Arial" w:hAnsi="Arial" w:cs="Arial"/>
          <w:b/>
          <w:bCs/>
          <w:lang/>
        </w:rPr>
      </w:pPr>
      <w:r w:rsidRPr="00A5194A">
        <w:rPr>
          <w:rFonts w:ascii="Arial" w:hAnsi="Arial" w:cs="Arial"/>
          <w:b/>
          <w:bCs/>
          <w:lang/>
        </w:rPr>
        <w:t>Discussion</w:t>
      </w:r>
    </w:p>
    <w:p w14:paraId="10ADA171" w14:textId="77777777" w:rsidR="00A5194A" w:rsidRPr="00A5194A" w:rsidRDefault="00A5194A" w:rsidP="00A5194A">
      <w:pPr>
        <w:jc w:val="both"/>
        <w:rPr>
          <w:rFonts w:ascii="Arial" w:hAnsi="Arial" w:cs="Arial"/>
          <w:lang/>
        </w:rPr>
      </w:pPr>
      <w:r w:rsidRPr="00A5194A">
        <w:rPr>
          <w:rFonts w:ascii="Arial" w:hAnsi="Arial" w:cs="Arial"/>
          <w:lang/>
        </w:rPr>
        <w:t>Venous thromboembolism (VTE), encompassing deep vein thrombosis (DVT) and pulmonary embolism (PE), remains a common yet largely preventable complication among hospitalized patients. The risk of VTE is heterogeneous and influenced by multiple clinical and biological factors. In this study, complete blood count (CBC) parameters, D-dimer, and lupus anticoagulant (LA) were evaluated in relation to VTE risk among hospitalized medical and surgical patients.</w:t>
      </w:r>
    </w:p>
    <w:p w14:paraId="701729B7" w14:textId="77777777" w:rsidR="00A5194A" w:rsidRPr="00A5194A" w:rsidRDefault="00A5194A" w:rsidP="00A5194A">
      <w:pPr>
        <w:jc w:val="both"/>
        <w:rPr>
          <w:rFonts w:ascii="Arial" w:hAnsi="Arial" w:cs="Arial"/>
          <w:lang/>
        </w:rPr>
      </w:pPr>
      <w:r w:rsidRPr="00A5194A">
        <w:rPr>
          <w:rFonts w:ascii="Arial" w:hAnsi="Arial" w:cs="Arial"/>
          <w:lang/>
        </w:rPr>
        <w:t>The findings demonstrated significantly elevated white blood cell (WBC) counts, neutrophils, and monocytes, alongside reduced lymphocyte counts, in both medical and surgical patients compared with apparently healthy controls. Furthermore, multivariate analysis revealed a significant association between lymphocyte count and high VTE risk. Leukocyte counts and differentials are known to vary across physiological and pathological states, and leukocytosis has been previously identified as a predictor of venous thrombosis (De Stefano et al., 2010; Palandri et al., 2011). Experimental evidence suggests that recruited leukocytes initiate fibrin formation through blood cell–derived tissue factor (TF), which represents a key trigger for the extensive fibrin deposition characteristic of venous thrombosis (von Brühl et al., 2012; Mansueto et al., 2019). Activated leukocytes also release pro-inflammatory and pro-coagulant mediators, including cytokines, granular enzymes, and damage-associated molecular patterns, which contribute to platelet activation, endothelial dysfunction, and activation of both intrinsic and extrinsic coagulation pathways (Swystun &amp; Liaw, 2016).</w:t>
      </w:r>
    </w:p>
    <w:p w14:paraId="43A83E20" w14:textId="77777777" w:rsidR="00A5194A" w:rsidRPr="00A5194A" w:rsidRDefault="00A5194A" w:rsidP="00A5194A">
      <w:pPr>
        <w:jc w:val="both"/>
        <w:rPr>
          <w:rFonts w:ascii="Arial" w:hAnsi="Arial" w:cs="Arial"/>
          <w:lang/>
        </w:rPr>
      </w:pPr>
      <w:r w:rsidRPr="00A5194A">
        <w:rPr>
          <w:rFonts w:ascii="Arial" w:hAnsi="Arial" w:cs="Arial"/>
          <w:lang/>
        </w:rPr>
        <w:t xml:space="preserve">Neutrophils play a prominent role in venous thrombosis and post-thrombotic vein wall remodeling, although their precise contribution to thrombus initiation remains incompletely understood (von Brühl et al., 2012). Neutrophils constitute the dominant leukocyte population </w:t>
      </w:r>
      <w:r w:rsidRPr="00A5194A">
        <w:rPr>
          <w:rFonts w:ascii="Arial" w:hAnsi="Arial" w:cs="Arial"/>
          <w:lang/>
        </w:rPr>
        <w:lastRenderedPageBreak/>
        <w:t>recruited to sites of DVT and promote thrombogenesis through mechanisms such as neutrophil extracellular trap (NET) formation and platelet–leukocyte aggregation (Diaz et al., 2013). Nicklas et al. (2020) further proposed that neutrophils contribute to early thrombus stabilization via NETosis, while macrophages and intact neutrophils subsequently recognize extracellular DNA through toll-like receptor 9 (TLR9), inducing fibrosis. During later stages of thrombus resolution, macrophages transition toward a pro-resolving phenotype, supported by T-cells and mast cells, while endothelial cells participate by coating the thrombus and undergoing endothelial–mesenchymal transition, processes that may impede DVT resolution.</w:t>
      </w:r>
    </w:p>
    <w:p w14:paraId="28643A27" w14:textId="77777777" w:rsidR="00A5194A" w:rsidRPr="00A5194A" w:rsidRDefault="00A5194A" w:rsidP="00A5194A">
      <w:pPr>
        <w:jc w:val="both"/>
        <w:rPr>
          <w:rFonts w:ascii="Arial" w:hAnsi="Arial" w:cs="Arial"/>
          <w:lang/>
        </w:rPr>
      </w:pPr>
      <w:r w:rsidRPr="00A5194A">
        <w:rPr>
          <w:rFonts w:ascii="Arial" w:hAnsi="Arial" w:cs="Arial"/>
          <w:lang/>
        </w:rPr>
        <w:t>Monocytes are regarded as a major source of tissue factor in venous thrombosis, either directly or through monocyte-derived microparticles (von Brühl et al., 2012). Circulating monocytes express TF in response to inflammatory stimuli, and elevated monocyte TF activity has been reported in patients with DVT (Kamikura et al., 2005). The MEGA case–control study demonstrated a dose-dependent association between higher monocyte counts—even within reference ranges—and DVT risk (Rezende et al., 2014). Consistent with these findings, this study observed significantly elevated monocyte counts within the reference range in both medical and surgical patients. The reduced lymphocyte counts observed may reflect steroid use, chemotherapy, malignancy, or radiation exposure among hospitalized patients.</w:t>
      </w:r>
    </w:p>
    <w:p w14:paraId="2817AC8E" w14:textId="77777777" w:rsidR="00A5194A" w:rsidRPr="00A5194A" w:rsidRDefault="00A5194A" w:rsidP="00A5194A">
      <w:pPr>
        <w:jc w:val="both"/>
        <w:rPr>
          <w:rFonts w:ascii="Arial" w:hAnsi="Arial" w:cs="Arial"/>
          <w:lang/>
        </w:rPr>
      </w:pPr>
      <w:r w:rsidRPr="00A5194A">
        <w:rPr>
          <w:rFonts w:ascii="Arial" w:hAnsi="Arial" w:cs="Arial"/>
          <w:lang/>
        </w:rPr>
        <w:t>Red blood cells (RBCs) have traditionally been considered passive components of thrombi; however, accumulating evidence indicates that they exert important effects on haemostasis and thrombosis (Weisel &amp; Litvinov, 2019). In this study, RBC count and selected red cell indices were significantly lower in medical patients compared with surgical patients and controls. Haemoglobin (HGB) and mean corpuscular volume (MCV) were reduced in medical patients, while only MCV was reduced in surgical patients. Notably, mean corpuscular haemoglobin concentration (MCHC) demonstrated a consistent inverse relationship with VTE risk in the overall hospitalized population and in medical patients. In contrast, among surgical patients, RBC count and HGB showed positive and negative associations with VTE risk, respectively. Logistic regression analysis further identified MCHC as significantly associated with high VTE risk, an association that persisted after multivariate adjustment.</w:t>
      </w:r>
    </w:p>
    <w:p w14:paraId="2F439AE1" w14:textId="77777777" w:rsidR="00A5194A" w:rsidRPr="00A5194A" w:rsidRDefault="00A5194A" w:rsidP="00A5194A">
      <w:pPr>
        <w:jc w:val="both"/>
        <w:rPr>
          <w:rFonts w:ascii="Arial" w:hAnsi="Arial" w:cs="Arial"/>
          <w:lang/>
        </w:rPr>
      </w:pPr>
      <w:r w:rsidRPr="00A5194A">
        <w:rPr>
          <w:rFonts w:ascii="Arial" w:hAnsi="Arial" w:cs="Arial"/>
          <w:lang/>
        </w:rPr>
        <w:t>Previous studies have reported conflicting relationships between red cell indices and thrombosis. Jimenez et al. (2009) suggested that low haemoglobin and haematocrit may predispose individuals to thrombosis by reducing blood viscosity and impairing endothelial antithrombotic mechanisms. Conversely, elevated haemoglobin and haematocrit have been associated with increased long-term risk of VTE, particularly in conditions such as polycythaemia vera (Folsom et al., 2020). The reduced RBC, HGB, and MCV observed in this study may reflect anaemia secondary to blood loss, nutritional deficiencies, chronic disease, or inflammation, particularly among medical patients. Anaemia has also been identified as a prognostic factor in pulmonary embolism, with severe anaemia potentially predisposing patients to more rapid thrombus formation (Irace et al., 2011).</w:t>
      </w:r>
    </w:p>
    <w:p w14:paraId="4F9974AA" w14:textId="77777777" w:rsidR="00A5194A" w:rsidRPr="00A5194A" w:rsidRDefault="00A5194A" w:rsidP="00A5194A">
      <w:pPr>
        <w:jc w:val="both"/>
        <w:rPr>
          <w:rFonts w:ascii="Arial" w:hAnsi="Arial" w:cs="Arial"/>
          <w:lang/>
        </w:rPr>
      </w:pPr>
      <w:r w:rsidRPr="00A5194A">
        <w:rPr>
          <w:rFonts w:ascii="Arial" w:hAnsi="Arial" w:cs="Arial"/>
          <w:lang/>
        </w:rPr>
        <w:t xml:space="preserve">The prognostic role of MCHC in VTE remains incompletely understood. In this study, lower MCHC was inversely associated with VTE risk and independently associated with high VTE risk, suggesting that reduced MCHC may serve as a predictor of thrombosis. Supporting this </w:t>
      </w:r>
      <w:r w:rsidRPr="00A5194A">
        <w:rPr>
          <w:rFonts w:ascii="Arial" w:hAnsi="Arial" w:cs="Arial"/>
          <w:lang/>
        </w:rPr>
        <w:lastRenderedPageBreak/>
        <w:t>observation, Ruan et al. (2022) reported that low MCHC independently predicted increased mortality in patients with acute pulmonary embolism (APE). MCHC is a reliable marker of iron status and anaemia, with high sensitivity for identifying iron deficiency (Sultana et al., 2013). Additionally, MCHC has been linked to nitric oxide (NO) bioavailability, with evidence indicating that reduced MCHC increases erythrocyte-mediated NO scavenging, thereby promoting vasoconstriction and endothelial dysfunction (Liu et al., 2014; Kline et al., 2017). Reduced NO levels are recognized contributors to adverse outcomes in pulmonary embolism.</w:t>
      </w:r>
    </w:p>
    <w:p w14:paraId="4D1D902C" w14:textId="77777777" w:rsidR="00A5194A" w:rsidRPr="00A5194A" w:rsidRDefault="00A5194A" w:rsidP="00A5194A">
      <w:pPr>
        <w:jc w:val="both"/>
        <w:rPr>
          <w:rFonts w:ascii="Arial" w:hAnsi="Arial" w:cs="Arial"/>
          <w:lang/>
        </w:rPr>
      </w:pPr>
      <w:r w:rsidRPr="00A5194A">
        <w:rPr>
          <w:rFonts w:ascii="Arial" w:hAnsi="Arial" w:cs="Arial"/>
          <w:lang/>
        </w:rPr>
        <w:t>Platelet parameters, including mean platelet volume (MPV), platelet distribution width (PDW), and platelet large cell ratio (PLCR), were within reference ranges despite being lower in hospitalized patients. Although thrombocytopenia may theoretically reduce VTE risk, it does not eliminate it (Haque et al., 2011). Platelet size is a recognized marker of platelet activity, with larger platelets exhibiting greater reactivity and aggregation potential (Handtke et al., 2019). However, platelet indices can vary even among healthy individuals, limiting their predictive utility in isolation (Vagdatli et al., 2010).</w:t>
      </w:r>
    </w:p>
    <w:p w14:paraId="0230CFD7" w14:textId="77777777" w:rsidR="00A5194A" w:rsidRPr="00A5194A" w:rsidRDefault="00A5194A" w:rsidP="00A5194A">
      <w:pPr>
        <w:jc w:val="both"/>
        <w:rPr>
          <w:rFonts w:ascii="Arial" w:hAnsi="Arial" w:cs="Arial"/>
          <w:lang/>
        </w:rPr>
      </w:pPr>
      <w:r w:rsidRPr="00A5194A">
        <w:rPr>
          <w:rFonts w:ascii="Arial" w:hAnsi="Arial" w:cs="Arial"/>
          <w:lang/>
        </w:rPr>
        <w:t>D-dimer levels were significantly higher in both medical and surgical patients compared with controls, although values largely remained within reference ranges. In medical patients, D-dimer was associated with high VTE risk on univariate analysis. While D-dimer is sensitive, its specificity is limited, particularly among elderly patients and those with comorbidities (Lippi et al., 2013). False elevations may occur due to aging, malignancy, inflammation, or chronic disease (Lozano-Polo et al., 2018; Kim et al., 2019). Nevertheless, elevated D-dimer has been associated with increased risk of VTE recurrence and may correlate with higher Caprini risk scores in hospitalized populations (Verhovsek et al., 2008; Bruinstroop et al., 2009).</w:t>
      </w:r>
    </w:p>
    <w:p w14:paraId="5611DC19" w14:textId="585304EF" w:rsidR="00A5194A" w:rsidRPr="00A5194A" w:rsidRDefault="00A5194A" w:rsidP="00A5194A">
      <w:pPr>
        <w:jc w:val="both"/>
        <w:rPr>
          <w:rFonts w:ascii="Arial" w:hAnsi="Arial" w:cs="Arial"/>
          <w:lang/>
        </w:rPr>
      </w:pPr>
      <w:r w:rsidRPr="00A5194A">
        <w:rPr>
          <w:rFonts w:ascii="Arial" w:hAnsi="Arial" w:cs="Arial"/>
          <w:lang/>
        </w:rPr>
        <w:t>Lupus anticoagulant levels were higher among medical patients compared with surgical patients, and multivariate analysis revealed a significant association between LA and high VTE risk. LA is a major antiphospholipid antibody that can be elevated in autoimmune diseases, malignancies, infections, and inflammatory states (Musiał, 2012; Fei et al., 2017). Although the precise mechanisms remain unclear, proposed pathways include interference with the protein C system, disruption of annexin-A5 antithrombotic shielding, complement activation, and activation of endothelial cells, monocytes, and platelets, collectively promoting a prothrombotic state.</w:t>
      </w:r>
    </w:p>
    <w:p w14:paraId="063589A5" w14:textId="77777777" w:rsidR="00A5194A" w:rsidRPr="00A5194A" w:rsidRDefault="00A5194A" w:rsidP="00A5194A">
      <w:pPr>
        <w:jc w:val="both"/>
        <w:rPr>
          <w:rFonts w:ascii="Arial" w:hAnsi="Arial" w:cs="Arial"/>
          <w:b/>
          <w:bCs/>
          <w:lang/>
        </w:rPr>
      </w:pPr>
      <w:r w:rsidRPr="00A5194A">
        <w:rPr>
          <w:rFonts w:ascii="Arial" w:hAnsi="Arial" w:cs="Arial"/>
          <w:b/>
          <w:bCs/>
          <w:lang/>
        </w:rPr>
        <w:t>Conclusion</w:t>
      </w:r>
    </w:p>
    <w:p w14:paraId="4EEE3B42" w14:textId="77777777" w:rsidR="00A5194A" w:rsidRPr="00A5194A" w:rsidRDefault="00A5194A" w:rsidP="00A5194A">
      <w:pPr>
        <w:jc w:val="both"/>
        <w:rPr>
          <w:rFonts w:ascii="Arial" w:hAnsi="Arial" w:cs="Arial"/>
          <w:lang/>
        </w:rPr>
      </w:pPr>
      <w:r w:rsidRPr="00A5194A">
        <w:rPr>
          <w:rFonts w:ascii="Arial" w:hAnsi="Arial" w:cs="Arial"/>
          <w:lang/>
        </w:rPr>
        <w:t>The evaluation of haematological parameters represents a simple, inexpensive, and accessible approach to VTE risk stratification in hospitalized patients. This study demonstrates that selected CBC parameters, along with D-dimer and lupus anticoagulant, may provide valuable prognostic information in patients at risk of VTE. Among medical patients, MCHC, RBC count, lymphocyte count, D-dimer, and LA were independently associated with high VTE risk, whereas in surgical patients, haemoglobin showed only univariate association.</w:t>
      </w:r>
    </w:p>
    <w:p w14:paraId="24643549" w14:textId="77777777" w:rsidR="00A5194A" w:rsidRPr="00A5194A" w:rsidRDefault="00A5194A" w:rsidP="00A5194A">
      <w:pPr>
        <w:jc w:val="both"/>
        <w:rPr>
          <w:rFonts w:ascii="Arial" w:hAnsi="Arial" w:cs="Arial"/>
          <w:lang/>
        </w:rPr>
      </w:pPr>
      <w:r w:rsidRPr="00A5194A">
        <w:rPr>
          <w:rFonts w:ascii="Arial" w:hAnsi="Arial" w:cs="Arial"/>
          <w:lang/>
        </w:rPr>
        <w:t xml:space="preserve">Notably, MCHC emerged as a potential independent biomarker for VTE risk and prognosis. Given its low cost and widespread availability, MCHC warrants further attention in VTE risk assessment. Larger prospective studies incorporating detailed clinical data, duration of </w:t>
      </w:r>
      <w:r w:rsidRPr="00A5194A">
        <w:rPr>
          <w:rFonts w:ascii="Arial" w:hAnsi="Arial" w:cs="Arial"/>
          <w:lang/>
        </w:rPr>
        <w:lastRenderedPageBreak/>
        <w:t>hospitalization, bleeding risk, and longitudinal follow-up are needed to further elucidate the role of haematological indices in the development and progression of venous thromboembolism.</w:t>
      </w:r>
    </w:p>
    <w:p w14:paraId="07D1A040" w14:textId="77777777" w:rsidR="00A5194A" w:rsidRPr="00A5194A" w:rsidRDefault="00A5194A">
      <w:pPr>
        <w:rPr>
          <w:lang/>
        </w:rPr>
      </w:pPr>
    </w:p>
    <w:p w14:paraId="320DACD9" w14:textId="77777777" w:rsidR="00F12FA7" w:rsidRDefault="00F12FA7" w:rsidP="00F12FA7">
      <w:pPr>
        <w:rPr>
          <w:highlight w:val="yellow"/>
        </w:rPr>
      </w:pPr>
      <w:r>
        <w:rPr>
          <w:highlight w:val="yellow"/>
        </w:rPr>
        <w:t>Disclaimer (Artificial intelligence)</w:t>
      </w:r>
    </w:p>
    <w:p w14:paraId="51ACCB89" w14:textId="77777777" w:rsidR="00F12FA7" w:rsidRDefault="00F12FA7" w:rsidP="00F12FA7">
      <w:pPr>
        <w:rPr>
          <w:highlight w:val="yellow"/>
        </w:rPr>
      </w:pPr>
      <w:r>
        <w:rPr>
          <w:highlight w:val="yellow"/>
        </w:rPr>
        <w:t xml:space="preserve">Option 1: </w:t>
      </w:r>
    </w:p>
    <w:p w14:paraId="6D092447" w14:textId="77777777" w:rsidR="00F12FA7" w:rsidRDefault="00F12FA7" w:rsidP="00F12FA7">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33DBAF8" w14:textId="77777777" w:rsidR="003851A8" w:rsidRPr="003C1D4F" w:rsidRDefault="003851A8" w:rsidP="002202DB">
      <w:pPr>
        <w:spacing w:line="360" w:lineRule="auto"/>
        <w:jc w:val="both"/>
        <w:rPr>
          <w:rFonts w:ascii="Arial" w:hAnsi="Arial" w:cs="Arial"/>
        </w:rPr>
      </w:pPr>
      <w:bookmarkStart w:id="0" w:name="_GoBack"/>
      <w:bookmarkEnd w:id="0"/>
    </w:p>
    <w:p w14:paraId="5E06469A" w14:textId="77777777" w:rsidR="002202DB" w:rsidRPr="003C1D4F" w:rsidRDefault="002202DB" w:rsidP="002202DB">
      <w:pPr>
        <w:spacing w:line="360" w:lineRule="auto"/>
        <w:jc w:val="both"/>
        <w:rPr>
          <w:rFonts w:ascii="Arial" w:hAnsi="Arial" w:cs="Arial"/>
          <w:b/>
        </w:rPr>
      </w:pPr>
      <w:r w:rsidRPr="003C1D4F">
        <w:rPr>
          <w:rFonts w:ascii="Arial" w:hAnsi="Arial" w:cs="Arial"/>
          <w:b/>
        </w:rPr>
        <w:t xml:space="preserve">REFERENCES </w:t>
      </w:r>
    </w:p>
    <w:p w14:paraId="31CF5B56"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Baelum JK, Moe EE, Nybo M, Vinholt PJ. (2017). Venous Thromboembolism in Patients with Thrombocytopenia: Risk Factors, Treatment, and Outcome. Clinical and Applied Thrombosis/Hemostasis.; 23(4):345-350. doi:10.1177/1076029615613158</w:t>
      </w:r>
    </w:p>
    <w:p w14:paraId="7AEFC077"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Bruinstroop, E., Klok, F.A., Van De Ree, M.A., Oosterwijk, F.L., Huisman, M.V. (2009). Elevated D-dimer levels predict recurrence in patients with idiopathic venous thromboembolism: a meta-analysis. </w:t>
      </w:r>
      <w:r w:rsidRPr="003C1D4F">
        <w:rPr>
          <w:rFonts w:ascii="Arial" w:hAnsi="Arial" w:cs="Arial"/>
          <w:i/>
        </w:rPr>
        <w:t>Journal of Thrombosis and Haemostasis</w:t>
      </w:r>
      <w:r w:rsidRPr="003C1D4F">
        <w:rPr>
          <w:rFonts w:ascii="Arial" w:hAnsi="Arial" w:cs="Arial"/>
        </w:rPr>
        <w:t>; 7(04):611–618</w:t>
      </w:r>
    </w:p>
    <w:p w14:paraId="5AB78758"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Byrnes J R. &amp; Alisa S. Wolberg. (2017). Red blood cells in thrombosis. </w:t>
      </w:r>
      <w:r w:rsidRPr="003C1D4F">
        <w:rPr>
          <w:rFonts w:ascii="Arial" w:hAnsi="Arial" w:cs="Arial"/>
          <w:i/>
        </w:rPr>
        <w:t>Blood;</w:t>
      </w:r>
      <w:r w:rsidRPr="003C1D4F">
        <w:rPr>
          <w:rFonts w:ascii="Arial" w:hAnsi="Arial" w:cs="Arial"/>
        </w:rPr>
        <w:t xml:space="preserve"> 130 (16): 1795-1799</w:t>
      </w:r>
    </w:p>
    <w:p w14:paraId="4DD02D62"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Danesh J., Collins R., Peto R., Lowe G.D. (2000). Haematocrit, viscosity, erythrocyte sedimentation rate: meta-analyses of prospective studies of coronary heart disease. </w:t>
      </w:r>
      <w:r w:rsidRPr="003C1D4F">
        <w:rPr>
          <w:rFonts w:ascii="Arial" w:hAnsi="Arial" w:cs="Arial"/>
          <w:i/>
        </w:rPr>
        <w:t>European Heart Journal</w:t>
      </w:r>
      <w:r w:rsidRPr="003C1D4F">
        <w:rPr>
          <w:rFonts w:ascii="Arial" w:hAnsi="Arial" w:cs="Arial"/>
        </w:rPr>
        <w:t>; 21 (7):515-520.</w:t>
      </w:r>
    </w:p>
    <w:p w14:paraId="4669F07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De Stefano V, Za T, Rossi E, Vannucchi AM, Ruggeri M, Elli E, Mico` C, Tieghi A, Cacciola RR, Santoro C, Gerli G, Guglielmelli P, Pieri L, Scognamiglio F, Rodeghiero F, Pogliani EM, Finazzi G, Gugliotta L, Leone G, Barbui T. For the GIMEMA Chronic Myeloproliferative Neoplasms Working Party. (2010). Leukocytosis is a risk factor for recurrent arterial thrombosis in young patients with polycythemia vera and essential thrombocythemia. </w:t>
      </w:r>
      <w:r w:rsidRPr="003C1D4F">
        <w:rPr>
          <w:rFonts w:ascii="Arial" w:hAnsi="Arial" w:cs="Arial"/>
          <w:i/>
        </w:rPr>
        <w:t>American Journal of Hematology</w:t>
      </w:r>
      <w:r w:rsidRPr="003C1D4F">
        <w:rPr>
          <w:rFonts w:ascii="Arial" w:hAnsi="Arial" w:cs="Arial"/>
        </w:rPr>
        <w:t xml:space="preserve">; 85(2):97–100. </w:t>
      </w:r>
    </w:p>
    <w:p w14:paraId="693A628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Diaz JA, Fuchs TA, Jackson TO, Kremer Hovinga JA, Lämmle B, Henke PK, Myers Jr DD, Wagner DD, Wakefield TW; for the Michigan Research Venous Group (2013). Plasma </w:t>
      </w:r>
      <w:r w:rsidRPr="003C1D4F">
        <w:rPr>
          <w:rFonts w:ascii="Arial" w:hAnsi="Arial" w:cs="Arial"/>
        </w:rPr>
        <w:lastRenderedPageBreak/>
        <w:t xml:space="preserve">DNA is elevated in patients with deep vein thrombosis. </w:t>
      </w:r>
      <w:r w:rsidRPr="003C1D4F">
        <w:rPr>
          <w:rFonts w:ascii="Arial" w:hAnsi="Arial" w:cs="Arial"/>
          <w:i/>
        </w:rPr>
        <w:t>Journal of Vascular Surgery: Venous and Lymphatic Disorders</w:t>
      </w:r>
      <w:r w:rsidRPr="003C1D4F">
        <w:rPr>
          <w:rFonts w:ascii="Arial" w:hAnsi="Arial" w:cs="Arial"/>
        </w:rPr>
        <w:t>; 1(4):341-348; https://doi.org/10.1016/j.jvsv</w:t>
      </w:r>
    </w:p>
    <w:p w14:paraId="7FE31E26"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Fei, X., Wang, H., Jiang L., Zhao, T., Cheng, M., and Yuan, W. (2017). Clinical and Prognostic Significance of Lupus Anticoagulant Measurement in Patients with Lung Cancer. </w:t>
      </w:r>
      <w:r w:rsidRPr="003C1D4F">
        <w:rPr>
          <w:rFonts w:ascii="Arial" w:hAnsi="Arial" w:cs="Arial"/>
          <w:i/>
        </w:rPr>
        <w:t>Technology in Cancer Research &amp; Treatment</w:t>
      </w:r>
      <w:r w:rsidRPr="003C1D4F">
        <w:rPr>
          <w:rFonts w:ascii="Arial" w:hAnsi="Arial" w:cs="Arial"/>
        </w:rPr>
        <w:t>, 16(6) 1006–1013 DOI: 10.1177/1533034617714150.</w:t>
      </w:r>
    </w:p>
    <w:p w14:paraId="470885B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Folsom AR, Wang W, Parikh R, Lutsey PL, Beckman JD, Cushman M, for the Atherosclerosis Risk in Communities (ARIC) Study Investigators (2020). Hematocrit and incidence of venous thromboembolism, </w:t>
      </w:r>
      <w:r w:rsidRPr="003C1D4F">
        <w:rPr>
          <w:rFonts w:ascii="Arial" w:hAnsi="Arial" w:cs="Arial"/>
          <w:i/>
        </w:rPr>
        <w:t>Research and Practice in Thrombosis and Haemostasis</w:t>
      </w:r>
      <w:r w:rsidRPr="003C1D4F">
        <w:rPr>
          <w:rFonts w:ascii="Arial" w:hAnsi="Arial" w:cs="Arial"/>
        </w:rPr>
        <w:t>; 4:422–428.</w:t>
      </w:r>
    </w:p>
    <w:p w14:paraId="2CFEF608"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Handtke S, Steil L, Palankar R, Conrad J, Cauhan S, Kraus L, Ferrara M, Dhople V, Wesche J, Völker U, Andreas G, Thomas T. (2019). Role of platelet size revisited-function and protein composition of large and small platelets. </w:t>
      </w:r>
      <w:r w:rsidRPr="003C1D4F">
        <w:rPr>
          <w:rFonts w:ascii="Arial" w:hAnsi="Arial" w:cs="Arial"/>
          <w:i/>
        </w:rPr>
        <w:t>Thrombosis and Haemostasis</w:t>
      </w:r>
      <w:r w:rsidRPr="003C1D4F">
        <w:rPr>
          <w:rFonts w:ascii="Arial" w:hAnsi="Arial" w:cs="Arial"/>
        </w:rPr>
        <w:t>; 119 (3):407–</w:t>
      </w:r>
      <w:proofErr w:type="gramStart"/>
      <w:r w:rsidRPr="003C1D4F">
        <w:rPr>
          <w:rFonts w:ascii="Arial" w:hAnsi="Arial" w:cs="Arial"/>
        </w:rPr>
        <w:t>420.doi:https://doi.org/10.1055/s-0039-1677875</w:t>
      </w:r>
      <w:proofErr w:type="gramEnd"/>
      <w:r w:rsidRPr="003C1D4F">
        <w:rPr>
          <w:rFonts w:ascii="Arial" w:hAnsi="Arial" w:cs="Arial"/>
        </w:rPr>
        <w:t>.</w:t>
      </w:r>
    </w:p>
    <w:p w14:paraId="4C3152F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Haque S, Dinh A, Rathi N, Feng L, Owen M, Lange G, Price K, Nates J. (2011). Thrombocytopenia does not protect from deep vein thrombosis in critically ill cancer patients. </w:t>
      </w:r>
      <w:r w:rsidRPr="003C1D4F">
        <w:rPr>
          <w:rFonts w:ascii="Arial" w:hAnsi="Arial" w:cs="Arial"/>
          <w:i/>
        </w:rPr>
        <w:t>Chest;</w:t>
      </w:r>
      <w:r w:rsidRPr="003C1D4F">
        <w:rPr>
          <w:rFonts w:ascii="Arial" w:hAnsi="Arial" w:cs="Arial"/>
        </w:rPr>
        <w:t xml:space="preserve"> 140(4):878a. doi:10.1378/chest.1119773</w:t>
      </w:r>
    </w:p>
    <w:p w14:paraId="1B49BC0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Irace C, Scarinci F, Scorcia V. (2011). Association among low whole blood viscosity, haematocrit, haemoglobin and diabetic retinopathy in subjects with type 2 diabetes. </w:t>
      </w:r>
      <w:r w:rsidRPr="003C1D4F">
        <w:rPr>
          <w:rFonts w:ascii="Arial" w:hAnsi="Arial" w:cs="Arial"/>
          <w:i/>
        </w:rPr>
        <w:t>British Journal of Ophthalmology</w:t>
      </w:r>
      <w:r w:rsidRPr="003C1D4F">
        <w:rPr>
          <w:rFonts w:ascii="Arial" w:hAnsi="Arial" w:cs="Arial"/>
        </w:rPr>
        <w:t>; 95: 94-98.</w:t>
      </w:r>
    </w:p>
    <w:p w14:paraId="76C0407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Jiménez D, Escobar C, Martí D, Díaz </w:t>
      </w:r>
      <w:proofErr w:type="gramStart"/>
      <w:r w:rsidRPr="003C1D4F">
        <w:rPr>
          <w:rFonts w:ascii="Arial" w:hAnsi="Arial" w:cs="Arial"/>
        </w:rPr>
        <w:t>G ,</w:t>
      </w:r>
      <w:proofErr w:type="gramEnd"/>
      <w:r w:rsidRPr="003C1D4F">
        <w:rPr>
          <w:rFonts w:ascii="Arial" w:hAnsi="Arial" w:cs="Arial"/>
        </w:rPr>
        <w:t xml:space="preserve"> César J, García-Avello Á, Sueiro A, Yusen RD. (2009). Association of anaemia and mortality in patients with acute pulmonary embolism. </w:t>
      </w:r>
      <w:r w:rsidRPr="003C1D4F">
        <w:rPr>
          <w:rFonts w:ascii="Arial" w:hAnsi="Arial" w:cs="Arial"/>
          <w:i/>
        </w:rPr>
        <w:t>Thrombosis and Haemostasis</w:t>
      </w:r>
      <w:r w:rsidRPr="003C1D4F">
        <w:rPr>
          <w:rFonts w:ascii="Arial" w:hAnsi="Arial" w:cs="Arial"/>
        </w:rPr>
        <w:t>; 102(1):153</w:t>
      </w:r>
      <w:r w:rsidRPr="003C1D4F">
        <w:rPr>
          <w:rFonts w:ascii="Cambria Math" w:hAnsi="Cambria Math" w:cs="Cambria Math"/>
        </w:rPr>
        <w:t>‐</w:t>
      </w:r>
      <w:r w:rsidRPr="003C1D4F">
        <w:rPr>
          <w:rFonts w:ascii="Arial" w:hAnsi="Arial" w:cs="Arial"/>
        </w:rPr>
        <w:t>158. doi:10.1160/TH09-01-0003</w:t>
      </w:r>
    </w:p>
    <w:p w14:paraId="4877390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Johnsen, H.S., Hindberg, K, Bjøri, E., Brodin, E. E., Sigrid K. Brækkan, S. K., Morelli, V. M., Hansen, J. (2019). D-Dimer Measured at Diagnosis of Venous Thromboembolism is Associated with Risk of Major Bleeding, </w:t>
      </w:r>
      <w:r w:rsidRPr="003C1D4F">
        <w:rPr>
          <w:rFonts w:ascii="Arial" w:hAnsi="Arial" w:cs="Arial"/>
          <w:i/>
        </w:rPr>
        <w:t>TH Open</w:t>
      </w:r>
      <w:r w:rsidRPr="003C1D4F">
        <w:rPr>
          <w:rFonts w:ascii="Arial" w:hAnsi="Arial" w:cs="Arial"/>
        </w:rPr>
        <w:t>; 3:77–84, DOI https://doi.org/10.1055/s-0039-1683395.</w:t>
      </w:r>
    </w:p>
    <w:p w14:paraId="20D49DBD"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Kamikura Y, Wada H, Nobori T, Kobayashi T, Sase T, Nishikawa M, Ishikura K, Yamada N, Abe Y, Nishioka J, Nakano T, Hiroshi S. (2005). Elevated levels of leukocyte tissue factor </w:t>
      </w:r>
      <w:r w:rsidRPr="003C1D4F">
        <w:rPr>
          <w:rFonts w:ascii="Arial" w:hAnsi="Arial" w:cs="Arial"/>
        </w:rPr>
        <w:lastRenderedPageBreak/>
        <w:t xml:space="preserve">mRNA in patients with venous thromboembolism. </w:t>
      </w:r>
      <w:r w:rsidRPr="003C1D4F">
        <w:rPr>
          <w:rFonts w:ascii="Arial" w:hAnsi="Arial" w:cs="Arial"/>
          <w:i/>
        </w:rPr>
        <w:t>Thrombosis Research;</w:t>
      </w:r>
      <w:r w:rsidRPr="003C1D4F">
        <w:rPr>
          <w:rFonts w:ascii="Arial" w:hAnsi="Arial" w:cs="Arial"/>
        </w:rPr>
        <w:t xml:space="preserve"> 116(4):307-312; doi: 10.1016/j.thromres.</w:t>
      </w:r>
    </w:p>
    <w:p w14:paraId="17B4125C"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Kim JY, Kim KH, Cho JY, Sim DS, Yoon HJ, Yoon NS, Hong YJ, Park HW, Kim JH, Ahn Y, Jeong </w:t>
      </w:r>
      <w:proofErr w:type="gramStart"/>
      <w:r w:rsidRPr="003C1D4F">
        <w:rPr>
          <w:rFonts w:ascii="Arial" w:hAnsi="Arial" w:cs="Arial"/>
        </w:rPr>
        <w:t>MH,  Cho</w:t>
      </w:r>
      <w:proofErr w:type="gramEnd"/>
      <w:r w:rsidRPr="003C1D4F">
        <w:rPr>
          <w:rFonts w:ascii="Arial" w:hAnsi="Arial" w:cs="Arial"/>
        </w:rPr>
        <w:t xml:space="preserve"> JG and Park JC. (2019). D-dimer/troponin ratio in the differential diagnosis of acute pulmonary embolism from non-ST elevation myocardial infarction. Korean </w:t>
      </w:r>
      <w:r w:rsidRPr="003C1D4F">
        <w:rPr>
          <w:rFonts w:ascii="Arial" w:hAnsi="Arial" w:cs="Arial"/>
          <w:i/>
        </w:rPr>
        <w:t>Journal of Internal Medicine</w:t>
      </w:r>
      <w:r w:rsidRPr="003C1D4F">
        <w:rPr>
          <w:rFonts w:ascii="Arial" w:hAnsi="Arial" w:cs="Arial"/>
        </w:rPr>
        <w:t>; 34(6):1263-1271.</w:t>
      </w:r>
    </w:p>
    <w:p w14:paraId="72311DD3"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Kim SA, Yhim HY, Bang SM. (2019). Current management of cancer-associated venous thromboembolism: focus on direct oral anticoagulants. </w:t>
      </w:r>
      <w:r w:rsidRPr="003C1D4F">
        <w:rPr>
          <w:rFonts w:ascii="Arial" w:hAnsi="Arial" w:cs="Arial"/>
          <w:i/>
        </w:rPr>
        <w:t>Journal of Korean Medical Science</w:t>
      </w:r>
      <w:r w:rsidRPr="003C1D4F">
        <w:rPr>
          <w:rFonts w:ascii="Arial" w:hAnsi="Arial" w:cs="Arial"/>
        </w:rPr>
        <w:t>; 34(6</w:t>
      </w:r>
      <w:proofErr w:type="gramStart"/>
      <w:r w:rsidRPr="003C1D4F">
        <w:rPr>
          <w:rFonts w:ascii="Arial" w:hAnsi="Arial" w:cs="Arial"/>
        </w:rPr>
        <w:t>):e</w:t>
      </w:r>
      <w:proofErr w:type="gramEnd"/>
      <w:r w:rsidRPr="003C1D4F">
        <w:rPr>
          <w:rFonts w:ascii="Arial" w:hAnsi="Arial" w:cs="Arial"/>
        </w:rPr>
        <w:t>52.</w:t>
      </w:r>
    </w:p>
    <w:p w14:paraId="61520FA7"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Kline JA, Hall CL, Jones AE, Puskarich MA, Mastouri RA, Lahm T. (2017). Randomized trial of inhaled nitric oxide to treat acute pulmonary embolism: the iNOPE trial. </w:t>
      </w:r>
      <w:r w:rsidRPr="003C1D4F">
        <w:rPr>
          <w:rFonts w:ascii="Arial" w:hAnsi="Arial" w:cs="Arial"/>
          <w:i/>
        </w:rPr>
        <w:t>American Heart Journal</w:t>
      </w:r>
      <w:r w:rsidRPr="003C1D4F">
        <w:rPr>
          <w:rFonts w:ascii="Arial" w:hAnsi="Arial" w:cs="Arial"/>
        </w:rPr>
        <w:t>; 186(4):100</w:t>
      </w:r>
      <w:r w:rsidRPr="003C1D4F">
        <w:rPr>
          <w:rFonts w:ascii="Cambria Math" w:hAnsi="Cambria Math" w:cs="Cambria Math"/>
        </w:rPr>
        <w:t>‐</w:t>
      </w:r>
      <w:r w:rsidRPr="003C1D4F">
        <w:rPr>
          <w:rFonts w:ascii="Arial" w:hAnsi="Arial" w:cs="Arial"/>
        </w:rPr>
        <w:t xml:space="preserve">110. </w:t>
      </w:r>
      <w:proofErr w:type="gramStart"/>
      <w:r w:rsidRPr="003C1D4F">
        <w:rPr>
          <w:rFonts w:ascii="Arial" w:hAnsi="Arial" w:cs="Arial"/>
        </w:rPr>
        <w:t>doi:10.1016/j.ahj</w:t>
      </w:r>
      <w:proofErr w:type="gramEnd"/>
      <w:r w:rsidRPr="003C1D4F">
        <w:rPr>
          <w:rFonts w:ascii="Arial" w:hAnsi="Arial" w:cs="Arial"/>
        </w:rPr>
        <w:t>.2017.01.011</w:t>
      </w:r>
    </w:p>
    <w:p w14:paraId="242F5801"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Lee JH, Huh JW, Hong SB, Oh YM, Shim T S, Lim CM, Lee S D, Koh Y, Kim WS, &amp; Lee JS. (2019). Prognostic value of blood biomarkers in patients with unprovoked acute pulmonary embolism</w:t>
      </w:r>
      <w:r w:rsidRPr="003C1D4F">
        <w:rPr>
          <w:rFonts w:ascii="Arial" w:hAnsi="Arial" w:cs="Arial"/>
          <w:i/>
        </w:rPr>
        <w:t>. Annals of Thoracic Surgery</w:t>
      </w:r>
      <w:r w:rsidRPr="003C1D4F">
        <w:rPr>
          <w:rFonts w:ascii="Arial" w:hAnsi="Arial" w:cs="Arial"/>
        </w:rPr>
        <w:t>; 14(4):248</w:t>
      </w:r>
      <w:r w:rsidRPr="003C1D4F">
        <w:rPr>
          <w:rFonts w:ascii="Cambria Math" w:hAnsi="Cambria Math" w:cs="Cambria Math"/>
        </w:rPr>
        <w:t>‐</w:t>
      </w:r>
      <w:r w:rsidRPr="003C1D4F">
        <w:rPr>
          <w:rFonts w:ascii="Arial" w:hAnsi="Arial" w:cs="Arial"/>
        </w:rPr>
        <w:t xml:space="preserve">253. </w:t>
      </w:r>
      <w:proofErr w:type="gramStart"/>
      <w:r w:rsidRPr="003C1D4F">
        <w:rPr>
          <w:rFonts w:ascii="Arial" w:hAnsi="Arial" w:cs="Arial"/>
        </w:rPr>
        <w:t>doi:10.4103/atm.ATM</w:t>
      </w:r>
      <w:proofErr w:type="gramEnd"/>
      <w:r w:rsidRPr="003C1D4F">
        <w:rPr>
          <w:rFonts w:ascii="Arial" w:hAnsi="Arial" w:cs="Arial"/>
        </w:rPr>
        <w:t>_62_19</w:t>
      </w:r>
    </w:p>
    <w:p w14:paraId="474FEC2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Liu C, Liu X, Janes J, Stapley R, Patel R, Gladwin M &amp; Kim-Shapiro D. (2014). Mechanism of faster NO scavenging by older stored red blood cells. </w:t>
      </w:r>
      <w:r w:rsidRPr="003C1D4F">
        <w:rPr>
          <w:rFonts w:ascii="Arial" w:hAnsi="Arial" w:cs="Arial"/>
          <w:i/>
        </w:rPr>
        <w:t>Redox Biology</w:t>
      </w:r>
      <w:r w:rsidRPr="003C1D4F">
        <w:rPr>
          <w:rFonts w:ascii="Arial" w:hAnsi="Arial" w:cs="Arial"/>
        </w:rPr>
        <w:t>; 2(1):211</w:t>
      </w:r>
      <w:r w:rsidRPr="003C1D4F">
        <w:rPr>
          <w:rFonts w:ascii="Cambria Math" w:hAnsi="Cambria Math" w:cs="Cambria Math"/>
        </w:rPr>
        <w:t>‐</w:t>
      </w:r>
      <w:r w:rsidRPr="003C1D4F">
        <w:rPr>
          <w:rFonts w:ascii="Arial" w:hAnsi="Arial" w:cs="Arial"/>
        </w:rPr>
        <w:t xml:space="preserve">219. </w:t>
      </w:r>
      <w:proofErr w:type="gramStart"/>
      <w:r w:rsidRPr="003C1D4F">
        <w:rPr>
          <w:rFonts w:ascii="Arial" w:hAnsi="Arial" w:cs="Arial"/>
        </w:rPr>
        <w:t>doi:10.1016/j.redox</w:t>
      </w:r>
      <w:proofErr w:type="gramEnd"/>
      <w:r w:rsidRPr="003C1D4F">
        <w:rPr>
          <w:rFonts w:ascii="Arial" w:hAnsi="Arial" w:cs="Arial"/>
        </w:rPr>
        <w:t>.2013.12.014</w:t>
      </w:r>
    </w:p>
    <w:p w14:paraId="6022E962"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Lozano-Polo L, Puig-Campmany M, Herrera-Mateo S, Mateo-Roca M, Santos-Rodríguez JA, Benito-Vales S. (2018). Diagnosis of pulmonary embolism in the elderly: adherence to guidelines and age-adjusted D-dimer concentration values</w:t>
      </w:r>
      <w:r w:rsidRPr="003C1D4F">
        <w:rPr>
          <w:rFonts w:ascii="Arial" w:hAnsi="Arial" w:cs="Arial"/>
          <w:i/>
        </w:rPr>
        <w:t>. Emergencias</w:t>
      </w:r>
      <w:r w:rsidRPr="003C1D4F">
        <w:rPr>
          <w:rFonts w:ascii="Arial" w:hAnsi="Arial" w:cs="Arial"/>
        </w:rPr>
        <w:t>; 30(5):321-327.</w:t>
      </w:r>
    </w:p>
    <w:p w14:paraId="3660394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Mansueto, G.; Costa, D.; Capasso, E.; Varavallo, F.; Brunitto, G.; Caserta, R.; Esposito, S.; Niola, M.; Sardu, C.; Marfella, R.; et al. (2019). The dating of thrombus organization in cases of pulmonary embolism: An autopsy study. </w:t>
      </w:r>
      <w:r w:rsidRPr="003C1D4F">
        <w:rPr>
          <w:rFonts w:ascii="Arial" w:hAnsi="Arial" w:cs="Arial"/>
          <w:i/>
        </w:rPr>
        <w:t xml:space="preserve">BMC Cardiovascular Disorders; </w:t>
      </w:r>
      <w:r w:rsidRPr="003C1D4F">
        <w:rPr>
          <w:rFonts w:ascii="Arial" w:hAnsi="Arial" w:cs="Arial"/>
        </w:rPr>
        <w:t>19, 250; https://doi.org/10.1186/s12872-019-1219-8.</w:t>
      </w:r>
    </w:p>
    <w:p w14:paraId="248343F9"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Musiał J. (2012). Antiphospholipid antibodies and thrombosis. </w:t>
      </w:r>
      <w:r w:rsidRPr="003C1D4F">
        <w:rPr>
          <w:rFonts w:ascii="Arial" w:hAnsi="Arial" w:cs="Arial"/>
          <w:i/>
        </w:rPr>
        <w:t>Thrombosis Research</w:t>
      </w:r>
      <w:r w:rsidRPr="003C1D4F">
        <w:rPr>
          <w:rFonts w:ascii="Arial" w:hAnsi="Arial" w:cs="Arial"/>
        </w:rPr>
        <w:t>; 129(3):345-347.</w:t>
      </w:r>
    </w:p>
    <w:p w14:paraId="5AD36AB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Nicklas JM, Gordon AE and Henke PK (2020). Resolution of Deep Venous Thrombosis: Proposed Immune Paradigms. </w:t>
      </w:r>
      <w:r w:rsidRPr="003C1D4F">
        <w:rPr>
          <w:rFonts w:ascii="Arial" w:hAnsi="Arial" w:cs="Arial"/>
          <w:i/>
        </w:rPr>
        <w:t>International Journal of Molecular Sciences</w:t>
      </w:r>
      <w:r w:rsidRPr="003C1D4F">
        <w:rPr>
          <w:rFonts w:ascii="Arial" w:hAnsi="Arial" w:cs="Arial"/>
        </w:rPr>
        <w:t>, 21, 2080; doi:10.3390/ijms21062080</w:t>
      </w:r>
    </w:p>
    <w:p w14:paraId="7BB2D93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lastRenderedPageBreak/>
        <w:t xml:space="preserve">Palandri F., Polverelli N., Catani L., Ottaviani E., Baccarani M.  (2011). Impact of leukocytosis on thrombotic risk and survival in 532 patients with essential thrombocythemia: a retrospective study. </w:t>
      </w:r>
      <w:r w:rsidRPr="003C1D4F">
        <w:rPr>
          <w:rFonts w:ascii="Arial" w:hAnsi="Arial" w:cs="Arial"/>
          <w:i/>
        </w:rPr>
        <w:t xml:space="preserve">Annals of Hematology; </w:t>
      </w:r>
      <w:r w:rsidRPr="003C1D4F">
        <w:rPr>
          <w:rFonts w:ascii="Arial" w:hAnsi="Arial" w:cs="Arial"/>
        </w:rPr>
        <w:t>90: 933-938.</w:t>
      </w:r>
    </w:p>
    <w:p w14:paraId="1743AC75"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Rezende S.M., Lijfering W.M., Rosendaal F.R., Cannegieter S.C. (2014). Hematologic variables and venous thrombosis: Red cell distribution width and blood monocyte count are associated with an increased risk. </w:t>
      </w:r>
      <w:r w:rsidRPr="003C1D4F">
        <w:rPr>
          <w:rFonts w:ascii="Arial" w:hAnsi="Arial" w:cs="Arial"/>
          <w:i/>
        </w:rPr>
        <w:t>Haematologica</w:t>
      </w:r>
      <w:r w:rsidRPr="003C1D4F">
        <w:rPr>
          <w:rFonts w:ascii="Arial" w:hAnsi="Arial" w:cs="Arial"/>
        </w:rPr>
        <w:t>; 99: 194-200.</w:t>
      </w:r>
    </w:p>
    <w:p w14:paraId="1A3BD50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Ruan Z, Li D, Hu Y, Qiu Z, and Chen X (2022). The Association Between Mean Corpuscular Hemoglobin Concentration and Prognosis in Patients with Acute Pulmonary Embolism: A Retrospective Cohort Study. </w:t>
      </w:r>
      <w:r w:rsidRPr="003C1D4F">
        <w:rPr>
          <w:rFonts w:ascii="Arial" w:hAnsi="Arial" w:cs="Arial"/>
          <w:i/>
        </w:rPr>
        <w:t>Clinical and Applied Thrombosis/Hemostasis</w:t>
      </w:r>
      <w:r w:rsidRPr="003C1D4F">
        <w:rPr>
          <w:rFonts w:ascii="Arial" w:hAnsi="Arial" w:cs="Arial"/>
        </w:rPr>
        <w:t>; (28): 1-7; DOI: 10.1177/10760296221103867</w:t>
      </w:r>
    </w:p>
    <w:p w14:paraId="046937AE"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Sabatine M.S., Morrow D.A., Giugliano R.P. (2005). Association of hemoglobin levels with clinical outcomes in acute coronary syndromes. </w:t>
      </w:r>
      <w:r w:rsidRPr="003C1D4F">
        <w:rPr>
          <w:rFonts w:ascii="Arial" w:hAnsi="Arial" w:cs="Arial"/>
          <w:i/>
        </w:rPr>
        <w:t>Circulation;</w:t>
      </w:r>
      <w:r w:rsidRPr="003C1D4F">
        <w:rPr>
          <w:rFonts w:ascii="Arial" w:hAnsi="Arial" w:cs="Arial"/>
        </w:rPr>
        <w:t xml:space="preserve"> 111(16):2042-2049.</w:t>
      </w:r>
    </w:p>
    <w:p w14:paraId="5389CD86"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Sultana GS, Haque SA, Sultana T, Ahmed AN. (2013). Value of red cell distribution width (RDW) and RBC indices in the detection of iron deficiency anemia. </w:t>
      </w:r>
      <w:r w:rsidRPr="003C1D4F">
        <w:rPr>
          <w:rFonts w:ascii="Arial" w:hAnsi="Arial" w:cs="Arial"/>
          <w:i/>
        </w:rPr>
        <w:t xml:space="preserve">Mymensingh Medical Journal; </w:t>
      </w:r>
      <w:r w:rsidRPr="003C1D4F">
        <w:rPr>
          <w:rFonts w:ascii="Arial" w:hAnsi="Arial" w:cs="Arial"/>
        </w:rPr>
        <w:t>22(2):370</w:t>
      </w:r>
      <w:r w:rsidRPr="003C1D4F">
        <w:rPr>
          <w:rFonts w:ascii="Cambria Math" w:hAnsi="Cambria Math" w:cs="Cambria Math"/>
        </w:rPr>
        <w:t>‐</w:t>
      </w:r>
      <w:r w:rsidRPr="003C1D4F">
        <w:rPr>
          <w:rFonts w:ascii="Arial" w:hAnsi="Arial" w:cs="Arial"/>
        </w:rPr>
        <w:t>376.</w:t>
      </w:r>
    </w:p>
    <w:p w14:paraId="689E7A2C"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Swystun L.L. and Liaw P.C. (2016). The role of leukocytes in thrombosis.  </w:t>
      </w:r>
      <w:r w:rsidRPr="003C1D4F">
        <w:rPr>
          <w:rFonts w:ascii="Arial" w:hAnsi="Arial" w:cs="Arial"/>
          <w:i/>
        </w:rPr>
        <w:t>Blood</w:t>
      </w:r>
      <w:r w:rsidRPr="003C1D4F">
        <w:rPr>
          <w:rFonts w:ascii="Arial" w:hAnsi="Arial" w:cs="Arial"/>
        </w:rPr>
        <w:t>; 128(6):753-762; doi: 10.1182/blood-2016-05-718114.</w:t>
      </w:r>
    </w:p>
    <w:p w14:paraId="22C1EACA"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Vagdatli, E, Gounari E, Lazaridou E, Katsibourlia E, Tsikopoulou F, Labrianou I. (2010). Platelet distribution width: a simple, practical and specific marker of activation of coagulation. </w:t>
      </w:r>
      <w:r w:rsidRPr="003C1D4F">
        <w:rPr>
          <w:rFonts w:ascii="Arial" w:hAnsi="Arial" w:cs="Arial"/>
          <w:i/>
        </w:rPr>
        <w:t xml:space="preserve">Hippokratia; </w:t>
      </w:r>
      <w:r w:rsidRPr="003C1D4F">
        <w:rPr>
          <w:rFonts w:ascii="Arial" w:hAnsi="Arial" w:cs="Arial"/>
        </w:rPr>
        <w:t>14, 28-32.</w:t>
      </w:r>
    </w:p>
    <w:p w14:paraId="04590414"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Verhovsek, M., Douketis, J.D., Yi Q., Shrivastava S., Tait R.C., Baglin T., Poli D., Lim W. (2008). Systematic review: D-dimer to predict recurrent disease after stopping anticoagulant therapy for unprovoked venous thromboembolism. </w:t>
      </w:r>
      <w:r w:rsidRPr="003C1D4F">
        <w:rPr>
          <w:rFonts w:ascii="Arial" w:hAnsi="Arial" w:cs="Arial"/>
          <w:i/>
        </w:rPr>
        <w:t>Annals of Internal Medicine</w:t>
      </w:r>
      <w:r w:rsidRPr="003C1D4F">
        <w:rPr>
          <w:rFonts w:ascii="Arial" w:hAnsi="Arial" w:cs="Arial"/>
        </w:rPr>
        <w:t>; 149(07):481–490, W94</w:t>
      </w:r>
    </w:p>
    <w:p w14:paraId="65FE2BAF"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Von Brühl ML, Stark K, Steinhart A, Chandraratne S, Konrad I, </w:t>
      </w:r>
      <w:r w:rsidRPr="003C1D4F">
        <w:rPr>
          <w:rFonts w:ascii="Arial" w:hAnsi="Arial" w:cs="Arial"/>
          <w:i/>
        </w:rPr>
        <w:t>et al.</w:t>
      </w:r>
      <w:r w:rsidRPr="003C1D4F">
        <w:rPr>
          <w:rFonts w:ascii="Arial" w:hAnsi="Arial" w:cs="Arial"/>
        </w:rPr>
        <w:t xml:space="preserve"> (2012). Monocytes, neutrophils, and platelets cooperate to initiate and propagate venous thrombosis in mice in vivo. </w:t>
      </w:r>
      <w:r w:rsidRPr="003C1D4F">
        <w:rPr>
          <w:rFonts w:ascii="Arial" w:hAnsi="Arial" w:cs="Arial"/>
          <w:i/>
        </w:rPr>
        <w:t xml:space="preserve">Journal of Experimental Medicine; </w:t>
      </w:r>
      <w:r w:rsidRPr="003C1D4F">
        <w:rPr>
          <w:rFonts w:ascii="Arial" w:hAnsi="Arial" w:cs="Arial"/>
        </w:rPr>
        <w:t>209 (4): 819-835.</w:t>
      </w:r>
    </w:p>
    <w:p w14:paraId="62DED028" w14:textId="77777777" w:rsidR="002202DB" w:rsidRPr="003C1D4F" w:rsidRDefault="002202DB" w:rsidP="002202DB">
      <w:pPr>
        <w:spacing w:line="360" w:lineRule="auto"/>
        <w:ind w:left="720" w:hanging="720"/>
        <w:jc w:val="both"/>
        <w:rPr>
          <w:rFonts w:ascii="Arial" w:hAnsi="Arial" w:cs="Arial"/>
        </w:rPr>
      </w:pPr>
      <w:r w:rsidRPr="003C1D4F">
        <w:rPr>
          <w:rFonts w:ascii="Arial" w:hAnsi="Arial" w:cs="Arial"/>
        </w:rPr>
        <w:t xml:space="preserve">Weisel J.W., Litvinov R.I. (2019). Red blood cells: the forgotten player in hemostasis and thrombosis. </w:t>
      </w:r>
      <w:r w:rsidRPr="003C1D4F">
        <w:rPr>
          <w:rFonts w:ascii="Arial" w:hAnsi="Arial" w:cs="Arial"/>
          <w:i/>
        </w:rPr>
        <w:t xml:space="preserve">Journal of Thrombosis and Haemostasis; </w:t>
      </w:r>
      <w:r w:rsidRPr="003C1D4F">
        <w:rPr>
          <w:rFonts w:ascii="Arial" w:hAnsi="Arial" w:cs="Arial"/>
        </w:rPr>
        <w:t xml:space="preserve">17: 271–282. </w:t>
      </w:r>
    </w:p>
    <w:p w14:paraId="255F5512" w14:textId="77777777" w:rsidR="002202DB" w:rsidRPr="003C1D4F" w:rsidRDefault="002202DB">
      <w:pPr>
        <w:rPr>
          <w:rFonts w:ascii="Arial" w:hAnsi="Arial" w:cs="Arial"/>
        </w:rPr>
      </w:pPr>
    </w:p>
    <w:sectPr w:rsidR="002202DB" w:rsidRPr="003C1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627C6"/>
    <w:multiLevelType w:val="hybridMultilevel"/>
    <w:tmpl w:val="3DDA4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2B0444"/>
    <w:multiLevelType w:val="multilevel"/>
    <w:tmpl w:val="B9B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jQ1NLGwsDQxNTZT0lEKTi0uzszPAykwrgUA9lUXECwAAAA="/>
  </w:docVars>
  <w:rsids>
    <w:rsidRoot w:val="002E31E9"/>
    <w:rsid w:val="000A6B36"/>
    <w:rsid w:val="000F0697"/>
    <w:rsid w:val="000F0FE6"/>
    <w:rsid w:val="0010107D"/>
    <w:rsid w:val="0017535A"/>
    <w:rsid w:val="0019626B"/>
    <w:rsid w:val="001C17B4"/>
    <w:rsid w:val="001E2276"/>
    <w:rsid w:val="002202DB"/>
    <w:rsid w:val="002741FE"/>
    <w:rsid w:val="002E31E9"/>
    <w:rsid w:val="002E534A"/>
    <w:rsid w:val="003851A8"/>
    <w:rsid w:val="003B2E65"/>
    <w:rsid w:val="003C1D4F"/>
    <w:rsid w:val="003D11EC"/>
    <w:rsid w:val="003F0590"/>
    <w:rsid w:val="00477632"/>
    <w:rsid w:val="0055047C"/>
    <w:rsid w:val="005A3B63"/>
    <w:rsid w:val="005F088B"/>
    <w:rsid w:val="00606BC4"/>
    <w:rsid w:val="00607CE8"/>
    <w:rsid w:val="006A21B5"/>
    <w:rsid w:val="006B3D99"/>
    <w:rsid w:val="006D4FE8"/>
    <w:rsid w:val="006F3D86"/>
    <w:rsid w:val="00700160"/>
    <w:rsid w:val="00752CA2"/>
    <w:rsid w:val="00835203"/>
    <w:rsid w:val="008B4350"/>
    <w:rsid w:val="008D0B66"/>
    <w:rsid w:val="0096755A"/>
    <w:rsid w:val="00987EE1"/>
    <w:rsid w:val="009B2C24"/>
    <w:rsid w:val="00A0778B"/>
    <w:rsid w:val="00A25B21"/>
    <w:rsid w:val="00A4490A"/>
    <w:rsid w:val="00A5194A"/>
    <w:rsid w:val="00A65F25"/>
    <w:rsid w:val="00AB02F5"/>
    <w:rsid w:val="00AB21F6"/>
    <w:rsid w:val="00AB7E0A"/>
    <w:rsid w:val="00AD0A84"/>
    <w:rsid w:val="00B35A25"/>
    <w:rsid w:val="00B57645"/>
    <w:rsid w:val="00C217CC"/>
    <w:rsid w:val="00CC0480"/>
    <w:rsid w:val="00D450E3"/>
    <w:rsid w:val="00D54B7A"/>
    <w:rsid w:val="00D90404"/>
    <w:rsid w:val="00DE0255"/>
    <w:rsid w:val="00DF6966"/>
    <w:rsid w:val="00E24042"/>
    <w:rsid w:val="00E367A2"/>
    <w:rsid w:val="00EA762F"/>
    <w:rsid w:val="00EE4528"/>
    <w:rsid w:val="00F05BBC"/>
    <w:rsid w:val="00F12FA7"/>
    <w:rsid w:val="00F8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444"/>
  <w15:docId w15:val="{C8C25A10-681B-4BC6-AEF4-9656D02E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1E9"/>
  </w:style>
  <w:style w:type="paragraph" w:styleId="Heading1">
    <w:name w:val="heading 1"/>
    <w:basedOn w:val="Normal"/>
    <w:next w:val="Normal"/>
    <w:link w:val="Heading1Char"/>
    <w:uiPriority w:val="9"/>
    <w:qFormat/>
    <w:rsid w:val="003F0590"/>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3F0590"/>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3F0590"/>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1E9"/>
    <w:rPr>
      <w:color w:val="0000FF"/>
      <w:u w:val="single"/>
    </w:rPr>
  </w:style>
  <w:style w:type="paragraph" w:styleId="BalloonText">
    <w:name w:val="Balloon Text"/>
    <w:basedOn w:val="Normal"/>
    <w:link w:val="BalloonTextChar"/>
    <w:uiPriority w:val="99"/>
    <w:semiHidden/>
    <w:unhideWhenUsed/>
    <w:rsid w:val="002E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1E9"/>
    <w:rPr>
      <w:rFonts w:ascii="Tahoma" w:hAnsi="Tahoma" w:cs="Tahoma"/>
      <w:sz w:val="16"/>
      <w:szCs w:val="16"/>
    </w:rPr>
  </w:style>
  <w:style w:type="character" w:styleId="CommentReference">
    <w:name w:val="annotation reference"/>
    <w:basedOn w:val="DefaultParagraphFont"/>
    <w:uiPriority w:val="99"/>
    <w:semiHidden/>
    <w:unhideWhenUsed/>
    <w:rsid w:val="002E31E9"/>
    <w:rPr>
      <w:sz w:val="16"/>
      <w:szCs w:val="16"/>
    </w:rPr>
  </w:style>
  <w:style w:type="paragraph" w:styleId="CommentText">
    <w:name w:val="annotation text"/>
    <w:basedOn w:val="Normal"/>
    <w:link w:val="CommentTextChar"/>
    <w:uiPriority w:val="99"/>
    <w:semiHidden/>
    <w:unhideWhenUsed/>
    <w:rsid w:val="002E31E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E31E9"/>
    <w:rPr>
      <w:sz w:val="20"/>
      <w:szCs w:val="20"/>
    </w:rPr>
  </w:style>
  <w:style w:type="character" w:customStyle="1" w:styleId="Heading1Char">
    <w:name w:val="Heading 1 Char"/>
    <w:basedOn w:val="DefaultParagraphFont"/>
    <w:link w:val="Heading1"/>
    <w:uiPriority w:val="9"/>
    <w:rsid w:val="003F0590"/>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3F059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3F0590"/>
    <w:rPr>
      <w:rFonts w:ascii="Calibri Light" w:eastAsia="Times New Roman" w:hAnsi="Calibri Light" w:cs="Times New Roman"/>
      <w:b/>
      <w:bCs/>
      <w:sz w:val="26"/>
      <w:szCs w:val="26"/>
    </w:rPr>
  </w:style>
  <w:style w:type="paragraph" w:styleId="ListParagraph">
    <w:name w:val="List Paragraph"/>
    <w:basedOn w:val="Normal"/>
    <w:uiPriority w:val="34"/>
    <w:qFormat/>
    <w:rsid w:val="003F0590"/>
    <w:pPr>
      <w:spacing w:after="160" w:line="25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83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latin typeface="Times New Roman" pitchFamily="18" charset="0"/>
                <a:cs typeface="Times New Roman" pitchFamily="18" charset="0"/>
              </a:rPr>
              <a:t>Figure 1 Percentage VTE risk factor points occupied by medical and surgical patients</a:t>
            </a:r>
            <a:endParaRPr lang="en-US" sz="1200">
              <a:latin typeface="Times New Roman" pitchFamily="18" charset="0"/>
              <a:cs typeface="Times New Roman" pitchFamily="18" charset="0"/>
            </a:endParaRPr>
          </a:p>
        </c:rich>
      </c:tx>
      <c:layout>
        <c:manualLayout>
          <c:xMode val="edge"/>
          <c:yMode val="edge"/>
          <c:x val="0.12480555555555556"/>
          <c:y val="0.8099027409372237"/>
        </c:manualLayout>
      </c:layout>
      <c:overlay val="0"/>
    </c:title>
    <c:autoTitleDeleted val="0"/>
    <c:plotArea>
      <c:layout>
        <c:manualLayout>
          <c:layoutTarget val="inner"/>
          <c:xMode val="edge"/>
          <c:yMode val="edge"/>
          <c:x val="6.3655074365704292E-2"/>
          <c:y val="4.138822169775197E-2"/>
          <c:w val="0.89745603674540686"/>
          <c:h val="0.65751693505155362"/>
        </c:manualLayout>
      </c:layout>
      <c:barChart>
        <c:barDir val="col"/>
        <c:grouping val="clustered"/>
        <c:varyColors val="0"/>
        <c:ser>
          <c:idx val="0"/>
          <c:order val="0"/>
          <c:tx>
            <c:strRef>
              <c:f>Sheet1!$A$3</c:f>
              <c:strCache>
                <c:ptCount val="1"/>
                <c:pt idx="0">
                  <c:v>Medical</c:v>
                </c:pt>
              </c:strCache>
            </c:strRef>
          </c:tx>
          <c:invertIfNegative val="0"/>
          <c:cat>
            <c:strRef>
              <c:f>Sheet1!$B$2:$D$2</c:f>
              <c:strCache>
                <c:ptCount val="3"/>
                <c:pt idx="0">
                  <c:v>2 points</c:v>
                </c:pt>
                <c:pt idx="1">
                  <c:v>3 points</c:v>
                </c:pt>
                <c:pt idx="2">
                  <c:v>5 points</c:v>
                </c:pt>
              </c:strCache>
            </c:strRef>
          </c:cat>
          <c:val>
            <c:numRef>
              <c:f>Sheet1!$B$3:$D$3</c:f>
              <c:numCache>
                <c:formatCode>General</c:formatCode>
                <c:ptCount val="3"/>
                <c:pt idx="0">
                  <c:v>33</c:v>
                </c:pt>
                <c:pt idx="1">
                  <c:v>2</c:v>
                </c:pt>
                <c:pt idx="2">
                  <c:v>12</c:v>
                </c:pt>
              </c:numCache>
            </c:numRef>
          </c:val>
          <c:extLst>
            <c:ext xmlns:c16="http://schemas.microsoft.com/office/drawing/2014/chart" uri="{C3380CC4-5D6E-409C-BE32-E72D297353CC}">
              <c16:uniqueId val="{00000000-ECAE-4CBC-A4F0-88294F282F57}"/>
            </c:ext>
          </c:extLst>
        </c:ser>
        <c:ser>
          <c:idx val="1"/>
          <c:order val="1"/>
          <c:tx>
            <c:strRef>
              <c:f>Sheet1!$A$4</c:f>
              <c:strCache>
                <c:ptCount val="1"/>
                <c:pt idx="0">
                  <c:v>Surgical</c:v>
                </c:pt>
              </c:strCache>
            </c:strRef>
          </c:tx>
          <c:invertIfNegative val="0"/>
          <c:cat>
            <c:strRef>
              <c:f>Sheet1!$B$2:$D$2</c:f>
              <c:strCache>
                <c:ptCount val="3"/>
                <c:pt idx="0">
                  <c:v>2 points</c:v>
                </c:pt>
                <c:pt idx="1">
                  <c:v>3 points</c:v>
                </c:pt>
                <c:pt idx="2">
                  <c:v>5 points</c:v>
                </c:pt>
              </c:strCache>
            </c:strRef>
          </c:cat>
          <c:val>
            <c:numRef>
              <c:f>Sheet1!$B$4:$D$4</c:f>
              <c:numCache>
                <c:formatCode>General</c:formatCode>
                <c:ptCount val="3"/>
                <c:pt idx="0">
                  <c:v>34</c:v>
                </c:pt>
                <c:pt idx="1">
                  <c:v>5</c:v>
                </c:pt>
                <c:pt idx="2">
                  <c:v>18</c:v>
                </c:pt>
              </c:numCache>
            </c:numRef>
          </c:val>
          <c:extLst>
            <c:ext xmlns:c16="http://schemas.microsoft.com/office/drawing/2014/chart" uri="{C3380CC4-5D6E-409C-BE32-E72D297353CC}">
              <c16:uniqueId val="{00000001-ECAE-4CBC-A4F0-88294F282F57}"/>
            </c:ext>
          </c:extLst>
        </c:ser>
        <c:dLbls>
          <c:showLegendKey val="0"/>
          <c:showVal val="0"/>
          <c:showCatName val="0"/>
          <c:showSerName val="0"/>
          <c:showPercent val="0"/>
          <c:showBubbleSize val="0"/>
        </c:dLbls>
        <c:gapWidth val="75"/>
        <c:overlap val="-25"/>
        <c:axId val="65017344"/>
        <c:axId val="65018880"/>
      </c:barChart>
      <c:catAx>
        <c:axId val="65017344"/>
        <c:scaling>
          <c:orientation val="minMax"/>
        </c:scaling>
        <c:delete val="0"/>
        <c:axPos val="b"/>
        <c:numFmt formatCode="General" sourceLinked="0"/>
        <c:majorTickMark val="none"/>
        <c:minorTickMark val="none"/>
        <c:tickLblPos val="nextTo"/>
        <c:crossAx val="65018880"/>
        <c:crosses val="autoZero"/>
        <c:auto val="1"/>
        <c:lblAlgn val="ctr"/>
        <c:lblOffset val="100"/>
        <c:noMultiLvlLbl val="0"/>
      </c:catAx>
      <c:valAx>
        <c:axId val="65018880"/>
        <c:scaling>
          <c:orientation val="minMax"/>
        </c:scaling>
        <c:delete val="0"/>
        <c:axPos val="l"/>
        <c:majorGridlines/>
        <c:numFmt formatCode="General" sourceLinked="1"/>
        <c:majorTickMark val="none"/>
        <c:minorTickMark val="none"/>
        <c:tickLblPos val="nextTo"/>
        <c:spPr>
          <a:ln w="9525">
            <a:noFill/>
          </a:ln>
        </c:spPr>
        <c:crossAx val="65017344"/>
        <c:crosses val="autoZero"/>
        <c:crossBetween val="between"/>
      </c:valAx>
    </c:plotArea>
    <c:legend>
      <c:legendPos val="b"/>
      <c:layout>
        <c:manualLayout>
          <c:xMode val="edge"/>
          <c:yMode val="edge"/>
          <c:x val="0.58442891513560802"/>
          <c:y val="0.18273063347187701"/>
          <c:w val="0.28669772528433946"/>
          <c:h val="6.395371666074897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16</Pages>
  <Words>5510</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Eyiuche</dc:creator>
  <cp:lastModifiedBy>SDI 1022</cp:lastModifiedBy>
  <cp:revision>50</cp:revision>
  <cp:lastPrinted>2021-12-03T03:07:00Z</cp:lastPrinted>
  <dcterms:created xsi:type="dcterms:W3CDTF">2021-08-21T05:32:00Z</dcterms:created>
  <dcterms:modified xsi:type="dcterms:W3CDTF">2026-01-17T10:55:00Z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2b04cb2a4eb7acfd385013e11f24e94fead9151a1a8a42529118775c9422b77a</vt:lpwstr>
  </property>
</Properties>
</file>