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FB4" w:rsidRDefault="00043FB4">
      <w:pPr>
        <w:spacing w:after="0" w:line="240" w:lineRule="auto"/>
        <w:rPr>
          <w:rFonts w:ascii="Times New Roman" w:eastAsia="Times New Roman" w:hAnsi="Times New Roman" w:cs="Times New Roman"/>
          <w:sz w:val="24"/>
          <w:szCs w:val="24"/>
        </w:rPr>
      </w:pPr>
    </w:p>
    <w:p w:rsidR="00043FB4" w:rsidRDefault="00FF462A">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Evaluation of Coagulation Disorders Among Blood Donors at the University College Hospital, Ibadan, Nigeria</w:t>
      </w:r>
    </w:p>
    <w:p w:rsidR="00043FB4" w:rsidRDefault="00043FB4">
      <w:pPr>
        <w:spacing w:after="0" w:line="240" w:lineRule="auto"/>
        <w:outlineLvl w:val="0"/>
        <w:rPr>
          <w:rFonts w:ascii="Times New Roman" w:eastAsia="Times New Roman" w:hAnsi="Times New Roman" w:cs="Times New Roman"/>
          <w:b/>
          <w:bCs/>
          <w:kern w:val="36"/>
          <w:sz w:val="24"/>
          <w:szCs w:val="24"/>
        </w:rPr>
      </w:pPr>
    </w:p>
    <w:p w:rsidR="00043FB4" w:rsidRDefault="00FF462A">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rsidR="00043FB4" w:rsidRDefault="00FF462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Background:</w:t>
      </w:r>
      <w:r>
        <w:rPr>
          <w:rFonts w:ascii="Times New Roman" w:eastAsia="Times New Roman" w:hAnsi="Times New Roman" w:cs="Times New Roman"/>
          <w:sz w:val="24"/>
          <w:szCs w:val="24"/>
        </w:rPr>
        <w:t xml:space="preserve"> Donor safety and the quality of transfusion products may be impacted by coagulation disorders, which can range from hypocoagulable to hypercoagulable states and stay clinically silent in seemingly healthy persons. Sensitive coagulation testing is rarely included in routine donor screening, which often focuses on transfusion-transmissible pathogens. In order to ascertain the prevalence and interrelationships of anomalies and to take into account consequences for donor screening and transfusion safety, this study evaluated a few coagulation markers among blood donors at the University College Hospital (UCH) blood bank in Ibadan.</w:t>
      </w:r>
    </w:p>
    <w:p w:rsidR="00043FB4" w:rsidRDefault="00FF462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Aim and objectives:</w:t>
      </w:r>
      <w:r>
        <w:rPr>
          <w:rFonts w:ascii="Times New Roman" w:eastAsia="Times New Roman" w:hAnsi="Times New Roman" w:cs="Times New Roman"/>
          <w:sz w:val="24"/>
          <w:szCs w:val="24"/>
        </w:rPr>
        <w:t xml:space="preserve"> The purpose of the study was to assess coagulation abnormalities in a subset of UCH Ibadan blood donors. Prothrombin Time (PT), International Normalized Ratio (INR), Activated Partial Thromboplastin Time (aPTT), fibrinogen concentration, and D-Dimer levels were measured, and correlations between these indicators were investigated.</w:t>
      </w:r>
    </w:p>
    <w:p w:rsidR="00043FB4" w:rsidRDefault="00FF462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Materials and methods:</w:t>
      </w:r>
      <w:r>
        <w:rPr>
          <w:rFonts w:ascii="Times New Roman" w:eastAsia="Times New Roman" w:hAnsi="Times New Roman" w:cs="Times New Roman"/>
          <w:sz w:val="24"/>
          <w:szCs w:val="24"/>
        </w:rPr>
        <w:t xml:space="preserve"> A cross-sectional investigation was carried out on 200 willing blood donors who were enlisted at the UCH blood bank. Donors between the ages of 18 and 60 who completed the standard pre-donation test were accepted; those who were not in the age range, were using antithrombotic medications, or failed the screening were not. Venous blood was drawn into 3.2% sodium citrate tubes; fibrinogen and D-Dimer were tested by ELISA, plasma was produced, and PT/aPTT was assessed by hand. Significance was determined at p&lt;0.05 and data were analyzed using SPSS (descriptive statistics, Pearson correlations). The determination of sample size and laboratory procedures adhered to accepted practices.</w:t>
      </w:r>
    </w:p>
    <w:p w:rsidR="00043FB4" w:rsidRDefault="00FF462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w:t>
      </w:r>
      <w:r>
        <w:rPr>
          <w:rFonts w:ascii="Times New Roman" w:eastAsia="Times New Roman" w:hAnsi="Times New Roman" w:cs="Times New Roman"/>
          <w:sz w:val="24"/>
          <w:szCs w:val="24"/>
        </w:rPr>
        <w:t xml:space="preserve"> With mean PT 15.2 s, mean INR 1.16, mean aPTT 34.7 s, mean fibrinogen 1.73 g/L, and mean D-Dimer 0.007, the majority of donors had coagulation parameters within reference limits. But 46/200 (23.0%) showed at least one coagulation abnormality: 13/200 (6.5%) had high INR (&gt;1.2), 8/200 (4.0%) extended aPTT (&gt;40 s), 7/200 (3.5%) low fibrinogen (&lt;1.5 g/L), 5/200 (2.5%) high fibrinogen (&gt;4.0 g/L), and 23/200 (11.5%) positive D-Dimer (≥0.05). Correlational analysis revealed a small but statistically significant negative correlation between fibrinogen and D-Dimer (rho = −0.208, p = 0.003) and the expected substantial PT–INR connection (r=0.966, p&lt;0.001).</w:t>
      </w:r>
    </w:p>
    <w:p w:rsidR="00043FB4" w:rsidRDefault="00FF462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w:t>
      </w:r>
      <w:r>
        <w:rPr>
          <w:rFonts w:ascii="Times New Roman" w:eastAsia="Times New Roman" w:hAnsi="Times New Roman" w:cs="Times New Roman"/>
          <w:sz w:val="24"/>
          <w:szCs w:val="24"/>
        </w:rPr>
        <w:t xml:space="preserve"> D-Dimer increase (11.5%) indicates a subset with subclinical fibrin production and breakdown. Approximately one in four blood donors exhibited at least one laboratory marker of coagulation abnormalities. These results encourage blood banks to take into account tiered or targeted coagulation screening in order to safeguard donor health and transfusion quality. Adopting point-of-care PT/INR and aPTT screening for donors, deferral or referral paths for bad results, and improved donor questionnaires are among the recommendations.</w:t>
      </w:r>
    </w:p>
    <w:p w:rsidR="00043FB4" w:rsidRDefault="00FF462A">
      <w:pPr>
        <w:spacing w:before="100" w:beforeAutospacing="1" w:after="100" w:afterAutospacing="1" w:line="240" w:lineRule="auto"/>
        <w:jc w:val="both"/>
        <w:rPr>
          <w:rFonts w:ascii="Times New Roman" w:eastAsia="Times New Roman" w:hAnsi="Times New Roman" w:cs="Times New Roman"/>
          <w:sz w:val="24"/>
          <w:szCs w:val="24"/>
        </w:rPr>
      </w:pPr>
      <w:r w:rsidRPr="00C32C67">
        <w:rPr>
          <w:rFonts w:ascii="Times New Roman" w:eastAsia="Times New Roman" w:hAnsi="Times New Roman" w:cs="Times New Roman"/>
          <w:b/>
          <w:sz w:val="24"/>
          <w:szCs w:val="24"/>
          <w:highlight w:val="yellow"/>
        </w:rPr>
        <w:lastRenderedPageBreak/>
        <w:t>Keywords:</w:t>
      </w:r>
      <w:r w:rsidRPr="00C32C67">
        <w:rPr>
          <w:rFonts w:ascii="Times New Roman" w:eastAsia="Times New Roman" w:hAnsi="Times New Roman" w:cs="Times New Roman"/>
          <w:sz w:val="24"/>
          <w:szCs w:val="24"/>
          <w:highlight w:val="yellow"/>
        </w:rPr>
        <w:t xml:space="preserve"> Coagulation disorders, blood donors, Prothrombin T</w:t>
      </w:r>
      <w:r w:rsidR="00C32C67" w:rsidRPr="00C32C67">
        <w:rPr>
          <w:rFonts w:ascii="Times New Roman" w:eastAsia="Times New Roman" w:hAnsi="Times New Roman" w:cs="Times New Roman"/>
          <w:sz w:val="24"/>
          <w:szCs w:val="24"/>
          <w:highlight w:val="yellow"/>
        </w:rPr>
        <w:t>ime, aPTT, Fibrinogen, D-Dimer.</w:t>
      </w:r>
    </w:p>
    <w:p w:rsidR="00043FB4" w:rsidRDefault="00FF462A">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1.0 Introduction </w:t>
      </w:r>
    </w:p>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Hemostasis is a strictly controlled physiological process that limits pathologic thrombosis and stops bleeding following vascular damage (1). The vascular endothelium, platelets, coagulation factors, and fibrinolytic pathways interact in a coordinated manner. A disturbance of this equilibrium can result in hypercoagulable states (thrombosis) or hypocoagulable conditions (bleeding tendency), which can have serious clinical repercussions (2). Prothrombin Time (PT) and its derivative International Normalized Ratio (INR), activated Partial Thromboplastin Time (aPTT), fibrinogen concentration, and D-Dimer level are common laboratory indices of hemostasis used in clinical practice; each of these measures represents a distinct aspect of the coagulation/fibrinolysis process (3).</w:t>
      </w:r>
    </w:p>
    <w:p w:rsidR="00043FB4" w:rsidRDefault="00043FB4">
      <w:pPr>
        <w:spacing w:after="0" w:line="360" w:lineRule="auto"/>
        <w:jc w:val="both"/>
        <w:rPr>
          <w:rFonts w:ascii="Times New Roman" w:eastAsia="Times New Roman" w:hAnsi="Times New Roman" w:cs="Times New Roman"/>
          <w:sz w:val="24"/>
          <w:szCs w:val="24"/>
        </w:rPr>
      </w:pPr>
    </w:p>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pre-donation screening, blood donors are typically thought to be healthy; however, subclinical coagulation abnormalities in seemingly healthy donors may go unnoticed but could endanger donors during venipuncture (e.g., excessive bleeding) and possibly affect the safety or quality of plasma components used for transfusion (4). In the past, donor screening has placed more emphasis on hemoglobin/hematocrit and transfusion-transmissible illnesses than coagulation tests, especially in low-resource settings where laboratory capacity is limited. The prevalence and pattern of coagulation disorders among donors, as well as the consequences for transfusion services, are thus not fully understood (5).</w:t>
      </w:r>
    </w:p>
    <w:p w:rsidR="00043FB4" w:rsidRDefault="00043FB4">
      <w:pPr>
        <w:spacing w:after="0" w:line="360" w:lineRule="auto"/>
        <w:jc w:val="both"/>
        <w:rPr>
          <w:rFonts w:ascii="Times New Roman" w:eastAsia="Times New Roman" w:hAnsi="Times New Roman" w:cs="Times New Roman"/>
          <w:sz w:val="24"/>
          <w:szCs w:val="24"/>
        </w:rPr>
      </w:pPr>
    </w:p>
    <w:p w:rsidR="00043FB4" w:rsidRDefault="00FF46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estimated incidence of coagulation disorders in prior reports varies greatly based on the population and assays employed. According to Riley et al. (6) and Weitz et al. (7), the presence of increased D-Dimer in asymptomatic patients may signal recent fibrin formation and breakdown, necessitating a more thorough assessment for thrombosis or inflammatory conditions. Similarly, aberrant fibrinogen concentrations and extended PT/INR or aPTT should be investigated for liver illness, vitamin K deficiency, hereditary factor deficits, consumptive coagulopathy, or pharmacological effects (8) (9).</w:t>
      </w:r>
      <w:r>
        <w:t xml:space="preserve"> </w:t>
      </w:r>
      <w:r>
        <w:rPr>
          <w:rFonts w:ascii="Times New Roman" w:eastAsia="Times New Roman" w:hAnsi="Times New Roman" w:cs="Times New Roman"/>
          <w:sz w:val="24"/>
          <w:szCs w:val="24"/>
        </w:rPr>
        <w:t xml:space="preserve">To create workable screening plans and protect donors and recipients, it is essential to comprehend the local prevalence and inter-marker linkages among donors. In order to ascertain prevalence, characterize parameter distributions, and find correlations </w:t>
      </w:r>
      <w:r>
        <w:rPr>
          <w:rFonts w:ascii="Times New Roman" w:eastAsia="Times New Roman" w:hAnsi="Times New Roman" w:cs="Times New Roman"/>
          <w:sz w:val="24"/>
          <w:szCs w:val="24"/>
        </w:rPr>
        <w:lastRenderedPageBreak/>
        <w:t>across markers, this study assessed PT/INR, aPTT, fibrinogen, and D-Dimer in 200 blood donors at the University College Hospital (UCH), Ibadan.</w:t>
      </w:r>
    </w:p>
    <w:p w:rsidR="00043FB4" w:rsidRDefault="00FF462A">
      <w:pPr>
        <w:pStyle w:val="Heading2"/>
        <w:spacing w:line="360" w:lineRule="auto"/>
        <w:jc w:val="both"/>
        <w:rPr>
          <w:sz w:val="24"/>
          <w:szCs w:val="24"/>
        </w:rPr>
      </w:pPr>
      <w:r>
        <w:rPr>
          <w:rStyle w:val="Strong"/>
          <w:b/>
          <w:bCs/>
          <w:sz w:val="24"/>
          <w:szCs w:val="24"/>
        </w:rPr>
        <w:t>2.0 Materials and Methods</w:t>
      </w:r>
    </w:p>
    <w:p w:rsidR="00043FB4" w:rsidRDefault="00FF462A">
      <w:pPr>
        <w:pStyle w:val="Heading3"/>
        <w:spacing w:line="360" w:lineRule="auto"/>
        <w:jc w:val="both"/>
        <w:rPr>
          <w:rStyle w:val="Strong"/>
          <w:rFonts w:ascii="Times New Roman" w:hAnsi="Times New Roman" w:cs="Times New Roman"/>
          <w:b w:val="0"/>
          <w:bCs w:val="0"/>
          <w:color w:val="auto"/>
        </w:rPr>
      </w:pPr>
      <w:r>
        <w:rPr>
          <w:rStyle w:val="Strong"/>
          <w:rFonts w:ascii="Times New Roman" w:hAnsi="Times New Roman" w:cs="Times New Roman"/>
          <w:b w:val="0"/>
          <w:bCs w:val="0"/>
          <w:color w:val="auto"/>
        </w:rPr>
        <w:t>2.1 Study Design and Setting</w:t>
      </w:r>
    </w:p>
    <w:p w:rsidR="00043FB4" w:rsidRDefault="00043FB4">
      <w:pPr>
        <w:spacing w:line="360" w:lineRule="auto"/>
        <w:jc w:val="both"/>
      </w:pPr>
    </w:p>
    <w:p w:rsidR="00043FB4" w:rsidRDefault="00FF462A">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In order to assess specific coagulation parameters among voluntary blood donors who appeared to be in good health, this study used a descriptive cross-sectional approach. The study was carried out at the University College Hospital (UCH) Blood Bank in Ibadan, Nigeria, which is a significant tertiary and referral healthcare facility in the southwest of the nation. One of the leading facilities in West Africa for blood donation and transfusion medicine, UCH has 1000 beds and offers specialist clinical services. A representative assessment of coagulation characteristics among a healthy adult population is made possible by the blood bank's daily donor inflows, which include both replacement donors and voluntary, unpaid donors. </w:t>
      </w:r>
      <w:r>
        <w:rPr>
          <w:rFonts w:ascii="Times New Roman" w:hAnsi="Times New Roman" w:cs="Times New Roman"/>
          <w:sz w:val="24"/>
          <w:szCs w:val="24"/>
        </w:rPr>
        <w:t>The study was carried out over a period of three months betw</w:t>
      </w:r>
      <w:r>
        <w:t>een</w:t>
      </w:r>
      <w:r>
        <w:rPr>
          <w:rFonts w:ascii="Times New Roman" w:hAnsi="Times New Roman" w:cs="Times New Roman"/>
          <w:sz w:val="24"/>
          <w:szCs w:val="24"/>
        </w:rPr>
        <w:t>, during which donor recruitment, sample collection, and laboratory analyses were systematically performed.</w:t>
      </w:r>
    </w:p>
    <w:p w:rsidR="00043FB4" w:rsidRDefault="00043FB4">
      <w:pPr>
        <w:spacing w:after="0" w:line="360" w:lineRule="auto"/>
        <w:jc w:val="both"/>
        <w:rPr>
          <w:rFonts w:ascii="Times New Roman" w:eastAsia="Times New Roman" w:hAnsi="Times New Roman" w:cs="Times New Roman"/>
          <w:sz w:val="24"/>
          <w:szCs w:val="24"/>
        </w:rPr>
      </w:pPr>
    </w:p>
    <w:p w:rsidR="00043FB4" w:rsidRDefault="00FF462A">
      <w:pPr>
        <w:pStyle w:val="Heading3"/>
        <w:spacing w:line="360" w:lineRule="auto"/>
        <w:jc w:val="both"/>
        <w:rPr>
          <w:rFonts w:ascii="Times New Roman" w:hAnsi="Times New Roman" w:cs="Times New Roman"/>
          <w:color w:val="auto"/>
        </w:rPr>
      </w:pPr>
      <w:r>
        <w:rPr>
          <w:rStyle w:val="Strong"/>
          <w:rFonts w:ascii="Times New Roman" w:hAnsi="Times New Roman" w:cs="Times New Roman"/>
          <w:bCs w:val="0"/>
          <w:color w:val="auto"/>
        </w:rPr>
        <w:t>2.2 Study Population</w:t>
      </w:r>
    </w:p>
    <w:p w:rsidR="00043FB4" w:rsidRDefault="00043FB4">
      <w:pPr>
        <w:spacing w:after="0" w:line="360" w:lineRule="auto"/>
        <w:jc w:val="both"/>
        <w:rPr>
          <w:rFonts w:ascii="Times New Roman" w:eastAsia="Times New Roman" w:hAnsi="Times New Roman" w:cs="Times New Roman"/>
          <w:sz w:val="24"/>
          <w:szCs w:val="24"/>
        </w:rPr>
      </w:pPr>
    </w:p>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Consenting male and female blood donors between the ages of 18 and 60 who came to the UCH blood bank to donate blood during the study period made up the study population. As participants came in for usual donations, they were chosen one after the other. Standard pre-donation medical screening procedures, such as clinical assessment and serological testing for transfusion-transmissible infections like HIV, HBV, HCV, and </w:t>
      </w:r>
      <w:r>
        <w:rPr>
          <w:rFonts w:ascii="Times New Roman" w:eastAsia="Times New Roman" w:hAnsi="Times New Roman" w:cs="Times New Roman"/>
          <w:i/>
          <w:sz w:val="24"/>
          <w:szCs w:val="24"/>
        </w:rPr>
        <w:t>Treponema pallidum</w:t>
      </w:r>
      <w:r>
        <w:rPr>
          <w:rFonts w:ascii="Times New Roman" w:eastAsia="Times New Roman" w:hAnsi="Times New Roman" w:cs="Times New Roman"/>
          <w:sz w:val="24"/>
          <w:szCs w:val="24"/>
        </w:rPr>
        <w:t xml:space="preserve"> (syphilis), were completed by all donors. The study only included participants who satisfied the National Blood Transfusion Service's (NBTS) qualifying requirements. The study population was thought to be typical of healthy individuals living in the city of Ibadan.</w:t>
      </w:r>
    </w:p>
    <w:p w:rsidR="00043FB4" w:rsidRDefault="00043FB4">
      <w:pPr>
        <w:pStyle w:val="Heading3"/>
        <w:spacing w:line="360" w:lineRule="auto"/>
        <w:jc w:val="both"/>
        <w:rPr>
          <w:rStyle w:val="Strong"/>
          <w:rFonts w:ascii="Times New Roman" w:hAnsi="Times New Roman" w:cs="Times New Roman"/>
          <w:b w:val="0"/>
          <w:bCs w:val="0"/>
          <w:color w:val="auto"/>
        </w:rPr>
      </w:pPr>
    </w:p>
    <w:p w:rsidR="00043FB4" w:rsidRDefault="00043FB4"/>
    <w:p w:rsidR="00043FB4" w:rsidRDefault="00043FB4"/>
    <w:p w:rsidR="00043FB4" w:rsidRDefault="00043FB4"/>
    <w:p w:rsidR="00043FB4" w:rsidRDefault="00FF462A">
      <w:pPr>
        <w:pStyle w:val="Heading3"/>
        <w:spacing w:line="360" w:lineRule="auto"/>
        <w:jc w:val="both"/>
        <w:rPr>
          <w:rFonts w:ascii="Times New Roman" w:hAnsi="Times New Roman" w:cs="Times New Roman"/>
          <w:color w:val="auto"/>
        </w:rPr>
      </w:pPr>
      <w:r>
        <w:rPr>
          <w:rStyle w:val="Strong"/>
          <w:rFonts w:ascii="Times New Roman" w:hAnsi="Times New Roman" w:cs="Times New Roman"/>
          <w:bCs w:val="0"/>
          <w:color w:val="auto"/>
        </w:rPr>
        <w:t>2.3 Inclusion and Exclusion Criteria</w:t>
      </w:r>
    </w:p>
    <w:p w:rsidR="00043FB4" w:rsidRDefault="00FF462A">
      <w:pPr>
        <w:pStyle w:val="Heading4"/>
        <w:spacing w:line="360" w:lineRule="auto"/>
        <w:jc w:val="both"/>
        <w:rPr>
          <w:rStyle w:val="Strong"/>
          <w:rFonts w:ascii="Times New Roman" w:hAnsi="Times New Roman" w:cs="Times New Roman"/>
          <w:b w:val="0"/>
          <w:bCs w:val="0"/>
          <w:color w:val="auto"/>
          <w:sz w:val="24"/>
          <w:szCs w:val="24"/>
        </w:rPr>
      </w:pPr>
      <w:r>
        <w:rPr>
          <w:rStyle w:val="Strong"/>
          <w:rFonts w:ascii="Times New Roman" w:hAnsi="Times New Roman" w:cs="Times New Roman"/>
          <w:b w:val="0"/>
          <w:bCs w:val="0"/>
          <w:color w:val="auto"/>
          <w:sz w:val="24"/>
          <w:szCs w:val="24"/>
        </w:rPr>
        <w:t>2.3.1 Inclusion Criteria</w:t>
      </w:r>
    </w:p>
    <w:p w:rsidR="00043FB4" w:rsidRDefault="00043FB4">
      <w:pPr>
        <w:spacing w:line="360" w:lineRule="auto"/>
        <w:jc w:val="both"/>
      </w:pPr>
    </w:p>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study's participants were seemingly healthy people between the ages of 18 and 60 who had passed the UCH blood bank's standard pre-donation assessment. A minimum hemoglobin concentration of 12.5 g/dL, no recent history of surgery or hospitalization, no acute or chronic disease, and no current use of drugs known to impact coagulation (such as corticosteroids, antiplatelet medicines, or oral anticoagulants) were also prerequisites for eligibility. After being informed about the goals and methods of the study, all eligible donors freely agreed to take part.</w:t>
      </w:r>
    </w:p>
    <w:p w:rsidR="00043FB4" w:rsidRDefault="00043FB4">
      <w:pPr>
        <w:pStyle w:val="Heading4"/>
        <w:spacing w:line="360" w:lineRule="auto"/>
        <w:jc w:val="both"/>
        <w:rPr>
          <w:rStyle w:val="Strong"/>
          <w:rFonts w:ascii="Times New Roman" w:hAnsi="Times New Roman" w:cs="Times New Roman"/>
          <w:b w:val="0"/>
          <w:bCs w:val="0"/>
          <w:color w:val="auto"/>
          <w:sz w:val="24"/>
          <w:szCs w:val="24"/>
        </w:rPr>
      </w:pPr>
    </w:p>
    <w:p w:rsidR="00043FB4" w:rsidRDefault="00FF462A">
      <w:pPr>
        <w:pStyle w:val="Heading4"/>
        <w:spacing w:line="360" w:lineRule="auto"/>
        <w:jc w:val="both"/>
        <w:rPr>
          <w:rFonts w:ascii="Times New Roman" w:hAnsi="Times New Roman" w:cs="Times New Roman"/>
          <w:color w:val="auto"/>
          <w:sz w:val="24"/>
          <w:szCs w:val="24"/>
        </w:rPr>
      </w:pPr>
      <w:r>
        <w:rPr>
          <w:rStyle w:val="Strong"/>
          <w:rFonts w:ascii="Times New Roman" w:hAnsi="Times New Roman" w:cs="Times New Roman"/>
          <w:b w:val="0"/>
          <w:bCs w:val="0"/>
          <w:color w:val="auto"/>
          <w:sz w:val="24"/>
          <w:szCs w:val="24"/>
        </w:rPr>
        <w:t>2.3.2 Exclusion Criteria</w:t>
      </w:r>
    </w:p>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history of bleeding problems, thrombotic illnesses, liver disease, peptic ulcers, hypertension, diabetes mellitus, or other chronic medical issues disqualified potential donors. To prevent hormonal effects on coagulation parameters, donors who were pregnant, menstruating, nursing, or using hormonal contraception at the time of donation were excluded. Those not in the 18–60 age range, those taking anticoagulants or nonsteroidal anti-inflammatory drugs within the last ten days, and those who did not pass the pre-donation screening for infectious indicators were also excluded.</w:t>
      </w:r>
    </w:p>
    <w:p w:rsidR="00043FB4" w:rsidRDefault="00043FB4">
      <w:pPr>
        <w:spacing w:after="0" w:line="360" w:lineRule="auto"/>
        <w:jc w:val="both"/>
        <w:rPr>
          <w:rFonts w:ascii="Times New Roman" w:eastAsia="Times New Roman" w:hAnsi="Times New Roman" w:cs="Times New Roman"/>
          <w:sz w:val="24"/>
          <w:szCs w:val="24"/>
        </w:rPr>
      </w:pPr>
    </w:p>
    <w:p w:rsidR="00043FB4" w:rsidRDefault="00043FB4">
      <w:pPr>
        <w:spacing w:after="0" w:line="360" w:lineRule="auto"/>
        <w:jc w:val="both"/>
        <w:rPr>
          <w:rFonts w:ascii="Times New Roman" w:eastAsia="Times New Roman" w:hAnsi="Times New Roman" w:cs="Times New Roman"/>
          <w:sz w:val="24"/>
          <w:szCs w:val="24"/>
        </w:rPr>
      </w:pPr>
    </w:p>
    <w:p w:rsidR="00043FB4" w:rsidRDefault="00043FB4">
      <w:pPr>
        <w:spacing w:after="0" w:line="360" w:lineRule="auto"/>
        <w:jc w:val="both"/>
        <w:rPr>
          <w:rFonts w:ascii="Times New Roman" w:eastAsia="Times New Roman" w:hAnsi="Times New Roman" w:cs="Times New Roman"/>
          <w:sz w:val="24"/>
          <w:szCs w:val="24"/>
        </w:rPr>
      </w:pPr>
    </w:p>
    <w:p w:rsidR="00043FB4" w:rsidRDefault="00043FB4">
      <w:pPr>
        <w:spacing w:after="0" w:line="360" w:lineRule="auto"/>
        <w:jc w:val="both"/>
        <w:rPr>
          <w:rFonts w:ascii="Times New Roman" w:eastAsia="Times New Roman" w:hAnsi="Times New Roman" w:cs="Times New Roman"/>
          <w:sz w:val="24"/>
          <w:szCs w:val="24"/>
        </w:rPr>
      </w:pPr>
    </w:p>
    <w:p w:rsidR="00043FB4" w:rsidRDefault="00043FB4">
      <w:pPr>
        <w:spacing w:after="0" w:line="360" w:lineRule="auto"/>
        <w:jc w:val="both"/>
        <w:rPr>
          <w:rFonts w:ascii="Times New Roman" w:eastAsia="Times New Roman" w:hAnsi="Times New Roman" w:cs="Times New Roman"/>
          <w:sz w:val="24"/>
          <w:szCs w:val="24"/>
        </w:rPr>
      </w:pPr>
    </w:p>
    <w:p w:rsidR="00043FB4" w:rsidRDefault="00043FB4">
      <w:pPr>
        <w:spacing w:after="0" w:line="360" w:lineRule="auto"/>
        <w:jc w:val="both"/>
        <w:rPr>
          <w:rFonts w:ascii="Times New Roman" w:eastAsia="Times New Roman" w:hAnsi="Times New Roman" w:cs="Times New Roman"/>
          <w:sz w:val="24"/>
          <w:szCs w:val="24"/>
        </w:rPr>
      </w:pPr>
    </w:p>
    <w:p w:rsidR="00043FB4" w:rsidRDefault="00043FB4">
      <w:pPr>
        <w:spacing w:after="0" w:line="360" w:lineRule="auto"/>
        <w:jc w:val="both"/>
        <w:rPr>
          <w:rFonts w:ascii="Times New Roman" w:eastAsia="Times New Roman" w:hAnsi="Times New Roman" w:cs="Times New Roman"/>
          <w:sz w:val="24"/>
          <w:szCs w:val="24"/>
        </w:rPr>
      </w:pPr>
    </w:p>
    <w:p w:rsidR="00043FB4" w:rsidRDefault="00043FB4">
      <w:pPr>
        <w:spacing w:after="0" w:line="360" w:lineRule="auto"/>
        <w:jc w:val="both"/>
        <w:rPr>
          <w:rFonts w:ascii="Times New Roman" w:eastAsia="Times New Roman" w:hAnsi="Times New Roman" w:cs="Times New Roman"/>
          <w:sz w:val="24"/>
          <w:szCs w:val="24"/>
        </w:rPr>
      </w:pPr>
    </w:p>
    <w:p w:rsidR="00043FB4" w:rsidRDefault="00043FB4">
      <w:pPr>
        <w:spacing w:after="0" w:line="360" w:lineRule="auto"/>
        <w:jc w:val="both"/>
        <w:rPr>
          <w:rFonts w:ascii="Times New Roman" w:eastAsia="Times New Roman" w:hAnsi="Times New Roman" w:cs="Times New Roman"/>
          <w:sz w:val="24"/>
          <w:szCs w:val="24"/>
        </w:rPr>
      </w:pPr>
    </w:p>
    <w:p w:rsidR="00043FB4" w:rsidRDefault="00043FB4">
      <w:pPr>
        <w:spacing w:after="0" w:line="360" w:lineRule="auto"/>
        <w:jc w:val="both"/>
        <w:rPr>
          <w:rFonts w:ascii="Times New Roman" w:eastAsia="Times New Roman" w:hAnsi="Times New Roman" w:cs="Times New Roman"/>
          <w:sz w:val="24"/>
          <w:szCs w:val="24"/>
        </w:rPr>
      </w:pPr>
    </w:p>
    <w:p w:rsidR="00043FB4" w:rsidRDefault="00043FB4">
      <w:pPr>
        <w:spacing w:after="0" w:line="360" w:lineRule="auto"/>
        <w:jc w:val="both"/>
        <w:rPr>
          <w:rFonts w:ascii="Times New Roman" w:eastAsia="Times New Roman" w:hAnsi="Times New Roman" w:cs="Times New Roman"/>
          <w:sz w:val="24"/>
          <w:szCs w:val="24"/>
        </w:rPr>
      </w:pPr>
    </w:p>
    <w:p w:rsidR="00043FB4" w:rsidRDefault="00043FB4">
      <w:pPr>
        <w:spacing w:after="0" w:line="360" w:lineRule="auto"/>
        <w:jc w:val="both"/>
        <w:rPr>
          <w:rFonts w:ascii="Times New Roman" w:eastAsia="Times New Roman" w:hAnsi="Times New Roman" w:cs="Times New Roman"/>
          <w:sz w:val="24"/>
          <w:szCs w:val="24"/>
        </w:rPr>
      </w:pPr>
    </w:p>
    <w:p w:rsidR="00043FB4" w:rsidRDefault="00043FB4">
      <w:pPr>
        <w:spacing w:after="0" w:line="360" w:lineRule="auto"/>
        <w:jc w:val="both"/>
        <w:rPr>
          <w:rFonts w:ascii="Times New Roman" w:eastAsia="Times New Roman" w:hAnsi="Times New Roman" w:cs="Times New Roman"/>
          <w:sz w:val="24"/>
          <w:szCs w:val="24"/>
        </w:rPr>
      </w:pPr>
    </w:p>
    <w:p w:rsidR="00043FB4" w:rsidRDefault="00043FB4">
      <w:pPr>
        <w:spacing w:after="0" w:line="360" w:lineRule="auto"/>
        <w:jc w:val="both"/>
        <w:rPr>
          <w:rFonts w:ascii="Times New Roman" w:eastAsia="Times New Roman" w:hAnsi="Times New Roman" w:cs="Times New Roman"/>
          <w:sz w:val="24"/>
          <w:szCs w:val="24"/>
        </w:rPr>
      </w:pPr>
    </w:p>
    <w:p w:rsidR="00043FB4" w:rsidRDefault="00043FB4">
      <w:pPr>
        <w:spacing w:after="0" w:line="360" w:lineRule="auto"/>
        <w:jc w:val="both"/>
        <w:rPr>
          <w:rFonts w:ascii="Times New Roman" w:eastAsia="Times New Roman" w:hAnsi="Times New Roman" w:cs="Times New Roman"/>
          <w:sz w:val="24"/>
          <w:szCs w:val="24"/>
        </w:rPr>
      </w:pPr>
    </w:p>
    <w:p w:rsidR="00043FB4" w:rsidRDefault="00FF462A">
      <w:pPr>
        <w:spacing w:after="0" w:line="360" w:lineRule="auto"/>
        <w:jc w:val="both"/>
        <w:rPr>
          <w:rFonts w:ascii="Times New Roman" w:eastAsia="Times New Roman" w:hAnsi="Times New Roman" w:cs="Times New Roman"/>
          <w:sz w:val="24"/>
          <w:szCs w:val="24"/>
        </w:rPr>
      </w:pPr>
      <w:r>
        <w:rPr>
          <w:rStyle w:val="Strong"/>
          <w:rFonts w:ascii="Times New Roman" w:hAnsi="Times New Roman" w:cs="Times New Roman"/>
          <w:bCs w:val="0"/>
          <w:sz w:val="24"/>
          <w:szCs w:val="24"/>
        </w:rPr>
        <w:t>2.4 Sample Size Determination</w:t>
      </w:r>
    </w:p>
    <w:p w:rsidR="00043FB4" w:rsidRDefault="00FF462A">
      <w:pPr>
        <w:pStyle w:val="Heading1"/>
        <w:spacing w:line="360" w:lineRule="auto"/>
        <w:jc w:val="both"/>
        <w:rPr>
          <w:b w:val="0"/>
          <w:sz w:val="24"/>
          <w:szCs w:val="24"/>
        </w:rPr>
      </w:pPr>
      <w:r>
        <w:rPr>
          <w:b w:val="0"/>
          <w:sz w:val="24"/>
          <w:szCs w:val="24"/>
        </w:rPr>
        <w:t>Sample size was determined with the prevalence of donor attending blood donors section of UCH, Ibadan. The number of participants to be recruited for this study will be calculated using Fisher’s formula (10).</w:t>
      </w:r>
    </w:p>
    <w:p w:rsidR="00043FB4" w:rsidRDefault="00FF462A">
      <w:pPr>
        <w:pStyle w:val="NormalWeb"/>
        <w:spacing w:line="360" w:lineRule="auto"/>
        <w:jc w:val="both"/>
      </w:pPr>
      <w:r>
        <w:t> </w:t>
      </w:r>
    </w:p>
    <w:p w:rsidR="00043FB4" w:rsidRDefault="00FF462A">
      <w:pPr>
        <w:pStyle w:val="Default"/>
        <w:spacing w:line="360" w:lineRule="auto"/>
        <w:jc w:val="both"/>
        <w:rPr>
          <w:sz w:val="23"/>
          <w:szCs w:val="23"/>
        </w:rPr>
      </w:pPr>
      <w:r>
        <w:rPr>
          <w:sz w:val="23"/>
          <w:szCs w:val="23"/>
        </w:rPr>
        <w:t xml:space="preserve">N= Z² × P (1-P) </w:t>
      </w:r>
    </w:p>
    <w:p w:rsidR="00043FB4" w:rsidRDefault="00FF462A">
      <w:pPr>
        <w:pStyle w:val="Default"/>
        <w:spacing w:line="360" w:lineRule="auto"/>
        <w:jc w:val="both"/>
        <w:rPr>
          <w:sz w:val="23"/>
          <w:szCs w:val="23"/>
        </w:rPr>
      </w:pPr>
      <w:r>
        <w:rPr>
          <w:sz w:val="23"/>
          <w:szCs w:val="23"/>
        </w:rPr>
        <w:t xml:space="preserve">_________________ </w:t>
      </w:r>
    </w:p>
    <w:p w:rsidR="00043FB4" w:rsidRDefault="00FF462A">
      <w:pPr>
        <w:pStyle w:val="Heading3"/>
        <w:spacing w:line="360" w:lineRule="auto"/>
        <w:jc w:val="both"/>
        <w:rPr>
          <w:sz w:val="23"/>
          <w:szCs w:val="23"/>
        </w:rPr>
      </w:pPr>
      <w:r>
        <w:rPr>
          <w:sz w:val="23"/>
          <w:szCs w:val="23"/>
        </w:rPr>
        <w:t>D²</w:t>
      </w:r>
    </w:p>
    <w:p w:rsidR="00043FB4" w:rsidRDefault="00043FB4">
      <w:pPr>
        <w:spacing w:line="360" w:lineRule="auto"/>
        <w:jc w:val="both"/>
      </w:pPr>
    </w:p>
    <w:p w:rsidR="00043FB4" w:rsidRDefault="00FF462A">
      <w:pPr>
        <w:pStyle w:val="Default"/>
        <w:spacing w:line="360" w:lineRule="auto"/>
        <w:jc w:val="both"/>
        <w:rPr>
          <w:sz w:val="23"/>
          <w:szCs w:val="23"/>
        </w:rPr>
      </w:pPr>
      <w:r>
        <w:rPr>
          <w:sz w:val="23"/>
          <w:szCs w:val="23"/>
        </w:rPr>
        <w:t xml:space="preserve">Where: </w:t>
      </w:r>
    </w:p>
    <w:p w:rsidR="00043FB4" w:rsidRDefault="00FF462A">
      <w:pPr>
        <w:pStyle w:val="Default"/>
        <w:spacing w:line="360" w:lineRule="auto"/>
        <w:jc w:val="both"/>
        <w:rPr>
          <w:sz w:val="23"/>
          <w:szCs w:val="23"/>
        </w:rPr>
      </w:pPr>
      <w:r>
        <w:rPr>
          <w:sz w:val="23"/>
          <w:szCs w:val="23"/>
        </w:rPr>
        <w:t xml:space="preserve">N= Number of participants to be recruited </w:t>
      </w:r>
    </w:p>
    <w:p w:rsidR="00043FB4" w:rsidRDefault="00FF462A">
      <w:pPr>
        <w:pStyle w:val="Default"/>
        <w:spacing w:line="360" w:lineRule="auto"/>
        <w:jc w:val="both"/>
        <w:rPr>
          <w:sz w:val="23"/>
          <w:szCs w:val="23"/>
        </w:rPr>
      </w:pPr>
      <w:r>
        <w:rPr>
          <w:sz w:val="23"/>
          <w:szCs w:val="23"/>
        </w:rPr>
        <w:t xml:space="preserve">Z=standard deviation at confidence level interval </w:t>
      </w:r>
      <w:proofErr w:type="gramStart"/>
      <w:r>
        <w:rPr>
          <w:sz w:val="23"/>
          <w:szCs w:val="23"/>
        </w:rPr>
        <w:t>=(</w:t>
      </w:r>
      <w:proofErr w:type="gramEnd"/>
      <w:r>
        <w:rPr>
          <w:sz w:val="23"/>
          <w:szCs w:val="23"/>
        </w:rPr>
        <w:t xml:space="preserve">1.96 for 95% confidence level) </w:t>
      </w:r>
    </w:p>
    <w:p w:rsidR="00043FB4" w:rsidRDefault="00FF462A">
      <w:pPr>
        <w:pStyle w:val="Default"/>
        <w:spacing w:line="360" w:lineRule="auto"/>
        <w:jc w:val="both"/>
        <w:rPr>
          <w:sz w:val="23"/>
          <w:szCs w:val="23"/>
        </w:rPr>
      </w:pPr>
      <w:r>
        <w:rPr>
          <w:sz w:val="23"/>
          <w:szCs w:val="23"/>
        </w:rPr>
        <w:t>Prevalence</w:t>
      </w:r>
      <w:r>
        <w:rPr>
          <w:sz w:val="16"/>
          <w:szCs w:val="16"/>
        </w:rPr>
        <w:t xml:space="preserve"> </w:t>
      </w:r>
      <w:r>
        <w:rPr>
          <w:sz w:val="23"/>
          <w:szCs w:val="23"/>
        </w:rPr>
        <w:t xml:space="preserve">= 14.8% = 0.148 </w:t>
      </w:r>
    </w:p>
    <w:p w:rsidR="00043FB4" w:rsidRDefault="00FF462A">
      <w:pPr>
        <w:pStyle w:val="Default"/>
        <w:spacing w:line="360" w:lineRule="auto"/>
        <w:jc w:val="both"/>
        <w:rPr>
          <w:sz w:val="23"/>
          <w:szCs w:val="23"/>
        </w:rPr>
      </w:pPr>
      <w:r>
        <w:rPr>
          <w:sz w:val="23"/>
          <w:szCs w:val="23"/>
        </w:rPr>
        <w:t xml:space="preserve">D = margin error = (0.05 or 5%) </w:t>
      </w:r>
    </w:p>
    <w:p w:rsidR="00043FB4" w:rsidRDefault="00FF462A">
      <w:pPr>
        <w:pStyle w:val="Default"/>
        <w:spacing w:line="360" w:lineRule="auto"/>
        <w:jc w:val="both"/>
        <w:rPr>
          <w:sz w:val="23"/>
          <w:szCs w:val="23"/>
        </w:rPr>
      </w:pPr>
      <w:r>
        <w:rPr>
          <w:sz w:val="23"/>
          <w:szCs w:val="23"/>
        </w:rPr>
        <w:t xml:space="preserve">N = (1.96)² x 0.148(1-0.148) </w:t>
      </w:r>
    </w:p>
    <w:p w:rsidR="00043FB4" w:rsidRDefault="00FF462A">
      <w:pPr>
        <w:pStyle w:val="Default"/>
        <w:spacing w:line="360" w:lineRule="auto"/>
        <w:jc w:val="both"/>
        <w:rPr>
          <w:sz w:val="23"/>
          <w:szCs w:val="23"/>
        </w:rPr>
      </w:pPr>
      <w:r>
        <w:rPr>
          <w:sz w:val="23"/>
          <w:szCs w:val="23"/>
        </w:rPr>
        <w:t xml:space="preserve">_________________________ = 193 </w:t>
      </w:r>
    </w:p>
    <w:p w:rsidR="00043FB4" w:rsidRDefault="00FF462A">
      <w:pPr>
        <w:pStyle w:val="Default"/>
        <w:spacing w:line="360" w:lineRule="auto"/>
        <w:jc w:val="both"/>
        <w:rPr>
          <w:sz w:val="23"/>
          <w:szCs w:val="23"/>
        </w:rPr>
      </w:pPr>
      <w:r>
        <w:rPr>
          <w:sz w:val="23"/>
          <w:szCs w:val="23"/>
        </w:rPr>
        <w:t xml:space="preserve">(0.05)² </w:t>
      </w:r>
    </w:p>
    <w:p w:rsidR="00043FB4" w:rsidRDefault="00FF462A">
      <w:pPr>
        <w:spacing w:line="360" w:lineRule="auto"/>
        <w:jc w:val="both"/>
        <w:rPr>
          <w:sz w:val="23"/>
          <w:szCs w:val="23"/>
        </w:rPr>
      </w:pPr>
      <w:r>
        <w:rPr>
          <w:sz w:val="23"/>
          <w:szCs w:val="23"/>
        </w:rPr>
        <w:t>For accuracy and responsive rate, the sample size was increased to 200. Therefore 200 donors were recruited into the study.</w:t>
      </w:r>
    </w:p>
    <w:p w:rsidR="00043FB4" w:rsidRDefault="00043FB4">
      <w:pPr>
        <w:spacing w:line="360" w:lineRule="auto"/>
        <w:jc w:val="both"/>
      </w:pPr>
    </w:p>
    <w:p w:rsidR="00043FB4" w:rsidRDefault="00043FB4">
      <w:pPr>
        <w:spacing w:line="360" w:lineRule="auto"/>
        <w:jc w:val="both"/>
      </w:pPr>
    </w:p>
    <w:p w:rsidR="00043FB4" w:rsidRDefault="00043FB4">
      <w:pPr>
        <w:spacing w:line="360" w:lineRule="auto"/>
        <w:jc w:val="both"/>
      </w:pPr>
    </w:p>
    <w:p w:rsidR="00043FB4" w:rsidRDefault="00043FB4">
      <w:pPr>
        <w:spacing w:line="360" w:lineRule="auto"/>
        <w:jc w:val="both"/>
      </w:pPr>
    </w:p>
    <w:p w:rsidR="00043FB4" w:rsidRDefault="00043FB4">
      <w:pPr>
        <w:spacing w:line="360" w:lineRule="auto"/>
        <w:jc w:val="both"/>
      </w:pPr>
    </w:p>
    <w:p w:rsidR="00043FB4" w:rsidRDefault="00FF462A">
      <w:pPr>
        <w:pStyle w:val="Heading3"/>
        <w:spacing w:line="360" w:lineRule="auto"/>
        <w:jc w:val="both"/>
        <w:rPr>
          <w:rStyle w:val="Strong"/>
          <w:rFonts w:ascii="Times New Roman" w:hAnsi="Times New Roman" w:cs="Times New Roman"/>
          <w:bCs w:val="0"/>
          <w:color w:val="auto"/>
        </w:rPr>
      </w:pPr>
      <w:r>
        <w:rPr>
          <w:rStyle w:val="Strong"/>
          <w:rFonts w:ascii="Times New Roman" w:hAnsi="Times New Roman" w:cs="Times New Roman"/>
          <w:bCs w:val="0"/>
          <w:color w:val="auto"/>
        </w:rPr>
        <w:lastRenderedPageBreak/>
        <w:t>2.5 Sample Collection and Laboratory Analysis</w:t>
      </w:r>
    </w:p>
    <w:p w:rsidR="00043FB4" w:rsidRDefault="00043FB4">
      <w:pPr>
        <w:spacing w:line="360" w:lineRule="auto"/>
        <w:jc w:val="both"/>
      </w:pPr>
    </w:p>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phlebotomy, 4.5 mL of venous blood was aseptically drawn from each donor and placed in a trisodium citrate anticoagulated tube (3.2%, 9:1 blood to anticoagulant ratio). Samples were delivered within an hour to the UCH Hematology Laboratory for analysis after being carefully blended to avoid clotting. The samples were centrifuged at 4,000 revolutions per minute (rpm) for 15 minutes at room temperature to produce plasma. In order to avoid the deterioration of labile coagulation factors, the platelet-poor plasma was carefully separated and kept at 2–8 °C until analysis, which was completed within two hours of collection.</w:t>
      </w:r>
    </w:p>
    <w:p w:rsidR="00043FB4" w:rsidRDefault="00FF462A">
      <w:pPr>
        <w:pStyle w:val="NormalWeb"/>
        <w:numPr>
          <w:ilvl w:val="0"/>
          <w:numId w:val="1"/>
        </w:numPr>
        <w:spacing w:line="360" w:lineRule="auto"/>
        <w:jc w:val="both"/>
      </w:pPr>
      <w:r>
        <w:rPr>
          <w:rStyle w:val="Strong"/>
        </w:rPr>
        <w:t>Prothrombin Time (PT)</w:t>
      </w:r>
      <w:r>
        <w:t xml:space="preserve"> and </w:t>
      </w:r>
      <w:r>
        <w:rPr>
          <w:rStyle w:val="Strong"/>
        </w:rPr>
        <w:t>Activated Partial Thromboplastin Time (aPTT)</w:t>
      </w:r>
      <w:r>
        <w:t xml:space="preserve"> were determined using manual one-stage clotting methods with commercially prepared reagents (e.g., </w:t>
      </w:r>
      <w:proofErr w:type="spellStart"/>
      <w:r>
        <w:rPr>
          <w:rStyle w:val="Emphasis"/>
        </w:rPr>
        <w:t>Thromborel</w:t>
      </w:r>
      <w:proofErr w:type="spellEnd"/>
      <w:r>
        <w:rPr>
          <w:rStyle w:val="Emphasis"/>
        </w:rPr>
        <w:t>®</w:t>
      </w:r>
      <w:r>
        <w:t xml:space="preserve"> and </w:t>
      </w:r>
      <w:r>
        <w:rPr>
          <w:rStyle w:val="Emphasis"/>
        </w:rPr>
        <w:t>Actin®</w:t>
      </w:r>
      <w:r>
        <w:t>). The clotting times were recorded in seconds using a calibrated manual coagulometer.</w:t>
      </w:r>
    </w:p>
    <w:p w:rsidR="00043FB4" w:rsidRDefault="00FF462A">
      <w:pPr>
        <w:pStyle w:val="NormalWeb"/>
        <w:numPr>
          <w:ilvl w:val="0"/>
          <w:numId w:val="1"/>
        </w:numPr>
        <w:spacing w:line="360" w:lineRule="auto"/>
        <w:jc w:val="both"/>
      </w:pPr>
      <w:r>
        <w:rPr>
          <w:rStyle w:val="Strong"/>
        </w:rPr>
        <w:t>International Normalized Ratio (INR)</w:t>
      </w:r>
      <w:r>
        <w:t xml:space="preserve"> was calculated as the ratio of patient PT to mean normal PT raised to the power of the International Sensitivity Index (ISI) of the thromboplastin reagent used, as recommended by the World Health Organization (WHO).</w:t>
      </w:r>
    </w:p>
    <w:p w:rsidR="00043FB4" w:rsidRDefault="00FF462A">
      <w:pPr>
        <w:pStyle w:val="NormalWeb"/>
        <w:numPr>
          <w:ilvl w:val="0"/>
          <w:numId w:val="1"/>
        </w:numPr>
        <w:spacing w:line="360" w:lineRule="auto"/>
        <w:jc w:val="both"/>
      </w:pPr>
      <w:r>
        <w:rPr>
          <w:rStyle w:val="Strong"/>
        </w:rPr>
        <w:t>Fibrinogen concentration</w:t>
      </w:r>
      <w:r>
        <w:t xml:space="preserve"> was measured using a quantitative enzyme-linked immunosorbent assay (ELISA) technique according to manufacturer instructions, with absorbance read at 450 nm using a microplate reader. A calibration curve was generated using known fibrinogen standards to extrapolate concentrations.</w:t>
      </w:r>
    </w:p>
    <w:p w:rsidR="00043FB4" w:rsidRDefault="00FF462A">
      <w:pPr>
        <w:pStyle w:val="NormalWeb"/>
        <w:numPr>
          <w:ilvl w:val="0"/>
          <w:numId w:val="1"/>
        </w:numPr>
        <w:spacing w:line="360" w:lineRule="auto"/>
        <w:jc w:val="both"/>
      </w:pPr>
      <w:r>
        <w:rPr>
          <w:rStyle w:val="Strong"/>
        </w:rPr>
        <w:t>D-Dimer</w:t>
      </w:r>
      <w:r>
        <w:t xml:space="preserve"> levels were determined using a quantitative sandwich ELISA method, which measures fibrin degradation products indicative of fibrinolytic activity. Results were expressed in mg/L FEU (fibrinogen equivalent units), with ≥ 0.05 mg/L interpreted as positive per the reagent manufacturer’s reference range.</w:t>
      </w:r>
    </w:p>
    <w:p w:rsidR="00043FB4" w:rsidRDefault="00FF462A">
      <w:pPr>
        <w:pStyle w:val="NormalWeb"/>
        <w:spacing w:line="360" w:lineRule="auto"/>
        <w:jc w:val="both"/>
      </w:pPr>
      <w:r>
        <w:t>All reagents were quality-controlled, and laboratory analyses were performed in duplicate to ensure reproducibility. Internal quality control sera were included with each batch of tests. Normal reference values were defined as follows: PT (14–16 s), INR (0.8–1.2), aPTT (30–40 s), fibrinogen (1.5–4.0 g/L), and D-Dimer (&lt; 0.05 mg/L negative).</w:t>
      </w:r>
    </w:p>
    <w:p w:rsidR="00043FB4" w:rsidRDefault="00FF462A">
      <w:pPr>
        <w:pStyle w:val="Heading3"/>
        <w:spacing w:line="360" w:lineRule="auto"/>
        <w:jc w:val="both"/>
        <w:rPr>
          <w:rStyle w:val="Strong"/>
          <w:rFonts w:ascii="Times New Roman" w:hAnsi="Times New Roman" w:cs="Times New Roman"/>
          <w:bCs w:val="0"/>
          <w:color w:val="auto"/>
        </w:rPr>
      </w:pPr>
      <w:r>
        <w:rPr>
          <w:rStyle w:val="Strong"/>
          <w:rFonts w:ascii="Times New Roman" w:hAnsi="Times New Roman" w:cs="Times New Roman"/>
          <w:bCs w:val="0"/>
          <w:color w:val="auto"/>
        </w:rPr>
        <w:lastRenderedPageBreak/>
        <w:t>2.6 Data Management and Statistical Analysis</w:t>
      </w:r>
    </w:p>
    <w:p w:rsidR="00043FB4" w:rsidRDefault="00043FB4">
      <w:pPr>
        <w:spacing w:line="360" w:lineRule="auto"/>
        <w:jc w:val="both"/>
      </w:pPr>
    </w:p>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Microsoft Excel was used to enter demographic information and test results, which were then exported to the Statistical Package for the Social Sciences (SPSS) version 26 for analysis. While categorical data were displayed as frequencies and percentages, continuous variables were summarized as means ± standard deviation (SD) or median ± interquartile range (IQR), depending on the distribution pattern. The Kolmogorov-Smirnov test was used to determine whether continuous variables were normal. Chi-square or Fisher's exact tests were used when necessary to compare categorical variables. The associations between continuous coagulation measures including PT, INR, aPTT, fibrinogen, and D-Dimer were ascertained using Pearson correlation coefficients. At p &lt; 0.05, statistical significance was determined.</w:t>
      </w:r>
    </w:p>
    <w:p w:rsidR="00043FB4" w:rsidRDefault="00043FB4">
      <w:pPr>
        <w:pStyle w:val="Heading3"/>
        <w:spacing w:line="360" w:lineRule="auto"/>
        <w:jc w:val="both"/>
        <w:rPr>
          <w:rStyle w:val="Strong"/>
          <w:rFonts w:ascii="Times New Roman" w:hAnsi="Times New Roman" w:cs="Times New Roman"/>
          <w:b w:val="0"/>
          <w:bCs w:val="0"/>
          <w:color w:val="auto"/>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FF462A">
      <w:pPr>
        <w:pStyle w:val="Heading2"/>
        <w:rPr>
          <w:sz w:val="24"/>
          <w:szCs w:val="24"/>
        </w:rPr>
      </w:pPr>
      <w:r>
        <w:rPr>
          <w:sz w:val="24"/>
          <w:szCs w:val="24"/>
        </w:rPr>
        <w:t>3.0 RESULTS</w:t>
      </w:r>
      <w:r w:rsidR="00C625B2">
        <w:rPr>
          <w:sz w:val="24"/>
          <w:szCs w:val="24"/>
        </w:rPr>
        <w:t xml:space="preserve"> AND DISCUSSION</w:t>
      </w:r>
    </w:p>
    <w:p w:rsidR="00043FB4" w:rsidRDefault="00FF462A">
      <w:pPr>
        <w:pStyle w:val="Heading3"/>
        <w:rPr>
          <w:rFonts w:ascii="Times New Roman" w:hAnsi="Times New Roman" w:cs="Times New Roman"/>
          <w:b/>
          <w:color w:val="auto"/>
        </w:rPr>
      </w:pPr>
      <w:r>
        <w:rPr>
          <w:rFonts w:ascii="Times New Roman" w:hAnsi="Times New Roman" w:cs="Times New Roman"/>
          <w:b/>
          <w:color w:val="auto"/>
        </w:rPr>
        <w:t xml:space="preserve">3.1 Demographics </w:t>
      </w:r>
    </w:p>
    <w:p w:rsidR="00043FB4" w:rsidRDefault="00FF462A">
      <w:pPr>
        <w:pStyle w:val="NormalWeb"/>
        <w:rPr>
          <w:rStyle w:val="relative"/>
        </w:rPr>
      </w:pPr>
      <w:r>
        <w:t xml:space="preserve">Table 1 </w:t>
      </w:r>
      <w:proofErr w:type="spellStart"/>
      <w:r>
        <w:t>summarises</w:t>
      </w:r>
      <w:proofErr w:type="spellEnd"/>
      <w:r>
        <w:t xml:space="preserve"> key demographic features. The cohort was predominantly male (146/200, 73.0%) with most donors aged 31–40 years. </w:t>
      </w:r>
    </w:p>
    <w:p w:rsidR="00043FB4" w:rsidRPr="00C32C67" w:rsidRDefault="00FF462A">
      <w:pPr>
        <w:pStyle w:val="NormalWeb"/>
        <w:spacing w:line="360" w:lineRule="auto"/>
        <w:jc w:val="both"/>
        <w:rPr>
          <w:highlight w:val="yellow"/>
        </w:rPr>
      </w:pPr>
      <w:r w:rsidRPr="00C32C67">
        <w:rPr>
          <w:rStyle w:val="Strong"/>
          <w:highlight w:val="yellow"/>
        </w:rPr>
        <w:t>Table 1. Selected demographic (N = 200)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85"/>
        <w:gridCol w:w="3780"/>
      </w:tblGrid>
      <w:tr w:rsidR="00043FB4" w:rsidRPr="00C32C67" w:rsidTr="00C32C67">
        <w:trPr>
          <w:tblHeader/>
          <w:tblCellSpacing w:w="15" w:type="dxa"/>
        </w:trPr>
        <w:tc>
          <w:tcPr>
            <w:tcW w:w="4540" w:type="dxa"/>
            <w:tcBorders>
              <w:top w:val="single" w:sz="4" w:space="0" w:color="auto"/>
              <w:left w:val="single" w:sz="4" w:space="0" w:color="auto"/>
              <w:bottom w:val="single" w:sz="4" w:space="0" w:color="auto"/>
              <w:right w:val="single" w:sz="4" w:space="0" w:color="auto"/>
            </w:tcBorders>
            <w:vAlign w:val="center"/>
            <w:hideMark/>
          </w:tcPr>
          <w:p w:rsidR="00043FB4" w:rsidRPr="00C32C67" w:rsidRDefault="00FF462A">
            <w:pPr>
              <w:spacing w:after="0" w:line="360" w:lineRule="auto"/>
              <w:jc w:val="both"/>
              <w:rPr>
                <w:rFonts w:ascii="Times New Roman" w:eastAsia="Times New Roman" w:hAnsi="Times New Roman" w:cs="Times New Roman"/>
                <w:b/>
                <w:bCs/>
                <w:sz w:val="24"/>
                <w:szCs w:val="24"/>
                <w:highlight w:val="yellow"/>
              </w:rPr>
            </w:pPr>
            <w:r w:rsidRPr="00C32C67">
              <w:rPr>
                <w:rFonts w:ascii="Times New Roman" w:eastAsia="Times New Roman" w:hAnsi="Times New Roman" w:cs="Times New Roman"/>
                <w:b/>
                <w:bCs/>
                <w:sz w:val="24"/>
                <w:szCs w:val="24"/>
                <w:highlight w:val="yellow"/>
              </w:rPr>
              <w:t>Variable</w:t>
            </w:r>
          </w:p>
        </w:tc>
        <w:tc>
          <w:tcPr>
            <w:tcW w:w="3735" w:type="dxa"/>
            <w:tcBorders>
              <w:top w:val="single" w:sz="4" w:space="0" w:color="auto"/>
              <w:bottom w:val="single" w:sz="4" w:space="0" w:color="auto"/>
              <w:right w:val="single" w:sz="4" w:space="0" w:color="auto"/>
            </w:tcBorders>
            <w:vAlign w:val="center"/>
            <w:hideMark/>
          </w:tcPr>
          <w:p w:rsidR="00043FB4" w:rsidRPr="00C32C67" w:rsidRDefault="00FF462A">
            <w:pPr>
              <w:spacing w:after="0" w:line="360" w:lineRule="auto"/>
              <w:jc w:val="both"/>
              <w:rPr>
                <w:rFonts w:ascii="Times New Roman" w:eastAsia="Times New Roman" w:hAnsi="Times New Roman" w:cs="Times New Roman"/>
                <w:b/>
                <w:bCs/>
                <w:sz w:val="24"/>
                <w:szCs w:val="24"/>
                <w:highlight w:val="yellow"/>
              </w:rPr>
            </w:pPr>
            <w:r w:rsidRPr="00C32C67">
              <w:rPr>
                <w:rFonts w:ascii="Times New Roman" w:eastAsia="Times New Roman" w:hAnsi="Times New Roman" w:cs="Times New Roman"/>
                <w:b/>
                <w:bCs/>
                <w:sz w:val="24"/>
                <w:szCs w:val="24"/>
                <w:highlight w:val="yellow"/>
              </w:rPr>
              <w:t xml:space="preserve">   N    (%)</w:t>
            </w:r>
          </w:p>
        </w:tc>
      </w:tr>
      <w:tr w:rsidR="00043FB4" w:rsidRPr="00C32C67" w:rsidTr="00C32C67">
        <w:trPr>
          <w:tblCellSpacing w:w="15" w:type="dxa"/>
        </w:trPr>
        <w:tc>
          <w:tcPr>
            <w:tcW w:w="4540" w:type="dxa"/>
            <w:tcBorders>
              <w:left w:val="single" w:sz="4" w:space="0" w:color="auto"/>
              <w:bottom w:val="single" w:sz="4" w:space="0" w:color="auto"/>
              <w:right w:val="single" w:sz="4" w:space="0" w:color="auto"/>
            </w:tcBorders>
            <w:vAlign w:val="center"/>
            <w:hideMark/>
          </w:tcPr>
          <w:p w:rsidR="00043FB4" w:rsidRPr="00C32C67" w:rsidRDefault="00FF462A">
            <w:pPr>
              <w:spacing w:after="0" w:line="360" w:lineRule="auto"/>
              <w:jc w:val="both"/>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Male</w:t>
            </w:r>
          </w:p>
        </w:tc>
        <w:tc>
          <w:tcPr>
            <w:tcW w:w="3735" w:type="dxa"/>
            <w:tcBorders>
              <w:bottom w:val="single" w:sz="4" w:space="0" w:color="auto"/>
              <w:right w:val="single" w:sz="4" w:space="0" w:color="auto"/>
            </w:tcBorders>
            <w:vAlign w:val="center"/>
            <w:hideMark/>
          </w:tcPr>
          <w:p w:rsidR="00043FB4" w:rsidRPr="00C32C67" w:rsidRDefault="00FF462A">
            <w:pPr>
              <w:spacing w:after="0" w:line="360" w:lineRule="auto"/>
              <w:jc w:val="both"/>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146 (73.0%)</w:t>
            </w:r>
          </w:p>
        </w:tc>
      </w:tr>
      <w:tr w:rsidR="00043FB4" w:rsidRPr="00C32C67" w:rsidTr="00C32C67">
        <w:trPr>
          <w:tblCellSpacing w:w="15" w:type="dxa"/>
        </w:trPr>
        <w:tc>
          <w:tcPr>
            <w:tcW w:w="4540" w:type="dxa"/>
            <w:tcBorders>
              <w:left w:val="single" w:sz="4" w:space="0" w:color="auto"/>
              <w:right w:val="single" w:sz="4" w:space="0" w:color="auto"/>
            </w:tcBorders>
            <w:vAlign w:val="center"/>
            <w:hideMark/>
          </w:tcPr>
          <w:p w:rsidR="00043FB4" w:rsidRPr="00C32C67" w:rsidRDefault="00FF462A">
            <w:pPr>
              <w:spacing w:after="0" w:line="360" w:lineRule="auto"/>
              <w:jc w:val="both"/>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Female</w:t>
            </w:r>
          </w:p>
        </w:tc>
        <w:tc>
          <w:tcPr>
            <w:tcW w:w="3735" w:type="dxa"/>
            <w:tcBorders>
              <w:right w:val="single" w:sz="4" w:space="0" w:color="auto"/>
            </w:tcBorders>
            <w:vAlign w:val="center"/>
            <w:hideMark/>
          </w:tcPr>
          <w:p w:rsidR="00043FB4" w:rsidRPr="00C32C67" w:rsidRDefault="00FF462A">
            <w:pPr>
              <w:spacing w:after="0" w:line="360" w:lineRule="auto"/>
              <w:jc w:val="both"/>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54 (27.0%)</w:t>
            </w:r>
          </w:p>
        </w:tc>
      </w:tr>
      <w:tr w:rsidR="00043FB4" w:rsidRPr="00C32C67" w:rsidTr="00C32C67">
        <w:trPr>
          <w:tblCellSpacing w:w="15" w:type="dxa"/>
        </w:trPr>
        <w:tc>
          <w:tcPr>
            <w:tcW w:w="4540" w:type="dxa"/>
            <w:tcBorders>
              <w:top w:val="single" w:sz="4" w:space="0" w:color="auto"/>
              <w:left w:val="single" w:sz="4" w:space="0" w:color="auto"/>
              <w:right w:val="single" w:sz="4" w:space="0" w:color="auto"/>
            </w:tcBorders>
            <w:vAlign w:val="center"/>
            <w:hideMark/>
          </w:tcPr>
          <w:p w:rsidR="00043FB4" w:rsidRPr="00C32C67" w:rsidRDefault="00FF462A">
            <w:pPr>
              <w:spacing w:after="0" w:line="360" w:lineRule="auto"/>
              <w:jc w:val="both"/>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Age group 18–30</w:t>
            </w:r>
          </w:p>
        </w:tc>
        <w:tc>
          <w:tcPr>
            <w:tcW w:w="3735" w:type="dxa"/>
            <w:tcBorders>
              <w:top w:val="single" w:sz="4" w:space="0" w:color="auto"/>
              <w:right w:val="single" w:sz="4" w:space="0" w:color="auto"/>
            </w:tcBorders>
            <w:vAlign w:val="center"/>
            <w:hideMark/>
          </w:tcPr>
          <w:p w:rsidR="00043FB4" w:rsidRPr="00C32C67" w:rsidRDefault="00FF462A">
            <w:pPr>
              <w:spacing w:after="0" w:line="360" w:lineRule="auto"/>
              <w:jc w:val="both"/>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64 (32.0%)</w:t>
            </w:r>
          </w:p>
        </w:tc>
      </w:tr>
      <w:tr w:rsidR="00043FB4" w:rsidRPr="00C32C67" w:rsidTr="00C32C67">
        <w:trPr>
          <w:tblCellSpacing w:w="15" w:type="dxa"/>
        </w:trPr>
        <w:tc>
          <w:tcPr>
            <w:tcW w:w="4540" w:type="dxa"/>
            <w:tcBorders>
              <w:top w:val="single" w:sz="4" w:space="0" w:color="auto"/>
              <w:left w:val="single" w:sz="4" w:space="0" w:color="auto"/>
              <w:right w:val="single" w:sz="4" w:space="0" w:color="auto"/>
            </w:tcBorders>
            <w:vAlign w:val="center"/>
            <w:hideMark/>
          </w:tcPr>
          <w:p w:rsidR="00043FB4" w:rsidRPr="00C32C67" w:rsidRDefault="00FF462A">
            <w:pPr>
              <w:spacing w:after="0" w:line="360" w:lineRule="auto"/>
              <w:jc w:val="both"/>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Age group 31–40</w:t>
            </w:r>
          </w:p>
        </w:tc>
        <w:tc>
          <w:tcPr>
            <w:tcW w:w="3735" w:type="dxa"/>
            <w:tcBorders>
              <w:top w:val="single" w:sz="4" w:space="0" w:color="auto"/>
              <w:right w:val="single" w:sz="4" w:space="0" w:color="auto"/>
            </w:tcBorders>
            <w:vAlign w:val="center"/>
            <w:hideMark/>
          </w:tcPr>
          <w:p w:rsidR="00043FB4" w:rsidRPr="00C32C67" w:rsidRDefault="00FF462A">
            <w:pPr>
              <w:spacing w:after="0" w:line="360" w:lineRule="auto"/>
              <w:jc w:val="both"/>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81 (40.5%)</w:t>
            </w:r>
          </w:p>
        </w:tc>
      </w:tr>
      <w:tr w:rsidR="00043FB4" w:rsidRPr="00C32C67" w:rsidTr="00C32C67">
        <w:trPr>
          <w:tblCellSpacing w:w="15" w:type="dxa"/>
        </w:trPr>
        <w:tc>
          <w:tcPr>
            <w:tcW w:w="4540" w:type="dxa"/>
            <w:tcBorders>
              <w:top w:val="single" w:sz="4" w:space="0" w:color="auto"/>
              <w:left w:val="single" w:sz="4" w:space="0" w:color="auto"/>
              <w:right w:val="single" w:sz="4" w:space="0" w:color="auto"/>
            </w:tcBorders>
            <w:vAlign w:val="center"/>
            <w:hideMark/>
          </w:tcPr>
          <w:p w:rsidR="00043FB4" w:rsidRPr="00C32C67" w:rsidRDefault="00FF462A">
            <w:pPr>
              <w:spacing w:after="0" w:line="360" w:lineRule="auto"/>
              <w:jc w:val="both"/>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Age group 41–50</w:t>
            </w:r>
          </w:p>
        </w:tc>
        <w:tc>
          <w:tcPr>
            <w:tcW w:w="3735" w:type="dxa"/>
            <w:tcBorders>
              <w:top w:val="single" w:sz="4" w:space="0" w:color="auto"/>
              <w:right w:val="single" w:sz="4" w:space="0" w:color="auto"/>
            </w:tcBorders>
            <w:vAlign w:val="center"/>
            <w:hideMark/>
          </w:tcPr>
          <w:p w:rsidR="00043FB4" w:rsidRPr="00C32C67" w:rsidRDefault="00FF462A">
            <w:pPr>
              <w:spacing w:after="0" w:line="360" w:lineRule="auto"/>
              <w:jc w:val="both"/>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49 (24.5%)</w:t>
            </w:r>
          </w:p>
        </w:tc>
      </w:tr>
      <w:tr w:rsidR="00043FB4" w:rsidTr="00C32C67">
        <w:trPr>
          <w:tblCellSpacing w:w="15" w:type="dxa"/>
        </w:trPr>
        <w:tc>
          <w:tcPr>
            <w:tcW w:w="4540" w:type="dxa"/>
            <w:tcBorders>
              <w:top w:val="single" w:sz="4" w:space="0" w:color="auto"/>
              <w:left w:val="single" w:sz="4" w:space="0" w:color="auto"/>
              <w:bottom w:val="single" w:sz="4" w:space="0" w:color="auto"/>
              <w:right w:val="single" w:sz="4" w:space="0" w:color="auto"/>
            </w:tcBorders>
            <w:vAlign w:val="center"/>
            <w:hideMark/>
          </w:tcPr>
          <w:p w:rsidR="00043FB4" w:rsidRPr="00C32C67" w:rsidRDefault="00FF462A">
            <w:pPr>
              <w:spacing w:after="0" w:line="360" w:lineRule="auto"/>
              <w:jc w:val="both"/>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Age group 51–60</w:t>
            </w:r>
          </w:p>
        </w:tc>
        <w:tc>
          <w:tcPr>
            <w:tcW w:w="3735" w:type="dxa"/>
            <w:tcBorders>
              <w:top w:val="single" w:sz="4" w:space="0" w:color="auto"/>
              <w:bottom w:val="single" w:sz="4" w:space="0" w:color="auto"/>
              <w:right w:val="single" w:sz="4" w:space="0" w:color="auto"/>
            </w:tcBorders>
            <w:vAlign w:val="center"/>
            <w:hideMark/>
          </w:tcPr>
          <w:p w:rsidR="00043FB4" w:rsidRDefault="00FF462A">
            <w:pPr>
              <w:spacing w:after="0" w:line="360" w:lineRule="auto"/>
              <w:jc w:val="both"/>
              <w:rPr>
                <w:rFonts w:ascii="Times New Roman" w:eastAsia="Times New Roman" w:hAnsi="Times New Roman" w:cs="Times New Roman"/>
                <w:sz w:val="24"/>
                <w:szCs w:val="24"/>
              </w:rPr>
            </w:pPr>
            <w:r w:rsidRPr="00C32C67">
              <w:rPr>
                <w:rFonts w:ascii="Times New Roman" w:eastAsia="Times New Roman" w:hAnsi="Times New Roman" w:cs="Times New Roman"/>
                <w:sz w:val="24"/>
                <w:szCs w:val="24"/>
                <w:highlight w:val="yellow"/>
              </w:rPr>
              <w:t>6 (3.0%)</w:t>
            </w:r>
          </w:p>
        </w:tc>
      </w:tr>
    </w:tbl>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FF462A">
      <w:pPr>
        <w:pStyle w:val="Heading3"/>
        <w:rPr>
          <w:rFonts w:ascii="Times New Roman" w:hAnsi="Times New Roman" w:cs="Times New Roman"/>
          <w:b/>
          <w:color w:val="auto"/>
        </w:rPr>
      </w:pPr>
      <w:r>
        <w:rPr>
          <w:rFonts w:ascii="Times New Roman" w:hAnsi="Times New Roman" w:cs="Times New Roman"/>
          <w:b/>
          <w:color w:val="auto"/>
        </w:rPr>
        <w:t>3.2 Coagulation parameters and prevalence of abnormalities</w:t>
      </w:r>
    </w:p>
    <w:p w:rsidR="00043FB4" w:rsidRPr="00C32C67" w:rsidRDefault="00FF462A">
      <w:pPr>
        <w:pStyle w:val="NormalWeb"/>
        <w:spacing w:line="360" w:lineRule="auto"/>
        <w:rPr>
          <w:highlight w:val="yellow"/>
        </w:rPr>
      </w:pPr>
      <w:r>
        <w:rPr>
          <w:rStyle w:val="Strong"/>
        </w:rPr>
        <w:t xml:space="preserve">Table 2. Coagulation markers — summary statistics and prevalence of abnormal results (N </w:t>
      </w:r>
      <w:r w:rsidRPr="00C32C67">
        <w:rPr>
          <w:rStyle w:val="Strong"/>
          <w:highlight w:val="yellow"/>
        </w:rPr>
        <w:t>= 200)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61"/>
        <w:gridCol w:w="997"/>
        <w:gridCol w:w="1360"/>
        <w:gridCol w:w="3432"/>
      </w:tblGrid>
      <w:tr w:rsidR="00043FB4" w:rsidRPr="00C32C67" w:rsidTr="00C32C67">
        <w:trPr>
          <w:tblHeader/>
          <w:tblCellSpacing w:w="15" w:type="dxa"/>
        </w:trPr>
        <w:tc>
          <w:tcPr>
            <w:tcW w:w="0" w:type="auto"/>
            <w:tcBorders>
              <w:top w:val="single" w:sz="4" w:space="0" w:color="auto"/>
              <w:left w:val="single" w:sz="4" w:space="0" w:color="auto"/>
              <w:right w:val="single" w:sz="4" w:space="0" w:color="auto"/>
            </w:tcBorders>
            <w:vAlign w:val="center"/>
            <w:hideMark/>
          </w:tcPr>
          <w:p w:rsidR="00043FB4" w:rsidRPr="00C32C67" w:rsidRDefault="00FF462A">
            <w:pPr>
              <w:spacing w:after="0" w:line="360" w:lineRule="auto"/>
              <w:rPr>
                <w:rFonts w:ascii="Times New Roman" w:eastAsia="Times New Roman" w:hAnsi="Times New Roman" w:cs="Times New Roman"/>
                <w:b/>
                <w:bCs/>
                <w:sz w:val="24"/>
                <w:szCs w:val="24"/>
                <w:highlight w:val="yellow"/>
              </w:rPr>
            </w:pPr>
            <w:r w:rsidRPr="00C32C67">
              <w:rPr>
                <w:rFonts w:ascii="Times New Roman" w:eastAsia="Times New Roman" w:hAnsi="Times New Roman" w:cs="Times New Roman"/>
                <w:b/>
                <w:bCs/>
                <w:sz w:val="24"/>
                <w:szCs w:val="24"/>
                <w:highlight w:val="yellow"/>
              </w:rPr>
              <w:t>Parameter</w:t>
            </w:r>
          </w:p>
        </w:tc>
        <w:tc>
          <w:tcPr>
            <w:tcW w:w="0" w:type="auto"/>
            <w:tcBorders>
              <w:top w:val="single" w:sz="4" w:space="0" w:color="auto"/>
              <w:right w:val="single" w:sz="4" w:space="0" w:color="auto"/>
            </w:tcBorders>
            <w:vAlign w:val="center"/>
            <w:hideMark/>
          </w:tcPr>
          <w:p w:rsidR="00043FB4" w:rsidRPr="00C32C67" w:rsidRDefault="00FF462A">
            <w:pPr>
              <w:spacing w:after="0" w:line="360" w:lineRule="auto"/>
              <w:jc w:val="right"/>
              <w:rPr>
                <w:rFonts w:ascii="Times New Roman" w:eastAsia="Times New Roman" w:hAnsi="Times New Roman" w:cs="Times New Roman"/>
                <w:b/>
                <w:bCs/>
                <w:sz w:val="24"/>
                <w:szCs w:val="24"/>
                <w:highlight w:val="yellow"/>
              </w:rPr>
            </w:pPr>
            <w:r w:rsidRPr="00C32C67">
              <w:rPr>
                <w:rFonts w:ascii="Times New Roman" w:eastAsia="Times New Roman" w:hAnsi="Times New Roman" w:cs="Times New Roman"/>
                <w:b/>
                <w:bCs/>
                <w:sz w:val="24"/>
                <w:szCs w:val="24"/>
                <w:highlight w:val="yellow"/>
              </w:rPr>
              <w:t>Mean (SD)</w:t>
            </w:r>
          </w:p>
        </w:tc>
        <w:tc>
          <w:tcPr>
            <w:tcW w:w="0" w:type="auto"/>
            <w:tcBorders>
              <w:top w:val="single" w:sz="4" w:space="0" w:color="auto"/>
              <w:right w:val="single" w:sz="4" w:space="0" w:color="auto"/>
            </w:tcBorders>
            <w:vAlign w:val="center"/>
            <w:hideMark/>
          </w:tcPr>
          <w:p w:rsidR="00043FB4" w:rsidRPr="00C32C67" w:rsidRDefault="00FF462A">
            <w:pPr>
              <w:spacing w:after="0" w:line="360" w:lineRule="auto"/>
              <w:jc w:val="center"/>
              <w:rPr>
                <w:rFonts w:ascii="Times New Roman" w:eastAsia="Times New Roman" w:hAnsi="Times New Roman" w:cs="Times New Roman"/>
                <w:b/>
                <w:bCs/>
                <w:sz w:val="24"/>
                <w:szCs w:val="24"/>
                <w:highlight w:val="yellow"/>
              </w:rPr>
            </w:pPr>
            <w:r w:rsidRPr="00C32C67">
              <w:rPr>
                <w:rFonts w:ascii="Times New Roman" w:eastAsia="Times New Roman" w:hAnsi="Times New Roman" w:cs="Times New Roman"/>
                <w:b/>
                <w:bCs/>
                <w:sz w:val="24"/>
                <w:szCs w:val="24"/>
                <w:highlight w:val="yellow"/>
              </w:rPr>
              <w:t xml:space="preserve">  Normal range</w:t>
            </w:r>
          </w:p>
        </w:tc>
        <w:tc>
          <w:tcPr>
            <w:tcW w:w="0" w:type="auto"/>
            <w:tcBorders>
              <w:top w:val="single" w:sz="4" w:space="0" w:color="auto"/>
              <w:right w:val="single" w:sz="4" w:space="0" w:color="auto"/>
            </w:tcBorders>
            <w:vAlign w:val="center"/>
            <w:hideMark/>
          </w:tcPr>
          <w:p w:rsidR="00043FB4" w:rsidRPr="00C32C67" w:rsidRDefault="00FF462A">
            <w:pPr>
              <w:spacing w:after="0" w:line="360" w:lineRule="auto"/>
              <w:jc w:val="right"/>
              <w:rPr>
                <w:rFonts w:ascii="Times New Roman" w:eastAsia="Times New Roman" w:hAnsi="Times New Roman" w:cs="Times New Roman"/>
                <w:b/>
                <w:bCs/>
                <w:sz w:val="24"/>
                <w:szCs w:val="24"/>
                <w:highlight w:val="yellow"/>
              </w:rPr>
            </w:pPr>
            <w:r w:rsidRPr="00C32C67">
              <w:rPr>
                <w:rFonts w:ascii="Times New Roman" w:eastAsia="Times New Roman" w:hAnsi="Times New Roman" w:cs="Times New Roman"/>
                <w:b/>
                <w:bCs/>
                <w:sz w:val="24"/>
                <w:szCs w:val="24"/>
                <w:highlight w:val="yellow"/>
              </w:rPr>
              <w:t>Outside range n (%)</w:t>
            </w:r>
          </w:p>
        </w:tc>
      </w:tr>
      <w:tr w:rsidR="00043FB4" w:rsidRPr="00C32C67" w:rsidTr="00C32C67">
        <w:trPr>
          <w:tblCellSpacing w:w="15" w:type="dxa"/>
        </w:trPr>
        <w:tc>
          <w:tcPr>
            <w:tcW w:w="0" w:type="auto"/>
            <w:tcBorders>
              <w:top w:val="single" w:sz="4" w:space="0" w:color="auto"/>
              <w:left w:val="single" w:sz="4" w:space="0" w:color="auto"/>
              <w:right w:val="single" w:sz="4" w:space="0" w:color="auto"/>
            </w:tcBorders>
            <w:vAlign w:val="center"/>
            <w:hideMark/>
          </w:tcPr>
          <w:p w:rsidR="00043FB4" w:rsidRPr="00C32C67" w:rsidRDefault="00FF462A">
            <w:pPr>
              <w:spacing w:after="0" w:line="360" w:lineRule="auto"/>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PT (s)</w:t>
            </w:r>
          </w:p>
        </w:tc>
        <w:tc>
          <w:tcPr>
            <w:tcW w:w="0" w:type="auto"/>
            <w:tcBorders>
              <w:top w:val="single" w:sz="4" w:space="0" w:color="auto"/>
              <w:right w:val="single" w:sz="4" w:space="0" w:color="auto"/>
            </w:tcBorders>
            <w:vAlign w:val="center"/>
            <w:hideMark/>
          </w:tcPr>
          <w:p w:rsidR="00043FB4" w:rsidRPr="00C32C67" w:rsidRDefault="00FF462A">
            <w:pPr>
              <w:spacing w:after="0" w:line="360" w:lineRule="auto"/>
              <w:jc w:val="right"/>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15.2 (1.8)</w:t>
            </w:r>
          </w:p>
        </w:tc>
        <w:tc>
          <w:tcPr>
            <w:tcW w:w="0" w:type="auto"/>
            <w:tcBorders>
              <w:top w:val="single" w:sz="4" w:space="0" w:color="auto"/>
              <w:right w:val="single" w:sz="4" w:space="0" w:color="auto"/>
            </w:tcBorders>
            <w:vAlign w:val="center"/>
            <w:hideMark/>
          </w:tcPr>
          <w:p w:rsidR="00043FB4" w:rsidRPr="00C32C67" w:rsidRDefault="00FF462A">
            <w:pPr>
              <w:spacing w:after="0" w:line="360" w:lineRule="auto"/>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 xml:space="preserve">       14–16</w:t>
            </w:r>
          </w:p>
        </w:tc>
        <w:tc>
          <w:tcPr>
            <w:tcW w:w="0" w:type="auto"/>
            <w:tcBorders>
              <w:top w:val="single" w:sz="4" w:space="0" w:color="auto"/>
              <w:right w:val="single" w:sz="4" w:space="0" w:color="auto"/>
            </w:tcBorders>
            <w:vAlign w:val="center"/>
            <w:hideMark/>
          </w:tcPr>
          <w:p w:rsidR="00043FB4" w:rsidRPr="00C32C67" w:rsidRDefault="00FF462A">
            <w:pPr>
              <w:spacing w:after="0" w:line="360" w:lineRule="auto"/>
              <w:jc w:val="right"/>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19 (9.5%) prolonged</w:t>
            </w:r>
          </w:p>
        </w:tc>
      </w:tr>
      <w:tr w:rsidR="00043FB4" w:rsidRPr="00C32C67" w:rsidTr="00C32C6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043FB4" w:rsidRPr="00C32C67" w:rsidRDefault="00FF462A">
            <w:pPr>
              <w:spacing w:after="0" w:line="360" w:lineRule="auto"/>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INR</w:t>
            </w:r>
          </w:p>
        </w:tc>
        <w:tc>
          <w:tcPr>
            <w:tcW w:w="0" w:type="auto"/>
            <w:tcBorders>
              <w:top w:val="single" w:sz="4" w:space="0" w:color="auto"/>
              <w:bottom w:val="single" w:sz="4" w:space="0" w:color="auto"/>
              <w:right w:val="single" w:sz="4" w:space="0" w:color="auto"/>
            </w:tcBorders>
            <w:vAlign w:val="center"/>
            <w:hideMark/>
          </w:tcPr>
          <w:p w:rsidR="00043FB4" w:rsidRPr="00C32C67" w:rsidRDefault="00FF462A">
            <w:pPr>
              <w:spacing w:after="0" w:line="360" w:lineRule="auto"/>
              <w:jc w:val="right"/>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1.16 (0.17)</w:t>
            </w:r>
          </w:p>
        </w:tc>
        <w:tc>
          <w:tcPr>
            <w:tcW w:w="0" w:type="auto"/>
            <w:tcBorders>
              <w:top w:val="single" w:sz="4" w:space="0" w:color="auto"/>
              <w:bottom w:val="single" w:sz="4" w:space="0" w:color="auto"/>
              <w:right w:val="single" w:sz="4" w:space="0" w:color="auto"/>
            </w:tcBorders>
            <w:vAlign w:val="center"/>
            <w:hideMark/>
          </w:tcPr>
          <w:p w:rsidR="00043FB4" w:rsidRPr="00C32C67" w:rsidRDefault="00FF462A">
            <w:pPr>
              <w:spacing w:after="0" w:line="360" w:lineRule="auto"/>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 xml:space="preserve">       0.8–1.2</w:t>
            </w:r>
          </w:p>
        </w:tc>
        <w:tc>
          <w:tcPr>
            <w:tcW w:w="0" w:type="auto"/>
            <w:tcBorders>
              <w:top w:val="single" w:sz="4" w:space="0" w:color="auto"/>
              <w:bottom w:val="single" w:sz="4" w:space="0" w:color="auto"/>
              <w:right w:val="single" w:sz="4" w:space="0" w:color="auto"/>
            </w:tcBorders>
            <w:vAlign w:val="center"/>
            <w:hideMark/>
          </w:tcPr>
          <w:p w:rsidR="00043FB4" w:rsidRPr="00C32C67" w:rsidRDefault="00FF462A">
            <w:pPr>
              <w:spacing w:after="0" w:line="360" w:lineRule="auto"/>
              <w:jc w:val="right"/>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25 (12.5%) outside; High INR (&gt;1.2): 13 (6.5%)</w:t>
            </w:r>
          </w:p>
        </w:tc>
      </w:tr>
      <w:tr w:rsidR="00043FB4" w:rsidRPr="00C32C67" w:rsidTr="00C32C67">
        <w:trPr>
          <w:tblCellSpacing w:w="15" w:type="dxa"/>
        </w:trPr>
        <w:tc>
          <w:tcPr>
            <w:tcW w:w="0" w:type="auto"/>
            <w:tcBorders>
              <w:left w:val="single" w:sz="4" w:space="0" w:color="auto"/>
              <w:right w:val="single" w:sz="4" w:space="0" w:color="auto"/>
            </w:tcBorders>
            <w:vAlign w:val="center"/>
            <w:hideMark/>
          </w:tcPr>
          <w:p w:rsidR="00043FB4" w:rsidRPr="00C32C67" w:rsidRDefault="00FF462A">
            <w:pPr>
              <w:spacing w:after="0" w:line="360" w:lineRule="auto"/>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aPTT (s)</w:t>
            </w:r>
          </w:p>
        </w:tc>
        <w:tc>
          <w:tcPr>
            <w:tcW w:w="0" w:type="auto"/>
            <w:tcBorders>
              <w:right w:val="single" w:sz="4" w:space="0" w:color="auto"/>
            </w:tcBorders>
            <w:vAlign w:val="center"/>
            <w:hideMark/>
          </w:tcPr>
          <w:p w:rsidR="00043FB4" w:rsidRPr="00C32C67" w:rsidRDefault="00FF462A">
            <w:pPr>
              <w:spacing w:after="0" w:line="360" w:lineRule="auto"/>
              <w:jc w:val="right"/>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34.7 (4.2)</w:t>
            </w:r>
          </w:p>
        </w:tc>
        <w:tc>
          <w:tcPr>
            <w:tcW w:w="0" w:type="auto"/>
            <w:tcBorders>
              <w:right w:val="single" w:sz="4" w:space="0" w:color="auto"/>
            </w:tcBorders>
            <w:vAlign w:val="center"/>
            <w:hideMark/>
          </w:tcPr>
          <w:p w:rsidR="00043FB4" w:rsidRPr="00C32C67" w:rsidRDefault="00FF462A">
            <w:pPr>
              <w:spacing w:after="0" w:line="360" w:lineRule="auto"/>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 xml:space="preserve">        30–40</w:t>
            </w:r>
          </w:p>
        </w:tc>
        <w:tc>
          <w:tcPr>
            <w:tcW w:w="0" w:type="auto"/>
            <w:tcBorders>
              <w:right w:val="single" w:sz="4" w:space="0" w:color="auto"/>
            </w:tcBorders>
            <w:vAlign w:val="center"/>
            <w:hideMark/>
          </w:tcPr>
          <w:p w:rsidR="00043FB4" w:rsidRPr="00C32C67" w:rsidRDefault="00FF462A">
            <w:pPr>
              <w:spacing w:after="0" w:line="360" w:lineRule="auto"/>
              <w:jc w:val="right"/>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8 (4.0%) prolonged (&gt;40 s)</w:t>
            </w:r>
          </w:p>
        </w:tc>
      </w:tr>
      <w:tr w:rsidR="00043FB4" w:rsidRPr="00C32C67" w:rsidTr="00C32C67">
        <w:trPr>
          <w:tblCellSpacing w:w="15" w:type="dxa"/>
        </w:trPr>
        <w:tc>
          <w:tcPr>
            <w:tcW w:w="0" w:type="auto"/>
            <w:tcBorders>
              <w:top w:val="single" w:sz="4" w:space="0" w:color="auto"/>
              <w:left w:val="single" w:sz="4" w:space="0" w:color="auto"/>
              <w:right w:val="single" w:sz="4" w:space="0" w:color="auto"/>
            </w:tcBorders>
            <w:vAlign w:val="center"/>
            <w:hideMark/>
          </w:tcPr>
          <w:p w:rsidR="00043FB4" w:rsidRPr="00C32C67" w:rsidRDefault="00FF462A">
            <w:pPr>
              <w:spacing w:after="0" w:line="360" w:lineRule="auto"/>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Fibrinogen (g/L)</w:t>
            </w:r>
          </w:p>
        </w:tc>
        <w:tc>
          <w:tcPr>
            <w:tcW w:w="0" w:type="auto"/>
            <w:tcBorders>
              <w:top w:val="single" w:sz="4" w:space="0" w:color="auto"/>
              <w:right w:val="single" w:sz="4" w:space="0" w:color="auto"/>
            </w:tcBorders>
            <w:vAlign w:val="center"/>
            <w:hideMark/>
          </w:tcPr>
          <w:p w:rsidR="00043FB4" w:rsidRPr="00C32C67" w:rsidRDefault="00FF462A">
            <w:pPr>
              <w:spacing w:after="0" w:line="360" w:lineRule="auto"/>
              <w:jc w:val="right"/>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1.73 (—)</w:t>
            </w:r>
          </w:p>
        </w:tc>
        <w:tc>
          <w:tcPr>
            <w:tcW w:w="0" w:type="auto"/>
            <w:tcBorders>
              <w:top w:val="single" w:sz="4" w:space="0" w:color="auto"/>
              <w:right w:val="single" w:sz="4" w:space="0" w:color="auto"/>
            </w:tcBorders>
            <w:vAlign w:val="center"/>
            <w:hideMark/>
          </w:tcPr>
          <w:p w:rsidR="00043FB4" w:rsidRPr="00C32C67" w:rsidRDefault="00FF462A">
            <w:pPr>
              <w:spacing w:after="0" w:line="360" w:lineRule="auto"/>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 xml:space="preserve">       1.5–4.0</w:t>
            </w:r>
          </w:p>
        </w:tc>
        <w:tc>
          <w:tcPr>
            <w:tcW w:w="0" w:type="auto"/>
            <w:tcBorders>
              <w:top w:val="single" w:sz="4" w:space="0" w:color="auto"/>
              <w:right w:val="single" w:sz="4" w:space="0" w:color="auto"/>
            </w:tcBorders>
            <w:vAlign w:val="center"/>
            <w:hideMark/>
          </w:tcPr>
          <w:p w:rsidR="00043FB4" w:rsidRPr="00C32C67" w:rsidRDefault="00FF462A">
            <w:pPr>
              <w:spacing w:after="0" w:line="360" w:lineRule="auto"/>
              <w:jc w:val="right"/>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Low &lt;1.5: 7 (3.5%); High &gt;4.0: 5 (2.5%)</w:t>
            </w:r>
          </w:p>
        </w:tc>
      </w:tr>
      <w:tr w:rsidR="00043FB4" w:rsidRPr="00C32C67" w:rsidTr="00C32C67">
        <w:trPr>
          <w:tblCellSpacing w:w="15" w:type="dxa"/>
        </w:trPr>
        <w:tc>
          <w:tcPr>
            <w:tcW w:w="0" w:type="auto"/>
            <w:tcBorders>
              <w:top w:val="single" w:sz="4" w:space="0" w:color="auto"/>
              <w:left w:val="single" w:sz="4" w:space="0" w:color="auto"/>
              <w:right w:val="single" w:sz="4" w:space="0" w:color="auto"/>
            </w:tcBorders>
            <w:vAlign w:val="center"/>
            <w:hideMark/>
          </w:tcPr>
          <w:p w:rsidR="00043FB4" w:rsidRPr="00C32C67" w:rsidRDefault="00FF462A">
            <w:pPr>
              <w:spacing w:after="0" w:line="360" w:lineRule="auto"/>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D-Dimer</w:t>
            </w:r>
          </w:p>
        </w:tc>
        <w:tc>
          <w:tcPr>
            <w:tcW w:w="0" w:type="auto"/>
            <w:tcBorders>
              <w:top w:val="single" w:sz="4" w:space="0" w:color="auto"/>
              <w:right w:val="single" w:sz="4" w:space="0" w:color="auto"/>
            </w:tcBorders>
            <w:vAlign w:val="center"/>
            <w:hideMark/>
          </w:tcPr>
          <w:p w:rsidR="00043FB4" w:rsidRPr="00C32C67" w:rsidRDefault="00FF462A">
            <w:pPr>
              <w:spacing w:after="0" w:line="360" w:lineRule="auto"/>
              <w:jc w:val="right"/>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0.007 (—)</w:t>
            </w:r>
          </w:p>
        </w:tc>
        <w:tc>
          <w:tcPr>
            <w:tcW w:w="0" w:type="auto"/>
            <w:tcBorders>
              <w:top w:val="single" w:sz="4" w:space="0" w:color="auto"/>
              <w:right w:val="single" w:sz="4" w:space="0" w:color="auto"/>
            </w:tcBorders>
            <w:vAlign w:val="center"/>
            <w:hideMark/>
          </w:tcPr>
          <w:p w:rsidR="00043FB4" w:rsidRPr="00C32C67" w:rsidRDefault="00FF462A">
            <w:pPr>
              <w:spacing w:after="0" w:line="360" w:lineRule="auto"/>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&lt;0.05 negative</w:t>
            </w:r>
          </w:p>
        </w:tc>
        <w:tc>
          <w:tcPr>
            <w:tcW w:w="0" w:type="auto"/>
            <w:tcBorders>
              <w:top w:val="single" w:sz="4" w:space="0" w:color="auto"/>
              <w:right w:val="single" w:sz="4" w:space="0" w:color="auto"/>
            </w:tcBorders>
            <w:vAlign w:val="center"/>
            <w:hideMark/>
          </w:tcPr>
          <w:p w:rsidR="00043FB4" w:rsidRPr="00C32C67" w:rsidRDefault="00FF462A">
            <w:pPr>
              <w:spacing w:after="0" w:line="360" w:lineRule="auto"/>
              <w:jc w:val="right"/>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Positive (≥0.05): 23 (11.5%)</w:t>
            </w:r>
          </w:p>
        </w:tc>
      </w:tr>
      <w:tr w:rsidR="00043FB4" w:rsidRPr="00C32C67" w:rsidTr="00C32C6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043FB4" w:rsidRPr="00C32C67" w:rsidRDefault="00FF462A">
            <w:pPr>
              <w:spacing w:after="0" w:line="360" w:lineRule="auto"/>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Any hypocoagulable state*</w:t>
            </w:r>
          </w:p>
        </w:tc>
        <w:tc>
          <w:tcPr>
            <w:tcW w:w="0" w:type="auto"/>
            <w:tcBorders>
              <w:top w:val="single" w:sz="4" w:space="0" w:color="auto"/>
              <w:bottom w:val="single" w:sz="4" w:space="0" w:color="auto"/>
              <w:right w:val="single" w:sz="4" w:space="0" w:color="auto"/>
            </w:tcBorders>
            <w:vAlign w:val="center"/>
            <w:hideMark/>
          </w:tcPr>
          <w:p w:rsidR="00043FB4" w:rsidRPr="00C32C67" w:rsidRDefault="00FF462A">
            <w:pPr>
              <w:spacing w:after="0" w:line="360" w:lineRule="auto"/>
              <w:jc w:val="right"/>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w:t>
            </w:r>
          </w:p>
        </w:tc>
        <w:tc>
          <w:tcPr>
            <w:tcW w:w="0" w:type="auto"/>
            <w:tcBorders>
              <w:top w:val="single" w:sz="4" w:space="0" w:color="auto"/>
              <w:bottom w:val="single" w:sz="4" w:space="0" w:color="auto"/>
              <w:right w:val="single" w:sz="4" w:space="0" w:color="auto"/>
            </w:tcBorders>
            <w:vAlign w:val="center"/>
            <w:hideMark/>
          </w:tcPr>
          <w:p w:rsidR="00043FB4" w:rsidRPr="00C32C67" w:rsidRDefault="00FF462A">
            <w:pPr>
              <w:spacing w:after="0" w:line="360" w:lineRule="auto"/>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w:t>
            </w:r>
          </w:p>
        </w:tc>
        <w:tc>
          <w:tcPr>
            <w:tcW w:w="0" w:type="auto"/>
            <w:tcBorders>
              <w:top w:val="single" w:sz="4" w:space="0" w:color="auto"/>
              <w:bottom w:val="single" w:sz="4" w:space="0" w:color="auto"/>
              <w:right w:val="single" w:sz="4" w:space="0" w:color="auto"/>
            </w:tcBorders>
            <w:vAlign w:val="center"/>
            <w:hideMark/>
          </w:tcPr>
          <w:p w:rsidR="00043FB4" w:rsidRPr="00C32C67" w:rsidRDefault="00FF462A">
            <w:pPr>
              <w:spacing w:after="0" w:line="360" w:lineRule="auto"/>
              <w:jc w:val="right"/>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26 (13.0%)</w:t>
            </w:r>
          </w:p>
        </w:tc>
      </w:tr>
      <w:tr w:rsidR="00043FB4" w:rsidRPr="00C32C67" w:rsidTr="00C32C67">
        <w:trPr>
          <w:tblCellSpacing w:w="15" w:type="dxa"/>
        </w:trPr>
        <w:tc>
          <w:tcPr>
            <w:tcW w:w="0" w:type="auto"/>
            <w:tcBorders>
              <w:left w:val="single" w:sz="4" w:space="0" w:color="auto"/>
              <w:right w:val="single" w:sz="4" w:space="0" w:color="auto"/>
            </w:tcBorders>
            <w:vAlign w:val="center"/>
            <w:hideMark/>
          </w:tcPr>
          <w:p w:rsidR="00043FB4" w:rsidRPr="00C32C67" w:rsidRDefault="00FF462A">
            <w:pPr>
              <w:spacing w:after="0" w:line="360" w:lineRule="auto"/>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Any hypercoagulable state†</w:t>
            </w:r>
          </w:p>
        </w:tc>
        <w:tc>
          <w:tcPr>
            <w:tcW w:w="0" w:type="auto"/>
            <w:tcBorders>
              <w:right w:val="single" w:sz="4" w:space="0" w:color="auto"/>
            </w:tcBorders>
            <w:vAlign w:val="center"/>
            <w:hideMark/>
          </w:tcPr>
          <w:p w:rsidR="00043FB4" w:rsidRPr="00C32C67" w:rsidRDefault="00FF462A">
            <w:pPr>
              <w:spacing w:after="0" w:line="360" w:lineRule="auto"/>
              <w:jc w:val="right"/>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w:t>
            </w:r>
          </w:p>
        </w:tc>
        <w:tc>
          <w:tcPr>
            <w:tcW w:w="0" w:type="auto"/>
            <w:tcBorders>
              <w:right w:val="single" w:sz="4" w:space="0" w:color="auto"/>
            </w:tcBorders>
            <w:vAlign w:val="center"/>
            <w:hideMark/>
          </w:tcPr>
          <w:p w:rsidR="00043FB4" w:rsidRPr="00C32C67" w:rsidRDefault="00FF462A">
            <w:pPr>
              <w:spacing w:after="0" w:line="360" w:lineRule="auto"/>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w:t>
            </w:r>
          </w:p>
        </w:tc>
        <w:tc>
          <w:tcPr>
            <w:tcW w:w="0" w:type="auto"/>
            <w:tcBorders>
              <w:right w:val="single" w:sz="4" w:space="0" w:color="auto"/>
            </w:tcBorders>
            <w:vAlign w:val="center"/>
            <w:hideMark/>
          </w:tcPr>
          <w:p w:rsidR="00043FB4" w:rsidRPr="00C32C67" w:rsidRDefault="00FF462A">
            <w:pPr>
              <w:spacing w:after="0" w:line="360" w:lineRule="auto"/>
              <w:jc w:val="right"/>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28 (14.0%)</w:t>
            </w:r>
          </w:p>
        </w:tc>
      </w:tr>
      <w:tr w:rsidR="00043FB4" w:rsidTr="00C32C6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043FB4" w:rsidRPr="00C32C67" w:rsidRDefault="00FF462A">
            <w:pPr>
              <w:spacing w:after="0" w:line="360" w:lineRule="auto"/>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Any coagulation abnormality (≥1 abnormality)</w:t>
            </w:r>
          </w:p>
        </w:tc>
        <w:tc>
          <w:tcPr>
            <w:tcW w:w="0" w:type="auto"/>
            <w:tcBorders>
              <w:top w:val="single" w:sz="4" w:space="0" w:color="auto"/>
              <w:bottom w:val="single" w:sz="4" w:space="0" w:color="auto"/>
              <w:right w:val="single" w:sz="4" w:space="0" w:color="auto"/>
            </w:tcBorders>
            <w:vAlign w:val="center"/>
            <w:hideMark/>
          </w:tcPr>
          <w:p w:rsidR="00043FB4" w:rsidRPr="00C32C67" w:rsidRDefault="00FF462A">
            <w:pPr>
              <w:spacing w:after="0" w:line="360" w:lineRule="auto"/>
              <w:jc w:val="right"/>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w:t>
            </w:r>
          </w:p>
        </w:tc>
        <w:tc>
          <w:tcPr>
            <w:tcW w:w="0" w:type="auto"/>
            <w:tcBorders>
              <w:top w:val="single" w:sz="4" w:space="0" w:color="auto"/>
              <w:bottom w:val="single" w:sz="4" w:space="0" w:color="auto"/>
              <w:right w:val="single" w:sz="4" w:space="0" w:color="auto"/>
            </w:tcBorders>
            <w:vAlign w:val="center"/>
            <w:hideMark/>
          </w:tcPr>
          <w:p w:rsidR="00043FB4" w:rsidRPr="00C32C67" w:rsidRDefault="00FF462A">
            <w:pPr>
              <w:spacing w:after="0" w:line="360" w:lineRule="auto"/>
              <w:rPr>
                <w:rFonts w:ascii="Times New Roman" w:eastAsia="Times New Roman" w:hAnsi="Times New Roman" w:cs="Times New Roman"/>
                <w:sz w:val="24"/>
                <w:szCs w:val="24"/>
                <w:highlight w:val="yellow"/>
              </w:rPr>
            </w:pPr>
            <w:r w:rsidRPr="00C32C67">
              <w:rPr>
                <w:rFonts w:ascii="Times New Roman" w:eastAsia="Times New Roman" w:hAnsi="Times New Roman" w:cs="Times New Roman"/>
                <w:sz w:val="24"/>
                <w:szCs w:val="24"/>
                <w:highlight w:val="yellow"/>
              </w:rPr>
              <w:t>—</w:t>
            </w:r>
          </w:p>
        </w:tc>
        <w:tc>
          <w:tcPr>
            <w:tcW w:w="0" w:type="auto"/>
            <w:tcBorders>
              <w:top w:val="single" w:sz="4" w:space="0" w:color="auto"/>
              <w:bottom w:val="single" w:sz="4" w:space="0" w:color="auto"/>
              <w:right w:val="single" w:sz="4" w:space="0" w:color="auto"/>
            </w:tcBorders>
            <w:vAlign w:val="center"/>
            <w:hideMark/>
          </w:tcPr>
          <w:p w:rsidR="00043FB4" w:rsidRDefault="00FF462A">
            <w:pPr>
              <w:spacing w:after="0" w:line="360" w:lineRule="auto"/>
              <w:jc w:val="right"/>
              <w:rPr>
                <w:rFonts w:ascii="Times New Roman" w:eastAsia="Times New Roman" w:hAnsi="Times New Roman" w:cs="Times New Roman"/>
                <w:sz w:val="24"/>
                <w:szCs w:val="24"/>
              </w:rPr>
            </w:pPr>
            <w:r w:rsidRPr="00C32C67">
              <w:rPr>
                <w:rFonts w:ascii="Times New Roman" w:eastAsia="Times New Roman" w:hAnsi="Times New Roman" w:cs="Times New Roman"/>
                <w:sz w:val="24"/>
                <w:szCs w:val="24"/>
                <w:highlight w:val="yellow"/>
              </w:rPr>
              <w:t>46 (23.0%)</w:t>
            </w:r>
          </w:p>
        </w:tc>
      </w:tr>
    </w:tbl>
    <w:p w:rsidR="00043FB4" w:rsidRDefault="00FF462A">
      <w:pPr>
        <w:pStyle w:val="NormalWeb"/>
        <w:spacing w:line="360" w:lineRule="auto"/>
        <w:jc w:val="both"/>
      </w:pPr>
      <w:r>
        <w:lastRenderedPageBreak/>
        <w:t>*Hypocoagulable state defined as persistent prolongation of PT/INR or aPTT and/or low fibrinogen.</w:t>
      </w:r>
      <w:r>
        <w:br/>
        <w:t>†Hypercoagulable state defined by elevated fibrinogen and/or positive D-Dimer.</w:t>
      </w:r>
      <w:r>
        <w:br/>
      </w:r>
      <w:r>
        <w:rPr>
          <w:rStyle w:val="Emphasis"/>
        </w:rPr>
        <w:t>Footnote:</w:t>
      </w:r>
      <w:r>
        <w:t xml:space="preserve"> D-Dimer threshold ≥0.05 used per assay; significance threshold for correlations p&lt;0.05. Values and cut-offs follow the methods described in the thesis.</w:t>
      </w:r>
    </w:p>
    <w:p w:rsidR="00043FB4" w:rsidRDefault="00043FB4">
      <w:pPr>
        <w:pStyle w:val="NormalWeb"/>
        <w:spacing w:line="360" w:lineRule="auto"/>
        <w:jc w:val="both"/>
      </w:pPr>
    </w:p>
    <w:p w:rsidR="00043FB4" w:rsidRDefault="00FF462A">
      <w:pPr>
        <w:pStyle w:val="Heading3"/>
        <w:jc w:val="both"/>
        <w:rPr>
          <w:rFonts w:ascii="Times New Roman" w:hAnsi="Times New Roman" w:cs="Times New Roman"/>
          <w:b/>
          <w:color w:val="auto"/>
        </w:rPr>
      </w:pPr>
      <w:r>
        <w:rPr>
          <w:rFonts w:ascii="Times New Roman" w:hAnsi="Times New Roman" w:cs="Times New Roman"/>
          <w:b/>
          <w:color w:val="auto"/>
        </w:rPr>
        <w:t>3.3 Correlations among coagulation markers</w:t>
      </w:r>
    </w:p>
    <w:p w:rsidR="00043FB4" w:rsidRDefault="00FF462A">
      <w:pPr>
        <w:pStyle w:val="NormalWeb"/>
        <w:spacing w:line="360" w:lineRule="auto"/>
        <w:jc w:val="both"/>
      </w:pPr>
      <w:r>
        <w:t xml:space="preserve">Pearson correlation results showed: PT vs INR r = 0.966 (p &lt; 0.001); PT/INR vs </w:t>
      </w:r>
      <w:proofErr w:type="spellStart"/>
      <w:r>
        <w:t>aPTT</w:t>
      </w:r>
      <w:proofErr w:type="spellEnd"/>
      <w:r>
        <w:t xml:space="preserve"> weak positive r ~ 0.25 (p &lt; 0.001); </w:t>
      </w:r>
      <w:proofErr w:type="spellStart"/>
      <w:r>
        <w:t>aPTT</w:t>
      </w:r>
      <w:proofErr w:type="spellEnd"/>
      <w:r>
        <w:t xml:space="preserve"> vs fibrinogen r = −0.367 (p &lt; 0.001); fibrinogen vs D-Dimer rho = −0.208 (p = 0.003). D-Dimer had no significant correlation with PT/INR (p &gt; 0.05).</w:t>
      </w: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FF462A">
      <w:pPr>
        <w:spacing w:after="0" w:line="360" w:lineRule="auto"/>
        <w:jc w:val="both"/>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The majority of the 200 blood donors in this cross-sectional study at a large tertiary hospital in southwest Nigeria had coagulation markers within reference limits, but a clinically significant minority (23.0%) had at least one anomaly. Even though majority of these people had normal PT/INR and aPTT, the most common single anomaly was a positive D-Dimer (11.5%), which indicated recent fibrin production and breakdown. Although elevated D-Dimer in asymptomatic donors may indicate subclinical inflammation, undetected minor venous thromboembolism, recent tissue damage, or assay variability, its presence highlights the possibility that coagulation activation may be missed by traditional donor screening that focuses on infections and hemoglobin (11) (12).</w:t>
      </w:r>
    </w:p>
    <w:p w:rsidR="00043FB4" w:rsidRDefault="00043FB4">
      <w:pPr>
        <w:spacing w:after="0" w:line="360" w:lineRule="auto"/>
        <w:jc w:val="both"/>
        <w:rPr>
          <w:rFonts w:ascii="Times New Roman" w:eastAsia="Times New Roman" w:hAnsi="Times New Roman" w:cs="Times New Roman"/>
          <w:sz w:val="24"/>
          <w:szCs w:val="24"/>
        </w:rPr>
      </w:pPr>
    </w:p>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Donor safety concerns are raised by the observed predominance of hypocoagulable signs (13.0%), such as extended PT/INR (6.5% with INR &gt;1.2) and prolonged aPTT (4.0%). Undiagnosed liver disease, vitamin K deficiency, modest hereditary factor deficits, and laboratory/technical variability are possible reasons in this population (13) (4). Because of the potential of bleeding during venipuncture or subsequent clinical consequences, low fibrinogen in 3.5% may suggest consumption or deficiency and should be monitored. On the other hand, an acute phase response and co-existing prothrombotic risk are associated with hyperfibrinogenemia in 2.5% of cases (14).</w:t>
      </w:r>
    </w:p>
    <w:p w:rsidR="00043FB4" w:rsidRDefault="00043FB4">
      <w:pPr>
        <w:spacing w:after="0" w:line="360" w:lineRule="auto"/>
        <w:jc w:val="both"/>
        <w:rPr>
          <w:rFonts w:ascii="Times New Roman" w:eastAsia="Times New Roman" w:hAnsi="Times New Roman" w:cs="Times New Roman"/>
          <w:sz w:val="24"/>
          <w:szCs w:val="24"/>
        </w:rPr>
      </w:pPr>
    </w:p>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negative correlations between fibrinogen and aPTT/D-Dimer (especially fibrinogen vs. D-Dimer rho = −0.208, p = 0.003) are biologically plausible—fibrinolytic activity that produces D-Dimer may deplete fibrinogen—correlation patterns supported expected physiological relationships: PT and INR were nearly perfectly correlated (r=0.966), validating assay consistency. The weak PT/INR–aPTT association may indicate non-specific assay impacts or sporadic multisystem involvement (15) (16).</w:t>
      </w:r>
    </w:p>
    <w:p w:rsidR="00043FB4" w:rsidRDefault="00043FB4">
      <w:pPr>
        <w:spacing w:after="0" w:line="360" w:lineRule="auto"/>
        <w:jc w:val="both"/>
        <w:rPr>
          <w:rFonts w:ascii="Times New Roman" w:eastAsia="Times New Roman" w:hAnsi="Times New Roman" w:cs="Times New Roman"/>
          <w:sz w:val="24"/>
          <w:szCs w:val="24"/>
        </w:rPr>
      </w:pPr>
    </w:p>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According to </w:t>
      </w:r>
      <w:proofErr w:type="spellStart"/>
      <w:r>
        <w:rPr>
          <w:rFonts w:ascii="Times New Roman" w:eastAsia="Times New Roman" w:hAnsi="Times New Roman" w:cs="Times New Roman"/>
          <w:sz w:val="24"/>
          <w:szCs w:val="24"/>
        </w:rPr>
        <w:t>Sciascia</w:t>
      </w:r>
      <w:proofErr w:type="spellEnd"/>
      <w:r>
        <w:rPr>
          <w:rFonts w:ascii="Times New Roman" w:eastAsia="Times New Roman" w:hAnsi="Times New Roman" w:cs="Times New Roman"/>
          <w:sz w:val="24"/>
          <w:szCs w:val="24"/>
        </w:rPr>
        <w:t xml:space="preserve"> et al. (17), different community or hospital-based series report varied rates based on inclusion criteria and assay sensitivity. In contrast, prevalence numbers vary by context and method. In any case, the identification of coagulation activation or deficiency markers in a non-clinical donor population encourages the use of a tiered screening strategy: reflex D-Dimer or fibrinogen testing for certain donors (e.g., with suggestive history or borderline screening tests), and basic history, point-of-care PT/INR, and aPTT for all donors. Such a model strikes a balance between safety and resource limitations (18).</w:t>
      </w:r>
    </w:p>
    <w:p w:rsidR="00043FB4" w:rsidRDefault="00043FB4">
      <w:pPr>
        <w:spacing w:line="360" w:lineRule="auto"/>
        <w:jc w:val="both"/>
        <w:rPr>
          <w:rFonts w:ascii="Times New Roman" w:hAnsi="Times New Roman" w:cs="Times New Roman"/>
          <w:sz w:val="24"/>
          <w:szCs w:val="24"/>
        </w:rPr>
      </w:pPr>
    </w:p>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D75813">
        <w:rPr>
          <w:rFonts w:ascii="Times New Roman" w:eastAsia="Times New Roman" w:hAnsi="Times New Roman" w:cs="Times New Roman"/>
          <w:sz w:val="24"/>
          <w:szCs w:val="24"/>
        </w:rPr>
        <w:t xml:space="preserve">study </w:t>
      </w:r>
      <w:r>
        <w:rPr>
          <w:rFonts w:ascii="Times New Roman" w:eastAsia="Times New Roman" w:hAnsi="Times New Roman" w:cs="Times New Roman"/>
          <w:sz w:val="24"/>
          <w:szCs w:val="24"/>
        </w:rPr>
        <w:t>proposes conservative cut-offs (e.g., INR &gt;1.3, aPTT &gt;45 s, D-Dimer &gt;0.05) and pathways for confidential referral to clinical services, which are crucial from an operational standpoint for deferral and donor notification. Future research should examine the effects on transfusion recipients (especially those receiving plasma components), follow up with impacted donors, and compare the costs and benefits of routine versus tailored coagulation screening. The single-center design, lack of extended factor testing, and lack of clinical follow-up imaging for donors who test positive for D-Dimer are some of the limitations.</w:t>
      </w:r>
    </w:p>
    <w:p w:rsidR="00043FB4" w:rsidRDefault="00043FB4">
      <w:pPr>
        <w:rPr>
          <w:rFonts w:ascii="Times New Roman" w:hAnsi="Times New Roman" w:cs="Times New Roman"/>
          <w:sz w:val="24"/>
          <w:szCs w:val="24"/>
        </w:rPr>
      </w:pPr>
    </w:p>
    <w:p w:rsidR="00043FB4" w:rsidRDefault="00043FB4">
      <w:pPr>
        <w:pStyle w:val="Heading2"/>
        <w:rPr>
          <w:sz w:val="24"/>
          <w:szCs w:val="24"/>
        </w:rPr>
      </w:pPr>
    </w:p>
    <w:p w:rsidR="00043FB4" w:rsidRDefault="00043FB4">
      <w:pPr>
        <w:pStyle w:val="Heading2"/>
        <w:rPr>
          <w:sz w:val="24"/>
          <w:szCs w:val="24"/>
        </w:rPr>
      </w:pPr>
    </w:p>
    <w:p w:rsidR="00043FB4" w:rsidRDefault="00FF462A">
      <w:pPr>
        <w:pStyle w:val="Heading2"/>
        <w:rPr>
          <w:sz w:val="24"/>
          <w:szCs w:val="24"/>
        </w:rPr>
      </w:pPr>
      <w:r>
        <w:rPr>
          <w:sz w:val="24"/>
          <w:szCs w:val="24"/>
        </w:rPr>
        <w:t xml:space="preserve">5.0 Conclusion </w:t>
      </w:r>
    </w:p>
    <w:p w:rsidR="00043FB4" w:rsidRDefault="00FF46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significant percentage (23.0%) of the 200 blood donors in this sample from UCH Ibadan had at least one test indicator of a coagulation disorder. The majority of donors had PT, INR, and aPTT values within reference ranges; nonetheless, clinically significant results included 11.5% D-Dimer positive and 6.5% high INR (&gt;1.2). These findings suggest that subclinical coagulation disorders, such as hypocoagulable and hypercoagulable states, can exist in donors who appear healthy. Blood banks should think about implementing workable, tiered screening strategies that include basic coagulation testing or targeted testing for donors with suggestive histories, given the possible consequences for donor safety (bleeding at phlebotomy) and transfusion product quality (particularly plasma components)</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Donor care will be enhanced and transfusion recipients will be safeguarded by the implementation of transparent deferral criteria, private donor notification, and </w:t>
      </w:r>
      <w:r>
        <w:rPr>
          <w:rFonts w:ascii="Times New Roman" w:eastAsia="Times New Roman" w:hAnsi="Times New Roman" w:cs="Times New Roman"/>
          <w:sz w:val="24"/>
          <w:szCs w:val="24"/>
        </w:rPr>
        <w:lastRenderedPageBreak/>
        <w:t>referral channels. It is necessary to conduct additional research to verify screening levels, look into the reasons for anomalies, and evaluate recipient outcomes.</w:t>
      </w:r>
    </w:p>
    <w:p w:rsidR="00043FB4" w:rsidRDefault="00043FB4">
      <w:pPr>
        <w:spacing w:after="0" w:line="240" w:lineRule="auto"/>
        <w:rPr>
          <w:rFonts w:ascii="Times New Roman" w:eastAsia="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FF462A">
      <w:pPr>
        <w:pStyle w:val="Heading2"/>
        <w:rPr>
          <w:sz w:val="24"/>
          <w:szCs w:val="24"/>
        </w:rPr>
      </w:pPr>
      <w:r>
        <w:rPr>
          <w:sz w:val="24"/>
          <w:szCs w:val="24"/>
        </w:rPr>
        <w:t xml:space="preserve">6.0 Recommendations </w:t>
      </w:r>
    </w:p>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advise UCH and similar blood banks to adopt a tiered donor-screening model: add direct questions about bleeding and thrombosis history to the donor questionnaire; perform point-of-care PT/INR and aPTT for all potential donors with predetermined deferral thresholds (e.g., INR &gt;1.3, aPTT &gt;45 s); provide reflex testing (D-Dimer and fibrinogen ELISA) for donors with abnormal screening or concerning histories; create a confidential donor notification and clinical referral pathway for abnormal results; and limit the preparation of plasma components (FFP/cryoprecipitate). Scale-up should be preceded by pilot implementation with an economic assessment and donor follow-up.</w:t>
      </w:r>
    </w:p>
    <w:p w:rsidR="00043FB4" w:rsidRDefault="00043FB4">
      <w:pPr>
        <w:rPr>
          <w:rFonts w:ascii="Times New Roman" w:hAnsi="Times New Roman" w:cs="Times New Roman"/>
          <w:sz w:val="24"/>
          <w:szCs w:val="24"/>
        </w:rPr>
      </w:pPr>
    </w:p>
    <w:p w:rsidR="00043FB4" w:rsidRDefault="00043FB4">
      <w:pPr>
        <w:pStyle w:val="Heading2"/>
        <w:rPr>
          <w:sz w:val="24"/>
          <w:szCs w:val="24"/>
        </w:rPr>
      </w:pPr>
    </w:p>
    <w:p w:rsidR="00043FB4" w:rsidRDefault="00FF462A">
      <w:pPr>
        <w:pStyle w:val="Heading2"/>
        <w:rPr>
          <w:sz w:val="24"/>
          <w:szCs w:val="24"/>
        </w:rPr>
      </w:pPr>
      <w:r>
        <w:rPr>
          <w:sz w:val="24"/>
          <w:szCs w:val="24"/>
        </w:rPr>
        <w:t>7.0 Contribution to knowledge</w:t>
      </w:r>
    </w:p>
    <w:p w:rsidR="00043FB4" w:rsidRDefault="00FF462A">
      <w:pPr>
        <w:pStyle w:val="ListParagraph"/>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Shows that around 23% of blood donors at UCH Ibadan had at least one laboratory anomaly, providing the first comprehensive prevalence estimate of specific coagulation abnormalities. </w:t>
      </w:r>
    </w:p>
    <w:p w:rsidR="00043FB4" w:rsidRDefault="00FF462A">
      <w:pPr>
        <w:pStyle w:val="ListParagraph"/>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Shows that a significant portion of asymptomatic donors (11.5%) may have elevated D-Dimer, highlighting the importance of taking fibrinolytic markers into account when evaluating donor risk. </w:t>
      </w:r>
    </w:p>
    <w:p w:rsidR="00043FB4" w:rsidRDefault="00FF462A">
      <w:pPr>
        <w:pStyle w:val="ListParagraph"/>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Provides information that is suitable for low-resource blood banks and supports a practical, tiered screening program (point-of-care PT/INR &amp; </w:t>
      </w:r>
      <w:proofErr w:type="spellStart"/>
      <w:r>
        <w:rPr>
          <w:rFonts w:ascii="Times New Roman" w:eastAsia="Times New Roman" w:hAnsi="Times New Roman" w:cs="Times New Roman"/>
          <w:sz w:val="24"/>
          <w:szCs w:val="24"/>
        </w:rPr>
        <w:t>aPTT</w:t>
      </w:r>
      <w:proofErr w:type="spellEnd"/>
      <w:r>
        <w:rPr>
          <w:rFonts w:ascii="Times New Roman" w:eastAsia="Times New Roman" w:hAnsi="Times New Roman" w:cs="Times New Roman"/>
          <w:sz w:val="24"/>
          <w:szCs w:val="24"/>
        </w:rPr>
        <w:t xml:space="preserve"> with reflex testing).</w:t>
      </w:r>
    </w:p>
    <w:p w:rsidR="000F3CDB" w:rsidRDefault="000F3CDB" w:rsidP="000F3CDB">
      <w:pPr>
        <w:spacing w:after="0" w:line="360" w:lineRule="auto"/>
        <w:jc w:val="both"/>
        <w:rPr>
          <w:rFonts w:ascii="Times New Roman" w:eastAsia="Times New Roman" w:hAnsi="Times New Roman" w:cs="Times New Roman"/>
          <w:sz w:val="24"/>
          <w:szCs w:val="24"/>
        </w:rPr>
      </w:pPr>
    </w:p>
    <w:p w:rsidR="000F3CDB" w:rsidRDefault="000F3CDB" w:rsidP="000F3CDB">
      <w:pPr>
        <w:spacing w:after="0" w:line="360" w:lineRule="auto"/>
        <w:jc w:val="both"/>
        <w:rPr>
          <w:rFonts w:ascii="Times New Roman" w:eastAsia="Times New Roman" w:hAnsi="Times New Roman" w:cs="Times New Roman"/>
          <w:sz w:val="24"/>
          <w:szCs w:val="24"/>
        </w:rPr>
      </w:pPr>
    </w:p>
    <w:p w:rsidR="000F3CDB" w:rsidRPr="000F3CDB" w:rsidRDefault="000F3CDB" w:rsidP="000F3CDB">
      <w:pPr>
        <w:spacing w:after="0" w:line="360" w:lineRule="auto"/>
        <w:jc w:val="both"/>
        <w:rPr>
          <w:rFonts w:ascii="Times New Roman" w:eastAsia="Times New Roman" w:hAnsi="Times New Roman" w:cs="Times New Roman"/>
          <w:b/>
          <w:sz w:val="24"/>
          <w:szCs w:val="24"/>
        </w:rPr>
      </w:pPr>
      <w:r w:rsidRPr="000F3CDB">
        <w:rPr>
          <w:rFonts w:ascii="Times New Roman" w:eastAsia="Times New Roman" w:hAnsi="Times New Roman" w:cs="Times New Roman"/>
          <w:b/>
          <w:sz w:val="24"/>
          <w:szCs w:val="24"/>
        </w:rPr>
        <w:t>Ethical Approval and consent</w:t>
      </w:r>
    </w:p>
    <w:p w:rsidR="000F3CDB" w:rsidRPr="000F3CDB" w:rsidRDefault="000F3CDB" w:rsidP="000F3CDB">
      <w:pPr>
        <w:spacing w:after="0" w:line="360" w:lineRule="auto"/>
        <w:jc w:val="both"/>
        <w:rPr>
          <w:rFonts w:ascii="Times New Roman" w:eastAsia="Times New Roman" w:hAnsi="Times New Roman" w:cs="Times New Roman"/>
          <w:sz w:val="24"/>
          <w:szCs w:val="24"/>
        </w:rPr>
      </w:pPr>
    </w:p>
    <w:p w:rsidR="000F3CDB" w:rsidRPr="000F3CDB" w:rsidRDefault="000F3CDB" w:rsidP="000F3CDB">
      <w:pPr>
        <w:spacing w:after="0" w:line="360" w:lineRule="auto"/>
        <w:jc w:val="both"/>
        <w:rPr>
          <w:rFonts w:ascii="Times New Roman" w:eastAsia="Times New Roman" w:hAnsi="Times New Roman" w:cs="Times New Roman"/>
          <w:sz w:val="24"/>
          <w:szCs w:val="24"/>
        </w:rPr>
      </w:pPr>
      <w:r w:rsidRPr="000F3CDB">
        <w:rPr>
          <w:rFonts w:ascii="Times New Roman" w:eastAsia="Times New Roman" w:hAnsi="Times New Roman" w:cs="Times New Roman"/>
          <w:sz w:val="24"/>
          <w:szCs w:val="24"/>
        </w:rPr>
        <w:lastRenderedPageBreak/>
        <w:t xml:space="preserve">The Oyo State Ministry of Health Research and Ethics Committee granted the project ethical permission. Additionally, permission was obtained from the administration of the University College Hospital in Ibadan. Each donor gave their informed written consent after being fully informed about the goals and methods of the study, and participation was entirely voluntary. Test results were </w:t>
      </w:r>
      <w:proofErr w:type="spellStart"/>
      <w:r w:rsidRPr="000F3CDB">
        <w:rPr>
          <w:rFonts w:ascii="Times New Roman" w:eastAsia="Times New Roman" w:hAnsi="Times New Roman" w:cs="Times New Roman"/>
          <w:sz w:val="24"/>
          <w:szCs w:val="24"/>
        </w:rPr>
        <w:t>anonymised</w:t>
      </w:r>
      <w:proofErr w:type="spellEnd"/>
      <w:r w:rsidRPr="000F3CDB">
        <w:rPr>
          <w:rFonts w:ascii="Times New Roman" w:eastAsia="Times New Roman" w:hAnsi="Times New Roman" w:cs="Times New Roman"/>
          <w:sz w:val="24"/>
          <w:szCs w:val="24"/>
        </w:rPr>
        <w:t xml:space="preserve"> to prevent personal identity, and all data was handled with absolute secrecy. Donors who had aberrant results that were clinically significant were discreetly informed and appropriately referred for follow-up and medical examination.</w:t>
      </w:r>
    </w:p>
    <w:p w:rsidR="000F3CDB" w:rsidRPr="000F3CDB" w:rsidRDefault="000F3CDB" w:rsidP="000F3CDB">
      <w:pPr>
        <w:spacing w:after="0" w:line="360" w:lineRule="auto"/>
        <w:jc w:val="both"/>
        <w:rPr>
          <w:rFonts w:ascii="Times New Roman" w:eastAsia="Times New Roman" w:hAnsi="Times New Roman" w:cs="Times New Roman"/>
          <w:sz w:val="24"/>
          <w:szCs w:val="24"/>
        </w:rPr>
      </w:pPr>
    </w:p>
    <w:p w:rsidR="000F3CDB" w:rsidRPr="000F3CDB" w:rsidRDefault="000F3CDB" w:rsidP="000F3CDB">
      <w:pPr>
        <w:spacing w:after="0" w:line="360" w:lineRule="auto"/>
        <w:jc w:val="both"/>
        <w:rPr>
          <w:rFonts w:ascii="Times New Roman" w:eastAsia="Times New Roman" w:hAnsi="Times New Roman" w:cs="Times New Roman"/>
          <w:b/>
          <w:sz w:val="24"/>
          <w:szCs w:val="24"/>
        </w:rPr>
      </w:pPr>
      <w:r w:rsidRPr="000F3CDB">
        <w:rPr>
          <w:rFonts w:ascii="Times New Roman" w:eastAsia="Times New Roman" w:hAnsi="Times New Roman" w:cs="Times New Roman"/>
          <w:b/>
          <w:sz w:val="24"/>
          <w:szCs w:val="24"/>
        </w:rPr>
        <w:t>Limitations</w:t>
      </w:r>
    </w:p>
    <w:p w:rsidR="000F3CDB" w:rsidRPr="000F3CDB" w:rsidRDefault="000F3CDB" w:rsidP="000F3CDB">
      <w:pPr>
        <w:spacing w:after="0" w:line="360" w:lineRule="auto"/>
        <w:jc w:val="both"/>
        <w:rPr>
          <w:rFonts w:ascii="Times New Roman" w:eastAsia="Times New Roman" w:hAnsi="Times New Roman" w:cs="Times New Roman"/>
          <w:sz w:val="24"/>
          <w:szCs w:val="24"/>
        </w:rPr>
      </w:pPr>
    </w:p>
    <w:p w:rsidR="000F3CDB" w:rsidRPr="000F3CDB" w:rsidRDefault="000F3CDB" w:rsidP="000F3CDB">
      <w:pPr>
        <w:spacing w:after="0" w:line="360" w:lineRule="auto"/>
        <w:jc w:val="both"/>
        <w:rPr>
          <w:rFonts w:ascii="Times New Roman" w:eastAsia="Times New Roman" w:hAnsi="Times New Roman" w:cs="Times New Roman"/>
          <w:sz w:val="24"/>
          <w:szCs w:val="24"/>
        </w:rPr>
      </w:pPr>
      <w:r w:rsidRPr="000F3CDB">
        <w:rPr>
          <w:rFonts w:ascii="Times New Roman" w:eastAsia="Times New Roman" w:hAnsi="Times New Roman" w:cs="Times New Roman"/>
          <w:sz w:val="24"/>
          <w:szCs w:val="24"/>
        </w:rPr>
        <w:t>The single-center design of this study may limit its applicability to other groups with distinct genetic and demographic backgrounds. Due to financial limitations, the study also only used a small number of coagulation assays and excluded more sophisticated testing such platelet function studies, factor assays, and thrombin time. Donors with aberrant results could not be evaluated further to determine persistence or clinical effects because of the cross-sectional approach. Notwithstanding these drawbacks, the study offers valuable first information on the frequency and trends of subclinical coagulation disorders among blood donors in a tertiary hospital environment in Nigeria.</w:t>
      </w: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6B0801" w:rsidRDefault="006B0801" w:rsidP="006B0801">
      <w:pPr>
        <w:rPr>
          <w:rFonts w:cs="Times New Roman"/>
          <w:kern w:val="2"/>
          <w:highlight w:val="yellow"/>
        </w:rPr>
      </w:pPr>
      <w:bookmarkStart w:id="1" w:name="_Hlk204003461"/>
      <w:bookmarkStart w:id="2" w:name="_Hlk213070710"/>
      <w:r>
        <w:rPr>
          <w:rFonts w:cs="Times New Roman"/>
          <w:kern w:val="2"/>
          <w:highlight w:val="yellow"/>
        </w:rPr>
        <w:t>Disclaimer (Artificial intelligence)</w:t>
      </w:r>
    </w:p>
    <w:p w:rsidR="006B0801" w:rsidRDefault="006B0801" w:rsidP="006B0801">
      <w:pPr>
        <w:rPr>
          <w:rFonts w:cs="Times New Roman"/>
          <w:kern w:val="2"/>
          <w:highlight w:val="yellow"/>
        </w:rPr>
      </w:pPr>
      <w:r>
        <w:rPr>
          <w:rFonts w:cs="Times New Roman"/>
          <w:kern w:val="2"/>
          <w:highlight w:val="yellow"/>
        </w:rPr>
        <w:t xml:space="preserve">Author(s) hereby declare that </w:t>
      </w:r>
      <w:r w:rsidR="00594DE5">
        <w:rPr>
          <w:rFonts w:cs="Times New Roman"/>
          <w:kern w:val="2"/>
          <w:highlight w:val="yellow"/>
        </w:rPr>
        <w:t>generative</w:t>
      </w:r>
      <w:r>
        <w:rPr>
          <w:rFonts w:cs="Times New Roman"/>
          <w:kern w:val="2"/>
          <w:highlight w:val="yellow"/>
        </w:rPr>
        <w:t xml:space="preserve"> AI technologies such as Large Language Models, etc. have been used during the writing or editing of manuscripts. This explanation will include the name, version, </w:t>
      </w:r>
      <w:r>
        <w:rPr>
          <w:rFonts w:cs="Times New Roman"/>
          <w:kern w:val="2"/>
          <w:highlight w:val="yellow"/>
        </w:rPr>
        <w:lastRenderedPageBreak/>
        <w:t>model, and source of the generative AI technology and as well as all input prompts provided to the generative AI technology</w:t>
      </w:r>
    </w:p>
    <w:p w:rsidR="006B0801" w:rsidRDefault="006B0801" w:rsidP="006B0801">
      <w:pPr>
        <w:rPr>
          <w:rFonts w:cs="Times New Roman"/>
          <w:kern w:val="2"/>
          <w:highlight w:val="yellow"/>
        </w:rPr>
      </w:pPr>
      <w:r>
        <w:rPr>
          <w:rFonts w:cs="Times New Roman"/>
          <w:kern w:val="2"/>
          <w:highlight w:val="yellow"/>
        </w:rPr>
        <w:t>Details of the AI usage are given below:</w:t>
      </w:r>
    </w:p>
    <w:p w:rsidR="006B0801" w:rsidRDefault="006B0801" w:rsidP="006B0801">
      <w:pPr>
        <w:rPr>
          <w:rFonts w:cs="Times New Roman"/>
          <w:kern w:val="2"/>
          <w:highlight w:val="yellow"/>
        </w:rPr>
      </w:pPr>
      <w:r>
        <w:rPr>
          <w:rFonts w:cs="Times New Roman"/>
          <w:kern w:val="2"/>
          <w:highlight w:val="yellow"/>
        </w:rPr>
        <w:t>1.</w:t>
      </w:r>
      <w:r w:rsidR="00047DEF" w:rsidRPr="00047DEF">
        <w:t xml:space="preserve"> </w:t>
      </w:r>
      <w:r w:rsidR="00264029">
        <w:t xml:space="preserve">Used </w:t>
      </w:r>
      <w:r w:rsidR="00047DEF" w:rsidRPr="00047DEF">
        <w:rPr>
          <w:rFonts w:cs="Times New Roman"/>
          <w:kern w:val="2"/>
        </w:rPr>
        <w:t>Jenni AI</w:t>
      </w:r>
      <w:r w:rsidR="00C32C67">
        <w:rPr>
          <w:rFonts w:cs="Times New Roman"/>
          <w:kern w:val="2"/>
          <w:highlight w:val="yellow"/>
        </w:rPr>
        <w:t xml:space="preserve">, </w:t>
      </w:r>
      <w:proofErr w:type="spellStart"/>
      <w:r w:rsidR="00D15C8C" w:rsidRPr="00D15C8C">
        <w:rPr>
          <w:rFonts w:cs="Times New Roman"/>
          <w:kern w:val="2"/>
        </w:rPr>
        <w:t>ChatGPT</w:t>
      </w:r>
      <w:proofErr w:type="spellEnd"/>
      <w:r w:rsidR="00C32C67">
        <w:rPr>
          <w:rFonts w:cs="Times New Roman"/>
          <w:kern w:val="2"/>
          <w:highlight w:val="yellow"/>
        </w:rPr>
        <w:t>,</w:t>
      </w:r>
      <w:r w:rsidR="0032479D">
        <w:rPr>
          <w:rFonts w:cs="Times New Roman"/>
          <w:kern w:val="2"/>
          <w:highlight w:val="yellow"/>
        </w:rPr>
        <w:t xml:space="preserve"> </w:t>
      </w:r>
      <w:proofErr w:type="spellStart"/>
      <w:r w:rsidR="00D15C8C" w:rsidRPr="00D15C8C">
        <w:rPr>
          <w:rFonts w:cs="Times New Roman"/>
          <w:kern w:val="2"/>
        </w:rPr>
        <w:t>QuillBot</w:t>
      </w:r>
      <w:proofErr w:type="spellEnd"/>
      <w:r w:rsidR="00D15C8C">
        <w:rPr>
          <w:rFonts w:cs="Times New Roman"/>
          <w:kern w:val="2"/>
        </w:rPr>
        <w:t xml:space="preserve"> </w:t>
      </w:r>
      <w:r w:rsidR="0032479D">
        <w:rPr>
          <w:rFonts w:cs="Times New Roman"/>
          <w:kern w:val="2"/>
          <w:highlight w:val="yellow"/>
        </w:rPr>
        <w:t xml:space="preserve">for </w:t>
      </w:r>
      <w:r w:rsidR="00307430" w:rsidRPr="00307430">
        <w:rPr>
          <w:rFonts w:cs="Times New Roman"/>
          <w:kern w:val="2"/>
        </w:rPr>
        <w:t>summarize</w:t>
      </w:r>
      <w:r w:rsidR="0032479D" w:rsidRPr="0032479D">
        <w:rPr>
          <w:rFonts w:cs="Times New Roman"/>
          <w:kern w:val="2"/>
        </w:rPr>
        <w:t xml:space="preserve">, synthesize, </w:t>
      </w:r>
      <w:r w:rsidR="0032479D">
        <w:rPr>
          <w:rFonts w:cs="Times New Roman"/>
          <w:kern w:val="2"/>
        </w:rPr>
        <w:t xml:space="preserve">and </w:t>
      </w:r>
      <w:r w:rsidR="0032479D" w:rsidRPr="0032479D">
        <w:rPr>
          <w:rFonts w:cs="Times New Roman"/>
          <w:kern w:val="2"/>
        </w:rPr>
        <w:t>paraphras</w:t>
      </w:r>
      <w:r w:rsidR="0032479D">
        <w:rPr>
          <w:rFonts w:cs="Times New Roman"/>
          <w:kern w:val="2"/>
        </w:rPr>
        <w:t>ing.</w:t>
      </w:r>
    </w:p>
    <w:bookmarkEnd w:id="1"/>
    <w:bookmarkEnd w:id="2"/>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spacing w:line="360" w:lineRule="auto"/>
        <w:jc w:val="both"/>
        <w:rPr>
          <w:rFonts w:ascii="Times New Roman" w:hAnsi="Times New Roman" w:cs="Times New Roman"/>
          <w:sz w:val="24"/>
          <w:szCs w:val="24"/>
        </w:rPr>
      </w:pPr>
    </w:p>
    <w:p w:rsidR="00043FB4" w:rsidRDefault="00FF462A">
      <w:pPr>
        <w:rPr>
          <w:rFonts w:ascii="Times New Roman" w:hAnsi="Times New Roman" w:cs="Times New Roman"/>
          <w:b/>
          <w:sz w:val="24"/>
          <w:szCs w:val="24"/>
        </w:rPr>
      </w:pPr>
      <w:r>
        <w:rPr>
          <w:rFonts w:ascii="Times New Roman" w:hAnsi="Times New Roman" w:cs="Times New Roman"/>
          <w:b/>
          <w:sz w:val="24"/>
          <w:szCs w:val="24"/>
        </w:rPr>
        <w:t>References</w:t>
      </w:r>
    </w:p>
    <w:p w:rsidR="00043FB4" w:rsidRDefault="00FF462A">
      <w:pPr>
        <w:pStyle w:val="NormalWeb"/>
        <w:numPr>
          <w:ilvl w:val="0"/>
          <w:numId w:val="2"/>
        </w:numPr>
        <w:spacing w:line="360" w:lineRule="auto"/>
        <w:jc w:val="both"/>
      </w:pPr>
      <w:r>
        <w:t xml:space="preserve">McRae S. Physiological </w:t>
      </w:r>
      <w:proofErr w:type="spellStart"/>
      <w:r>
        <w:t>haemostasis</w:t>
      </w:r>
      <w:proofErr w:type="spellEnd"/>
      <w:r>
        <w:t>. Springer eBooks; 2020.</w:t>
      </w:r>
    </w:p>
    <w:p w:rsidR="00043FB4" w:rsidRDefault="00FF462A">
      <w:pPr>
        <w:pStyle w:val="NormalWeb"/>
        <w:numPr>
          <w:ilvl w:val="0"/>
          <w:numId w:val="2"/>
        </w:numPr>
        <w:spacing w:line="360" w:lineRule="auto"/>
        <w:jc w:val="both"/>
      </w:pPr>
      <w:r>
        <w:t xml:space="preserve">Sang Y, </w:t>
      </w:r>
      <w:proofErr w:type="spellStart"/>
      <w:r>
        <w:t>Roest</w:t>
      </w:r>
      <w:proofErr w:type="spellEnd"/>
      <w:r>
        <w:t> M, de </w:t>
      </w:r>
      <w:proofErr w:type="spellStart"/>
      <w:r>
        <w:t>Laat</w:t>
      </w:r>
      <w:proofErr w:type="spellEnd"/>
      <w:r>
        <w:t xml:space="preserve"> B, de Groot PG, </w:t>
      </w:r>
      <w:proofErr w:type="spellStart"/>
      <w:r>
        <w:t>Huskens</w:t>
      </w:r>
      <w:proofErr w:type="spellEnd"/>
      <w:r>
        <w:t> D. Interplay between platelets and coagulation. Blood Rev. </w:t>
      </w:r>
      <w:proofErr w:type="gramStart"/>
      <w:r>
        <w:t>2020;42:100733</w:t>
      </w:r>
      <w:proofErr w:type="gramEnd"/>
      <w:r>
        <w:t>.</w:t>
      </w:r>
    </w:p>
    <w:p w:rsidR="00043FB4" w:rsidRDefault="00FF462A">
      <w:pPr>
        <w:pStyle w:val="NormalWeb"/>
        <w:numPr>
          <w:ilvl w:val="0"/>
          <w:numId w:val="2"/>
        </w:numPr>
        <w:spacing w:line="360" w:lineRule="auto"/>
        <w:jc w:val="both"/>
      </w:pPr>
      <w:proofErr w:type="spellStart"/>
      <w:r>
        <w:t>Favaloro</w:t>
      </w:r>
      <w:proofErr w:type="spellEnd"/>
      <w:r>
        <w:t xml:space="preserve"> EJ, </w:t>
      </w:r>
      <w:proofErr w:type="spellStart"/>
      <w:r>
        <w:t>Pasalic</w:t>
      </w:r>
      <w:proofErr w:type="spellEnd"/>
      <w:r>
        <w:t> L. Routine coagulation. Clin Lab Med. 2024;44(1):1–25.</w:t>
      </w:r>
    </w:p>
    <w:p w:rsidR="00043FB4" w:rsidRDefault="00FF462A">
      <w:pPr>
        <w:pStyle w:val="NormalWeb"/>
        <w:numPr>
          <w:ilvl w:val="0"/>
          <w:numId w:val="2"/>
        </w:numPr>
        <w:spacing w:line="360" w:lineRule="auto"/>
        <w:jc w:val="both"/>
      </w:pPr>
      <w:proofErr w:type="spellStart"/>
      <w:r>
        <w:t>Pedini</w:t>
      </w:r>
      <w:proofErr w:type="spellEnd"/>
      <w:r>
        <w:t xml:space="preserve"> P, </w:t>
      </w:r>
      <w:proofErr w:type="spellStart"/>
      <w:r>
        <w:t>Baudey</w:t>
      </w:r>
      <w:proofErr w:type="spellEnd"/>
      <w:r>
        <w:t xml:space="preserve"> M, </w:t>
      </w:r>
      <w:proofErr w:type="spellStart"/>
      <w:r>
        <w:t>Pouymayou</w:t>
      </w:r>
      <w:proofErr w:type="spellEnd"/>
      <w:r>
        <w:t> C, Falaise C, Ibrahim</w:t>
      </w:r>
      <w:r>
        <w:noBreakHyphen/>
      </w:r>
      <w:proofErr w:type="spellStart"/>
      <w:r>
        <w:t>Kosta</w:t>
      </w:r>
      <w:proofErr w:type="spellEnd"/>
      <w:r>
        <w:t xml:space="preserve"> M, </w:t>
      </w:r>
      <w:proofErr w:type="spellStart"/>
      <w:r>
        <w:t>Velier</w:t>
      </w:r>
      <w:proofErr w:type="spellEnd"/>
      <w:r>
        <w:t xml:space="preserve"> M, </w:t>
      </w:r>
      <w:proofErr w:type="spellStart"/>
      <w:r>
        <w:t>Demerle</w:t>
      </w:r>
      <w:proofErr w:type="spellEnd"/>
      <w:r>
        <w:t xml:space="preserve"> C, </w:t>
      </w:r>
      <w:proofErr w:type="spellStart"/>
      <w:r>
        <w:t>Graiet</w:t>
      </w:r>
      <w:proofErr w:type="spellEnd"/>
      <w:r>
        <w:t xml:space="preserve"> H, </w:t>
      </w:r>
      <w:proofErr w:type="spellStart"/>
      <w:r>
        <w:t>Dragutini</w:t>
      </w:r>
      <w:proofErr w:type="spellEnd"/>
      <w:r>
        <w:t xml:space="preserve"> S, Dombey L, </w:t>
      </w:r>
      <w:proofErr w:type="spellStart"/>
      <w:r>
        <w:t>Chiaroni</w:t>
      </w:r>
      <w:proofErr w:type="spellEnd"/>
      <w:r>
        <w:t> J, Alessi MC, Picard C. Screening platelet function in blood donors. Transfusion. 2022;62(6):1221–31.</w:t>
      </w:r>
    </w:p>
    <w:p w:rsidR="00043FB4" w:rsidRDefault="00FF462A">
      <w:pPr>
        <w:pStyle w:val="NormalWeb"/>
        <w:numPr>
          <w:ilvl w:val="0"/>
          <w:numId w:val="2"/>
        </w:numPr>
        <w:spacing w:line="360" w:lineRule="auto"/>
        <w:jc w:val="both"/>
      </w:pPr>
      <w:proofErr w:type="spellStart"/>
      <w:r>
        <w:t>Kebalo</w:t>
      </w:r>
      <w:proofErr w:type="spellEnd"/>
      <w:r>
        <w:t xml:space="preserve"> D, </w:t>
      </w:r>
      <w:proofErr w:type="spellStart"/>
      <w:r>
        <w:t>Gizaw</w:t>
      </w:r>
      <w:proofErr w:type="spellEnd"/>
      <w:r>
        <w:t xml:space="preserve"> ST, </w:t>
      </w:r>
      <w:proofErr w:type="spellStart"/>
      <w:r>
        <w:t>Gnanasekaran</w:t>
      </w:r>
      <w:proofErr w:type="spellEnd"/>
      <w:r>
        <w:t xml:space="preserve"> N, </w:t>
      </w:r>
      <w:proofErr w:type="spellStart"/>
      <w:r>
        <w:t>Areda</w:t>
      </w:r>
      <w:proofErr w:type="spellEnd"/>
      <w:r>
        <w:t xml:space="preserve"> D. Lipid and </w:t>
      </w:r>
      <w:proofErr w:type="spellStart"/>
      <w:r>
        <w:t>haematologic</w:t>
      </w:r>
      <w:proofErr w:type="spellEnd"/>
      <w:r>
        <w:t xml:space="preserve"> profiling of regular blood donors revealed health benefits. J Blood Med. 2022;13:205–12.</w:t>
      </w:r>
    </w:p>
    <w:p w:rsidR="00043FB4" w:rsidRDefault="00FF462A">
      <w:pPr>
        <w:pStyle w:val="NormalWeb"/>
        <w:numPr>
          <w:ilvl w:val="0"/>
          <w:numId w:val="2"/>
        </w:numPr>
        <w:spacing w:line="360" w:lineRule="auto"/>
        <w:jc w:val="both"/>
      </w:pPr>
      <w:r>
        <w:t>Riley RS, Gilbert AR, Dalton JB, Pai S, McPherson RA. Widely used types and clinical applications of D</w:t>
      </w:r>
      <w:r>
        <w:noBreakHyphen/>
        <w:t>dimer assay. Lab Med. 2016;47(2):90–102.</w:t>
      </w:r>
    </w:p>
    <w:p w:rsidR="00043FB4" w:rsidRDefault="00FF462A">
      <w:pPr>
        <w:pStyle w:val="NormalWeb"/>
        <w:numPr>
          <w:ilvl w:val="0"/>
          <w:numId w:val="2"/>
        </w:numPr>
        <w:spacing w:line="360" w:lineRule="auto"/>
        <w:jc w:val="both"/>
      </w:pPr>
      <w:r>
        <w:lastRenderedPageBreak/>
        <w:t xml:space="preserve">Weitz JI, </w:t>
      </w:r>
      <w:proofErr w:type="spellStart"/>
      <w:r>
        <w:t>Fredenburgh</w:t>
      </w:r>
      <w:proofErr w:type="spellEnd"/>
      <w:r>
        <w:t xml:space="preserve"> JC, </w:t>
      </w:r>
      <w:proofErr w:type="spellStart"/>
      <w:r>
        <w:t>Eikelboom</w:t>
      </w:r>
      <w:proofErr w:type="spellEnd"/>
      <w:r>
        <w:t> JW. A test in context: D</w:t>
      </w:r>
      <w:r>
        <w:noBreakHyphen/>
        <w:t xml:space="preserve">dimer. J Am Coll </w:t>
      </w:r>
      <w:proofErr w:type="spellStart"/>
      <w:r>
        <w:t>Cardiol</w:t>
      </w:r>
      <w:proofErr w:type="spellEnd"/>
      <w:r>
        <w:t>. 2017;70(19):2411–20.</w:t>
      </w:r>
    </w:p>
    <w:p w:rsidR="00043FB4" w:rsidRDefault="00FF462A">
      <w:pPr>
        <w:pStyle w:val="NormalWeb"/>
        <w:numPr>
          <w:ilvl w:val="0"/>
          <w:numId w:val="2"/>
        </w:numPr>
        <w:spacing w:line="360" w:lineRule="auto"/>
        <w:jc w:val="both"/>
      </w:pPr>
      <w:proofErr w:type="spellStart"/>
      <w:r>
        <w:t>Aynalem</w:t>
      </w:r>
      <w:proofErr w:type="spellEnd"/>
      <w:r>
        <w:t xml:space="preserve"> M, Shiferaw F, </w:t>
      </w:r>
      <w:proofErr w:type="spellStart"/>
      <w:r>
        <w:t>Gelaw</w:t>
      </w:r>
      <w:proofErr w:type="spellEnd"/>
      <w:r>
        <w:t xml:space="preserve"> B, </w:t>
      </w:r>
      <w:proofErr w:type="spellStart"/>
      <w:r>
        <w:t>Enawgaw</w:t>
      </w:r>
      <w:proofErr w:type="spellEnd"/>
      <w:r>
        <w:t> B. Coagulopathy and its associated factors among patients with a bleeding diathesis at the University of Gondar Specialized Referral Hospital, Northwest Ethiopia. </w:t>
      </w:r>
      <w:proofErr w:type="spellStart"/>
      <w:r>
        <w:t>Thromb</w:t>
      </w:r>
      <w:proofErr w:type="spellEnd"/>
      <w:r>
        <w:t xml:space="preserve"> J. 2021;19:69.</w:t>
      </w:r>
    </w:p>
    <w:p w:rsidR="00043FB4" w:rsidRDefault="00FF462A">
      <w:pPr>
        <w:pStyle w:val="NormalWeb"/>
        <w:numPr>
          <w:ilvl w:val="0"/>
          <w:numId w:val="2"/>
        </w:numPr>
        <w:spacing w:line="360" w:lineRule="auto"/>
        <w:jc w:val="both"/>
      </w:pPr>
      <w:proofErr w:type="spellStart"/>
      <w:r>
        <w:t>Dunlea</w:t>
      </w:r>
      <w:proofErr w:type="spellEnd"/>
      <w:r>
        <w:t xml:space="preserve"> A, </w:t>
      </w:r>
      <w:proofErr w:type="spellStart"/>
      <w:r>
        <w:t>Crushell</w:t>
      </w:r>
      <w:proofErr w:type="spellEnd"/>
      <w:r>
        <w:t xml:space="preserve"> E, Cotter PD, </w:t>
      </w:r>
      <w:proofErr w:type="spellStart"/>
      <w:r>
        <w:t>Blau</w:t>
      </w:r>
      <w:proofErr w:type="spellEnd"/>
      <w:r>
        <w:t xml:space="preserve"> N, Ferreira CR. Clinical and biochemical footprints of inherited metabolic disease. XVI. Hematological abnormalities. Mol Genet </w:t>
      </w:r>
      <w:proofErr w:type="spellStart"/>
      <w:r>
        <w:t>Metab</w:t>
      </w:r>
      <w:proofErr w:type="spellEnd"/>
      <w:r>
        <w:t>. 2023;140(3):221–33.</w:t>
      </w:r>
    </w:p>
    <w:p w:rsidR="00043FB4" w:rsidRDefault="00FF462A">
      <w:pPr>
        <w:pStyle w:val="NormalWeb"/>
        <w:numPr>
          <w:ilvl w:val="0"/>
          <w:numId w:val="2"/>
        </w:numPr>
        <w:spacing w:line="360" w:lineRule="auto"/>
        <w:jc w:val="both"/>
      </w:pPr>
      <w:proofErr w:type="spellStart"/>
      <w:r>
        <w:t>Agu</w:t>
      </w:r>
      <w:proofErr w:type="spellEnd"/>
      <w:r>
        <w:t xml:space="preserve"> RU, Uchendu O, </w:t>
      </w:r>
      <w:proofErr w:type="spellStart"/>
      <w:r>
        <w:t>Nsonwu</w:t>
      </w:r>
      <w:proofErr w:type="spellEnd"/>
      <w:r>
        <w:noBreakHyphen/>
        <w:t xml:space="preserve">Anyanwu LC, </w:t>
      </w:r>
      <w:proofErr w:type="spellStart"/>
      <w:r>
        <w:t>Okwuosa</w:t>
      </w:r>
      <w:proofErr w:type="spellEnd"/>
      <w:r>
        <w:t xml:space="preserve"> C, </w:t>
      </w:r>
      <w:proofErr w:type="spellStart"/>
      <w:r>
        <w:t>Achukwu</w:t>
      </w:r>
      <w:proofErr w:type="spellEnd"/>
      <w:r>
        <w:t xml:space="preserve"> PU. Prevalence and associated risk factors of peripheral artery disease in </w:t>
      </w:r>
      <w:proofErr w:type="spellStart"/>
      <w:r>
        <w:t>virologically</w:t>
      </w:r>
      <w:proofErr w:type="spellEnd"/>
      <w:r>
        <w:t xml:space="preserve"> suppressed HIV</w:t>
      </w:r>
      <w:r>
        <w:noBreakHyphen/>
        <w:t xml:space="preserve">infected individuals on antiretroviral therapy in </w:t>
      </w:r>
      <w:proofErr w:type="spellStart"/>
      <w:r>
        <w:t>Kwara</w:t>
      </w:r>
      <w:proofErr w:type="spellEnd"/>
      <w:r>
        <w:t xml:space="preserve"> State, Nigeria: a cross</w:t>
      </w:r>
      <w:r>
        <w:noBreakHyphen/>
        <w:t>sectional study. BMC Public Health. </w:t>
      </w:r>
      <w:proofErr w:type="gramStart"/>
      <w:r>
        <w:t>2019;19:1110</w:t>
      </w:r>
      <w:proofErr w:type="gramEnd"/>
      <w:r>
        <w:t>.</w:t>
      </w:r>
    </w:p>
    <w:p w:rsidR="00043FB4" w:rsidRDefault="00FF462A">
      <w:pPr>
        <w:pStyle w:val="NormalWeb"/>
        <w:numPr>
          <w:ilvl w:val="0"/>
          <w:numId w:val="2"/>
        </w:numPr>
        <w:spacing w:line="360" w:lineRule="auto"/>
        <w:jc w:val="both"/>
      </w:pPr>
      <w:proofErr w:type="spellStart"/>
      <w:r>
        <w:t>Slaninova</w:t>
      </w:r>
      <w:proofErr w:type="spellEnd"/>
      <w:r>
        <w:t xml:space="preserve"> N, </w:t>
      </w:r>
      <w:proofErr w:type="spellStart"/>
      <w:r>
        <w:t>Bryjová</w:t>
      </w:r>
      <w:proofErr w:type="spellEnd"/>
      <w:r>
        <w:t xml:space="preserve"> I, </w:t>
      </w:r>
      <w:proofErr w:type="spellStart"/>
      <w:r>
        <w:t>Lasota</w:t>
      </w:r>
      <w:proofErr w:type="spellEnd"/>
      <w:r>
        <w:t xml:space="preserve"> Z, </w:t>
      </w:r>
      <w:proofErr w:type="spellStart"/>
      <w:r>
        <w:t>Richterová</w:t>
      </w:r>
      <w:proofErr w:type="spellEnd"/>
      <w:r>
        <w:t xml:space="preserve"> R, </w:t>
      </w:r>
      <w:proofErr w:type="spellStart"/>
      <w:r>
        <w:t>Kubíček</w:t>
      </w:r>
      <w:proofErr w:type="spellEnd"/>
      <w:r>
        <w:t xml:space="preserve"> J, </w:t>
      </w:r>
      <w:proofErr w:type="spellStart"/>
      <w:r>
        <w:t>Augustýnek</w:t>
      </w:r>
      <w:proofErr w:type="spellEnd"/>
      <w:r>
        <w:t xml:space="preserve"> M, Seal A, </w:t>
      </w:r>
      <w:proofErr w:type="spellStart"/>
      <w:r>
        <w:t>Krejcar</w:t>
      </w:r>
      <w:proofErr w:type="spellEnd"/>
      <w:r>
        <w:t xml:space="preserve"> O, Proto A. Thrombotic and </w:t>
      </w:r>
      <w:proofErr w:type="spellStart"/>
      <w:r>
        <w:t>atherogenetic</w:t>
      </w:r>
      <w:proofErr w:type="spellEnd"/>
      <w:r>
        <w:t xml:space="preserve"> predisposition in </w:t>
      </w:r>
      <w:proofErr w:type="spellStart"/>
      <w:r>
        <w:t>polyglobulic</w:t>
      </w:r>
      <w:proofErr w:type="spellEnd"/>
      <w:r>
        <w:t xml:space="preserve"> donors. Biomedicines. 2022;10(8):1870.</w:t>
      </w:r>
    </w:p>
    <w:p w:rsidR="00043FB4" w:rsidRDefault="00FF462A">
      <w:pPr>
        <w:pStyle w:val="NormalWeb"/>
        <w:numPr>
          <w:ilvl w:val="0"/>
          <w:numId w:val="2"/>
        </w:numPr>
        <w:spacing w:line="360" w:lineRule="auto"/>
        <w:jc w:val="both"/>
      </w:pPr>
      <w:proofErr w:type="spellStart"/>
      <w:r>
        <w:t>Weiß</w:t>
      </w:r>
      <w:proofErr w:type="spellEnd"/>
      <w:r>
        <w:t xml:space="preserve"> S, Lin Y, Acosta J, </w:t>
      </w:r>
      <w:proofErr w:type="spellStart"/>
      <w:r>
        <w:t>Komarova</w:t>
      </w:r>
      <w:proofErr w:type="spellEnd"/>
      <w:r>
        <w:t xml:space="preserve"> N, Chen H, </w:t>
      </w:r>
      <w:proofErr w:type="spellStart"/>
      <w:r>
        <w:t>Wodarz</w:t>
      </w:r>
      <w:proofErr w:type="spellEnd"/>
      <w:r>
        <w:t xml:space="preserve"> D, Baine I, </w:t>
      </w:r>
      <w:proofErr w:type="spellStart"/>
      <w:r>
        <w:t>Duerr</w:t>
      </w:r>
      <w:proofErr w:type="spellEnd"/>
      <w:r>
        <w:t xml:space="preserve"> R, </w:t>
      </w:r>
      <w:proofErr w:type="spellStart"/>
      <w:r>
        <w:t>Wajnberg</w:t>
      </w:r>
      <w:proofErr w:type="spellEnd"/>
      <w:r>
        <w:t xml:space="preserve"> A, Gervais C, Bastard P, Casanova JL, </w:t>
      </w:r>
      <w:proofErr w:type="spellStart"/>
      <w:r>
        <w:t>Arinsburg</w:t>
      </w:r>
      <w:proofErr w:type="spellEnd"/>
      <w:r>
        <w:t> SA, Swartz T, Aberg J, Bouvier NM, Liu Y, Alvarez R, Chen Z. Post</w:t>
      </w:r>
      <w:r>
        <w:noBreakHyphen/>
        <w:t>transfusion activation of coagulation pathways during severe COVID</w:t>
      </w:r>
      <w:r>
        <w:noBreakHyphen/>
        <w:t>19 correlates with COVID</w:t>
      </w:r>
      <w:r>
        <w:noBreakHyphen/>
        <w:t>19 convalescent plasma antibody profiles. J Clin Invest. 2025;135(3):e170451.</w:t>
      </w:r>
    </w:p>
    <w:p w:rsidR="00043FB4" w:rsidRDefault="00FF462A">
      <w:pPr>
        <w:pStyle w:val="NormalWeb"/>
        <w:numPr>
          <w:ilvl w:val="0"/>
          <w:numId w:val="2"/>
        </w:numPr>
        <w:spacing w:line="360" w:lineRule="auto"/>
        <w:jc w:val="both"/>
      </w:pPr>
      <w:proofErr w:type="spellStart"/>
      <w:r>
        <w:t>Alsaleh</w:t>
      </w:r>
      <w:proofErr w:type="spellEnd"/>
      <w:r>
        <w:t> K, Al</w:t>
      </w:r>
      <w:r>
        <w:noBreakHyphen/>
      </w:r>
      <w:proofErr w:type="spellStart"/>
      <w:r>
        <w:t>Numair</w:t>
      </w:r>
      <w:proofErr w:type="spellEnd"/>
      <w:r>
        <w:t xml:space="preserve"> N, </w:t>
      </w:r>
      <w:proofErr w:type="spellStart"/>
      <w:r>
        <w:t>Alsuliman</w:t>
      </w:r>
      <w:proofErr w:type="spellEnd"/>
      <w:r>
        <w:t xml:space="preserve"> T, </w:t>
      </w:r>
      <w:proofErr w:type="spellStart"/>
      <w:r>
        <w:t>Zolaly</w:t>
      </w:r>
      <w:proofErr w:type="spellEnd"/>
      <w:r>
        <w:t xml:space="preserve"> M, </w:t>
      </w:r>
      <w:proofErr w:type="spellStart"/>
      <w:r>
        <w:t>Albanyan</w:t>
      </w:r>
      <w:proofErr w:type="spellEnd"/>
      <w:r>
        <w:t xml:space="preserve"> H, </w:t>
      </w:r>
      <w:proofErr w:type="spellStart"/>
      <w:r>
        <w:t>AlOtaishan</w:t>
      </w:r>
      <w:proofErr w:type="spellEnd"/>
      <w:r>
        <w:t xml:space="preserve"> A, </w:t>
      </w:r>
      <w:proofErr w:type="spellStart"/>
      <w:r>
        <w:t>Abudouleh</w:t>
      </w:r>
      <w:proofErr w:type="spellEnd"/>
      <w:r>
        <w:t xml:space="preserve"> A, </w:t>
      </w:r>
      <w:proofErr w:type="spellStart"/>
      <w:r>
        <w:t>Bayoumy</w:t>
      </w:r>
      <w:proofErr w:type="spellEnd"/>
      <w:r>
        <w:t xml:space="preserve"> A, </w:t>
      </w:r>
      <w:proofErr w:type="spellStart"/>
      <w:r>
        <w:t>Tarawah</w:t>
      </w:r>
      <w:proofErr w:type="spellEnd"/>
      <w:r>
        <w:t xml:space="preserve"> F, </w:t>
      </w:r>
      <w:proofErr w:type="spellStart"/>
      <w:r>
        <w:t>Alzahrani</w:t>
      </w:r>
      <w:proofErr w:type="spellEnd"/>
      <w:r>
        <w:t> S, Al</w:t>
      </w:r>
      <w:r>
        <w:noBreakHyphen/>
      </w:r>
      <w:proofErr w:type="spellStart"/>
      <w:r>
        <w:t>Allaf</w:t>
      </w:r>
      <w:proofErr w:type="spellEnd"/>
      <w:r>
        <w:t> F, Al</w:t>
      </w:r>
      <w:r>
        <w:noBreakHyphen/>
      </w:r>
      <w:proofErr w:type="spellStart"/>
      <w:r>
        <w:t>Momen</w:t>
      </w:r>
      <w:proofErr w:type="spellEnd"/>
      <w:r>
        <w:t xml:space="preserve"> A, Sajid M, </w:t>
      </w:r>
      <w:proofErr w:type="spellStart"/>
      <w:r>
        <w:t>Owaidah</w:t>
      </w:r>
      <w:proofErr w:type="spellEnd"/>
      <w:r>
        <w:t> T. Prevalence of coagulation factors deficiency among young adults in Saudi Arabia: a national survey. TH Open. 2020;4(2):e142–50.</w:t>
      </w:r>
    </w:p>
    <w:p w:rsidR="00043FB4" w:rsidRDefault="00FF462A">
      <w:pPr>
        <w:pStyle w:val="NormalWeb"/>
        <w:numPr>
          <w:ilvl w:val="0"/>
          <w:numId w:val="2"/>
        </w:numPr>
        <w:spacing w:line="360" w:lineRule="auto"/>
        <w:jc w:val="both"/>
      </w:pPr>
      <w:r>
        <w:t xml:space="preserve">Gennaro L, </w:t>
      </w:r>
      <w:proofErr w:type="spellStart"/>
      <w:r>
        <w:t>Valentini</w:t>
      </w:r>
      <w:proofErr w:type="spellEnd"/>
      <w:r>
        <w:t xml:space="preserve"> P, Sorrentino R, Ferretti F, Candia P, Basso M, Lancellotti M, </w:t>
      </w:r>
      <w:proofErr w:type="spellStart"/>
      <w:r>
        <w:t>Cristofaro</w:t>
      </w:r>
      <w:proofErr w:type="spellEnd"/>
      <w:r>
        <w:t xml:space="preserve"> F, Rose C, </w:t>
      </w:r>
      <w:proofErr w:type="spellStart"/>
      <w:r>
        <w:t>Mariani</w:t>
      </w:r>
      <w:proofErr w:type="spellEnd"/>
      <w:r>
        <w:t xml:space="preserve"> M, Morello R, </w:t>
      </w:r>
      <w:proofErr w:type="spellStart"/>
      <w:r>
        <w:t>Lazzareschi</w:t>
      </w:r>
      <w:proofErr w:type="spellEnd"/>
      <w:r>
        <w:t xml:space="preserve"> I, </w:t>
      </w:r>
      <w:proofErr w:type="spellStart"/>
      <w:r>
        <w:t>Sigfrid</w:t>
      </w:r>
      <w:proofErr w:type="spellEnd"/>
      <w:r>
        <w:t xml:space="preserve"> L, </w:t>
      </w:r>
      <w:proofErr w:type="spellStart"/>
      <w:r>
        <w:t>Munblit</w:t>
      </w:r>
      <w:proofErr w:type="spellEnd"/>
      <w:r>
        <w:t xml:space="preserve"> D, </w:t>
      </w:r>
      <w:proofErr w:type="spellStart"/>
      <w:r>
        <w:t>Buonsenso</w:t>
      </w:r>
      <w:proofErr w:type="spellEnd"/>
      <w:r>
        <w:t xml:space="preserve"> D. Extended coagulation profile of children with Long </w:t>
      </w:r>
      <w:proofErr w:type="spellStart"/>
      <w:r>
        <w:t>Covid</w:t>
      </w:r>
      <w:proofErr w:type="spellEnd"/>
      <w:r>
        <w:t>: a prospective study. Sci Rep. 2022;12:10245.</w:t>
      </w:r>
    </w:p>
    <w:p w:rsidR="00043FB4" w:rsidRDefault="00FF462A">
      <w:pPr>
        <w:pStyle w:val="NormalWeb"/>
        <w:numPr>
          <w:ilvl w:val="0"/>
          <w:numId w:val="2"/>
        </w:numPr>
        <w:spacing w:line="360" w:lineRule="auto"/>
        <w:jc w:val="both"/>
      </w:pPr>
      <w:proofErr w:type="spellStart"/>
      <w:r>
        <w:t>Honoré</w:t>
      </w:r>
      <w:proofErr w:type="spellEnd"/>
      <w:r>
        <w:t xml:space="preserve"> SH, Pihl T, Nielsen L. A pilot study evaluating the Calibrated Automated </w:t>
      </w:r>
      <w:proofErr w:type="spellStart"/>
      <w:r>
        <w:t>Thrombogram</w:t>
      </w:r>
      <w:proofErr w:type="spellEnd"/>
      <w:r>
        <w:t xml:space="preserve"> assay and application of plasma</w:t>
      </w:r>
      <w:r>
        <w:noBreakHyphen/>
      </w:r>
      <w:proofErr w:type="spellStart"/>
      <w:r>
        <w:t>thromboelastography</w:t>
      </w:r>
      <w:proofErr w:type="spellEnd"/>
      <w:r>
        <w:t xml:space="preserve"> for detection of hemostatic aberrations in horses with gastrointestinal disease. BMC Vet Res. </w:t>
      </w:r>
      <w:proofErr w:type="gramStart"/>
      <w:r>
        <w:t>2021;17:177</w:t>
      </w:r>
      <w:proofErr w:type="gramEnd"/>
      <w:r>
        <w:t>.</w:t>
      </w:r>
    </w:p>
    <w:p w:rsidR="00043FB4" w:rsidRDefault="00FF462A">
      <w:pPr>
        <w:pStyle w:val="NormalWeb"/>
        <w:numPr>
          <w:ilvl w:val="0"/>
          <w:numId w:val="2"/>
        </w:numPr>
        <w:spacing w:line="360" w:lineRule="auto"/>
        <w:jc w:val="both"/>
      </w:pPr>
      <w:r>
        <w:lastRenderedPageBreak/>
        <w:t xml:space="preserve">Versteeg HH, Heemskerk JW, Levi M, </w:t>
      </w:r>
      <w:proofErr w:type="spellStart"/>
      <w:r>
        <w:t>Reitsma</w:t>
      </w:r>
      <w:proofErr w:type="spellEnd"/>
      <w:r>
        <w:t> PH. New fundamentals in hemostasis. </w:t>
      </w:r>
      <w:proofErr w:type="spellStart"/>
      <w:r>
        <w:t>Physiol</w:t>
      </w:r>
      <w:proofErr w:type="spellEnd"/>
      <w:r>
        <w:t xml:space="preserve"> Rev. 2013;93(1):327–58.</w:t>
      </w:r>
    </w:p>
    <w:p w:rsidR="00043FB4" w:rsidRDefault="00FF462A">
      <w:pPr>
        <w:pStyle w:val="NormalWeb"/>
        <w:numPr>
          <w:ilvl w:val="0"/>
          <w:numId w:val="2"/>
        </w:numPr>
        <w:spacing w:line="360" w:lineRule="auto"/>
        <w:jc w:val="both"/>
      </w:pPr>
      <w:proofErr w:type="spellStart"/>
      <w:r>
        <w:t>Sciascia</w:t>
      </w:r>
      <w:proofErr w:type="spellEnd"/>
      <w:r>
        <w:t xml:space="preserve"> S, </w:t>
      </w:r>
      <w:proofErr w:type="spellStart"/>
      <w:r>
        <w:t>Radin</w:t>
      </w:r>
      <w:proofErr w:type="spellEnd"/>
      <w:r>
        <w:t xml:space="preserve"> M, Ramírez G, Seaman A, </w:t>
      </w:r>
      <w:proofErr w:type="spellStart"/>
      <w:r>
        <w:t>Bentow</w:t>
      </w:r>
      <w:proofErr w:type="spellEnd"/>
      <w:r>
        <w:t xml:space="preserve"> C, Casas A, Cecchi I, Rubini A, </w:t>
      </w:r>
      <w:proofErr w:type="spellStart"/>
      <w:r>
        <w:t>Foddai</w:t>
      </w:r>
      <w:proofErr w:type="spellEnd"/>
      <w:r>
        <w:t xml:space="preserve"> S, </w:t>
      </w:r>
      <w:proofErr w:type="spellStart"/>
      <w:r>
        <w:t>Baldovino</w:t>
      </w:r>
      <w:proofErr w:type="spellEnd"/>
      <w:r>
        <w:t xml:space="preserve"> S, </w:t>
      </w:r>
      <w:proofErr w:type="spellStart"/>
      <w:r>
        <w:t>Fenoglio</w:t>
      </w:r>
      <w:proofErr w:type="spellEnd"/>
      <w:r>
        <w:t xml:space="preserve"> R, </w:t>
      </w:r>
      <w:proofErr w:type="spellStart"/>
      <w:r>
        <w:t>Menegatti</w:t>
      </w:r>
      <w:proofErr w:type="spellEnd"/>
      <w:r>
        <w:t xml:space="preserve"> M, </w:t>
      </w:r>
      <w:proofErr w:type="spellStart"/>
      <w:r>
        <w:t>Roccatello</w:t>
      </w:r>
      <w:proofErr w:type="spellEnd"/>
      <w:r>
        <w:t xml:space="preserve"> D, </w:t>
      </w:r>
      <w:proofErr w:type="spellStart"/>
      <w:r>
        <w:t>Mähler</w:t>
      </w:r>
      <w:proofErr w:type="spellEnd"/>
      <w:r>
        <w:t> M. Evaluation of novel assays for the detection of autoantibodies in antiphospholipid syndrome. </w:t>
      </w:r>
      <w:proofErr w:type="spellStart"/>
      <w:r>
        <w:t>Autoimmun</w:t>
      </w:r>
      <w:proofErr w:type="spellEnd"/>
      <w:r>
        <w:t xml:space="preserve"> Rev. 2020;19(11):102685.</w:t>
      </w:r>
    </w:p>
    <w:p w:rsidR="00043FB4" w:rsidRDefault="00FF462A">
      <w:pPr>
        <w:pStyle w:val="NormalWeb"/>
        <w:numPr>
          <w:ilvl w:val="0"/>
          <w:numId w:val="2"/>
        </w:numPr>
        <w:spacing w:line="360" w:lineRule="auto"/>
        <w:jc w:val="both"/>
      </w:pPr>
      <w:r>
        <w:t>Nissen</w:t>
      </w:r>
      <w:r>
        <w:noBreakHyphen/>
        <w:t xml:space="preserve">Meyer L, </w:t>
      </w:r>
      <w:proofErr w:type="spellStart"/>
      <w:r>
        <w:t>Seghatchian</w:t>
      </w:r>
      <w:proofErr w:type="spellEnd"/>
      <w:r>
        <w:t> J. Donor health assessment – When is blood donation safe? </w:t>
      </w:r>
      <w:proofErr w:type="spellStart"/>
      <w:r>
        <w:t>Transfus</w:t>
      </w:r>
      <w:proofErr w:type="spellEnd"/>
      <w:r>
        <w:t xml:space="preserve"> </w:t>
      </w:r>
      <w:proofErr w:type="spellStart"/>
      <w:r>
        <w:t>Apher</w:t>
      </w:r>
      <w:proofErr w:type="spellEnd"/>
      <w:r>
        <w:t xml:space="preserve"> Sci. 2018;57(6):771–6.</w:t>
      </w:r>
    </w:p>
    <w:p w:rsidR="00043FB4" w:rsidRDefault="00043FB4">
      <w:pPr>
        <w:spacing w:line="360" w:lineRule="auto"/>
        <w:jc w:val="both"/>
        <w:rPr>
          <w:rFonts w:ascii="Times New Roman" w:hAnsi="Times New Roman" w:cs="Times New Roman"/>
          <w:sz w:val="24"/>
          <w:szCs w:val="24"/>
        </w:rPr>
      </w:pPr>
    </w:p>
    <w:sectPr w:rsidR="00043F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D65" w:rsidRDefault="001B7D65" w:rsidP="007E5FD1">
      <w:pPr>
        <w:spacing w:after="0" w:line="240" w:lineRule="auto"/>
      </w:pPr>
      <w:r>
        <w:separator/>
      </w:r>
    </w:p>
  </w:endnote>
  <w:endnote w:type="continuationSeparator" w:id="0">
    <w:p w:rsidR="001B7D65" w:rsidRDefault="001B7D65" w:rsidP="007E5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FD1" w:rsidRDefault="007E5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FD1" w:rsidRDefault="007E5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FD1" w:rsidRDefault="007E5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D65" w:rsidRDefault="001B7D65" w:rsidP="007E5FD1">
      <w:pPr>
        <w:spacing w:after="0" w:line="240" w:lineRule="auto"/>
      </w:pPr>
      <w:r>
        <w:separator/>
      </w:r>
    </w:p>
  </w:footnote>
  <w:footnote w:type="continuationSeparator" w:id="0">
    <w:p w:rsidR="001B7D65" w:rsidRDefault="001B7D65" w:rsidP="007E5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FD1" w:rsidRDefault="001B7D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62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FD1" w:rsidRDefault="001B7D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62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FD1" w:rsidRDefault="001B7D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62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61239B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hybridMultilevel"/>
    <w:tmpl w:val="0C36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56751B"/>
    <w:multiLevelType w:val="multilevel"/>
    <w:tmpl w:val="490A77D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xNTc2MzI1NDY0NzFT0lEKTi0uzszPAykwrAUASC3IDCwAAAA="/>
  </w:docVars>
  <w:rsids>
    <w:rsidRoot w:val="00043FB4"/>
    <w:rsid w:val="00012270"/>
    <w:rsid w:val="0003270E"/>
    <w:rsid w:val="00043FB4"/>
    <w:rsid w:val="00047DEF"/>
    <w:rsid w:val="000F3CDB"/>
    <w:rsid w:val="001B7D65"/>
    <w:rsid w:val="00264029"/>
    <w:rsid w:val="002E7653"/>
    <w:rsid w:val="00307430"/>
    <w:rsid w:val="0032479D"/>
    <w:rsid w:val="003D2468"/>
    <w:rsid w:val="003F4783"/>
    <w:rsid w:val="004E3A29"/>
    <w:rsid w:val="004F3DB4"/>
    <w:rsid w:val="00594DE5"/>
    <w:rsid w:val="005D66BB"/>
    <w:rsid w:val="005F689D"/>
    <w:rsid w:val="0061283B"/>
    <w:rsid w:val="00622BCC"/>
    <w:rsid w:val="006802E2"/>
    <w:rsid w:val="006B0801"/>
    <w:rsid w:val="007E5FD1"/>
    <w:rsid w:val="0080762F"/>
    <w:rsid w:val="00935D77"/>
    <w:rsid w:val="009F0CC3"/>
    <w:rsid w:val="009F7732"/>
    <w:rsid w:val="00B74434"/>
    <w:rsid w:val="00C32C67"/>
    <w:rsid w:val="00C55A62"/>
    <w:rsid w:val="00C625B2"/>
    <w:rsid w:val="00D15C8C"/>
    <w:rsid w:val="00D75813"/>
    <w:rsid w:val="00F35FE1"/>
    <w:rsid w:val="00FF4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B808F5"/>
  <w15:docId w15:val="{D598C3DB-1A9F-4128-9C1B-89026B2F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Calibri Light" w:eastAsia="SimSu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relative">
    <w:name w:val="relative"/>
    <w:basedOn w:val="DefaultParagraphFont"/>
  </w:style>
  <w:style w:type="paragraph" w:customStyle="1" w:styleId="not-prose">
    <w:name w:val="not-pros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character" w:customStyle="1" w:styleId="Heading4Char">
    <w:name w:val="Heading 4 Char"/>
    <w:basedOn w:val="DefaultParagraphFont"/>
    <w:link w:val="Heading4"/>
    <w:uiPriority w:val="9"/>
    <w:rPr>
      <w:rFonts w:ascii="Calibri Light" w:eastAsia="SimSun" w:hAnsi="Calibri Light" w:cs="SimSun"/>
      <w:i/>
      <w:iCs/>
      <w:color w:val="2E74B5"/>
    </w:rPr>
  </w:style>
  <w:style w:type="character" w:styleId="Emphasis">
    <w:name w:val="Emphasis"/>
    <w:basedOn w:val="DefaultParagraphFont"/>
    <w:uiPriority w:val="20"/>
    <w:qFormat/>
    <w:rPr>
      <w:i/>
      <w:iCs/>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mopen">
    <w:name w:val="mopen"/>
    <w:basedOn w:val="DefaultParagraphFont"/>
  </w:style>
  <w:style w:type="character" w:customStyle="1" w:styleId="mbin">
    <w:name w:val="mbin"/>
    <w:basedOn w:val="DefaultParagraphFont"/>
  </w:style>
  <w:style w:type="character" w:customStyle="1" w:styleId="mclose">
    <w:name w:val="mclose"/>
    <w:basedOn w:val="DefaultParagraphFont"/>
  </w:style>
  <w:style w:type="character" w:customStyle="1" w:styleId="vlist-s">
    <w:name w:val="vlist-s"/>
    <w:basedOn w:val="DefaultParagraphFont"/>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D2468"/>
    <w:rPr>
      <w:color w:val="0000FF" w:themeColor="hyperlink"/>
      <w:u w:val="single"/>
    </w:rPr>
  </w:style>
  <w:style w:type="character" w:customStyle="1" w:styleId="UnresolvedMention1">
    <w:name w:val="Unresolved Mention1"/>
    <w:basedOn w:val="DefaultParagraphFont"/>
    <w:uiPriority w:val="99"/>
    <w:semiHidden/>
    <w:unhideWhenUsed/>
    <w:rsid w:val="003D2468"/>
    <w:rPr>
      <w:color w:val="605E5C"/>
      <w:shd w:val="clear" w:color="auto" w:fill="E1DFDD"/>
    </w:rPr>
  </w:style>
  <w:style w:type="paragraph" w:styleId="Header">
    <w:name w:val="header"/>
    <w:basedOn w:val="Normal"/>
    <w:link w:val="HeaderChar"/>
    <w:uiPriority w:val="99"/>
    <w:unhideWhenUsed/>
    <w:rsid w:val="007E5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FD1"/>
  </w:style>
  <w:style w:type="paragraph" w:styleId="Footer">
    <w:name w:val="footer"/>
    <w:basedOn w:val="Normal"/>
    <w:link w:val="FooterChar"/>
    <w:uiPriority w:val="99"/>
    <w:unhideWhenUsed/>
    <w:rsid w:val="007E5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214515">
      <w:bodyDiv w:val="1"/>
      <w:marLeft w:val="0"/>
      <w:marRight w:val="0"/>
      <w:marTop w:val="0"/>
      <w:marBottom w:val="0"/>
      <w:divBdr>
        <w:top w:val="none" w:sz="0" w:space="0" w:color="auto"/>
        <w:left w:val="none" w:sz="0" w:space="0" w:color="auto"/>
        <w:bottom w:val="none" w:sz="0" w:space="0" w:color="auto"/>
        <w:right w:val="none" w:sz="0" w:space="0" w:color="auto"/>
      </w:divBdr>
      <w:divsChild>
        <w:div w:id="256451203">
          <w:marLeft w:val="0"/>
          <w:marRight w:val="0"/>
          <w:marTop w:val="0"/>
          <w:marBottom w:val="0"/>
          <w:divBdr>
            <w:top w:val="none" w:sz="0" w:space="0" w:color="auto"/>
            <w:left w:val="none" w:sz="0" w:space="0" w:color="auto"/>
            <w:bottom w:val="none" w:sz="0" w:space="0" w:color="auto"/>
            <w:right w:val="none" w:sz="0" w:space="0" w:color="auto"/>
          </w:divBdr>
          <w:divsChild>
            <w:div w:id="592933810">
              <w:marLeft w:val="0"/>
              <w:marRight w:val="0"/>
              <w:marTop w:val="0"/>
              <w:marBottom w:val="0"/>
              <w:divBdr>
                <w:top w:val="none" w:sz="0" w:space="0" w:color="auto"/>
                <w:left w:val="none" w:sz="0" w:space="0" w:color="auto"/>
                <w:bottom w:val="none" w:sz="0" w:space="0" w:color="auto"/>
                <w:right w:val="none" w:sz="0" w:space="0" w:color="auto"/>
              </w:divBdr>
              <w:divsChild>
                <w:div w:id="1843202403">
                  <w:marLeft w:val="0"/>
                  <w:marRight w:val="0"/>
                  <w:marTop w:val="0"/>
                  <w:marBottom w:val="0"/>
                  <w:divBdr>
                    <w:top w:val="none" w:sz="0" w:space="0" w:color="auto"/>
                    <w:left w:val="none" w:sz="0" w:space="0" w:color="auto"/>
                    <w:bottom w:val="none" w:sz="0" w:space="0" w:color="auto"/>
                    <w:right w:val="none" w:sz="0" w:space="0" w:color="auto"/>
                  </w:divBdr>
                  <w:divsChild>
                    <w:div w:id="37212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45572">
      <w:bodyDiv w:val="1"/>
      <w:marLeft w:val="0"/>
      <w:marRight w:val="0"/>
      <w:marTop w:val="0"/>
      <w:marBottom w:val="0"/>
      <w:divBdr>
        <w:top w:val="none" w:sz="0" w:space="0" w:color="auto"/>
        <w:left w:val="none" w:sz="0" w:space="0" w:color="auto"/>
        <w:bottom w:val="none" w:sz="0" w:space="0" w:color="auto"/>
        <w:right w:val="none" w:sz="0" w:space="0" w:color="auto"/>
      </w:divBdr>
      <w:divsChild>
        <w:div w:id="1762918885">
          <w:marLeft w:val="0"/>
          <w:marRight w:val="0"/>
          <w:marTop w:val="0"/>
          <w:marBottom w:val="0"/>
          <w:divBdr>
            <w:top w:val="none" w:sz="0" w:space="0" w:color="auto"/>
            <w:left w:val="none" w:sz="0" w:space="0" w:color="auto"/>
            <w:bottom w:val="none" w:sz="0" w:space="0" w:color="auto"/>
            <w:right w:val="none" w:sz="0" w:space="0" w:color="auto"/>
          </w:divBdr>
          <w:divsChild>
            <w:div w:id="883103468">
              <w:marLeft w:val="0"/>
              <w:marRight w:val="0"/>
              <w:marTop w:val="0"/>
              <w:marBottom w:val="0"/>
              <w:divBdr>
                <w:top w:val="none" w:sz="0" w:space="0" w:color="auto"/>
                <w:left w:val="none" w:sz="0" w:space="0" w:color="auto"/>
                <w:bottom w:val="none" w:sz="0" w:space="0" w:color="auto"/>
                <w:right w:val="none" w:sz="0" w:space="0" w:color="auto"/>
              </w:divBdr>
              <w:divsChild>
                <w:div w:id="348336096">
                  <w:marLeft w:val="0"/>
                  <w:marRight w:val="0"/>
                  <w:marTop w:val="0"/>
                  <w:marBottom w:val="0"/>
                  <w:divBdr>
                    <w:top w:val="none" w:sz="0" w:space="0" w:color="auto"/>
                    <w:left w:val="none" w:sz="0" w:space="0" w:color="auto"/>
                    <w:bottom w:val="none" w:sz="0" w:space="0" w:color="auto"/>
                    <w:right w:val="none" w:sz="0" w:space="0" w:color="auto"/>
                  </w:divBdr>
                  <w:divsChild>
                    <w:div w:id="2335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290704">
      <w:bodyDiv w:val="1"/>
      <w:marLeft w:val="0"/>
      <w:marRight w:val="0"/>
      <w:marTop w:val="0"/>
      <w:marBottom w:val="0"/>
      <w:divBdr>
        <w:top w:val="none" w:sz="0" w:space="0" w:color="auto"/>
        <w:left w:val="none" w:sz="0" w:space="0" w:color="auto"/>
        <w:bottom w:val="none" w:sz="0" w:space="0" w:color="auto"/>
        <w:right w:val="none" w:sz="0" w:space="0" w:color="auto"/>
      </w:divBdr>
      <w:divsChild>
        <w:div w:id="1023632741">
          <w:marLeft w:val="0"/>
          <w:marRight w:val="0"/>
          <w:marTop w:val="0"/>
          <w:marBottom w:val="0"/>
          <w:divBdr>
            <w:top w:val="none" w:sz="0" w:space="0" w:color="auto"/>
            <w:left w:val="none" w:sz="0" w:space="0" w:color="auto"/>
            <w:bottom w:val="none" w:sz="0" w:space="0" w:color="auto"/>
            <w:right w:val="none" w:sz="0" w:space="0" w:color="auto"/>
          </w:divBdr>
          <w:divsChild>
            <w:div w:id="1794976793">
              <w:marLeft w:val="0"/>
              <w:marRight w:val="0"/>
              <w:marTop w:val="0"/>
              <w:marBottom w:val="0"/>
              <w:divBdr>
                <w:top w:val="none" w:sz="0" w:space="0" w:color="auto"/>
                <w:left w:val="none" w:sz="0" w:space="0" w:color="auto"/>
                <w:bottom w:val="none" w:sz="0" w:space="0" w:color="auto"/>
                <w:right w:val="none" w:sz="0" w:space="0" w:color="auto"/>
              </w:divBdr>
              <w:divsChild>
                <w:div w:id="604769520">
                  <w:marLeft w:val="0"/>
                  <w:marRight w:val="0"/>
                  <w:marTop w:val="0"/>
                  <w:marBottom w:val="0"/>
                  <w:divBdr>
                    <w:top w:val="none" w:sz="0" w:space="0" w:color="auto"/>
                    <w:left w:val="none" w:sz="0" w:space="0" w:color="auto"/>
                    <w:bottom w:val="none" w:sz="0" w:space="0" w:color="auto"/>
                    <w:right w:val="none" w:sz="0" w:space="0" w:color="auto"/>
                  </w:divBdr>
                  <w:divsChild>
                    <w:div w:id="82944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3744</Words>
  <Characters>21341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 Marhils</dc:creator>
  <cp:lastModifiedBy>SDI 1020</cp:lastModifiedBy>
  <cp:revision>23</cp:revision>
  <dcterms:created xsi:type="dcterms:W3CDTF">2025-11-19T12:14:00Z</dcterms:created>
  <dcterms:modified xsi:type="dcterms:W3CDTF">2025-11-24T11:39:00Z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85e310e5e9dc4918a35b206d461c5c83</vt:lpwstr>
  </property>
</Properties>
</file>